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60"/>
        <w:spacing w:before="0" w:after="0"/>
        <w:rPr>
          <w:rFonts w:ascii="Calibri" w:hAnsi="Calibri"/>
          <w:sz w:val="24"/>
          <w:szCs w:val="24"/>
        </w:rPr>
      </w:pPr>
      <w:r>
        <w:drawing>
          <wp:inline distT="0" distB="0" distL="0" distR="0">
            <wp:extent cx="732155" cy="626745"/>
            <wp:effectExtent l="0" t="0" r="0" b="0"/>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7"/>
                    <a:srcRect l="-1912" t="-2197" r="-1912" b="-2197"/>
                    <a:stretch>
                      <a:fillRect/>
                    </a:stretch>
                  </pic:blipFill>
                  <pic:spPr>
                    <a:xfrm>
                      <a:off x="0" y="0"/>
                      <a:ext cx="732155" cy="626745"/>
                    </a:xfrm>
                    <a:prstGeom prst="rect">
                      <a:avLst/>
                    </a:prstGeom>
                  </pic:spPr>
                </pic:pic>
              </a:graphicData>
            </a:graphic>
          </wp:inline>
        </w:drawing>
      </w:r>
    </w:p>
    <w:p>
      <w:pPr>
        <w:jc w:val="center"/>
        <w:rPr>
          <w:rFonts w:ascii="Calibri" w:hAnsi="Calibri"/>
          <w:sz w:val="24"/>
          <w:szCs w:val="24"/>
        </w:rPr>
      </w:pPr>
      <w:r>
        <w:rPr>
          <w:rFonts w:ascii="Calibri" w:hAnsi="Calibri" w:cs="Calibri"/>
          <w:b/>
          <w:color w:val="000000"/>
          <w:sz w:val="24"/>
          <w:szCs w:val="24"/>
        </w:rPr>
        <w:t>ESTADO DE SANTA CATARINA</w:t>
      </w:r>
    </w:p>
    <w:p>
      <w:pPr>
        <w:jc w:val="center"/>
        <w:rPr>
          <w:rFonts w:ascii="Calibri" w:hAnsi="Calibri"/>
          <w:sz w:val="24"/>
          <w:szCs w:val="24"/>
        </w:rPr>
      </w:pPr>
      <w:r>
        <w:rPr>
          <w:rFonts w:ascii="Calibri" w:hAnsi="Calibri" w:cs="Calibri"/>
          <w:b/>
          <w:color w:val="000000"/>
          <w:sz w:val="24"/>
          <w:szCs w:val="24"/>
        </w:rPr>
        <w:t>SECRETARIA DE ESTADO DA SAÚDE</w:t>
      </w:r>
    </w:p>
    <w:p>
      <w:pPr>
        <w:jc w:val="center"/>
        <w:rPr>
          <w:rFonts w:ascii="Calibri" w:hAnsi="Calibri"/>
          <w:sz w:val="24"/>
          <w:szCs w:val="24"/>
        </w:rPr>
      </w:pPr>
      <w:r>
        <w:rPr>
          <w:rFonts w:ascii="Calibri" w:hAnsi="Calibri" w:cs="Calibri"/>
          <w:b/>
          <w:color w:val="000000"/>
          <w:sz w:val="24"/>
          <w:szCs w:val="24"/>
        </w:rPr>
        <w:t>FUNDO ESTADUAL DE SAÚDE</w:t>
      </w:r>
    </w:p>
    <w:p>
      <w:pPr>
        <w:jc w:val="center"/>
        <w:rPr>
          <w:rFonts w:ascii="Calibri" w:hAnsi="Calibri"/>
          <w:sz w:val="24"/>
          <w:szCs w:val="24"/>
        </w:rPr>
      </w:pPr>
      <w:r>
        <w:rPr>
          <w:rFonts w:ascii="Calibri" w:hAnsi="Calibri" w:cs="Calibri"/>
          <w:b/>
          <w:color w:val="000000"/>
          <w:sz w:val="24"/>
          <w:szCs w:val="24"/>
        </w:rPr>
        <w:t xml:space="preserve">Rua Esteves Júnior, 160 </w:t>
      </w:r>
    </w:p>
    <w:p>
      <w:pPr>
        <w:jc w:val="center"/>
        <w:rPr>
          <w:rFonts w:ascii="Calibri" w:hAnsi="Calibri"/>
          <w:sz w:val="24"/>
          <w:szCs w:val="24"/>
        </w:rPr>
      </w:pPr>
      <w:r>
        <w:rPr>
          <w:rFonts w:ascii="Calibri" w:hAnsi="Calibri" w:cs="Calibri"/>
          <w:b/>
          <w:color w:val="000000"/>
          <w:sz w:val="24"/>
          <w:szCs w:val="24"/>
        </w:rPr>
        <w:t xml:space="preserve"> Centro</w:t>
      </w:r>
      <w:r>
        <w:rPr>
          <w:rFonts w:ascii="Calibri" w:hAnsi="Calibri" w:cs="Calibri"/>
          <w:b/>
          <w:color w:val="000000"/>
          <w:sz w:val="24"/>
          <w:szCs w:val="24"/>
          <w:lang w:val="pt-BR"/>
        </w:rPr>
        <w:t xml:space="preserve"> – </w:t>
      </w:r>
      <w:r>
        <w:rPr>
          <w:rFonts w:ascii="Calibri" w:hAnsi="Calibri" w:cs="Calibri"/>
          <w:b/>
          <w:color w:val="000000"/>
          <w:sz w:val="24"/>
          <w:szCs w:val="24"/>
        </w:rPr>
        <w:t>Florianópolis – SC</w:t>
      </w:r>
      <w:r>
        <w:rPr>
          <w:rFonts w:ascii="Calibri" w:hAnsi="Calibri" w:cs="Calibri"/>
          <w:b/>
          <w:color w:val="000000"/>
          <w:sz w:val="24"/>
          <w:szCs w:val="24"/>
          <w:lang w:val="pt-BR"/>
        </w:rPr>
        <w:t xml:space="preserve"> – </w:t>
      </w:r>
      <w:r>
        <w:rPr>
          <w:rFonts w:ascii="Calibri" w:hAnsi="Calibri" w:cs="Calibri"/>
          <w:b/>
          <w:color w:val="000000"/>
          <w:sz w:val="24"/>
          <w:szCs w:val="24"/>
        </w:rPr>
        <w:t>CEP</w:t>
      </w:r>
      <w:r>
        <w:rPr>
          <w:rFonts w:ascii="Calibri" w:hAnsi="Calibri" w:cs="Calibri"/>
          <w:b/>
          <w:color w:val="000000"/>
          <w:sz w:val="24"/>
          <w:szCs w:val="24"/>
          <w:lang w:val="pt-BR"/>
        </w:rPr>
        <w:t>.</w:t>
      </w:r>
      <w:r>
        <w:rPr>
          <w:rFonts w:ascii="Calibri" w:hAnsi="Calibri" w:cs="Calibri"/>
          <w:b/>
          <w:color w:val="000000"/>
          <w:sz w:val="24"/>
          <w:szCs w:val="24"/>
        </w:rPr>
        <w:t xml:space="preserve"> 88015-130</w:t>
      </w:r>
    </w:p>
    <w:p>
      <w:pPr>
        <w:jc w:val="center"/>
      </w:pPr>
      <w:r>
        <w:rPr>
          <w:rFonts w:ascii="Calibri" w:hAnsi="Calibri" w:cs="Calibri"/>
          <w:b/>
          <w:color w:val="000000"/>
          <w:sz w:val="24"/>
          <w:szCs w:val="24"/>
        </w:rPr>
        <w:t xml:space="preserve">Site: </w:t>
      </w:r>
      <w:r>
        <w:fldChar w:fldCharType="begin"/>
      </w:r>
      <w:r>
        <w:instrText xml:space="preserve"> HYPERLINK "http://www.portaldecompras.sc.gov.br/" \h </w:instrText>
      </w:r>
      <w:r>
        <w:fldChar w:fldCharType="separate"/>
      </w:r>
      <w:r>
        <w:rPr>
          <w:rStyle w:val="41"/>
          <w:rFonts w:ascii="Calibri" w:hAnsi="Calibri" w:cs="Calibri"/>
          <w:b/>
          <w:sz w:val="24"/>
          <w:szCs w:val="24"/>
        </w:rPr>
        <w:t>http://www.portaldecompras.sc.gov.br/</w:t>
      </w:r>
      <w:r>
        <w:rPr>
          <w:rStyle w:val="41"/>
          <w:rFonts w:ascii="Calibri" w:hAnsi="Calibri" w:cs="Calibri"/>
          <w:b/>
          <w:sz w:val="24"/>
          <w:szCs w:val="24"/>
        </w:rPr>
        <w:fldChar w:fldCharType="end"/>
      </w:r>
    </w:p>
    <w:p>
      <w:pPr>
        <w:rPr>
          <w:rFonts w:ascii="Calibri" w:hAnsi="Calibri" w:cs="Calibri"/>
          <w:b/>
          <w:bCs/>
          <w:color w:val="000000"/>
          <w:sz w:val="24"/>
          <w:szCs w:val="24"/>
        </w:rPr>
      </w:pPr>
    </w:p>
    <w:p>
      <w:pPr>
        <w:rPr>
          <w:rFonts w:ascii="Calibri" w:hAnsi="Calibri" w:cs="Calibri"/>
          <w:b/>
          <w:bCs/>
          <w:color w:val="000000"/>
          <w:sz w:val="24"/>
          <w:szCs w:val="24"/>
        </w:rPr>
      </w:pPr>
    </w:p>
    <w:p>
      <w:pPr>
        <w:jc w:val="center"/>
        <w:rPr>
          <w:rFonts w:ascii="Calibri" w:hAnsi="Calibri"/>
          <w:sz w:val="24"/>
          <w:szCs w:val="24"/>
        </w:rPr>
      </w:pPr>
      <w:r>
        <w:rPr>
          <w:rFonts w:ascii="Calibri" w:hAnsi="Calibri" w:cs="Calibri"/>
          <w:b/>
          <w:bCs/>
          <w:sz w:val="24"/>
          <w:szCs w:val="24"/>
        </w:rPr>
        <w:t xml:space="preserve">PREGÃO ELETRÔNICO EDITAL Nº </w:t>
      </w:r>
      <w:r>
        <w:rPr>
          <w:rFonts w:ascii="Calibri" w:hAnsi="Calibri" w:cs="Calibri"/>
          <w:b/>
          <w:bCs/>
          <w:sz w:val="24"/>
          <w:szCs w:val="24"/>
          <w:lang w:val="pt-BR"/>
        </w:rPr>
        <w:t>1190/2023</w:t>
      </w:r>
    </w:p>
    <w:p>
      <w:pPr>
        <w:jc w:val="center"/>
        <w:rPr>
          <w:rFonts w:ascii="Calibri" w:hAnsi="Calibri"/>
          <w:sz w:val="24"/>
          <w:szCs w:val="24"/>
        </w:rPr>
      </w:pPr>
      <w:r>
        <w:rPr>
          <w:rFonts w:ascii="Calibri" w:hAnsi="Calibri" w:cs="Calibri"/>
          <w:b/>
          <w:bCs/>
          <w:sz w:val="24"/>
          <w:szCs w:val="24"/>
        </w:rPr>
        <w:t xml:space="preserve">SES </w:t>
      </w:r>
      <w:r>
        <w:rPr>
          <w:rFonts w:ascii="Calibri" w:hAnsi="Calibri" w:cs="Calibri"/>
          <w:b/>
          <w:bCs/>
          <w:sz w:val="24"/>
          <w:szCs w:val="24"/>
          <w:lang w:val="pt-BR"/>
        </w:rPr>
        <w:t>120271/2023</w:t>
      </w:r>
    </w:p>
    <w:p>
      <w:pPr>
        <w:pStyle w:val="2"/>
        <w:jc w:val="center"/>
        <w:rPr>
          <w:rFonts w:ascii="Calibri" w:hAnsi="Calibri" w:cs="Calibri"/>
          <w:b/>
          <w:bCs/>
          <w:sz w:val="24"/>
          <w:szCs w:val="24"/>
          <w:lang w:val="pt-BR"/>
        </w:rPr>
      </w:pPr>
    </w:p>
    <w:p>
      <w:pPr>
        <w:pStyle w:val="16"/>
        <w:overflowPunct w:val="0"/>
        <w:bidi w:val="0"/>
        <w:spacing w:before="147" w:after="0"/>
        <w:ind w:left="0" w:right="0" w:firstLine="0"/>
        <w:rPr>
          <w:rFonts w:ascii="Calibri" w:hAnsi="Calibri"/>
          <w:sz w:val="24"/>
          <w:szCs w:val="24"/>
        </w:rPr>
      </w:pPr>
      <w:r>
        <w:rPr>
          <w:rFonts w:ascii="Calibri" w:hAnsi="Calibri"/>
          <w:sz w:val="24"/>
          <w:szCs w:val="24"/>
        </w:rPr>
        <w:t xml:space="preserve">A </w:t>
      </w:r>
      <w:r>
        <w:rPr>
          <w:rFonts w:ascii="Calibri" w:hAnsi="Calibri"/>
          <w:b/>
          <w:sz w:val="24"/>
          <w:szCs w:val="24"/>
        </w:rPr>
        <w:t xml:space="preserve">Secretaria de Estado da </w:t>
      </w:r>
      <w:r>
        <w:rPr>
          <w:rFonts w:ascii="Calibri" w:hAnsi="Calibri" w:eastAsia="SimSun" w:cs="Times New Roman"/>
          <w:b/>
          <w:color w:val="000000"/>
          <w:sz w:val="24"/>
          <w:szCs w:val="24"/>
          <w:lang w:val="pt-BR" w:eastAsia="zh-CN" w:bidi="ar-SA"/>
        </w:rPr>
        <w:t>Saúde</w:t>
      </w:r>
      <w:r>
        <w:rPr>
          <w:rFonts w:ascii="Calibri" w:hAnsi="Calibri"/>
          <w:sz w:val="24"/>
          <w:szCs w:val="24"/>
        </w:rPr>
        <w:t xml:space="preserve">, com sede </w:t>
      </w:r>
      <w:r>
        <w:rPr>
          <w:rFonts w:ascii="Calibri" w:hAnsi="Calibri" w:eastAsia="SimSun" w:cs="Times New Roman"/>
          <w:color w:val="000000"/>
          <w:sz w:val="24"/>
          <w:szCs w:val="24"/>
          <w:lang w:val="pt-BR" w:eastAsia="zh-CN" w:bidi="ar-SA"/>
        </w:rPr>
        <w:t>na Rua Esteves Júnior</w:t>
      </w:r>
      <w:r>
        <w:rPr>
          <w:rFonts w:ascii="Calibri" w:hAnsi="Calibri"/>
          <w:sz w:val="24"/>
          <w:szCs w:val="24"/>
        </w:rPr>
        <w:t xml:space="preserve">, nº </w:t>
      </w:r>
      <w:r>
        <w:rPr>
          <w:rFonts w:ascii="Calibri" w:hAnsi="Calibri" w:eastAsia="SimSun" w:cs="Times New Roman"/>
          <w:color w:val="000000"/>
          <w:sz w:val="24"/>
          <w:szCs w:val="24"/>
          <w:lang w:val="pt-BR" w:eastAsia="zh-CN" w:bidi="ar-SA"/>
        </w:rPr>
        <w:t>160</w:t>
      </w:r>
      <w:r>
        <w:rPr>
          <w:rFonts w:ascii="Calibri" w:hAnsi="Calibri"/>
          <w:sz w:val="24"/>
          <w:szCs w:val="24"/>
        </w:rPr>
        <w:t>,</w:t>
      </w:r>
      <w:r>
        <w:rPr>
          <w:rFonts w:ascii="Calibri" w:hAnsi="Calibri"/>
          <w:spacing w:val="1"/>
          <w:sz w:val="24"/>
          <w:szCs w:val="24"/>
        </w:rPr>
        <w:t xml:space="preserve"> </w:t>
      </w:r>
      <w:r>
        <w:rPr>
          <w:rFonts w:ascii="Calibri" w:hAnsi="Calibri"/>
          <w:sz w:val="24"/>
          <w:szCs w:val="24"/>
        </w:rPr>
        <w:t xml:space="preserve">Bairro </w:t>
      </w:r>
      <w:r>
        <w:rPr>
          <w:rFonts w:ascii="Calibri" w:hAnsi="Calibri" w:eastAsia="SimSun" w:cs="Times New Roman"/>
          <w:color w:val="000000"/>
          <w:sz w:val="24"/>
          <w:szCs w:val="24"/>
          <w:lang w:val="pt-BR" w:eastAsia="zh-CN" w:bidi="ar-SA"/>
        </w:rPr>
        <w:t>Centro</w:t>
      </w:r>
      <w:r>
        <w:rPr>
          <w:rFonts w:ascii="Calibri" w:hAnsi="Calibri"/>
          <w:sz w:val="24"/>
          <w:szCs w:val="24"/>
        </w:rPr>
        <w:t>, Florianópolis/SC, inscrita no CNPJ sob o nº 80.673.411/0001-87, por intermédio da</w:t>
      </w:r>
      <w:r>
        <w:rPr>
          <w:rFonts w:ascii="Calibri" w:hAnsi="Calibri"/>
          <w:spacing w:val="1"/>
          <w:sz w:val="24"/>
          <w:szCs w:val="24"/>
        </w:rPr>
        <w:t xml:space="preserve"> </w:t>
      </w:r>
      <w:r>
        <w:rPr>
          <w:rFonts w:ascii="Calibri" w:hAnsi="Calibri"/>
          <w:sz w:val="24"/>
          <w:szCs w:val="24"/>
        </w:rPr>
        <w:t>Diretoria de Licitações e Contratos – D</w:t>
      </w:r>
      <w:r>
        <w:rPr>
          <w:rFonts w:ascii="Calibri" w:hAnsi="Calibri" w:eastAsia="SimSun" w:cs="Times New Roman"/>
          <w:color w:val="000000"/>
          <w:sz w:val="24"/>
          <w:szCs w:val="24"/>
          <w:lang w:val="pt-BR" w:eastAsia="zh-CN" w:bidi="ar-SA"/>
        </w:rPr>
        <w:t>LIC</w:t>
      </w:r>
      <w:r>
        <w:rPr>
          <w:rFonts w:ascii="Calibri" w:hAnsi="Calibri"/>
          <w:sz w:val="24"/>
          <w:szCs w:val="24"/>
        </w:rPr>
        <w:t xml:space="preserve">, torna público que fará realizar licitação na </w:t>
      </w:r>
      <w:r>
        <w:rPr>
          <w:rFonts w:ascii="Calibri" w:hAnsi="Calibri"/>
          <w:b/>
          <w:sz w:val="24"/>
          <w:szCs w:val="24"/>
        </w:rPr>
        <w:t>modalidade</w:t>
      </w:r>
      <w:r>
        <w:rPr>
          <w:rFonts w:ascii="Calibri" w:hAnsi="Calibri"/>
          <w:b/>
          <w:spacing w:val="1"/>
          <w:sz w:val="24"/>
          <w:szCs w:val="24"/>
        </w:rPr>
        <w:t xml:space="preserve"> </w:t>
      </w:r>
      <w:r>
        <w:rPr>
          <w:rFonts w:ascii="Calibri" w:hAnsi="Calibri"/>
          <w:b/>
          <w:sz w:val="24"/>
          <w:szCs w:val="24"/>
        </w:rPr>
        <w:t>pregão,</w:t>
      </w:r>
      <w:r>
        <w:rPr>
          <w:rFonts w:ascii="Calibri" w:hAnsi="Calibri"/>
          <w:b/>
          <w:spacing w:val="1"/>
          <w:sz w:val="24"/>
          <w:szCs w:val="24"/>
        </w:rPr>
        <w:t xml:space="preserve"> </w:t>
      </w:r>
      <w:r>
        <w:rPr>
          <w:rFonts w:ascii="Calibri" w:hAnsi="Calibri"/>
          <w:sz w:val="24"/>
          <w:szCs w:val="24"/>
        </w:rPr>
        <w:t>tipo</w:t>
      </w:r>
      <w:r>
        <w:rPr>
          <w:rFonts w:ascii="Calibri" w:hAnsi="Calibri"/>
          <w:spacing w:val="1"/>
          <w:sz w:val="24"/>
          <w:szCs w:val="24"/>
        </w:rPr>
        <w:t xml:space="preserve"> </w:t>
      </w:r>
      <w:r>
        <w:rPr>
          <w:rFonts w:ascii="Calibri" w:hAnsi="Calibri"/>
          <w:sz w:val="24"/>
          <w:szCs w:val="24"/>
        </w:rPr>
        <w:t>menor</w:t>
      </w:r>
      <w:r>
        <w:rPr>
          <w:rFonts w:ascii="Calibri" w:hAnsi="Calibri"/>
          <w:spacing w:val="1"/>
          <w:sz w:val="24"/>
          <w:szCs w:val="24"/>
        </w:rPr>
        <w:t xml:space="preserve"> </w:t>
      </w:r>
      <w:r>
        <w:rPr>
          <w:rFonts w:ascii="Calibri" w:hAnsi="Calibri"/>
          <w:sz w:val="24"/>
          <w:szCs w:val="24"/>
        </w:rPr>
        <w:t>preço,</w:t>
      </w:r>
      <w:r>
        <w:rPr>
          <w:rFonts w:ascii="Calibri" w:hAnsi="Calibri"/>
          <w:spacing w:val="1"/>
          <w:sz w:val="24"/>
          <w:szCs w:val="24"/>
        </w:rPr>
        <w:t xml:space="preserve"> </w:t>
      </w:r>
      <w:r>
        <w:rPr>
          <w:rFonts w:ascii="Calibri" w:hAnsi="Calibri"/>
          <w:sz w:val="24"/>
          <w:szCs w:val="24"/>
        </w:rPr>
        <w:t>na</w:t>
      </w:r>
      <w:r>
        <w:rPr>
          <w:rFonts w:ascii="Calibri" w:hAnsi="Calibri"/>
          <w:spacing w:val="1"/>
          <w:sz w:val="24"/>
          <w:szCs w:val="24"/>
        </w:rPr>
        <w:t xml:space="preserve"> </w:t>
      </w:r>
      <w:r>
        <w:rPr>
          <w:rFonts w:ascii="Calibri" w:hAnsi="Calibri"/>
          <w:sz w:val="24"/>
          <w:szCs w:val="24"/>
        </w:rPr>
        <w:t>forma</w:t>
      </w:r>
      <w:r>
        <w:rPr>
          <w:rFonts w:ascii="Calibri" w:hAnsi="Calibri"/>
          <w:spacing w:val="1"/>
          <w:sz w:val="24"/>
          <w:szCs w:val="24"/>
        </w:rPr>
        <w:t xml:space="preserve"> </w:t>
      </w:r>
      <w:r>
        <w:rPr>
          <w:rFonts w:ascii="Calibri" w:hAnsi="Calibri"/>
          <w:sz w:val="24"/>
          <w:szCs w:val="24"/>
        </w:rPr>
        <w:t>eletrônica,</w:t>
      </w:r>
      <w:r>
        <w:rPr>
          <w:rFonts w:ascii="Calibri" w:hAnsi="Calibri"/>
          <w:spacing w:val="1"/>
          <w:sz w:val="24"/>
          <w:szCs w:val="24"/>
        </w:rPr>
        <w:t xml:space="preserve"> </w:t>
      </w:r>
      <w:r>
        <w:rPr>
          <w:rFonts w:ascii="Calibri" w:hAnsi="Calibri"/>
          <w:sz w:val="24"/>
          <w:szCs w:val="24"/>
        </w:rPr>
        <w:t>modo</w:t>
      </w:r>
      <w:r>
        <w:rPr>
          <w:rFonts w:ascii="Calibri" w:hAnsi="Calibri"/>
          <w:spacing w:val="1"/>
          <w:sz w:val="24"/>
          <w:szCs w:val="24"/>
        </w:rPr>
        <w:t xml:space="preserve"> </w:t>
      </w:r>
      <w:r>
        <w:rPr>
          <w:rFonts w:ascii="Calibri" w:hAnsi="Calibri"/>
          <w:sz w:val="24"/>
          <w:szCs w:val="24"/>
        </w:rPr>
        <w:t>de</w:t>
      </w:r>
      <w:r>
        <w:rPr>
          <w:rFonts w:ascii="Calibri" w:hAnsi="Calibri"/>
          <w:spacing w:val="50"/>
          <w:sz w:val="24"/>
          <w:szCs w:val="24"/>
        </w:rPr>
        <w:t xml:space="preserve"> </w:t>
      </w:r>
      <w:r>
        <w:rPr>
          <w:rFonts w:ascii="Calibri" w:hAnsi="Calibri"/>
          <w:sz w:val="24"/>
          <w:szCs w:val="24"/>
        </w:rPr>
        <w:t>disputa</w:t>
      </w:r>
      <w:r>
        <w:rPr>
          <w:rFonts w:ascii="Calibri" w:hAnsi="Calibri"/>
          <w:spacing w:val="50"/>
          <w:sz w:val="24"/>
          <w:szCs w:val="24"/>
        </w:rPr>
        <w:t xml:space="preserve"> aberto </w:t>
      </w:r>
      <w:r>
        <w:rPr>
          <w:rFonts w:ascii="Calibri" w:hAnsi="Calibri"/>
          <w:sz w:val="24"/>
          <w:szCs w:val="24"/>
        </w:rPr>
        <w:t>para</w:t>
      </w:r>
      <w:r>
        <w:rPr>
          <w:rFonts w:ascii="Calibri" w:hAnsi="Calibri"/>
          <w:spacing w:val="37"/>
          <w:sz w:val="24"/>
          <w:szCs w:val="24"/>
        </w:rPr>
        <w:t xml:space="preserve"> </w:t>
      </w:r>
      <w:r>
        <w:rPr>
          <w:rFonts w:ascii="Calibri" w:hAnsi="Calibri"/>
          <w:sz w:val="24"/>
          <w:szCs w:val="24"/>
        </w:rPr>
        <w:t>selecionar</w:t>
      </w:r>
      <w:r>
        <w:rPr>
          <w:rFonts w:ascii="Calibri" w:hAnsi="Calibri"/>
          <w:spacing w:val="35"/>
          <w:sz w:val="24"/>
          <w:szCs w:val="24"/>
        </w:rPr>
        <w:t xml:space="preserve"> </w:t>
      </w:r>
      <w:r>
        <w:rPr>
          <w:rFonts w:ascii="Calibri" w:hAnsi="Calibri"/>
          <w:sz w:val="24"/>
          <w:szCs w:val="24"/>
        </w:rPr>
        <w:t>proposta</w:t>
      </w:r>
      <w:r>
        <w:rPr>
          <w:rFonts w:ascii="Calibri" w:hAnsi="Calibri"/>
          <w:spacing w:val="38"/>
          <w:sz w:val="24"/>
          <w:szCs w:val="24"/>
        </w:rPr>
        <w:t xml:space="preserve"> </w:t>
      </w:r>
      <w:r>
        <w:rPr>
          <w:rFonts w:ascii="Calibri" w:hAnsi="Calibri"/>
          <w:sz w:val="24"/>
          <w:szCs w:val="24"/>
        </w:rPr>
        <w:t>objetivando</w:t>
      </w:r>
      <w:r>
        <w:rPr>
          <w:rFonts w:ascii="Calibri" w:hAnsi="Calibri"/>
          <w:spacing w:val="39"/>
          <w:sz w:val="24"/>
          <w:szCs w:val="24"/>
        </w:rPr>
        <w:t xml:space="preserve"> o</w:t>
      </w:r>
      <w:r>
        <w:rPr>
          <w:rFonts w:ascii="Calibri" w:hAnsi="Calibri"/>
          <w:sz w:val="24"/>
          <w:szCs w:val="24"/>
        </w:rPr>
        <w:t xml:space="preserve"> </w:t>
      </w:r>
      <w:r>
        <w:rPr>
          <w:rFonts w:ascii="Calibri" w:hAnsi="Calibri"/>
          <w:b/>
          <w:bCs/>
          <w:sz w:val="24"/>
          <w:szCs w:val="24"/>
        </w:rPr>
        <w:t>REGISTRO DE PREÇOS</w:t>
      </w:r>
      <w:r>
        <w:rPr>
          <w:rFonts w:ascii="Calibri" w:hAnsi="Calibri" w:cs="Calibri"/>
          <w:b/>
          <w:bCs/>
          <w:color w:val="000000"/>
          <w:sz w:val="24"/>
          <w:szCs w:val="24"/>
          <w:lang w:val="pt-BR"/>
        </w:rPr>
        <w:t>,</w:t>
      </w:r>
      <w:r>
        <w:rPr>
          <w:rFonts w:ascii="Calibri" w:hAnsi="Calibri" w:cs="Calibri"/>
          <w:b/>
          <w:bCs/>
          <w:color w:val="4471C4"/>
          <w:sz w:val="24"/>
          <w:szCs w:val="24"/>
          <w:lang w:val="pt-BR"/>
        </w:rPr>
        <w:t xml:space="preserve"> </w:t>
      </w:r>
      <w:r>
        <w:rPr>
          <w:rFonts w:ascii="Calibri" w:hAnsi="Calibri" w:cs="Calibri"/>
          <w:b w:val="0"/>
          <w:bCs w:val="0"/>
          <w:sz w:val="24"/>
          <w:szCs w:val="24"/>
          <w:lang w:val="pt-BR"/>
        </w:rPr>
        <w:t>nos termos da Lei Federal nº 14.133, de 01 de abril de</w:t>
      </w:r>
      <w:r>
        <w:rPr>
          <w:rFonts w:ascii="Calibri" w:hAnsi="Calibri" w:cs="Calibri"/>
          <w:b w:val="0"/>
          <w:bCs w:val="0"/>
          <w:spacing w:val="1"/>
          <w:sz w:val="24"/>
          <w:szCs w:val="24"/>
          <w:lang w:val="pt-BR"/>
        </w:rPr>
        <w:t xml:space="preserve"> </w:t>
      </w:r>
      <w:r>
        <w:rPr>
          <w:rFonts w:ascii="Calibri" w:hAnsi="Calibri" w:cs="Calibri"/>
          <w:b w:val="0"/>
          <w:bCs w:val="0"/>
          <w:sz w:val="24"/>
          <w:szCs w:val="24"/>
          <w:lang w:val="pt-BR"/>
        </w:rPr>
        <w:t>2021, Lei Complementar nº 123, de 14 de dezembro de 2006, e demais normas legais federais e estaduais</w:t>
      </w:r>
      <w:r>
        <w:rPr>
          <w:rFonts w:ascii="Calibri" w:hAnsi="Calibri" w:cs="Calibri"/>
          <w:b w:val="0"/>
          <w:bCs w:val="0"/>
          <w:spacing w:val="1"/>
          <w:sz w:val="24"/>
          <w:szCs w:val="24"/>
          <w:lang w:val="pt-BR"/>
        </w:rPr>
        <w:t xml:space="preserve"> </w:t>
      </w:r>
      <w:r>
        <w:rPr>
          <w:rFonts w:ascii="Calibri" w:hAnsi="Calibri" w:cs="Calibri"/>
          <w:b w:val="0"/>
          <w:bCs w:val="0"/>
          <w:sz w:val="24"/>
          <w:szCs w:val="24"/>
          <w:lang w:val="pt-BR"/>
        </w:rPr>
        <w:t>vigentes.</w:t>
      </w:r>
    </w:p>
    <w:p>
      <w:pPr>
        <w:pStyle w:val="652"/>
        <w:overflowPunct w:val="0"/>
        <w:bidi w:val="0"/>
        <w:spacing w:before="0" w:after="0"/>
        <w:ind w:left="0" w:right="0" w:firstLine="0"/>
        <w:jc w:val="both"/>
        <w:rPr>
          <w:rFonts w:ascii="Calibri" w:hAnsi="Calibri" w:cs="Calibri"/>
          <w:b/>
          <w:bCs/>
          <w:sz w:val="24"/>
          <w:szCs w:val="24"/>
          <w:lang w:val="pt-BR"/>
        </w:rPr>
      </w:pPr>
    </w:p>
    <w:p>
      <w:pPr>
        <w:pStyle w:val="652"/>
        <w:overflowPunct w:val="0"/>
        <w:bidi w:val="0"/>
        <w:spacing w:before="0" w:after="0"/>
        <w:ind w:left="0" w:right="0" w:firstLine="0"/>
        <w:jc w:val="both"/>
        <w:rPr>
          <w:rFonts w:ascii="Calibri" w:hAnsi="Calibri"/>
          <w:sz w:val="24"/>
          <w:szCs w:val="24"/>
        </w:rPr>
      </w:pPr>
      <w:r>
        <w:rPr>
          <w:rFonts w:ascii="Calibri" w:hAnsi="Calibri" w:cs="Calibri"/>
          <w:b/>
          <w:bCs/>
          <w:sz w:val="24"/>
          <w:szCs w:val="24"/>
          <w:lang w:val="pt-BR"/>
        </w:rPr>
        <w:t>OBJETO:</w:t>
      </w:r>
      <w:r>
        <w:rPr>
          <w:rFonts w:ascii="Calibri" w:hAnsi="Calibri" w:cs="Calibri"/>
          <w:b w:val="0"/>
          <w:bCs w:val="0"/>
          <w:sz w:val="24"/>
          <w:szCs w:val="24"/>
          <w:lang w:val="pt-BR"/>
        </w:rPr>
        <w:t xml:space="preserve"> Aquisição de itens de nutrição para a Gerência de Bens Regulares (GEBER), Gerência de Bens Judiciais (GEJUD) e Diretoria de Assistência Farmacêutica (DIAF), conforme especificações constantes do </w:t>
      </w:r>
      <w:r>
        <w:rPr>
          <w:rFonts w:ascii="Calibri" w:hAnsi="Calibri" w:cs="Calibri"/>
          <w:b/>
          <w:bCs/>
          <w:sz w:val="24"/>
          <w:szCs w:val="24"/>
          <w:lang w:val="pt-BR"/>
        </w:rPr>
        <w:t>Anexo I</w:t>
      </w:r>
      <w:r>
        <w:rPr>
          <w:rFonts w:ascii="Calibri" w:hAnsi="Calibri" w:cs="Calibri"/>
          <w:b w:val="0"/>
          <w:bCs/>
          <w:sz w:val="24"/>
          <w:szCs w:val="24"/>
          <w:lang w:val="pt-BR"/>
        </w:rPr>
        <w:t>.</w:t>
      </w:r>
    </w:p>
    <w:p>
      <w:pPr>
        <w:pStyle w:val="652"/>
        <w:overflowPunct w:val="0"/>
        <w:bidi w:val="0"/>
        <w:spacing w:before="0" w:after="0"/>
        <w:ind w:left="0" w:right="0" w:firstLine="0"/>
        <w:jc w:val="both"/>
        <w:rPr>
          <w:rFonts w:ascii="Calibri" w:hAnsi="Calibri"/>
          <w:sz w:val="24"/>
          <w:szCs w:val="24"/>
        </w:rPr>
      </w:pPr>
    </w:p>
    <w:p>
      <w:pPr>
        <w:pStyle w:val="2"/>
        <w:overflowPunct w:val="0"/>
        <w:bidi w:val="0"/>
        <w:spacing w:before="1" w:after="0"/>
        <w:ind w:left="0" w:right="0" w:firstLine="0"/>
        <w:jc w:val="both"/>
        <w:rPr>
          <w:rFonts w:ascii="Calibri" w:hAnsi="Calibri"/>
          <w:sz w:val="24"/>
          <w:szCs w:val="24"/>
        </w:rPr>
      </w:pPr>
      <w:r>
        <w:rPr>
          <w:rFonts w:ascii="Calibri" w:hAnsi="Calibri"/>
          <w:b/>
          <w:bCs/>
          <w:sz w:val="24"/>
          <w:szCs w:val="24"/>
        </w:rPr>
        <w:t>1</w:t>
      </w:r>
      <w:r>
        <w:rPr>
          <w:rFonts w:ascii="Calibri" w:hAnsi="Calibri"/>
          <w:b/>
          <w:bCs/>
          <w:sz w:val="24"/>
          <w:szCs w:val="24"/>
          <w:lang w:val="pt-BR"/>
        </w:rPr>
        <w:t xml:space="preserve"> </w:t>
      </w:r>
      <w:r>
        <w:rPr>
          <w:rFonts w:ascii="Calibri" w:hAnsi="Calibri"/>
          <w:b/>
          <w:bCs/>
          <w:sz w:val="24"/>
          <w:szCs w:val="24"/>
        </w:rPr>
        <w:t>– DISPOSIÇÕES PRELIMINARES</w:t>
      </w:r>
    </w:p>
    <w:p>
      <w:pPr>
        <w:pStyle w:val="2"/>
        <w:overflowPunct w:val="0"/>
        <w:bidi w:val="0"/>
        <w:spacing w:before="1" w:after="0"/>
        <w:ind w:left="0" w:right="0" w:firstLine="0"/>
        <w:jc w:val="both"/>
        <w:rPr>
          <w:rFonts w:ascii="Calibri" w:hAnsi="Calibri"/>
          <w:b/>
          <w:bCs/>
          <w:sz w:val="24"/>
          <w:szCs w:val="24"/>
        </w:rPr>
      </w:pPr>
    </w:p>
    <w:p>
      <w:pPr>
        <w:pStyle w:val="2"/>
        <w:spacing w:before="1" w:after="0"/>
        <w:ind w:right="259"/>
        <w:jc w:val="both"/>
        <w:rPr>
          <w:b/>
          <w:bCs/>
        </w:rPr>
      </w:pPr>
      <w:r>
        <w:rPr>
          <w:rFonts w:ascii="Calibri" w:hAnsi="Calibri"/>
          <w:b/>
          <w:bCs/>
          <w:sz w:val="24"/>
          <w:szCs w:val="24"/>
        </w:rPr>
        <w:t xml:space="preserve">1.1 – Envio de proposta: a partir das </w:t>
      </w:r>
      <w:r>
        <w:rPr>
          <w:rFonts w:ascii="Calibri" w:hAnsi="Calibri"/>
          <w:b/>
          <w:bCs/>
          <w:sz w:val="24"/>
          <w:szCs w:val="24"/>
          <w:lang w:val="pt-BR"/>
        </w:rPr>
        <w:t xml:space="preserve">17h30min. </w:t>
      </w:r>
      <w:r>
        <w:rPr>
          <w:rFonts w:ascii="Calibri" w:hAnsi="Calibri"/>
          <w:b/>
          <w:bCs/>
          <w:sz w:val="24"/>
          <w:szCs w:val="24"/>
        </w:rPr>
        <w:t xml:space="preserve">do dia </w:t>
      </w:r>
      <w:r>
        <w:rPr>
          <w:rFonts w:hint="default" w:ascii="Calibri" w:hAnsi="Calibri"/>
          <w:b/>
          <w:bCs/>
          <w:sz w:val="24"/>
          <w:szCs w:val="24"/>
          <w:lang w:val="pt-BR"/>
        </w:rPr>
        <w:t>22</w:t>
      </w:r>
      <w:r>
        <w:rPr>
          <w:rFonts w:ascii="Calibri" w:hAnsi="Calibri"/>
          <w:b/>
          <w:bCs/>
          <w:sz w:val="24"/>
          <w:szCs w:val="24"/>
        </w:rPr>
        <w:t>/</w:t>
      </w:r>
      <w:r>
        <w:rPr>
          <w:rFonts w:ascii="Calibri" w:hAnsi="Calibri"/>
          <w:b/>
          <w:bCs/>
          <w:sz w:val="24"/>
          <w:szCs w:val="24"/>
          <w:lang w:val="pt-BR"/>
        </w:rPr>
        <w:t>08</w:t>
      </w:r>
      <w:r>
        <w:rPr>
          <w:rFonts w:ascii="Calibri" w:hAnsi="Calibri"/>
          <w:b/>
          <w:bCs/>
          <w:sz w:val="24"/>
          <w:szCs w:val="24"/>
        </w:rPr>
        <w:t>/2023.</w:t>
      </w:r>
    </w:p>
    <w:p>
      <w:pPr>
        <w:pStyle w:val="2"/>
        <w:spacing w:before="1" w:after="0"/>
        <w:ind w:right="259"/>
        <w:jc w:val="both"/>
        <w:rPr>
          <w:b/>
          <w:bCs/>
        </w:rPr>
      </w:pPr>
      <w:r>
        <w:rPr>
          <w:rFonts w:ascii="Calibri" w:hAnsi="Calibri"/>
          <w:b/>
          <w:bCs/>
          <w:sz w:val="24"/>
          <w:szCs w:val="24"/>
        </w:rPr>
        <w:t>1.2 – Abertura da sessão: a partir das</w:t>
      </w:r>
      <w:r>
        <w:rPr>
          <w:rFonts w:ascii="Calibri" w:hAnsi="Calibri"/>
          <w:b/>
          <w:bCs/>
          <w:sz w:val="24"/>
          <w:szCs w:val="24"/>
          <w:lang w:val="pt-BR"/>
        </w:rPr>
        <w:t xml:space="preserve"> </w:t>
      </w:r>
      <w:r>
        <w:rPr>
          <w:rFonts w:hint="default" w:ascii="Calibri" w:hAnsi="Calibri"/>
          <w:b/>
          <w:bCs/>
          <w:sz w:val="24"/>
          <w:szCs w:val="24"/>
          <w:lang w:val="pt-BR"/>
        </w:rPr>
        <w:t>8</w:t>
      </w:r>
      <w:r>
        <w:rPr>
          <w:rFonts w:ascii="Calibri" w:hAnsi="Calibri"/>
          <w:b/>
          <w:bCs/>
          <w:sz w:val="24"/>
          <w:szCs w:val="24"/>
          <w:lang w:val="pt-BR"/>
        </w:rPr>
        <w:t>h15min.</w:t>
      </w:r>
      <w:r>
        <w:rPr>
          <w:rFonts w:ascii="Calibri" w:hAnsi="Calibri"/>
          <w:b/>
          <w:bCs/>
          <w:sz w:val="24"/>
          <w:szCs w:val="24"/>
        </w:rPr>
        <w:t xml:space="preserve"> do dia </w:t>
      </w:r>
      <w:r>
        <w:rPr>
          <w:rFonts w:hint="default" w:ascii="Calibri" w:hAnsi="Calibri"/>
          <w:b/>
          <w:bCs/>
          <w:sz w:val="24"/>
          <w:szCs w:val="24"/>
          <w:lang w:val="pt-BR"/>
        </w:rPr>
        <w:t>04</w:t>
      </w:r>
      <w:r>
        <w:rPr>
          <w:rFonts w:ascii="Calibri" w:hAnsi="Calibri"/>
          <w:b/>
          <w:bCs/>
          <w:sz w:val="24"/>
          <w:szCs w:val="24"/>
        </w:rPr>
        <w:t>/</w:t>
      </w:r>
      <w:r>
        <w:rPr>
          <w:rFonts w:ascii="Calibri" w:hAnsi="Calibri"/>
          <w:b/>
          <w:bCs/>
          <w:sz w:val="24"/>
          <w:szCs w:val="24"/>
          <w:lang w:val="pt-BR"/>
        </w:rPr>
        <w:t>0</w:t>
      </w:r>
      <w:r>
        <w:rPr>
          <w:rFonts w:hint="default" w:ascii="Calibri" w:hAnsi="Calibri"/>
          <w:b/>
          <w:bCs/>
          <w:sz w:val="24"/>
          <w:szCs w:val="24"/>
          <w:lang w:val="pt-BR"/>
        </w:rPr>
        <w:t>9</w:t>
      </w:r>
      <w:r>
        <w:rPr>
          <w:rFonts w:ascii="Calibri" w:hAnsi="Calibri"/>
          <w:b/>
          <w:bCs/>
          <w:sz w:val="24"/>
          <w:szCs w:val="24"/>
        </w:rPr>
        <w:t>/2023.</w:t>
      </w:r>
    </w:p>
    <w:p>
      <w:pPr>
        <w:pStyle w:val="2"/>
        <w:spacing w:before="1" w:after="0"/>
        <w:ind w:right="259"/>
        <w:jc w:val="both"/>
        <w:rPr>
          <w:b/>
          <w:bCs/>
        </w:rPr>
      </w:pPr>
      <w:r>
        <w:rPr>
          <w:rFonts w:ascii="Calibri" w:hAnsi="Calibri"/>
          <w:b/>
          <w:bCs/>
          <w:sz w:val="24"/>
          <w:szCs w:val="24"/>
        </w:rPr>
        <w:t xml:space="preserve">1.3 – Início da disputa: a partir das </w:t>
      </w:r>
      <w:r>
        <w:rPr>
          <w:rFonts w:hint="default" w:ascii="Calibri" w:hAnsi="Calibri"/>
          <w:b/>
          <w:bCs/>
          <w:sz w:val="24"/>
          <w:szCs w:val="24"/>
          <w:lang w:val="pt-BR"/>
        </w:rPr>
        <w:t>8</w:t>
      </w:r>
      <w:r>
        <w:rPr>
          <w:rFonts w:ascii="Calibri" w:hAnsi="Calibri"/>
          <w:b/>
          <w:bCs/>
          <w:sz w:val="24"/>
          <w:szCs w:val="24"/>
          <w:lang w:val="pt-BR"/>
        </w:rPr>
        <w:t>h30min.</w:t>
      </w:r>
      <w:r>
        <w:rPr>
          <w:rFonts w:ascii="Calibri" w:hAnsi="Calibri"/>
          <w:b/>
          <w:bCs/>
          <w:sz w:val="24"/>
          <w:szCs w:val="24"/>
        </w:rPr>
        <w:t xml:space="preserve"> do dia </w:t>
      </w:r>
      <w:r>
        <w:rPr>
          <w:rFonts w:hint="default" w:ascii="Calibri" w:hAnsi="Calibri"/>
          <w:b/>
          <w:bCs/>
          <w:sz w:val="24"/>
          <w:szCs w:val="24"/>
          <w:lang w:val="pt-BR"/>
        </w:rPr>
        <w:t>04</w:t>
      </w:r>
      <w:r>
        <w:rPr>
          <w:rFonts w:ascii="Calibri" w:hAnsi="Calibri"/>
          <w:b/>
          <w:bCs/>
          <w:sz w:val="24"/>
          <w:szCs w:val="24"/>
        </w:rPr>
        <w:t>/</w:t>
      </w:r>
      <w:r>
        <w:rPr>
          <w:rFonts w:ascii="Calibri" w:hAnsi="Calibri"/>
          <w:b/>
          <w:bCs/>
          <w:sz w:val="24"/>
          <w:szCs w:val="24"/>
          <w:lang w:val="pt-BR"/>
        </w:rPr>
        <w:t>0</w:t>
      </w:r>
      <w:r>
        <w:rPr>
          <w:rFonts w:hint="default" w:ascii="Calibri" w:hAnsi="Calibri"/>
          <w:b/>
          <w:bCs/>
          <w:sz w:val="24"/>
          <w:szCs w:val="24"/>
          <w:lang w:val="pt-BR"/>
        </w:rPr>
        <w:t>9</w:t>
      </w:r>
      <w:r>
        <w:rPr>
          <w:rFonts w:ascii="Calibri" w:hAnsi="Calibri"/>
          <w:b/>
          <w:bCs/>
          <w:sz w:val="24"/>
          <w:szCs w:val="24"/>
        </w:rPr>
        <w:t>/2023.</w:t>
      </w:r>
    </w:p>
    <w:p>
      <w:pPr>
        <w:pStyle w:val="2"/>
        <w:overflowPunct w:val="0"/>
        <w:bidi w:val="0"/>
        <w:spacing w:before="1" w:after="0"/>
        <w:ind w:left="0" w:right="0" w:firstLine="0"/>
        <w:jc w:val="both"/>
        <w:rPr>
          <w:rFonts w:ascii="Calibri" w:hAnsi="Calibri"/>
          <w:sz w:val="24"/>
          <w:szCs w:val="24"/>
        </w:rPr>
      </w:pPr>
    </w:p>
    <w:p>
      <w:pPr>
        <w:pStyle w:val="2"/>
        <w:overflowPunct w:val="0"/>
        <w:bidi w:val="0"/>
        <w:spacing w:before="1" w:after="0"/>
        <w:ind w:left="0" w:right="0" w:firstLine="0"/>
        <w:jc w:val="both"/>
        <w:rPr>
          <w:rFonts w:ascii="Calibri" w:hAnsi="Calibri"/>
          <w:sz w:val="24"/>
          <w:szCs w:val="24"/>
        </w:rPr>
      </w:pPr>
      <w:r>
        <w:rPr>
          <w:rFonts w:ascii="Calibri" w:hAnsi="Calibri"/>
          <w:b/>
          <w:bCs/>
          <w:sz w:val="24"/>
          <w:szCs w:val="24"/>
        </w:rPr>
        <w:t>1.4 –</w:t>
      </w:r>
      <w:r>
        <w:rPr>
          <w:rFonts w:ascii="Calibri" w:hAnsi="Calibri"/>
          <w:sz w:val="24"/>
          <w:szCs w:val="24"/>
        </w:rPr>
        <w:t xml:space="preserve"> O pregão eletrônico será realizado por meio de disputa à distância em sessão pública, via Sistema Integrado de Licitações do Estado de Santa Catarina (LIC), módulo eletrônico (e-LIC).</w:t>
      </w:r>
    </w:p>
    <w:p>
      <w:pPr>
        <w:pStyle w:val="2"/>
        <w:overflowPunct w:val="0"/>
        <w:bidi w:val="0"/>
        <w:spacing w:before="1" w:after="0"/>
        <w:ind w:left="0" w:right="0" w:firstLine="0"/>
        <w:jc w:val="both"/>
        <w:rPr>
          <w:rFonts w:ascii="Calibri" w:hAnsi="Calibri"/>
          <w:sz w:val="24"/>
          <w:szCs w:val="24"/>
        </w:rPr>
      </w:pPr>
      <w:r>
        <w:rPr>
          <w:rFonts w:ascii="Calibri" w:hAnsi="Calibri"/>
          <w:b/>
          <w:bCs/>
          <w:sz w:val="24"/>
          <w:szCs w:val="24"/>
        </w:rPr>
        <w:t>1.5 –</w:t>
      </w:r>
      <w:r>
        <w:rPr>
          <w:rFonts w:ascii="Calibri" w:hAnsi="Calibri"/>
          <w:sz w:val="24"/>
          <w:szCs w:val="24"/>
        </w:rPr>
        <w:t xml:space="preserve"> Todo e qualquer ato referente ao presente processo licitatório dar-se-á exclusivamente por  meio eletrônico via internet.</w:t>
      </w:r>
    </w:p>
    <w:p>
      <w:pPr>
        <w:pStyle w:val="2"/>
        <w:overflowPunct w:val="0"/>
        <w:bidi w:val="0"/>
        <w:spacing w:before="1" w:after="0"/>
        <w:ind w:left="0" w:right="0" w:firstLine="0"/>
        <w:jc w:val="both"/>
        <w:rPr>
          <w:rFonts w:ascii="Calibri" w:hAnsi="Calibri"/>
          <w:sz w:val="24"/>
          <w:szCs w:val="24"/>
        </w:rPr>
      </w:pPr>
      <w:r>
        <w:rPr>
          <w:rFonts w:ascii="Calibri" w:hAnsi="Calibri"/>
          <w:b/>
          <w:bCs/>
          <w:sz w:val="24"/>
          <w:szCs w:val="24"/>
        </w:rPr>
        <w:t>1.6 –</w:t>
      </w:r>
      <w:r>
        <w:rPr>
          <w:rFonts w:ascii="Calibri" w:hAnsi="Calibri"/>
          <w:sz w:val="24"/>
          <w:szCs w:val="24"/>
        </w:rPr>
        <w:t xml:space="preserve"> A comunicação será realizada utilizando recursos de tecnologia da informação pela Internet, mediante condições de segurança –– criptografia e autenticação – em todas as etapas do certame.</w:t>
      </w:r>
    </w:p>
    <w:p>
      <w:pPr>
        <w:pStyle w:val="2"/>
        <w:overflowPunct w:val="0"/>
        <w:bidi w:val="0"/>
        <w:spacing w:before="1" w:after="0"/>
        <w:ind w:left="0" w:right="0" w:firstLine="0"/>
        <w:jc w:val="both"/>
        <w:rPr>
          <w:rFonts w:ascii="Calibri" w:hAnsi="Calibri"/>
          <w:sz w:val="24"/>
          <w:szCs w:val="24"/>
        </w:rPr>
      </w:pPr>
      <w:r>
        <w:rPr>
          <w:rFonts w:ascii="Calibri" w:hAnsi="Calibri"/>
          <w:b/>
          <w:bCs/>
          <w:sz w:val="24"/>
          <w:szCs w:val="24"/>
        </w:rPr>
        <w:t>1.7 –</w:t>
      </w:r>
      <w:r>
        <w:rPr>
          <w:rFonts w:ascii="Calibri" w:hAnsi="Calibri"/>
          <w:sz w:val="24"/>
          <w:szCs w:val="24"/>
        </w:rPr>
        <w:t xml:space="preserve"> O pregão, na forma eletrônica, será conduzido com apoio técnico e operacional da Secretaria de Estado da Administração, por intermédio da Diretoria de Gestão de Licitações e Contratos - DGLC, que atuará como provedor do Sistema eletrônico para os órgãos integrantes do Sistema de Administração de Gestão de Materiais e Serviços – SAGMS.</w:t>
      </w:r>
    </w:p>
    <w:p>
      <w:pPr>
        <w:pStyle w:val="2"/>
        <w:overflowPunct w:val="0"/>
        <w:bidi w:val="0"/>
        <w:spacing w:before="1" w:after="0"/>
        <w:ind w:left="0" w:right="0" w:firstLine="0"/>
        <w:jc w:val="both"/>
        <w:rPr>
          <w:rFonts w:ascii="Calibri" w:hAnsi="Calibri"/>
          <w:sz w:val="24"/>
          <w:szCs w:val="24"/>
        </w:rPr>
      </w:pPr>
      <w:r>
        <w:rPr>
          <w:rFonts w:ascii="Calibri" w:hAnsi="Calibri"/>
          <w:b/>
          <w:bCs/>
          <w:sz w:val="24"/>
          <w:szCs w:val="24"/>
        </w:rPr>
        <w:t>1.8 –</w:t>
      </w:r>
      <w:r>
        <w:rPr>
          <w:rFonts w:ascii="Calibri" w:hAnsi="Calibri"/>
          <w:sz w:val="24"/>
          <w:szCs w:val="24"/>
        </w:rPr>
        <w:t xml:space="preserve"> Os trabalhos serão conduzidos por servidores de órgão ou entidade vinculado ao Poder Executivo do Estado de Santa Catarina, denominados pregoeiro e equipe de apoio, mediante a inserção e monitoramento de dados gerados ou transferidos para o Sistema LIC, módulo e-LIC, por acesso restrito com login e senha no endereço eletrônico http://e-lic.sc.gov.br.</w:t>
      </w:r>
    </w:p>
    <w:p>
      <w:pPr>
        <w:pStyle w:val="2"/>
        <w:overflowPunct w:val="0"/>
        <w:bidi w:val="0"/>
        <w:spacing w:before="1" w:after="0"/>
        <w:ind w:left="0" w:right="0" w:firstLine="0"/>
        <w:jc w:val="both"/>
        <w:rPr>
          <w:rFonts w:ascii="Calibri" w:hAnsi="Calibri"/>
          <w:sz w:val="24"/>
          <w:szCs w:val="24"/>
        </w:rPr>
      </w:pPr>
      <w:r>
        <w:rPr>
          <w:rFonts w:ascii="Calibri" w:hAnsi="Calibri"/>
          <w:b/>
          <w:bCs/>
          <w:sz w:val="24"/>
          <w:szCs w:val="24"/>
        </w:rPr>
        <w:t>1.9 –</w:t>
      </w:r>
      <w:r>
        <w:rPr>
          <w:rFonts w:ascii="Calibri" w:hAnsi="Calibri"/>
          <w:sz w:val="24"/>
          <w:szCs w:val="24"/>
        </w:rPr>
        <w:t xml:space="preserve"> Todas as referências de tempo no edital, no aviso e durante a sessão pública observarão obrigatoriamente o horário de Brasília – DF e, dessa forma, serão registradas no Sistema eletrônico.</w:t>
      </w:r>
    </w:p>
    <w:p>
      <w:pPr>
        <w:pStyle w:val="2"/>
        <w:overflowPunct w:val="0"/>
        <w:bidi w:val="0"/>
        <w:spacing w:before="1" w:after="0"/>
        <w:ind w:left="0" w:right="0" w:firstLine="0"/>
        <w:jc w:val="both"/>
        <w:rPr>
          <w:rFonts w:ascii="Calibri" w:hAnsi="Calibri"/>
          <w:sz w:val="24"/>
          <w:szCs w:val="24"/>
        </w:rPr>
      </w:pPr>
      <w:r>
        <w:rPr>
          <w:rFonts w:ascii="Calibri" w:hAnsi="Calibri"/>
          <w:b/>
          <w:bCs/>
          <w:sz w:val="24"/>
          <w:szCs w:val="24"/>
        </w:rPr>
        <w:t>1.10 –</w:t>
      </w:r>
      <w:r>
        <w:rPr>
          <w:rFonts w:ascii="Calibri" w:hAnsi="Calibri"/>
          <w:sz w:val="24"/>
          <w:szCs w:val="24"/>
        </w:rPr>
        <w:t xml:space="preserve"> Os documentos relacionados a seguir fazem parte integrante desta licitação:</w:t>
      </w:r>
    </w:p>
    <w:p>
      <w:pPr>
        <w:pStyle w:val="2"/>
        <w:overflowPunct w:val="0"/>
        <w:bidi w:val="0"/>
        <w:spacing w:before="1" w:after="0"/>
        <w:ind w:left="0" w:right="0" w:firstLine="0"/>
        <w:jc w:val="both"/>
        <w:rPr>
          <w:rFonts w:ascii="Calibri" w:hAnsi="Calibri"/>
          <w:sz w:val="24"/>
          <w:szCs w:val="24"/>
        </w:rPr>
      </w:pPr>
      <w:r>
        <w:rPr>
          <w:rFonts w:ascii="Calibri" w:hAnsi="Calibri"/>
          <w:sz w:val="24"/>
          <w:szCs w:val="24"/>
        </w:rPr>
        <w:t>Anexo I – Quadro de quantitativos, especificações mínimas e condições gerais de prestação dos serviços</w:t>
      </w:r>
      <w:r>
        <w:rPr>
          <w:rFonts w:ascii="Calibri" w:hAnsi="Calibri"/>
          <w:sz w:val="24"/>
          <w:szCs w:val="24"/>
          <w:lang w:val="pt-BR"/>
        </w:rPr>
        <w:t>;</w:t>
      </w:r>
      <w:r>
        <w:rPr>
          <w:rFonts w:ascii="Calibri" w:hAnsi="Calibri"/>
          <w:sz w:val="24"/>
          <w:szCs w:val="24"/>
        </w:rPr>
        <w:t xml:space="preserve"> </w:t>
      </w:r>
    </w:p>
    <w:p>
      <w:pPr>
        <w:tabs>
          <w:tab w:val="left" w:pos="2552"/>
        </w:tabs>
        <w:jc w:val="both"/>
        <w:rPr>
          <w:rFonts w:ascii="Calibri" w:hAnsi="Calibri"/>
          <w:sz w:val="24"/>
          <w:szCs w:val="24"/>
        </w:rPr>
      </w:pPr>
      <w:r>
        <w:rPr>
          <w:rFonts w:ascii="Calibri" w:hAnsi="Calibri" w:cs="Calibri"/>
          <w:b w:val="0"/>
          <w:bCs w:val="0"/>
          <w:sz w:val="24"/>
          <w:szCs w:val="24"/>
        </w:rPr>
        <w:t>Anexo I-A –</w:t>
      </w:r>
      <w:r>
        <w:rPr>
          <w:rFonts w:ascii="Calibri" w:hAnsi="Calibri" w:cs="Calibri"/>
          <w:b/>
          <w:bCs/>
          <w:sz w:val="24"/>
          <w:szCs w:val="24"/>
        </w:rPr>
        <w:t xml:space="preserve"> </w:t>
      </w:r>
      <w:r>
        <w:rPr>
          <w:rFonts w:ascii="Calibri" w:hAnsi="Calibri" w:cs="Calibri"/>
          <w:bCs/>
          <w:sz w:val="24"/>
          <w:szCs w:val="24"/>
        </w:rPr>
        <w:t>Distribuição;</w:t>
      </w:r>
    </w:p>
    <w:p>
      <w:pPr>
        <w:pStyle w:val="2"/>
        <w:overflowPunct w:val="0"/>
        <w:bidi w:val="0"/>
        <w:spacing w:before="1" w:after="0"/>
        <w:ind w:left="0" w:right="0" w:firstLine="0"/>
        <w:jc w:val="both"/>
        <w:rPr>
          <w:rFonts w:ascii="Calibri" w:hAnsi="Calibri"/>
          <w:sz w:val="24"/>
          <w:szCs w:val="24"/>
        </w:rPr>
      </w:pPr>
      <w:r>
        <w:rPr>
          <w:rFonts w:ascii="Calibri" w:hAnsi="Calibri"/>
          <w:sz w:val="24"/>
          <w:szCs w:val="24"/>
        </w:rPr>
        <w:t>Anexo II – Modelo de proposta de preços eletrônica</w:t>
      </w:r>
      <w:r>
        <w:rPr>
          <w:rFonts w:ascii="Calibri" w:hAnsi="Calibri"/>
          <w:sz w:val="24"/>
          <w:szCs w:val="24"/>
          <w:lang w:val="pt-BR"/>
        </w:rPr>
        <w:t>;</w:t>
      </w:r>
    </w:p>
    <w:p>
      <w:pPr>
        <w:pStyle w:val="2"/>
        <w:overflowPunct w:val="0"/>
        <w:bidi w:val="0"/>
        <w:spacing w:before="1" w:after="0"/>
        <w:ind w:left="0" w:right="0" w:firstLine="0"/>
        <w:jc w:val="both"/>
        <w:rPr>
          <w:rFonts w:ascii="Calibri" w:hAnsi="Calibri"/>
          <w:sz w:val="24"/>
          <w:szCs w:val="24"/>
        </w:rPr>
      </w:pPr>
      <w:r>
        <w:rPr>
          <w:rFonts w:ascii="Calibri" w:hAnsi="Calibri"/>
          <w:sz w:val="24"/>
          <w:szCs w:val="24"/>
        </w:rPr>
        <w:t xml:space="preserve">Anexo III – </w:t>
      </w:r>
      <w:r>
        <w:rPr>
          <w:rFonts w:ascii="Calibri" w:hAnsi="Calibri" w:eastAsia="NSimSun" w:cs="Lucida Sans"/>
          <w:color w:val="000000"/>
          <w:kern w:val="0"/>
          <w:sz w:val="24"/>
          <w:szCs w:val="24"/>
          <w:lang w:val="pt-BR" w:eastAsia="zh-CN" w:bidi="hi-IN"/>
        </w:rPr>
        <w:t>Modelo de formulário de análise de qualidade técnica</w:t>
      </w:r>
      <w:r>
        <w:rPr>
          <w:rFonts w:ascii="Calibri" w:hAnsi="Calibri"/>
          <w:sz w:val="24"/>
          <w:szCs w:val="24"/>
          <w:lang w:val="pt-BR"/>
        </w:rPr>
        <w:t>;</w:t>
      </w:r>
    </w:p>
    <w:p>
      <w:pPr>
        <w:pStyle w:val="2"/>
        <w:overflowPunct w:val="0"/>
        <w:bidi w:val="0"/>
        <w:spacing w:before="1" w:after="0"/>
        <w:ind w:left="0" w:right="0" w:firstLine="0"/>
        <w:jc w:val="both"/>
        <w:rPr>
          <w:rFonts w:ascii="Calibri" w:hAnsi="Calibri"/>
          <w:sz w:val="24"/>
          <w:szCs w:val="24"/>
        </w:rPr>
      </w:pPr>
      <w:r>
        <w:rPr>
          <w:rFonts w:ascii="Calibri" w:hAnsi="Calibri"/>
          <w:sz w:val="24"/>
          <w:szCs w:val="24"/>
        </w:rPr>
        <w:t xml:space="preserve">Anexo </w:t>
      </w:r>
      <w:r>
        <w:rPr>
          <w:rFonts w:ascii="Calibri" w:hAnsi="Calibri"/>
          <w:sz w:val="24"/>
          <w:szCs w:val="24"/>
          <w:lang w:val="pt-BR"/>
        </w:rPr>
        <w:t>IV</w:t>
      </w:r>
      <w:r>
        <w:rPr>
          <w:rFonts w:ascii="Calibri" w:hAnsi="Calibri"/>
          <w:sz w:val="24"/>
          <w:szCs w:val="24"/>
        </w:rPr>
        <w:t xml:space="preserve"> – Minuta da </w:t>
      </w:r>
      <w:r>
        <w:rPr>
          <w:rFonts w:ascii="Calibri" w:hAnsi="Calibri" w:eastAsia="NSimSun" w:cs="Lucida Sans"/>
          <w:color w:val="000000"/>
          <w:kern w:val="0"/>
          <w:sz w:val="24"/>
          <w:szCs w:val="24"/>
          <w:lang w:val="pt-BR" w:eastAsia="zh-CN" w:bidi="hi-IN"/>
        </w:rPr>
        <w:t>Ata de Registro de Preços</w:t>
      </w:r>
      <w:r>
        <w:rPr>
          <w:rFonts w:ascii="Calibri" w:hAnsi="Calibri"/>
          <w:sz w:val="24"/>
          <w:szCs w:val="24"/>
        </w:rPr>
        <w:t>.</w:t>
      </w:r>
    </w:p>
    <w:p>
      <w:pPr>
        <w:pStyle w:val="2"/>
        <w:overflowPunct w:val="0"/>
        <w:bidi w:val="0"/>
        <w:spacing w:before="1" w:after="0"/>
        <w:ind w:left="0" w:right="0" w:firstLine="0"/>
        <w:jc w:val="both"/>
        <w:rPr>
          <w:rFonts w:ascii="Calibri" w:hAnsi="Calibri"/>
          <w:sz w:val="24"/>
          <w:szCs w:val="24"/>
        </w:rPr>
      </w:pPr>
    </w:p>
    <w:p>
      <w:pPr>
        <w:pStyle w:val="2"/>
        <w:overflowPunct w:val="0"/>
        <w:bidi w:val="0"/>
        <w:spacing w:before="1" w:after="0"/>
        <w:ind w:left="0" w:right="0" w:firstLine="0"/>
        <w:jc w:val="both"/>
        <w:rPr>
          <w:rFonts w:ascii="Calibri" w:hAnsi="Calibri"/>
          <w:sz w:val="24"/>
          <w:szCs w:val="24"/>
        </w:rPr>
      </w:pPr>
      <w:r>
        <w:rPr>
          <w:rFonts w:ascii="Calibri" w:hAnsi="Calibri"/>
          <w:b/>
          <w:bCs/>
          <w:sz w:val="24"/>
          <w:szCs w:val="24"/>
        </w:rPr>
        <w:t>2</w:t>
      </w:r>
      <w:r>
        <w:rPr>
          <w:rFonts w:ascii="Calibri" w:hAnsi="Calibri"/>
          <w:b/>
          <w:bCs/>
          <w:sz w:val="24"/>
          <w:szCs w:val="24"/>
          <w:lang w:val="pt-BR"/>
        </w:rPr>
        <w:t xml:space="preserve"> </w:t>
      </w:r>
      <w:r>
        <w:rPr>
          <w:rFonts w:ascii="Calibri" w:hAnsi="Calibri"/>
          <w:b/>
          <w:bCs/>
          <w:sz w:val="24"/>
          <w:szCs w:val="24"/>
        </w:rPr>
        <w:t>– DA LICITAÇÃO</w:t>
      </w:r>
    </w:p>
    <w:p>
      <w:pPr>
        <w:pStyle w:val="2"/>
        <w:overflowPunct w:val="0"/>
        <w:bidi w:val="0"/>
        <w:spacing w:before="1" w:after="0"/>
        <w:ind w:left="0" w:right="0" w:firstLine="0"/>
        <w:jc w:val="both"/>
        <w:rPr>
          <w:rFonts w:ascii="Calibri" w:hAnsi="Calibri"/>
          <w:sz w:val="24"/>
          <w:szCs w:val="24"/>
        </w:rPr>
      </w:pPr>
      <w:r>
        <w:rPr>
          <w:rFonts w:ascii="Calibri" w:hAnsi="Calibri"/>
          <w:b/>
          <w:bCs/>
          <w:sz w:val="24"/>
          <w:szCs w:val="24"/>
        </w:rPr>
        <w:t>2.1 – Do Objeto</w:t>
      </w:r>
    </w:p>
    <w:p>
      <w:pPr>
        <w:pStyle w:val="2"/>
        <w:overflowPunct w:val="0"/>
        <w:bidi w:val="0"/>
        <w:spacing w:before="1" w:after="0"/>
        <w:ind w:left="0" w:right="0" w:firstLine="0"/>
        <w:jc w:val="both"/>
        <w:rPr>
          <w:rFonts w:ascii="Calibri" w:hAnsi="Calibri"/>
          <w:sz w:val="24"/>
          <w:szCs w:val="24"/>
        </w:rPr>
      </w:pPr>
      <w:r>
        <w:rPr>
          <w:rFonts w:ascii="Calibri" w:hAnsi="Calibri"/>
          <w:b/>
          <w:bCs/>
          <w:sz w:val="24"/>
          <w:szCs w:val="24"/>
        </w:rPr>
        <w:t>2.1.1 –</w:t>
      </w:r>
      <w:r>
        <w:rPr>
          <w:rFonts w:ascii="Calibri" w:hAnsi="Calibri"/>
          <w:sz w:val="24"/>
          <w:szCs w:val="24"/>
        </w:rPr>
        <w:t xml:space="preserve"> A presente licitação destina-se a selecionar proposta objetivando </w:t>
      </w:r>
      <w:r>
        <w:rPr>
          <w:rFonts w:ascii="Calibri" w:hAnsi="Calibri"/>
          <w:sz w:val="24"/>
          <w:szCs w:val="24"/>
          <w:lang w:val="pt-BR"/>
        </w:rPr>
        <w:t xml:space="preserve">a </w:t>
      </w:r>
      <w:r>
        <w:rPr>
          <w:rFonts w:ascii="Calibri" w:hAnsi="Calibri"/>
          <w:b/>
          <w:bCs/>
          <w:sz w:val="24"/>
          <w:szCs w:val="24"/>
          <w:lang w:val="pt-BR"/>
        </w:rPr>
        <w:t>a</w:t>
      </w:r>
      <w:r>
        <w:rPr>
          <w:rFonts w:ascii="Calibri" w:hAnsi="Calibri" w:cs="Calibri"/>
          <w:b/>
          <w:bCs/>
          <w:sz w:val="24"/>
          <w:szCs w:val="24"/>
          <w:lang w:val="pt-BR"/>
        </w:rPr>
        <w:t>quisição</w:t>
      </w:r>
      <w:r>
        <w:rPr>
          <w:rFonts w:ascii="Calibri" w:hAnsi="Calibri"/>
          <w:b/>
          <w:bCs/>
          <w:sz w:val="24"/>
          <w:szCs w:val="24"/>
        </w:rPr>
        <w:t xml:space="preserve"> </w:t>
      </w:r>
      <w:r>
        <w:rPr>
          <w:rFonts w:ascii="Calibri" w:hAnsi="Calibri"/>
          <w:b/>
          <w:bCs/>
          <w:sz w:val="24"/>
          <w:szCs w:val="24"/>
          <w:lang w:val="pt-BR"/>
        </w:rPr>
        <w:t xml:space="preserve">de </w:t>
      </w:r>
      <w:r>
        <w:rPr>
          <w:rFonts w:ascii="Calibri" w:hAnsi="Calibri" w:eastAsia="SimSun" w:cs="Calibri"/>
          <w:b/>
          <w:bCs/>
          <w:color w:val="000000"/>
          <w:sz w:val="24"/>
          <w:szCs w:val="24"/>
          <w:lang w:val="pt-BR" w:eastAsia="zh-CN" w:bidi="ar-SA"/>
        </w:rPr>
        <w:t>itens de nutrição</w:t>
      </w:r>
      <w:r>
        <w:rPr>
          <w:rFonts w:ascii="Calibri" w:hAnsi="Calibri"/>
          <w:sz w:val="24"/>
          <w:szCs w:val="24"/>
        </w:rPr>
        <w:t>, conforme especificações, quantitativos e condições estabelecidas e previstas neste edital e seus Anexos.</w:t>
      </w:r>
    </w:p>
    <w:p>
      <w:pPr>
        <w:pStyle w:val="2"/>
        <w:spacing w:before="1" w:after="0"/>
        <w:ind w:right="259"/>
        <w:jc w:val="both"/>
        <w:rPr>
          <w:rFonts w:ascii="Calibri" w:hAnsi="Calibri"/>
        </w:rPr>
      </w:pPr>
      <w:r>
        <w:rPr>
          <w:rFonts w:ascii="Calibri" w:hAnsi="Calibri"/>
          <w:b/>
          <w:bCs/>
        </w:rPr>
        <w:t xml:space="preserve">2.2 – </w:t>
      </w:r>
      <w:r>
        <w:rPr>
          <w:rFonts w:ascii="Calibri" w:hAnsi="Calibri"/>
        </w:rPr>
        <w:t xml:space="preserve">Do Convênio ICMS nº 26/03 </w:t>
      </w:r>
    </w:p>
    <w:p>
      <w:pPr>
        <w:pStyle w:val="2"/>
        <w:spacing w:before="1" w:after="0"/>
        <w:ind w:right="259"/>
        <w:jc w:val="both"/>
        <w:rPr>
          <w:rFonts w:ascii="Calibri" w:hAnsi="Calibri"/>
        </w:rPr>
      </w:pPr>
      <w:r>
        <w:rPr>
          <w:rFonts w:ascii="Calibri" w:hAnsi="Calibri"/>
          <w:b/>
          <w:bCs/>
        </w:rPr>
        <w:t xml:space="preserve">2.2.1 – </w:t>
      </w:r>
      <w:r>
        <w:rPr>
          <w:rFonts w:ascii="Calibri" w:hAnsi="Calibri"/>
        </w:rPr>
        <w:t>De acordo com o Convênio ICMS nº 26/03, aprovado pelo CONFAZ – Conselho Nacional de Política Fazendária, o benefício da isenção do ICMS às empresas catarinenses está condicionado ao desconto no preço ao valor equivalente ao imposto dispensado e a indicação do valor do desconto no respectivo documento fiscal de venda ou prestação de serviços; e à comprovação de inexistência de similar produzido no país, na hipótese de qualquer operação com mercadorias importadas do exterior, conforme previsto no parágrafo 1º da Cláusula Primeira do Convênio CONFAZ nº 26/2003, ficando ressalvadas as hipóteses em que a isenção mencionada não se aplica, nos termos previstos no Decreto Estadual nº 255, de 21/05/2003.</w:t>
      </w:r>
    </w:p>
    <w:p>
      <w:pPr>
        <w:pStyle w:val="2"/>
        <w:spacing w:before="1" w:after="0"/>
        <w:ind w:right="259"/>
        <w:jc w:val="both"/>
        <w:rPr>
          <w:rFonts w:ascii="Calibri" w:hAnsi="Calibri"/>
        </w:rPr>
      </w:pPr>
      <w:r>
        <w:rPr>
          <w:rFonts w:ascii="Calibri" w:hAnsi="Calibri"/>
          <w:b/>
          <w:bCs/>
        </w:rPr>
        <w:t>2.2.2 –</w:t>
      </w:r>
      <w:r>
        <w:rPr>
          <w:rFonts w:ascii="Calibri" w:hAnsi="Calibri"/>
        </w:rPr>
        <w:t xml:space="preserve"> Nos termos do Convênio ICMS 26/03, por se tratar de operação interna relativa à aquisição de bens, as licitantes beneficiadas com a respectiva isenção fiscal devem apresentar as suas propostas de preços já com o valor líquido, ou seja, sem a carga tributária do ICMS.</w:t>
      </w:r>
    </w:p>
    <w:p>
      <w:pPr>
        <w:pStyle w:val="2"/>
        <w:spacing w:before="1" w:after="0"/>
        <w:ind w:right="259"/>
        <w:jc w:val="both"/>
        <w:rPr>
          <w:rFonts w:ascii="Calibri" w:hAnsi="Calibri"/>
        </w:rPr>
      </w:pPr>
      <w:r>
        <w:rPr>
          <w:rFonts w:ascii="Calibri" w:hAnsi="Calibri"/>
          <w:b/>
          <w:bCs/>
        </w:rPr>
        <w:t>2.2.3 –</w:t>
      </w:r>
      <w:r>
        <w:rPr>
          <w:rFonts w:ascii="Calibri" w:hAnsi="Calibri"/>
        </w:rPr>
        <w:t xml:space="preserve"> Nos casos em que for aplicável a isenção do ICMS, o licitante deverá, obrigatoriamente, informar a respectiva alíquota via comunicação “CHAT”, caso seja o primeiro colocado, depois de encerrada a disputa de lances.</w:t>
      </w:r>
    </w:p>
    <w:p>
      <w:pPr>
        <w:pStyle w:val="2"/>
        <w:spacing w:before="1" w:after="0"/>
        <w:ind w:right="259"/>
        <w:jc w:val="both"/>
        <w:rPr>
          <w:rFonts w:ascii="Calibri" w:hAnsi="Calibri"/>
        </w:rPr>
      </w:pPr>
      <w:r>
        <w:rPr>
          <w:rFonts w:ascii="Calibri" w:hAnsi="Calibri"/>
          <w:b/>
          <w:bCs/>
        </w:rPr>
        <w:t>2.2.4 –</w:t>
      </w:r>
      <w:r>
        <w:rPr>
          <w:rFonts w:ascii="Calibri" w:hAnsi="Calibri"/>
        </w:rPr>
        <w:t xml:space="preserve"> A isenção supracitada não se aplica a licitante vencedora, quando:</w:t>
      </w:r>
    </w:p>
    <w:p>
      <w:pPr>
        <w:pStyle w:val="2"/>
        <w:spacing w:before="1" w:after="0"/>
        <w:ind w:right="259"/>
        <w:jc w:val="both"/>
        <w:rPr>
          <w:rFonts w:ascii="Calibri" w:hAnsi="Calibri"/>
        </w:rPr>
      </w:pPr>
      <w:r>
        <w:rPr>
          <w:rFonts w:ascii="Calibri" w:hAnsi="Calibri"/>
        </w:rPr>
        <w:t>a) saída promovida por contribuinte enquadrado no simples nacional;</w:t>
      </w:r>
    </w:p>
    <w:p>
      <w:pPr>
        <w:pStyle w:val="2"/>
        <w:spacing w:before="1" w:after="0"/>
        <w:ind w:right="259"/>
        <w:jc w:val="both"/>
        <w:rPr>
          <w:rFonts w:ascii="Calibri" w:hAnsi="Calibri"/>
        </w:rPr>
      </w:pPr>
      <w:r>
        <w:rPr>
          <w:rFonts w:ascii="Calibri" w:hAnsi="Calibri"/>
        </w:rPr>
        <w:t>b) saída de bens ou mercadorias sujeitas ao regime de substituição tributária;</w:t>
      </w:r>
    </w:p>
    <w:p>
      <w:pPr>
        <w:pStyle w:val="2"/>
        <w:spacing w:before="1" w:after="0"/>
        <w:ind w:right="259"/>
        <w:jc w:val="both"/>
      </w:pPr>
      <w:r>
        <w:rPr>
          <w:rFonts w:ascii="Calibri" w:hAnsi="Calibri"/>
          <w:b/>
          <w:bCs/>
        </w:rPr>
        <w:t>2.2.5 –</w:t>
      </w:r>
      <w:r>
        <w:rPr>
          <w:rFonts w:ascii="Calibri" w:hAnsi="Calibri"/>
        </w:rPr>
        <w:t xml:space="preserve"> Eventuais dúvidas quanto ao benefício citado podem ser dirimidas junto a qualquer das Gerências Regionais da Fazenda Estadual – GERG, da Diretoria de Administração Tributária – DIAT, da Secretaria de Estado da Fazenda ou, ainda, no site www.sef.sc.gov.br.</w:t>
      </w:r>
    </w:p>
    <w:p>
      <w:pPr>
        <w:pStyle w:val="2"/>
        <w:overflowPunct w:val="0"/>
        <w:bidi w:val="0"/>
        <w:spacing w:before="1" w:after="0"/>
        <w:ind w:left="0" w:right="0" w:firstLine="0"/>
        <w:jc w:val="both"/>
        <w:rPr>
          <w:rFonts w:ascii="Calibri" w:hAnsi="Calibri"/>
          <w:sz w:val="24"/>
          <w:szCs w:val="24"/>
        </w:rPr>
      </w:pPr>
      <w:r>
        <w:rPr>
          <w:rFonts w:ascii="Calibri" w:hAnsi="Calibri"/>
          <w:b/>
          <w:bCs/>
          <w:sz w:val="24"/>
          <w:szCs w:val="24"/>
        </w:rPr>
        <w:t>2.</w:t>
      </w:r>
      <w:r>
        <w:rPr>
          <w:rFonts w:hint="default" w:ascii="Calibri" w:hAnsi="Calibri"/>
          <w:b/>
          <w:bCs/>
          <w:sz w:val="24"/>
          <w:szCs w:val="24"/>
          <w:lang w:val="pt-BR"/>
        </w:rPr>
        <w:t>3</w:t>
      </w:r>
      <w:r>
        <w:rPr>
          <w:rFonts w:ascii="Calibri" w:hAnsi="Calibri"/>
          <w:b/>
          <w:bCs/>
          <w:sz w:val="24"/>
          <w:szCs w:val="24"/>
        </w:rPr>
        <w:t xml:space="preserve"> –</w:t>
      </w:r>
      <w:r>
        <w:rPr>
          <w:rFonts w:ascii="Calibri" w:hAnsi="Calibri"/>
          <w:sz w:val="24"/>
          <w:szCs w:val="24"/>
        </w:rPr>
        <w:t xml:space="preserve"> Da Execução da Licitação</w:t>
      </w:r>
    </w:p>
    <w:p>
      <w:pPr>
        <w:pStyle w:val="2"/>
        <w:overflowPunct w:val="0"/>
        <w:bidi w:val="0"/>
        <w:spacing w:before="1" w:after="0"/>
        <w:ind w:left="0" w:right="0" w:firstLine="0"/>
        <w:jc w:val="both"/>
        <w:rPr>
          <w:rFonts w:ascii="Calibri" w:hAnsi="Calibri"/>
          <w:sz w:val="24"/>
          <w:szCs w:val="24"/>
        </w:rPr>
      </w:pPr>
      <w:r>
        <w:rPr>
          <w:rFonts w:ascii="Calibri" w:hAnsi="Calibri"/>
          <w:b/>
          <w:bCs/>
          <w:sz w:val="24"/>
          <w:szCs w:val="24"/>
        </w:rPr>
        <w:t>2.</w:t>
      </w:r>
      <w:r>
        <w:rPr>
          <w:rFonts w:hint="default" w:ascii="Calibri" w:hAnsi="Calibri"/>
          <w:b/>
          <w:bCs/>
          <w:sz w:val="24"/>
          <w:szCs w:val="24"/>
          <w:lang w:val="pt-BR"/>
        </w:rPr>
        <w:t>3</w:t>
      </w:r>
      <w:r>
        <w:rPr>
          <w:rFonts w:ascii="Calibri" w:hAnsi="Calibri"/>
          <w:b/>
          <w:bCs/>
          <w:sz w:val="24"/>
          <w:szCs w:val="24"/>
        </w:rPr>
        <w:t xml:space="preserve">.1 – </w:t>
      </w:r>
      <w:r>
        <w:rPr>
          <w:rFonts w:ascii="Calibri" w:hAnsi="Calibri"/>
          <w:sz w:val="24"/>
          <w:szCs w:val="24"/>
        </w:rPr>
        <w:t xml:space="preserve">O processamento da licitação pela Secretaria de Estado da Saúde/ Diretoria de </w:t>
      </w:r>
      <w:r>
        <w:rPr>
          <w:rFonts w:ascii="Calibri" w:hAnsi="Calibri" w:eastAsia="NSimSun" w:cs="Lucida Sans"/>
          <w:color w:val="000000"/>
          <w:kern w:val="0"/>
          <w:sz w:val="24"/>
          <w:szCs w:val="24"/>
          <w:lang w:val="pt-BR" w:eastAsia="zh-CN" w:bidi="hi-IN"/>
        </w:rPr>
        <w:t>Licitações e Contratos</w:t>
      </w:r>
      <w:r>
        <w:rPr>
          <w:rFonts w:ascii="Calibri" w:hAnsi="Calibri"/>
          <w:sz w:val="24"/>
          <w:szCs w:val="24"/>
        </w:rPr>
        <w:t xml:space="preserve"> – DLIC, será na qualidade de Interveniente Promotora, destinando-se o objeto licitado a atender às necessidades d</w:t>
      </w:r>
      <w:r>
        <w:rPr>
          <w:rFonts w:ascii="Calibri" w:hAnsi="Calibri" w:eastAsia="NSimSun" w:cs="Lucida Sans"/>
          <w:b w:val="0"/>
          <w:bCs w:val="0"/>
          <w:color w:val="000000"/>
          <w:kern w:val="0"/>
          <w:sz w:val="24"/>
          <w:szCs w:val="24"/>
          <w:lang w:val="pt-BR" w:eastAsia="zh-CN" w:bidi="hi-IN"/>
        </w:rPr>
        <w:t>a Gerência de Bens Regulares (GEBER), Gerência de Bens Judiciais (GEJUD) e Diretoria de Assistência Farmacêutica (DIAF)</w:t>
      </w:r>
      <w:r>
        <w:rPr>
          <w:rFonts w:ascii="Calibri" w:hAnsi="Calibri" w:eastAsia="NSimSun" w:cs="Calibri"/>
          <w:b w:val="0"/>
          <w:bCs w:val="0"/>
          <w:color w:val="000000"/>
          <w:kern w:val="0"/>
          <w:sz w:val="24"/>
          <w:szCs w:val="24"/>
          <w:lang w:val="pt-BR" w:eastAsia="zh-CN" w:bidi="hi-IN"/>
        </w:rPr>
        <w:t>.</w:t>
      </w:r>
    </w:p>
    <w:p>
      <w:pPr>
        <w:pStyle w:val="2"/>
        <w:overflowPunct w:val="0"/>
        <w:bidi w:val="0"/>
        <w:spacing w:before="1" w:after="0"/>
        <w:ind w:left="0" w:right="0" w:firstLine="0"/>
        <w:jc w:val="both"/>
        <w:rPr>
          <w:rFonts w:ascii="Calibri" w:hAnsi="Calibri" w:eastAsia="NSimSun" w:cs="Lucida Sans"/>
          <w:b/>
          <w:bCs/>
          <w:color w:val="FF0000"/>
          <w:kern w:val="0"/>
          <w:sz w:val="24"/>
          <w:szCs w:val="24"/>
          <w:lang w:val="pt-BR" w:eastAsia="zh-CN" w:bidi="hi-IN"/>
        </w:rPr>
      </w:pP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w:t>
      </w:r>
      <w:r>
        <w:rPr>
          <w:rFonts w:ascii="Calibri" w:hAnsi="Calibri" w:cs="Lucida Sans"/>
          <w:b/>
          <w:bCs/>
          <w:color w:val="000000"/>
          <w:kern w:val="0"/>
          <w:sz w:val="24"/>
          <w:szCs w:val="24"/>
          <w:lang w:val="pt-BR" w:eastAsia="zh-CN" w:bidi="hi-IN"/>
        </w:rPr>
        <w:t xml:space="preserve"> </w:t>
      </w:r>
      <w:r>
        <w:rPr>
          <w:rFonts w:ascii="Calibri" w:hAnsi="Calibri" w:eastAsia="NSimSun" w:cs="Lucida Sans"/>
          <w:b/>
          <w:bCs/>
          <w:color w:val="000000"/>
          <w:kern w:val="0"/>
          <w:sz w:val="24"/>
          <w:szCs w:val="24"/>
          <w:lang w:val="pt-BR" w:eastAsia="zh-CN" w:bidi="hi-IN"/>
        </w:rPr>
        <w:t>– DAS CONDIÇÕES DE PARTICIPAÇÃO</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3.1 –</w:t>
      </w:r>
      <w:r>
        <w:rPr>
          <w:rFonts w:ascii="Calibri" w:hAnsi="Calibri" w:eastAsia="NSimSun" w:cs="Lucida Sans"/>
          <w:b w:val="0"/>
          <w:bCs w:val="0"/>
          <w:color w:val="000000"/>
          <w:kern w:val="0"/>
          <w:sz w:val="24"/>
          <w:szCs w:val="24"/>
          <w:lang w:val="pt-BR" w:eastAsia="zh-CN" w:bidi="hi-IN"/>
        </w:rPr>
        <w:t xml:space="preserve"> Poderão participar desta licitação as empresas interessados que atenderem às exigências estabelecidas neste Edital.</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3.2 –</w:t>
      </w:r>
      <w:r>
        <w:rPr>
          <w:rFonts w:ascii="Calibri" w:hAnsi="Calibri" w:eastAsia="NSimSun" w:cs="Lucida Sans"/>
          <w:b w:val="0"/>
          <w:bCs w:val="0"/>
          <w:color w:val="000000"/>
          <w:kern w:val="0"/>
          <w:sz w:val="24"/>
          <w:szCs w:val="24"/>
          <w:lang w:val="pt-BR" w:eastAsia="zh-CN" w:bidi="hi-IN"/>
        </w:rPr>
        <w:t xml:space="preserve"> Não poderão disputar essa licitação: aquele que não atenda às condições deste Edital e seu(s) anexo(s);</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3.2.</w:t>
      </w:r>
      <w:r>
        <w:rPr>
          <w:rFonts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 xml:space="preserve">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autor do anteprojeto, do projeto básico ou do projeto executivo, pessoa física ou jurídica, quando a licitação versar sobre serviços ou fornecimento de bens a ele relacionados;</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3.2.</w:t>
      </w:r>
      <w:r>
        <w:rPr>
          <w:rFonts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 xml:space="preserve">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3.2.</w:t>
      </w:r>
      <w:r>
        <w:rPr>
          <w:rFonts w:ascii="Calibri" w:hAnsi="Calibri" w:cs="Lucida Sans"/>
          <w:b/>
          <w:bCs/>
          <w:color w:val="000000"/>
          <w:kern w:val="0"/>
          <w:sz w:val="24"/>
          <w:szCs w:val="24"/>
          <w:lang w:val="pt-BR" w:eastAsia="zh-CN" w:bidi="hi-IN"/>
        </w:rPr>
        <w:t>3</w:t>
      </w:r>
      <w:r>
        <w:rPr>
          <w:rFonts w:ascii="Calibri" w:hAnsi="Calibri" w:eastAsia="NSimSun" w:cs="Lucida Sans"/>
          <w:b/>
          <w:bCs/>
          <w:color w:val="000000"/>
          <w:kern w:val="0"/>
          <w:sz w:val="24"/>
          <w:szCs w:val="24"/>
          <w:lang w:val="pt-BR" w:eastAsia="zh-CN" w:bidi="hi-IN"/>
        </w:rPr>
        <w:t xml:space="preserve">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pessoa física ou jurídica que se encontre, ao tempo da licitação, impossibilitada de participar da licitação em decorrência de sanção que lhe foi imposta;</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3.2.</w:t>
      </w:r>
      <w:r>
        <w:rPr>
          <w:rFonts w:ascii="Calibri" w:hAnsi="Calibri" w:cs="Lucida Sans"/>
          <w:b/>
          <w:bCs/>
          <w:color w:val="000000"/>
          <w:kern w:val="0"/>
          <w:sz w:val="24"/>
          <w:szCs w:val="24"/>
          <w:lang w:val="pt-BR" w:eastAsia="zh-CN" w:bidi="hi-IN"/>
        </w:rPr>
        <w:t xml:space="preserve">4 </w:t>
      </w:r>
      <w:r>
        <w:rPr>
          <w:rFonts w:ascii="Calibri" w:hAnsi="Calibri" w:eastAsia="NSimSun" w:cs="Lucida Sans"/>
          <w:b/>
          <w:bCs/>
          <w:color w:val="000000"/>
          <w:kern w:val="0"/>
          <w:sz w:val="24"/>
          <w:szCs w:val="24"/>
          <w:lang w:val="pt-BR" w:eastAsia="zh-CN" w:bidi="hi-IN"/>
        </w:rPr>
        <w:t>–</w:t>
      </w:r>
      <w:r>
        <w:rPr>
          <w:rFonts w:ascii="Calibri" w:hAnsi="Calibri" w:eastAsia="NSimSun" w:cs="Lucida Sans"/>
          <w:b w:val="0"/>
          <w:bCs w:val="0"/>
          <w:color w:val="000000"/>
          <w:kern w:val="0"/>
          <w:sz w:val="24"/>
          <w:szCs w:val="24"/>
          <w:lang w:val="pt-BR" w:eastAsia="zh-CN" w:bidi="hi-IN"/>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3.2.</w:t>
      </w:r>
      <w:r>
        <w:rPr>
          <w:rFonts w:ascii="Calibri" w:hAnsi="Calibri" w:cs="Lucida Sans"/>
          <w:b/>
          <w:bCs/>
          <w:color w:val="000000"/>
          <w:kern w:val="0"/>
          <w:sz w:val="24"/>
          <w:szCs w:val="24"/>
          <w:lang w:val="pt-BR" w:eastAsia="zh-CN" w:bidi="hi-IN"/>
        </w:rPr>
        <w:t xml:space="preserve">5 </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empresas controladoras, controladas ou coligadas, nos termos da Lei nº 6.404, de 15 de dezembro de 1976, concorrendo entre si;</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3.2.</w:t>
      </w:r>
      <w:r>
        <w:rPr>
          <w:rFonts w:ascii="Calibri" w:hAnsi="Calibri" w:cs="Lucida Sans"/>
          <w:b/>
          <w:bCs/>
          <w:color w:val="000000"/>
          <w:kern w:val="0"/>
          <w:sz w:val="24"/>
          <w:szCs w:val="24"/>
          <w:lang w:val="pt-BR" w:eastAsia="zh-CN" w:bidi="hi-IN"/>
        </w:rPr>
        <w:t>6</w:t>
      </w:r>
      <w:r>
        <w:rPr>
          <w:rFonts w:ascii="Calibri" w:hAnsi="Calibri" w:eastAsia="NSimSun" w:cs="Lucida Sans"/>
          <w:b/>
          <w:bCs/>
          <w:color w:val="000000"/>
          <w:kern w:val="0"/>
          <w:sz w:val="24"/>
          <w:szCs w:val="24"/>
          <w:lang w:val="pt-BR" w:eastAsia="zh-CN" w:bidi="hi-IN"/>
        </w:rPr>
        <w:t xml:space="preserve"> – </w:t>
      </w:r>
      <w:r>
        <w:rPr>
          <w:rFonts w:ascii="Calibri" w:hAnsi="Calibri" w:eastAsia="NSimSun" w:cs="Lucida Sans"/>
          <w:b w:val="0"/>
          <w:bCs w:val="0"/>
          <w:color w:val="000000"/>
          <w:kern w:val="0"/>
          <w:sz w:val="24"/>
          <w:szCs w:val="24"/>
          <w:lang w:val="pt-BR" w:eastAsia="zh-CN" w:bidi="hi-IN"/>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3.2.</w:t>
      </w:r>
      <w:r>
        <w:rPr>
          <w:rFonts w:ascii="Calibri" w:hAnsi="Calibri" w:cs="Lucida Sans"/>
          <w:b/>
          <w:bCs/>
          <w:color w:val="000000"/>
          <w:kern w:val="0"/>
          <w:sz w:val="24"/>
          <w:szCs w:val="24"/>
          <w:lang w:val="pt-BR" w:eastAsia="zh-CN" w:bidi="hi-IN"/>
        </w:rPr>
        <w:t>7</w:t>
      </w:r>
      <w:r>
        <w:rPr>
          <w:rFonts w:ascii="Calibri" w:hAnsi="Calibri" w:eastAsia="NSimSun" w:cs="Lucida Sans"/>
          <w:b/>
          <w:bCs/>
          <w:color w:val="000000"/>
          <w:kern w:val="0"/>
          <w:sz w:val="24"/>
          <w:szCs w:val="24"/>
          <w:lang w:val="pt-BR" w:eastAsia="zh-CN" w:bidi="hi-IN"/>
        </w:rPr>
        <w:t xml:space="preserve"> – </w:t>
      </w:r>
      <w:r>
        <w:rPr>
          <w:rFonts w:ascii="Calibri" w:hAnsi="Calibri" w:eastAsia="NSimSun" w:cs="Lucida Sans"/>
          <w:b w:val="0"/>
          <w:bCs w:val="0"/>
          <w:color w:val="000000"/>
          <w:kern w:val="0"/>
          <w:sz w:val="24"/>
          <w:szCs w:val="24"/>
          <w:lang w:val="pt-BR" w:eastAsia="zh-CN" w:bidi="hi-IN"/>
        </w:rPr>
        <w:t>agente público do órgão ou entidade licitante;</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3.2.</w:t>
      </w:r>
      <w:r>
        <w:rPr>
          <w:rFonts w:ascii="Calibri" w:hAnsi="Calibri" w:cs="Lucida Sans"/>
          <w:b/>
          <w:bCs/>
          <w:color w:val="000000"/>
          <w:kern w:val="0"/>
          <w:sz w:val="24"/>
          <w:szCs w:val="24"/>
          <w:lang w:val="pt-BR" w:eastAsia="zh-CN" w:bidi="hi-IN"/>
        </w:rPr>
        <w:t>8</w:t>
      </w:r>
      <w:r>
        <w:rPr>
          <w:rFonts w:ascii="Calibri" w:hAnsi="Calibri" w:eastAsia="NSimSun" w:cs="Lucida Sans"/>
          <w:b/>
          <w:bCs/>
          <w:color w:val="000000"/>
          <w:kern w:val="0"/>
          <w:sz w:val="24"/>
          <w:szCs w:val="24"/>
          <w:lang w:val="pt-BR" w:eastAsia="zh-CN" w:bidi="hi-IN"/>
        </w:rPr>
        <w:t xml:space="preserve">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Organizações da Sociedade Civil de Interesse Público – OSCIP, atuando nessa condição;</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3.2.</w:t>
      </w:r>
      <w:r>
        <w:rPr>
          <w:rFonts w:ascii="Calibri" w:hAnsi="Calibri" w:cs="Lucida Sans"/>
          <w:b/>
          <w:bCs/>
          <w:color w:val="000000"/>
          <w:kern w:val="0"/>
          <w:sz w:val="24"/>
          <w:szCs w:val="24"/>
          <w:lang w:val="pt-BR" w:eastAsia="zh-CN" w:bidi="hi-IN"/>
        </w:rPr>
        <w:t>9</w:t>
      </w:r>
      <w:r>
        <w:rPr>
          <w:rFonts w:ascii="Calibri" w:hAnsi="Calibri" w:eastAsia="NSimSun" w:cs="Lucida Sans"/>
          <w:b/>
          <w:bCs/>
          <w:color w:val="000000"/>
          <w:kern w:val="0"/>
          <w:sz w:val="24"/>
          <w:szCs w:val="24"/>
          <w:lang w:val="pt-BR" w:eastAsia="zh-CN" w:bidi="hi-IN"/>
        </w:rPr>
        <w:t xml:space="preserve">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pessoas jurídicas reunidas em consórcio;</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3.3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3.4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O impedimento de que trata o item 3.</w:t>
      </w:r>
      <w:r>
        <w:rPr>
          <w:rFonts w:ascii="Calibri" w:hAnsi="Calibri" w:cs="Lucida Sans"/>
          <w:b w:val="0"/>
          <w:bCs w:val="0"/>
          <w:color w:val="000000"/>
          <w:kern w:val="0"/>
          <w:sz w:val="24"/>
          <w:szCs w:val="24"/>
          <w:lang w:val="pt-BR" w:eastAsia="zh-CN" w:bidi="hi-IN"/>
        </w:rPr>
        <w:t>3</w:t>
      </w:r>
      <w:r>
        <w:rPr>
          <w:rFonts w:ascii="Calibri" w:hAnsi="Calibri" w:eastAsia="NSimSun" w:cs="Lucida Sans"/>
          <w:b w:val="0"/>
          <w:bCs w:val="0"/>
          <w:color w:val="000000"/>
          <w:kern w:val="0"/>
          <w:sz w:val="24"/>
          <w:szCs w:val="24"/>
          <w:lang w:val="pt-BR" w:eastAsia="zh-CN" w:bidi="hi-IN"/>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3.5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A critério da Administração e exclusivamente a seu serviço, o autor dos projetos e a empresa a que se referem os itens 3.</w:t>
      </w:r>
      <w:r>
        <w:rPr>
          <w:rFonts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w:t>
      </w:r>
      <w:r>
        <w:rPr>
          <w:rFonts w:ascii="Calibri" w:hAnsi="Calibri" w:cs="Lucida Sans"/>
          <w:b w:val="0"/>
          <w:bCs w:val="0"/>
          <w:color w:val="000000"/>
          <w:kern w:val="0"/>
          <w:sz w:val="24"/>
          <w:szCs w:val="24"/>
          <w:lang w:val="pt-BR" w:eastAsia="zh-CN" w:bidi="hi-IN"/>
        </w:rPr>
        <w:t>1</w:t>
      </w:r>
      <w:r>
        <w:rPr>
          <w:rFonts w:ascii="Calibri" w:hAnsi="Calibri" w:eastAsia="NSimSun" w:cs="Lucida Sans"/>
          <w:b w:val="0"/>
          <w:bCs w:val="0"/>
          <w:color w:val="000000"/>
          <w:kern w:val="0"/>
          <w:sz w:val="24"/>
          <w:szCs w:val="24"/>
          <w:lang w:val="pt-BR" w:eastAsia="zh-CN" w:bidi="hi-IN"/>
        </w:rPr>
        <w:t xml:space="preserve"> e 3.</w:t>
      </w:r>
      <w:r>
        <w:rPr>
          <w:rFonts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w:t>
      </w:r>
      <w:r>
        <w:rPr>
          <w:rFonts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 xml:space="preserve"> poderão participar no apoio das atividades de planejamento da contratação, de execução da licitação ou de gestão do contrato, desde que sob supervisão exclusiva de agentes públicos do órgão ou entidade.</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3.6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Equiparam-se aos autores do projeto as empresas integrantes do mesmo grupo econômico.</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3.7</w:t>
      </w:r>
      <w:r>
        <w:rPr>
          <w:rFonts w:ascii="Calibri" w:hAnsi="Calibri" w:cs="Lucida Sans"/>
          <w:b/>
          <w:bCs/>
          <w:color w:val="000000"/>
          <w:kern w:val="0"/>
          <w:sz w:val="24"/>
          <w:szCs w:val="24"/>
          <w:lang w:val="pt-BR" w:eastAsia="zh-CN" w:bidi="hi-IN"/>
        </w:rPr>
        <w:t xml:space="preserve"> </w:t>
      </w:r>
      <w:r>
        <w:rPr>
          <w:rFonts w:ascii="Calibri" w:hAnsi="Calibri" w:eastAsia="NSimSun" w:cs="Lucida Sans"/>
          <w:b/>
          <w:bCs/>
          <w:color w:val="000000"/>
          <w:kern w:val="0"/>
          <w:sz w:val="24"/>
          <w:szCs w:val="24"/>
          <w:lang w:val="pt-BR" w:eastAsia="zh-CN" w:bidi="hi-IN"/>
        </w:rPr>
        <w:t>–</w:t>
      </w:r>
      <w:r>
        <w:rPr>
          <w:rFonts w:ascii="Calibri" w:hAnsi="Calibri" w:eastAsia="NSimSun" w:cs="Lucida Sans"/>
          <w:b w:val="0"/>
          <w:bCs w:val="0"/>
          <w:color w:val="000000"/>
          <w:kern w:val="0"/>
          <w:sz w:val="24"/>
          <w:szCs w:val="24"/>
          <w:lang w:val="pt-BR" w:eastAsia="zh-CN" w:bidi="hi-IN"/>
        </w:rPr>
        <w:t xml:space="preserve"> O disposto nos itens 3.</w:t>
      </w:r>
      <w:r>
        <w:rPr>
          <w:rFonts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w:t>
      </w:r>
      <w:r>
        <w:rPr>
          <w:rFonts w:ascii="Calibri" w:hAnsi="Calibri" w:cs="Lucida Sans"/>
          <w:b w:val="0"/>
          <w:bCs w:val="0"/>
          <w:color w:val="000000"/>
          <w:kern w:val="0"/>
          <w:sz w:val="24"/>
          <w:szCs w:val="24"/>
          <w:lang w:val="pt-BR" w:eastAsia="zh-CN" w:bidi="hi-IN"/>
        </w:rPr>
        <w:t>1</w:t>
      </w:r>
      <w:r>
        <w:rPr>
          <w:rFonts w:ascii="Calibri" w:hAnsi="Calibri" w:eastAsia="NSimSun" w:cs="Lucida Sans"/>
          <w:b w:val="0"/>
          <w:bCs w:val="0"/>
          <w:color w:val="000000"/>
          <w:kern w:val="0"/>
          <w:sz w:val="24"/>
          <w:szCs w:val="24"/>
          <w:lang w:val="pt-BR" w:eastAsia="zh-CN" w:bidi="hi-IN"/>
        </w:rPr>
        <w:t xml:space="preserve"> e 3.</w:t>
      </w:r>
      <w:r>
        <w:rPr>
          <w:rFonts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w:t>
      </w:r>
      <w:r>
        <w:rPr>
          <w:rFonts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 xml:space="preserve"> não impede a licitação ou a contratação de serviço que inclua como encargo do contratado a elaboração do projeto básico e do projeto executivo, nas contratações integradas, e do projeto executivo, nos demais regimes de execução.</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3.8</w:t>
      </w:r>
      <w:r>
        <w:rPr>
          <w:rFonts w:ascii="Calibri" w:hAnsi="Calibri" w:cs="Lucida Sans"/>
          <w:b/>
          <w:bCs/>
          <w:color w:val="000000"/>
          <w:kern w:val="0"/>
          <w:sz w:val="24"/>
          <w:szCs w:val="24"/>
          <w:lang w:val="pt-BR" w:eastAsia="zh-CN" w:bidi="hi-IN"/>
        </w:rPr>
        <w:t xml:space="preserve"> </w:t>
      </w:r>
      <w:r>
        <w:rPr>
          <w:rFonts w:ascii="Calibri" w:hAnsi="Calibri" w:eastAsia="NSimSun" w:cs="Lucida Sans"/>
          <w:b/>
          <w:bCs/>
          <w:color w:val="000000"/>
          <w:kern w:val="0"/>
          <w:sz w:val="24"/>
          <w:szCs w:val="24"/>
          <w:lang w:val="pt-BR" w:eastAsia="zh-CN" w:bidi="hi-IN"/>
        </w:rPr>
        <w:t>–</w:t>
      </w:r>
      <w:r>
        <w:rPr>
          <w:rFonts w:ascii="Calibri" w:hAnsi="Calibri" w:eastAsia="NSimSun" w:cs="Lucida Sans"/>
          <w:b w:val="0"/>
          <w:bCs w:val="0"/>
          <w:color w:val="000000"/>
          <w:kern w:val="0"/>
          <w:sz w:val="24"/>
          <w:szCs w:val="24"/>
          <w:lang w:val="pt-BR" w:eastAsia="zh-CN" w:bidi="hi-IN"/>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3.9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A vedação de que trata o item 3.</w:t>
      </w:r>
      <w:r>
        <w:rPr>
          <w:rFonts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.7 estende-se a terceiro que auxilie a condução da contratação na qualidade de integrante de equipe de apoio, profissional especializado ou funcionário ou representante de empresa que preste assessoria técnica.</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3.10</w:t>
      </w:r>
      <w:r>
        <w:rPr>
          <w:rFonts w:ascii="Calibri" w:hAnsi="Calibri" w:eastAsia="NSimSun" w:cs="Lucida Sans"/>
          <w:b w:val="0"/>
          <w:bCs w:val="0"/>
          <w:color w:val="000000"/>
          <w:kern w:val="0"/>
          <w:sz w:val="24"/>
          <w:szCs w:val="24"/>
          <w:lang w:val="pt-BR" w:eastAsia="zh-CN" w:bidi="hi-IN"/>
        </w:rPr>
        <w:t xml:space="preserve"> </w:t>
      </w:r>
      <w:r>
        <w:rPr>
          <w:rFonts w:ascii="Calibri" w:hAnsi="Calibri" w:eastAsia="NSimSun" w:cs="Lucida Sans"/>
          <w:b/>
          <w:bCs/>
          <w:color w:val="000000"/>
          <w:kern w:val="0"/>
          <w:sz w:val="24"/>
          <w:szCs w:val="24"/>
          <w:lang w:val="pt-BR" w:eastAsia="zh-CN" w:bidi="hi-IN"/>
        </w:rPr>
        <w:t>–</w:t>
      </w:r>
      <w:r>
        <w:rPr>
          <w:rFonts w:ascii="Calibri" w:hAnsi="Calibri" w:eastAsia="NSimSun" w:cs="Lucida Sans"/>
          <w:b w:val="0"/>
          <w:bCs w:val="0"/>
          <w:color w:val="000000"/>
          <w:kern w:val="0"/>
          <w:sz w:val="24"/>
          <w:szCs w:val="24"/>
          <w:lang w:val="pt-BR" w:eastAsia="zh-CN" w:bidi="hi-IN"/>
        </w:rPr>
        <w:t xml:space="preserve"> A participação na licitação implica, sem que tenha sido tempestivamente impugnado o Edital, automaticamente, na aceitação integral e irretratável dos termos e conteúdos deste edital e seus Anexos, a observância dos preceitos legais e regulamentos em vigor; e a responsabilidade pela fidelidade e legitimidade das informações e dos documentos enviados em qualquer fase da licitação, não cabendo, portanto, posterior reclamação.</w:t>
      </w:r>
    </w:p>
    <w:p>
      <w:pPr>
        <w:pStyle w:val="2"/>
        <w:overflowPunct w:val="0"/>
        <w:bidi w:val="0"/>
        <w:spacing w:before="1" w:after="0"/>
        <w:ind w:left="0" w:right="0" w:firstLine="0"/>
        <w:jc w:val="both"/>
        <w:rPr>
          <w:rFonts w:ascii="Calibri" w:hAnsi="Calibri" w:eastAsia="NSimSun" w:cs="Lucida Sans"/>
          <w:kern w:val="0"/>
          <w:sz w:val="24"/>
          <w:szCs w:val="24"/>
          <w:lang w:val="pt-BR" w:eastAsia="zh-CN" w:bidi="hi-IN"/>
        </w:rPr>
      </w:pPr>
    </w:p>
    <w:p>
      <w:pPr>
        <w:pStyle w:val="2"/>
        <w:overflowPunct w:val="0"/>
        <w:bidi w:val="0"/>
        <w:spacing w:before="1" w:after="0"/>
        <w:ind w:left="0" w:right="0" w:firstLine="0"/>
        <w:jc w:val="both"/>
        <w:rPr>
          <w:b/>
          <w:bCs/>
        </w:rPr>
      </w:pPr>
      <w:r>
        <w:rPr>
          <w:rFonts w:ascii="Calibri" w:hAnsi="Calibri" w:eastAsia="NSimSun" w:cs="Lucida Sans"/>
          <w:b/>
          <w:bCs/>
          <w:color w:val="000000"/>
          <w:kern w:val="0"/>
          <w:sz w:val="24"/>
          <w:szCs w:val="24"/>
          <w:lang w:val="pt-BR" w:eastAsia="zh-CN" w:bidi="hi-IN"/>
        </w:rPr>
        <w:t>4 – DAS ATRIBUIÇÕES DO PREGOEIRO</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 xml:space="preserve">4.1 – </w:t>
      </w:r>
      <w:r>
        <w:rPr>
          <w:rFonts w:ascii="Calibri" w:hAnsi="Calibri" w:eastAsia="NSimSun" w:cs="Lucida Sans"/>
          <w:b w:val="0"/>
          <w:bCs w:val="0"/>
          <w:color w:val="000000"/>
          <w:kern w:val="0"/>
          <w:sz w:val="24"/>
          <w:szCs w:val="24"/>
          <w:lang w:val="pt-BR" w:eastAsia="zh-CN" w:bidi="hi-IN"/>
        </w:rPr>
        <w:t>Coordenar o processo licitatório;</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4.2 –</w:t>
      </w:r>
      <w:r>
        <w:rPr>
          <w:rFonts w:ascii="Calibri" w:hAnsi="Calibri" w:eastAsia="NSimSun" w:cs="Lucida Sans"/>
          <w:b w:val="0"/>
          <w:bCs w:val="0"/>
          <w:color w:val="000000"/>
          <w:kern w:val="0"/>
          <w:sz w:val="24"/>
          <w:szCs w:val="24"/>
          <w:lang w:val="pt-BR" w:eastAsia="zh-CN" w:bidi="hi-IN"/>
        </w:rPr>
        <w:t xml:space="preserve"> Receber, examinar e encaminhar as impugnações devidamente instruídas à autoridade superior;</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4.3 –</w:t>
      </w:r>
      <w:r>
        <w:rPr>
          <w:rFonts w:ascii="Calibri" w:hAnsi="Calibri" w:eastAsia="NSimSun" w:cs="Lucida Sans"/>
          <w:b w:val="0"/>
          <w:bCs w:val="0"/>
          <w:color w:val="000000"/>
          <w:kern w:val="0"/>
          <w:sz w:val="24"/>
          <w:szCs w:val="24"/>
          <w:lang w:val="pt-BR" w:eastAsia="zh-CN" w:bidi="hi-IN"/>
        </w:rPr>
        <w:t xml:space="preserve"> Receber, examinar e responder os questionamentos ao edital e seus anexos, apoiado pelo setor responsável pela sua elaboração;</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4.4 –</w:t>
      </w:r>
      <w:r>
        <w:rPr>
          <w:rFonts w:ascii="Calibri" w:hAnsi="Calibri" w:eastAsia="NSimSun" w:cs="Lucida Sans"/>
          <w:b w:val="0"/>
          <w:bCs w:val="0"/>
          <w:color w:val="000000"/>
          <w:kern w:val="0"/>
          <w:sz w:val="24"/>
          <w:szCs w:val="24"/>
          <w:lang w:val="pt-BR" w:eastAsia="zh-CN" w:bidi="hi-IN"/>
        </w:rPr>
        <w:t xml:space="preserve"> Conduzir a sessão pública na internet e os trabalhos da equipe de apoio;</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4.5 –</w:t>
      </w:r>
      <w:r>
        <w:rPr>
          <w:rFonts w:ascii="Calibri" w:hAnsi="Calibri" w:eastAsia="NSimSun" w:cs="Lucida Sans"/>
          <w:b w:val="0"/>
          <w:bCs w:val="0"/>
          <w:color w:val="000000"/>
          <w:kern w:val="0"/>
          <w:sz w:val="24"/>
          <w:szCs w:val="24"/>
          <w:lang w:val="pt-BR" w:eastAsia="zh-CN" w:bidi="hi-IN"/>
        </w:rPr>
        <w:t xml:space="preserve"> Verificar a conformidade da proposta com os requisitos estabelecidos no instrumento convocatório;</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4.6 –</w:t>
      </w:r>
      <w:r>
        <w:rPr>
          <w:rFonts w:ascii="Calibri" w:hAnsi="Calibri" w:eastAsia="NSimSun" w:cs="Lucida Sans"/>
          <w:b w:val="0"/>
          <w:bCs w:val="0"/>
          <w:color w:val="000000"/>
          <w:kern w:val="0"/>
          <w:sz w:val="24"/>
          <w:szCs w:val="24"/>
          <w:lang w:val="pt-BR" w:eastAsia="zh-CN" w:bidi="hi-IN"/>
        </w:rPr>
        <w:t xml:space="preserve"> Dirigir a etapa de lances;</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4.7 –</w:t>
      </w:r>
      <w:r>
        <w:rPr>
          <w:rFonts w:ascii="Calibri" w:hAnsi="Calibri" w:eastAsia="NSimSun" w:cs="Lucida Sans"/>
          <w:b w:val="0"/>
          <w:bCs w:val="0"/>
          <w:color w:val="000000"/>
          <w:kern w:val="0"/>
          <w:sz w:val="24"/>
          <w:szCs w:val="24"/>
          <w:lang w:val="pt-BR" w:eastAsia="zh-CN" w:bidi="hi-IN"/>
        </w:rPr>
        <w:t xml:space="preserve"> Verificar e julgar as condições de habilitação;</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4.8 –</w:t>
      </w:r>
      <w:r>
        <w:rPr>
          <w:rFonts w:ascii="Calibri" w:hAnsi="Calibri" w:eastAsia="NSimSun" w:cs="Lucida Sans"/>
          <w:b w:val="0"/>
          <w:bCs w:val="0"/>
          <w:color w:val="000000"/>
          <w:kern w:val="0"/>
          <w:sz w:val="24"/>
          <w:szCs w:val="24"/>
          <w:lang w:val="pt-BR" w:eastAsia="zh-CN" w:bidi="hi-IN"/>
        </w:rPr>
        <w:t xml:space="preserve"> Receber a documentação adicional quando necessário;</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4.9 –</w:t>
      </w:r>
      <w:r>
        <w:rPr>
          <w:rFonts w:ascii="Calibri" w:hAnsi="Calibri" w:eastAsia="NSimSun" w:cs="Lucida Sans"/>
          <w:b w:val="0"/>
          <w:bCs w:val="0"/>
          <w:color w:val="000000"/>
          <w:kern w:val="0"/>
          <w:sz w:val="24"/>
          <w:szCs w:val="24"/>
          <w:lang w:val="pt-BR" w:eastAsia="zh-CN" w:bidi="hi-IN"/>
        </w:rPr>
        <w:t xml:space="preserve"> Receber, examinar e encaminhar o recurso devidamente instruído à autoridade superior para deliberação;</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4.10 –</w:t>
      </w:r>
      <w:r>
        <w:rPr>
          <w:rFonts w:ascii="Calibri" w:hAnsi="Calibri" w:eastAsia="NSimSun" w:cs="Lucida Sans"/>
          <w:b w:val="0"/>
          <w:bCs w:val="0"/>
          <w:color w:val="000000"/>
          <w:kern w:val="0"/>
          <w:sz w:val="24"/>
          <w:szCs w:val="24"/>
          <w:lang w:val="pt-BR" w:eastAsia="zh-CN" w:bidi="hi-IN"/>
        </w:rPr>
        <w:t xml:space="preserve"> Encaminhar o processo devidamente instruído à autoridade superior para adjudicação, homologação e contratação.</w:t>
      </w:r>
    </w:p>
    <w:p>
      <w:pPr>
        <w:pStyle w:val="2"/>
        <w:overflowPunct w:val="0"/>
        <w:bidi w:val="0"/>
        <w:spacing w:before="1" w:after="0"/>
        <w:ind w:left="0" w:right="0" w:firstLine="0"/>
        <w:jc w:val="both"/>
        <w:rPr>
          <w:rFonts w:ascii="Calibri" w:hAnsi="Calibri" w:eastAsia="NSimSun" w:cs="Lucida Sans"/>
          <w:kern w:val="0"/>
          <w:sz w:val="24"/>
          <w:szCs w:val="24"/>
          <w:lang w:val="pt-BR" w:eastAsia="zh-CN" w:bidi="hi-IN"/>
        </w:rPr>
      </w:pP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5</w:t>
      </w:r>
      <w:r>
        <w:rPr>
          <w:rFonts w:ascii="Calibri" w:hAnsi="Calibri" w:cs="Lucida Sans"/>
          <w:b/>
          <w:bCs/>
          <w:color w:val="000000"/>
          <w:kern w:val="0"/>
          <w:sz w:val="24"/>
          <w:szCs w:val="24"/>
          <w:lang w:val="pt-BR" w:eastAsia="zh-CN" w:bidi="hi-IN"/>
        </w:rPr>
        <w:t xml:space="preserve"> </w:t>
      </w:r>
      <w:r>
        <w:rPr>
          <w:rFonts w:ascii="Calibri" w:hAnsi="Calibri" w:eastAsia="NSimSun" w:cs="Lucida Sans"/>
          <w:b/>
          <w:bCs/>
          <w:color w:val="000000"/>
          <w:kern w:val="0"/>
          <w:sz w:val="24"/>
          <w:szCs w:val="24"/>
          <w:lang w:val="pt-BR" w:eastAsia="zh-CN" w:bidi="hi-IN"/>
        </w:rPr>
        <w:t>– DO CREDENCIAMENTO PARA PARTICIPAR DO CERTAME</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5.</w:t>
      </w:r>
      <w:r>
        <w:rPr>
          <w:rFonts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As pessoas físicas ou jurídicas deverão dispor de chave identificação e de senha, pessoal e intransferível, para acesso ao Sistema eletrônico, emitida pelo sistema de Cadastro Geral de Fornecedores do Estado de Santa Catarina da Secretaria de Estado da Administração.</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5.</w:t>
      </w:r>
      <w:r>
        <w:rPr>
          <w:rFonts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w:t>
      </w:r>
      <w:r>
        <w:rPr>
          <w:rFonts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Atribuição de chave de identificação e de senha, obtidas a partir da homologação do Cadastro Geral de Fornecedores, credenciará o interessado em participar do pregão eletrônico e o qualificará para fornecimento e envio de proposta eletrônica para o objeto correspondente ao grupo-classe indicado no edital.</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5.</w:t>
      </w:r>
      <w:r>
        <w:rPr>
          <w:rFonts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w:t>
      </w:r>
      <w:r>
        <w:rPr>
          <w:rFonts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Caso não consiga visualizar o processo para envio de proposta eletrônica, o credenciado precisa solicitar qualificação ao grupo-classe correspondente junto ao Cadastro Geral de Fornecedores.</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5.</w:t>
      </w:r>
      <w:r>
        <w:rPr>
          <w:rFonts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w:t>
      </w:r>
      <w:r>
        <w:rPr>
          <w:rFonts w:ascii="Calibri" w:hAnsi="Calibri" w:cs="Lucida Sans"/>
          <w:b/>
          <w:bCs/>
          <w:color w:val="000000"/>
          <w:kern w:val="0"/>
          <w:sz w:val="24"/>
          <w:szCs w:val="24"/>
          <w:lang w:val="pt-BR" w:eastAsia="zh-CN" w:bidi="hi-IN"/>
        </w:rPr>
        <w:t>3</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O procedimento para inscrição e alterações, no Cadastro Geral de Fornecedores, encontra-se disponível no site do Portal de Compras pelo endereço http://portaldecompras.sc.gov.br, clicando em seguida no link “Fornecedores”.</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5.</w:t>
      </w:r>
      <w:r>
        <w:rPr>
          <w:rFonts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w:t>
      </w:r>
      <w:r>
        <w:rPr>
          <w:rFonts w:ascii="Calibri" w:hAnsi="Calibri" w:cs="Lucida Sans"/>
          <w:b/>
          <w:bCs/>
          <w:color w:val="000000"/>
          <w:kern w:val="0"/>
          <w:sz w:val="24"/>
          <w:szCs w:val="24"/>
          <w:lang w:val="pt-BR" w:eastAsia="zh-CN" w:bidi="hi-IN"/>
        </w:rPr>
        <w:t>4</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A chave de identificação e a senha poderão ser utilizadas em qualquer pregão na forma eletrônica, correspondente ao seu grupo-classe registrado no Cadastro Geral de Fornecedores, para formular lances de preços e praticar os demais atos e operações no Sistema eletrônico, salvo quando canceladas por solicitação do credenciado ou por iniciativa da Secretaria de Estado da Administração, devidamente justificada.</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5.</w:t>
      </w:r>
      <w:r>
        <w:rPr>
          <w:rFonts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É de exclusiva responsabilidade do usuário o sigilo da senha, bem como seu uso em qualquer transação efetuada diretamente ou por seu representante, não cabendo ao provedor do Sistema ou ao órgão promotor da licitação, a responsabilidade por eventuais danos decorrentes de uso indevido da senha, ainda que por terceiros.</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5.</w:t>
      </w:r>
      <w:r>
        <w:rPr>
          <w:rFonts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w:t>
      </w:r>
      <w:r>
        <w:rPr>
          <w:rFonts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A perda da senha ou a quebra de sigilo deverá ser comunicada imediatamente ao provedor do Sistema eletrônico, para imediato bloqueio de acesso.</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5.</w:t>
      </w:r>
      <w:r>
        <w:rPr>
          <w:rFonts w:ascii="Calibri" w:hAnsi="Calibri" w:cs="Lucida Sans"/>
          <w:b/>
          <w:bCs/>
          <w:color w:val="000000"/>
          <w:kern w:val="0"/>
          <w:sz w:val="24"/>
          <w:szCs w:val="24"/>
          <w:lang w:val="pt-BR" w:eastAsia="zh-CN" w:bidi="hi-IN"/>
        </w:rPr>
        <w:t>3</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O credenciamento do licitante e de seu representante legal junto ao Sistema eletrônico implica na responsabilidade legal pelos atos praticados e a presunção de capacidade técnica para realização das transações inerentes ao pregão eletrônico.</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5.</w:t>
      </w:r>
      <w:r>
        <w:rPr>
          <w:rFonts w:ascii="Calibri" w:hAnsi="Calibri" w:cs="Lucida Sans"/>
          <w:b/>
          <w:bCs/>
          <w:color w:val="000000"/>
          <w:kern w:val="0"/>
          <w:sz w:val="24"/>
          <w:szCs w:val="24"/>
          <w:lang w:val="pt-BR" w:eastAsia="zh-CN" w:bidi="hi-IN"/>
        </w:rPr>
        <w:t>3</w:t>
      </w:r>
      <w:r>
        <w:rPr>
          <w:rFonts w:ascii="Calibri" w:hAnsi="Calibri" w:eastAsia="NSimSun" w:cs="Lucida Sans"/>
          <w:b/>
          <w:bCs/>
          <w:color w:val="000000"/>
          <w:kern w:val="0"/>
          <w:sz w:val="24"/>
          <w:szCs w:val="24"/>
          <w:lang w:val="pt-BR" w:eastAsia="zh-CN" w:bidi="hi-IN"/>
        </w:rPr>
        <w:t>.</w:t>
      </w:r>
      <w:r>
        <w:rPr>
          <w:rFonts w:ascii="Calibri" w:hAnsi="Calibri" w:cs="Lucida Sans"/>
          <w:b/>
          <w:bCs/>
          <w:color w:val="000000"/>
          <w:kern w:val="0"/>
          <w:sz w:val="24"/>
          <w:szCs w:val="24"/>
          <w:lang w:val="pt-BR" w:eastAsia="zh-CN" w:bidi="hi-IN"/>
        </w:rPr>
        <w:t xml:space="preserve">1 </w:t>
      </w:r>
      <w:r>
        <w:rPr>
          <w:rFonts w:ascii="Calibri" w:hAnsi="Calibri" w:eastAsia="NSimSun" w:cs="Lucida Sans"/>
          <w:b/>
          <w:bCs/>
          <w:color w:val="000000"/>
          <w:kern w:val="0"/>
          <w:sz w:val="24"/>
          <w:szCs w:val="24"/>
          <w:lang w:val="pt-BR" w:eastAsia="zh-CN" w:bidi="hi-IN"/>
        </w:rPr>
        <w:t>–</w:t>
      </w:r>
      <w:r>
        <w:rPr>
          <w:rFonts w:ascii="Calibri" w:hAnsi="Calibri" w:eastAsia="NSimSun" w:cs="Lucida Sans"/>
          <w:b w:val="0"/>
          <w:bCs w:val="0"/>
          <w:color w:val="000000"/>
          <w:kern w:val="0"/>
          <w:sz w:val="24"/>
          <w:szCs w:val="24"/>
          <w:lang w:val="pt-BR" w:eastAsia="zh-CN" w:bidi="hi-IN"/>
        </w:rPr>
        <w:t xml:space="preserve"> Para o correto funcionamento do Sistema recomendam-se os seguintes requisitos mínimos:</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val="0"/>
          <w:bCs w:val="0"/>
          <w:color w:val="000000"/>
          <w:kern w:val="0"/>
          <w:sz w:val="24"/>
          <w:szCs w:val="24"/>
          <w:lang w:val="pt-BR" w:eastAsia="zh-CN" w:bidi="hi-IN"/>
        </w:rPr>
        <w:t>a) Conexão de Internet com velocidade nominal de 2MB ou superior;</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val="0"/>
          <w:bCs w:val="0"/>
          <w:color w:val="000000"/>
          <w:kern w:val="0"/>
          <w:sz w:val="24"/>
          <w:szCs w:val="24"/>
          <w:lang w:val="pt-BR" w:eastAsia="zh-CN" w:bidi="hi-IN"/>
        </w:rPr>
        <w:t>b) Navegadores Internet Explorer 9 ou superior, Chrome ou Firefox;</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val="0"/>
          <w:bCs w:val="0"/>
          <w:color w:val="000000"/>
          <w:kern w:val="0"/>
          <w:sz w:val="24"/>
          <w:szCs w:val="24"/>
          <w:lang w:val="pt-BR" w:eastAsia="zh-CN" w:bidi="hi-IN"/>
        </w:rPr>
        <w:t>c) Javascript habilitado e pop-ups liberados (não bloqueados).</w:t>
      </w:r>
    </w:p>
    <w:p>
      <w:pPr>
        <w:pStyle w:val="2"/>
        <w:overflowPunct w:val="0"/>
        <w:bidi w:val="0"/>
        <w:spacing w:before="1" w:after="0"/>
        <w:ind w:left="0" w:right="0" w:firstLine="0"/>
        <w:jc w:val="both"/>
        <w:rPr>
          <w:rFonts w:ascii="Calibri" w:hAnsi="Calibri"/>
          <w:b/>
          <w:bCs/>
          <w:color w:val="000000"/>
          <w:sz w:val="24"/>
          <w:szCs w:val="24"/>
        </w:rPr>
      </w:pP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 xml:space="preserve"> </w:t>
      </w:r>
      <w:r>
        <w:rPr>
          <w:rFonts w:ascii="Calibri" w:hAnsi="Calibri" w:eastAsia="NSimSun" w:cs="Lucida Sans"/>
          <w:b/>
          <w:bCs/>
          <w:color w:val="000000"/>
          <w:kern w:val="0"/>
          <w:sz w:val="24"/>
          <w:szCs w:val="24"/>
          <w:lang w:val="pt-BR" w:eastAsia="zh-CN" w:bidi="hi-IN"/>
        </w:rPr>
        <w:t>– DA PARTICIPAÇÃO NO SISTEMA ELETRÔNICO</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 xml:space="preserve"> – </w:t>
      </w:r>
      <w:r>
        <w:rPr>
          <w:rFonts w:ascii="Calibri" w:hAnsi="Calibri" w:eastAsia="NSimSun" w:cs="Lucida Sans"/>
          <w:b w:val="0"/>
          <w:bCs w:val="0"/>
          <w:color w:val="000000"/>
          <w:kern w:val="0"/>
          <w:sz w:val="24"/>
          <w:szCs w:val="24"/>
          <w:lang w:val="pt-BR" w:eastAsia="zh-CN" w:bidi="hi-IN"/>
        </w:rPr>
        <w:t>A participação no pregão eletrônico dar-se-á por meio de acesso restrito e digitação da senha pessoal e intransferível do representante credenciado e subsequente encaminhamento da proposta eletrônica de preços, por meio do Sistema eletrônico, observada data e horário limite estabelecidos.</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w:t>
      </w:r>
      <w:r>
        <w:rPr>
          <w:rFonts w:ascii="Calibri" w:hAnsi="Calibri" w:cs="Lucida Sans"/>
          <w:b/>
          <w:bCs/>
          <w:color w:val="000000"/>
          <w:kern w:val="0"/>
          <w:sz w:val="24"/>
          <w:szCs w:val="24"/>
          <w:lang w:val="pt-BR" w:eastAsia="zh-CN" w:bidi="hi-IN"/>
        </w:rPr>
        <w:t xml:space="preserve">1 </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O sistema de licitações estará disponível no endereço http://portaldecompras.sc.gov.br/ ou http://e-lic.sc.gov.br/, na área de acesso restrito.</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w:t>
      </w:r>
      <w:r>
        <w:rPr>
          <w:rFonts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Efetuado login no Sistema, o fornecedor somente visualizará os editais em que esteja cadastrado no grupo-classe.</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 xml:space="preserve"> – </w:t>
      </w:r>
      <w:r>
        <w:rPr>
          <w:rFonts w:ascii="Calibri" w:hAnsi="Calibri" w:eastAsia="NSimSun" w:cs="Lucida Sans"/>
          <w:b w:val="0"/>
          <w:bCs w:val="0"/>
          <w:color w:val="000000"/>
          <w:kern w:val="0"/>
          <w:sz w:val="24"/>
          <w:szCs w:val="24"/>
          <w:lang w:val="pt-BR" w:eastAsia="zh-CN" w:bidi="hi-IN"/>
        </w:rPr>
        <w:t>Como requisito para a participação no pregão, o licitante deverá manifestar, em campo próprio do Sistema eletrônico, o pleno conhecimento e atendimento às exigências previstas no edital.</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.1 –</w:t>
      </w:r>
      <w:r>
        <w:rPr>
          <w:rFonts w:ascii="Calibri" w:hAnsi="Calibri" w:eastAsia="NSimSun" w:cs="Lucida Sans"/>
          <w:b w:val="0"/>
          <w:bCs w:val="0"/>
          <w:color w:val="000000"/>
          <w:kern w:val="0"/>
          <w:sz w:val="24"/>
          <w:szCs w:val="24"/>
          <w:lang w:val="pt-BR" w:eastAsia="zh-CN" w:bidi="hi-IN"/>
        </w:rPr>
        <w:t xml:space="preserve"> Quando o licitante for beneficiário da Lei Complementar nº 123/2006 e suas alterações, deverá manifestar em campo próprio do Sistema eletrônico, o pleno conhecimento e atendimento das exigências previstas na lei.</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.2 –</w:t>
      </w:r>
      <w:r>
        <w:rPr>
          <w:rFonts w:ascii="Calibri" w:hAnsi="Calibri" w:eastAsia="NSimSun" w:cs="Lucida Sans"/>
          <w:b w:val="0"/>
          <w:bCs w:val="0"/>
          <w:color w:val="000000"/>
          <w:kern w:val="0"/>
          <w:sz w:val="24"/>
          <w:szCs w:val="24"/>
          <w:lang w:val="pt-BR" w:eastAsia="zh-CN" w:bidi="hi-IN"/>
        </w:rPr>
        <w:t xml:space="preserve"> A declaração falsa relativa ao cumprimento dos requisitos de habilitação e proposta sujeitará o licitante às sanções previstas na legislação vigente aplicável à matéria.</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.3 –</w:t>
      </w:r>
      <w:r>
        <w:rPr>
          <w:rFonts w:ascii="Calibri" w:hAnsi="Calibri" w:eastAsia="NSimSun" w:cs="Lucida Sans"/>
          <w:b w:val="0"/>
          <w:bCs w:val="0"/>
          <w:color w:val="000000"/>
          <w:kern w:val="0"/>
          <w:sz w:val="24"/>
          <w:szCs w:val="24"/>
          <w:lang w:val="pt-BR" w:eastAsia="zh-CN" w:bidi="hi-IN"/>
        </w:rPr>
        <w:t xml:space="preserve"> O licitante será responsável por todas as transações que forem efetuadas em seu nome no Sistema eletrônico, assumindo como firmes e verdadeiras suas propostas e lances.</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.4 –</w:t>
      </w:r>
      <w:r>
        <w:rPr>
          <w:rFonts w:ascii="Calibri" w:hAnsi="Calibri" w:eastAsia="NSimSun" w:cs="Lucida Sans"/>
          <w:b w:val="0"/>
          <w:bCs w:val="0"/>
          <w:color w:val="000000"/>
          <w:kern w:val="0"/>
          <w:sz w:val="24"/>
          <w:szCs w:val="24"/>
          <w:lang w:val="pt-BR" w:eastAsia="zh-CN" w:bidi="hi-IN"/>
        </w:rPr>
        <w:t xml:space="preserve"> O licitante não poderá identificar-se (nome, CNPJ, papel timbrado da empresa, telefone, e-mail, site da empresa, etc.) nesta proposta comercial, sob pena de desclassificação.</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.4.1 –</w:t>
      </w:r>
      <w:r>
        <w:rPr>
          <w:rFonts w:ascii="Calibri" w:hAnsi="Calibri" w:eastAsia="NSimSun" w:cs="Lucida Sans"/>
          <w:b w:val="0"/>
          <w:bCs w:val="0"/>
          <w:color w:val="000000"/>
          <w:kern w:val="0"/>
          <w:sz w:val="24"/>
          <w:szCs w:val="24"/>
          <w:lang w:val="pt-BR" w:eastAsia="zh-CN" w:bidi="hi-IN"/>
        </w:rPr>
        <w:t xml:space="preserve"> Qualquer elemento que possa identificar o licitante, importa na desclassificação da proposta, sem prejuízo das sanções previstas no Edital.</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3</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Caberá ao licitante acompanhar as operações no Sistema eletrônico durante a sessão pública do pregão, ficando responsável pelo ônus decorrente da perda de negócios diante da inobservância de quaisquer mensagens emitidas pelo Sistema ou de sua desconexão.</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4</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Os licitantes deverão comunicar imediatamente ao provedor do Sistema qualquer acontecimento que possa comprometer o sigilo ou a inviabilidade do uso da senha, para imediato bloqueio de acesso.</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5</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Os licitantes deverão solicitar o cancelamento da chave de identificação ou da senha de acesso por interesse próprio.</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6</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O fornecedor descredenciado no Cadastro Geral de Fornecedores terá sua chave de identificação e senha suspensas automaticamente.</w:t>
      </w:r>
    </w:p>
    <w:p>
      <w:pPr>
        <w:pStyle w:val="2"/>
        <w:overflowPunct w:val="0"/>
        <w:bidi w:val="0"/>
        <w:spacing w:before="1" w:after="0"/>
        <w:ind w:left="0" w:right="0" w:firstLine="0"/>
        <w:jc w:val="both"/>
        <w:rPr>
          <w:rFonts w:ascii="Calibri" w:hAnsi="Calibri" w:eastAsia="NSimSun" w:cs="Lucida Sans"/>
          <w:kern w:val="0"/>
          <w:sz w:val="24"/>
          <w:szCs w:val="24"/>
          <w:lang w:val="pt-BR" w:eastAsia="zh-CN" w:bidi="hi-IN"/>
        </w:rPr>
      </w:pP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7</w:t>
      </w:r>
      <w:r>
        <w:rPr>
          <w:rFonts w:ascii="Calibri" w:hAnsi="Calibri"/>
          <w:b/>
          <w:bCs/>
          <w:color w:val="000000"/>
          <w:sz w:val="24"/>
          <w:szCs w:val="24"/>
          <w:lang w:val="pt-BR"/>
        </w:rPr>
        <w:t xml:space="preserve"> </w:t>
      </w:r>
      <w:r>
        <w:rPr>
          <w:rFonts w:ascii="Calibri" w:hAnsi="Calibri"/>
          <w:b/>
          <w:bCs/>
          <w:color w:val="000000"/>
          <w:sz w:val="24"/>
          <w:szCs w:val="24"/>
        </w:rPr>
        <w:t>– DA PROPOSTA ELETRÔNICA DE PREÇOS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7.</w:t>
      </w:r>
      <w:r>
        <w:rPr>
          <w:rFonts w:ascii="Calibri" w:hAnsi="Calibri" w:eastAsia="NSimSun" w:cs="Lucida Sans"/>
          <w:b/>
          <w:bCs/>
          <w:color w:val="000000"/>
          <w:kern w:val="0"/>
          <w:sz w:val="24"/>
          <w:szCs w:val="24"/>
          <w:lang w:val="pt-BR" w:eastAsia="zh-CN" w:bidi="hi-IN"/>
        </w:rPr>
        <w:t>1</w:t>
      </w:r>
      <w:r>
        <w:rPr>
          <w:rFonts w:ascii="Calibri" w:hAnsi="Calibri"/>
          <w:b/>
          <w:bCs/>
          <w:color w:val="000000"/>
          <w:sz w:val="24"/>
          <w:szCs w:val="24"/>
        </w:rPr>
        <w:t xml:space="preserve"> –</w:t>
      </w:r>
      <w:r>
        <w:rPr>
          <w:rFonts w:ascii="Calibri" w:hAnsi="Calibri"/>
          <w:b w:val="0"/>
          <w:bCs w:val="0"/>
          <w:color w:val="000000"/>
          <w:sz w:val="24"/>
          <w:szCs w:val="24"/>
        </w:rPr>
        <w:t xml:space="preserve"> Após a divulgação do edital no endereço eletrônico, aos licitantes interessados deverão encaminhar proposta e, se for o caso, o(s) respectivo(s) Anexo(s), até a data e hora marcadas para abertura da sessão, exclusivamente por meio do Sistema eletrônico, quando, então, encerrar-se-á, automaticamente, a fase de recebimento de propostas.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7.</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 xml:space="preserve"> –</w:t>
      </w:r>
      <w:r>
        <w:rPr>
          <w:rFonts w:ascii="Calibri" w:hAnsi="Calibri"/>
          <w:b w:val="0"/>
          <w:bCs w:val="0"/>
          <w:color w:val="000000"/>
          <w:sz w:val="24"/>
          <w:szCs w:val="24"/>
        </w:rPr>
        <w:t xml:space="preserve"> Até a abertura da sessão, os licitantes poderão retirar ou substituir a proposta anteriormente enviada.</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7.</w:t>
      </w:r>
      <w:r>
        <w:rPr>
          <w:rFonts w:ascii="Calibri" w:hAnsi="Calibri" w:eastAsia="NSimSun" w:cs="Lucida Sans"/>
          <w:b/>
          <w:bCs/>
          <w:color w:val="000000"/>
          <w:kern w:val="0"/>
          <w:sz w:val="24"/>
          <w:szCs w:val="24"/>
          <w:lang w:val="pt-BR" w:eastAsia="zh-CN" w:bidi="hi-IN"/>
        </w:rPr>
        <w:t>3</w:t>
      </w:r>
      <w:r>
        <w:rPr>
          <w:rFonts w:ascii="Calibri" w:hAnsi="Calibri"/>
          <w:b/>
          <w:bCs/>
          <w:color w:val="000000"/>
          <w:sz w:val="24"/>
          <w:szCs w:val="24"/>
        </w:rPr>
        <w:t xml:space="preserve"> –</w:t>
      </w:r>
      <w:r>
        <w:rPr>
          <w:rFonts w:ascii="Calibri" w:hAnsi="Calibri"/>
          <w:b w:val="0"/>
          <w:bCs w:val="0"/>
          <w:color w:val="000000"/>
          <w:sz w:val="24"/>
          <w:szCs w:val="24"/>
        </w:rPr>
        <w:t xml:space="preserve"> Os licitantes receberão, por e-mail, comprovante de recebimento das suas propostas eletrônicas enviadas, com a indicação do dia e respectivo horário de registro.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7.4 –</w:t>
      </w:r>
      <w:r>
        <w:rPr>
          <w:rFonts w:ascii="Calibri" w:hAnsi="Calibri"/>
          <w:b w:val="0"/>
          <w:bCs w:val="0"/>
          <w:color w:val="000000"/>
          <w:sz w:val="24"/>
          <w:szCs w:val="24"/>
        </w:rPr>
        <w:t xml:space="preserve"> A proposta enviada não poderá ter prazo de validade inferior a 60 (sessenta) dias, contados da data limite para apresentação das propostas neste Pregão, sendo este o prazo considerado em caso de omissão.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7.5 –</w:t>
      </w:r>
      <w:r>
        <w:rPr>
          <w:rFonts w:ascii="Calibri" w:hAnsi="Calibri"/>
          <w:b w:val="0"/>
          <w:bCs w:val="0"/>
          <w:color w:val="000000"/>
          <w:sz w:val="24"/>
          <w:szCs w:val="24"/>
        </w:rPr>
        <w:t xml:space="preserve"> Sob pena de desclassificação, a proposta eletrônica deverá ser preenchida indicando o valor unitário e total dos serviços, expressos em reais, com no máximo 4 (quatro) casas decimais no campo “valor da proposta”.</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7.</w:t>
      </w:r>
      <w:r>
        <w:rPr>
          <w:rFonts w:ascii="Calibri" w:hAnsi="Calibri" w:eastAsia="NSimSun" w:cs="Lucida Sans"/>
          <w:b/>
          <w:bCs/>
          <w:color w:val="000000"/>
          <w:kern w:val="0"/>
          <w:sz w:val="24"/>
          <w:szCs w:val="24"/>
          <w:lang w:val="pt-BR" w:eastAsia="zh-CN" w:bidi="hi-IN"/>
        </w:rPr>
        <w:t>6</w:t>
      </w:r>
      <w:r>
        <w:rPr>
          <w:rFonts w:ascii="Calibri" w:hAnsi="Calibri"/>
          <w:b/>
          <w:bCs/>
          <w:color w:val="000000"/>
          <w:sz w:val="24"/>
          <w:szCs w:val="24"/>
        </w:rPr>
        <w:t xml:space="preserve"> –</w:t>
      </w:r>
      <w:r>
        <w:rPr>
          <w:rFonts w:ascii="Calibri" w:hAnsi="Calibri"/>
          <w:b w:val="0"/>
          <w:bCs w:val="0"/>
          <w:color w:val="000000"/>
          <w:sz w:val="24"/>
          <w:szCs w:val="24"/>
        </w:rPr>
        <w:t xml:space="preserve"> No valor da proposta devem estar inclusos todos os custos com a remuneração, encargos sociais, operacionais, previdenciários, trabalhistas, tributários, comerciais, bem como taxas, impostos, fretes, e quaisquer outros que incidam direta ou indiretamente na prestação dos serviços.</w:t>
      </w:r>
    </w:p>
    <w:p>
      <w:pPr>
        <w:overflowPunct w:val="0"/>
        <w:bidi w:val="0"/>
        <w:spacing w:before="1" w:after="0"/>
        <w:ind w:left="0" w:right="0" w:firstLine="0"/>
        <w:jc w:val="both"/>
        <w:rPr>
          <w:rFonts w:ascii="Calibri" w:hAnsi="Calibri"/>
          <w:sz w:val="24"/>
          <w:szCs w:val="24"/>
        </w:rPr>
      </w:pPr>
      <w:bookmarkStart w:id="0" w:name="docs-internal-guid-c2713284-7fff-903d-6b"/>
      <w:bookmarkEnd w:id="0"/>
      <w:r>
        <w:rPr>
          <w:rFonts w:ascii="Calibri" w:hAnsi="Calibri"/>
          <w:b/>
          <w:bCs/>
          <w:i w:val="0"/>
          <w:caps w:val="0"/>
          <w:smallCaps w:val="0"/>
          <w:strike w:val="0"/>
          <w:dstrike w:val="0"/>
          <w:color w:val="000000"/>
          <w:sz w:val="24"/>
          <w:szCs w:val="24"/>
          <w:u w:val="none"/>
          <w:shd w:val="clear" w:fill="auto"/>
        </w:rPr>
        <w:t xml:space="preserve">7.6.1 </w:t>
      </w:r>
      <w:r>
        <w:rPr>
          <w:rFonts w:ascii="Calibri" w:hAnsi="Calibri" w:eastAsia="NSimSun" w:cs="Lucida Sans"/>
          <w:b/>
          <w:bCs/>
          <w:i w:val="0"/>
          <w:caps w:val="0"/>
          <w:smallCaps w:val="0"/>
          <w:strike w:val="0"/>
          <w:dstrike w:val="0"/>
          <w:color w:val="000000"/>
          <w:kern w:val="0"/>
          <w:sz w:val="24"/>
          <w:szCs w:val="24"/>
          <w:u w:val="none"/>
          <w:shd w:val="clear" w:fill="auto"/>
          <w:lang w:val="pt-BR" w:eastAsia="zh-CN" w:bidi="hi-IN"/>
        </w:rPr>
        <w:t>–</w:t>
      </w:r>
      <w:r>
        <w:rPr>
          <w:rFonts w:ascii="Calibri" w:hAnsi="Calibri"/>
          <w:b w:val="0"/>
          <w:bCs w:val="0"/>
          <w:i w:val="0"/>
          <w:caps w:val="0"/>
          <w:smallCaps w:val="0"/>
          <w:strike w:val="0"/>
          <w:dstrike w:val="0"/>
          <w:color w:val="000000"/>
          <w:sz w:val="24"/>
          <w:szCs w:val="24"/>
          <w:u w:val="none"/>
          <w:shd w:val="clear" w:fill="auto"/>
        </w:rPr>
        <w:t xml:space="preserve"> A licitante deverá apresentar em sua proposta apenas um preço por item do edital, vetada diferenciação de preços em decorrência de local de entrega do item, forma ou local de acondicionamento do item ou quaisquer outras circunstâncias não previstas neste instrumento</w:t>
      </w:r>
      <w:r>
        <w:rPr>
          <w:rFonts w:ascii="Calibri" w:hAnsi="Calibri"/>
          <w:b w:val="0"/>
          <w:bCs w:val="0"/>
          <w:i w:val="0"/>
          <w:caps w:val="0"/>
          <w:smallCaps w:val="0"/>
          <w:strike w:val="0"/>
          <w:dstrike w:val="0"/>
          <w:color w:val="000000"/>
          <w:sz w:val="24"/>
          <w:szCs w:val="24"/>
          <w:u w:val="none"/>
          <w:shd w:val="clear" w:fill="auto"/>
          <w:lang w:val="pt-BR"/>
        </w:rPr>
        <w:t>.</w:t>
      </w:r>
      <w:r>
        <w:rPr>
          <w:rFonts w:ascii="Calibri" w:hAnsi="Calibri"/>
          <w:b w:val="0"/>
          <w:bCs w:val="0"/>
          <w:color w:val="000000"/>
          <w:sz w:val="24"/>
          <w:szCs w:val="24"/>
        </w:rPr>
        <w:t xml:space="preserve"> </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7.</w:t>
      </w:r>
      <w:r>
        <w:rPr>
          <w:rFonts w:ascii="Calibri" w:hAnsi="Calibri" w:eastAsia="NSimSun" w:cs="Lucida Sans"/>
          <w:b/>
          <w:bCs/>
          <w:color w:val="000000"/>
          <w:kern w:val="0"/>
          <w:sz w:val="24"/>
          <w:szCs w:val="24"/>
          <w:lang w:val="pt-BR" w:eastAsia="zh-CN" w:bidi="hi-IN"/>
        </w:rPr>
        <w:t>7</w:t>
      </w:r>
      <w:r>
        <w:rPr>
          <w:rFonts w:ascii="Calibri" w:hAnsi="Calibri"/>
          <w:b/>
          <w:bCs/>
          <w:color w:val="000000"/>
          <w:sz w:val="24"/>
          <w:szCs w:val="24"/>
        </w:rPr>
        <w:t xml:space="preserve"> –</w:t>
      </w:r>
      <w:r>
        <w:rPr>
          <w:rFonts w:ascii="Calibri" w:hAnsi="Calibri"/>
          <w:b w:val="0"/>
          <w:bCs w:val="0"/>
          <w:color w:val="000000"/>
          <w:sz w:val="24"/>
          <w:szCs w:val="24"/>
        </w:rPr>
        <w:t xml:space="preserve"> A proposta de preços com base nas especificações constantes deste neste edital e seus Anexos, estará condicionada às informações cadastradas no Sistema de Cadastro Geral de Fornecedores, que contém, obrigatoriamente, a razão social completa e CNPJ do licitante, endereço, telefone e endereço eletrônico (e- mail).</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7.</w:t>
      </w:r>
      <w:r>
        <w:rPr>
          <w:rFonts w:ascii="Calibri" w:hAnsi="Calibri" w:eastAsia="NSimSun" w:cs="Lucida Sans"/>
          <w:b/>
          <w:bCs/>
          <w:color w:val="000000"/>
          <w:kern w:val="0"/>
          <w:sz w:val="24"/>
          <w:szCs w:val="24"/>
          <w:lang w:val="pt-BR" w:eastAsia="zh-CN" w:bidi="hi-IN"/>
        </w:rPr>
        <w:t>8</w:t>
      </w:r>
      <w:r>
        <w:rPr>
          <w:rFonts w:ascii="Calibri" w:hAnsi="Calibri"/>
          <w:b/>
          <w:bCs/>
          <w:color w:val="000000"/>
          <w:sz w:val="24"/>
          <w:szCs w:val="24"/>
        </w:rPr>
        <w:t xml:space="preserve"> –</w:t>
      </w:r>
      <w:r>
        <w:rPr>
          <w:rFonts w:ascii="Calibri" w:hAnsi="Calibri"/>
          <w:b w:val="0"/>
          <w:bCs w:val="0"/>
          <w:color w:val="000000"/>
          <w:sz w:val="24"/>
          <w:szCs w:val="24"/>
        </w:rPr>
        <w:t xml:space="preserve"> Os licitantes deverão manter suas informações cadastrais atualizadas, junto ao Cadastro Geral de Fornecedores, ficando responsável pelo ônus decorrente da perda de negócios diante da inobservância de quaisquer mensagens divulgadas via “chat” ou emitidas pelo Sistema junto ao seu endereço eletrônico (e- mail).</w:t>
      </w:r>
    </w:p>
    <w:p>
      <w:pPr>
        <w:pStyle w:val="2"/>
        <w:overflowPunct w:val="0"/>
        <w:bidi w:val="0"/>
        <w:spacing w:before="1" w:after="0"/>
        <w:ind w:left="0" w:right="0" w:firstLine="0"/>
        <w:jc w:val="both"/>
        <w:rPr>
          <w:rFonts w:ascii="Calibri" w:hAnsi="Calibri"/>
          <w:sz w:val="24"/>
          <w:szCs w:val="24"/>
        </w:rPr>
      </w:pPr>
      <w:r>
        <w:rPr>
          <w:rFonts w:ascii="Calibri" w:hAnsi="Calibri"/>
          <w:b/>
          <w:bCs/>
          <w:color w:val="111111"/>
          <w:sz w:val="24"/>
          <w:szCs w:val="24"/>
        </w:rPr>
        <w:t>7.</w:t>
      </w:r>
      <w:r>
        <w:rPr>
          <w:rFonts w:ascii="Calibri" w:hAnsi="Calibri" w:eastAsia="NSimSun" w:cs="Lucida Sans"/>
          <w:b/>
          <w:bCs/>
          <w:color w:val="111111"/>
          <w:kern w:val="0"/>
          <w:sz w:val="24"/>
          <w:szCs w:val="24"/>
          <w:lang w:val="pt-BR" w:eastAsia="zh-CN" w:bidi="hi-IN"/>
        </w:rPr>
        <w:t>9</w:t>
      </w:r>
      <w:r>
        <w:rPr>
          <w:rFonts w:ascii="Calibri" w:hAnsi="Calibri"/>
          <w:b/>
          <w:bCs/>
          <w:color w:val="111111"/>
          <w:sz w:val="24"/>
          <w:szCs w:val="24"/>
        </w:rPr>
        <w:t xml:space="preserve"> –</w:t>
      </w:r>
      <w:r>
        <w:rPr>
          <w:rFonts w:ascii="Calibri" w:hAnsi="Calibri"/>
          <w:b w:val="0"/>
          <w:bCs w:val="0"/>
          <w:color w:val="111111"/>
          <w:sz w:val="24"/>
          <w:szCs w:val="24"/>
        </w:rPr>
        <w:t xml:space="preserve"> A licitante vencedora do certame, quando houver cotação de proposta por lote, deverá detalhar sua proposta no sistema eletrônico, após encerramento da sessão, com os respectivos valores unitários readequados ao valor total representado pelo lance vencedor, no prazo de 1 (um) dia útil, contado a partir da data do encerramento da sessão;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7.</w:t>
      </w:r>
      <w:r>
        <w:rPr>
          <w:rFonts w:ascii="Calibri" w:hAnsi="Calibri" w:eastAsia="NSimSun" w:cs="Lucida Sans"/>
          <w:b/>
          <w:bCs/>
          <w:color w:val="000000"/>
          <w:kern w:val="0"/>
          <w:sz w:val="24"/>
          <w:szCs w:val="24"/>
          <w:lang w:val="pt-BR" w:eastAsia="zh-CN" w:bidi="hi-IN"/>
        </w:rPr>
        <w:t>9</w:t>
      </w:r>
      <w:r>
        <w:rPr>
          <w:rFonts w:ascii="Calibri" w:hAnsi="Calibri"/>
          <w:b/>
          <w:bCs/>
          <w:color w:val="000000"/>
          <w:sz w:val="24"/>
          <w:szCs w:val="24"/>
        </w:rPr>
        <w:t>.</w:t>
      </w:r>
      <w:r>
        <w:rPr>
          <w:rFonts w:ascii="Calibri" w:hAnsi="Calibri"/>
          <w:b/>
          <w:bCs/>
          <w:color w:val="000000"/>
          <w:sz w:val="24"/>
          <w:szCs w:val="24"/>
          <w:lang w:val="pt-BR"/>
        </w:rPr>
        <w:t xml:space="preserve">1 </w:t>
      </w:r>
      <w:r>
        <w:rPr>
          <w:rFonts w:ascii="Calibri" w:hAnsi="Calibri"/>
          <w:b/>
          <w:bCs/>
          <w:color w:val="000000"/>
          <w:sz w:val="24"/>
          <w:szCs w:val="24"/>
        </w:rPr>
        <w:t>–</w:t>
      </w:r>
      <w:r>
        <w:rPr>
          <w:rFonts w:ascii="Calibri" w:hAnsi="Calibri"/>
          <w:b w:val="0"/>
          <w:bCs w:val="0"/>
          <w:color w:val="000000"/>
          <w:sz w:val="24"/>
          <w:szCs w:val="24"/>
        </w:rPr>
        <w:t xml:space="preserve"> Quando por lote, o valor unitário readequado não poderá ser superior àquele oferecido na proposta escrita.</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7.</w:t>
      </w:r>
      <w:r>
        <w:rPr>
          <w:rFonts w:ascii="Calibri" w:hAnsi="Calibri" w:eastAsia="NSimSun" w:cs="Lucida Sans"/>
          <w:b/>
          <w:bCs/>
          <w:color w:val="000000"/>
          <w:kern w:val="0"/>
          <w:sz w:val="24"/>
          <w:szCs w:val="24"/>
          <w:lang w:val="pt-BR" w:eastAsia="zh-CN" w:bidi="hi-IN"/>
        </w:rPr>
        <w:t>10</w:t>
      </w:r>
      <w:r>
        <w:rPr>
          <w:rFonts w:ascii="Calibri" w:hAnsi="Calibri"/>
          <w:b/>
          <w:bCs/>
          <w:color w:val="000000"/>
          <w:sz w:val="24"/>
          <w:szCs w:val="24"/>
        </w:rPr>
        <w:t xml:space="preserve"> –</w:t>
      </w:r>
      <w:r>
        <w:rPr>
          <w:rFonts w:ascii="Calibri" w:hAnsi="Calibri"/>
          <w:b w:val="0"/>
          <w:bCs w:val="0"/>
          <w:color w:val="000000"/>
          <w:sz w:val="24"/>
          <w:szCs w:val="24"/>
        </w:rPr>
        <w:t xml:space="preserve"> As propostas apresentadas serão irretratáveis e irrenunciáveis, na forma da lei.</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7.</w:t>
      </w:r>
      <w:r>
        <w:rPr>
          <w:rFonts w:ascii="Calibri" w:hAnsi="Calibri" w:eastAsia="NSimSun" w:cs="Lucida Sans"/>
          <w:b/>
          <w:bCs/>
          <w:color w:val="000000"/>
          <w:kern w:val="0"/>
          <w:sz w:val="24"/>
          <w:szCs w:val="24"/>
          <w:lang w:val="pt-BR" w:eastAsia="zh-CN" w:bidi="hi-IN"/>
        </w:rPr>
        <w:t>11</w:t>
      </w:r>
      <w:r>
        <w:rPr>
          <w:rFonts w:ascii="Calibri" w:hAnsi="Calibri"/>
          <w:b/>
          <w:bCs/>
          <w:color w:val="000000"/>
          <w:sz w:val="24"/>
          <w:szCs w:val="24"/>
        </w:rPr>
        <w:t xml:space="preserve"> –</w:t>
      </w:r>
      <w:r>
        <w:rPr>
          <w:rFonts w:ascii="Calibri" w:hAnsi="Calibri"/>
          <w:b w:val="0"/>
          <w:bCs w:val="0"/>
          <w:color w:val="000000"/>
          <w:sz w:val="24"/>
          <w:szCs w:val="24"/>
        </w:rPr>
        <w:t xml:space="preserve"> A apresentação da proposta implica na aceitação de todas as condições deste Edital.</w:t>
      </w:r>
    </w:p>
    <w:p>
      <w:pPr>
        <w:pStyle w:val="2"/>
        <w:overflowPunct w:val="0"/>
        <w:bidi w:val="0"/>
        <w:spacing w:before="1" w:after="0"/>
        <w:ind w:left="0" w:right="0" w:firstLine="0"/>
        <w:jc w:val="both"/>
        <w:rPr>
          <w:rFonts w:ascii="Calibri" w:hAnsi="Calibri"/>
          <w:b w:val="0"/>
          <w:bCs w:val="0"/>
          <w:color w:val="000000"/>
          <w:sz w:val="24"/>
          <w:szCs w:val="24"/>
        </w:rPr>
      </w:pP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8</w:t>
      </w:r>
      <w:r>
        <w:rPr>
          <w:rFonts w:ascii="Calibri" w:hAnsi="Calibri"/>
          <w:b/>
          <w:bCs/>
          <w:color w:val="000000"/>
          <w:sz w:val="24"/>
          <w:szCs w:val="24"/>
          <w:lang w:val="pt-BR"/>
        </w:rPr>
        <w:t xml:space="preserve"> </w:t>
      </w:r>
      <w:r>
        <w:rPr>
          <w:rFonts w:ascii="Calibri" w:hAnsi="Calibri"/>
          <w:b/>
          <w:bCs/>
          <w:color w:val="000000"/>
          <w:sz w:val="24"/>
          <w:szCs w:val="24"/>
        </w:rPr>
        <w:t>– DA SESSÃO PÚBLICA DO PREGÃO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8.</w:t>
      </w:r>
      <w:r>
        <w:rPr>
          <w:rFonts w:ascii="Calibri" w:hAnsi="Calibri" w:eastAsia="NSimSun" w:cs="Lucida Sans"/>
          <w:b/>
          <w:bCs/>
          <w:color w:val="000000"/>
          <w:kern w:val="0"/>
          <w:sz w:val="24"/>
          <w:szCs w:val="24"/>
          <w:lang w:val="pt-BR" w:eastAsia="zh-CN" w:bidi="hi-IN"/>
        </w:rPr>
        <w:t>1</w:t>
      </w:r>
      <w:r>
        <w:rPr>
          <w:rFonts w:ascii="Calibri" w:hAnsi="Calibri"/>
          <w:b/>
          <w:bCs/>
          <w:color w:val="000000"/>
          <w:sz w:val="24"/>
          <w:szCs w:val="24"/>
        </w:rPr>
        <w:t xml:space="preserve"> –</w:t>
      </w:r>
      <w:r>
        <w:rPr>
          <w:rFonts w:ascii="Calibri" w:hAnsi="Calibri"/>
          <w:b w:val="0"/>
          <w:bCs w:val="0"/>
          <w:color w:val="000000"/>
          <w:sz w:val="24"/>
          <w:szCs w:val="24"/>
        </w:rPr>
        <w:t xml:space="preserve"> Iniciada a sessão pública do pregão, esta não será suspensa ou transferida, salvo motivo excepcional assim caracterizado pelo pregoeiro.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8.</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 xml:space="preserve"> –</w:t>
      </w:r>
      <w:r>
        <w:rPr>
          <w:rFonts w:ascii="Calibri" w:hAnsi="Calibri"/>
          <w:b w:val="0"/>
          <w:bCs w:val="0"/>
          <w:color w:val="000000"/>
          <w:sz w:val="24"/>
          <w:szCs w:val="24"/>
        </w:rPr>
        <w:t xml:space="preserve"> Verificando-se o adiamento da sessão pública do pregão, o pregoeiro determinará nova data para continuação dos trabalhos, ficando intimadas os licitantes.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8.</w:t>
      </w:r>
      <w:r>
        <w:rPr>
          <w:rFonts w:ascii="Calibri" w:hAnsi="Calibri" w:eastAsia="NSimSun" w:cs="Lucida Sans"/>
          <w:b/>
          <w:bCs/>
          <w:color w:val="000000"/>
          <w:kern w:val="0"/>
          <w:sz w:val="24"/>
          <w:szCs w:val="24"/>
          <w:lang w:val="pt-BR" w:eastAsia="zh-CN" w:bidi="hi-IN"/>
        </w:rPr>
        <w:t>3</w:t>
      </w:r>
      <w:r>
        <w:rPr>
          <w:rFonts w:ascii="Calibri" w:hAnsi="Calibri"/>
          <w:b/>
          <w:bCs/>
          <w:color w:val="000000"/>
          <w:sz w:val="24"/>
          <w:szCs w:val="24"/>
        </w:rPr>
        <w:t xml:space="preserve"> –</w:t>
      </w:r>
      <w:r>
        <w:rPr>
          <w:rFonts w:ascii="Calibri" w:hAnsi="Calibri"/>
          <w:b w:val="0"/>
          <w:bCs w:val="0"/>
          <w:color w:val="000000"/>
          <w:sz w:val="24"/>
          <w:szCs w:val="24"/>
        </w:rPr>
        <w:t xml:space="preserve"> O pregoeiro poderá interromper a sessão, temporariamente, para determinar alguma providência administrativa para o bom andamento dos trabalhos.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8.</w:t>
      </w:r>
      <w:r>
        <w:rPr>
          <w:rFonts w:ascii="Calibri" w:hAnsi="Calibri" w:eastAsia="NSimSun" w:cs="Lucida Sans"/>
          <w:b/>
          <w:bCs/>
          <w:color w:val="000000"/>
          <w:kern w:val="0"/>
          <w:sz w:val="24"/>
          <w:szCs w:val="24"/>
          <w:lang w:val="pt-BR" w:eastAsia="zh-CN" w:bidi="hi-IN"/>
        </w:rPr>
        <w:t>4</w:t>
      </w:r>
      <w:r>
        <w:rPr>
          <w:rFonts w:ascii="Calibri" w:hAnsi="Calibri"/>
          <w:b/>
          <w:bCs/>
          <w:color w:val="000000"/>
          <w:sz w:val="24"/>
          <w:szCs w:val="24"/>
        </w:rPr>
        <w:t xml:space="preserve"> –</w:t>
      </w:r>
      <w:r>
        <w:rPr>
          <w:rFonts w:ascii="Calibri" w:hAnsi="Calibri"/>
          <w:b w:val="0"/>
          <w:bCs w:val="0"/>
          <w:color w:val="000000"/>
          <w:sz w:val="24"/>
          <w:szCs w:val="24"/>
        </w:rPr>
        <w:t xml:space="preserve"> No caso de desconexão do pregoeiro, no decorrer da etapa de lances, se o Sistema eletrônico permanecer acessível aos licitantes, os lances continuarão sendo recebidos, sem prejuízo dos atos realizados.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8.</w:t>
      </w:r>
      <w:r>
        <w:rPr>
          <w:rFonts w:ascii="Calibri" w:hAnsi="Calibri" w:eastAsia="NSimSun" w:cs="Lucida Sans"/>
          <w:b/>
          <w:bCs/>
          <w:color w:val="000000"/>
          <w:kern w:val="0"/>
          <w:sz w:val="24"/>
          <w:szCs w:val="24"/>
          <w:lang w:val="pt-BR" w:eastAsia="zh-CN" w:bidi="hi-IN"/>
        </w:rPr>
        <w:t>5</w:t>
      </w:r>
      <w:r>
        <w:rPr>
          <w:rFonts w:ascii="Calibri" w:hAnsi="Calibri"/>
          <w:b/>
          <w:bCs/>
          <w:color w:val="000000"/>
          <w:sz w:val="24"/>
          <w:szCs w:val="24"/>
        </w:rPr>
        <w:t xml:space="preserve"> –</w:t>
      </w:r>
      <w:r>
        <w:rPr>
          <w:rFonts w:ascii="Calibri" w:hAnsi="Calibri"/>
          <w:b w:val="0"/>
          <w:bCs w:val="0"/>
          <w:color w:val="000000"/>
          <w:sz w:val="24"/>
          <w:szCs w:val="24"/>
        </w:rPr>
        <w:t xml:space="preserve"> Quando a desconexão do pregoeiro persistir por tempo superior a dez minutos, a sessão do pregão na forma eletrônica será suspensa e reiniciada somente após comunicação aos participantes, no endereço eletrônico utilizado para divulgação.</w:t>
      </w:r>
    </w:p>
    <w:p>
      <w:pPr>
        <w:pStyle w:val="2"/>
        <w:overflowPunct w:val="0"/>
        <w:bidi w:val="0"/>
        <w:spacing w:before="1" w:after="0"/>
        <w:ind w:left="0" w:right="0" w:firstLine="0"/>
        <w:jc w:val="both"/>
        <w:rPr>
          <w:rFonts w:ascii="Calibri" w:hAnsi="Calibri"/>
          <w:b w:val="0"/>
          <w:bCs w:val="0"/>
          <w:color w:val="000000"/>
          <w:sz w:val="24"/>
          <w:szCs w:val="24"/>
        </w:rPr>
      </w:pP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b/>
          <w:bCs/>
          <w:color w:val="000000"/>
          <w:sz w:val="24"/>
          <w:szCs w:val="24"/>
          <w:lang w:val="pt-BR"/>
        </w:rPr>
        <w:t xml:space="preserve"> </w:t>
      </w:r>
      <w:r>
        <w:rPr>
          <w:rFonts w:ascii="Calibri" w:hAnsi="Calibri"/>
          <w:b/>
          <w:bCs/>
          <w:color w:val="000000"/>
          <w:sz w:val="24"/>
          <w:szCs w:val="24"/>
        </w:rPr>
        <w:t>– DA ABERTURA DA SESSÃO E ETAPA DE LANCES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1</w:t>
      </w:r>
      <w:r>
        <w:rPr>
          <w:rFonts w:ascii="Calibri" w:hAnsi="Calibri"/>
          <w:b/>
          <w:bCs/>
          <w:color w:val="000000"/>
          <w:sz w:val="24"/>
          <w:szCs w:val="24"/>
        </w:rPr>
        <w:t xml:space="preserve"> –</w:t>
      </w:r>
      <w:r>
        <w:rPr>
          <w:rFonts w:ascii="Calibri" w:hAnsi="Calibri"/>
          <w:b w:val="0"/>
          <w:bCs w:val="0"/>
          <w:color w:val="000000"/>
          <w:sz w:val="24"/>
          <w:szCs w:val="24"/>
        </w:rPr>
        <w:t xml:space="preserve"> A partir do horário previsto no edital terá início a sessão pública do pregão eletrônico, momento em que o Sistema disponibilizará campo próprio (Chat) para troca de mensagens entre o pregoeiro e os licitantes.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 xml:space="preserve"> –</w:t>
      </w:r>
      <w:r>
        <w:rPr>
          <w:rFonts w:ascii="Calibri" w:hAnsi="Calibri"/>
          <w:b w:val="0"/>
          <w:bCs w:val="0"/>
          <w:color w:val="000000"/>
          <w:sz w:val="24"/>
          <w:szCs w:val="24"/>
        </w:rPr>
        <w:t xml:space="preserve"> O pregoeiro verificará propostas eletrônicas enviadas, desclassificando aquelas que não estejam em conformidade com os requisitos estabelecidos no edital.</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 xml:space="preserve"> –</w:t>
      </w:r>
      <w:r>
        <w:rPr>
          <w:rFonts w:ascii="Calibri" w:hAnsi="Calibri"/>
          <w:b w:val="0"/>
          <w:bCs w:val="0"/>
          <w:color w:val="000000"/>
          <w:sz w:val="24"/>
          <w:szCs w:val="24"/>
        </w:rPr>
        <w:t xml:space="preserve"> A desclassificação de proposta será sempre fundamentada e registrada no Sistema, com acompanhamento em tempo real por todos os participantes.</w:t>
      </w:r>
    </w:p>
    <w:p>
      <w:pPr>
        <w:pStyle w:val="2"/>
        <w:overflowPunct w:val="0"/>
        <w:bidi w:val="0"/>
        <w:spacing w:before="1" w:after="0"/>
        <w:ind w:left="0" w:right="0" w:firstLine="0"/>
        <w:jc w:val="both"/>
        <w:rPr>
          <w:rFonts w:ascii="Calibri" w:hAnsi="Calibri"/>
          <w:sz w:val="24"/>
          <w:szCs w:val="24"/>
        </w:rPr>
      </w:pPr>
      <w:r>
        <w:rPr>
          <w:rFonts w:ascii="Calibri" w:hAnsi="Calibri"/>
          <w:b/>
          <w:bCs/>
          <w:color w:val="111111"/>
          <w:sz w:val="24"/>
          <w:szCs w:val="24"/>
        </w:rPr>
        <w:t>9.</w:t>
      </w:r>
      <w:r>
        <w:rPr>
          <w:rFonts w:ascii="Calibri" w:hAnsi="Calibri" w:eastAsia="NSimSun" w:cs="Lucida Sans"/>
          <w:b/>
          <w:bCs/>
          <w:color w:val="111111"/>
          <w:kern w:val="0"/>
          <w:sz w:val="24"/>
          <w:szCs w:val="24"/>
          <w:lang w:val="pt-BR" w:eastAsia="zh-CN" w:bidi="hi-IN"/>
        </w:rPr>
        <w:t>2</w:t>
      </w:r>
      <w:r>
        <w:rPr>
          <w:rFonts w:ascii="Calibri" w:hAnsi="Calibri"/>
          <w:b/>
          <w:bCs/>
          <w:color w:val="111111"/>
          <w:sz w:val="24"/>
          <w:szCs w:val="24"/>
        </w:rPr>
        <w:t>.</w:t>
      </w:r>
      <w:r>
        <w:rPr>
          <w:rFonts w:ascii="Calibri" w:hAnsi="Calibri"/>
          <w:b/>
          <w:bCs/>
          <w:color w:val="111111"/>
          <w:sz w:val="24"/>
          <w:szCs w:val="24"/>
          <w:lang w:val="pt-BR"/>
        </w:rPr>
        <w:t>1</w:t>
      </w:r>
      <w:r>
        <w:rPr>
          <w:rFonts w:ascii="Calibri" w:hAnsi="Calibri"/>
          <w:b/>
          <w:bCs/>
          <w:color w:val="111111"/>
          <w:sz w:val="24"/>
          <w:szCs w:val="24"/>
        </w:rPr>
        <w:t>.1 –</w:t>
      </w:r>
      <w:r>
        <w:rPr>
          <w:rFonts w:ascii="Calibri" w:hAnsi="Calibri"/>
          <w:b w:val="0"/>
          <w:bCs w:val="0"/>
          <w:color w:val="111111"/>
          <w:sz w:val="24"/>
          <w:szCs w:val="24"/>
        </w:rPr>
        <w:t xml:space="preserve"> O fornecedor que tiver a sua proposta desclassificada, terá o tempo de 5 (cinco) minutos para solicitar reconsideração, findo o qual, o pregoeiro irá analisar a justificativa, fundamentando sua decisão.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.2 –</w:t>
      </w:r>
      <w:r>
        <w:rPr>
          <w:rFonts w:ascii="Calibri" w:hAnsi="Calibri"/>
          <w:b w:val="0"/>
          <w:bCs w:val="0"/>
          <w:color w:val="000000"/>
          <w:sz w:val="24"/>
          <w:szCs w:val="24"/>
        </w:rPr>
        <w:t xml:space="preserve"> A não desclassificação da proposta não impede o seu julgamento definitivo em sentido contrário, levado a efeito na fase de aceitação.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w:t>
      </w:r>
      <w:r>
        <w:rPr>
          <w:rFonts w:ascii="Calibri" w:hAnsi="Calibri"/>
          <w:b/>
          <w:bCs/>
          <w:color w:val="000000"/>
          <w:sz w:val="24"/>
          <w:szCs w:val="24"/>
          <w:lang w:val="pt-BR"/>
        </w:rPr>
        <w:t>2</w:t>
      </w:r>
      <w:r>
        <w:rPr>
          <w:rFonts w:ascii="Calibri" w:hAnsi="Calibri"/>
          <w:b/>
          <w:bCs/>
          <w:color w:val="000000"/>
          <w:sz w:val="24"/>
          <w:szCs w:val="24"/>
        </w:rPr>
        <w:t xml:space="preserve"> –</w:t>
      </w:r>
      <w:r>
        <w:rPr>
          <w:rFonts w:ascii="Calibri" w:hAnsi="Calibri"/>
          <w:b w:val="0"/>
          <w:bCs w:val="0"/>
          <w:color w:val="000000"/>
          <w:sz w:val="24"/>
          <w:szCs w:val="24"/>
        </w:rPr>
        <w:t xml:space="preserve"> O Sistema ordenará, automaticamente, as propostas classificadas pelo pregoeiro, sendo que somente estas participarão da fase de lances.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w:t>
      </w:r>
      <w:r>
        <w:rPr>
          <w:rFonts w:ascii="Calibri" w:hAnsi="Calibri"/>
          <w:b/>
          <w:bCs/>
          <w:color w:val="000000"/>
          <w:sz w:val="24"/>
          <w:szCs w:val="24"/>
          <w:lang w:val="pt-BR"/>
        </w:rPr>
        <w:t>3</w:t>
      </w:r>
      <w:r>
        <w:rPr>
          <w:rFonts w:ascii="Calibri" w:hAnsi="Calibri"/>
          <w:b/>
          <w:bCs/>
          <w:color w:val="000000"/>
          <w:sz w:val="24"/>
          <w:szCs w:val="24"/>
        </w:rPr>
        <w:t xml:space="preserve"> –</w:t>
      </w:r>
      <w:r>
        <w:rPr>
          <w:rFonts w:ascii="Calibri" w:hAnsi="Calibri"/>
          <w:b w:val="0"/>
          <w:bCs w:val="0"/>
          <w:color w:val="000000"/>
          <w:sz w:val="24"/>
          <w:szCs w:val="24"/>
        </w:rPr>
        <w:t xml:space="preserve"> As propostas apresentadas com o mesmo valor serão ordenadas automaticamente pelo sistema, por meio de sorteio eletrônico.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3</w:t>
      </w:r>
      <w:r>
        <w:rPr>
          <w:rFonts w:ascii="Calibri" w:hAnsi="Calibri"/>
          <w:b/>
          <w:bCs/>
          <w:color w:val="000000"/>
          <w:sz w:val="24"/>
          <w:szCs w:val="24"/>
        </w:rPr>
        <w:t xml:space="preserve"> –</w:t>
      </w:r>
      <w:r>
        <w:rPr>
          <w:rFonts w:ascii="Calibri" w:hAnsi="Calibri"/>
          <w:b w:val="0"/>
          <w:bCs w:val="0"/>
          <w:color w:val="000000"/>
          <w:sz w:val="24"/>
          <w:szCs w:val="24"/>
        </w:rPr>
        <w:t xml:space="preserve"> A partir do horário previsto no edital o pregoeiro dará início à etapa da disputa.</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3</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 xml:space="preserve"> –</w:t>
      </w:r>
      <w:r>
        <w:rPr>
          <w:rFonts w:ascii="Calibri" w:hAnsi="Calibri"/>
          <w:b w:val="0"/>
          <w:bCs w:val="0"/>
          <w:color w:val="000000"/>
          <w:sz w:val="24"/>
          <w:szCs w:val="24"/>
        </w:rPr>
        <w:t xml:space="preserve"> O pregoeiro abrirá o item/lote quando então os licitantes poderão encaminhar lances, exclusivamente, por meio do Sistema eletrônico.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3</w:t>
      </w:r>
      <w:r>
        <w:rPr>
          <w:rFonts w:ascii="Calibri" w:hAnsi="Calibri"/>
          <w:b/>
          <w:bCs/>
          <w:color w:val="000000"/>
          <w:sz w:val="24"/>
          <w:szCs w:val="24"/>
        </w:rPr>
        <w:t>.</w:t>
      </w:r>
      <w:r>
        <w:rPr>
          <w:rFonts w:ascii="Calibri" w:hAnsi="Calibri"/>
          <w:b/>
          <w:bCs/>
          <w:color w:val="000000"/>
          <w:sz w:val="24"/>
          <w:szCs w:val="24"/>
          <w:lang w:val="pt-BR"/>
        </w:rPr>
        <w:t>2</w:t>
      </w:r>
      <w:r>
        <w:rPr>
          <w:rFonts w:ascii="Calibri" w:hAnsi="Calibri"/>
          <w:b/>
          <w:bCs/>
          <w:color w:val="000000"/>
          <w:sz w:val="24"/>
          <w:szCs w:val="24"/>
        </w:rPr>
        <w:t xml:space="preserve"> –</w:t>
      </w:r>
      <w:r>
        <w:rPr>
          <w:rFonts w:ascii="Calibri" w:hAnsi="Calibri"/>
          <w:b w:val="0"/>
          <w:bCs w:val="0"/>
          <w:color w:val="000000"/>
          <w:sz w:val="24"/>
          <w:szCs w:val="24"/>
        </w:rPr>
        <w:t xml:space="preserve"> Será considerada como primeiro lance a proposta inicial apresentada.</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4</w:t>
      </w:r>
      <w:r>
        <w:rPr>
          <w:rFonts w:ascii="Calibri" w:hAnsi="Calibri"/>
          <w:b/>
          <w:bCs/>
          <w:color w:val="000000"/>
          <w:sz w:val="24"/>
          <w:szCs w:val="24"/>
        </w:rPr>
        <w:t xml:space="preserve"> – </w:t>
      </w:r>
      <w:r>
        <w:rPr>
          <w:rFonts w:ascii="Calibri" w:hAnsi="Calibri"/>
          <w:b w:val="0"/>
          <w:bCs w:val="0"/>
          <w:color w:val="000000"/>
          <w:sz w:val="24"/>
          <w:szCs w:val="24"/>
        </w:rPr>
        <w:t>Os licitantes poderão encaminhar lances exclusivamente por meio do Sistema eletrônico, sendo imediatamente informado do seu recebimento e do valor consignado no registro, visualizando seu horário e valor no link “histórico de lances”.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5</w:t>
      </w:r>
      <w:r>
        <w:rPr>
          <w:rFonts w:ascii="Calibri" w:hAnsi="Calibri"/>
          <w:b/>
          <w:bCs/>
          <w:color w:val="000000"/>
          <w:sz w:val="24"/>
          <w:szCs w:val="24"/>
        </w:rPr>
        <w:t xml:space="preserve"> – </w:t>
      </w:r>
      <w:r>
        <w:rPr>
          <w:rFonts w:ascii="Calibri" w:hAnsi="Calibri"/>
          <w:b w:val="0"/>
          <w:bCs w:val="0"/>
          <w:color w:val="000000"/>
          <w:sz w:val="24"/>
          <w:szCs w:val="24"/>
        </w:rPr>
        <w:t>Os licitantes poderão oferecer lances sucessivos somente inferiores ao último por ele ofertado e registrado pelo Sistema.</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5</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 xml:space="preserve"> –</w:t>
      </w:r>
      <w:r>
        <w:rPr>
          <w:rFonts w:ascii="Calibri" w:hAnsi="Calibri"/>
          <w:b w:val="0"/>
          <w:bCs w:val="0"/>
          <w:color w:val="000000"/>
          <w:sz w:val="24"/>
          <w:szCs w:val="24"/>
        </w:rPr>
        <w:t xml:space="preserve"> Não serão aceitos dois ou mais lances de mesmo valor, prevalecendo aquele que for recebido e registrado em primeiro.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6</w:t>
      </w:r>
      <w:r>
        <w:rPr>
          <w:rFonts w:ascii="Calibri" w:hAnsi="Calibri"/>
          <w:b/>
          <w:bCs/>
          <w:color w:val="000000"/>
          <w:sz w:val="24"/>
          <w:szCs w:val="24"/>
        </w:rPr>
        <w:t xml:space="preserve"> –</w:t>
      </w:r>
      <w:r>
        <w:rPr>
          <w:rFonts w:ascii="Calibri" w:hAnsi="Calibri"/>
          <w:b w:val="0"/>
          <w:bCs w:val="0"/>
          <w:color w:val="000000"/>
          <w:sz w:val="24"/>
          <w:szCs w:val="24"/>
        </w:rPr>
        <w:t xml:space="preserve"> Somente o licitante de menor lance dentre os ofertados, e enquanto mantiver esta situação, visualiza em tempo real o ícone “troféu”.</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7</w:t>
      </w:r>
      <w:r>
        <w:rPr>
          <w:rFonts w:ascii="Calibri" w:hAnsi="Calibri"/>
          <w:b/>
          <w:bCs/>
          <w:color w:val="000000"/>
          <w:sz w:val="24"/>
          <w:szCs w:val="24"/>
        </w:rPr>
        <w:t xml:space="preserve"> –</w:t>
      </w:r>
      <w:r>
        <w:rPr>
          <w:rFonts w:ascii="Calibri" w:hAnsi="Calibri"/>
          <w:b w:val="0"/>
          <w:bCs w:val="0"/>
          <w:color w:val="000000"/>
          <w:sz w:val="24"/>
          <w:szCs w:val="24"/>
        </w:rPr>
        <w:t xml:space="preserve"> Durante o transcurso da sessão pública, os licitantes serão informados, em tempo real, do valor do menor lance registrado, vedada a identificação do licitante.</w:t>
      </w:r>
    </w:p>
    <w:p>
      <w:pPr>
        <w:pStyle w:val="2"/>
        <w:overflowPunct w:val="0"/>
        <w:bidi w:val="0"/>
        <w:spacing w:before="1" w:after="0"/>
        <w:ind w:left="0" w:right="0" w:firstLine="0"/>
        <w:jc w:val="both"/>
        <w:rPr>
          <w:rFonts w:ascii="Calibri" w:hAnsi="Calibri"/>
          <w:b w:val="0"/>
          <w:bCs w:val="0"/>
          <w:color w:val="000000"/>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7</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 xml:space="preserve"> –</w:t>
      </w:r>
      <w:r>
        <w:rPr>
          <w:rFonts w:ascii="Calibri" w:hAnsi="Calibri"/>
          <w:b w:val="0"/>
          <w:bCs w:val="0"/>
          <w:color w:val="000000"/>
          <w:sz w:val="24"/>
          <w:szCs w:val="24"/>
        </w:rPr>
        <w:t xml:space="preserve"> O Sistema não identificará os autores dos lances podendo visualizar valores e horários registrados no link “histórico de lances”.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hint="default" w:ascii="Calibri" w:hAnsi="Calibri" w:cs="Lucida Sans"/>
          <w:b/>
          <w:bCs/>
          <w:color w:val="000000"/>
          <w:kern w:val="0"/>
          <w:sz w:val="24"/>
          <w:szCs w:val="24"/>
          <w:lang w:val="pt-BR" w:eastAsia="zh-CN" w:bidi="hi-IN"/>
        </w:rPr>
        <w:t>8</w:t>
      </w:r>
      <w:r>
        <w:rPr>
          <w:rFonts w:ascii="Calibri" w:hAnsi="Calibri"/>
          <w:b/>
          <w:bCs/>
          <w:color w:val="000000"/>
          <w:sz w:val="24"/>
          <w:szCs w:val="24"/>
        </w:rPr>
        <w:t xml:space="preserve"> –</w:t>
      </w:r>
      <w:r>
        <w:rPr>
          <w:rFonts w:ascii="Calibri" w:hAnsi="Calibri"/>
          <w:b w:val="0"/>
          <w:bCs w:val="0"/>
          <w:color w:val="000000"/>
          <w:sz w:val="24"/>
          <w:szCs w:val="24"/>
        </w:rPr>
        <w:t xml:space="preserve"> O procedimento seguirá de acordo com o modo de disputa adotado.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hint="default" w:ascii="Calibri" w:hAnsi="Calibri" w:cs="Lucida Sans"/>
          <w:b/>
          <w:bCs/>
          <w:color w:val="000000"/>
          <w:kern w:val="0"/>
          <w:sz w:val="24"/>
          <w:szCs w:val="24"/>
          <w:lang w:val="pt-BR" w:eastAsia="zh-CN" w:bidi="hi-IN"/>
        </w:rPr>
        <w:t>9</w:t>
      </w:r>
      <w:r>
        <w:rPr>
          <w:rFonts w:ascii="Calibri" w:hAnsi="Calibri"/>
          <w:b/>
          <w:bCs/>
          <w:color w:val="000000"/>
          <w:sz w:val="24"/>
          <w:szCs w:val="24"/>
        </w:rPr>
        <w:t xml:space="preserve"> </w:t>
      </w:r>
      <w:r>
        <w:rPr>
          <w:rFonts w:ascii="Calibri" w:hAnsi="Calibri" w:eastAsia="NSimSun" w:cs="Lucida Sans"/>
          <w:b/>
          <w:bCs/>
          <w:color w:val="000000"/>
          <w:kern w:val="0"/>
          <w:sz w:val="24"/>
          <w:szCs w:val="24"/>
          <w:lang w:val="pt-BR" w:eastAsia="zh-CN" w:bidi="hi-IN"/>
        </w:rPr>
        <w:t>–</w:t>
      </w:r>
      <w:r>
        <w:rPr>
          <w:rFonts w:ascii="Calibri" w:hAnsi="Calibri"/>
          <w:b w:val="0"/>
          <w:bCs w:val="0"/>
          <w:color w:val="000000"/>
          <w:sz w:val="24"/>
          <w:szCs w:val="24"/>
        </w:rPr>
        <w:t xml:space="preserve"> Caso seja adotado para o envio de lances no pregão eletrônico o modo de disputa "aberto", os licitantes apresentarão lances públicos e sucessivos, com prorrogações.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1</w:t>
      </w:r>
      <w:r>
        <w:rPr>
          <w:rFonts w:hint="default" w:ascii="Calibri" w:hAnsi="Calibri" w:cs="Lucida Sans"/>
          <w:b/>
          <w:bCs/>
          <w:color w:val="000000"/>
          <w:kern w:val="0"/>
          <w:sz w:val="24"/>
          <w:szCs w:val="24"/>
          <w:lang w:val="pt-BR" w:eastAsia="zh-CN" w:bidi="hi-IN"/>
        </w:rPr>
        <w:t>0</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 xml:space="preserve"> A etapa de lances da sessão pública terá duração de dez minutos e, após isso, será prorrogada automaticamente pelo sistema quando houver lance ofertado nos últimos dois minutos do período de duração da sessão pública.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1</w:t>
      </w:r>
      <w:r>
        <w:rPr>
          <w:rFonts w:hint="default"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 xml:space="preserve"> A prorrogação automática da etapa de lances, de que trata o subitem anterior, será de dois minutos e ocorrerá sucessivamente sempre que houver lances enviados nesse período de prorrogação, inclusive no caso de lances intermediários.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1</w:t>
      </w:r>
      <w:r>
        <w:rPr>
          <w:rFonts w:hint="default"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w:t>
      </w:r>
      <w:r>
        <w:rPr>
          <w:rFonts w:ascii="Calibri" w:hAnsi="Calibri"/>
          <w:b w:val="0"/>
          <w:bCs w:val="0"/>
          <w:color w:val="000000"/>
          <w:sz w:val="24"/>
          <w:szCs w:val="24"/>
        </w:rPr>
        <w:t>Não havendo novos lances na forma estabelecida nos itens anteriores, a sessão pública encerrar-se-á automaticamente, e o sistema ordenará e divulgará os lances conforme a ordem final de classificação.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1</w:t>
      </w:r>
      <w:r>
        <w:rPr>
          <w:rFonts w:hint="default" w:ascii="Calibri" w:hAnsi="Calibri" w:cs="Lucida Sans"/>
          <w:b/>
          <w:bCs/>
          <w:color w:val="000000"/>
          <w:kern w:val="0"/>
          <w:sz w:val="24"/>
          <w:szCs w:val="24"/>
          <w:lang w:val="pt-BR" w:eastAsia="zh-CN" w:bidi="hi-IN"/>
        </w:rPr>
        <w:t>3</w:t>
      </w:r>
      <w:r>
        <w:rPr>
          <w:rFonts w:ascii="Calibri" w:hAnsi="Calibri"/>
          <w:b/>
          <w:bCs/>
          <w:color w:val="000000"/>
          <w:sz w:val="24"/>
          <w:szCs w:val="24"/>
        </w:rPr>
        <w:t xml:space="preserve"> </w:t>
      </w:r>
      <w:r>
        <w:rPr>
          <w:rFonts w:ascii="Calibri" w:hAnsi="Calibri" w:eastAsia="NSimSun" w:cs="Lucida Sans"/>
          <w:b/>
          <w:bCs/>
          <w:color w:val="000000"/>
          <w:kern w:val="0"/>
          <w:sz w:val="24"/>
          <w:szCs w:val="24"/>
          <w:lang w:val="pt-BR" w:eastAsia="zh-CN" w:bidi="hi-IN"/>
        </w:rPr>
        <w:t>–</w:t>
      </w:r>
      <w:r>
        <w:rPr>
          <w:rFonts w:ascii="Calibri" w:hAnsi="Calibri"/>
          <w:b w:val="0"/>
          <w:bCs w:val="0"/>
          <w:color w:val="000000"/>
          <w:sz w:val="24"/>
          <w:szCs w:val="24"/>
        </w:rPr>
        <w:t xml:space="preserve"> Após o reinício previsto no item supra, os licitantes serão convocados para apresentar lances intermediários.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1</w:t>
      </w:r>
      <w:r>
        <w:rPr>
          <w:rFonts w:hint="default" w:ascii="Calibri" w:hAnsi="Calibri" w:cs="Lucida Sans"/>
          <w:b/>
          <w:bCs/>
          <w:color w:val="000000"/>
          <w:kern w:val="0"/>
          <w:sz w:val="24"/>
          <w:szCs w:val="24"/>
          <w:lang w:val="pt-BR" w:eastAsia="zh-CN" w:bidi="hi-IN"/>
        </w:rPr>
        <w:t>4</w:t>
      </w:r>
      <w:r>
        <w:rPr>
          <w:rFonts w:ascii="Calibri" w:hAnsi="Calibri"/>
          <w:b/>
          <w:bCs/>
          <w:color w:val="000000"/>
          <w:sz w:val="24"/>
          <w:szCs w:val="24"/>
        </w:rPr>
        <w:t xml:space="preserve"> </w:t>
      </w:r>
      <w:r>
        <w:rPr>
          <w:rFonts w:ascii="Calibri" w:hAnsi="Calibri" w:eastAsia="NSimSun" w:cs="Lucida Sans"/>
          <w:b/>
          <w:bCs/>
          <w:color w:val="000000"/>
          <w:kern w:val="0"/>
          <w:sz w:val="24"/>
          <w:szCs w:val="24"/>
          <w:lang w:val="pt-BR" w:eastAsia="zh-CN" w:bidi="hi-IN"/>
        </w:rPr>
        <w:t>–</w:t>
      </w:r>
      <w:r>
        <w:rPr>
          <w:rFonts w:ascii="Calibri" w:hAnsi="Calibri"/>
          <w:b/>
          <w:bCs/>
          <w:color w:val="000000"/>
          <w:sz w:val="24"/>
          <w:szCs w:val="24"/>
        </w:rPr>
        <w:t xml:space="preserve"> </w:t>
      </w:r>
      <w:r>
        <w:rPr>
          <w:rFonts w:ascii="Calibri" w:hAnsi="Calibri"/>
          <w:b w:val="0"/>
          <w:bCs w:val="0"/>
          <w:color w:val="000000"/>
          <w:sz w:val="24"/>
          <w:szCs w:val="24"/>
        </w:rPr>
        <w:t>Caso seja adotado para o envio de lances no pregão eletrônico o modo de disputa "aberto e fechado", os licitantes apresentarão lances públicos e sucessivos, com lance final e fechado.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1</w:t>
      </w:r>
      <w:r>
        <w:rPr>
          <w:rFonts w:hint="default" w:ascii="Calibri" w:hAnsi="Calibri" w:cs="Lucida Sans"/>
          <w:b/>
          <w:bCs/>
          <w:color w:val="000000"/>
          <w:kern w:val="0"/>
          <w:sz w:val="24"/>
          <w:szCs w:val="24"/>
          <w:lang w:val="pt-BR" w:eastAsia="zh-CN" w:bidi="hi-IN"/>
        </w:rPr>
        <w:t>5</w:t>
      </w:r>
      <w:r>
        <w:rPr>
          <w:rFonts w:ascii="Calibri" w:hAnsi="Calibri"/>
          <w:b/>
          <w:bCs/>
          <w:color w:val="000000"/>
          <w:sz w:val="24"/>
          <w:szCs w:val="24"/>
        </w:rPr>
        <w:t xml:space="preserve"> </w:t>
      </w:r>
      <w:r>
        <w:rPr>
          <w:rFonts w:ascii="Calibri" w:hAnsi="Calibri" w:eastAsia="NSimSun" w:cs="Lucida Sans"/>
          <w:b/>
          <w:bCs/>
          <w:color w:val="000000"/>
          <w:kern w:val="0"/>
          <w:sz w:val="24"/>
          <w:szCs w:val="24"/>
          <w:lang w:val="pt-BR" w:eastAsia="zh-CN" w:bidi="hi-IN"/>
        </w:rPr>
        <w:t>–</w:t>
      </w:r>
      <w:r>
        <w:rPr>
          <w:rFonts w:ascii="Calibri" w:hAnsi="Calibri"/>
          <w:b w:val="0"/>
          <w:bCs w:val="0"/>
          <w:color w:val="000000"/>
          <w:sz w:val="24"/>
          <w:szCs w:val="24"/>
        </w:rPr>
        <w:t xml:space="preserve">  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1</w:t>
      </w:r>
      <w:r>
        <w:rPr>
          <w:rFonts w:hint="default" w:ascii="Calibri" w:hAnsi="Calibri" w:cs="Lucida Sans"/>
          <w:b/>
          <w:bCs/>
          <w:color w:val="000000"/>
          <w:kern w:val="0"/>
          <w:sz w:val="24"/>
          <w:szCs w:val="24"/>
          <w:lang w:val="pt-BR" w:eastAsia="zh-CN" w:bidi="hi-IN"/>
        </w:rPr>
        <w:t>6</w:t>
      </w:r>
      <w:r>
        <w:rPr>
          <w:rFonts w:ascii="Calibri" w:hAnsi="Calibri"/>
          <w:b/>
          <w:bCs/>
          <w:color w:val="000000"/>
          <w:sz w:val="24"/>
          <w:szCs w:val="24"/>
        </w:rPr>
        <w:t xml:space="preserve"> </w:t>
      </w:r>
      <w:r>
        <w:rPr>
          <w:rFonts w:ascii="Calibri" w:hAnsi="Calibri" w:eastAsia="NSimSun" w:cs="Lucida Sans"/>
          <w:b/>
          <w:bCs/>
          <w:color w:val="000000"/>
          <w:kern w:val="0"/>
          <w:sz w:val="24"/>
          <w:szCs w:val="24"/>
          <w:lang w:val="pt-BR" w:eastAsia="zh-CN" w:bidi="hi-IN"/>
        </w:rPr>
        <w:t>–</w:t>
      </w:r>
      <w:r>
        <w:rPr>
          <w:rFonts w:ascii="Calibri" w:hAnsi="Calibri"/>
          <w:b w:val="0"/>
          <w:bCs w:val="0"/>
          <w:color w:val="000000"/>
          <w:sz w:val="24"/>
          <w:szCs w:val="24"/>
        </w:rPr>
        <w:t xml:space="preserve">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cs="Lucida Sans"/>
          <w:b/>
          <w:bCs/>
          <w:color w:val="000000"/>
          <w:kern w:val="0"/>
          <w:sz w:val="24"/>
          <w:szCs w:val="24"/>
          <w:lang w:val="pt-BR" w:eastAsia="zh-CN" w:bidi="hi-IN"/>
        </w:rPr>
        <w:t>1</w:t>
      </w:r>
      <w:r>
        <w:rPr>
          <w:rFonts w:hint="default" w:ascii="Calibri" w:hAnsi="Calibri" w:cs="Lucida Sans"/>
          <w:b/>
          <w:bCs/>
          <w:color w:val="000000"/>
          <w:kern w:val="0"/>
          <w:sz w:val="24"/>
          <w:szCs w:val="24"/>
          <w:lang w:val="pt-BR" w:eastAsia="zh-CN" w:bidi="hi-IN"/>
        </w:rPr>
        <w:t>7</w:t>
      </w:r>
      <w:r>
        <w:rPr>
          <w:rFonts w:ascii="Calibri" w:hAnsi="Calibri"/>
          <w:b/>
          <w:bCs/>
          <w:color w:val="000000"/>
          <w:sz w:val="24"/>
          <w:szCs w:val="24"/>
        </w:rPr>
        <w:t xml:space="preserve">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No procedimento de que trata o subitem supra, o licitante poderá optar por manter o seu último lance da etapa aberta, ou por ofertar melhor lance.</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cs="Lucida Sans"/>
          <w:b/>
          <w:bCs/>
          <w:color w:val="000000"/>
          <w:kern w:val="0"/>
          <w:sz w:val="24"/>
          <w:szCs w:val="24"/>
          <w:lang w:val="pt-BR" w:eastAsia="zh-CN" w:bidi="hi-IN"/>
        </w:rPr>
        <w:t>1</w:t>
      </w:r>
      <w:r>
        <w:rPr>
          <w:rFonts w:hint="default" w:ascii="Calibri" w:hAnsi="Calibri" w:cs="Lucida Sans"/>
          <w:b/>
          <w:bCs/>
          <w:color w:val="000000"/>
          <w:kern w:val="0"/>
          <w:sz w:val="24"/>
          <w:szCs w:val="24"/>
          <w:lang w:val="pt-BR" w:eastAsia="zh-CN" w:bidi="hi-IN"/>
        </w:rPr>
        <w:t>8</w:t>
      </w:r>
      <w:r>
        <w:rPr>
          <w:rFonts w:ascii="Calibri" w:hAnsi="Calibri"/>
          <w:b/>
          <w:bCs/>
          <w:color w:val="000000"/>
          <w:sz w:val="24"/>
          <w:szCs w:val="24"/>
        </w:rPr>
        <w:t xml:space="preserve">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hint="default" w:ascii="Calibri" w:hAnsi="Calibri" w:cs="Lucida Sans"/>
          <w:b/>
          <w:bCs/>
          <w:color w:val="000000"/>
          <w:kern w:val="0"/>
          <w:sz w:val="24"/>
          <w:szCs w:val="24"/>
          <w:lang w:val="pt-BR" w:eastAsia="zh-CN" w:bidi="hi-IN"/>
        </w:rPr>
        <w:t>19</w:t>
      </w:r>
      <w:r>
        <w:rPr>
          <w:rFonts w:ascii="Calibri" w:hAnsi="Calibri"/>
          <w:b/>
          <w:bCs/>
          <w:color w:val="000000"/>
          <w:sz w:val="24"/>
          <w:szCs w:val="24"/>
        </w:rPr>
        <w:t xml:space="preserve">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Após o término dos prazos estabelecidos nos itens anteriores, o sistema ordenará e divulgará os lances segundo a ordem crescente de valores.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hint="default" w:ascii="Calibri" w:hAnsi="Calibri" w:cs="Lucida Sans"/>
          <w:b/>
          <w:bCs/>
          <w:color w:val="000000"/>
          <w:kern w:val="0"/>
          <w:sz w:val="24"/>
          <w:szCs w:val="24"/>
          <w:lang w:val="pt-BR" w:eastAsia="zh-CN" w:bidi="hi-IN"/>
        </w:rPr>
        <w:t>0</w:t>
      </w:r>
      <w:r>
        <w:rPr>
          <w:rFonts w:ascii="Calibri" w:hAnsi="Calibri"/>
          <w:b/>
          <w:bCs/>
          <w:color w:val="000000"/>
          <w:sz w:val="24"/>
          <w:szCs w:val="24"/>
        </w:rPr>
        <w:t xml:space="preserve">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hint="default" w:ascii="Calibri" w:hAnsi="Calibri" w:cs="Lucida Sans"/>
          <w:b/>
          <w:bCs/>
          <w:color w:val="000000"/>
          <w:kern w:val="0"/>
          <w:sz w:val="24"/>
          <w:szCs w:val="24"/>
          <w:lang w:val="pt-BR" w:eastAsia="zh-CN" w:bidi="hi-IN"/>
        </w:rPr>
        <w:t>1</w:t>
      </w:r>
      <w:r>
        <w:rPr>
          <w:rFonts w:ascii="Calibri" w:hAnsi="Calibri"/>
          <w:b/>
          <w:bCs/>
          <w:color w:val="000000"/>
          <w:sz w:val="24"/>
          <w:szCs w:val="24"/>
        </w:rPr>
        <w:t xml:space="preserve"> – </w:t>
      </w:r>
      <w:r>
        <w:rPr>
          <w:rFonts w:ascii="Calibri" w:hAnsi="Calibri"/>
          <w:b w:val="0"/>
          <w:bCs w:val="0"/>
          <w:color w:val="000000"/>
          <w:sz w:val="24"/>
          <w:szCs w:val="24"/>
        </w:rPr>
        <w:t>Não havendo pelo menos 3 (três) propostas nas condições definidas no item 9.</w:t>
      </w:r>
      <w:r>
        <w:rPr>
          <w:rFonts w:ascii="Calibri" w:hAnsi="Calibri" w:eastAsia="NSimSun" w:cs="Lucida Sans"/>
          <w:b w:val="0"/>
          <w:bCs w:val="0"/>
          <w:color w:val="000000"/>
          <w:kern w:val="0"/>
          <w:sz w:val="24"/>
          <w:szCs w:val="24"/>
          <w:lang w:val="pt-BR" w:eastAsia="zh-CN" w:bidi="hi-IN"/>
        </w:rPr>
        <w:t>2</w:t>
      </w:r>
      <w:r>
        <w:rPr>
          <w:rFonts w:hint="default" w:ascii="Calibri" w:hAnsi="Calibri" w:cs="Lucida Sans"/>
          <w:b w:val="0"/>
          <w:bCs w:val="0"/>
          <w:color w:val="000000"/>
          <w:kern w:val="0"/>
          <w:sz w:val="24"/>
          <w:szCs w:val="24"/>
          <w:lang w:val="pt-BR" w:eastAsia="zh-CN" w:bidi="hi-IN"/>
        </w:rPr>
        <w:t>0</w:t>
      </w:r>
      <w:r>
        <w:rPr>
          <w:rFonts w:ascii="Calibri" w:hAnsi="Calibri"/>
          <w:b w:val="0"/>
          <w:bCs w:val="0"/>
          <w:color w:val="000000"/>
          <w:sz w:val="24"/>
          <w:szCs w:val="24"/>
        </w:rPr>
        <w:t>, poderão os licitantes que apresentaram as três melhores propostas, consideradas as empatadas, oferecer novos lances sucessivos.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hint="default" w:ascii="Calibri" w:hAnsi="Calibri" w:cs="Lucida Sans"/>
          <w:b/>
          <w:bCs/>
          <w:color w:val="000000"/>
          <w:kern w:val="0"/>
          <w:sz w:val="24"/>
          <w:szCs w:val="24"/>
          <w:lang w:val="pt-BR" w:eastAsia="zh-CN" w:bidi="hi-IN"/>
        </w:rPr>
        <w:t xml:space="preserve">2 </w:t>
      </w:r>
      <w:r>
        <w:rPr>
          <w:rFonts w:ascii="Calibri" w:hAnsi="Calibri" w:eastAsia="NSimSun" w:cs="Lucida Sans"/>
          <w:b/>
          <w:bCs/>
          <w:color w:val="000000"/>
          <w:kern w:val="0"/>
          <w:sz w:val="24"/>
          <w:szCs w:val="24"/>
          <w:lang w:val="pt-BR" w:eastAsia="zh-CN" w:bidi="hi-IN"/>
        </w:rPr>
        <w:t>–</w:t>
      </w:r>
      <w:r>
        <w:rPr>
          <w:rFonts w:ascii="Calibri" w:hAnsi="Calibri" w:eastAsia="NSimSun" w:cs="Lucida Sans"/>
          <w:b w:val="0"/>
          <w:bCs w:val="0"/>
          <w:color w:val="000000"/>
          <w:kern w:val="0"/>
          <w:sz w:val="24"/>
          <w:szCs w:val="24"/>
          <w:lang w:val="pt-BR" w:eastAsia="zh-CN" w:bidi="hi-IN"/>
        </w:rPr>
        <w:t xml:space="preserve"> </w:t>
      </w:r>
      <w:r>
        <w:rPr>
          <w:rFonts w:ascii="Calibri" w:hAnsi="Calibri"/>
          <w:b w:val="0"/>
          <w:bCs w:val="0"/>
          <w:color w:val="000000"/>
          <w:sz w:val="24"/>
          <w:szCs w:val="24"/>
        </w:rPr>
        <w:t>A etapa de lances da sessão pública terá duração de dez minutos e, após isso, será prorrogada automaticamente pelo sistema quando houver lance ofertado nos últimos dois minutos do período de duração da sessão pública.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hint="default" w:ascii="Calibri" w:hAnsi="Calibri" w:cs="Lucida Sans"/>
          <w:b/>
          <w:bCs/>
          <w:color w:val="000000"/>
          <w:kern w:val="0"/>
          <w:sz w:val="24"/>
          <w:szCs w:val="24"/>
          <w:lang w:val="pt-BR" w:eastAsia="zh-CN" w:bidi="hi-IN"/>
        </w:rPr>
        <w:t>3</w:t>
      </w:r>
      <w:r>
        <w:rPr>
          <w:rFonts w:ascii="Calibri" w:hAnsi="Calibri" w:eastAsia="NSimSun" w:cs="Lucida Sans"/>
          <w:b/>
          <w:bCs/>
          <w:color w:val="000000"/>
          <w:kern w:val="0"/>
          <w:sz w:val="24"/>
          <w:szCs w:val="24"/>
          <w:lang w:val="pt-BR" w:eastAsia="zh-CN" w:bidi="hi-IN"/>
        </w:rPr>
        <w:t xml:space="preserve"> – </w:t>
      </w:r>
      <w:r>
        <w:rPr>
          <w:rFonts w:ascii="Calibri" w:hAnsi="Calibri"/>
          <w:b w:val="0"/>
          <w:bCs w:val="0"/>
          <w:color w:val="000000"/>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hint="default" w:ascii="Calibri" w:hAnsi="Calibri" w:cs="Lucida Sans"/>
          <w:b/>
          <w:bCs/>
          <w:color w:val="000000"/>
          <w:kern w:val="0"/>
          <w:sz w:val="24"/>
          <w:szCs w:val="24"/>
          <w:lang w:val="pt-BR" w:eastAsia="zh-CN" w:bidi="hi-IN"/>
        </w:rPr>
        <w:t>4</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w:t>
      </w:r>
      <w:r>
        <w:rPr>
          <w:rFonts w:ascii="Calibri" w:hAnsi="Calibri"/>
          <w:b w:val="0"/>
          <w:bCs w:val="0"/>
          <w:color w:val="000000"/>
          <w:sz w:val="24"/>
          <w:szCs w:val="24"/>
        </w:rPr>
        <w:t>Não havendo novos lances na forma estabelecida nos itens anteriores, a sessão pública encerrar-se-á automaticamente, e o sistema ordenará e divulgará os lances conforme a ordem final de classificação.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hint="default" w:ascii="Calibri" w:hAnsi="Calibri" w:cs="Lucida Sans"/>
          <w:b/>
          <w:bCs/>
          <w:color w:val="000000"/>
          <w:kern w:val="0"/>
          <w:sz w:val="24"/>
          <w:szCs w:val="24"/>
          <w:lang w:val="pt-BR" w:eastAsia="zh-CN" w:bidi="hi-IN"/>
        </w:rPr>
        <w:t>5</w:t>
      </w:r>
      <w:r>
        <w:rPr>
          <w:rFonts w:ascii="Calibri" w:hAnsi="Calibri" w:cs="Lucida Sans"/>
          <w:b/>
          <w:bCs/>
          <w:color w:val="000000"/>
          <w:kern w:val="0"/>
          <w:sz w:val="24"/>
          <w:szCs w:val="24"/>
          <w:lang w:val="pt-BR" w:eastAsia="zh-CN" w:bidi="hi-IN"/>
        </w:rPr>
        <w:t xml:space="preserve">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hint="default" w:ascii="Calibri" w:hAnsi="Calibri" w:cs="Lucida Sans"/>
          <w:b/>
          <w:bCs/>
          <w:color w:val="000000"/>
          <w:kern w:val="0"/>
          <w:sz w:val="24"/>
          <w:szCs w:val="24"/>
          <w:lang w:val="pt-BR" w:eastAsia="zh-CN" w:bidi="hi-IN"/>
        </w:rPr>
        <w:t>5</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 xml:space="preserve"> –</w:t>
      </w:r>
      <w:r>
        <w:rPr>
          <w:rFonts w:ascii="Calibri" w:hAnsi="Calibri"/>
          <w:b w:val="0"/>
          <w:bCs w:val="0"/>
          <w:color w:val="000000"/>
          <w:sz w:val="24"/>
          <w:szCs w:val="24"/>
        </w:rPr>
        <w:t xml:space="preserve"> Depois de encerrados, automaticamente, os itens/lotes para a recepção de lances, por comando do pregoeiro, encerrar-se-á a fase competitiva (etapa da disputa) e o Sistema eletrônico emitirá aviso via chat iniciando as fases de negociação, aceitabilidade e habilitação.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hint="default" w:ascii="Calibri" w:hAnsi="Calibri" w:cs="Lucida Sans"/>
          <w:b/>
          <w:bCs/>
          <w:color w:val="000000"/>
          <w:kern w:val="0"/>
          <w:sz w:val="24"/>
          <w:szCs w:val="24"/>
          <w:lang w:val="pt-BR" w:eastAsia="zh-CN" w:bidi="hi-IN"/>
        </w:rPr>
        <w:t>6</w:t>
      </w:r>
      <w:r>
        <w:rPr>
          <w:rFonts w:ascii="Calibri" w:hAnsi="Calibri"/>
          <w:b/>
          <w:bCs/>
          <w:color w:val="000000"/>
          <w:sz w:val="24"/>
          <w:szCs w:val="24"/>
        </w:rPr>
        <w:t xml:space="preserve"> –</w:t>
      </w:r>
      <w:r>
        <w:rPr>
          <w:rFonts w:ascii="Calibri" w:hAnsi="Calibri"/>
          <w:b w:val="0"/>
          <w:bCs w:val="0"/>
          <w:color w:val="000000"/>
          <w:sz w:val="24"/>
          <w:szCs w:val="24"/>
        </w:rPr>
        <w:t xml:space="preserve"> O Sistema, automaticamente, verificará os requisitos para a aplicação da Lei Complementar nº 123/2006. Na sequência o pregoeiro poderá negociar diretamente com o proponente para que seja obtido preço melhor.</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hint="default" w:ascii="Calibri" w:hAnsi="Calibri" w:cs="Lucida Sans"/>
          <w:b/>
          <w:bCs/>
          <w:color w:val="000000"/>
          <w:kern w:val="0"/>
          <w:sz w:val="24"/>
          <w:szCs w:val="24"/>
          <w:lang w:val="pt-BR" w:eastAsia="zh-CN" w:bidi="hi-IN"/>
        </w:rPr>
        <w:t>6</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 xml:space="preserve"> –</w:t>
      </w:r>
      <w:r>
        <w:rPr>
          <w:rFonts w:ascii="Calibri" w:hAnsi="Calibri"/>
          <w:b w:val="0"/>
          <w:bCs w:val="0"/>
          <w:color w:val="000000"/>
          <w:sz w:val="24"/>
          <w:szCs w:val="24"/>
        </w:rPr>
        <w:t xml:space="preserve"> Deverá o pregoeiro, antes de anunciar o vencedor, encaminhar, pelo Sistema eletrônico, contraproposta diretamente à proponente que tenha enviado o lance de menor preço, para que seja obtida melhor proposta, bem como decidir sobre sua aceitação, observado o critério de julgamento, não se admitindo negociar condições diferentes daquelas previstas no edital.</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hint="default" w:ascii="Calibri" w:hAnsi="Calibri" w:cs="Lucida Sans"/>
          <w:b/>
          <w:bCs/>
          <w:color w:val="000000"/>
          <w:kern w:val="0"/>
          <w:sz w:val="24"/>
          <w:szCs w:val="24"/>
          <w:lang w:val="pt-BR" w:eastAsia="zh-CN" w:bidi="hi-IN"/>
        </w:rPr>
        <w:t>6.</w:t>
      </w:r>
      <w:r>
        <w:rPr>
          <w:rFonts w:ascii="Calibri" w:hAnsi="Calibri"/>
          <w:b/>
          <w:bCs/>
          <w:color w:val="000000"/>
          <w:sz w:val="24"/>
          <w:szCs w:val="24"/>
          <w:lang w:val="pt-BR"/>
        </w:rPr>
        <w:t>2</w:t>
      </w:r>
      <w:r>
        <w:rPr>
          <w:rFonts w:ascii="Calibri" w:hAnsi="Calibri"/>
          <w:b/>
          <w:bCs/>
          <w:color w:val="000000"/>
          <w:sz w:val="24"/>
          <w:szCs w:val="24"/>
        </w:rPr>
        <w:t xml:space="preserve"> –</w:t>
      </w:r>
      <w:r>
        <w:rPr>
          <w:rFonts w:ascii="Calibri" w:hAnsi="Calibri"/>
          <w:b w:val="0"/>
          <w:bCs w:val="0"/>
          <w:color w:val="000000"/>
          <w:sz w:val="24"/>
          <w:szCs w:val="24"/>
        </w:rPr>
        <w:t xml:space="preserve"> A negociação será realizada por intermédio do Sistema de troca de mensagens (chat), podendo ser acompanhada pelos demais licitantes.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hint="default" w:ascii="Calibri" w:hAnsi="Calibri" w:cs="Lucida Sans"/>
          <w:b/>
          <w:bCs/>
          <w:color w:val="000000"/>
          <w:kern w:val="0"/>
          <w:sz w:val="24"/>
          <w:szCs w:val="24"/>
          <w:lang w:val="pt-BR" w:eastAsia="zh-CN" w:bidi="hi-IN"/>
        </w:rPr>
        <w:t xml:space="preserve">7 </w:t>
      </w:r>
      <w:r>
        <w:rPr>
          <w:rFonts w:ascii="Calibri" w:hAnsi="Calibri"/>
          <w:b/>
          <w:bCs/>
          <w:color w:val="000000"/>
          <w:sz w:val="24"/>
          <w:szCs w:val="24"/>
        </w:rPr>
        <w:t>–</w:t>
      </w:r>
      <w:r>
        <w:rPr>
          <w:rFonts w:ascii="Calibri" w:hAnsi="Calibri"/>
          <w:b w:val="0"/>
          <w:bCs w:val="0"/>
          <w:color w:val="000000"/>
          <w:sz w:val="24"/>
          <w:szCs w:val="24"/>
        </w:rPr>
        <w:t xml:space="preserve"> Ocorrendo o empate será assegurada, como critério de desempate, preferência de contratação para as microempresas e empresas de pequeno porte.</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hint="default" w:ascii="Calibri" w:hAnsi="Calibri" w:cs="Lucida Sans"/>
          <w:b/>
          <w:bCs/>
          <w:color w:val="000000"/>
          <w:kern w:val="0"/>
          <w:sz w:val="24"/>
          <w:szCs w:val="24"/>
          <w:lang w:val="pt-BR" w:eastAsia="zh-CN" w:bidi="hi-IN"/>
        </w:rPr>
        <w:t>7</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 xml:space="preserve"> –</w:t>
      </w:r>
      <w:r>
        <w:rPr>
          <w:rFonts w:ascii="Calibri" w:hAnsi="Calibri"/>
          <w:b w:val="0"/>
          <w:bCs w:val="0"/>
          <w:color w:val="000000"/>
          <w:sz w:val="24"/>
          <w:szCs w:val="24"/>
        </w:rPr>
        <w:t xml:space="preserve"> Entende-se por empate aquelas situações em que as propostas/lances enviados pelas microempresas e empresas de pequeno porte sejam iguais ou até 5% (cinco por cento) superiores à proposta/lance mais bem classificado, conforme disposto na Lei Complementar nº 123/2006 e suas alterações.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hint="default" w:ascii="Calibri" w:hAnsi="Calibri" w:cs="Lucida Sans"/>
          <w:b/>
          <w:bCs/>
          <w:color w:val="000000"/>
          <w:kern w:val="0"/>
          <w:sz w:val="24"/>
          <w:szCs w:val="24"/>
          <w:lang w:val="pt-BR" w:eastAsia="zh-CN" w:bidi="hi-IN"/>
        </w:rPr>
        <w:t>7</w:t>
      </w:r>
      <w:r>
        <w:rPr>
          <w:rFonts w:ascii="Calibri" w:hAnsi="Calibri"/>
          <w:b/>
          <w:bCs/>
          <w:color w:val="000000"/>
          <w:sz w:val="24"/>
          <w:szCs w:val="24"/>
        </w:rPr>
        <w:t>.</w:t>
      </w:r>
      <w:r>
        <w:rPr>
          <w:rFonts w:ascii="Calibri" w:hAnsi="Calibri"/>
          <w:b/>
          <w:bCs/>
          <w:color w:val="000000"/>
          <w:sz w:val="24"/>
          <w:szCs w:val="24"/>
          <w:lang w:val="pt-BR"/>
        </w:rPr>
        <w:t>2</w:t>
      </w:r>
      <w:r>
        <w:rPr>
          <w:rFonts w:ascii="Calibri" w:hAnsi="Calibri"/>
          <w:b/>
          <w:bCs/>
          <w:color w:val="000000"/>
          <w:sz w:val="24"/>
          <w:szCs w:val="24"/>
        </w:rPr>
        <w:t xml:space="preserve"> –</w:t>
      </w:r>
      <w:r>
        <w:rPr>
          <w:rFonts w:ascii="Calibri" w:hAnsi="Calibri"/>
          <w:b w:val="0"/>
          <w:bCs w:val="0"/>
          <w:color w:val="000000"/>
          <w:sz w:val="24"/>
          <w:szCs w:val="24"/>
        </w:rPr>
        <w:t xml:space="preserve"> Ocorrendo o empate, proceder-se-á da seguinte forma:</w:t>
      </w:r>
    </w:p>
    <w:p>
      <w:pPr>
        <w:pStyle w:val="2"/>
        <w:overflowPunct/>
        <w:bidi w:val="0"/>
        <w:spacing w:before="1" w:after="0"/>
        <w:ind w:left="0" w:right="0" w:firstLine="0"/>
        <w:jc w:val="both"/>
        <w:rPr>
          <w:rFonts w:ascii="Calibri" w:hAnsi="Calibri"/>
          <w:sz w:val="24"/>
          <w:szCs w:val="24"/>
        </w:rPr>
      </w:pPr>
      <w:r>
        <w:rPr>
          <w:rFonts w:ascii="Calibri" w:hAnsi="Calibri"/>
          <w:b w:val="0"/>
          <w:bCs w:val="0"/>
          <w:color w:val="000000"/>
          <w:sz w:val="24"/>
          <w:szCs w:val="24"/>
        </w:rPr>
        <w:t>a) o Sistema aplicará automaticamente o benefício da Lei Complementar nº 123/2006 e suas alterações, quando houver empresas dentro das condições previstas na lei;</w:t>
      </w:r>
    </w:p>
    <w:p>
      <w:pPr>
        <w:pStyle w:val="2"/>
        <w:overflowPunct/>
        <w:bidi w:val="0"/>
        <w:spacing w:before="1" w:after="0"/>
        <w:ind w:left="0" w:right="0" w:firstLine="0"/>
        <w:jc w:val="both"/>
        <w:rPr>
          <w:rFonts w:ascii="Calibri" w:hAnsi="Calibri"/>
          <w:sz w:val="24"/>
          <w:szCs w:val="24"/>
        </w:rPr>
      </w:pPr>
      <w:r>
        <w:rPr>
          <w:rFonts w:ascii="Calibri" w:hAnsi="Calibri"/>
          <w:b w:val="0"/>
          <w:bCs w:val="0"/>
          <w:color w:val="000000"/>
          <w:sz w:val="24"/>
          <w:szCs w:val="24"/>
        </w:rPr>
        <w:t>b) o Sistema convocará automaticamente a microempresa ou empresa de pequeno porte mais bem classificado, momento que abrirá campo para recepção de lances, para enviar nova proposta inferior àquela considerada vencedora do certame no prazo máximo de 5 (cinco) minutos sob pena de preclusão, situação em que será adjudicado em seu favor o objeto licitado;</w:t>
      </w:r>
    </w:p>
    <w:p>
      <w:pPr>
        <w:pStyle w:val="2"/>
        <w:overflowPunct/>
        <w:bidi w:val="0"/>
        <w:spacing w:before="1" w:after="0"/>
        <w:ind w:left="0" w:right="0" w:firstLine="0"/>
        <w:jc w:val="both"/>
        <w:rPr>
          <w:rFonts w:ascii="Calibri" w:hAnsi="Calibri"/>
          <w:sz w:val="24"/>
          <w:szCs w:val="24"/>
        </w:rPr>
      </w:pPr>
      <w:r>
        <w:rPr>
          <w:rFonts w:ascii="Calibri" w:hAnsi="Calibri"/>
          <w:b w:val="0"/>
          <w:bCs w:val="0"/>
          <w:color w:val="000000"/>
          <w:sz w:val="24"/>
          <w:szCs w:val="24"/>
        </w:rPr>
        <w:t>c) não ocorrendo a contratação da microempresa ou empresa de pequeno porte, na forma do inciso I, do caput do artigo 45, da Lei Complementar nº 123/2006 e suas alterações, serão convocados os remanescentes que porventura se enquadrem na hipótese dos §§ 1º e 2º, do art. 44, da Lei Complementar nº 123/2006, na ordem classificatória, para o exercício do mesmo direito;</w:t>
      </w:r>
    </w:p>
    <w:p>
      <w:pPr>
        <w:pStyle w:val="2"/>
        <w:overflowPunct/>
        <w:bidi w:val="0"/>
        <w:spacing w:before="1" w:after="0"/>
        <w:ind w:left="0" w:right="0" w:firstLine="0"/>
        <w:jc w:val="both"/>
        <w:rPr>
          <w:rFonts w:ascii="Calibri" w:hAnsi="Calibri"/>
          <w:sz w:val="24"/>
          <w:szCs w:val="24"/>
        </w:rPr>
      </w:pPr>
      <w:r>
        <w:rPr>
          <w:rFonts w:ascii="Calibri" w:hAnsi="Calibri"/>
          <w:b w:val="0"/>
          <w:bCs w:val="0"/>
          <w:color w:val="000000"/>
          <w:sz w:val="24"/>
          <w:szCs w:val="24"/>
        </w:rPr>
        <w:t>d) no caso de equivalência dos valores apresentados pelas microempresas e empresas de pequeno porte que se encontrem nos intervalos estabelecidos nos §§ 1º e 2º, do art. 44, da Lei Complementar nº 123/2006 e suas alterações, será realizado sorteio automático entre elas para que se identifique aquela que primeiro poderá enviar melhor oferta.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cs="Lucida Sans"/>
          <w:b/>
          <w:bCs/>
          <w:color w:val="000000"/>
          <w:kern w:val="0"/>
          <w:sz w:val="24"/>
          <w:szCs w:val="24"/>
          <w:lang w:val="pt-BR" w:eastAsia="zh-CN" w:bidi="hi-IN"/>
        </w:rPr>
        <w:t>2</w:t>
      </w:r>
      <w:r>
        <w:rPr>
          <w:rFonts w:hint="default" w:ascii="Calibri" w:hAnsi="Calibri" w:cs="Lucida Sans"/>
          <w:b/>
          <w:bCs/>
          <w:color w:val="000000"/>
          <w:kern w:val="0"/>
          <w:sz w:val="24"/>
          <w:szCs w:val="24"/>
          <w:lang w:val="pt-BR" w:eastAsia="zh-CN" w:bidi="hi-IN"/>
        </w:rPr>
        <w:t>8</w:t>
      </w:r>
      <w:r>
        <w:rPr>
          <w:rFonts w:ascii="Calibri" w:hAnsi="Calibri"/>
          <w:b/>
          <w:bCs/>
          <w:color w:val="000000"/>
          <w:sz w:val="24"/>
          <w:szCs w:val="24"/>
        </w:rPr>
        <w:t xml:space="preserve"> –</w:t>
      </w:r>
      <w:r>
        <w:rPr>
          <w:rFonts w:ascii="Calibri" w:hAnsi="Calibri"/>
          <w:b w:val="0"/>
          <w:bCs w:val="0"/>
          <w:color w:val="000000"/>
          <w:sz w:val="24"/>
          <w:szCs w:val="24"/>
        </w:rPr>
        <w:t xml:space="preserve"> O disposto no subitem 9.</w:t>
      </w:r>
      <w:r>
        <w:rPr>
          <w:rFonts w:ascii="Calibri" w:hAnsi="Calibri" w:eastAsia="NSimSun" w:cs="Lucida Sans"/>
          <w:b w:val="0"/>
          <w:bCs w:val="0"/>
          <w:color w:val="000000"/>
          <w:kern w:val="0"/>
          <w:sz w:val="24"/>
          <w:szCs w:val="24"/>
          <w:lang w:val="pt-BR" w:eastAsia="zh-CN" w:bidi="hi-IN"/>
        </w:rPr>
        <w:t>2</w:t>
      </w:r>
      <w:r>
        <w:rPr>
          <w:rFonts w:hint="default" w:ascii="Calibri" w:hAnsi="Calibri" w:cs="Lucida Sans"/>
          <w:b w:val="0"/>
          <w:bCs w:val="0"/>
          <w:color w:val="000000"/>
          <w:kern w:val="0"/>
          <w:sz w:val="24"/>
          <w:szCs w:val="24"/>
          <w:lang w:val="pt-BR" w:eastAsia="zh-CN" w:bidi="hi-IN"/>
        </w:rPr>
        <w:t>7</w:t>
      </w:r>
      <w:r>
        <w:rPr>
          <w:rFonts w:ascii="Calibri" w:hAnsi="Calibri"/>
          <w:b w:val="0"/>
          <w:bCs w:val="0"/>
          <w:color w:val="000000"/>
          <w:sz w:val="24"/>
          <w:szCs w:val="24"/>
        </w:rPr>
        <w:t xml:space="preserve"> somente se aplicará quando a melhor oferta inicial não tiver sido enviada por microempresa ou empresa de pequeno porte.</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hint="default" w:ascii="Calibri" w:hAnsi="Calibri"/>
          <w:b/>
          <w:bCs/>
          <w:color w:val="000000"/>
          <w:sz w:val="24"/>
          <w:szCs w:val="24"/>
          <w:lang w:val="pt-BR"/>
        </w:rPr>
        <w:t>29</w:t>
      </w:r>
      <w:r>
        <w:rPr>
          <w:rFonts w:ascii="Calibri" w:hAnsi="Calibri"/>
          <w:b/>
          <w:bCs/>
          <w:color w:val="000000"/>
          <w:sz w:val="24"/>
          <w:szCs w:val="24"/>
        </w:rPr>
        <w:t xml:space="preserve"> –</w:t>
      </w:r>
      <w:r>
        <w:rPr>
          <w:rFonts w:ascii="Calibri" w:hAnsi="Calibri"/>
          <w:b w:val="0"/>
          <w:bCs w:val="0"/>
          <w:color w:val="000000"/>
          <w:sz w:val="24"/>
          <w:szCs w:val="24"/>
        </w:rPr>
        <w:t xml:space="preserve"> Na hipótese da não contratação nos termos previstos no subitem 9.</w:t>
      </w:r>
      <w:r>
        <w:rPr>
          <w:rFonts w:ascii="Calibri" w:hAnsi="Calibri" w:eastAsia="NSimSun" w:cs="Lucida Sans"/>
          <w:b w:val="0"/>
          <w:bCs w:val="0"/>
          <w:color w:val="000000"/>
          <w:kern w:val="0"/>
          <w:sz w:val="24"/>
          <w:szCs w:val="24"/>
          <w:lang w:val="pt-BR" w:eastAsia="zh-CN" w:bidi="hi-IN"/>
        </w:rPr>
        <w:t>2</w:t>
      </w:r>
      <w:r>
        <w:rPr>
          <w:rFonts w:hint="default" w:ascii="Calibri" w:hAnsi="Calibri" w:cs="Lucida Sans"/>
          <w:b w:val="0"/>
          <w:bCs w:val="0"/>
          <w:color w:val="000000"/>
          <w:kern w:val="0"/>
          <w:sz w:val="24"/>
          <w:szCs w:val="24"/>
          <w:lang w:val="pt-BR" w:eastAsia="zh-CN" w:bidi="hi-IN"/>
        </w:rPr>
        <w:t>7</w:t>
      </w:r>
      <w:r>
        <w:rPr>
          <w:rFonts w:ascii="Calibri" w:hAnsi="Calibri"/>
          <w:b w:val="0"/>
          <w:bCs w:val="0"/>
          <w:color w:val="000000"/>
          <w:sz w:val="24"/>
          <w:szCs w:val="24"/>
        </w:rPr>
        <w:t>, o objeto licitado será adjudicado em favor da proposta originalmente vencedor do certame.</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9.3</w:t>
      </w:r>
      <w:r>
        <w:rPr>
          <w:rFonts w:hint="default" w:ascii="Calibri" w:hAnsi="Calibri" w:cs="Lucida Sans"/>
          <w:b/>
          <w:bCs/>
          <w:color w:val="000000"/>
          <w:kern w:val="0"/>
          <w:sz w:val="24"/>
          <w:szCs w:val="24"/>
          <w:lang w:val="pt-BR" w:eastAsia="zh-CN" w:bidi="hi-IN"/>
        </w:rPr>
        <w:t>0</w:t>
      </w:r>
      <w:r>
        <w:rPr>
          <w:rFonts w:ascii="Calibri" w:hAnsi="Calibri"/>
          <w:b/>
          <w:bCs/>
          <w:color w:val="000000"/>
          <w:sz w:val="24"/>
          <w:szCs w:val="24"/>
        </w:rPr>
        <w:t xml:space="preserve"> –</w:t>
      </w:r>
      <w:r>
        <w:rPr>
          <w:rFonts w:ascii="Calibri" w:hAnsi="Calibri"/>
          <w:b w:val="0"/>
          <w:bCs w:val="0"/>
          <w:color w:val="000000"/>
          <w:sz w:val="24"/>
          <w:szCs w:val="24"/>
        </w:rPr>
        <w:t xml:space="preserve"> Iniciada a etapa de habilitação da sessão pública, o licitante detentora da melhor oferta deverá atender as exigências de habilitação previstas no item 10 deste edital.</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3</w:t>
      </w:r>
      <w:r>
        <w:rPr>
          <w:rFonts w:hint="default" w:ascii="Calibri" w:hAnsi="Calibri" w:cs="Lucida Sans"/>
          <w:b/>
          <w:bCs/>
          <w:color w:val="000000"/>
          <w:kern w:val="0"/>
          <w:sz w:val="24"/>
          <w:szCs w:val="24"/>
          <w:lang w:val="pt-BR" w:eastAsia="zh-CN" w:bidi="hi-IN"/>
        </w:rPr>
        <w:t>1</w:t>
      </w:r>
      <w:r>
        <w:rPr>
          <w:rFonts w:ascii="Calibri" w:hAnsi="Calibri"/>
          <w:b/>
          <w:bCs/>
          <w:color w:val="000000"/>
          <w:sz w:val="24"/>
          <w:szCs w:val="24"/>
        </w:rPr>
        <w:t xml:space="preserve"> –</w:t>
      </w:r>
      <w:r>
        <w:rPr>
          <w:rFonts w:ascii="Calibri" w:hAnsi="Calibri"/>
          <w:b w:val="0"/>
          <w:bCs w:val="0"/>
          <w:color w:val="000000"/>
          <w:sz w:val="24"/>
          <w:szCs w:val="24"/>
        </w:rPr>
        <w:t xml:space="preserve"> O Sistema anunciará o licitante vencedor após adjudicação, ou, quando houver recursos, após a homologação.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3</w:t>
      </w:r>
      <w:r>
        <w:rPr>
          <w:rFonts w:hint="default" w:ascii="Calibri" w:hAnsi="Calibri" w:cs="Lucida Sans"/>
          <w:b/>
          <w:bCs/>
          <w:color w:val="000000"/>
          <w:kern w:val="0"/>
          <w:sz w:val="24"/>
          <w:szCs w:val="24"/>
          <w:lang w:val="pt-BR" w:eastAsia="zh-CN" w:bidi="hi-IN"/>
        </w:rPr>
        <w:t>2</w:t>
      </w:r>
      <w:r>
        <w:rPr>
          <w:rFonts w:ascii="Calibri" w:hAnsi="Calibri"/>
          <w:b/>
          <w:bCs/>
          <w:color w:val="000000"/>
          <w:sz w:val="24"/>
          <w:szCs w:val="24"/>
        </w:rPr>
        <w:t xml:space="preserve"> –</w:t>
      </w:r>
      <w:r>
        <w:rPr>
          <w:rFonts w:ascii="Calibri" w:hAnsi="Calibri"/>
          <w:b w:val="0"/>
          <w:bCs w:val="0"/>
          <w:color w:val="000000"/>
          <w:sz w:val="24"/>
          <w:szCs w:val="24"/>
        </w:rPr>
        <w:t xml:space="preserve"> Se a proposta ou o lance de menor valor não for aceitável, ou se o licitante desatender às exigências habilitatórias, o pregoeiro examinará a proposta ou o lance subsequente, verificando a sua compatibilidade e a habilitação do participante, na ordem de classificação, e assim sucessivamente, até a apuração de uma proposta ou lance que atenda o edital.</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3</w:t>
      </w:r>
      <w:r>
        <w:rPr>
          <w:rFonts w:hint="default" w:ascii="Calibri" w:hAnsi="Calibri" w:cs="Lucida Sans"/>
          <w:b/>
          <w:bCs/>
          <w:color w:val="000000"/>
          <w:kern w:val="0"/>
          <w:sz w:val="24"/>
          <w:szCs w:val="24"/>
          <w:lang w:val="pt-BR" w:eastAsia="zh-CN" w:bidi="hi-IN"/>
        </w:rPr>
        <w:t>3</w:t>
      </w:r>
      <w:r>
        <w:rPr>
          <w:rFonts w:ascii="Calibri" w:hAnsi="Calibri"/>
          <w:b/>
          <w:bCs/>
          <w:color w:val="000000"/>
          <w:sz w:val="24"/>
          <w:szCs w:val="24"/>
        </w:rPr>
        <w:t xml:space="preserve"> –</w:t>
      </w:r>
      <w:r>
        <w:rPr>
          <w:rFonts w:ascii="Calibri" w:hAnsi="Calibri"/>
          <w:b w:val="0"/>
          <w:bCs w:val="0"/>
          <w:color w:val="000000"/>
          <w:sz w:val="24"/>
          <w:szCs w:val="24"/>
        </w:rPr>
        <w:t xml:space="preserve"> O pregoeiro solicitará ao licitante mais bem classificado que envie a proposta adequada ao último lance ofertado após a negociação realizada, constando:</w:t>
      </w:r>
    </w:p>
    <w:p>
      <w:pPr>
        <w:pStyle w:val="2"/>
        <w:overflowPunct/>
        <w:bidi w:val="0"/>
        <w:spacing w:before="1" w:after="0"/>
        <w:ind w:left="0" w:right="0" w:firstLine="0"/>
        <w:jc w:val="both"/>
        <w:rPr>
          <w:rFonts w:ascii="Calibri" w:hAnsi="Calibri"/>
          <w:sz w:val="24"/>
          <w:szCs w:val="24"/>
        </w:rPr>
      </w:pP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a) Valores unitários e totais readequados ao valor total representado pelo lance vencedor; </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b) Razão Social da empresa;</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 xml:space="preserve">c) </w:t>
      </w:r>
      <w:r>
        <w:rPr>
          <w:rFonts w:ascii="Calibri" w:hAnsi="Calibri"/>
          <w:b/>
          <w:bCs/>
          <w:color w:val="000000"/>
          <w:sz w:val="24"/>
          <w:szCs w:val="24"/>
        </w:rPr>
        <w:t xml:space="preserve">Endereço completo e atualizado; </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d) Telefone para contato;</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 xml:space="preserve">e) </w:t>
      </w:r>
      <w:r>
        <w:rPr>
          <w:rFonts w:ascii="Calibri" w:hAnsi="Calibri"/>
          <w:b/>
          <w:bCs/>
          <w:color w:val="000000"/>
          <w:sz w:val="24"/>
          <w:szCs w:val="24"/>
        </w:rPr>
        <w:t>Endereço de e-mail;</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 xml:space="preserve">f) </w:t>
      </w:r>
      <w:r>
        <w:rPr>
          <w:rFonts w:ascii="Calibri" w:hAnsi="Calibri"/>
          <w:b/>
          <w:bCs/>
          <w:color w:val="000000"/>
          <w:sz w:val="24"/>
          <w:szCs w:val="24"/>
        </w:rPr>
        <w:t xml:space="preserve">Representante legal da empresa (nome, cpf, rg, cargo/função na empresa, telefones de contato); </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 xml:space="preserve">g) </w:t>
      </w:r>
      <w:r>
        <w:rPr>
          <w:rFonts w:ascii="Calibri" w:hAnsi="Calibri"/>
          <w:b/>
          <w:bCs/>
          <w:color w:val="000000"/>
          <w:sz w:val="24"/>
          <w:szCs w:val="24"/>
        </w:rPr>
        <w:t>Dados bancários (nº e nome do banco para pagamento, nº da agência bancária com dígito,  nº da conta bancária com dígito)</w:t>
      </w:r>
    </w:p>
    <w:p>
      <w:pPr>
        <w:pStyle w:val="2"/>
        <w:overflowPunct/>
        <w:bidi w:val="0"/>
        <w:spacing w:before="1" w:after="0"/>
        <w:ind w:left="0" w:right="0" w:firstLine="0"/>
        <w:jc w:val="both"/>
        <w:rPr>
          <w:rFonts w:ascii="Calibri" w:hAnsi="Calibri"/>
          <w:sz w:val="24"/>
          <w:szCs w:val="24"/>
        </w:rPr>
      </w:pPr>
      <w:r>
        <w:rPr>
          <w:rFonts w:ascii="Calibri" w:hAnsi="Calibri"/>
          <w:b/>
          <w:bCs/>
          <w:color w:val="111111"/>
          <w:sz w:val="24"/>
          <w:szCs w:val="24"/>
        </w:rPr>
        <w:t>h) Ato constitutivo, estatuto ou contrato social em vigor, devidamente registrado, em se tratando de sociedades comerciais, e, no caso de sociedades por ações, acompanhado de documentos de eleição de seus administradores, com a comprovação da publicação no Diário Oficial da ata arquivada, bem com o das respectivas alterações, caso existam.</w:t>
      </w:r>
    </w:p>
    <w:p>
      <w:pPr>
        <w:pStyle w:val="2"/>
        <w:overflowPunct/>
        <w:bidi w:val="0"/>
        <w:spacing w:before="1" w:after="0"/>
        <w:ind w:left="0" w:right="0" w:firstLine="0"/>
        <w:jc w:val="both"/>
        <w:rPr>
          <w:rFonts w:ascii="Calibri" w:hAnsi="Calibri"/>
          <w:sz w:val="24"/>
          <w:szCs w:val="24"/>
        </w:rPr>
      </w:pPr>
      <w:r>
        <w:rPr>
          <w:rFonts w:ascii="Calibri" w:hAnsi="Calibri"/>
          <w:b/>
          <w:bCs/>
          <w:color w:val="111111"/>
          <w:sz w:val="24"/>
          <w:szCs w:val="24"/>
        </w:rPr>
        <w:t>i) Marca;</w:t>
      </w:r>
    </w:p>
    <w:p>
      <w:pPr>
        <w:pStyle w:val="2"/>
        <w:overflowPunct/>
        <w:bidi w:val="0"/>
        <w:spacing w:before="1" w:after="0"/>
        <w:ind w:left="0" w:right="0" w:firstLine="0"/>
        <w:jc w:val="both"/>
        <w:rPr>
          <w:rFonts w:ascii="Calibri" w:hAnsi="Calibri"/>
          <w:sz w:val="24"/>
          <w:szCs w:val="24"/>
        </w:rPr>
      </w:pPr>
      <w:r>
        <w:rPr>
          <w:rFonts w:ascii="Calibri" w:hAnsi="Calibri"/>
          <w:b/>
          <w:bCs/>
          <w:color w:val="111111"/>
          <w:sz w:val="24"/>
          <w:szCs w:val="24"/>
        </w:rPr>
        <w:t>j) Procedência;</w:t>
      </w:r>
    </w:p>
    <w:p>
      <w:pPr>
        <w:pStyle w:val="2"/>
        <w:overflowPunct/>
        <w:bidi w:val="0"/>
        <w:spacing w:before="1" w:after="0"/>
        <w:ind w:left="0" w:right="0" w:firstLine="0"/>
        <w:jc w:val="both"/>
        <w:rPr>
          <w:rFonts w:ascii="Calibri" w:hAnsi="Calibri"/>
          <w:sz w:val="24"/>
          <w:szCs w:val="24"/>
        </w:rPr>
      </w:pPr>
      <w:r>
        <w:rPr>
          <w:rFonts w:ascii="Calibri" w:hAnsi="Calibri"/>
          <w:b/>
          <w:bCs/>
          <w:color w:val="111111"/>
          <w:sz w:val="24"/>
          <w:szCs w:val="24"/>
        </w:rPr>
        <w:t>k) Apresentação com detalhamento de cada item, necessariamente a forma de apresentação e quantidade;</w:t>
      </w:r>
    </w:p>
    <w:p>
      <w:pPr>
        <w:pStyle w:val="2"/>
        <w:overflowPunct/>
        <w:bidi w:val="0"/>
        <w:spacing w:before="1" w:after="0"/>
        <w:ind w:left="0" w:right="0" w:firstLine="0"/>
        <w:jc w:val="both"/>
        <w:rPr>
          <w:rFonts w:ascii="Calibri" w:hAnsi="Calibri"/>
          <w:sz w:val="24"/>
          <w:szCs w:val="24"/>
        </w:rPr>
      </w:pPr>
      <w:r>
        <w:rPr>
          <w:rFonts w:ascii="Calibri" w:hAnsi="Calibri"/>
          <w:b/>
          <w:bCs/>
          <w:color w:val="111111"/>
          <w:sz w:val="24"/>
          <w:szCs w:val="24"/>
        </w:rPr>
        <w:t>i)  nome comercial;</w:t>
      </w:r>
    </w:p>
    <w:p>
      <w:pPr>
        <w:pStyle w:val="2"/>
        <w:overflowPunct/>
        <w:bidi w:val="0"/>
        <w:spacing w:before="1" w:after="0"/>
        <w:ind w:left="0" w:right="0" w:firstLine="0"/>
        <w:jc w:val="both"/>
        <w:rPr>
          <w:rFonts w:ascii="Calibri" w:hAnsi="Calibri"/>
          <w:sz w:val="24"/>
          <w:szCs w:val="24"/>
        </w:rPr>
      </w:pPr>
      <w:r>
        <w:rPr>
          <w:rFonts w:ascii="Calibri" w:hAnsi="Calibri"/>
          <w:b/>
          <w:bCs/>
          <w:color w:val="111111"/>
          <w:sz w:val="24"/>
          <w:szCs w:val="24"/>
        </w:rPr>
        <w:t>j) Ficha técnica completa do produto, com lista de ingredientes e rendimento (este último para produtos em pó, que necessitam de diluição/ pré-preparo);</w:t>
      </w:r>
    </w:p>
    <w:p>
      <w:pPr>
        <w:pStyle w:val="2"/>
        <w:overflowPunct/>
        <w:bidi w:val="0"/>
        <w:spacing w:before="1" w:after="0"/>
        <w:ind w:left="0" w:right="0" w:firstLine="0"/>
        <w:jc w:val="both"/>
        <w:rPr>
          <w:rFonts w:ascii="Calibri" w:hAnsi="Calibri"/>
          <w:sz w:val="24"/>
          <w:szCs w:val="24"/>
        </w:rPr>
      </w:pPr>
      <w:r>
        <w:rPr>
          <w:rFonts w:ascii="Calibri" w:hAnsi="Calibri"/>
          <w:b/>
          <w:bCs/>
          <w:color w:val="111111"/>
          <w:sz w:val="24"/>
          <w:szCs w:val="24"/>
        </w:rPr>
        <w:t>k) Apresentar Registro (com todos os algarismos) no Ministério da Saúde ou Agricultura e Pesca, ou outro órgão regulamentador, dentro da validade e/ou protocolo atualizado de solicitação de revalidação (conforme legislação vigente);</w:t>
      </w:r>
    </w:p>
    <w:p>
      <w:pPr>
        <w:pStyle w:val="2"/>
        <w:overflowPunct/>
        <w:bidi w:val="0"/>
        <w:spacing w:before="1" w:after="0"/>
        <w:ind w:left="0" w:right="0" w:firstLine="0"/>
        <w:jc w:val="both"/>
        <w:rPr>
          <w:rFonts w:ascii="Calibri" w:hAnsi="Calibri"/>
          <w:sz w:val="24"/>
          <w:szCs w:val="24"/>
        </w:rPr>
      </w:pPr>
      <w:r>
        <w:rPr>
          <w:rFonts w:ascii="Calibri" w:hAnsi="Calibri"/>
          <w:b/>
          <w:bCs/>
          <w:color w:val="111111"/>
          <w:sz w:val="24"/>
          <w:szCs w:val="24"/>
        </w:rPr>
        <w:t>l)  Apresentar RDC vigente para alimentos, dietas ou suplementos isentos de registro, caso o item cotado não seja classificado pelo MS/ANVISA, ficando sujeita às sanções cabíveis, no caso de falsidade de sua declaração.</w:t>
      </w:r>
    </w:p>
    <w:p>
      <w:pPr>
        <w:pStyle w:val="2"/>
        <w:overflowPunct/>
        <w:bidi w:val="0"/>
        <w:spacing w:before="1" w:after="0"/>
        <w:ind w:left="0" w:right="0" w:firstLine="0"/>
        <w:jc w:val="both"/>
        <w:rPr>
          <w:rFonts w:ascii="Calibri" w:hAnsi="Calibri"/>
          <w:sz w:val="24"/>
          <w:szCs w:val="24"/>
        </w:rPr>
      </w:pP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3</w:t>
      </w:r>
      <w:r>
        <w:rPr>
          <w:rFonts w:hint="default" w:ascii="Calibri" w:hAnsi="Calibri" w:cs="Lucida Sans"/>
          <w:b/>
          <w:bCs/>
          <w:color w:val="000000"/>
          <w:kern w:val="0"/>
          <w:sz w:val="24"/>
          <w:szCs w:val="24"/>
          <w:lang w:val="pt-BR" w:eastAsia="zh-CN" w:bidi="hi-IN"/>
        </w:rPr>
        <w:t>4</w:t>
      </w:r>
      <w:r>
        <w:rPr>
          <w:rFonts w:ascii="Calibri" w:hAnsi="Calibri"/>
          <w:b/>
          <w:bCs/>
          <w:color w:val="000000"/>
          <w:sz w:val="24"/>
          <w:szCs w:val="24"/>
        </w:rPr>
        <w:t xml:space="preserve"> –</w:t>
      </w:r>
      <w:r>
        <w:rPr>
          <w:rFonts w:ascii="Calibri" w:hAnsi="Calibri"/>
          <w:b w:val="0"/>
          <w:bCs w:val="0"/>
          <w:color w:val="000000"/>
          <w:sz w:val="24"/>
          <w:szCs w:val="24"/>
        </w:rPr>
        <w:t xml:space="preserve"> Os documentos solicitados nos subitens 9.</w:t>
      </w:r>
      <w:r>
        <w:rPr>
          <w:rFonts w:ascii="Calibri" w:hAnsi="Calibri" w:eastAsia="NSimSun" w:cs="Lucida Sans"/>
          <w:b w:val="0"/>
          <w:bCs w:val="0"/>
          <w:color w:val="000000"/>
          <w:kern w:val="0"/>
          <w:sz w:val="24"/>
          <w:szCs w:val="24"/>
          <w:lang w:val="pt-BR" w:eastAsia="zh-CN" w:bidi="hi-IN"/>
        </w:rPr>
        <w:t>3</w:t>
      </w:r>
      <w:r>
        <w:rPr>
          <w:rFonts w:hint="default" w:ascii="Calibri" w:hAnsi="Calibri" w:cs="Lucida Sans"/>
          <w:b w:val="0"/>
          <w:bCs w:val="0"/>
          <w:color w:val="000000"/>
          <w:kern w:val="0"/>
          <w:sz w:val="24"/>
          <w:szCs w:val="24"/>
          <w:lang w:val="pt-BR" w:eastAsia="zh-CN" w:bidi="hi-IN"/>
        </w:rPr>
        <w:t>3</w:t>
      </w:r>
      <w:r>
        <w:rPr>
          <w:rFonts w:ascii="Calibri" w:hAnsi="Calibri"/>
          <w:b w:val="0"/>
          <w:bCs w:val="0"/>
          <w:color w:val="000000"/>
          <w:sz w:val="24"/>
          <w:szCs w:val="24"/>
        </w:rPr>
        <w:t>, deverão ser inseridos como Anexos no Sistema Eletrônico.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9.3</w:t>
      </w:r>
      <w:r>
        <w:rPr>
          <w:rFonts w:hint="default" w:ascii="Calibri" w:hAnsi="Calibri"/>
          <w:b/>
          <w:bCs/>
          <w:color w:val="000000"/>
          <w:sz w:val="24"/>
          <w:szCs w:val="24"/>
          <w:lang w:val="pt-BR"/>
        </w:rPr>
        <w:t>5</w:t>
      </w:r>
      <w:r>
        <w:rPr>
          <w:rFonts w:ascii="Calibri" w:hAnsi="Calibri"/>
          <w:b/>
          <w:bCs/>
          <w:color w:val="000000"/>
          <w:sz w:val="24"/>
          <w:szCs w:val="24"/>
        </w:rPr>
        <w:t xml:space="preserve"> –</w:t>
      </w:r>
      <w:r>
        <w:rPr>
          <w:rFonts w:ascii="Calibri" w:hAnsi="Calibri"/>
          <w:color w:val="000000"/>
          <w:sz w:val="24"/>
          <w:szCs w:val="24"/>
        </w:rPr>
        <w:t xml:space="preserve"> A equipe técnica poderá solicitar a apresentação de amostras do produto, quando julgar necessário, para análise técnica do material ofertado conforme Formulário de Análise de Qualidade Técnica – FAT (Anexo III). </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9.3</w:t>
      </w:r>
      <w:r>
        <w:rPr>
          <w:rFonts w:hint="default" w:ascii="Calibri" w:hAnsi="Calibri"/>
          <w:b/>
          <w:bCs/>
          <w:color w:val="000000"/>
          <w:sz w:val="24"/>
          <w:szCs w:val="24"/>
          <w:lang w:val="pt-BR"/>
        </w:rPr>
        <w:t>5</w:t>
      </w:r>
      <w:r>
        <w:rPr>
          <w:rFonts w:ascii="Calibri" w:hAnsi="Calibri"/>
          <w:b/>
          <w:bCs/>
          <w:color w:val="000000"/>
          <w:sz w:val="24"/>
          <w:szCs w:val="24"/>
        </w:rPr>
        <w:t>.1 –</w:t>
      </w:r>
      <w:r>
        <w:rPr>
          <w:rFonts w:ascii="Calibri" w:hAnsi="Calibri"/>
          <w:color w:val="000000"/>
          <w:sz w:val="24"/>
          <w:szCs w:val="24"/>
        </w:rPr>
        <w:t xml:space="preserve"> A(s) amostra(s), quando solicitadas, deverá(ão) ser entregues diretamente no Protocolo da SES – Rua Esteves Júnior, nº 160 (térreo) - Centro, Florianópolis/SC – CEP 88015-130, endereçadas à DPGC (4º andar) – Florianópolis – SC, das 13 às 18:30 horas, dentro do prazo estabelecido, após o recebimento do comunicado;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9.3</w:t>
      </w:r>
      <w:r>
        <w:rPr>
          <w:rFonts w:hint="default" w:ascii="Calibri" w:hAnsi="Calibri"/>
          <w:b/>
          <w:bCs/>
          <w:color w:val="000000"/>
          <w:sz w:val="24"/>
          <w:szCs w:val="24"/>
          <w:lang w:val="pt-BR"/>
        </w:rPr>
        <w:t>5</w:t>
      </w:r>
      <w:r>
        <w:rPr>
          <w:rFonts w:ascii="Calibri" w:hAnsi="Calibri"/>
          <w:b/>
          <w:bCs/>
          <w:color w:val="000000"/>
          <w:sz w:val="24"/>
          <w:szCs w:val="24"/>
        </w:rPr>
        <w:t>.2 –</w:t>
      </w:r>
      <w:r>
        <w:rPr>
          <w:rFonts w:ascii="Calibri" w:hAnsi="Calibri"/>
          <w:color w:val="000000"/>
          <w:sz w:val="24"/>
          <w:szCs w:val="24"/>
        </w:rPr>
        <w:t xml:space="preserve"> As avaliações das amostras seguirão a Portaria 973, de 21 de setembro de 2022, desta Secretaria de Estado da Saúde e alterações posteriores;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9.3</w:t>
      </w:r>
      <w:r>
        <w:rPr>
          <w:rFonts w:hint="default" w:ascii="Calibri" w:hAnsi="Calibri"/>
          <w:b/>
          <w:bCs/>
          <w:color w:val="000000"/>
          <w:sz w:val="24"/>
          <w:szCs w:val="24"/>
          <w:lang w:val="pt-BR"/>
        </w:rPr>
        <w:t>5</w:t>
      </w:r>
      <w:r>
        <w:rPr>
          <w:rFonts w:ascii="Calibri" w:hAnsi="Calibri"/>
          <w:b/>
          <w:bCs/>
          <w:color w:val="000000"/>
          <w:sz w:val="24"/>
          <w:szCs w:val="24"/>
        </w:rPr>
        <w:t>.3 –</w:t>
      </w:r>
      <w:r>
        <w:rPr>
          <w:rFonts w:ascii="Calibri" w:hAnsi="Calibri"/>
          <w:color w:val="000000"/>
          <w:sz w:val="24"/>
          <w:szCs w:val="24"/>
        </w:rPr>
        <w:t xml:space="preserve"> O prazo para envio de amostras, caso solicitadas, é de 05 (cinco) dias. Em situações excepcionais, poderá a empresa realizar pedido de prorrogação deste prazo de entrega por igual período. A solicitação, devidamente justificada, deverá ser encaminhada para o e-mail </w:t>
      </w:r>
      <w:r>
        <w:rPr>
          <w:rFonts w:ascii="Calibri" w:hAnsi="Calibri"/>
          <w:b w:val="0"/>
          <w:bCs w:val="0"/>
          <w:color w:val="000000"/>
          <w:sz w:val="24"/>
          <w:szCs w:val="24"/>
        </w:rPr>
        <w:t>pregaoeletronico@saude.sc.gov.br</w:t>
      </w:r>
      <w:r>
        <w:rPr>
          <w:rFonts w:ascii="Calibri" w:hAnsi="Calibri"/>
          <w:color w:val="000000"/>
          <w:sz w:val="24"/>
          <w:szCs w:val="24"/>
        </w:rPr>
        <w:t>, bem como realizada dentro do prazo inicial para a entrega das amostras.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9.3</w:t>
      </w:r>
      <w:r>
        <w:rPr>
          <w:rFonts w:hint="default" w:ascii="Calibri" w:hAnsi="Calibri"/>
          <w:b/>
          <w:bCs/>
          <w:color w:val="000000"/>
          <w:sz w:val="24"/>
          <w:szCs w:val="24"/>
          <w:lang w:val="pt-BR"/>
        </w:rPr>
        <w:t>6</w:t>
      </w:r>
      <w:r>
        <w:rPr>
          <w:rFonts w:ascii="Calibri" w:hAnsi="Calibri"/>
          <w:b/>
          <w:bCs/>
          <w:color w:val="000000"/>
          <w:sz w:val="24"/>
          <w:szCs w:val="24"/>
        </w:rPr>
        <w:t xml:space="preserve"> –</w:t>
      </w:r>
      <w:r>
        <w:rPr>
          <w:rFonts w:ascii="Calibri" w:hAnsi="Calibri"/>
          <w:color w:val="000000"/>
          <w:sz w:val="24"/>
          <w:szCs w:val="24"/>
        </w:rPr>
        <w:t xml:space="preserve"> Será desclassificada no item, a proposta da licitante vencedora que desatender ao subitem 9.3</w:t>
      </w:r>
      <w:r>
        <w:rPr>
          <w:rFonts w:hint="default" w:ascii="Calibri" w:hAnsi="Calibri"/>
          <w:color w:val="000000"/>
          <w:sz w:val="24"/>
          <w:szCs w:val="24"/>
          <w:lang w:val="pt-BR"/>
        </w:rPr>
        <w:t>3</w:t>
      </w:r>
      <w:r>
        <w:rPr>
          <w:rFonts w:ascii="Calibri" w:hAnsi="Calibri"/>
          <w:color w:val="000000"/>
          <w:sz w:val="24"/>
          <w:szCs w:val="24"/>
        </w:rPr>
        <w:t xml:space="preserve"> e/ou apresente amostra(s) fora das especificações técnicas previstas no Anexo I deste Edital, estando sujeita às penalidades previstas.</w:t>
      </w:r>
    </w:p>
    <w:p>
      <w:pPr>
        <w:pStyle w:val="2"/>
        <w:overflowPunct w:val="0"/>
        <w:bidi w:val="0"/>
        <w:spacing w:before="1" w:after="0"/>
        <w:ind w:left="0" w:right="0" w:firstLine="0"/>
        <w:jc w:val="both"/>
        <w:rPr>
          <w:b/>
          <w:bCs/>
          <w:color w:val="000000"/>
        </w:rPr>
      </w:pP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10</w:t>
      </w:r>
      <w:r>
        <w:rPr>
          <w:rFonts w:ascii="Calibri" w:hAnsi="Calibri"/>
          <w:b/>
          <w:bCs/>
          <w:color w:val="000000"/>
          <w:sz w:val="24"/>
          <w:szCs w:val="24"/>
          <w:lang w:val="pt-BR"/>
        </w:rPr>
        <w:t xml:space="preserve"> </w:t>
      </w:r>
      <w:r>
        <w:rPr>
          <w:rFonts w:ascii="Calibri" w:hAnsi="Calibri"/>
          <w:b/>
          <w:bCs/>
          <w:color w:val="000000"/>
          <w:sz w:val="24"/>
          <w:szCs w:val="24"/>
        </w:rPr>
        <w:t>– DA FASE DE JULGAMENTO DA PROPOSTA</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10.1 </w:t>
      </w:r>
      <w:r>
        <w:rPr>
          <w:rFonts w:ascii="Calibri" w:hAnsi="Calibri" w:eastAsia="NSimSun" w:cs="Lucida Sans"/>
          <w:b/>
          <w:bCs/>
          <w:color w:val="000000"/>
          <w:kern w:val="0"/>
          <w:sz w:val="24"/>
          <w:szCs w:val="24"/>
          <w:lang w:val="pt-BR" w:eastAsia="zh-CN" w:bidi="hi-IN"/>
        </w:rPr>
        <w:t>–</w:t>
      </w:r>
      <w:r>
        <w:rPr>
          <w:rFonts w:ascii="Calibri" w:hAnsi="Calibri"/>
          <w:b w:val="0"/>
          <w:bCs w:val="0"/>
          <w:color w:val="000000"/>
          <w:sz w:val="24"/>
          <w:szCs w:val="24"/>
        </w:rPr>
        <w:t xml:space="preserve"> Será considerada primeira classificada, a proposta que, obedecendo às condições, especificações e procedimentos estabelecidos em conformidade com este edital, apresentar o </w:t>
      </w:r>
      <w:r>
        <w:rPr>
          <w:rFonts w:ascii="Calibri" w:hAnsi="Calibri"/>
          <w:b/>
          <w:bCs/>
          <w:color w:val="000000"/>
          <w:sz w:val="24"/>
          <w:szCs w:val="24"/>
        </w:rPr>
        <w:t xml:space="preserve">“MENOR PREÇO POR </w:t>
      </w:r>
      <w:r>
        <w:rPr>
          <w:rFonts w:ascii="Calibri" w:hAnsi="Calibri" w:eastAsia="NSimSun" w:cs="Lucida Sans"/>
          <w:b/>
          <w:bCs/>
          <w:color w:val="000000"/>
          <w:kern w:val="0"/>
          <w:sz w:val="24"/>
          <w:szCs w:val="24"/>
          <w:lang w:val="pt-BR" w:eastAsia="zh-CN" w:bidi="hi-IN"/>
        </w:rPr>
        <w:t>ITEM</w:t>
      </w:r>
      <w:r>
        <w:rPr>
          <w:rFonts w:ascii="Calibri" w:hAnsi="Calibri"/>
          <w:b/>
          <w:bCs/>
          <w:color w:val="000000"/>
          <w:sz w:val="24"/>
          <w:szCs w:val="24"/>
        </w:rPr>
        <w:t>”.</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10.2 </w:t>
      </w:r>
      <w:r>
        <w:rPr>
          <w:rFonts w:ascii="Calibri" w:hAnsi="Calibri" w:eastAsia="NSimSun" w:cs="Lucida Sans"/>
          <w:b/>
          <w:bCs/>
          <w:color w:val="000000"/>
          <w:kern w:val="0"/>
          <w:sz w:val="24"/>
          <w:szCs w:val="24"/>
          <w:lang w:val="pt-BR" w:eastAsia="zh-CN" w:bidi="hi-IN"/>
        </w:rPr>
        <w:t>–</w:t>
      </w:r>
      <w:r>
        <w:rPr>
          <w:rFonts w:ascii="Calibri" w:hAnsi="Calibri"/>
          <w:b w:val="0"/>
          <w:bCs w:val="0"/>
          <w:color w:val="000000"/>
          <w:sz w:val="24"/>
          <w:szCs w:val="24"/>
        </w:rPr>
        <w:t xml:space="preserve"> Encerrada a etapa de negociação, o pregoeiro verificará se o licitante provisoriamente classificado em primeiro lugar atende às condições de participação no certame, conforme previsto no art. 14 da Lei nº 14.133/2021, legislação correlata e no item </w:t>
      </w:r>
      <w:r>
        <w:rPr>
          <w:rFonts w:ascii="Calibri" w:hAnsi="Calibri" w:eastAsia="NSimSun" w:cs="Lucida Sans"/>
          <w:b w:val="0"/>
          <w:bCs w:val="0"/>
          <w:color w:val="000000"/>
          <w:kern w:val="0"/>
          <w:sz w:val="24"/>
          <w:szCs w:val="24"/>
          <w:lang w:val="pt-BR" w:eastAsia="zh-CN" w:bidi="hi-IN"/>
        </w:rPr>
        <w:t>3</w:t>
      </w:r>
      <w:r>
        <w:rPr>
          <w:rFonts w:ascii="Calibri" w:hAnsi="Calibri"/>
          <w:b w:val="0"/>
          <w:bCs w:val="0"/>
          <w:color w:val="000000"/>
          <w:sz w:val="24"/>
          <w:szCs w:val="24"/>
        </w:rPr>
        <w:t>.</w:t>
      </w:r>
      <w:r>
        <w:rPr>
          <w:rFonts w:ascii="Calibri" w:hAnsi="Calibri" w:eastAsia="NSimSun" w:cs="Lucida Sans"/>
          <w:b w:val="0"/>
          <w:bCs w:val="0"/>
          <w:color w:val="000000"/>
          <w:kern w:val="0"/>
          <w:sz w:val="24"/>
          <w:szCs w:val="24"/>
          <w:lang w:val="pt-BR" w:eastAsia="zh-CN" w:bidi="hi-IN"/>
        </w:rPr>
        <w:t>2</w:t>
      </w:r>
      <w:r>
        <w:rPr>
          <w:rFonts w:ascii="Calibri" w:hAnsi="Calibri"/>
          <w:b w:val="0"/>
          <w:bCs w:val="0"/>
          <w:color w:val="000000"/>
          <w:sz w:val="24"/>
          <w:szCs w:val="24"/>
        </w:rPr>
        <w:t xml:space="preserve"> do edital, especialmente quanto à existência de sanção que impeça a participação no certame ou a futura contratação, mediante a consulta aos seguintes cadastros: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10.2.1 –</w:t>
      </w:r>
      <w:r>
        <w:rPr>
          <w:rFonts w:ascii="Calibri" w:hAnsi="Calibri"/>
          <w:b w:val="0"/>
          <w:bCs w:val="0"/>
          <w:color w:val="000000"/>
          <w:sz w:val="24"/>
          <w:szCs w:val="24"/>
        </w:rPr>
        <w:t xml:space="preserve"> Da existência de registros impeditivos da contratação no Cadastro Nacional de Empresas Inidôneas e Suspensas (CEIS) (http://www.portaltransparencia.gov.br/sancoes/ceis);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10.2.2 –</w:t>
      </w:r>
      <w:r>
        <w:rPr>
          <w:rFonts w:ascii="Calibri" w:hAnsi="Calibri"/>
          <w:b w:val="0"/>
          <w:bCs w:val="0"/>
          <w:color w:val="000000"/>
          <w:sz w:val="24"/>
          <w:szCs w:val="24"/>
        </w:rPr>
        <w:t xml:space="preserve"> Da existência de registros impeditivos da contratação no Cadastro Nacional de Condenações Cíveis por Ato de Improbidade Administrativa mantido pelo Conselho Nacional de Justiça (www.cnj.jus.br/improbidade_adm/consultar_requerido.php).</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10.2.3 –</w:t>
      </w:r>
      <w:r>
        <w:rPr>
          <w:rFonts w:ascii="Calibri" w:hAnsi="Calibri"/>
          <w:b w:val="0"/>
          <w:bCs w:val="0"/>
          <w:color w:val="000000"/>
          <w:sz w:val="24"/>
          <w:szCs w:val="24"/>
        </w:rPr>
        <w:t xml:space="preserve"> A consulta aos cadastros será realizada em nome da empresa do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10.2.4 –</w:t>
      </w:r>
      <w:r>
        <w:rPr>
          <w:rFonts w:ascii="Calibri" w:hAnsi="Calibri"/>
          <w:b w:val="0"/>
          <w:bCs w:val="0"/>
          <w:color w:val="000000"/>
          <w:sz w:val="24"/>
          <w:szCs w:val="24"/>
        </w:rPr>
        <w:t xml:space="preserve"> Caso conste na consulta de situação do licitante a existência de ocorrências, o licitante será convocado para manifestação previamente a uma eventual desclassificação.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10.3 </w:t>
      </w:r>
      <w:r>
        <w:rPr>
          <w:rFonts w:ascii="Calibri" w:hAnsi="Calibri" w:eastAsia="NSimSun" w:cs="Lucida Sans"/>
          <w:b/>
          <w:bCs/>
          <w:color w:val="000000"/>
          <w:kern w:val="0"/>
          <w:sz w:val="24"/>
          <w:szCs w:val="24"/>
          <w:lang w:val="pt-BR" w:eastAsia="zh-CN" w:bidi="hi-IN"/>
        </w:rPr>
        <w:t>–</w:t>
      </w:r>
      <w:r>
        <w:rPr>
          <w:rFonts w:ascii="Calibri" w:hAnsi="Calibri"/>
          <w:b w:val="0"/>
          <w:bCs w:val="0"/>
          <w:color w:val="000000"/>
          <w:sz w:val="24"/>
          <w:szCs w:val="24"/>
        </w:rPr>
        <w:t xml:space="preserve"> Se o licitante primeiro classificado, após a fase de negociação, quando solicitado, não apresentar documento adicional e/ou amostra, e, quando enviado, os mesmos não atenderem ao exigido no edital o licitante terá sua proposta desclassificada.</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10.4 –</w:t>
      </w:r>
      <w:r>
        <w:rPr>
          <w:rFonts w:ascii="Calibri" w:hAnsi="Calibri"/>
          <w:b w:val="0"/>
          <w:bCs w:val="0"/>
          <w:color w:val="000000"/>
          <w:sz w:val="24"/>
          <w:szCs w:val="24"/>
        </w:rPr>
        <w:t xml:space="preserve"> Serão desclassificados as propostas que:</w:t>
      </w:r>
    </w:p>
    <w:p>
      <w:pPr>
        <w:pStyle w:val="2"/>
        <w:overflowPunct w:val="0"/>
        <w:bidi w:val="0"/>
        <w:spacing w:before="1" w:after="0"/>
        <w:ind w:left="0" w:right="0" w:firstLine="0"/>
        <w:jc w:val="both"/>
        <w:rPr>
          <w:rFonts w:ascii="Calibri" w:hAnsi="Calibri"/>
          <w:sz w:val="24"/>
          <w:szCs w:val="24"/>
        </w:rPr>
      </w:pPr>
      <w:r>
        <w:rPr>
          <w:rFonts w:ascii="Calibri" w:hAnsi="Calibri"/>
          <w:b w:val="0"/>
          <w:bCs w:val="0"/>
          <w:color w:val="000000"/>
          <w:sz w:val="24"/>
          <w:szCs w:val="24"/>
        </w:rPr>
        <w:t xml:space="preserve">a) não obedecerem às especificações técnicas contidas no </w:t>
      </w:r>
      <w:r>
        <w:rPr>
          <w:rFonts w:ascii="Calibri" w:hAnsi="Calibri" w:eastAsia="NSimSun" w:cs="Lucida Sans"/>
          <w:b w:val="0"/>
          <w:bCs w:val="0"/>
          <w:color w:val="000000"/>
          <w:kern w:val="0"/>
          <w:sz w:val="24"/>
          <w:szCs w:val="24"/>
          <w:lang w:val="pt-BR" w:eastAsia="zh-CN" w:bidi="hi-IN"/>
        </w:rPr>
        <w:t>Edital</w:t>
      </w:r>
      <w:r>
        <w:rPr>
          <w:rFonts w:ascii="Calibri" w:hAnsi="Calibri"/>
          <w:b w:val="0"/>
          <w:bCs w:val="0"/>
          <w:color w:val="000000"/>
          <w:sz w:val="24"/>
          <w:szCs w:val="24"/>
        </w:rPr>
        <w:t>;</w:t>
      </w:r>
    </w:p>
    <w:p>
      <w:pPr>
        <w:pStyle w:val="2"/>
        <w:overflowPunct w:val="0"/>
        <w:bidi w:val="0"/>
        <w:spacing w:before="1" w:after="0"/>
        <w:ind w:left="0" w:right="0" w:firstLine="0"/>
        <w:jc w:val="both"/>
        <w:rPr>
          <w:rFonts w:ascii="Calibri" w:hAnsi="Calibri"/>
          <w:sz w:val="24"/>
          <w:szCs w:val="24"/>
        </w:rPr>
      </w:pPr>
      <w:r>
        <w:rPr>
          <w:rFonts w:ascii="Calibri" w:hAnsi="Calibri"/>
          <w:b w:val="0"/>
          <w:bCs w:val="0"/>
          <w:color w:val="000000"/>
          <w:sz w:val="24"/>
          <w:szCs w:val="24"/>
        </w:rPr>
        <w:t>b) contiverem vícios insanáveis;</w:t>
      </w:r>
    </w:p>
    <w:p>
      <w:pPr>
        <w:pStyle w:val="2"/>
        <w:overflowPunct w:val="0"/>
        <w:bidi w:val="0"/>
        <w:spacing w:before="1" w:after="0"/>
        <w:ind w:left="0" w:right="0" w:firstLine="0"/>
        <w:jc w:val="both"/>
        <w:rPr>
          <w:rFonts w:ascii="Calibri" w:hAnsi="Calibri"/>
          <w:sz w:val="24"/>
          <w:szCs w:val="24"/>
        </w:rPr>
      </w:pPr>
      <w:r>
        <w:rPr>
          <w:rFonts w:ascii="Calibri" w:hAnsi="Calibri"/>
          <w:b w:val="0"/>
          <w:bCs w:val="0"/>
          <w:color w:val="000000"/>
          <w:sz w:val="24"/>
          <w:szCs w:val="24"/>
        </w:rPr>
        <w:t>c) não tiverem sua exequibilidade demonstrada, quando exigido pela administração;</w:t>
      </w:r>
    </w:p>
    <w:p>
      <w:pPr>
        <w:pStyle w:val="2"/>
        <w:overflowPunct w:val="0"/>
        <w:bidi w:val="0"/>
        <w:spacing w:before="1" w:after="0"/>
        <w:ind w:left="0" w:right="0" w:firstLine="0"/>
        <w:jc w:val="both"/>
        <w:rPr>
          <w:rFonts w:ascii="Calibri" w:hAnsi="Calibri"/>
          <w:sz w:val="24"/>
          <w:szCs w:val="24"/>
        </w:rPr>
      </w:pPr>
      <w:r>
        <w:rPr>
          <w:rFonts w:ascii="Calibri" w:hAnsi="Calibri"/>
          <w:b w:val="0"/>
          <w:bCs w:val="0"/>
          <w:color w:val="000000"/>
          <w:sz w:val="24"/>
          <w:szCs w:val="24"/>
        </w:rPr>
        <w:t>d) apresentarem desconformidade com quaisquer outras exigências deste Edital ou seus anexos, desde que insanável.</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10.5 –</w:t>
      </w:r>
      <w:r>
        <w:rPr>
          <w:rFonts w:ascii="Calibri" w:hAnsi="Calibri"/>
          <w:b w:val="0"/>
          <w:bCs w:val="0"/>
          <w:color w:val="000000"/>
          <w:sz w:val="24"/>
          <w:szCs w:val="24"/>
        </w:rPr>
        <w:t xml:space="preserve"> Não serão consideradas, para efeitos de julgamento, quaisquer vantagens não previstas no edital.</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10.6 –</w:t>
      </w:r>
      <w:r>
        <w:rPr>
          <w:rFonts w:ascii="Calibri" w:hAnsi="Calibri"/>
          <w:b w:val="0"/>
          <w:bCs w:val="0"/>
          <w:color w:val="000000"/>
          <w:sz w:val="24"/>
          <w:szCs w:val="24"/>
        </w:rPr>
        <w:t xml:space="preserve"> Se houver indícios de inexequibilidade da proposta de preço, ou em caso da necessidade de esclarecimentos complementares, poderão ser efetuadas diligências, para que a empresa comprove a exequibilidade da proposta.</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10.7</w:t>
      </w:r>
      <w:r>
        <w:rPr>
          <w:rFonts w:ascii="Calibri" w:hAnsi="Calibri"/>
          <w:b/>
          <w:bCs/>
          <w:color w:val="000000"/>
          <w:sz w:val="24"/>
          <w:szCs w:val="24"/>
          <w:lang w:val="pt-BR"/>
        </w:rPr>
        <w:t xml:space="preserve"> </w:t>
      </w:r>
      <w:r>
        <w:rPr>
          <w:rFonts w:ascii="Calibri" w:hAnsi="Calibri" w:eastAsia="NSimSun" w:cs="Lucida Sans"/>
          <w:b/>
          <w:bCs/>
          <w:color w:val="000000"/>
          <w:kern w:val="0"/>
          <w:sz w:val="24"/>
          <w:szCs w:val="24"/>
          <w:lang w:val="pt-BR" w:eastAsia="zh-CN" w:bidi="hi-IN"/>
        </w:rPr>
        <w:t>–</w:t>
      </w:r>
      <w:r>
        <w:rPr>
          <w:rFonts w:ascii="Calibri" w:hAnsi="Calibri"/>
          <w:b w:val="0"/>
          <w:bCs w:val="0"/>
          <w:color w:val="000000"/>
          <w:sz w:val="24"/>
          <w:szCs w:val="24"/>
        </w:rPr>
        <w:t xml:space="preserve"> Para fins de análise da proposta quanto ao cumprimento das especificações do objeto, poderá ser colhida a manifestação escrita do setor requisitante do serviço ou da área especializada no objeto.</w:t>
      </w:r>
    </w:p>
    <w:p>
      <w:pPr>
        <w:pStyle w:val="2"/>
        <w:overflowPunct w:val="0"/>
        <w:bidi w:val="0"/>
        <w:spacing w:before="1" w:after="0"/>
        <w:ind w:left="0" w:right="0" w:firstLine="0"/>
        <w:jc w:val="both"/>
        <w:rPr>
          <w:rFonts w:ascii="Calibri" w:hAnsi="Calibri"/>
          <w:b w:val="0"/>
          <w:bCs w:val="0"/>
          <w:color w:val="000000"/>
          <w:sz w:val="24"/>
          <w:szCs w:val="24"/>
        </w:rPr>
      </w:pP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b/>
          <w:bCs/>
          <w:color w:val="000000"/>
          <w:sz w:val="24"/>
          <w:szCs w:val="24"/>
          <w:lang w:val="pt-BR"/>
        </w:rPr>
        <w:t xml:space="preserve"> </w:t>
      </w:r>
      <w:r>
        <w:rPr>
          <w:rFonts w:ascii="Calibri" w:hAnsi="Calibri"/>
          <w:b/>
          <w:bCs/>
          <w:color w:val="000000"/>
          <w:sz w:val="24"/>
          <w:szCs w:val="24"/>
        </w:rPr>
        <w:t>– DOS DOCUMENTOS DE HABILITAÇÃO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eastAsia="NSimSun" w:cs="Lucida Sans"/>
          <w:b/>
          <w:bCs/>
          <w:color w:val="000000"/>
          <w:kern w:val="0"/>
          <w:sz w:val="24"/>
          <w:szCs w:val="24"/>
          <w:lang w:val="pt-BR" w:eastAsia="zh-CN" w:bidi="hi-IN"/>
        </w:rPr>
        <w:t>1</w:t>
      </w:r>
      <w:r>
        <w:rPr>
          <w:rFonts w:ascii="Calibri" w:hAnsi="Calibri"/>
          <w:b/>
          <w:bCs/>
          <w:color w:val="000000"/>
          <w:sz w:val="24"/>
          <w:szCs w:val="24"/>
        </w:rPr>
        <w:t xml:space="preserve"> –</w:t>
      </w:r>
      <w:r>
        <w:rPr>
          <w:rFonts w:ascii="Calibri" w:hAnsi="Calibri"/>
          <w:b w:val="0"/>
          <w:bCs w:val="0"/>
          <w:color w:val="000000"/>
          <w:sz w:val="24"/>
          <w:szCs w:val="24"/>
        </w:rPr>
        <w:t xml:space="preserve"> Certificado de Cadastro de Fornecedores – CCF:</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eastAsia="NSimSun" w:cs="Lucida Sans"/>
          <w:b/>
          <w:bCs/>
          <w:color w:val="000000"/>
          <w:kern w:val="0"/>
          <w:sz w:val="24"/>
          <w:szCs w:val="24"/>
          <w:lang w:val="pt-BR" w:eastAsia="zh-CN" w:bidi="hi-IN"/>
        </w:rPr>
        <w:t>1</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 xml:space="preserve"> –</w:t>
      </w:r>
      <w:r>
        <w:rPr>
          <w:rFonts w:ascii="Calibri" w:hAnsi="Calibri"/>
          <w:b w:val="0"/>
          <w:bCs w:val="0"/>
          <w:color w:val="000000"/>
          <w:sz w:val="24"/>
          <w:szCs w:val="24"/>
        </w:rPr>
        <w:t xml:space="preserve"> A habilitação dos licitantes será analisada por meio do Certificado de Cadastro de Fornecedores – CCF, emitido pela Diretoria de Gestão de Licitações e Contratos – DGLC, da Secretaria de Estado da Administração, pertinente ao grupo-classe objeto desta licitação, para verificação da regularidade nos documentos por ele abrangidos, devendo apresentar prazo de validade, no mínimo, até a data limite fixada para a abertura das propostas.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eastAsia="NSimSun" w:cs="Lucida Sans"/>
          <w:b/>
          <w:bCs/>
          <w:color w:val="000000"/>
          <w:kern w:val="0"/>
          <w:sz w:val="24"/>
          <w:szCs w:val="24"/>
          <w:lang w:val="pt-BR" w:eastAsia="zh-CN" w:bidi="hi-IN"/>
        </w:rPr>
        <w:t>1</w:t>
      </w:r>
      <w:r>
        <w:rPr>
          <w:rFonts w:ascii="Calibri" w:hAnsi="Calibri"/>
          <w:b/>
          <w:bCs/>
          <w:color w:val="000000"/>
          <w:sz w:val="24"/>
          <w:szCs w:val="24"/>
        </w:rPr>
        <w:t>.</w:t>
      </w:r>
      <w:r>
        <w:rPr>
          <w:rFonts w:ascii="Calibri" w:hAnsi="Calibri"/>
          <w:b/>
          <w:bCs/>
          <w:color w:val="000000"/>
          <w:sz w:val="24"/>
          <w:szCs w:val="24"/>
          <w:lang w:val="pt-BR"/>
        </w:rPr>
        <w:t xml:space="preserve">2 </w:t>
      </w:r>
      <w:r>
        <w:rPr>
          <w:rFonts w:ascii="Calibri" w:hAnsi="Calibri"/>
          <w:b/>
          <w:bCs/>
          <w:color w:val="000000"/>
          <w:sz w:val="24"/>
          <w:szCs w:val="24"/>
        </w:rPr>
        <w:t>–</w:t>
      </w:r>
      <w:r>
        <w:rPr>
          <w:rFonts w:ascii="Calibri" w:hAnsi="Calibri"/>
          <w:b w:val="0"/>
          <w:bCs w:val="0"/>
          <w:color w:val="000000"/>
          <w:sz w:val="24"/>
          <w:szCs w:val="24"/>
        </w:rPr>
        <w:t xml:space="preserve"> Os documentos exigidos para habilitação, que não estejam contemplados no CCF, deverão ser apresentados juntamente a proposta atualizada, por meio eletrônico, após convocação do pregoeiro no Sistema eletrônico via “Chat”, em </w:t>
      </w:r>
      <w:r>
        <w:rPr>
          <w:rFonts w:ascii="Calibri" w:hAnsi="Calibri" w:eastAsia="NSimSun" w:cs="Lucida Sans"/>
          <w:b w:val="0"/>
          <w:bCs w:val="0"/>
          <w:color w:val="000000"/>
          <w:kern w:val="0"/>
          <w:sz w:val="24"/>
          <w:szCs w:val="24"/>
          <w:lang w:val="pt-BR" w:eastAsia="zh-CN" w:bidi="hi-IN"/>
        </w:rPr>
        <w:t>prazo definido pelo mesmo</w:t>
      </w:r>
      <w:r>
        <w:rPr>
          <w:rFonts w:ascii="Calibri" w:hAnsi="Calibri"/>
          <w:b w:val="0"/>
          <w:bCs w:val="0"/>
          <w:color w:val="000000"/>
          <w:sz w:val="24"/>
          <w:szCs w:val="24"/>
        </w:rPr>
        <w:t>, inseridos como Anexos no Sistema eletrônico.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eastAsia="NSimSun" w:cs="Lucida Sans"/>
          <w:b/>
          <w:bCs/>
          <w:color w:val="000000"/>
          <w:kern w:val="0"/>
          <w:sz w:val="24"/>
          <w:szCs w:val="24"/>
          <w:lang w:val="pt-BR" w:eastAsia="zh-CN" w:bidi="hi-IN"/>
        </w:rPr>
        <w:t>1</w:t>
      </w:r>
      <w:r>
        <w:rPr>
          <w:rFonts w:ascii="Calibri" w:hAnsi="Calibri"/>
          <w:b/>
          <w:bCs/>
          <w:color w:val="000000"/>
          <w:sz w:val="24"/>
          <w:szCs w:val="24"/>
        </w:rPr>
        <w:t>.</w:t>
      </w:r>
      <w:r>
        <w:rPr>
          <w:rFonts w:ascii="Calibri" w:hAnsi="Calibri"/>
          <w:b/>
          <w:bCs/>
          <w:color w:val="000000"/>
          <w:sz w:val="24"/>
          <w:szCs w:val="24"/>
          <w:lang w:val="pt-BR"/>
        </w:rPr>
        <w:t>3</w:t>
      </w:r>
      <w:r>
        <w:rPr>
          <w:rFonts w:ascii="Calibri" w:hAnsi="Calibri"/>
          <w:b/>
          <w:bCs/>
          <w:color w:val="000000"/>
          <w:sz w:val="24"/>
          <w:szCs w:val="24"/>
        </w:rPr>
        <w:t xml:space="preserve"> –</w:t>
      </w:r>
      <w:r>
        <w:rPr>
          <w:rFonts w:ascii="Calibri" w:hAnsi="Calibri"/>
          <w:b w:val="0"/>
          <w:bCs w:val="0"/>
          <w:color w:val="000000"/>
          <w:sz w:val="24"/>
          <w:szCs w:val="24"/>
        </w:rPr>
        <w:t xml:space="preserve"> O pregoeiro ou equipe de apoio, verificará, nos sítios oficiais de órgãos e entidades emissores de certidões, a autenticidade dos documentos solicitados e enviados, constituindo meio legal de prova.</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11.2 – Da regularidade fiscal e trabalhista das microempresas e empresas de pequeno porte:</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 xml:space="preserve"> –</w:t>
      </w:r>
      <w:r>
        <w:rPr>
          <w:rFonts w:ascii="Calibri" w:hAnsi="Calibri"/>
          <w:b w:val="0"/>
          <w:bCs w:val="0"/>
          <w:color w:val="000000"/>
          <w:sz w:val="24"/>
          <w:szCs w:val="24"/>
        </w:rPr>
        <w:t xml:space="preserve"> A regularidade fiscal e trabalhista das microempresas e empresas de pequeno porte que apresentem restrição (documento vencido) no Certificado de Cadastro de Fornecedores – CCF, deverá ser comprovada, com o encaminhamento de documento hábil no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.1 –</w:t>
      </w:r>
      <w:r>
        <w:rPr>
          <w:rFonts w:ascii="Calibri" w:hAnsi="Calibri"/>
          <w:b w:val="0"/>
          <w:bCs w:val="0"/>
          <w:color w:val="000000"/>
          <w:sz w:val="24"/>
          <w:szCs w:val="24"/>
        </w:rPr>
        <w:t xml:space="preserve"> A não regularização da documentação, no prazo estabelecido, implicará na decadência do direito da microempresa ou empresa de pequeno porte à contratação, sem prejuízo das sanções administrativas cabíveis por descumprimento de obrigações contratuais previstas neste edital e na legislação vigente aplicável à matéria (advertência, multa, impedimento de licitar e contratar com a Administração), sendo facultada à Administração convocar aos licitantes remanescentes, na ordem de classificação, para a assinatura do contrato ou revogar a licitação.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w:t>
      </w:r>
      <w:r>
        <w:rPr>
          <w:rFonts w:ascii="Calibri" w:hAnsi="Calibri"/>
          <w:b/>
          <w:bCs/>
          <w:color w:val="000000"/>
          <w:sz w:val="24"/>
          <w:szCs w:val="24"/>
          <w:lang w:val="pt-BR"/>
        </w:rPr>
        <w:t>2</w:t>
      </w:r>
      <w:r>
        <w:rPr>
          <w:rFonts w:ascii="Calibri" w:hAnsi="Calibri"/>
          <w:b/>
          <w:bCs/>
          <w:color w:val="000000"/>
          <w:sz w:val="24"/>
          <w:szCs w:val="24"/>
        </w:rPr>
        <w:t xml:space="preserve"> –</w:t>
      </w:r>
      <w:r>
        <w:rPr>
          <w:rFonts w:ascii="Calibri" w:hAnsi="Calibri"/>
          <w:b w:val="0"/>
          <w:bCs w:val="0"/>
          <w:color w:val="000000"/>
          <w:sz w:val="24"/>
          <w:szCs w:val="24"/>
        </w:rPr>
        <w:t xml:space="preserve"> Os comprovantes de regularidade fiscal e trabalhista exigidos deverão apresentar prazo de validade, no mínimo, até a data limite fixada para a abertura das propostas. Não constando a vigência, será considerado o prazo de 90 (noventa) dias da data da emissão.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w:t>
      </w:r>
      <w:r>
        <w:rPr>
          <w:rFonts w:ascii="Calibri" w:hAnsi="Calibri"/>
          <w:b/>
          <w:bCs/>
          <w:color w:val="000000"/>
          <w:sz w:val="24"/>
          <w:szCs w:val="24"/>
          <w:lang w:val="pt-BR"/>
        </w:rPr>
        <w:t>3</w:t>
      </w:r>
      <w:r>
        <w:rPr>
          <w:rFonts w:ascii="Calibri" w:hAnsi="Calibri"/>
          <w:b/>
          <w:bCs/>
          <w:color w:val="000000"/>
          <w:sz w:val="24"/>
          <w:szCs w:val="24"/>
        </w:rPr>
        <w:t xml:space="preserve"> –</w:t>
      </w:r>
      <w:r>
        <w:rPr>
          <w:rFonts w:ascii="Calibri" w:hAnsi="Calibri"/>
          <w:b w:val="0"/>
          <w:bCs w:val="0"/>
          <w:color w:val="000000"/>
          <w:sz w:val="24"/>
          <w:szCs w:val="24"/>
        </w:rPr>
        <w:t xml:space="preserve"> A verificação posterior de que, nos termos da lei, o declarante não se enquadra como microempresa ou empresa de pequeno porte, caracterizará crime de fraude à licitação, sujeitando-se as sanções previstas no na Lei n.º 14.133/2021.</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w:t>
      </w:r>
      <w:r>
        <w:rPr>
          <w:rFonts w:ascii="Calibri" w:hAnsi="Calibri"/>
          <w:b/>
          <w:bCs/>
          <w:color w:val="000000"/>
          <w:sz w:val="24"/>
          <w:szCs w:val="24"/>
          <w:lang w:val="pt-BR"/>
        </w:rPr>
        <w:t xml:space="preserve">4 </w:t>
      </w:r>
      <w:r>
        <w:rPr>
          <w:rFonts w:ascii="Calibri" w:hAnsi="Calibri"/>
          <w:b/>
          <w:bCs/>
          <w:color w:val="000000"/>
          <w:sz w:val="24"/>
          <w:szCs w:val="24"/>
        </w:rPr>
        <w:t>–</w:t>
      </w:r>
      <w:r>
        <w:rPr>
          <w:rFonts w:ascii="Calibri" w:hAnsi="Calibri"/>
          <w:b w:val="0"/>
          <w:bCs w:val="0"/>
          <w:color w:val="000000"/>
          <w:sz w:val="24"/>
          <w:szCs w:val="24"/>
        </w:rPr>
        <w:t xml:space="preserve"> Os documentos quando solicitados por meio eletrônico, poderão ser inseridos como Anexos no Sistema eletrônico ou pelo endereço informado pelo pregoeiro.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cs="Lucida Sans"/>
          <w:b/>
          <w:bCs/>
          <w:color w:val="000000"/>
          <w:kern w:val="0"/>
          <w:sz w:val="24"/>
          <w:szCs w:val="24"/>
          <w:lang w:val="pt-BR" w:eastAsia="zh-CN" w:bidi="hi-IN"/>
        </w:rPr>
        <w:t>3</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 xml:space="preserve"> Todos documentos deverão ser apresentados na língua nacional do Brasil, ou original traduzido por tradutor oficial, juntamente a proposta atualizada, por meio eletrônico, em </w:t>
      </w:r>
      <w:r>
        <w:rPr>
          <w:rFonts w:ascii="Calibri" w:hAnsi="Calibri" w:eastAsia="NSimSun" w:cs="Lucida Sans"/>
          <w:b w:val="0"/>
          <w:bCs w:val="0"/>
          <w:color w:val="000000"/>
          <w:kern w:val="0"/>
          <w:sz w:val="24"/>
          <w:szCs w:val="24"/>
          <w:lang w:val="pt-BR" w:eastAsia="zh-CN" w:bidi="hi-IN"/>
        </w:rPr>
        <w:t xml:space="preserve">prazo definido pelo pregoeiro </w:t>
      </w:r>
      <w:r>
        <w:rPr>
          <w:rFonts w:ascii="Calibri" w:hAnsi="Calibri"/>
          <w:b w:val="0"/>
          <w:bCs w:val="0"/>
          <w:color w:val="000000"/>
          <w:sz w:val="24"/>
          <w:szCs w:val="24"/>
        </w:rPr>
        <w:t xml:space="preserve">após convocação do </w:t>
      </w:r>
      <w:r>
        <w:rPr>
          <w:rFonts w:ascii="Calibri" w:hAnsi="Calibri" w:eastAsia="NSimSun" w:cs="Lucida Sans"/>
          <w:b w:val="0"/>
          <w:bCs w:val="0"/>
          <w:color w:val="000000"/>
          <w:kern w:val="0"/>
          <w:sz w:val="24"/>
          <w:szCs w:val="24"/>
          <w:lang w:val="pt-BR" w:eastAsia="zh-CN" w:bidi="hi-IN"/>
        </w:rPr>
        <w:t>mesmo</w:t>
      </w:r>
      <w:r>
        <w:rPr>
          <w:rFonts w:ascii="Calibri" w:hAnsi="Calibri"/>
          <w:b w:val="0"/>
          <w:bCs w:val="0"/>
          <w:color w:val="000000"/>
          <w:sz w:val="24"/>
          <w:szCs w:val="24"/>
        </w:rPr>
        <w:t xml:space="preserve"> via “Chat”, inseridos como Anexos no Sistema eletrônico.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cs="Lucida Sans"/>
          <w:b/>
          <w:bCs/>
          <w:color w:val="000000"/>
          <w:kern w:val="0"/>
          <w:sz w:val="24"/>
          <w:szCs w:val="24"/>
          <w:lang w:val="pt-BR" w:eastAsia="zh-CN" w:bidi="hi-IN"/>
        </w:rPr>
        <w:t>4</w:t>
      </w:r>
      <w:r>
        <w:rPr>
          <w:rFonts w:ascii="Calibri" w:hAnsi="Calibri" w:eastAsia="NSimSun" w:cs="Lucida Sans"/>
          <w:b/>
          <w:bCs/>
          <w:color w:val="000000"/>
          <w:kern w:val="0"/>
          <w:sz w:val="24"/>
          <w:szCs w:val="24"/>
          <w:lang w:val="pt-BR" w:eastAsia="zh-CN" w:bidi="hi-IN"/>
        </w:rPr>
        <w:t xml:space="preserve"> –</w:t>
      </w:r>
      <w:r>
        <w:rPr>
          <w:rFonts w:ascii="Calibri" w:hAnsi="Calibri"/>
          <w:b/>
          <w:bCs/>
          <w:color w:val="000000"/>
          <w:sz w:val="24"/>
          <w:szCs w:val="24"/>
        </w:rPr>
        <w:t xml:space="preserve"> </w:t>
      </w:r>
      <w:r>
        <w:rPr>
          <w:rFonts w:ascii="Calibri" w:hAnsi="Calibri"/>
          <w:b w:val="0"/>
          <w:bCs w:val="0"/>
          <w:color w:val="000000"/>
          <w:sz w:val="24"/>
          <w:szCs w:val="24"/>
        </w:rPr>
        <w:t>Após o envio dos documentos, o pregoeiro verificará nos sítios oficiais de órgãos e entidades emissores de certidões, os documentos correspondentes, constituindo meio legal de prova.</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cs="Lucida Sans"/>
          <w:b/>
          <w:bCs/>
          <w:color w:val="000000"/>
          <w:kern w:val="0"/>
          <w:sz w:val="24"/>
          <w:szCs w:val="24"/>
          <w:lang w:val="pt-BR" w:eastAsia="zh-CN" w:bidi="hi-IN"/>
        </w:rPr>
        <w:t>5</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 xml:space="preserve">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cs="Lucida Sans"/>
          <w:b/>
          <w:bCs/>
          <w:color w:val="000000"/>
          <w:kern w:val="0"/>
          <w:sz w:val="24"/>
          <w:szCs w:val="24"/>
          <w:lang w:val="pt-BR" w:eastAsia="zh-CN" w:bidi="hi-IN"/>
        </w:rPr>
        <w:t>5</w:t>
      </w:r>
      <w:r>
        <w:rPr>
          <w:rFonts w:ascii="Calibri" w:hAnsi="Calibri"/>
          <w:b/>
          <w:bCs/>
          <w:color w:val="000000"/>
          <w:sz w:val="24"/>
          <w:szCs w:val="24"/>
        </w:rPr>
        <w:t>.</w:t>
      </w:r>
      <w:r>
        <w:rPr>
          <w:rFonts w:ascii="Calibri" w:hAnsi="Calibri" w:eastAsia="NSimSun" w:cs="Lucida Sans"/>
          <w:b/>
          <w:bCs/>
          <w:color w:val="000000"/>
          <w:kern w:val="0"/>
          <w:sz w:val="24"/>
          <w:szCs w:val="24"/>
          <w:lang w:val="pt-BR" w:eastAsia="zh-CN" w:bidi="hi-IN"/>
        </w:rPr>
        <w:t>1</w:t>
      </w:r>
      <w:r>
        <w:rPr>
          <w:rFonts w:ascii="Calibri" w:hAnsi="Calibri"/>
          <w:b/>
          <w:bCs/>
          <w:color w:val="000000"/>
          <w:sz w:val="24"/>
          <w:szCs w:val="24"/>
        </w:rPr>
        <w:t xml:space="preserve"> </w:t>
      </w:r>
      <w:r>
        <w:rPr>
          <w:rFonts w:ascii="Calibri" w:hAnsi="Calibri" w:eastAsia="NSimSun" w:cs="Lucida Sans"/>
          <w:b/>
          <w:bCs/>
          <w:color w:val="000000"/>
          <w:kern w:val="0"/>
          <w:sz w:val="24"/>
          <w:szCs w:val="24"/>
          <w:lang w:val="pt-BR" w:eastAsia="zh-CN" w:bidi="hi-IN"/>
        </w:rPr>
        <w:t>–</w:t>
      </w:r>
      <w:r>
        <w:rPr>
          <w:rFonts w:ascii="Calibri" w:hAnsi="Calibri"/>
          <w:b/>
          <w:bCs/>
          <w:color w:val="000000"/>
          <w:sz w:val="24"/>
          <w:szCs w:val="24"/>
        </w:rPr>
        <w:t xml:space="preserve"> </w:t>
      </w:r>
      <w:r>
        <w:rPr>
          <w:rFonts w:ascii="Calibri" w:hAnsi="Calibri"/>
          <w:b w:val="0"/>
          <w:bCs w:val="0"/>
          <w:color w:val="000000"/>
          <w:sz w:val="24"/>
          <w:szCs w:val="24"/>
        </w:rPr>
        <w:t>Os documentos exigidos para fins de habilitação poderão ser substituídos por registro cadastral emitido por órgão ou entidade pública, desde que o registro tenha sido feito em obediência ao disposto na Lei nº 14.133/2021.</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cs="Lucida Sans"/>
          <w:b/>
          <w:bCs/>
          <w:color w:val="000000"/>
          <w:kern w:val="0"/>
          <w:sz w:val="24"/>
          <w:szCs w:val="24"/>
          <w:lang w:val="pt-BR" w:eastAsia="zh-CN" w:bidi="hi-IN"/>
        </w:rPr>
        <w:t xml:space="preserve">6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Será verificado se o licitante apresentou declaração de que atende aos requisitos de habilitação, e o declarante responderá pela veracidade das informações prestadas, na forma da lei (art. 63, I, da Lei nº 14.133/2021).</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cs="Lucida Sans"/>
          <w:b/>
          <w:bCs/>
          <w:color w:val="000000"/>
          <w:kern w:val="0"/>
          <w:sz w:val="24"/>
          <w:szCs w:val="24"/>
          <w:lang w:val="pt-BR" w:eastAsia="zh-CN" w:bidi="hi-IN"/>
        </w:rPr>
        <w:t xml:space="preserve">7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cs="Lucida Sans"/>
          <w:b/>
          <w:bCs/>
          <w:color w:val="000000"/>
          <w:kern w:val="0"/>
          <w:sz w:val="24"/>
          <w:szCs w:val="24"/>
          <w:lang w:val="pt-BR" w:eastAsia="zh-CN" w:bidi="hi-IN"/>
        </w:rPr>
        <w:t xml:space="preserve">8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A verificação pelo pregoeiro, em sítios eletrônicos oficiais de órgãos e entidades emissores de certidões constitui meio legal de prova, para fins de habilitação.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cs="Lucida Sans"/>
          <w:b/>
          <w:bCs/>
          <w:color w:val="000000"/>
          <w:kern w:val="0"/>
          <w:sz w:val="24"/>
          <w:szCs w:val="24"/>
          <w:lang w:val="pt-BR" w:eastAsia="zh-CN" w:bidi="hi-IN"/>
        </w:rPr>
        <w:t xml:space="preserve">9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Após a entrega dos documentos para habilitação, não será permitida a substituição ou a apresentação de novos documentos, salvo em sede de diligência, para (Lei 14.133/21, art. 64, e IN 73/2022, art. 39, §4º):</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cs="Lucida Sans"/>
          <w:b/>
          <w:bCs/>
          <w:color w:val="000000"/>
          <w:kern w:val="0"/>
          <w:sz w:val="24"/>
          <w:szCs w:val="24"/>
          <w:lang w:val="pt-BR" w:eastAsia="zh-CN" w:bidi="hi-IN"/>
        </w:rPr>
        <w:t>9</w:t>
      </w:r>
      <w:r>
        <w:rPr>
          <w:rFonts w:ascii="Calibri" w:hAnsi="Calibri"/>
          <w:b/>
          <w:bCs/>
          <w:color w:val="000000"/>
          <w:sz w:val="24"/>
          <w:szCs w:val="24"/>
        </w:rPr>
        <w:t xml:space="preserve">.1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complementação de informações acerca dos documentos já apresentados pelos licitantes e desde que necessária para apurar fatos existentes à época da abertura do certame; e atualização de documentos cuja validade tenha expirado após a data de recebimento das propostas;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cs="Lucida Sans"/>
          <w:b/>
          <w:bCs/>
          <w:color w:val="000000"/>
          <w:kern w:val="0"/>
          <w:sz w:val="24"/>
          <w:szCs w:val="24"/>
          <w:lang w:val="pt-BR" w:eastAsia="zh-CN" w:bidi="hi-IN"/>
        </w:rPr>
        <w:t>10</w:t>
      </w:r>
      <w:r>
        <w:rPr>
          <w:rFonts w:ascii="Calibri" w:hAnsi="Calibri" w:eastAsia="NSimSun" w:cs="Lucida Sans"/>
          <w:b/>
          <w:bCs/>
          <w:color w:val="000000"/>
          <w:kern w:val="0"/>
          <w:sz w:val="24"/>
          <w:szCs w:val="24"/>
          <w:lang w:val="pt-BR" w:eastAsia="zh-CN" w:bidi="hi-IN"/>
        </w:rPr>
        <w:t xml:space="preserve"> – </w:t>
      </w:r>
      <w:r>
        <w:rPr>
          <w:rFonts w:ascii="Calibri" w:hAnsi="Calibri"/>
          <w:b w:val="0"/>
          <w:bCs w:val="0"/>
          <w:color w:val="000000"/>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eastAsia="NSimSun" w:cs="Lucida Sans"/>
          <w:b/>
          <w:bCs/>
          <w:color w:val="000000"/>
          <w:kern w:val="0"/>
          <w:sz w:val="24"/>
          <w:szCs w:val="24"/>
          <w:lang w:val="pt-BR" w:eastAsia="zh-CN" w:bidi="hi-IN"/>
        </w:rPr>
        <w:t>1</w:t>
      </w:r>
      <w:r>
        <w:rPr>
          <w:rFonts w:ascii="Calibri" w:hAnsi="Calibri" w:cs="Lucida Sans"/>
          <w:b/>
          <w:bCs/>
          <w:color w:val="000000"/>
          <w:kern w:val="0"/>
          <w:sz w:val="24"/>
          <w:szCs w:val="24"/>
          <w:lang w:val="pt-BR" w:eastAsia="zh-CN" w:bidi="hi-IN"/>
        </w:rPr>
        <w:t xml:space="preserve">1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Na hipótese de o licitante não atender às exigências para habilitação, o pregoeiro examinará a proposta subsequente e assim sucessivamente, na ordem de classificação, até a apuração de uma proposta que atenda ao presente edital.</w:t>
      </w:r>
    </w:p>
    <w:p>
      <w:pPr>
        <w:pStyle w:val="2"/>
        <w:overflowPunct w:val="0"/>
        <w:bidi w:val="0"/>
        <w:spacing w:before="1" w:after="0"/>
        <w:ind w:left="0" w:right="0" w:firstLine="0"/>
        <w:jc w:val="both"/>
        <w:rPr>
          <w:rFonts w:ascii="Calibri" w:hAnsi="Calibri"/>
          <w:sz w:val="24"/>
          <w:szCs w:val="24"/>
        </w:rPr>
      </w:pP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12</w:t>
      </w:r>
      <w:r>
        <w:rPr>
          <w:rFonts w:ascii="Calibri" w:hAnsi="Calibri"/>
          <w:b/>
          <w:bCs/>
          <w:color w:val="000000"/>
          <w:sz w:val="24"/>
          <w:szCs w:val="24"/>
          <w:lang w:val="pt-BR"/>
        </w:rPr>
        <w:t xml:space="preserve"> </w:t>
      </w:r>
      <w:r>
        <w:rPr>
          <w:rFonts w:ascii="Calibri" w:hAnsi="Calibri"/>
          <w:b/>
          <w:bCs/>
          <w:color w:val="000000"/>
          <w:sz w:val="24"/>
          <w:szCs w:val="24"/>
        </w:rPr>
        <w:t>– DOS RECURSOS ADMINISTRATIVOS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12.</w:t>
      </w:r>
      <w:r>
        <w:rPr>
          <w:rFonts w:ascii="Calibri" w:hAnsi="Calibri" w:eastAsia="NSimSun" w:cs="Lucida Sans"/>
          <w:b/>
          <w:bCs/>
          <w:color w:val="000000"/>
          <w:kern w:val="0"/>
          <w:sz w:val="24"/>
          <w:szCs w:val="24"/>
          <w:lang w:val="pt-BR" w:eastAsia="zh-CN" w:bidi="hi-IN"/>
        </w:rPr>
        <w:t>1</w:t>
      </w:r>
      <w:r>
        <w:rPr>
          <w:rFonts w:ascii="Calibri" w:hAnsi="Calibri"/>
          <w:b/>
          <w:bCs/>
          <w:color w:val="000000"/>
          <w:sz w:val="24"/>
          <w:szCs w:val="24"/>
        </w:rPr>
        <w:t xml:space="preserve"> –</w:t>
      </w:r>
      <w:r>
        <w:rPr>
          <w:rFonts w:ascii="Calibri" w:hAnsi="Calibri"/>
          <w:b w:val="0"/>
          <w:bCs w:val="0"/>
          <w:color w:val="000000"/>
          <w:sz w:val="24"/>
          <w:szCs w:val="24"/>
        </w:rPr>
        <w:t xml:space="preserve"> Após a fase de habilitação, encerrados os itens/lotes e declarado o vencedor, qualquer licitante poderá manifestar sua intenção de recorrer contra decisões do Pregoeiro, de forma imediata e motivada, em campo próprio do Sistema, sendo-lhe concedido o prazo de 03 (três) dias para a envio das razões do recurso, ficando os demais licitantes, desde logo, intimados a enviar contrarrazões em igual número de dias, que começarão a correr do término do prazo da recorrente, sendo-lhes assegurada vista dos autos.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12.1.1 –</w:t>
      </w:r>
      <w:r>
        <w:rPr>
          <w:rFonts w:ascii="Calibri" w:hAnsi="Calibri"/>
          <w:b w:val="0"/>
          <w:bCs w:val="0"/>
          <w:color w:val="000000"/>
          <w:sz w:val="24"/>
          <w:szCs w:val="24"/>
        </w:rPr>
        <w:t xml:space="preserve"> A  falta  de  manifestação  imediata  e  motivada  do  licitante  quanto  à  intenção  de recorrer,  nos  termos  do  subitem  12.1,  importará  na  decadência  desse  direito,  ficando  o pregoeiro autorizado encaminhar o processo devidamente instruído à autoridade superior para adjudicar o objeto ao licitante declarado vencedor.</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12.</w:t>
      </w:r>
      <w:r>
        <w:rPr>
          <w:rFonts w:ascii="Calibri" w:hAnsi="Calibri" w:eastAsia="NSimSun" w:cs="Lucida Sans"/>
          <w:b/>
          <w:bCs/>
          <w:color w:val="000000"/>
          <w:kern w:val="0"/>
          <w:sz w:val="24"/>
          <w:szCs w:val="24"/>
          <w:lang w:val="pt-BR" w:eastAsia="zh-CN" w:bidi="hi-IN"/>
        </w:rPr>
        <w:t>1</w:t>
      </w:r>
      <w:r>
        <w:rPr>
          <w:rFonts w:ascii="Calibri" w:hAnsi="Calibri"/>
          <w:b/>
          <w:bCs/>
          <w:color w:val="000000"/>
          <w:sz w:val="24"/>
          <w:szCs w:val="24"/>
        </w:rPr>
        <w:t>.2 –</w:t>
      </w:r>
      <w:r>
        <w:rPr>
          <w:rFonts w:ascii="Calibri" w:hAnsi="Calibri"/>
          <w:b w:val="0"/>
          <w:bCs w:val="0"/>
          <w:color w:val="000000"/>
          <w:sz w:val="24"/>
          <w:szCs w:val="24"/>
        </w:rPr>
        <w:t xml:space="preserve"> Para fins deste edital considera-se “imediata”, a manifestação realizada no prazo de 30 (trinta) minutos, contado a partir do encerramento da fase de habilitação.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12.</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 xml:space="preserve"> –</w:t>
      </w:r>
      <w:r>
        <w:rPr>
          <w:rFonts w:ascii="Calibri" w:hAnsi="Calibri"/>
          <w:b w:val="0"/>
          <w:bCs w:val="0"/>
          <w:color w:val="000000"/>
          <w:sz w:val="24"/>
          <w:szCs w:val="24"/>
        </w:rPr>
        <w:t xml:space="preserve"> O acolhimento de recurso importará na invalidação apenas dos atos insuscetíveis de aproveitamento.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12.</w:t>
      </w:r>
      <w:r>
        <w:rPr>
          <w:rFonts w:ascii="Calibri" w:hAnsi="Calibri" w:eastAsia="NSimSun" w:cs="Lucida Sans"/>
          <w:b/>
          <w:bCs/>
          <w:color w:val="000000"/>
          <w:kern w:val="0"/>
          <w:sz w:val="24"/>
          <w:szCs w:val="24"/>
          <w:lang w:val="pt-BR" w:eastAsia="zh-CN" w:bidi="hi-IN"/>
        </w:rPr>
        <w:t>3</w:t>
      </w:r>
      <w:r>
        <w:rPr>
          <w:rFonts w:ascii="Calibri" w:hAnsi="Calibri"/>
          <w:b/>
          <w:bCs/>
          <w:color w:val="000000"/>
          <w:sz w:val="24"/>
          <w:szCs w:val="24"/>
        </w:rPr>
        <w:t xml:space="preserve"> –</w:t>
      </w:r>
      <w:r>
        <w:rPr>
          <w:rFonts w:ascii="Calibri" w:hAnsi="Calibri"/>
          <w:b w:val="0"/>
          <w:bCs w:val="0"/>
          <w:color w:val="000000"/>
          <w:sz w:val="24"/>
          <w:szCs w:val="24"/>
        </w:rPr>
        <w:t xml:space="preserve"> O Sistema permite, após salvar as informações iniciais e emitir o número de registro do recurso, inserir Anexos antes de fechar a janela.</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12.</w:t>
      </w:r>
      <w:r>
        <w:rPr>
          <w:rFonts w:ascii="Calibri" w:hAnsi="Calibri" w:eastAsia="NSimSun" w:cs="Lucida Sans"/>
          <w:b/>
          <w:bCs/>
          <w:color w:val="000000"/>
          <w:kern w:val="0"/>
          <w:sz w:val="24"/>
          <w:szCs w:val="24"/>
          <w:lang w:val="pt-BR" w:eastAsia="zh-CN" w:bidi="hi-IN"/>
        </w:rPr>
        <w:t>3</w:t>
      </w:r>
      <w:r>
        <w:rPr>
          <w:rFonts w:ascii="Calibri" w:hAnsi="Calibri"/>
          <w:b/>
          <w:bCs/>
          <w:color w:val="000000"/>
          <w:sz w:val="24"/>
          <w:szCs w:val="24"/>
        </w:rPr>
        <w:t>.1 –</w:t>
      </w:r>
      <w:r>
        <w:rPr>
          <w:rFonts w:ascii="Calibri" w:hAnsi="Calibri"/>
          <w:b w:val="0"/>
          <w:bCs w:val="0"/>
          <w:color w:val="000000"/>
          <w:sz w:val="24"/>
          <w:szCs w:val="24"/>
        </w:rPr>
        <w:t xml:space="preserve"> Os recursos registrados no Sistema, constituem meio legal de prova, desde que devidamente assinados, não sendo obrigatório o encaminhamento do original.</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12.</w:t>
      </w:r>
      <w:r>
        <w:rPr>
          <w:rFonts w:ascii="Calibri" w:hAnsi="Calibri" w:eastAsia="NSimSun" w:cs="Lucida Sans"/>
          <w:b/>
          <w:bCs/>
          <w:color w:val="000000"/>
          <w:kern w:val="0"/>
          <w:sz w:val="24"/>
          <w:szCs w:val="24"/>
          <w:lang w:val="pt-BR" w:eastAsia="zh-CN" w:bidi="hi-IN"/>
        </w:rPr>
        <w:t>4</w:t>
      </w:r>
      <w:r>
        <w:rPr>
          <w:rFonts w:ascii="Calibri" w:hAnsi="Calibri"/>
          <w:b/>
          <w:bCs/>
          <w:color w:val="000000"/>
          <w:sz w:val="24"/>
          <w:szCs w:val="24"/>
        </w:rPr>
        <w:t xml:space="preserve"> –</w:t>
      </w:r>
      <w:r>
        <w:rPr>
          <w:rFonts w:ascii="Calibri" w:hAnsi="Calibri"/>
          <w:b w:val="0"/>
          <w:bCs w:val="0"/>
          <w:color w:val="000000"/>
          <w:sz w:val="24"/>
          <w:szCs w:val="24"/>
        </w:rPr>
        <w:t xml:space="preserve"> Não serão conhecidos os recursos apresentados fora do prazo legal.</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12.</w:t>
      </w:r>
      <w:r>
        <w:rPr>
          <w:rFonts w:ascii="Calibri" w:hAnsi="Calibri" w:eastAsia="NSimSun" w:cs="Lucida Sans"/>
          <w:b/>
          <w:bCs/>
          <w:color w:val="000000"/>
          <w:kern w:val="0"/>
          <w:sz w:val="24"/>
          <w:szCs w:val="24"/>
          <w:lang w:val="pt-BR" w:eastAsia="zh-CN" w:bidi="hi-IN"/>
        </w:rPr>
        <w:t>5</w:t>
      </w:r>
      <w:r>
        <w:rPr>
          <w:rFonts w:ascii="Calibri" w:hAnsi="Calibri"/>
          <w:b/>
          <w:bCs/>
          <w:color w:val="000000"/>
          <w:sz w:val="24"/>
          <w:szCs w:val="24"/>
        </w:rPr>
        <w:t xml:space="preserve"> –</w:t>
      </w:r>
      <w:r>
        <w:rPr>
          <w:rFonts w:ascii="Calibri" w:hAnsi="Calibri"/>
          <w:b w:val="0"/>
          <w:bCs w:val="0"/>
          <w:color w:val="000000"/>
          <w:sz w:val="24"/>
          <w:szCs w:val="24"/>
        </w:rPr>
        <w:t xml:space="preserve"> Decididos os recursos e constatada a regularidade dos atos praticados, a autoridade competente adjudicará o objeto e homologará o procedimento licitatório.</w:t>
      </w:r>
    </w:p>
    <w:p>
      <w:pPr>
        <w:pStyle w:val="2"/>
        <w:overflowPunct w:val="0"/>
        <w:bidi w:val="0"/>
        <w:spacing w:before="1" w:after="0"/>
        <w:ind w:left="0" w:right="0" w:firstLine="0"/>
        <w:jc w:val="both"/>
        <w:rPr>
          <w:rFonts w:ascii="Calibri" w:hAnsi="Calibri"/>
          <w:b w:val="0"/>
          <w:bCs w:val="0"/>
          <w:color w:val="000000"/>
          <w:sz w:val="24"/>
          <w:szCs w:val="24"/>
        </w:rPr>
      </w:pP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13</w:t>
      </w:r>
      <w:r>
        <w:rPr>
          <w:rFonts w:ascii="Calibri" w:hAnsi="Calibri"/>
          <w:b/>
          <w:bCs/>
          <w:color w:val="000000"/>
          <w:sz w:val="24"/>
          <w:szCs w:val="24"/>
          <w:lang w:val="pt-BR"/>
        </w:rPr>
        <w:t xml:space="preserve"> </w:t>
      </w:r>
      <w:r>
        <w:rPr>
          <w:rFonts w:ascii="Calibri" w:hAnsi="Calibri"/>
          <w:b/>
          <w:bCs/>
          <w:color w:val="000000"/>
          <w:sz w:val="24"/>
          <w:szCs w:val="24"/>
        </w:rPr>
        <w:t>– DAS INFRAÇÕES ADMINISTRATIVAS E SANÇÕES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13.1 –</w:t>
      </w:r>
      <w:r>
        <w:rPr>
          <w:rFonts w:ascii="Calibri" w:hAnsi="Calibri"/>
          <w:b w:val="0"/>
          <w:bCs w:val="0"/>
          <w:color w:val="000000"/>
          <w:sz w:val="24"/>
          <w:szCs w:val="24"/>
        </w:rPr>
        <w:t xml:space="preserve"> Comete infração administrativa, nos termos da lei, o licitante que, com dolo ou culpa:</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13.1.1 – </w:t>
      </w:r>
      <w:r>
        <w:rPr>
          <w:rFonts w:ascii="Calibri" w:hAnsi="Calibri"/>
          <w:b w:val="0"/>
          <w:bCs w:val="0"/>
          <w:color w:val="000000"/>
          <w:sz w:val="24"/>
          <w:szCs w:val="24"/>
        </w:rPr>
        <w:t>deixar de entregar a documentação exigida para o certame ou não entregar qualquer documento que tenha sido solicitado pelo/a pregoeiro/a durante o certame;</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13.1.2 – </w:t>
      </w:r>
      <w:r>
        <w:rPr>
          <w:rFonts w:ascii="Calibri" w:hAnsi="Calibri"/>
          <w:b w:val="0"/>
          <w:bCs w:val="0"/>
          <w:color w:val="000000"/>
          <w:sz w:val="24"/>
          <w:szCs w:val="24"/>
        </w:rPr>
        <w:t>Salvo em decorrência de fato superveniente devidamente justificado, não mantiver a proposta em especial quando: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13.1.2.1 –</w:t>
      </w:r>
      <w:r>
        <w:rPr>
          <w:rFonts w:ascii="Calibri" w:hAnsi="Calibri"/>
          <w:b w:val="0"/>
          <w:bCs w:val="0"/>
          <w:color w:val="000000"/>
          <w:sz w:val="24"/>
          <w:szCs w:val="24"/>
        </w:rPr>
        <w:t xml:space="preserve"> não enviar a proposta adequada ao último lance ofertado ou após a negociação;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13.1.2.2 –</w:t>
      </w:r>
      <w:r>
        <w:rPr>
          <w:rFonts w:ascii="Calibri" w:hAnsi="Calibri"/>
          <w:b w:val="0"/>
          <w:bCs w:val="0"/>
          <w:color w:val="000000"/>
          <w:sz w:val="24"/>
          <w:szCs w:val="24"/>
        </w:rPr>
        <w:t xml:space="preserve"> recusar-se a enviar o detalhamento da proposta quando exigível;</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13.1.2.3 –</w:t>
      </w:r>
      <w:r>
        <w:rPr>
          <w:rFonts w:ascii="Calibri" w:hAnsi="Calibri"/>
          <w:b w:val="0"/>
          <w:bCs w:val="0"/>
          <w:color w:val="000000"/>
          <w:sz w:val="24"/>
          <w:szCs w:val="24"/>
        </w:rPr>
        <w:t xml:space="preserve"> pedir para ser desclassificado quando encerrada a etapa competitiva; ou</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13.1.2.4 –</w:t>
      </w:r>
      <w:r>
        <w:rPr>
          <w:rFonts w:ascii="Calibri" w:hAnsi="Calibri"/>
          <w:b w:val="0"/>
          <w:bCs w:val="0"/>
          <w:color w:val="000000"/>
          <w:sz w:val="24"/>
          <w:szCs w:val="24"/>
        </w:rPr>
        <w:t xml:space="preserve"> deixar de apresentar amostra;</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13.1.2.5 – </w:t>
      </w:r>
      <w:r>
        <w:rPr>
          <w:rFonts w:ascii="Calibri" w:hAnsi="Calibri"/>
          <w:b w:val="0"/>
          <w:bCs w:val="0"/>
          <w:color w:val="000000"/>
          <w:sz w:val="24"/>
          <w:szCs w:val="24"/>
        </w:rPr>
        <w:t>apresentar proposta ou amostra em desacordo com as especificações do edital;</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13.1.3 – </w:t>
      </w:r>
      <w:r>
        <w:rPr>
          <w:rFonts w:ascii="Calibri" w:hAnsi="Calibri"/>
          <w:b w:val="0"/>
          <w:bCs w:val="0"/>
          <w:color w:val="000000"/>
          <w:sz w:val="24"/>
          <w:szCs w:val="24"/>
        </w:rPr>
        <w:t>não celebrar o contrato ou não entregar a documentação exigida para a contratação, quando convocado dentro do prazo de validade de sua proposta;</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13.1.3.1 – </w:t>
      </w:r>
      <w:r>
        <w:rPr>
          <w:rFonts w:ascii="Calibri" w:hAnsi="Calibri"/>
          <w:b w:val="0"/>
          <w:bCs w:val="0"/>
          <w:color w:val="000000"/>
          <w:sz w:val="24"/>
          <w:szCs w:val="24"/>
        </w:rPr>
        <w:t>recusar-se, sem justificativa, a assinar o contrato ou a ata de registro de preço, ou a aceitar ou retirar o instrumento equivalente no prazo estabelecido pela Administração;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13.1.4 – </w:t>
      </w:r>
      <w:r>
        <w:rPr>
          <w:rFonts w:ascii="Calibri" w:hAnsi="Calibri"/>
          <w:b w:val="0"/>
          <w:bCs w:val="0"/>
          <w:color w:val="000000"/>
          <w:sz w:val="24"/>
          <w:szCs w:val="24"/>
        </w:rPr>
        <w:t>apresentar declaração ou documentação falsa exigida para o certame ou prestar declaração falsa durante a licitação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13.1.5 – </w:t>
      </w:r>
      <w:r>
        <w:rPr>
          <w:rFonts w:ascii="Calibri" w:hAnsi="Calibri"/>
          <w:b w:val="0"/>
          <w:bCs w:val="0"/>
          <w:color w:val="000000"/>
          <w:sz w:val="24"/>
          <w:szCs w:val="24"/>
        </w:rPr>
        <w:t>fraudar a licitação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13.1.6 – </w:t>
      </w:r>
      <w:r>
        <w:rPr>
          <w:rFonts w:ascii="Calibri" w:hAnsi="Calibri"/>
          <w:b w:val="0"/>
          <w:bCs w:val="0"/>
          <w:color w:val="000000"/>
          <w:sz w:val="24"/>
          <w:szCs w:val="24"/>
        </w:rPr>
        <w:t>comportar-se de modo inidôneo ou cometer fraude de qualquer natureza, em especial quando: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13.1.6.1 – </w:t>
      </w:r>
      <w:r>
        <w:rPr>
          <w:rFonts w:ascii="Calibri" w:hAnsi="Calibri"/>
          <w:b w:val="0"/>
          <w:bCs w:val="0"/>
          <w:color w:val="000000"/>
          <w:sz w:val="24"/>
          <w:szCs w:val="24"/>
        </w:rPr>
        <w:t>agir em conluio ou em desconformidade com a lei;</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13.1.6.2 – </w:t>
      </w:r>
      <w:r>
        <w:rPr>
          <w:rFonts w:ascii="Calibri" w:hAnsi="Calibri"/>
          <w:b w:val="0"/>
          <w:bCs w:val="0"/>
          <w:color w:val="000000"/>
          <w:sz w:val="24"/>
          <w:szCs w:val="24"/>
        </w:rPr>
        <w:t>induzir deliberadamente a erro no julgamento;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13.1.6.3 – </w:t>
      </w:r>
      <w:r>
        <w:rPr>
          <w:rFonts w:ascii="Calibri" w:hAnsi="Calibri"/>
          <w:b w:val="0"/>
          <w:bCs w:val="0"/>
          <w:color w:val="000000"/>
          <w:sz w:val="24"/>
          <w:szCs w:val="24"/>
        </w:rPr>
        <w:t>apresentar amostra falsificada ou deteriorada;</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13.1.7 – </w:t>
      </w:r>
      <w:r>
        <w:rPr>
          <w:rFonts w:ascii="Calibri" w:hAnsi="Calibri"/>
          <w:b w:val="0"/>
          <w:bCs w:val="0"/>
          <w:color w:val="000000"/>
          <w:sz w:val="24"/>
          <w:szCs w:val="24"/>
        </w:rPr>
        <w:t>praticar atos ilícitos com vistas a frustrar os objetivos da licitação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13.1.8 – </w:t>
      </w:r>
      <w:r>
        <w:rPr>
          <w:rFonts w:ascii="Calibri" w:hAnsi="Calibri"/>
          <w:b w:val="0"/>
          <w:bCs w:val="0"/>
          <w:color w:val="000000"/>
          <w:sz w:val="24"/>
          <w:szCs w:val="24"/>
        </w:rPr>
        <w:t>praticar ato lesivo previsto no art. 5º da Lei n.º 12.846, de 2013.</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lang w:val="pt-BR"/>
        </w:rPr>
        <w:t xml:space="preserve">13.2 – </w:t>
      </w:r>
      <w:r>
        <w:rPr>
          <w:rFonts w:ascii="Calibri" w:hAnsi="Calibri"/>
          <w:b w:val="0"/>
          <w:bCs w:val="0"/>
          <w:color w:val="000000"/>
          <w:sz w:val="24"/>
          <w:szCs w:val="24"/>
        </w:rPr>
        <w:t>Com fulcro na Lei nº 14.133, de 2021, a Administração poderá, garantida a prévia defesa, aplicar aos licitantes e/ou adjudicatários as seguintes sanções, sem prejuízo das responsabilidades civil e criminal:</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13.2.1 – </w:t>
      </w:r>
      <w:r>
        <w:rPr>
          <w:rFonts w:ascii="Calibri" w:hAnsi="Calibri"/>
          <w:b w:val="0"/>
          <w:bCs w:val="0"/>
          <w:color w:val="000000"/>
          <w:sz w:val="24"/>
          <w:szCs w:val="24"/>
        </w:rPr>
        <w:t>advertência;</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13.2.2 – </w:t>
      </w:r>
      <w:r>
        <w:rPr>
          <w:rFonts w:ascii="Calibri" w:hAnsi="Calibri"/>
          <w:b w:val="0"/>
          <w:bCs w:val="0"/>
          <w:color w:val="000000"/>
          <w:sz w:val="24"/>
          <w:szCs w:val="24"/>
        </w:rPr>
        <w:t>multa;</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13.</w:t>
      </w:r>
      <w:r>
        <w:rPr>
          <w:rFonts w:ascii="Calibri" w:hAnsi="Calibri"/>
          <w:b/>
          <w:bCs/>
          <w:color w:val="000000"/>
          <w:sz w:val="24"/>
          <w:szCs w:val="24"/>
          <w:lang w:val="pt-BR"/>
        </w:rPr>
        <w:t>2</w:t>
      </w:r>
      <w:r>
        <w:rPr>
          <w:rFonts w:ascii="Calibri" w:hAnsi="Calibri"/>
          <w:b/>
          <w:bCs/>
          <w:color w:val="000000"/>
          <w:sz w:val="24"/>
          <w:szCs w:val="24"/>
        </w:rPr>
        <w:t xml:space="preserve">.3 – </w:t>
      </w:r>
      <w:r>
        <w:rPr>
          <w:rFonts w:ascii="Calibri" w:hAnsi="Calibri"/>
          <w:b w:val="0"/>
          <w:bCs w:val="0"/>
          <w:color w:val="000000"/>
          <w:sz w:val="24"/>
          <w:szCs w:val="24"/>
        </w:rPr>
        <w:t>impedimento de licitar e contratar e</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13.2.</w:t>
      </w:r>
      <w:r>
        <w:rPr>
          <w:rFonts w:ascii="Calibri" w:hAnsi="Calibri"/>
          <w:b/>
          <w:bCs/>
          <w:color w:val="000000"/>
          <w:sz w:val="24"/>
          <w:szCs w:val="24"/>
          <w:lang w:val="pt-BR"/>
        </w:rPr>
        <w:t xml:space="preserve">4 – </w:t>
      </w:r>
      <w:r>
        <w:rPr>
          <w:rFonts w:ascii="Calibri" w:hAnsi="Calibri"/>
          <w:b w:val="0"/>
          <w:bCs w:val="0"/>
          <w:color w:val="000000"/>
          <w:sz w:val="24"/>
          <w:szCs w:val="24"/>
        </w:rPr>
        <w:t>declaração de inidoneidade para licitar ou contratar, enquanto perdurarem os motivos determinantes da punição ou até que seja promovida sua reabilitação perante a própria autoridade que aplicou a penalidade.</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13.3 – </w:t>
      </w:r>
      <w:r>
        <w:rPr>
          <w:rFonts w:ascii="Calibri" w:hAnsi="Calibri"/>
          <w:b w:val="0"/>
          <w:bCs w:val="0"/>
          <w:color w:val="000000"/>
          <w:sz w:val="24"/>
          <w:szCs w:val="24"/>
        </w:rPr>
        <w:t>Na aplicação das sanções serão considerados: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13.3.1 –</w:t>
      </w:r>
      <w:r>
        <w:rPr>
          <w:rFonts w:ascii="Calibri" w:hAnsi="Calibri"/>
          <w:b w:val="0"/>
          <w:bCs w:val="0"/>
          <w:color w:val="000000"/>
          <w:sz w:val="24"/>
          <w:szCs w:val="24"/>
        </w:rPr>
        <w:t xml:space="preserve"> a natureza e a gravidade da infração cometida.</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13.3.2 – </w:t>
      </w:r>
      <w:r>
        <w:rPr>
          <w:rFonts w:ascii="Calibri" w:hAnsi="Calibri"/>
          <w:b w:val="0"/>
          <w:bCs w:val="0"/>
          <w:color w:val="000000"/>
          <w:sz w:val="24"/>
          <w:szCs w:val="24"/>
        </w:rPr>
        <w:t>as peculiaridades do caso concreto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13.3.3 – </w:t>
      </w:r>
      <w:r>
        <w:rPr>
          <w:rFonts w:ascii="Calibri" w:hAnsi="Calibri"/>
          <w:b w:val="0"/>
          <w:bCs w:val="0"/>
          <w:color w:val="000000"/>
          <w:sz w:val="24"/>
          <w:szCs w:val="24"/>
        </w:rPr>
        <w:t>as circunstâncias agravantes ou atenuantes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13.3.4 – </w:t>
      </w:r>
      <w:r>
        <w:rPr>
          <w:rFonts w:ascii="Calibri" w:hAnsi="Calibri"/>
          <w:b w:val="0"/>
          <w:bCs w:val="0"/>
          <w:color w:val="000000"/>
          <w:sz w:val="24"/>
          <w:szCs w:val="24"/>
        </w:rPr>
        <w:t>os danos que dela provierem para a Administração Pública</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13.3.5 – </w:t>
      </w:r>
      <w:r>
        <w:rPr>
          <w:rFonts w:ascii="Calibri" w:hAnsi="Calibri"/>
          <w:b w:val="0"/>
          <w:bCs w:val="0"/>
          <w:color w:val="000000"/>
          <w:sz w:val="24"/>
          <w:szCs w:val="24"/>
        </w:rPr>
        <w:t>a implantação ou o aperfeiçoamento de programa de integridade, conforme normas e orientações dos órgãos de controle.</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13.4 – </w:t>
      </w:r>
      <w:r>
        <w:rPr>
          <w:rFonts w:ascii="Calibri" w:hAnsi="Calibri"/>
          <w:b w:val="0"/>
          <w:bCs w:val="0"/>
          <w:color w:val="000000"/>
          <w:sz w:val="24"/>
          <w:szCs w:val="24"/>
        </w:rPr>
        <w:t xml:space="preserve">A multa será recolhida em percentual de 0,5% a 30% incidente sobre o valor do contrato licitado, recolhida no prazo máximo de </w:t>
      </w:r>
      <w:r>
        <w:rPr>
          <w:rFonts w:ascii="Calibri" w:hAnsi="Calibri" w:eastAsia="NSimSun" w:cs="Lucida Sans"/>
          <w:b w:val="0"/>
          <w:bCs w:val="0"/>
          <w:color w:val="000000"/>
          <w:kern w:val="0"/>
          <w:sz w:val="24"/>
          <w:szCs w:val="24"/>
          <w:lang w:val="pt-BR" w:eastAsia="zh-CN" w:bidi="hi-IN"/>
        </w:rPr>
        <w:t>30 (trinta) dias</w:t>
      </w:r>
      <w:r>
        <w:rPr>
          <w:rFonts w:ascii="Calibri" w:hAnsi="Calibri"/>
          <w:b w:val="0"/>
          <w:bCs w:val="0"/>
          <w:color w:val="000000"/>
          <w:sz w:val="24"/>
          <w:szCs w:val="24"/>
        </w:rPr>
        <w:t>, a contar da comunicação oficial.</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13.4.1 – </w:t>
      </w:r>
      <w:r>
        <w:rPr>
          <w:rFonts w:ascii="Calibri" w:hAnsi="Calibri"/>
          <w:b w:val="0"/>
          <w:bCs w:val="0"/>
          <w:color w:val="000000"/>
          <w:sz w:val="24"/>
          <w:szCs w:val="24"/>
        </w:rPr>
        <w:t>Para as infrações previstas nos itens 13.1.1, 13.1.2 e 13.1.3, a multa será de 0,5% a 15% do valor do contrato licitado.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13.4.2 – </w:t>
      </w:r>
      <w:r>
        <w:rPr>
          <w:rFonts w:ascii="Calibri" w:hAnsi="Calibri"/>
          <w:b w:val="0"/>
          <w:bCs w:val="0"/>
          <w:color w:val="000000"/>
          <w:sz w:val="24"/>
          <w:szCs w:val="24"/>
        </w:rPr>
        <w:t>Para as infrações previstas nos itens 13.1.4, 13.1.5, 13.1.6, 13.1.7 e 13.1.8, a multa será de 15% a 30% do valor do contrato licitado.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13.5 – </w:t>
      </w:r>
      <w:r>
        <w:rPr>
          <w:rFonts w:ascii="Calibri" w:hAnsi="Calibri"/>
          <w:b w:val="0"/>
          <w:bCs w:val="0"/>
          <w:color w:val="000000"/>
          <w:sz w:val="24"/>
          <w:szCs w:val="24"/>
        </w:rPr>
        <w:t>As sanções de advertência, impedimento de licitar e contratar e declaração de inidoneidade para licitar ou contratar poderão ser aplicadas, cumulativamente ou não, à penalidade de multa.</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13.6 – </w:t>
      </w:r>
      <w:r>
        <w:rPr>
          <w:rFonts w:ascii="Calibri" w:hAnsi="Calibri"/>
          <w:b w:val="0"/>
          <w:bCs w:val="0"/>
          <w:color w:val="000000"/>
          <w:sz w:val="24"/>
          <w:szCs w:val="24"/>
        </w:rPr>
        <w:t>Na aplicação da sanção de multa será facultada a defesa do interessado no prazo de 15 (quinze) dias úteis, contado da data de sua intimação.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13.7 – </w:t>
      </w:r>
      <w:r>
        <w:rPr>
          <w:rFonts w:ascii="Calibri" w:hAnsi="Calibri"/>
          <w:b w:val="0"/>
          <w:bCs w:val="0"/>
          <w:color w:val="000000"/>
          <w:sz w:val="24"/>
          <w:szCs w:val="24"/>
        </w:rPr>
        <w:t>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13.8 – </w:t>
      </w:r>
      <w:r>
        <w:rPr>
          <w:rFonts w:ascii="Calibri" w:hAnsi="Calibri"/>
          <w:b w:val="0"/>
          <w:bCs w:val="0"/>
          <w:color w:val="000000"/>
          <w:sz w:val="24"/>
          <w:szCs w:val="24"/>
        </w:rPr>
        <w:t>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n.º 14.133/2021.</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13.9 – </w:t>
      </w:r>
      <w:r>
        <w:rPr>
          <w:rFonts w:ascii="Calibri" w:hAnsi="Calibri"/>
          <w:b w:val="0"/>
          <w:bCs w:val="0"/>
          <w:color w:val="000000"/>
          <w:sz w:val="24"/>
          <w:szCs w:val="24"/>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13.10 – </w:t>
      </w:r>
      <w:r>
        <w:rPr>
          <w:rFonts w:ascii="Calibri" w:hAnsi="Calibri"/>
          <w:b w:val="0"/>
          <w:bCs w:val="0"/>
          <w:color w:val="000000"/>
          <w:sz w:val="24"/>
          <w:szCs w:val="24"/>
        </w:rPr>
        <w:t>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13.11 – </w:t>
      </w:r>
      <w:r>
        <w:rPr>
          <w:rFonts w:ascii="Calibri" w:hAnsi="Calibri"/>
          <w:b w:val="0"/>
          <w:bCs w:val="0"/>
          <w:color w:val="000000"/>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13.12 – </w:t>
      </w:r>
      <w:r>
        <w:rPr>
          <w:rFonts w:ascii="Calibri" w:hAnsi="Calibri"/>
          <w:b w:val="0"/>
          <w:bCs w:val="0"/>
          <w:color w:val="000000"/>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13.13 – </w:t>
      </w:r>
      <w:r>
        <w:rPr>
          <w:rFonts w:ascii="Calibri" w:hAnsi="Calibri"/>
          <w:b w:val="0"/>
          <w:bCs w:val="0"/>
          <w:color w:val="000000"/>
          <w:sz w:val="24"/>
          <w:szCs w:val="24"/>
        </w:rPr>
        <w:t>O recurso e o pedido de reconsideração terão efeito suspensivo do ato ou da decisão recorrida até que sobrevenha decisão final da autoridade competente. A aplicação das sanções previstas neste edital não exclui, em hipótese alguma, a obrigação de reparação integral dos danos causados.</w:t>
      </w:r>
    </w:p>
    <w:p>
      <w:pPr>
        <w:pStyle w:val="2"/>
        <w:overflowPunct w:val="0"/>
        <w:bidi w:val="0"/>
        <w:spacing w:before="1" w:after="0"/>
        <w:ind w:left="0" w:right="0" w:firstLine="0"/>
        <w:jc w:val="both"/>
        <w:rPr>
          <w:rFonts w:ascii="Calibri" w:hAnsi="Calibri"/>
          <w:sz w:val="24"/>
          <w:szCs w:val="24"/>
        </w:rPr>
      </w:pP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14 – DO REGISTRO DE PREÇOS</w:t>
      </w:r>
      <w:r>
        <w:rPr>
          <w:rFonts w:ascii="Calibri" w:hAnsi="Calibri"/>
          <w:b w:val="0"/>
          <w:bCs w:val="0"/>
          <w:color w:val="000000"/>
          <w:sz w:val="24"/>
          <w:szCs w:val="24"/>
        </w:rPr>
        <w:br w:type="textWrapping"/>
      </w:r>
      <w:r>
        <w:rPr>
          <w:rFonts w:ascii="Calibri" w:hAnsi="Calibri"/>
          <w:b/>
          <w:bCs/>
          <w:color w:val="000000"/>
          <w:sz w:val="24"/>
          <w:szCs w:val="24"/>
        </w:rPr>
        <w:t>14.1 –</w:t>
      </w:r>
      <w:r>
        <w:rPr>
          <w:rFonts w:ascii="Calibri" w:hAnsi="Calibri"/>
          <w:b w:val="0"/>
          <w:bCs w:val="0"/>
          <w:color w:val="000000"/>
          <w:sz w:val="24"/>
          <w:szCs w:val="24"/>
        </w:rPr>
        <w:t xml:space="preserve"> Os atos do presente processo serão publicados no Diário Oficial do Estado de Santa Catarina (DOE/SC), bem como no Portal de Compras e Licitações da SES (www.portaldecompras.sc.gov.br);</w:t>
      </w:r>
      <w:r>
        <w:rPr>
          <w:rFonts w:ascii="Calibri" w:hAnsi="Calibri"/>
          <w:b w:val="0"/>
          <w:bCs w:val="0"/>
          <w:color w:val="000000"/>
          <w:sz w:val="24"/>
          <w:szCs w:val="24"/>
        </w:rPr>
        <w:br w:type="textWrapping"/>
      </w:r>
      <w:r>
        <w:rPr>
          <w:rFonts w:ascii="Calibri" w:hAnsi="Calibri"/>
          <w:b/>
          <w:bCs/>
          <w:color w:val="000000"/>
          <w:sz w:val="24"/>
          <w:szCs w:val="24"/>
        </w:rPr>
        <w:t xml:space="preserve">14.2 – </w:t>
      </w:r>
      <w:r>
        <w:rPr>
          <w:rFonts w:ascii="Calibri" w:hAnsi="Calibri"/>
          <w:b w:val="0"/>
          <w:bCs w:val="0"/>
          <w:color w:val="000000"/>
          <w:sz w:val="24"/>
          <w:szCs w:val="24"/>
        </w:rPr>
        <w:t>Os atos de homologação desta licitação serão de competência do Exmo. Sr. Secretário de Estado da Saúde ou às autoridades delegadas;</w:t>
      </w:r>
      <w:r>
        <w:rPr>
          <w:rFonts w:ascii="Calibri" w:hAnsi="Calibri"/>
          <w:b w:val="0"/>
          <w:bCs w:val="0"/>
          <w:color w:val="000000"/>
          <w:sz w:val="24"/>
          <w:szCs w:val="24"/>
        </w:rPr>
        <w:br w:type="textWrapping"/>
      </w:r>
      <w:r>
        <w:rPr>
          <w:rFonts w:ascii="Calibri" w:hAnsi="Calibri"/>
          <w:b/>
          <w:bCs/>
          <w:color w:val="000000"/>
          <w:sz w:val="24"/>
          <w:szCs w:val="24"/>
        </w:rPr>
        <w:t xml:space="preserve">14.3 – </w:t>
      </w:r>
      <w:r>
        <w:rPr>
          <w:rFonts w:ascii="Calibri" w:hAnsi="Calibri"/>
          <w:b w:val="0"/>
          <w:bCs w:val="0"/>
          <w:color w:val="000000"/>
          <w:sz w:val="24"/>
          <w:szCs w:val="24"/>
        </w:rPr>
        <w:t xml:space="preserve">O prazo de validade da Ata de Registro de Preços será de 12 meses, </w:t>
      </w:r>
      <w:r>
        <w:rPr>
          <w:rFonts w:ascii="Calibri" w:hAnsi="Calibri" w:eastAsia="NSimSun" w:cs="Lucida Sans"/>
          <w:b w:val="0"/>
          <w:bCs w:val="0"/>
          <w:color w:val="000000"/>
          <w:kern w:val="0"/>
          <w:sz w:val="24"/>
          <w:szCs w:val="24"/>
          <w:lang w:val="pt-BR" w:eastAsia="zh-CN" w:bidi="hi-IN"/>
        </w:rPr>
        <w:t>prorrogável</w:t>
      </w:r>
      <w:r>
        <w:rPr>
          <w:rFonts w:ascii="Calibri" w:hAnsi="Calibri"/>
          <w:b w:val="0"/>
          <w:bCs w:val="0"/>
          <w:color w:val="000000"/>
          <w:sz w:val="24"/>
          <w:szCs w:val="24"/>
        </w:rPr>
        <w:t xml:space="preserve"> por igual período, na forma do artigo 84 </w:t>
      </w:r>
      <w:r>
        <w:rPr>
          <w:rFonts w:ascii="Calibri" w:hAnsi="Calibri" w:cs="Calibri"/>
          <w:b w:val="0"/>
          <w:bCs w:val="0"/>
          <w:color w:val="000000"/>
          <w:sz w:val="24"/>
          <w:szCs w:val="24"/>
        </w:rPr>
        <w:t>da Lei n° 14.133, de 2021.</w:t>
      </w:r>
      <w:r>
        <w:rPr>
          <w:rFonts w:ascii="Calibri" w:hAnsi="Calibri"/>
          <w:b w:val="0"/>
          <w:bCs w:val="0"/>
          <w:color w:val="000000"/>
          <w:sz w:val="24"/>
          <w:szCs w:val="24"/>
        </w:rPr>
        <w:br w:type="textWrapping"/>
      </w:r>
      <w:r>
        <w:rPr>
          <w:rFonts w:ascii="Calibri" w:hAnsi="Calibri"/>
          <w:b/>
          <w:bCs/>
          <w:color w:val="000000"/>
          <w:sz w:val="24"/>
          <w:szCs w:val="24"/>
        </w:rPr>
        <w:t>14.3.1 –</w:t>
      </w:r>
      <w:r>
        <w:rPr>
          <w:rFonts w:ascii="Calibri" w:hAnsi="Calibri"/>
          <w:b w:val="0"/>
          <w:bCs w:val="0"/>
          <w:color w:val="000000"/>
          <w:sz w:val="24"/>
          <w:szCs w:val="24"/>
        </w:rPr>
        <w:t xml:space="preserve"> Dentro do prazo de vigência do Registro de Preços, as licitantes que tiverem seus preços registrados ficarão obrigadas ao fornecimento, desde que obedecidas às condições deste Edital e da respectiva Ata de Registro de Preços;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14.3.2 –</w:t>
      </w:r>
      <w:r>
        <w:rPr>
          <w:rFonts w:ascii="Calibri" w:hAnsi="Calibri"/>
          <w:b w:val="0"/>
          <w:bCs w:val="0"/>
          <w:color w:val="000000"/>
          <w:sz w:val="24"/>
          <w:szCs w:val="24"/>
        </w:rPr>
        <w:t xml:space="preserve"> Dentro do prazo da vigência da Ata de Registro de Preços, ou enquanto perdurar o saldo desta, A SES não participará de Ata de Registro de preços para os mesmos itens cujo os preços foram registrados neste instrumento, salvo na ocorrência de Ata que tenha registrado quantitativo inferior ao máximo previsto no edital, conforme art. 82, VIII, da Lei n.º 14.133/2021;</w:t>
      </w:r>
      <w:r>
        <w:rPr>
          <w:rFonts w:ascii="Calibri" w:hAnsi="Calibri"/>
          <w:b w:val="0"/>
          <w:bCs w:val="0"/>
          <w:color w:val="000000"/>
          <w:sz w:val="24"/>
          <w:szCs w:val="24"/>
        </w:rPr>
        <w:br w:type="textWrapping"/>
      </w:r>
      <w:r>
        <w:rPr>
          <w:rFonts w:ascii="Calibri" w:hAnsi="Calibri"/>
          <w:b/>
          <w:bCs/>
          <w:color w:val="000000"/>
          <w:sz w:val="24"/>
          <w:szCs w:val="24"/>
        </w:rPr>
        <w:t>14.4 –</w:t>
      </w:r>
      <w:r>
        <w:rPr>
          <w:rFonts w:ascii="Calibri" w:hAnsi="Calibri"/>
          <w:b w:val="0"/>
          <w:bCs w:val="0"/>
          <w:color w:val="000000"/>
          <w:sz w:val="24"/>
          <w:szCs w:val="24"/>
        </w:rPr>
        <w:t xml:space="preserve"> A SES convocará o licitante vencedor, por meio de notificação através de e-mail, para assinar a Ata de Registro de Preços no prazo de 05 (cinco) dias úteis, permitindo a prorrogação por igual período, desde que ocorra motivo justificado e aceito pela SES;</w:t>
      </w:r>
      <w:r>
        <w:rPr>
          <w:rFonts w:ascii="Calibri" w:hAnsi="Calibri"/>
          <w:b w:val="0"/>
          <w:bCs w:val="0"/>
          <w:color w:val="000000"/>
          <w:sz w:val="24"/>
          <w:szCs w:val="24"/>
        </w:rPr>
        <w:br w:type="textWrapping"/>
      </w:r>
      <w:r>
        <w:rPr>
          <w:rFonts w:ascii="Calibri" w:hAnsi="Calibri"/>
          <w:b/>
          <w:bCs/>
          <w:color w:val="000000"/>
          <w:sz w:val="24"/>
          <w:szCs w:val="24"/>
        </w:rPr>
        <w:t>14.4.1 –</w:t>
      </w:r>
      <w:r>
        <w:rPr>
          <w:rFonts w:ascii="Calibri" w:hAnsi="Calibri"/>
          <w:b w:val="0"/>
          <w:bCs w:val="0"/>
          <w:color w:val="000000"/>
          <w:sz w:val="24"/>
          <w:szCs w:val="24"/>
        </w:rPr>
        <w:t xml:space="preserve"> A Ata de Registro de Preços será assinada pelo órgão gerenciador e pelos fornecedores cujos preços forem registrados. E, depois de cumpridos os requisitos de publicidade, terão efeito de compromisso de fornecimento nas condições estabelecidas no presente instrumento licitatório;</w:t>
      </w:r>
      <w:r>
        <w:rPr>
          <w:rFonts w:ascii="Calibri" w:hAnsi="Calibri"/>
          <w:b w:val="0"/>
          <w:bCs w:val="0"/>
          <w:color w:val="000000"/>
          <w:sz w:val="24"/>
          <w:szCs w:val="24"/>
        </w:rPr>
        <w:br w:type="textWrapping"/>
      </w:r>
      <w:r>
        <w:rPr>
          <w:rFonts w:ascii="Calibri" w:hAnsi="Calibri"/>
          <w:b/>
          <w:bCs/>
          <w:color w:val="000000"/>
          <w:sz w:val="24"/>
          <w:szCs w:val="24"/>
        </w:rPr>
        <w:t>14.4.2 –</w:t>
      </w:r>
      <w:r>
        <w:rPr>
          <w:rFonts w:ascii="Calibri" w:hAnsi="Calibri"/>
          <w:b w:val="0"/>
          <w:bCs w:val="0"/>
          <w:color w:val="000000"/>
          <w:sz w:val="24"/>
          <w:szCs w:val="24"/>
        </w:rPr>
        <w:t xml:space="preserve"> A licitante que tiver seu preço registrado se obriga a manter, na assinatura da Ata de Registro de Preços e durante o prazo de vigência da mesma, todas as condições de habilitação exigidas no Capítulo VIII deste Edital;</w:t>
      </w:r>
      <w:r>
        <w:rPr>
          <w:rFonts w:ascii="Calibri" w:hAnsi="Calibri"/>
          <w:b w:val="0"/>
          <w:bCs w:val="0"/>
          <w:color w:val="000000"/>
          <w:sz w:val="24"/>
          <w:szCs w:val="24"/>
        </w:rPr>
        <w:br w:type="textWrapping"/>
      </w:r>
      <w:r>
        <w:rPr>
          <w:rFonts w:ascii="Calibri" w:hAnsi="Calibri"/>
          <w:b/>
          <w:bCs/>
          <w:color w:val="000000"/>
          <w:sz w:val="24"/>
          <w:szCs w:val="24"/>
        </w:rPr>
        <w:t>14.4.3 –</w:t>
      </w:r>
      <w:r>
        <w:rPr>
          <w:rFonts w:ascii="Calibri" w:hAnsi="Calibri"/>
          <w:b w:val="0"/>
          <w:bCs w:val="0"/>
          <w:color w:val="000000"/>
          <w:sz w:val="24"/>
          <w:szCs w:val="24"/>
        </w:rPr>
        <w:t xml:space="preserve"> No caso do fornecedor primeiro classificado, depois de convocado, não atender as condições de habilitação, não comparecer ou recusar-se a assinar a Ata de Registro de Preços, responderá na forma da legislação vigente, sem prejuízo das cominações a ele previstas neste Edital;</w:t>
      </w:r>
      <w:r>
        <w:rPr>
          <w:rFonts w:ascii="Calibri" w:hAnsi="Calibri"/>
          <w:b w:val="0"/>
          <w:bCs w:val="0"/>
          <w:color w:val="000000"/>
          <w:sz w:val="24"/>
          <w:szCs w:val="24"/>
        </w:rPr>
        <w:br w:type="textWrapping"/>
      </w:r>
      <w:r>
        <w:rPr>
          <w:rFonts w:ascii="Calibri" w:hAnsi="Calibri"/>
          <w:b/>
          <w:bCs/>
          <w:color w:val="000000"/>
          <w:sz w:val="24"/>
          <w:szCs w:val="24"/>
        </w:rPr>
        <w:t>14.5 –</w:t>
      </w:r>
      <w:r>
        <w:rPr>
          <w:rFonts w:ascii="Calibri" w:hAnsi="Calibri"/>
          <w:b w:val="0"/>
          <w:bCs w:val="0"/>
          <w:color w:val="000000"/>
          <w:sz w:val="24"/>
          <w:szCs w:val="24"/>
        </w:rPr>
        <w:t xml:space="preserve"> As aquisições obedecerão à conveniência e às necessidades da Secretaria de Estado da Saúde de Santa Catarina e será procedida pela emissão de Autorização de Fornecimento (AF) ou por documento equivalente;</w:t>
      </w:r>
      <w:r>
        <w:rPr>
          <w:rFonts w:ascii="Calibri" w:hAnsi="Calibri"/>
          <w:b w:val="0"/>
          <w:bCs w:val="0"/>
          <w:color w:val="000000"/>
          <w:sz w:val="24"/>
          <w:szCs w:val="24"/>
        </w:rPr>
        <w:br w:type="textWrapping"/>
      </w:r>
      <w:r>
        <w:rPr>
          <w:rFonts w:ascii="Calibri" w:hAnsi="Calibri"/>
          <w:b/>
          <w:bCs/>
          <w:color w:val="000000"/>
          <w:sz w:val="24"/>
          <w:szCs w:val="24"/>
        </w:rPr>
        <w:t>14.5.1 –</w:t>
      </w:r>
      <w:r>
        <w:rPr>
          <w:rFonts w:ascii="Calibri" w:hAnsi="Calibri"/>
          <w:b w:val="0"/>
          <w:bCs w:val="0"/>
          <w:color w:val="000000"/>
          <w:sz w:val="24"/>
          <w:szCs w:val="24"/>
        </w:rPr>
        <w:t xml:space="preserve"> A SES encaminhará ao detentor do preço registrado a Autorização de Fornecimento (AF), através de e-mail, devendo atender ao fornecimento no prazo e no local de entrega estabelecido;</w:t>
      </w:r>
      <w:r>
        <w:rPr>
          <w:rFonts w:ascii="Calibri" w:hAnsi="Calibri"/>
          <w:b w:val="0"/>
          <w:bCs w:val="0"/>
          <w:color w:val="000000"/>
          <w:sz w:val="24"/>
          <w:szCs w:val="24"/>
        </w:rPr>
        <w:br w:type="textWrapping"/>
      </w:r>
      <w:r>
        <w:rPr>
          <w:rFonts w:ascii="Calibri" w:hAnsi="Calibri"/>
          <w:b/>
          <w:bCs/>
          <w:color w:val="000000"/>
          <w:sz w:val="24"/>
          <w:szCs w:val="24"/>
        </w:rPr>
        <w:t>14.6 –</w:t>
      </w:r>
      <w:r>
        <w:rPr>
          <w:rFonts w:ascii="Calibri" w:hAnsi="Calibri"/>
          <w:b w:val="0"/>
          <w:bCs w:val="0"/>
          <w:color w:val="000000"/>
          <w:sz w:val="24"/>
          <w:szCs w:val="24"/>
        </w:rPr>
        <w:t xml:space="preserve"> A existência de preços registrados não obriga os órgãos: gerenciador e participantes deste Registro de Preços a efetivar as contratações que dele poderão advir, ficando-lhes facultada a adoção de outros meios para a contratação do fornecimento pretendido, respeitado a legislação relativa às licitações, sendo assegurado ao detentor do Preço Registrado a preferência em igualdade de condições;</w:t>
      </w:r>
      <w:r>
        <w:rPr>
          <w:rFonts w:ascii="Calibri" w:hAnsi="Calibri"/>
          <w:b w:val="0"/>
          <w:bCs w:val="0"/>
          <w:color w:val="000000"/>
          <w:sz w:val="24"/>
          <w:szCs w:val="24"/>
        </w:rPr>
        <w:br w:type="textWrapping"/>
      </w:r>
      <w:r>
        <w:rPr>
          <w:rFonts w:ascii="Calibri" w:hAnsi="Calibri"/>
          <w:b/>
          <w:bCs/>
          <w:color w:val="000000"/>
          <w:sz w:val="24"/>
          <w:szCs w:val="24"/>
        </w:rPr>
        <w:t>14.7 –</w:t>
      </w:r>
      <w:r>
        <w:rPr>
          <w:rFonts w:ascii="Calibri" w:hAnsi="Calibri"/>
          <w:b w:val="0"/>
          <w:bCs w:val="0"/>
          <w:color w:val="000000"/>
          <w:sz w:val="24"/>
          <w:szCs w:val="24"/>
        </w:rPr>
        <w:t xml:space="preserve"> O exercício de preferência previsto no item anterior dar-se-á caso os órgãos participantes deste Registro de Preços optem por contratar o fornecimento através de licitação específica e o preço encontrado for igual ou superior ao registrado.</w:t>
      </w:r>
    </w:p>
    <w:p>
      <w:pPr>
        <w:pStyle w:val="2"/>
        <w:overflowPunct w:val="0"/>
        <w:bidi w:val="0"/>
        <w:spacing w:before="1" w:after="0"/>
        <w:ind w:left="0" w:right="0" w:firstLine="0"/>
        <w:jc w:val="both"/>
        <w:rPr>
          <w:rFonts w:ascii="Calibri" w:hAnsi="Calibri"/>
          <w:b w:val="0"/>
          <w:bCs w:val="0"/>
          <w:color w:val="000000"/>
          <w:sz w:val="24"/>
          <w:szCs w:val="24"/>
        </w:rPr>
      </w:pP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15 </w:t>
      </w:r>
      <w:r>
        <w:rPr>
          <w:rFonts w:ascii="Calibri" w:hAnsi="Calibri" w:eastAsia="NSimSun" w:cs="Lucida Sans"/>
          <w:b/>
          <w:bCs/>
          <w:color w:val="000000"/>
          <w:kern w:val="0"/>
          <w:sz w:val="24"/>
          <w:szCs w:val="24"/>
          <w:lang w:val="pt-BR" w:eastAsia="zh-CN" w:bidi="hi-IN"/>
        </w:rPr>
        <w:t xml:space="preserve">– </w:t>
      </w:r>
      <w:r>
        <w:rPr>
          <w:rFonts w:ascii="Calibri" w:hAnsi="Calibri"/>
          <w:b/>
          <w:bCs/>
          <w:color w:val="000000"/>
          <w:sz w:val="24"/>
          <w:szCs w:val="24"/>
        </w:rPr>
        <w:t>DA SUBCONTRATAÇÃO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15.1</w:t>
      </w:r>
      <w:r>
        <w:rPr>
          <w:rFonts w:ascii="Calibri" w:hAnsi="Calibri"/>
          <w:b w:val="0"/>
          <w:bCs w:val="0"/>
          <w:color w:val="000000"/>
          <w:sz w:val="24"/>
          <w:szCs w:val="24"/>
        </w:rPr>
        <w:t xml:space="preserve"> </w:t>
      </w:r>
      <w:r>
        <w:rPr>
          <w:rFonts w:ascii="Calibri" w:hAnsi="Calibri" w:eastAsia="NSimSun" w:cs="Lucida Sans"/>
          <w:b/>
          <w:bCs/>
          <w:color w:val="000000"/>
          <w:kern w:val="0"/>
          <w:sz w:val="24"/>
          <w:szCs w:val="24"/>
          <w:lang w:val="pt-BR" w:eastAsia="zh-CN" w:bidi="hi-IN"/>
        </w:rPr>
        <w:t>–</w:t>
      </w:r>
      <w:r>
        <w:rPr>
          <w:rFonts w:ascii="Calibri" w:hAnsi="Calibri"/>
          <w:b w:val="0"/>
          <w:bCs w:val="0"/>
          <w:color w:val="000000"/>
          <w:sz w:val="24"/>
          <w:szCs w:val="24"/>
        </w:rPr>
        <w:t xml:space="preserve"> Não será admitida a subcontratação do objeto contratual.</w:t>
      </w:r>
    </w:p>
    <w:p>
      <w:pPr>
        <w:pStyle w:val="2"/>
        <w:overflowPunct w:val="0"/>
        <w:bidi w:val="0"/>
        <w:spacing w:before="1" w:after="0"/>
        <w:ind w:left="0" w:right="0" w:firstLine="0"/>
        <w:jc w:val="both"/>
        <w:rPr>
          <w:rFonts w:ascii="Calibri" w:hAnsi="Calibri"/>
          <w:b w:val="0"/>
          <w:bCs w:val="0"/>
          <w:color w:val="000000"/>
          <w:sz w:val="24"/>
          <w:szCs w:val="24"/>
        </w:rPr>
      </w:pP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16 </w:t>
      </w:r>
      <w:r>
        <w:rPr>
          <w:rFonts w:ascii="Calibri" w:hAnsi="Calibri" w:eastAsia="NSimSun" w:cs="Lucida Sans"/>
          <w:b/>
          <w:bCs/>
          <w:color w:val="000000"/>
          <w:kern w:val="0"/>
          <w:sz w:val="24"/>
          <w:szCs w:val="24"/>
          <w:lang w:val="pt-BR" w:eastAsia="zh-CN" w:bidi="hi-IN"/>
        </w:rPr>
        <w:t xml:space="preserve">– </w:t>
      </w:r>
      <w:r>
        <w:rPr>
          <w:rFonts w:ascii="Calibri" w:hAnsi="Calibri"/>
          <w:b/>
          <w:bCs/>
          <w:color w:val="000000"/>
          <w:sz w:val="24"/>
          <w:szCs w:val="24"/>
        </w:rPr>
        <w:t>DOS RECURSOS ORÇAMENTÁRIOS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16.1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As despesas referentes à execução do Contrato correrão a conta da seguinte dotação orçamentária:</w:t>
      </w:r>
    </w:p>
    <w:tbl>
      <w:tblPr>
        <w:tblStyle w:val="13"/>
        <w:tblW w:w="9645" w:type="dxa"/>
        <w:tblInd w:w="35" w:type="dxa"/>
        <w:tblLayout w:type="fixed"/>
        <w:tblCellMar>
          <w:top w:w="0" w:type="dxa"/>
          <w:left w:w="5" w:type="dxa"/>
          <w:bottom w:w="0" w:type="dxa"/>
          <w:right w:w="5" w:type="dxa"/>
        </w:tblCellMar>
      </w:tblPr>
      <w:tblGrid>
        <w:gridCol w:w="2955"/>
        <w:gridCol w:w="3614"/>
        <w:gridCol w:w="3076"/>
      </w:tblGrid>
      <w:tr>
        <w:tblPrEx>
          <w:tblCellMar>
            <w:top w:w="0" w:type="dxa"/>
            <w:left w:w="5" w:type="dxa"/>
            <w:bottom w:w="0" w:type="dxa"/>
            <w:right w:w="5" w:type="dxa"/>
          </w:tblCellMar>
        </w:tblPrEx>
        <w:trPr>
          <w:trHeight w:val="244" w:hRule="atLeast"/>
        </w:trPr>
        <w:tc>
          <w:tcPr>
            <w:tcW w:w="2955" w:type="dxa"/>
            <w:tcBorders>
              <w:top w:val="single" w:color="000000" w:sz="4" w:space="0"/>
              <w:left w:val="single" w:color="000000" w:sz="4" w:space="0"/>
              <w:bottom w:val="single" w:color="000000" w:sz="4" w:space="0"/>
              <w:right w:val="single" w:color="000000" w:sz="4" w:space="0"/>
            </w:tcBorders>
          </w:tcPr>
          <w:p>
            <w:pPr>
              <w:pStyle w:val="674"/>
              <w:widowControl w:val="0"/>
              <w:overflowPunct w:val="0"/>
              <w:bidi w:val="0"/>
              <w:spacing w:before="1" w:after="0" w:line="223" w:lineRule="exact"/>
              <w:ind w:left="0" w:right="0" w:firstLine="0"/>
              <w:jc w:val="center"/>
              <w:rPr>
                <w:rFonts w:ascii="Calibri" w:hAnsi="Calibri"/>
                <w:sz w:val="24"/>
                <w:szCs w:val="24"/>
              </w:rPr>
            </w:pPr>
            <w:r>
              <w:rPr>
                <w:rFonts w:ascii="Calibri" w:hAnsi="Calibri"/>
                <w:b/>
                <w:sz w:val="24"/>
                <w:szCs w:val="24"/>
              </w:rPr>
              <w:t>Subação</w:t>
            </w:r>
          </w:p>
        </w:tc>
        <w:tc>
          <w:tcPr>
            <w:tcW w:w="3614" w:type="dxa"/>
            <w:tcBorders>
              <w:top w:val="single" w:color="000000" w:sz="4" w:space="0"/>
              <w:left w:val="single" w:color="000000" w:sz="4" w:space="0"/>
              <w:bottom w:val="single" w:color="000000" w:sz="4" w:space="0"/>
              <w:right w:val="single" w:color="000000" w:sz="4" w:space="0"/>
            </w:tcBorders>
          </w:tcPr>
          <w:p>
            <w:pPr>
              <w:pStyle w:val="674"/>
              <w:widowControl w:val="0"/>
              <w:overflowPunct w:val="0"/>
              <w:bidi w:val="0"/>
              <w:spacing w:before="1" w:after="0" w:line="223" w:lineRule="exact"/>
              <w:ind w:left="0" w:right="0" w:firstLine="0"/>
              <w:jc w:val="center"/>
              <w:rPr>
                <w:rFonts w:ascii="Calibri" w:hAnsi="Calibri"/>
                <w:sz w:val="24"/>
                <w:szCs w:val="24"/>
              </w:rPr>
            </w:pPr>
            <w:r>
              <w:rPr>
                <w:rFonts w:ascii="Calibri" w:hAnsi="Calibri"/>
                <w:b/>
                <w:sz w:val="24"/>
                <w:szCs w:val="24"/>
              </w:rPr>
              <w:t>Natureza</w:t>
            </w:r>
            <w:r>
              <w:rPr>
                <w:rFonts w:ascii="Calibri" w:hAnsi="Calibri"/>
                <w:b/>
                <w:spacing w:val="-8"/>
                <w:sz w:val="24"/>
                <w:szCs w:val="24"/>
              </w:rPr>
              <w:t xml:space="preserve"> </w:t>
            </w:r>
            <w:r>
              <w:rPr>
                <w:rFonts w:ascii="Calibri" w:hAnsi="Calibri"/>
                <w:b/>
                <w:sz w:val="24"/>
                <w:szCs w:val="24"/>
              </w:rPr>
              <w:t>de</w:t>
            </w:r>
            <w:r>
              <w:rPr>
                <w:rFonts w:ascii="Calibri" w:hAnsi="Calibri"/>
                <w:b/>
                <w:spacing w:val="-2"/>
                <w:sz w:val="24"/>
                <w:szCs w:val="24"/>
              </w:rPr>
              <w:t xml:space="preserve"> </w:t>
            </w:r>
            <w:r>
              <w:rPr>
                <w:rFonts w:ascii="Calibri" w:hAnsi="Calibri"/>
                <w:b/>
                <w:sz w:val="24"/>
                <w:szCs w:val="24"/>
              </w:rPr>
              <w:t>Despesa</w:t>
            </w:r>
          </w:p>
        </w:tc>
        <w:tc>
          <w:tcPr>
            <w:tcW w:w="3076" w:type="dxa"/>
            <w:tcBorders>
              <w:top w:val="single" w:color="000000" w:sz="4" w:space="0"/>
              <w:left w:val="single" w:color="000000" w:sz="4" w:space="0"/>
              <w:bottom w:val="single" w:color="000000" w:sz="4" w:space="0"/>
              <w:right w:val="single" w:color="000000" w:sz="4" w:space="0"/>
            </w:tcBorders>
          </w:tcPr>
          <w:p>
            <w:pPr>
              <w:pStyle w:val="674"/>
              <w:widowControl w:val="0"/>
              <w:overflowPunct w:val="0"/>
              <w:bidi w:val="0"/>
              <w:spacing w:before="1" w:after="0" w:line="223" w:lineRule="exact"/>
              <w:ind w:left="0" w:right="0" w:firstLine="0"/>
              <w:jc w:val="center"/>
              <w:rPr>
                <w:rFonts w:ascii="Calibri" w:hAnsi="Calibri"/>
                <w:sz w:val="24"/>
                <w:szCs w:val="24"/>
              </w:rPr>
            </w:pPr>
            <w:r>
              <w:rPr>
                <w:rFonts w:ascii="Calibri" w:hAnsi="Calibri"/>
                <w:b/>
                <w:sz w:val="24"/>
                <w:szCs w:val="24"/>
              </w:rPr>
              <w:t>Fonte</w:t>
            </w:r>
          </w:p>
        </w:tc>
      </w:tr>
      <w:tr>
        <w:tblPrEx>
          <w:tblCellMar>
            <w:top w:w="0" w:type="dxa"/>
            <w:left w:w="5" w:type="dxa"/>
            <w:bottom w:w="0" w:type="dxa"/>
            <w:right w:w="5" w:type="dxa"/>
          </w:tblCellMar>
        </w:tblPrEx>
        <w:trPr>
          <w:trHeight w:val="246" w:hRule="atLeast"/>
        </w:trPr>
        <w:tc>
          <w:tcPr>
            <w:tcW w:w="2955" w:type="dxa"/>
            <w:tcBorders>
              <w:top w:val="single" w:color="000000" w:sz="4" w:space="0"/>
              <w:left w:val="single" w:color="000000" w:sz="4" w:space="0"/>
              <w:bottom w:val="single" w:color="000000" w:sz="4" w:space="0"/>
              <w:right w:val="single" w:color="000000" w:sz="4" w:space="0"/>
            </w:tcBorders>
          </w:tcPr>
          <w:p>
            <w:pPr>
              <w:pStyle w:val="674"/>
              <w:widowControl w:val="0"/>
              <w:overflowPunct w:val="0"/>
              <w:bidi w:val="0"/>
              <w:ind w:left="0" w:right="0" w:firstLine="0"/>
              <w:jc w:val="center"/>
              <w:rPr>
                <w:rFonts w:ascii="Calibri" w:hAnsi="Calibri" w:eastAsia="Arial" w:cs="Arial"/>
                <w:b/>
                <w:bCs/>
                <w:color w:val="000000"/>
                <w:kern w:val="0"/>
                <w:sz w:val="24"/>
                <w:szCs w:val="24"/>
                <w:lang w:val="en-US" w:eastAsia="zh-CN" w:bidi="ar-SA"/>
              </w:rPr>
            </w:pPr>
            <w:r>
              <w:rPr>
                <w:rFonts w:ascii="Calibri" w:hAnsi="Calibri" w:eastAsia="Arial" w:cs="Arial"/>
                <w:b/>
                <w:bCs/>
                <w:color w:val="000000"/>
                <w:kern w:val="0"/>
                <w:sz w:val="24"/>
                <w:szCs w:val="24"/>
                <w:lang w:val="en-US" w:eastAsia="zh-CN" w:bidi="ar-SA"/>
              </w:rPr>
              <w:t>11200</w:t>
            </w:r>
          </w:p>
        </w:tc>
        <w:tc>
          <w:tcPr>
            <w:tcW w:w="3614" w:type="dxa"/>
            <w:tcBorders>
              <w:top w:val="single" w:color="000000" w:sz="4" w:space="0"/>
              <w:left w:val="single" w:color="000000" w:sz="4" w:space="0"/>
              <w:bottom w:val="single" w:color="000000" w:sz="4" w:space="0"/>
              <w:right w:val="single" w:color="000000" w:sz="4" w:space="0"/>
            </w:tcBorders>
          </w:tcPr>
          <w:p>
            <w:pPr>
              <w:pStyle w:val="674"/>
              <w:widowControl w:val="0"/>
              <w:overflowPunct w:val="0"/>
              <w:bidi w:val="0"/>
              <w:ind w:left="0" w:right="0" w:firstLine="0"/>
              <w:jc w:val="center"/>
              <w:rPr>
                <w:rFonts w:ascii="Calibri" w:hAnsi="Calibri"/>
                <w:sz w:val="24"/>
                <w:szCs w:val="24"/>
              </w:rPr>
            </w:pPr>
            <w:r>
              <w:rPr>
                <w:rFonts w:ascii="Calibri" w:hAnsi="Calibri"/>
                <w:b/>
                <w:bCs/>
                <w:sz w:val="24"/>
                <w:szCs w:val="24"/>
              </w:rPr>
              <w:t>33.90.</w:t>
            </w:r>
            <w:r>
              <w:rPr>
                <w:rFonts w:ascii="Calibri" w:hAnsi="Calibri" w:eastAsia="Arial" w:cs="Arial"/>
                <w:b/>
                <w:bCs/>
                <w:color w:val="000000"/>
                <w:kern w:val="0"/>
                <w:sz w:val="24"/>
                <w:szCs w:val="24"/>
                <w:lang w:val="en-US" w:eastAsia="zh-CN" w:bidi="ar-SA"/>
              </w:rPr>
              <w:t>30</w:t>
            </w:r>
            <w:r>
              <w:rPr>
                <w:rFonts w:ascii="Calibri" w:hAnsi="Calibri"/>
                <w:b/>
                <w:bCs/>
                <w:sz w:val="24"/>
                <w:szCs w:val="24"/>
              </w:rPr>
              <w:t>.</w:t>
            </w:r>
            <w:r>
              <w:rPr>
                <w:rFonts w:ascii="Calibri" w:hAnsi="Calibri" w:eastAsia="Arial" w:cs="Arial"/>
                <w:b/>
                <w:bCs/>
                <w:color w:val="000000"/>
                <w:kern w:val="0"/>
                <w:sz w:val="24"/>
                <w:szCs w:val="24"/>
                <w:lang w:val="en-US" w:eastAsia="zh-CN" w:bidi="ar-SA"/>
              </w:rPr>
              <w:t>07</w:t>
            </w:r>
          </w:p>
        </w:tc>
        <w:tc>
          <w:tcPr>
            <w:tcW w:w="3076" w:type="dxa"/>
            <w:tcBorders>
              <w:top w:val="single" w:color="000000" w:sz="4" w:space="0"/>
              <w:left w:val="single" w:color="000000" w:sz="4" w:space="0"/>
              <w:bottom w:val="single" w:color="000000" w:sz="4" w:space="0"/>
              <w:right w:val="single" w:color="000000" w:sz="4" w:space="0"/>
            </w:tcBorders>
          </w:tcPr>
          <w:p>
            <w:pPr>
              <w:pStyle w:val="674"/>
              <w:widowControl w:val="0"/>
              <w:overflowPunct w:val="0"/>
              <w:bidi w:val="0"/>
              <w:ind w:left="0" w:right="0" w:firstLine="0"/>
              <w:jc w:val="center"/>
              <w:rPr>
                <w:rFonts w:ascii="Calibri" w:hAnsi="Calibri"/>
                <w:sz w:val="24"/>
                <w:szCs w:val="24"/>
              </w:rPr>
            </w:pPr>
            <w:r>
              <w:rPr>
                <w:rFonts w:ascii="Calibri" w:hAnsi="Calibri"/>
                <w:b/>
                <w:bCs/>
                <w:sz w:val="24"/>
                <w:szCs w:val="24"/>
              </w:rPr>
              <w:t>1.500.100.000</w:t>
            </w:r>
          </w:p>
        </w:tc>
      </w:tr>
      <w:tr>
        <w:tblPrEx>
          <w:tblCellMar>
            <w:top w:w="0" w:type="dxa"/>
            <w:left w:w="5" w:type="dxa"/>
            <w:bottom w:w="0" w:type="dxa"/>
            <w:right w:w="5" w:type="dxa"/>
          </w:tblCellMar>
        </w:tblPrEx>
        <w:trPr>
          <w:trHeight w:val="246" w:hRule="atLeast"/>
        </w:trPr>
        <w:tc>
          <w:tcPr>
            <w:tcW w:w="2955" w:type="dxa"/>
            <w:tcBorders>
              <w:left w:val="single" w:color="000000" w:sz="4" w:space="0"/>
              <w:bottom w:val="single" w:color="000000" w:sz="4" w:space="0"/>
              <w:right w:val="single" w:color="000000" w:sz="4" w:space="0"/>
            </w:tcBorders>
          </w:tcPr>
          <w:p>
            <w:pPr>
              <w:pStyle w:val="674"/>
              <w:widowControl w:val="0"/>
              <w:overflowPunct w:val="0"/>
              <w:bidi w:val="0"/>
              <w:ind w:left="0" w:right="0" w:firstLine="0"/>
              <w:jc w:val="center"/>
              <w:rPr>
                <w:rFonts w:ascii="Calibri" w:hAnsi="Calibri" w:eastAsia="Arial" w:cs="Arial"/>
                <w:b/>
                <w:bCs/>
                <w:color w:val="000000"/>
                <w:kern w:val="0"/>
                <w:sz w:val="24"/>
                <w:szCs w:val="24"/>
                <w:lang w:val="en-US" w:eastAsia="zh-CN" w:bidi="ar-SA"/>
              </w:rPr>
            </w:pPr>
            <w:r>
              <w:rPr>
                <w:rFonts w:ascii="Calibri" w:hAnsi="Calibri" w:eastAsia="Arial" w:cs="Arial"/>
                <w:b/>
                <w:bCs/>
                <w:color w:val="000000"/>
                <w:kern w:val="0"/>
                <w:sz w:val="24"/>
                <w:szCs w:val="24"/>
                <w:lang w:val="en-US" w:eastAsia="zh-CN" w:bidi="ar-SA"/>
              </w:rPr>
              <w:t>5429</w:t>
            </w:r>
          </w:p>
        </w:tc>
        <w:tc>
          <w:tcPr>
            <w:tcW w:w="3614" w:type="dxa"/>
            <w:tcBorders>
              <w:left w:val="single" w:color="000000" w:sz="4" w:space="0"/>
              <w:bottom w:val="single" w:color="000000" w:sz="4" w:space="0"/>
              <w:right w:val="single" w:color="000000" w:sz="4" w:space="0"/>
            </w:tcBorders>
          </w:tcPr>
          <w:p>
            <w:pPr>
              <w:pStyle w:val="674"/>
              <w:widowControl w:val="0"/>
              <w:overflowPunct w:val="0"/>
              <w:bidi w:val="0"/>
              <w:ind w:left="0" w:right="0" w:firstLine="0"/>
              <w:jc w:val="center"/>
              <w:rPr>
                <w:rFonts w:ascii="Calibri" w:hAnsi="Calibri"/>
                <w:b/>
                <w:bCs/>
                <w:sz w:val="24"/>
                <w:szCs w:val="24"/>
              </w:rPr>
            </w:pPr>
            <w:r>
              <w:rPr>
                <w:rFonts w:ascii="Calibri" w:hAnsi="Calibri"/>
                <w:b/>
                <w:bCs/>
                <w:sz w:val="24"/>
                <w:szCs w:val="24"/>
              </w:rPr>
              <w:t>33.90.30.07</w:t>
            </w:r>
          </w:p>
        </w:tc>
        <w:tc>
          <w:tcPr>
            <w:tcW w:w="3076" w:type="dxa"/>
            <w:tcBorders>
              <w:left w:val="single" w:color="000000" w:sz="4" w:space="0"/>
              <w:bottom w:val="single" w:color="000000" w:sz="4" w:space="0"/>
              <w:right w:val="single" w:color="000000" w:sz="4" w:space="0"/>
            </w:tcBorders>
          </w:tcPr>
          <w:p>
            <w:pPr>
              <w:pStyle w:val="674"/>
              <w:widowControl w:val="0"/>
              <w:overflowPunct w:val="0"/>
              <w:bidi w:val="0"/>
              <w:ind w:left="0" w:right="0" w:firstLine="0"/>
              <w:jc w:val="center"/>
              <w:rPr>
                <w:rFonts w:ascii="Calibri" w:hAnsi="Calibri"/>
                <w:b/>
                <w:bCs/>
                <w:sz w:val="24"/>
                <w:szCs w:val="24"/>
              </w:rPr>
            </w:pPr>
            <w:r>
              <w:rPr>
                <w:rFonts w:ascii="Calibri" w:hAnsi="Calibri"/>
                <w:b/>
                <w:bCs/>
                <w:sz w:val="24"/>
                <w:szCs w:val="24"/>
              </w:rPr>
              <w:t>1.500.100.000</w:t>
            </w:r>
          </w:p>
        </w:tc>
      </w:tr>
      <w:tr>
        <w:tblPrEx>
          <w:tblCellMar>
            <w:top w:w="0" w:type="dxa"/>
            <w:left w:w="5" w:type="dxa"/>
            <w:bottom w:w="0" w:type="dxa"/>
            <w:right w:w="5" w:type="dxa"/>
          </w:tblCellMar>
        </w:tblPrEx>
        <w:trPr>
          <w:trHeight w:val="246" w:hRule="atLeast"/>
        </w:trPr>
        <w:tc>
          <w:tcPr>
            <w:tcW w:w="2955" w:type="dxa"/>
            <w:tcBorders>
              <w:left w:val="single" w:color="000000" w:sz="4" w:space="0"/>
              <w:bottom w:val="single" w:color="000000" w:sz="4" w:space="0"/>
              <w:right w:val="single" w:color="000000" w:sz="4" w:space="0"/>
            </w:tcBorders>
          </w:tcPr>
          <w:p>
            <w:pPr>
              <w:pStyle w:val="674"/>
              <w:widowControl w:val="0"/>
              <w:overflowPunct w:val="0"/>
              <w:bidi w:val="0"/>
              <w:ind w:left="0" w:right="0" w:firstLine="0"/>
              <w:jc w:val="center"/>
              <w:rPr>
                <w:rFonts w:ascii="Calibri" w:hAnsi="Calibri" w:eastAsia="Arial" w:cs="Arial"/>
                <w:b/>
                <w:bCs/>
                <w:color w:val="000000"/>
                <w:kern w:val="0"/>
                <w:sz w:val="24"/>
                <w:szCs w:val="24"/>
                <w:lang w:val="en-US" w:eastAsia="zh-CN" w:bidi="ar-SA"/>
              </w:rPr>
            </w:pPr>
            <w:r>
              <w:rPr>
                <w:rFonts w:ascii="Calibri" w:hAnsi="Calibri" w:eastAsia="Arial" w:cs="Arial"/>
                <w:b/>
                <w:bCs/>
                <w:color w:val="000000"/>
                <w:kern w:val="0"/>
                <w:sz w:val="24"/>
                <w:szCs w:val="24"/>
                <w:lang w:val="en-US" w:eastAsia="zh-CN" w:bidi="ar-SA"/>
              </w:rPr>
              <w:t>11478</w:t>
            </w:r>
          </w:p>
        </w:tc>
        <w:tc>
          <w:tcPr>
            <w:tcW w:w="3614" w:type="dxa"/>
            <w:tcBorders>
              <w:left w:val="single" w:color="000000" w:sz="4" w:space="0"/>
              <w:bottom w:val="single" w:color="000000" w:sz="4" w:space="0"/>
              <w:right w:val="single" w:color="000000" w:sz="4" w:space="0"/>
            </w:tcBorders>
          </w:tcPr>
          <w:p>
            <w:pPr>
              <w:pStyle w:val="674"/>
              <w:widowControl w:val="0"/>
              <w:overflowPunct w:val="0"/>
              <w:bidi w:val="0"/>
              <w:ind w:left="0" w:right="0" w:firstLine="0"/>
              <w:jc w:val="center"/>
              <w:rPr>
                <w:rFonts w:ascii="Calibri" w:hAnsi="Calibri"/>
                <w:b/>
                <w:bCs/>
                <w:sz w:val="24"/>
                <w:szCs w:val="24"/>
              </w:rPr>
            </w:pPr>
            <w:r>
              <w:rPr>
                <w:rFonts w:ascii="Calibri" w:hAnsi="Calibri"/>
                <w:b/>
                <w:bCs/>
                <w:sz w:val="24"/>
                <w:szCs w:val="24"/>
              </w:rPr>
              <w:t>33.90.91.43</w:t>
            </w:r>
          </w:p>
        </w:tc>
        <w:tc>
          <w:tcPr>
            <w:tcW w:w="3076" w:type="dxa"/>
            <w:tcBorders>
              <w:left w:val="single" w:color="000000" w:sz="4" w:space="0"/>
              <w:bottom w:val="single" w:color="000000" w:sz="4" w:space="0"/>
              <w:right w:val="single" w:color="000000" w:sz="4" w:space="0"/>
            </w:tcBorders>
          </w:tcPr>
          <w:p>
            <w:pPr>
              <w:pStyle w:val="674"/>
              <w:widowControl w:val="0"/>
              <w:overflowPunct w:val="0"/>
              <w:bidi w:val="0"/>
              <w:ind w:left="0" w:right="0" w:firstLine="0"/>
              <w:jc w:val="center"/>
              <w:rPr>
                <w:rFonts w:ascii="Calibri" w:hAnsi="Calibri"/>
                <w:b/>
                <w:bCs/>
                <w:sz w:val="24"/>
                <w:szCs w:val="24"/>
              </w:rPr>
            </w:pPr>
            <w:r>
              <w:rPr>
                <w:rFonts w:ascii="Calibri" w:hAnsi="Calibri"/>
                <w:b/>
                <w:bCs/>
                <w:sz w:val="24"/>
                <w:szCs w:val="24"/>
              </w:rPr>
              <w:t>1.500.100.000</w:t>
            </w:r>
          </w:p>
        </w:tc>
      </w:tr>
    </w:tbl>
    <w:p>
      <w:pPr>
        <w:pStyle w:val="2"/>
        <w:overflowPunct w:val="0"/>
        <w:bidi w:val="0"/>
        <w:spacing w:before="1" w:after="0"/>
        <w:ind w:left="0" w:right="0" w:firstLine="0"/>
        <w:jc w:val="both"/>
        <w:rPr>
          <w:rFonts w:ascii="Calibri" w:hAnsi="Calibri"/>
          <w:b w:val="0"/>
          <w:bCs w:val="0"/>
          <w:color w:val="000000"/>
          <w:sz w:val="24"/>
          <w:szCs w:val="24"/>
        </w:rPr>
      </w:pP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17 – DAS IMPUGNAÇÕES E DOS PEDIDOS DE ESCLARECIMENTO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17.1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Qualquer pessoa, até 03 (três) dias úteis antes da abertura da sessão, poderá impugnar o ato convocatório solicitar esclarecimento sobre os seus termos, exclusivamente por meio eletrônico via internet, nos endereços eletrônicos www.portaldecompras.sc.gov.br, quando optar por efetuar o download do edital como interessado ou e-lic.sc.gov.br, quando acessar o link do processo, selecionando painel de controle botão “Fórum”.</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17.1.</w:t>
      </w:r>
      <w:r>
        <w:rPr>
          <w:rFonts w:ascii="Calibri" w:hAnsi="Calibri"/>
          <w:b/>
          <w:bCs/>
          <w:color w:val="000000"/>
          <w:sz w:val="24"/>
          <w:szCs w:val="24"/>
          <w:lang w:val="pt-BR"/>
        </w:rPr>
        <w:t>1</w:t>
      </w:r>
      <w:r>
        <w:rPr>
          <w:rFonts w:ascii="Calibri" w:hAnsi="Calibri"/>
          <w:b w:val="0"/>
          <w:bCs w:val="0"/>
          <w:color w:val="000000"/>
          <w:sz w:val="24"/>
          <w:szCs w:val="24"/>
          <w:lang w:val="pt-BR"/>
        </w:rPr>
        <w:t xml:space="preserve">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Fornecedores cadastrados podem optar ao efetuar o login, acessando o processo eletrônico, botão “Impugnação”.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17.2</w:t>
      </w:r>
      <w:r>
        <w:rPr>
          <w:rFonts w:ascii="Calibri" w:hAnsi="Calibri"/>
          <w:b w:val="0"/>
          <w:bCs w:val="0"/>
          <w:color w:val="000000"/>
          <w:sz w:val="24"/>
          <w:szCs w:val="24"/>
        </w:rPr>
        <w:t xml:space="preserve">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O Sistema permite, após salvar as informações iniciais e emitir o número de registro da impugnação, inserir Anexos na aba correspondente.</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17.2.1</w:t>
      </w:r>
      <w:r>
        <w:rPr>
          <w:rFonts w:ascii="Calibri" w:hAnsi="Calibri"/>
          <w:b w:val="0"/>
          <w:bCs w:val="0"/>
          <w:color w:val="000000"/>
          <w:sz w:val="24"/>
          <w:szCs w:val="24"/>
        </w:rPr>
        <w:t xml:space="preserve">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As impugnações registradas no Sistema, com ou sem anexos, constituem meio legal de prova, não sendo obrigatório o encaminhamento do original.</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17.3 –</w:t>
      </w:r>
      <w:r>
        <w:rPr>
          <w:rFonts w:ascii="Calibri" w:hAnsi="Calibri"/>
          <w:b w:val="0"/>
          <w:bCs w:val="0"/>
          <w:color w:val="000000"/>
          <w:sz w:val="24"/>
          <w:szCs w:val="24"/>
        </w:rPr>
        <w:t xml:space="preserve"> Não serão aceitos quaisquer documentos senão pelo Sistema eletrônico.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17.4</w:t>
      </w:r>
      <w:r>
        <w:rPr>
          <w:rFonts w:ascii="Calibri" w:hAnsi="Calibri"/>
          <w:b w:val="0"/>
          <w:bCs w:val="0"/>
          <w:color w:val="000000"/>
          <w:sz w:val="24"/>
          <w:szCs w:val="24"/>
        </w:rPr>
        <w:t xml:space="preserve"> </w:t>
      </w:r>
      <w:r>
        <w:rPr>
          <w:rFonts w:ascii="Calibri" w:hAnsi="Calibri" w:eastAsia="NSimSun" w:cs="Lucida Sans"/>
          <w:b/>
          <w:bCs/>
          <w:color w:val="000000"/>
          <w:kern w:val="0"/>
          <w:sz w:val="24"/>
          <w:szCs w:val="24"/>
          <w:lang w:val="pt-BR" w:eastAsia="zh-CN" w:bidi="hi-IN"/>
        </w:rPr>
        <w:t>–</w:t>
      </w:r>
      <w:r>
        <w:rPr>
          <w:rFonts w:ascii="Calibri" w:hAnsi="Calibri"/>
          <w:b w:val="0"/>
          <w:bCs w:val="0"/>
          <w:color w:val="000000"/>
          <w:sz w:val="24"/>
          <w:szCs w:val="24"/>
        </w:rPr>
        <w:t xml:space="preserve"> A resposta à impugnação ou ao pedido de esclarecimento será divulgado em sítio eletrônico oficial no prazo de até 3 (três) dias úteis, limitado ao último dia útil anterior à data da abertura do certame.</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17.5 </w:t>
      </w:r>
      <w:r>
        <w:rPr>
          <w:rFonts w:ascii="Calibri" w:hAnsi="Calibri" w:eastAsia="NSimSun" w:cs="Lucida Sans"/>
          <w:b/>
          <w:bCs/>
          <w:color w:val="000000"/>
          <w:kern w:val="0"/>
          <w:sz w:val="24"/>
          <w:szCs w:val="24"/>
          <w:lang w:val="pt-BR" w:eastAsia="zh-CN" w:bidi="hi-IN"/>
        </w:rPr>
        <w:t>–</w:t>
      </w:r>
      <w:r>
        <w:rPr>
          <w:rFonts w:ascii="Calibri" w:hAnsi="Calibri"/>
          <w:b w:val="0"/>
          <w:bCs w:val="0"/>
          <w:color w:val="000000"/>
          <w:sz w:val="24"/>
          <w:szCs w:val="24"/>
        </w:rPr>
        <w:t xml:space="preserve"> As impugnações e pedidos de esclarecimentos não suspendem os prazos previstos no certame.</w:t>
      </w:r>
    </w:p>
    <w:p>
      <w:pPr>
        <w:pStyle w:val="2"/>
        <w:overflowPunct w:val="0"/>
        <w:bidi w:val="0"/>
        <w:spacing w:before="1" w:after="0"/>
        <w:ind w:left="0" w:right="0" w:firstLine="0"/>
        <w:jc w:val="both"/>
        <w:rPr>
          <w:b w:val="0"/>
          <w:bCs w:val="0"/>
          <w:color w:val="000000"/>
        </w:rPr>
      </w:pPr>
    </w:p>
    <w:p>
      <w:pPr>
        <w:pStyle w:val="2"/>
        <w:overflowPunct/>
        <w:bidi w:val="0"/>
        <w:spacing w:before="1" w:after="0"/>
        <w:ind w:left="0" w:right="0" w:firstLine="0"/>
        <w:jc w:val="both"/>
      </w:pPr>
      <w:r>
        <w:rPr>
          <w:rFonts w:ascii="Calibri" w:hAnsi="Calibri" w:eastAsia="NSimSun" w:cs="Calibri"/>
          <w:b/>
          <w:bCs/>
          <w:color w:val="000000"/>
          <w:kern w:val="0"/>
          <w:sz w:val="24"/>
          <w:szCs w:val="24"/>
          <w:lang w:val="pt-BR" w:eastAsia="zh-CN" w:bidi="hi-IN"/>
        </w:rPr>
        <w:t xml:space="preserve">18 </w:t>
      </w:r>
      <w:r>
        <w:rPr>
          <w:rFonts w:ascii="Calibri" w:hAnsi="Calibri" w:cs="Calibri"/>
          <w:b/>
          <w:bCs/>
          <w:color w:val="000000"/>
          <w:sz w:val="24"/>
          <w:szCs w:val="24"/>
        </w:rPr>
        <w:t xml:space="preserve"> – DO ATENDIMENTO A LEI 17.983 DE 19 DE AGOSTO DE 2020</w:t>
      </w:r>
      <w:r>
        <w:rPr>
          <w:rFonts w:ascii="Calibri" w:hAnsi="Calibri" w:cs="Calibri"/>
          <w:b w:val="0"/>
          <w:bCs w:val="0"/>
          <w:color w:val="000000"/>
          <w:sz w:val="24"/>
          <w:szCs w:val="24"/>
        </w:rPr>
        <w:br w:type="textWrapping"/>
      </w:r>
      <w:r>
        <w:rPr>
          <w:rFonts w:ascii="Calibri" w:hAnsi="Calibri" w:eastAsia="NSimSun" w:cs="Calibri"/>
          <w:b/>
          <w:bCs/>
          <w:color w:val="000000"/>
          <w:kern w:val="0"/>
          <w:sz w:val="24"/>
          <w:szCs w:val="24"/>
          <w:lang w:val="pt-BR" w:eastAsia="zh-CN" w:bidi="hi-IN"/>
        </w:rPr>
        <w:t>18</w:t>
      </w:r>
      <w:r>
        <w:rPr>
          <w:rFonts w:ascii="Calibri" w:hAnsi="Calibri" w:cs="Calibri"/>
          <w:b/>
          <w:bCs/>
          <w:color w:val="000000"/>
          <w:sz w:val="24"/>
          <w:szCs w:val="24"/>
        </w:rPr>
        <w:t>.1</w:t>
      </w:r>
      <w:r>
        <w:rPr>
          <w:rFonts w:ascii="Calibri" w:hAnsi="Calibri" w:cs="Calibri"/>
          <w:b w:val="0"/>
          <w:bCs w:val="0"/>
          <w:color w:val="000000"/>
          <w:sz w:val="24"/>
          <w:szCs w:val="24"/>
        </w:rPr>
        <w:t xml:space="preserve"> </w:t>
      </w:r>
      <w:r>
        <w:rPr>
          <w:rFonts w:ascii="Calibri" w:hAnsi="Calibri" w:eastAsia="NSimSun" w:cs="Lucida Sans"/>
          <w:b/>
          <w:bCs/>
          <w:color w:val="000000"/>
          <w:kern w:val="0"/>
          <w:sz w:val="24"/>
          <w:szCs w:val="24"/>
          <w:lang w:val="pt-BR" w:eastAsia="zh-CN" w:bidi="hi-IN"/>
        </w:rPr>
        <w:t xml:space="preserve">– </w:t>
      </w:r>
      <w:r>
        <w:rPr>
          <w:rFonts w:ascii="Calibri" w:hAnsi="Calibri" w:cs="Calibri"/>
          <w:b w:val="0"/>
          <w:bCs w:val="0"/>
          <w:color w:val="000000"/>
          <w:sz w:val="24"/>
          <w:szCs w:val="24"/>
        </w:rPr>
        <w:t>Fica obrigada a publicação do nome do proprietário ou de todos os sócios-proprietários integrantes de pessoas jurídicas contratadas para fornecer serviços e produtos, aos Poderes Executivo, Legislativo e Judiciário, bem como aos demais órgãos da Administração Direta e Indireta, independente da forma de contratação.</w:t>
      </w:r>
      <w:r>
        <w:rPr>
          <w:rFonts w:ascii="Calibri" w:hAnsi="Calibri" w:cs="Calibri"/>
          <w:b w:val="0"/>
          <w:bCs w:val="0"/>
          <w:color w:val="000000"/>
          <w:sz w:val="24"/>
          <w:szCs w:val="24"/>
        </w:rPr>
        <w:br w:type="textWrapping"/>
      </w:r>
      <w:r>
        <w:rPr>
          <w:rFonts w:ascii="Calibri" w:hAnsi="Calibri" w:eastAsia="NSimSun" w:cs="Calibri"/>
          <w:b/>
          <w:bCs/>
          <w:color w:val="000000"/>
          <w:kern w:val="0"/>
          <w:sz w:val="24"/>
          <w:szCs w:val="24"/>
          <w:lang w:val="pt-BR" w:eastAsia="zh-CN" w:bidi="hi-IN"/>
        </w:rPr>
        <w:t>18</w:t>
      </w:r>
      <w:r>
        <w:rPr>
          <w:rFonts w:ascii="Calibri" w:hAnsi="Calibri" w:cs="Calibri"/>
          <w:b/>
          <w:bCs/>
          <w:color w:val="000000"/>
          <w:sz w:val="24"/>
          <w:szCs w:val="24"/>
        </w:rPr>
        <w:t xml:space="preserve">.1.1 </w:t>
      </w:r>
      <w:r>
        <w:rPr>
          <w:rFonts w:ascii="Calibri" w:hAnsi="Calibri" w:eastAsia="NSimSun" w:cs="Lucida Sans"/>
          <w:b/>
          <w:bCs/>
          <w:color w:val="000000"/>
          <w:kern w:val="0"/>
          <w:sz w:val="24"/>
          <w:szCs w:val="24"/>
          <w:lang w:val="pt-BR" w:eastAsia="zh-CN" w:bidi="hi-IN"/>
        </w:rPr>
        <w:t xml:space="preserve">– </w:t>
      </w:r>
      <w:r>
        <w:rPr>
          <w:rFonts w:ascii="Calibri" w:hAnsi="Calibri" w:cs="Calibri"/>
          <w:b w:val="0"/>
          <w:bCs w:val="0"/>
          <w:color w:val="000000"/>
          <w:sz w:val="24"/>
          <w:szCs w:val="24"/>
        </w:rPr>
        <w:t>A publicação deverá ser no Portal da Transparência do órgão contratante, em local de fácil acesso, devendo constar:</w:t>
      </w:r>
      <w:r>
        <w:rPr>
          <w:rFonts w:ascii="Calibri" w:hAnsi="Calibri" w:cs="Calibri"/>
          <w:b w:val="0"/>
          <w:bCs w:val="0"/>
          <w:color w:val="000000"/>
          <w:sz w:val="24"/>
          <w:szCs w:val="24"/>
        </w:rPr>
        <w:br w:type="textWrapping"/>
      </w:r>
      <w:r>
        <w:rPr>
          <w:rFonts w:ascii="Calibri" w:hAnsi="Calibri" w:cs="Calibri"/>
          <w:b w:val="0"/>
          <w:bCs w:val="0"/>
          <w:color w:val="000000"/>
          <w:sz w:val="24"/>
          <w:szCs w:val="24"/>
        </w:rPr>
        <w:t xml:space="preserve">I </w:t>
      </w:r>
      <w:r>
        <w:rPr>
          <w:rFonts w:ascii="Calibri" w:hAnsi="Calibri" w:eastAsia="NSimSun" w:cs="Lucida Sans"/>
          <w:b w:val="0"/>
          <w:bCs w:val="0"/>
          <w:color w:val="000000"/>
          <w:kern w:val="0"/>
          <w:sz w:val="24"/>
          <w:szCs w:val="24"/>
          <w:lang w:val="pt-BR" w:eastAsia="zh-CN" w:bidi="hi-IN"/>
        </w:rPr>
        <w:t>–</w:t>
      </w:r>
      <w:r>
        <w:rPr>
          <w:rFonts w:ascii="Calibri" w:hAnsi="Calibri" w:eastAsia="NSimSun" w:cs="Lucida Sans"/>
          <w:b/>
          <w:bCs/>
          <w:color w:val="000000"/>
          <w:kern w:val="0"/>
          <w:sz w:val="24"/>
          <w:szCs w:val="24"/>
          <w:lang w:val="pt-BR" w:eastAsia="zh-CN" w:bidi="hi-IN"/>
        </w:rPr>
        <w:t xml:space="preserve"> </w:t>
      </w:r>
      <w:r>
        <w:rPr>
          <w:rFonts w:ascii="Calibri" w:hAnsi="Calibri" w:cs="Calibri"/>
          <w:b w:val="0"/>
          <w:bCs w:val="0"/>
          <w:color w:val="000000"/>
          <w:sz w:val="24"/>
          <w:szCs w:val="24"/>
        </w:rPr>
        <w:t>relação dos sócios-proprietários com o número de Cadastro de Pessoa Física (CPF);</w:t>
      </w:r>
      <w:r>
        <w:rPr>
          <w:rFonts w:ascii="Calibri" w:hAnsi="Calibri" w:cs="Calibri"/>
          <w:b w:val="0"/>
          <w:bCs w:val="0"/>
          <w:color w:val="000000"/>
          <w:sz w:val="24"/>
          <w:szCs w:val="24"/>
        </w:rPr>
        <w:br w:type="textWrapping"/>
      </w:r>
      <w:r>
        <w:rPr>
          <w:rFonts w:ascii="Calibri" w:hAnsi="Calibri" w:cs="Calibri"/>
          <w:b w:val="0"/>
          <w:bCs w:val="0"/>
          <w:color w:val="000000"/>
          <w:sz w:val="24"/>
          <w:szCs w:val="24"/>
        </w:rPr>
        <w:t xml:space="preserve">II </w:t>
      </w:r>
      <w:r>
        <w:rPr>
          <w:rFonts w:ascii="Calibri" w:hAnsi="Calibri" w:eastAsia="NSimSun" w:cs="Lucida Sans"/>
          <w:b w:val="0"/>
          <w:bCs w:val="0"/>
          <w:color w:val="000000"/>
          <w:kern w:val="0"/>
          <w:sz w:val="24"/>
          <w:szCs w:val="24"/>
          <w:lang w:val="pt-BR" w:eastAsia="zh-CN" w:bidi="hi-IN"/>
        </w:rPr>
        <w:t>–</w:t>
      </w:r>
      <w:r>
        <w:rPr>
          <w:rFonts w:ascii="Calibri" w:hAnsi="Calibri" w:eastAsia="NSimSun" w:cs="Lucida Sans"/>
          <w:b/>
          <w:bCs/>
          <w:color w:val="000000"/>
          <w:kern w:val="0"/>
          <w:sz w:val="24"/>
          <w:szCs w:val="24"/>
          <w:lang w:val="pt-BR" w:eastAsia="zh-CN" w:bidi="hi-IN"/>
        </w:rPr>
        <w:t xml:space="preserve"> </w:t>
      </w:r>
      <w:r>
        <w:rPr>
          <w:rFonts w:ascii="Calibri" w:hAnsi="Calibri" w:cs="Calibri"/>
          <w:b w:val="0"/>
          <w:bCs w:val="0"/>
          <w:color w:val="000000"/>
          <w:sz w:val="24"/>
          <w:szCs w:val="24"/>
        </w:rPr>
        <w:t>endereço da sede da empresa contratada, em conformidade com contrato social;</w:t>
      </w:r>
      <w:r>
        <w:rPr>
          <w:rFonts w:ascii="Calibri" w:hAnsi="Calibri" w:cs="Calibri"/>
          <w:b w:val="0"/>
          <w:bCs w:val="0"/>
          <w:color w:val="000000"/>
          <w:sz w:val="24"/>
          <w:szCs w:val="24"/>
        </w:rPr>
        <w:br w:type="textWrapping"/>
      </w:r>
      <w:r>
        <w:rPr>
          <w:rFonts w:ascii="Calibri" w:hAnsi="Calibri" w:cs="Calibri"/>
          <w:b w:val="0"/>
          <w:bCs w:val="0"/>
          <w:color w:val="000000"/>
          <w:sz w:val="24"/>
          <w:szCs w:val="24"/>
        </w:rPr>
        <w:t xml:space="preserve">III </w:t>
      </w:r>
      <w:r>
        <w:rPr>
          <w:rFonts w:ascii="Calibri" w:hAnsi="Calibri" w:eastAsia="NSimSun" w:cs="Lucida Sans"/>
          <w:b w:val="0"/>
          <w:bCs w:val="0"/>
          <w:color w:val="000000"/>
          <w:kern w:val="0"/>
          <w:sz w:val="24"/>
          <w:szCs w:val="24"/>
          <w:lang w:val="pt-BR" w:eastAsia="zh-CN" w:bidi="hi-IN"/>
        </w:rPr>
        <w:t>–</w:t>
      </w:r>
      <w:r>
        <w:rPr>
          <w:rFonts w:ascii="Calibri" w:hAnsi="Calibri" w:eastAsia="NSimSun" w:cs="Lucida Sans"/>
          <w:b/>
          <w:bCs/>
          <w:color w:val="000000"/>
          <w:kern w:val="0"/>
          <w:sz w:val="24"/>
          <w:szCs w:val="24"/>
          <w:lang w:val="pt-BR" w:eastAsia="zh-CN" w:bidi="hi-IN"/>
        </w:rPr>
        <w:t xml:space="preserve"> </w:t>
      </w:r>
      <w:r>
        <w:rPr>
          <w:rFonts w:ascii="Calibri" w:hAnsi="Calibri" w:cs="Calibri"/>
          <w:b w:val="0"/>
          <w:bCs w:val="0"/>
          <w:color w:val="000000"/>
          <w:sz w:val="24"/>
          <w:szCs w:val="24"/>
        </w:rPr>
        <w:t>foto da fachada da sede da empresa; e</w:t>
      </w:r>
      <w:r>
        <w:rPr>
          <w:rFonts w:ascii="Calibri" w:hAnsi="Calibri" w:cs="Calibri"/>
          <w:b w:val="0"/>
          <w:bCs w:val="0"/>
          <w:color w:val="000000"/>
          <w:sz w:val="24"/>
          <w:szCs w:val="24"/>
        </w:rPr>
        <w:br w:type="textWrapping"/>
      </w:r>
      <w:r>
        <w:rPr>
          <w:rFonts w:ascii="Calibri" w:hAnsi="Calibri" w:cs="Calibri"/>
          <w:b w:val="0"/>
          <w:bCs w:val="0"/>
          <w:color w:val="000000"/>
          <w:sz w:val="24"/>
          <w:szCs w:val="24"/>
        </w:rPr>
        <w:t xml:space="preserve">IV </w:t>
      </w:r>
      <w:r>
        <w:rPr>
          <w:rFonts w:ascii="Calibri" w:hAnsi="Calibri" w:eastAsia="NSimSun" w:cs="Lucida Sans"/>
          <w:b w:val="0"/>
          <w:bCs w:val="0"/>
          <w:color w:val="000000"/>
          <w:kern w:val="0"/>
          <w:sz w:val="24"/>
          <w:szCs w:val="24"/>
          <w:lang w:val="pt-BR" w:eastAsia="zh-CN" w:bidi="hi-IN"/>
        </w:rPr>
        <w:t xml:space="preserve">– </w:t>
      </w:r>
      <w:r>
        <w:rPr>
          <w:rFonts w:ascii="Calibri" w:hAnsi="Calibri" w:cs="Calibri"/>
          <w:b w:val="0"/>
          <w:bCs w:val="0"/>
          <w:color w:val="000000"/>
          <w:sz w:val="24"/>
          <w:szCs w:val="24"/>
        </w:rPr>
        <w:t>extrato da minuta do contrato firmado entre Administração Pública e a empresa contratada.</w:t>
      </w:r>
    </w:p>
    <w:p>
      <w:pPr>
        <w:pStyle w:val="2"/>
        <w:overflowPunct/>
        <w:bidi w:val="0"/>
        <w:spacing w:before="1" w:after="0"/>
        <w:ind w:left="0" w:right="0" w:firstLine="0"/>
        <w:jc w:val="both"/>
        <w:rPr>
          <w:rFonts w:ascii="Calibri" w:hAnsi="Calibri" w:cs="Calibri"/>
          <w:b w:val="0"/>
          <w:bCs w:val="0"/>
          <w:color w:val="000000"/>
          <w:sz w:val="24"/>
          <w:szCs w:val="24"/>
        </w:rPr>
      </w:pPr>
    </w:p>
    <w:p>
      <w:pPr>
        <w:pStyle w:val="2"/>
        <w:overflowPunct/>
        <w:bidi w:val="0"/>
        <w:spacing w:before="1" w:after="0"/>
        <w:ind w:left="0" w:right="0" w:firstLine="0"/>
        <w:jc w:val="both"/>
        <w:rPr>
          <w:rFonts w:ascii="Calibri" w:hAnsi="Calibri"/>
          <w:b/>
          <w:bCs/>
        </w:rPr>
      </w:pPr>
      <w:r>
        <w:rPr>
          <w:rFonts w:ascii="Calibri" w:hAnsi="Calibri"/>
          <w:b/>
          <w:bCs/>
        </w:rPr>
        <w:t>19 – DAS PRÁTICAS FRAUDULENTAS E DE CORRUPÇÃO</w:t>
      </w:r>
    </w:p>
    <w:p>
      <w:pPr>
        <w:pStyle w:val="2"/>
        <w:overflowPunct/>
        <w:bidi w:val="0"/>
        <w:spacing w:before="1" w:after="0"/>
        <w:ind w:left="0" w:right="0" w:firstLine="0"/>
        <w:jc w:val="both"/>
        <w:rPr>
          <w:rFonts w:ascii="Calibri" w:hAnsi="Calibri"/>
        </w:rPr>
      </w:pPr>
      <w:r>
        <w:rPr>
          <w:rFonts w:ascii="Calibri" w:hAnsi="Calibri"/>
          <w:b/>
          <w:bCs/>
        </w:rPr>
        <w:t>19.1</w:t>
      </w:r>
      <w:r>
        <w:rPr>
          <w:rFonts w:ascii="Calibri" w:hAnsi="Calibri"/>
        </w:rPr>
        <w:t xml:space="preserve"> – As partes, por seus agentes públicos ou por seus sócios, acionistas, administradores e colaboradores:</w:t>
      </w:r>
    </w:p>
    <w:p>
      <w:pPr>
        <w:pStyle w:val="2"/>
        <w:overflowPunct/>
        <w:bidi w:val="0"/>
        <w:spacing w:before="1" w:after="0"/>
        <w:ind w:left="0" w:right="0" w:firstLine="0"/>
        <w:jc w:val="both"/>
        <w:rPr>
          <w:rFonts w:ascii="Calibri" w:hAnsi="Calibri"/>
        </w:rPr>
      </w:pPr>
      <w:r>
        <w:rPr>
          <w:rFonts w:ascii="Calibri" w:hAnsi="Calibri"/>
        </w:rPr>
        <w:t>I – Declaram que têm conhecimento das normas previstas na legislação, entre as quais nas Leis n° 8.429/1992 e nº 12.846/2013, seus regulamentos e eventuais outras aplicáveis;</w:t>
      </w:r>
    </w:p>
    <w:p>
      <w:pPr>
        <w:pStyle w:val="2"/>
        <w:overflowPunct/>
        <w:bidi w:val="0"/>
        <w:spacing w:before="1" w:after="0"/>
        <w:ind w:left="0" w:right="0" w:firstLine="0"/>
        <w:jc w:val="both"/>
        <w:rPr>
          <w:rFonts w:ascii="Calibri" w:hAnsi="Calibri"/>
        </w:rPr>
      </w:pPr>
      <w:r>
        <w:rPr>
          <w:rFonts w:ascii="Calibri" w:hAnsi="Calibri"/>
        </w:rPr>
        <w:t>II – Comprometem-se em não adotar práticas ou procedimentos que se enquadrem nas hipóteses previstas nas leis e regulamentos mencionados no inciso anterior e se comprometem em exigir o mesmo pelos terceiros por elas contratados;</w:t>
      </w:r>
    </w:p>
    <w:p>
      <w:pPr>
        <w:pStyle w:val="2"/>
        <w:overflowPunct/>
        <w:bidi w:val="0"/>
        <w:spacing w:before="1" w:after="0"/>
        <w:ind w:left="0" w:right="0" w:firstLine="0"/>
        <w:jc w:val="both"/>
        <w:rPr>
          <w:rFonts w:ascii="Calibri" w:hAnsi="Calibri"/>
        </w:rPr>
      </w:pPr>
      <w:r>
        <w:rPr>
          <w:rFonts w:ascii="Calibri" w:hAnsi="Calibri"/>
        </w:rPr>
        <w:t>III – Comprometem-se em notificar à Controladoria-Geral do Estado qualquer irregularidade que tiverem conhecimento acerca da execução do contrato;</w:t>
      </w:r>
    </w:p>
    <w:p>
      <w:pPr>
        <w:pStyle w:val="2"/>
        <w:overflowPunct/>
        <w:bidi w:val="0"/>
        <w:spacing w:before="1" w:after="0"/>
        <w:ind w:left="0" w:right="0" w:firstLine="0"/>
        <w:jc w:val="both"/>
        <w:rPr>
          <w:rFonts w:ascii="Calibri" w:hAnsi="Calibri"/>
        </w:rPr>
      </w:pPr>
      <w:r>
        <w:rPr>
          <w:rFonts w:ascii="Calibri" w:hAnsi="Calibri"/>
        </w:rPr>
        <w:t>IV – Declaram que têm ciência que a violação de qualquer das obrigações previstas na Instrução Normativa conjunta CGE/SEA nº 01/2020, além de outras, é causa para a rescisão unilateral do contrato, sem prejuízo da cobrança das perdas e danos, inclusive danos potenciais, causados à parte inocente e das multas pactuadas.</w:t>
      </w:r>
    </w:p>
    <w:p>
      <w:pPr>
        <w:pStyle w:val="2"/>
        <w:overflowPunct/>
        <w:bidi w:val="0"/>
        <w:spacing w:before="1" w:after="0"/>
        <w:ind w:left="0" w:right="0" w:firstLine="0"/>
        <w:jc w:val="both"/>
        <w:rPr>
          <w:rFonts w:ascii="Calibri" w:hAnsi="Calibri"/>
        </w:rPr>
      </w:pPr>
    </w:p>
    <w:p>
      <w:pPr>
        <w:pStyle w:val="2"/>
        <w:overflowPunct/>
        <w:bidi w:val="0"/>
        <w:spacing w:before="1" w:after="0"/>
        <w:ind w:left="0" w:right="0" w:firstLine="0"/>
        <w:jc w:val="both"/>
        <w:rPr>
          <w:rFonts w:ascii="Calibri" w:hAnsi="Calibri"/>
          <w:b/>
          <w:bCs/>
        </w:rPr>
      </w:pPr>
      <w:r>
        <w:rPr>
          <w:rFonts w:ascii="Calibri" w:hAnsi="Calibri"/>
          <w:b/>
          <w:bCs/>
        </w:rPr>
        <w:t>20 – DO ATENDIMENTO A LEI FEDERAL DE PROTEÇÃO DE DADOS</w:t>
      </w:r>
    </w:p>
    <w:p>
      <w:pPr>
        <w:pStyle w:val="2"/>
        <w:overflowPunct/>
        <w:bidi w:val="0"/>
        <w:spacing w:before="1" w:after="0"/>
        <w:ind w:left="0" w:right="0" w:firstLine="0"/>
        <w:jc w:val="both"/>
        <w:rPr>
          <w:rFonts w:ascii="Calibri" w:hAnsi="Calibri"/>
        </w:rPr>
      </w:pPr>
      <w:r>
        <w:rPr>
          <w:rFonts w:ascii="Calibri" w:hAnsi="Calibri"/>
          <w:b/>
          <w:bCs/>
        </w:rPr>
        <w:t>20.1 –</w:t>
      </w:r>
      <w:r>
        <w:rPr>
          <w:rFonts w:ascii="Calibri" w:hAnsi="Calibri"/>
        </w:rPr>
        <w:t xml:space="preserve"> A CONTRATADA declara que tem ciência da existência da Lei nº 13.709/2018 (Lei Geral de Proteção de Dados – LGPD) e se compromete a adequar todos os procedimentos internos ao disposto na legislação, com o intuito de proteger os dados pessoais que lhe forem repassados, cumprindo, a todo momento, as normas de proteção de dados pessoais, jamais colocando, por seus atos ou por sua omissão, a CONTRATANTE em situação de violação de tais regras.</w:t>
      </w:r>
    </w:p>
    <w:p>
      <w:pPr>
        <w:pStyle w:val="2"/>
        <w:overflowPunct/>
        <w:bidi w:val="0"/>
        <w:spacing w:before="1" w:after="0"/>
        <w:ind w:left="0" w:right="0" w:firstLine="0"/>
        <w:jc w:val="both"/>
        <w:rPr>
          <w:rFonts w:ascii="Calibri" w:hAnsi="Calibri"/>
        </w:rPr>
      </w:pPr>
      <w:r>
        <w:rPr>
          <w:rFonts w:ascii="Calibri" w:hAnsi="Calibri"/>
          <w:b/>
          <w:bCs/>
        </w:rPr>
        <w:t>20.2 –</w:t>
      </w:r>
      <w:r>
        <w:rPr>
          <w:rFonts w:ascii="Calibri" w:hAnsi="Calibri"/>
        </w:rPr>
        <w:t xml:space="preserve"> A CONTRATADA declara que designou Encarregado de Tratamento de Dados Pessoais, nos termos do § 1º. do art. 41 da Lei nº 13.709/2018 (Lei Geral de Proteção de Dados – LGPD), e se compromete a informar os dados de identidade e informações de contato deste encarregado na ocasião da assinatura deste contrato. A CONTRATADA também se compromete a manter o CONTRATANTE informado sobre os dados atualizados de contato de seu Encarregado de Tratamento de Dados Pessoais, sempre que for substituído; </w:t>
      </w:r>
    </w:p>
    <w:p>
      <w:pPr>
        <w:pStyle w:val="2"/>
        <w:overflowPunct/>
        <w:bidi w:val="0"/>
        <w:spacing w:before="1" w:after="0"/>
        <w:ind w:left="0" w:right="0" w:firstLine="0"/>
        <w:jc w:val="both"/>
        <w:rPr>
          <w:rFonts w:ascii="Calibri" w:hAnsi="Calibri"/>
        </w:rPr>
      </w:pPr>
      <w:r>
        <w:rPr>
          <w:rFonts w:ascii="Calibri" w:hAnsi="Calibri"/>
          <w:b/>
          <w:bCs/>
        </w:rPr>
        <w:t>20.3 –</w:t>
      </w:r>
      <w:r>
        <w:rPr>
          <w:rFonts w:ascii="Calibri" w:hAnsi="Calibri"/>
        </w:rPr>
        <w:t xml:space="preserve"> A CONTRATADA somente poderá tratar dados pessoais dos usuários dos serviços contratados, nos limites e finalidades exclusivas do cumprimento de suas obrigações com base no presente contrato e jamais para qualquer outra finalidade.</w:t>
      </w:r>
    </w:p>
    <w:p>
      <w:pPr>
        <w:pStyle w:val="2"/>
        <w:overflowPunct/>
        <w:bidi w:val="0"/>
        <w:spacing w:before="1" w:after="0"/>
        <w:ind w:left="0" w:right="0" w:firstLine="0"/>
        <w:jc w:val="both"/>
        <w:rPr>
          <w:rFonts w:ascii="Calibri" w:hAnsi="Calibri"/>
        </w:rPr>
      </w:pPr>
      <w:r>
        <w:rPr>
          <w:rFonts w:ascii="Calibri" w:hAnsi="Calibri"/>
          <w:b/>
          <w:bCs/>
        </w:rPr>
        <w:t>20.4 –</w:t>
      </w:r>
      <w:r>
        <w:rPr>
          <w:rFonts w:ascii="Calibri" w:hAnsi="Calibri"/>
        </w:rPr>
        <w:t xml:space="preserve"> A CONTRATADA se certificará de que seus empregados, representantes, e prepostos agirão de acordo com o presente contrato e com as leis de proteção de dados e eventuais instruções transmitidas pela CONTRATANTE sobre a presente cláusula, comprometendo-se a manter o sigilo e a confidencialidade dos dados pessoais e dos dados pessoais sensíveis repassados em decorrência da execução do objeto contratual, em consonância com o disposto na Lei nº 13.709/2018 (Lei Geral de Proteção de Dados Pessoais – LGPD), certificando-se a CONTRATADA de que seus empregados, representantes, e prepostos assumam compromisso de confidencialidade ou estejam sujeitos a obrigações legais de confidencialidade.</w:t>
      </w:r>
    </w:p>
    <w:p>
      <w:pPr>
        <w:pStyle w:val="2"/>
        <w:overflowPunct/>
        <w:bidi w:val="0"/>
        <w:spacing w:before="1" w:after="0"/>
        <w:ind w:left="0" w:right="0" w:firstLine="0"/>
        <w:jc w:val="both"/>
        <w:rPr>
          <w:rFonts w:ascii="Calibri" w:hAnsi="Calibri"/>
        </w:rPr>
      </w:pPr>
      <w:r>
        <w:rPr>
          <w:rFonts w:ascii="Calibri" w:hAnsi="Calibri"/>
          <w:b/>
          <w:bCs/>
        </w:rPr>
        <w:t>20.5 –</w:t>
      </w:r>
      <w:r>
        <w:rPr>
          <w:rFonts w:ascii="Calibri" w:hAnsi="Calibri"/>
        </w:rPr>
        <w:t xml:space="preserve"> Se o titular dos dados ou terceiros solicitarem informações à CONTRATADA relativas ao tratamento de dados pessoais que detiver em decorrência do presente contrato, a CONTRATADA submeterá esse pedido à apreciação da CONTRATANTE, não podendo, sem instruções prévias da CONTRATANTE, transferir, compartilhar e/ou garantir acesso aos dados pessoais que detenha por força do presente contrato, sendo, em regra, vedada a transferência das informações a outras pessoas físicas ou jurídicas, salvo aquelas decorrentes de obrigações legais ou para viabilizar o cumprimento do próprio contrato; se a solicitação for realizada por autoridade de proteção de dados, a CONTRATADA informará imediatamente à CONTRATANTE sobre tal pedido e suas decorrências.</w:t>
      </w:r>
    </w:p>
    <w:p>
      <w:pPr>
        <w:pStyle w:val="2"/>
        <w:overflowPunct/>
        <w:bidi w:val="0"/>
        <w:spacing w:before="1" w:after="0"/>
        <w:ind w:left="0" w:right="0" w:firstLine="0"/>
        <w:jc w:val="both"/>
        <w:rPr>
          <w:rFonts w:ascii="Calibri" w:hAnsi="Calibri"/>
        </w:rPr>
      </w:pPr>
      <w:r>
        <w:rPr>
          <w:rFonts w:ascii="Calibri" w:hAnsi="Calibri"/>
          <w:b/>
          <w:bCs/>
        </w:rPr>
        <w:t>20.6 –</w:t>
      </w:r>
      <w:r>
        <w:rPr>
          <w:rFonts w:ascii="Calibri" w:hAnsi="Calibri"/>
        </w:rPr>
        <w:t xml:space="preserve"> A CONTRATADA prestará assistência à CONTRATANTE no cumprimento das obrigações previstas nas leis de proteção de dados, quando relacionadas ao objeto contratual, especialmente nos casos em que for necessária a assistência da CONTRATADA para que a CONTRATANTE cumpra suas obrigações, incluindo aquelas relativas à segurança do tratamento, violações de dados pessoais, avaliação de impacto de proteção de dados, e consulta prévia a autoridades de proteção de dados, incluindo pedidos de acesso, retificação, bloqueio, restrição, apagamento, portabilidade de dados, ou o exercício de quaisquer outros direitos dos titulares de dados com base nas Leis Aplicáveis à Proteção de Dados.</w:t>
      </w:r>
    </w:p>
    <w:p>
      <w:pPr>
        <w:pStyle w:val="2"/>
        <w:overflowPunct/>
        <w:bidi w:val="0"/>
        <w:spacing w:before="1" w:after="0"/>
        <w:ind w:left="0" w:right="0" w:firstLine="0"/>
        <w:jc w:val="both"/>
        <w:rPr>
          <w:rFonts w:ascii="Calibri" w:hAnsi="Calibri"/>
        </w:rPr>
      </w:pPr>
      <w:r>
        <w:rPr>
          <w:rFonts w:ascii="Calibri" w:hAnsi="Calibri"/>
          <w:b/>
          <w:bCs/>
        </w:rPr>
        <w:t>20.7 –</w:t>
      </w:r>
      <w:r>
        <w:rPr>
          <w:rFonts w:ascii="Calibri" w:hAnsi="Calibri"/>
        </w:rPr>
        <w:t xml:space="preserve"> Quando solicitada, a CONTRATADA fornecerá à CONTRATANTE, no prazo de 2 (dois) dias úteis, todas as informações necessárias para comprovar a conformidade das obrigações da CONTRATADA previstas neste contrato com as leis de proteção de dados, inclusive para fins de elaboração de relatórios de impacto de proteção e riscos de uso de dados pessoais. </w:t>
      </w:r>
    </w:p>
    <w:p>
      <w:pPr>
        <w:pStyle w:val="2"/>
        <w:overflowPunct/>
        <w:bidi w:val="0"/>
        <w:spacing w:before="1" w:after="0"/>
        <w:ind w:left="0" w:right="0" w:firstLine="0"/>
        <w:jc w:val="both"/>
        <w:rPr>
          <w:rFonts w:ascii="Calibri" w:hAnsi="Calibri"/>
        </w:rPr>
      </w:pPr>
      <w:r>
        <w:rPr>
          <w:rFonts w:ascii="Calibri" w:hAnsi="Calibri"/>
          <w:b/>
          <w:bCs/>
        </w:rPr>
        <w:t>20.8 –</w:t>
      </w:r>
      <w:r>
        <w:rPr>
          <w:rFonts w:ascii="Calibri" w:hAnsi="Calibri"/>
        </w:rPr>
        <w:t xml:space="preserve"> A CONTRATADA prestará assistência à CONTRATANTE no cumprimento de suas outras obrigações de acordo com as leis de proteção de dados nos casos em que estiver implícita a assistência da CONTRATADA e/ou nos casos em que for necessária a assistência da CONTRATADA para que a CONTRATANTE cumpra suas obrigações, incluindo aquelas relativas à segurança do tratamento, violações de dados pessoais, avaliação de impacto de proteção de dados, e consulta prévia a autoridades de proteção de dados.</w:t>
      </w:r>
    </w:p>
    <w:p>
      <w:pPr>
        <w:pStyle w:val="2"/>
        <w:overflowPunct/>
        <w:bidi w:val="0"/>
        <w:spacing w:before="1" w:after="0"/>
        <w:ind w:left="0" w:right="0" w:firstLine="0"/>
        <w:jc w:val="both"/>
        <w:rPr>
          <w:rFonts w:ascii="Calibri" w:hAnsi="Calibri"/>
        </w:rPr>
      </w:pPr>
      <w:r>
        <w:rPr>
          <w:rFonts w:ascii="Calibri" w:hAnsi="Calibri"/>
          <w:b/>
          <w:bCs/>
        </w:rPr>
        <w:t>20.9 –</w:t>
      </w:r>
      <w:r>
        <w:rPr>
          <w:rFonts w:ascii="Calibri" w:hAnsi="Calibri"/>
        </w:rPr>
        <w:t xml:space="preserve"> A CONTRATADA fica obrigada a comunicar à CONTRATANTE, por escrito, em até 2 (dois) dias úteis a contar do momento em que tomou ciência da violação, ou em menor prazo, se assim vier a recomendar ou determinar a Autoridade Nacional de Proteção de Dados – ANPD,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 </w:t>
      </w:r>
    </w:p>
    <w:p>
      <w:pPr>
        <w:pStyle w:val="2"/>
        <w:overflowPunct/>
        <w:bidi w:val="0"/>
        <w:spacing w:before="1" w:after="0"/>
        <w:ind w:left="0" w:right="0" w:firstLine="0"/>
        <w:jc w:val="both"/>
        <w:rPr>
          <w:rFonts w:ascii="Calibri" w:hAnsi="Calibri"/>
        </w:rPr>
      </w:pPr>
      <w:r>
        <w:rPr>
          <w:rFonts w:ascii="Calibri" w:hAnsi="Calibri"/>
          <w:b/>
          <w:bCs/>
        </w:rPr>
        <w:t>20.10 –</w:t>
      </w:r>
      <w:r>
        <w:rPr>
          <w:rFonts w:ascii="Calibri" w:hAnsi="Calibri"/>
        </w:rPr>
        <w:t xml:space="preserve"> A CONTRATADA indenizará a CONTRATANTE, em razão do não cumprimento por parte da CONTRATADA das obrigações previstas nas leis, normas, regulamentos e recomendações das autoridades de proteção de dados com relação ao presente contrato, de quaisquer danos, prejuízos, custos e despesas, incluindo-se honorários advocatícios, multas, penalidades e eventuais dispêndios investigativos relativos a demandas administrativas ou judiciais propostas em face da CONTRATANTE a esse título.</w:t>
      </w:r>
    </w:p>
    <w:p>
      <w:pPr>
        <w:pStyle w:val="2"/>
        <w:overflowPunct/>
        <w:bidi w:val="0"/>
        <w:spacing w:before="1" w:after="0"/>
        <w:ind w:left="0" w:right="0" w:firstLine="0"/>
        <w:jc w:val="both"/>
        <w:rPr>
          <w:rFonts w:ascii="Calibri" w:hAnsi="Calibri"/>
        </w:rPr>
      </w:pPr>
    </w:p>
    <w:p>
      <w:pPr>
        <w:pStyle w:val="2"/>
        <w:overflowPunct/>
        <w:bidi w:val="0"/>
        <w:spacing w:before="1" w:after="0"/>
        <w:ind w:left="0" w:right="0" w:firstLine="0"/>
        <w:jc w:val="both"/>
        <w:rPr>
          <w:rFonts w:ascii="Calibri" w:hAnsi="Calibri"/>
          <w:b/>
          <w:bCs/>
        </w:rPr>
      </w:pPr>
      <w:r>
        <w:rPr>
          <w:rFonts w:ascii="Calibri" w:hAnsi="Calibri"/>
          <w:b/>
          <w:bCs/>
        </w:rPr>
        <w:t>21 – DAS DISPOSIÇÕES FINAIS</w:t>
      </w:r>
    </w:p>
    <w:p>
      <w:pPr>
        <w:pStyle w:val="2"/>
        <w:overflowPunct/>
        <w:bidi w:val="0"/>
        <w:spacing w:before="1" w:after="0"/>
        <w:ind w:left="0" w:right="0" w:firstLine="0"/>
        <w:jc w:val="both"/>
        <w:rPr>
          <w:rFonts w:ascii="Calibri" w:hAnsi="Calibri"/>
        </w:rPr>
      </w:pPr>
      <w:r>
        <w:rPr>
          <w:rFonts w:ascii="Calibri" w:hAnsi="Calibri"/>
          <w:b/>
          <w:bCs/>
        </w:rPr>
        <w:t>21.1 –</w:t>
      </w:r>
      <w:r>
        <w:rPr>
          <w:rFonts w:ascii="Calibri" w:hAnsi="Calibri"/>
        </w:rPr>
        <w:t xml:space="preserve"> Cópias e vistas obedecerão aos seguintes procedimentos:</w:t>
      </w:r>
    </w:p>
    <w:p>
      <w:pPr>
        <w:pStyle w:val="2"/>
        <w:overflowPunct/>
        <w:bidi w:val="0"/>
        <w:spacing w:before="1" w:after="0"/>
        <w:ind w:left="0" w:right="0" w:firstLine="0"/>
        <w:jc w:val="both"/>
        <w:rPr>
          <w:rFonts w:ascii="Calibri" w:hAnsi="Calibri"/>
        </w:rPr>
      </w:pPr>
      <w:r>
        <w:rPr>
          <w:rFonts w:ascii="Calibri" w:hAnsi="Calibri"/>
          <w:b/>
          <w:bCs/>
        </w:rPr>
        <w:t xml:space="preserve">21.1.1 – </w:t>
      </w:r>
      <w:r>
        <w:rPr>
          <w:rFonts w:ascii="Calibri" w:hAnsi="Calibri"/>
        </w:rPr>
        <w:t>Cópia deste edital e seus anexos poderá ser obtida pelos interessados, no endereço eletrônico http://portaldecompras.sc.gov.br/.</w:t>
      </w:r>
    </w:p>
    <w:p>
      <w:pPr>
        <w:pStyle w:val="2"/>
        <w:overflowPunct/>
        <w:bidi w:val="0"/>
        <w:spacing w:before="1" w:after="0"/>
        <w:ind w:left="0" w:right="0" w:firstLine="0"/>
        <w:jc w:val="both"/>
        <w:rPr>
          <w:rFonts w:ascii="Calibri" w:hAnsi="Calibri"/>
        </w:rPr>
      </w:pPr>
      <w:r>
        <w:rPr>
          <w:rFonts w:ascii="Calibri" w:hAnsi="Calibri"/>
          <w:b/>
          <w:bCs/>
        </w:rPr>
        <w:t>21.1.2 –</w:t>
      </w:r>
      <w:r>
        <w:rPr>
          <w:rFonts w:ascii="Calibri" w:hAnsi="Calibri"/>
        </w:rPr>
        <w:t xml:space="preserve"> Vistas ao processo licitatório (inclusive aos orçamentos estimativos) poderão ser realizadas no endereço eletrônico http://www.sea.sc.gov.br/, por intermédio do link “SGP-e”, acessando o opção “Consulta de Processos” e informando o nº do processo SGPe xxxx xxx/202x.</w:t>
      </w:r>
    </w:p>
    <w:p>
      <w:pPr>
        <w:pStyle w:val="2"/>
        <w:overflowPunct/>
        <w:bidi w:val="0"/>
        <w:spacing w:before="1" w:after="0"/>
        <w:ind w:left="0" w:right="0" w:firstLine="0"/>
        <w:jc w:val="both"/>
        <w:rPr>
          <w:rFonts w:ascii="Calibri" w:hAnsi="Calibri"/>
        </w:rPr>
      </w:pPr>
      <w:r>
        <w:rPr>
          <w:rFonts w:ascii="Calibri" w:hAnsi="Calibri"/>
          <w:b/>
          <w:bCs/>
        </w:rPr>
        <w:t>21.2 –</w:t>
      </w:r>
      <w:r>
        <w:rPr>
          <w:rFonts w:ascii="Calibri" w:hAnsi="Calibri"/>
        </w:rPr>
        <w:t xml:space="preserve"> É facultado ao pregoeiro ou à autoridade superior, em qualquer fase desta licitação, promover diligência destinada a esclarecer ou complementar a instrução do processo.</w:t>
      </w:r>
    </w:p>
    <w:p>
      <w:pPr>
        <w:pStyle w:val="2"/>
        <w:overflowPunct/>
        <w:bidi w:val="0"/>
        <w:spacing w:before="1" w:after="0"/>
        <w:ind w:left="0" w:right="0" w:firstLine="0"/>
        <w:jc w:val="both"/>
        <w:rPr>
          <w:rFonts w:ascii="Calibri" w:hAnsi="Calibri"/>
        </w:rPr>
      </w:pPr>
      <w:r>
        <w:rPr>
          <w:rFonts w:ascii="Calibri" w:hAnsi="Calibri"/>
          <w:b/>
          <w:bCs/>
        </w:rPr>
        <w:t>21.3 –</w:t>
      </w:r>
      <w:r>
        <w:rPr>
          <w:rFonts w:ascii="Calibri" w:hAnsi="Calibri"/>
        </w:rPr>
        <w:t xml:space="preserve"> As normas disciplinadoras da licitação serão sempre interpretadas em favor da ampliação da disputa entre os participantes, desde que não comprometam o interesse da Administração, a finalidade e a segurança da contratação.</w:t>
      </w:r>
    </w:p>
    <w:p>
      <w:pPr>
        <w:pStyle w:val="2"/>
        <w:overflowPunct/>
        <w:bidi w:val="0"/>
        <w:spacing w:before="1" w:after="0"/>
        <w:ind w:left="0" w:right="0" w:firstLine="0"/>
        <w:jc w:val="both"/>
        <w:rPr>
          <w:rFonts w:ascii="Calibri" w:hAnsi="Calibri"/>
        </w:rPr>
      </w:pPr>
      <w:r>
        <w:rPr>
          <w:rFonts w:ascii="Calibri" w:hAnsi="Calibri"/>
          <w:b/>
          <w:bCs/>
        </w:rPr>
        <w:t xml:space="preserve">21.4 – </w:t>
      </w:r>
      <w:r>
        <w:rPr>
          <w:rFonts w:ascii="Calibri" w:hAnsi="Calibri"/>
        </w:rPr>
        <w:t>A Secretaria de Estado da Saúde – SES poderá revogar o presente pregão por razões de interesse público decorrente de fato superveniente devidamente comprovado, pertinente e suficiente para justificar o ato, ou anulá-lo por ilegalidade, de ofício ou por provocação de terceiros, mediante parecer escrito e devidamente fundamentado.</w:t>
      </w:r>
    </w:p>
    <w:p>
      <w:pPr>
        <w:pStyle w:val="2"/>
        <w:overflowPunct/>
        <w:bidi w:val="0"/>
        <w:spacing w:before="1" w:after="0"/>
        <w:ind w:left="0" w:right="0" w:firstLine="0"/>
        <w:jc w:val="both"/>
        <w:rPr>
          <w:rFonts w:ascii="Calibri" w:hAnsi="Calibri"/>
        </w:rPr>
      </w:pPr>
      <w:r>
        <w:rPr>
          <w:rFonts w:ascii="Calibri" w:hAnsi="Calibri"/>
          <w:b/>
          <w:bCs/>
        </w:rPr>
        <w:t>21.5 –</w:t>
      </w:r>
      <w:r>
        <w:rPr>
          <w:rFonts w:ascii="Calibri" w:hAnsi="Calibri"/>
        </w:rPr>
        <w:t xml:space="preserve"> O presente edital e seus anexos poderão ser alterados, pela Secretaria de Estado da Saúde – SES, antes de aberta a licitação, no interesse público, por sua iniciativa ou decorrente de provocação de terceiros, atendido o que estabelece a Lei Federal nº 14.133/2021, bem como adiar ou prorrogar o prazo para recebimento e/ou a abertura das Propostas Eletrônicas e Documentos Adicionais.</w:t>
      </w:r>
    </w:p>
    <w:p>
      <w:pPr>
        <w:pStyle w:val="2"/>
        <w:overflowPunct/>
        <w:bidi w:val="0"/>
        <w:spacing w:before="1" w:after="0"/>
        <w:ind w:left="0" w:right="0" w:firstLine="0"/>
        <w:jc w:val="both"/>
        <w:rPr>
          <w:rFonts w:ascii="Calibri" w:hAnsi="Calibri"/>
        </w:rPr>
      </w:pPr>
      <w:r>
        <w:rPr>
          <w:rFonts w:ascii="Calibri" w:hAnsi="Calibri"/>
          <w:b/>
          <w:bCs/>
        </w:rPr>
        <w:t>21.5.1 –</w:t>
      </w:r>
      <w:r>
        <w:rPr>
          <w:rFonts w:ascii="Calibri" w:hAnsi="Calibri"/>
        </w:rPr>
        <w:t xml:space="preserve"> Caso ocorram alterações neste edital, as mesmas serão disponibilizadas no site http://portaldecompras.sc.gov.br/, e ainda, enviadas aos interessados registrados.</w:t>
      </w:r>
    </w:p>
    <w:p>
      <w:pPr>
        <w:pStyle w:val="2"/>
        <w:overflowPunct/>
        <w:bidi w:val="0"/>
        <w:spacing w:before="1" w:after="0"/>
        <w:ind w:left="0" w:right="0" w:firstLine="0"/>
        <w:jc w:val="both"/>
        <w:rPr>
          <w:rFonts w:ascii="Calibri" w:hAnsi="Calibri"/>
        </w:rPr>
      </w:pPr>
      <w:r>
        <w:rPr>
          <w:rFonts w:ascii="Calibri" w:hAnsi="Calibri"/>
          <w:b/>
          <w:bCs/>
        </w:rPr>
        <w:t>21.6 –</w:t>
      </w:r>
      <w:r>
        <w:rPr>
          <w:rFonts w:ascii="Calibri" w:hAnsi="Calibri"/>
        </w:rPr>
        <w:t xml:space="preserve"> A participação na licitação implica automaticamente na aceitação integral e irretratável dos termos e conteúdos deste edital e seus anexos, a observância dos preceitos legais e regulamentos em vigor e a responsabilidade pela fidelidade e legitimidade das informações e dos documentos apresentados em qualquer fase da licitação.</w:t>
      </w:r>
    </w:p>
    <w:p>
      <w:pPr>
        <w:pStyle w:val="2"/>
        <w:overflowPunct/>
        <w:bidi w:val="0"/>
        <w:spacing w:before="1" w:after="0"/>
        <w:ind w:left="0" w:right="0" w:firstLine="0"/>
        <w:jc w:val="both"/>
        <w:rPr>
          <w:rFonts w:ascii="Calibri" w:hAnsi="Calibri"/>
        </w:rPr>
      </w:pPr>
      <w:r>
        <w:rPr>
          <w:rFonts w:ascii="Calibri" w:hAnsi="Calibri" w:cs="Calibri"/>
          <w:b/>
          <w:bCs/>
          <w:color w:val="000000"/>
          <w:sz w:val="24"/>
          <w:szCs w:val="24"/>
        </w:rPr>
        <w:t>21.7 –</w:t>
      </w:r>
      <w:r>
        <w:rPr>
          <w:rFonts w:ascii="Calibri" w:hAnsi="Calibri" w:cs="Calibri"/>
          <w:b w:val="0"/>
          <w:bCs w:val="0"/>
          <w:color w:val="000000"/>
          <w:sz w:val="24"/>
          <w:szCs w:val="24"/>
        </w:rPr>
        <w:t xml:space="preserve"> Fica eleito o Foro da Comarca da Capital do Estado de Santa Catarina, com prevalência sobre qualquer outro, por mais privilegiado que seja, para apreciação judicial de quaisquer questões resultantes deste edital.</w:t>
      </w:r>
    </w:p>
    <w:p>
      <w:pPr>
        <w:pStyle w:val="2"/>
        <w:overflowPunct w:val="0"/>
        <w:bidi w:val="0"/>
        <w:spacing w:before="1" w:after="0"/>
        <w:ind w:left="0" w:right="0" w:firstLine="0"/>
        <w:jc w:val="both"/>
        <w:rPr>
          <w:rFonts w:ascii="Calibri" w:hAnsi="Calibri"/>
          <w:sz w:val="24"/>
          <w:szCs w:val="24"/>
        </w:rPr>
      </w:pPr>
    </w:p>
    <w:p>
      <w:pPr>
        <w:pStyle w:val="2"/>
        <w:widowControl/>
        <w:overflowPunct w:val="0"/>
        <w:bidi w:val="0"/>
        <w:spacing w:before="0" w:beforeAutospacing="0" w:after="0" w:afterAutospacing="0" w:line="15" w:lineRule="atLeast"/>
        <w:ind w:left="0" w:right="0" w:firstLine="0"/>
        <w:jc w:val="center"/>
        <w:rPr>
          <w:rFonts w:ascii="Calibri" w:hAnsi="Calibri" w:eastAsia="NSimSun" w:cs="Lucida Sans"/>
          <w:b/>
          <w:bCs/>
          <w:i w:val="0"/>
          <w:iCs w:val="0"/>
          <w:caps w:val="0"/>
          <w:smallCaps w:val="0"/>
          <w:color w:val="000000"/>
          <w:spacing w:val="0"/>
          <w:kern w:val="0"/>
          <w:sz w:val="24"/>
          <w:szCs w:val="24"/>
          <w:lang w:val="pt-BR" w:eastAsia="zh-CN" w:bidi="hi-IN"/>
        </w:rPr>
      </w:pPr>
    </w:p>
    <w:p>
      <w:pPr>
        <w:pStyle w:val="2"/>
        <w:widowControl/>
        <w:overflowPunct w:val="0"/>
        <w:bidi w:val="0"/>
        <w:spacing w:before="0" w:beforeAutospacing="0" w:after="0" w:afterAutospacing="0" w:line="15" w:lineRule="atLeast"/>
        <w:ind w:left="0" w:right="0" w:firstLine="0"/>
        <w:jc w:val="center"/>
        <w:rPr>
          <w:rFonts w:ascii="Calibri" w:hAnsi="Calibri" w:eastAsia="NSimSun" w:cs="Lucida Sans"/>
          <w:b/>
          <w:bCs/>
          <w:i w:val="0"/>
          <w:iCs w:val="0"/>
          <w:caps w:val="0"/>
          <w:smallCaps w:val="0"/>
          <w:color w:val="000000"/>
          <w:spacing w:val="0"/>
          <w:kern w:val="0"/>
          <w:sz w:val="24"/>
          <w:szCs w:val="24"/>
          <w:lang w:val="pt-BR" w:eastAsia="zh-CN" w:bidi="hi-IN"/>
        </w:rPr>
      </w:pPr>
    </w:p>
    <w:p>
      <w:pPr>
        <w:pStyle w:val="2"/>
        <w:widowControl/>
        <w:overflowPunct w:val="0"/>
        <w:bidi w:val="0"/>
        <w:spacing w:before="0" w:beforeAutospacing="0" w:after="0" w:afterAutospacing="0" w:line="15" w:lineRule="atLeast"/>
        <w:ind w:left="0" w:right="0" w:firstLine="0"/>
        <w:jc w:val="center"/>
        <w:rPr>
          <w:rFonts w:ascii="Calibri" w:hAnsi="Calibri" w:eastAsia="NSimSun" w:cs="Lucida Sans"/>
          <w:b/>
          <w:bCs/>
          <w:i w:val="0"/>
          <w:iCs w:val="0"/>
          <w:caps w:val="0"/>
          <w:smallCaps w:val="0"/>
          <w:color w:val="000000"/>
          <w:spacing w:val="0"/>
          <w:kern w:val="0"/>
          <w:sz w:val="24"/>
          <w:szCs w:val="24"/>
          <w:lang w:val="pt-BR" w:eastAsia="zh-CN" w:bidi="hi-IN"/>
        </w:rPr>
      </w:pPr>
    </w:p>
    <w:p>
      <w:pPr>
        <w:pStyle w:val="2"/>
        <w:widowControl/>
        <w:overflowPunct w:val="0"/>
        <w:bidi w:val="0"/>
        <w:spacing w:before="0" w:beforeAutospacing="0" w:after="0" w:afterAutospacing="0" w:line="15" w:lineRule="atLeast"/>
        <w:ind w:left="0" w:right="0" w:firstLine="0"/>
        <w:jc w:val="center"/>
        <w:rPr>
          <w:rFonts w:ascii="Calibri" w:hAnsi="Calibri" w:eastAsia="NSimSun" w:cs="Lucida Sans"/>
          <w:b/>
          <w:bCs/>
          <w:i w:val="0"/>
          <w:iCs w:val="0"/>
          <w:caps w:val="0"/>
          <w:smallCaps w:val="0"/>
          <w:color w:val="000000"/>
          <w:spacing w:val="0"/>
          <w:kern w:val="0"/>
          <w:sz w:val="24"/>
          <w:szCs w:val="24"/>
          <w:lang w:val="pt-BR" w:eastAsia="zh-CN" w:bidi="hi-IN"/>
        </w:rPr>
      </w:pPr>
    </w:p>
    <w:p>
      <w:pPr>
        <w:pStyle w:val="2"/>
        <w:widowControl/>
        <w:overflowPunct w:val="0"/>
        <w:bidi w:val="0"/>
        <w:spacing w:before="0" w:beforeAutospacing="0" w:after="0" w:afterAutospacing="0" w:line="15" w:lineRule="atLeast"/>
        <w:ind w:left="0" w:right="0" w:firstLine="0"/>
        <w:jc w:val="center"/>
        <w:rPr>
          <w:rFonts w:ascii="Calibri" w:hAnsi="Calibri" w:eastAsia="NSimSun" w:cs="Lucida Sans"/>
          <w:b/>
          <w:bCs/>
          <w:i w:val="0"/>
          <w:iCs w:val="0"/>
          <w:caps w:val="0"/>
          <w:smallCaps w:val="0"/>
          <w:color w:val="000000"/>
          <w:spacing w:val="0"/>
          <w:kern w:val="0"/>
          <w:sz w:val="24"/>
          <w:szCs w:val="24"/>
          <w:lang w:val="pt-BR" w:eastAsia="zh-CN" w:bidi="hi-IN"/>
        </w:rPr>
      </w:pPr>
    </w:p>
    <w:p>
      <w:pPr>
        <w:pStyle w:val="2"/>
        <w:widowControl/>
        <w:overflowPunct w:val="0"/>
        <w:bidi w:val="0"/>
        <w:spacing w:before="0" w:beforeAutospacing="0" w:after="0" w:afterAutospacing="0" w:line="15" w:lineRule="atLeast"/>
        <w:ind w:left="0" w:right="0" w:firstLine="0"/>
        <w:jc w:val="center"/>
        <w:rPr>
          <w:rFonts w:ascii="Calibri" w:hAnsi="Calibri" w:eastAsia="NSimSun" w:cs="Lucida Sans"/>
          <w:b/>
          <w:bCs/>
          <w:i w:val="0"/>
          <w:iCs w:val="0"/>
          <w:caps w:val="0"/>
          <w:smallCaps w:val="0"/>
          <w:color w:val="000000"/>
          <w:spacing w:val="0"/>
          <w:kern w:val="0"/>
          <w:sz w:val="24"/>
          <w:szCs w:val="24"/>
          <w:lang w:val="pt-BR" w:eastAsia="zh-CN" w:bidi="hi-IN"/>
        </w:rPr>
      </w:pPr>
    </w:p>
    <w:p>
      <w:pPr>
        <w:pStyle w:val="2"/>
        <w:widowControl/>
        <w:overflowPunct w:val="0"/>
        <w:bidi w:val="0"/>
        <w:spacing w:before="0" w:beforeAutospacing="0" w:after="0" w:afterAutospacing="0" w:line="15" w:lineRule="atLeast"/>
        <w:ind w:left="0" w:right="0" w:firstLine="0"/>
        <w:jc w:val="center"/>
        <w:rPr>
          <w:rFonts w:ascii="Calibri" w:hAnsi="Calibri" w:eastAsia="NSimSun" w:cs="Lucida Sans"/>
          <w:b/>
          <w:bCs/>
          <w:i w:val="0"/>
          <w:iCs w:val="0"/>
          <w:caps w:val="0"/>
          <w:smallCaps w:val="0"/>
          <w:color w:val="000000"/>
          <w:spacing w:val="0"/>
          <w:kern w:val="0"/>
          <w:sz w:val="24"/>
          <w:szCs w:val="24"/>
          <w:lang w:val="pt-BR" w:eastAsia="zh-CN" w:bidi="hi-IN"/>
        </w:rPr>
      </w:pPr>
    </w:p>
    <w:p>
      <w:pPr>
        <w:pStyle w:val="2"/>
        <w:widowControl/>
        <w:overflowPunct w:val="0"/>
        <w:bidi w:val="0"/>
        <w:spacing w:before="0" w:beforeAutospacing="0" w:after="0" w:afterAutospacing="0" w:line="15" w:lineRule="atLeast"/>
        <w:ind w:left="0" w:right="0" w:firstLine="0"/>
        <w:jc w:val="center"/>
        <w:rPr>
          <w:rFonts w:ascii="Calibri" w:hAnsi="Calibri" w:eastAsia="NSimSun" w:cs="Lucida Sans"/>
          <w:b/>
          <w:bCs/>
          <w:color w:val="000000"/>
          <w:kern w:val="0"/>
          <w:sz w:val="24"/>
          <w:szCs w:val="24"/>
          <w:lang w:val="pt-BR" w:eastAsia="zh-CN" w:bidi="hi-IN"/>
        </w:rPr>
      </w:pPr>
      <w:r>
        <w:rPr>
          <w:rFonts w:ascii="Calibri" w:hAnsi="Calibri" w:eastAsia="NSimSun" w:cs="Lucida Sans"/>
          <w:b/>
          <w:bCs/>
          <w:i w:val="0"/>
          <w:iCs w:val="0"/>
          <w:caps w:val="0"/>
          <w:smallCaps w:val="0"/>
          <w:color w:val="000000"/>
          <w:spacing w:val="0"/>
          <w:kern w:val="0"/>
          <w:sz w:val="24"/>
          <w:szCs w:val="24"/>
          <w:lang w:val="pt-BR" w:eastAsia="zh-CN" w:bidi="hi-IN"/>
        </w:rPr>
        <w:t>Carmen Emília Bonfá Zanotto</w:t>
      </w:r>
    </w:p>
    <w:p>
      <w:pPr>
        <w:pStyle w:val="2"/>
        <w:widowControl/>
        <w:overflowPunct w:val="0"/>
        <w:bidi w:val="0"/>
        <w:spacing w:before="0" w:beforeAutospacing="0" w:after="0" w:afterAutospacing="0" w:line="15" w:lineRule="atLeast"/>
        <w:ind w:left="0" w:right="0" w:firstLine="0"/>
        <w:jc w:val="center"/>
        <w:rPr>
          <w:rFonts w:ascii="Calibri" w:hAnsi="Calibri" w:eastAsia="NSimSun" w:cs="Lucida Sans"/>
          <w:b/>
          <w:bCs/>
          <w:color w:val="000000"/>
          <w:kern w:val="0"/>
          <w:sz w:val="24"/>
          <w:szCs w:val="24"/>
          <w:lang w:val="pt-BR" w:eastAsia="zh-CN" w:bidi="hi-IN"/>
        </w:rPr>
      </w:pPr>
      <w:r>
        <w:rPr>
          <w:rFonts w:ascii="Calibri" w:hAnsi="Calibri" w:eastAsia="NSimSun" w:cs="Lucida Sans"/>
          <w:b/>
          <w:bCs/>
          <w:i w:val="0"/>
          <w:iCs w:val="0"/>
          <w:caps w:val="0"/>
          <w:smallCaps w:val="0"/>
          <w:color w:val="000000"/>
          <w:spacing w:val="0"/>
          <w:kern w:val="0"/>
          <w:sz w:val="24"/>
          <w:szCs w:val="24"/>
          <w:lang w:val="pt-BR" w:eastAsia="zh-CN" w:bidi="hi-IN"/>
        </w:rPr>
        <w:t xml:space="preserve">Secretária de Estado da Saúde </w:t>
      </w:r>
    </w:p>
    <w:p>
      <w:pPr>
        <w:pStyle w:val="2"/>
        <w:overflowPunct w:val="0"/>
        <w:bidi w:val="0"/>
        <w:spacing w:before="1" w:after="0"/>
        <w:ind w:left="0" w:right="0" w:firstLine="0"/>
        <w:jc w:val="center"/>
        <w:rPr>
          <w:rFonts w:ascii="Calibri" w:hAnsi="Calibri"/>
          <w:sz w:val="24"/>
          <w:szCs w:val="24"/>
        </w:rPr>
      </w:pPr>
      <w:r>
        <w:rPr>
          <w:rFonts w:ascii="Calibri" w:hAnsi="Calibri"/>
          <w:b/>
          <w:bCs/>
          <w:color w:val="000000"/>
          <w:sz w:val="24"/>
          <w:szCs w:val="24"/>
        </w:rPr>
        <w:t>(Assinado Digitalmente)</w:t>
      </w:r>
    </w:p>
    <w:p>
      <w:pPr>
        <w:pStyle w:val="2"/>
        <w:overflowPunct w:val="0"/>
        <w:bidi w:val="0"/>
        <w:spacing w:before="1" w:after="0"/>
        <w:ind w:left="0" w:right="0" w:firstLine="0"/>
        <w:jc w:val="both"/>
        <w:rPr>
          <w:rFonts w:ascii="Calibri" w:hAnsi="Calibri"/>
          <w:b w:val="0"/>
          <w:bCs w:val="0"/>
          <w:color w:val="000000"/>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r>
        <w:rPr>
          <w:rFonts w:ascii="Calibri" w:hAnsi="Calibri" w:cs="Calibri"/>
          <w:b/>
          <w:bCs/>
          <w:sz w:val="24"/>
          <w:szCs w:val="24"/>
        </w:rPr>
        <w:t>ANEXO I</w:t>
      </w:r>
    </w:p>
    <w:p>
      <w:pPr>
        <w:tabs>
          <w:tab w:val="left" w:pos="204"/>
          <w:tab w:val="left" w:pos="720"/>
        </w:tabs>
        <w:overflowPunct w:val="0"/>
        <w:bidi w:val="0"/>
        <w:ind w:left="0" w:right="0" w:firstLine="0"/>
        <w:jc w:val="center"/>
        <w:rPr>
          <w:rFonts w:ascii="Calibri" w:hAnsi="Calibri"/>
          <w:sz w:val="24"/>
          <w:szCs w:val="24"/>
        </w:rPr>
      </w:pPr>
      <w:r>
        <w:rPr>
          <w:rFonts w:ascii="Calibri" w:hAnsi="Calibri" w:cs="Calibri"/>
          <w:b/>
          <w:bCs/>
          <w:sz w:val="24"/>
          <w:szCs w:val="24"/>
        </w:rPr>
        <w:t xml:space="preserve">PREGÃO ELETRÔNICO Nº </w:t>
      </w:r>
      <w:r>
        <w:rPr>
          <w:rFonts w:ascii="Calibri" w:hAnsi="Calibri" w:cs="Calibri"/>
          <w:b/>
          <w:bCs/>
          <w:sz w:val="24"/>
          <w:szCs w:val="24"/>
          <w:lang w:val="pt-BR"/>
        </w:rPr>
        <w:t>1190/2023</w:t>
      </w:r>
    </w:p>
    <w:p>
      <w:pPr>
        <w:pStyle w:val="657"/>
        <w:tabs>
          <w:tab w:val="left" w:pos="142"/>
        </w:tabs>
        <w:suppressAutoHyphens/>
        <w:overflowPunct w:val="0"/>
        <w:bidi w:val="0"/>
        <w:spacing w:before="1" w:after="0"/>
        <w:ind w:left="0" w:right="0" w:firstLine="0"/>
        <w:jc w:val="center"/>
        <w:rPr>
          <w:rFonts w:ascii="Calibri" w:hAnsi="Calibri"/>
          <w:sz w:val="24"/>
          <w:szCs w:val="24"/>
        </w:rPr>
      </w:pPr>
      <w:r>
        <w:rPr>
          <w:rFonts w:ascii="Calibri" w:hAnsi="Calibri" w:cs="Calibri"/>
          <w:b/>
          <w:bCs/>
          <w:color w:val="000000"/>
          <w:sz w:val="24"/>
          <w:szCs w:val="24"/>
          <w:lang w:val="pt-PT"/>
        </w:rPr>
        <w:t>Quadro de Quantitativos e Especificações Mínimas do(s) Item(ns)</w:t>
      </w:r>
    </w:p>
    <w:p>
      <w:pPr>
        <w:tabs>
          <w:tab w:val="left" w:pos="142"/>
        </w:tabs>
        <w:suppressAutoHyphens/>
        <w:overflowPunct w:val="0"/>
        <w:bidi w:val="0"/>
        <w:spacing w:before="1" w:after="0"/>
        <w:ind w:left="0" w:right="0" w:firstLine="0"/>
        <w:jc w:val="center"/>
        <w:rPr>
          <w:rFonts w:ascii="Calibri" w:hAnsi="Calibri" w:cs="Calibri"/>
          <w:sz w:val="24"/>
          <w:szCs w:val="24"/>
          <w:lang w:val="pt-PT"/>
        </w:rPr>
      </w:pPr>
    </w:p>
    <w:tbl>
      <w:tblPr>
        <w:tblStyle w:val="13"/>
        <w:tblW w:w="9750" w:type="dxa"/>
        <w:jc w:val="center"/>
        <w:tblLayout w:type="fixed"/>
        <w:tblCellMar>
          <w:top w:w="15" w:type="dxa"/>
          <w:left w:w="15" w:type="dxa"/>
          <w:bottom w:w="15" w:type="dxa"/>
          <w:right w:w="15" w:type="dxa"/>
        </w:tblCellMar>
      </w:tblPr>
      <w:tblGrid>
        <w:gridCol w:w="735"/>
        <w:gridCol w:w="1020"/>
        <w:gridCol w:w="1305"/>
        <w:gridCol w:w="3750"/>
        <w:gridCol w:w="1350"/>
        <w:gridCol w:w="1589"/>
      </w:tblGrid>
      <w:tr>
        <w:tblPrEx>
          <w:tblCellMar>
            <w:top w:w="15" w:type="dxa"/>
            <w:left w:w="15" w:type="dxa"/>
            <w:bottom w:w="15" w:type="dxa"/>
            <w:right w:w="15" w:type="dxa"/>
          </w:tblCellMar>
        </w:tblPrEx>
        <w:trPr>
          <w:jc w:val="center"/>
        </w:trPr>
        <w:tc>
          <w:tcPr>
            <w:tcW w:w="735" w:type="dxa"/>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val="0"/>
              <w:overflowPunct w:val="0"/>
              <w:bidi w:val="0"/>
              <w:ind w:left="0" w:right="0" w:firstLine="0"/>
              <w:jc w:val="center"/>
            </w:pPr>
            <w:r>
              <w:rPr>
                <w:rStyle w:val="14"/>
                <w:rFonts w:ascii="Calibri" w:hAnsi="Calibri" w:cs="Calibri"/>
                <w:sz w:val="24"/>
                <w:szCs w:val="24"/>
              </w:rPr>
              <w:t>Item</w:t>
            </w:r>
          </w:p>
        </w:tc>
        <w:tc>
          <w:tcPr>
            <w:tcW w:w="1020" w:type="dxa"/>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val="0"/>
              <w:overflowPunct w:val="0"/>
              <w:bidi w:val="0"/>
              <w:ind w:left="0" w:right="0" w:firstLine="0"/>
              <w:jc w:val="center"/>
            </w:pPr>
            <w:r>
              <w:rPr>
                <w:rStyle w:val="14"/>
                <w:rFonts w:ascii="Calibri" w:hAnsi="Calibri" w:cs="Calibri"/>
                <w:sz w:val="24"/>
                <w:szCs w:val="24"/>
              </w:rPr>
              <w:t>Grupo/</w:t>
            </w:r>
          </w:p>
          <w:p>
            <w:pPr>
              <w:widowControl w:val="0"/>
              <w:overflowPunct w:val="0"/>
              <w:bidi w:val="0"/>
              <w:ind w:left="0" w:right="0" w:firstLine="0"/>
              <w:jc w:val="center"/>
            </w:pPr>
            <w:r>
              <w:rPr>
                <w:rStyle w:val="14"/>
                <w:rFonts w:ascii="Calibri" w:hAnsi="Calibri" w:cs="Calibri"/>
                <w:sz w:val="24"/>
                <w:szCs w:val="24"/>
              </w:rPr>
              <w:t>Classe</w:t>
            </w:r>
          </w:p>
        </w:tc>
        <w:tc>
          <w:tcPr>
            <w:tcW w:w="1305" w:type="dxa"/>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val="0"/>
              <w:overflowPunct w:val="0"/>
              <w:bidi w:val="0"/>
              <w:ind w:left="0" w:right="0" w:firstLine="0"/>
              <w:jc w:val="center"/>
            </w:pPr>
            <w:r>
              <w:rPr>
                <w:rStyle w:val="14"/>
                <w:rFonts w:ascii="Calibri" w:hAnsi="Calibri" w:cs="Calibri"/>
                <w:sz w:val="24"/>
                <w:szCs w:val="24"/>
              </w:rPr>
              <w:t>Código</w:t>
            </w:r>
          </w:p>
        </w:tc>
        <w:tc>
          <w:tcPr>
            <w:tcW w:w="3750" w:type="dxa"/>
            <w:tcBorders>
              <w:top w:val="single" w:color="000000" w:sz="4" w:space="0"/>
              <w:left w:val="single" w:color="000000" w:sz="4" w:space="0"/>
              <w:bottom w:val="single" w:color="000000" w:sz="4" w:space="0"/>
            </w:tcBorders>
            <w:shd w:val="clear" w:color="auto" w:fill="BFBFBF"/>
            <w:vAlign w:val="center"/>
          </w:tcPr>
          <w:p>
            <w:pPr>
              <w:widowControl w:val="0"/>
              <w:overflowPunct w:val="0"/>
              <w:bidi w:val="0"/>
              <w:ind w:left="0" w:right="0" w:firstLine="0"/>
              <w:jc w:val="center"/>
            </w:pPr>
            <w:r>
              <w:rPr>
                <w:rStyle w:val="14"/>
                <w:rFonts w:ascii="Calibri" w:hAnsi="Calibri" w:cs="Calibri"/>
                <w:sz w:val="24"/>
                <w:szCs w:val="24"/>
              </w:rPr>
              <w:t>Descrição do Material</w:t>
            </w:r>
          </w:p>
        </w:tc>
        <w:tc>
          <w:tcPr>
            <w:tcW w:w="1350" w:type="dxa"/>
            <w:tcBorders>
              <w:top w:val="single" w:color="000000" w:sz="4" w:space="0"/>
              <w:left w:val="single" w:color="000000" w:sz="4" w:space="0"/>
              <w:bottom w:val="single" w:color="000000" w:sz="4" w:space="0"/>
            </w:tcBorders>
            <w:shd w:val="clear" w:color="auto" w:fill="BFBFBF"/>
            <w:vAlign w:val="center"/>
          </w:tcPr>
          <w:p>
            <w:pPr>
              <w:widowControl w:val="0"/>
              <w:overflowPunct w:val="0"/>
              <w:bidi w:val="0"/>
              <w:ind w:left="0" w:right="0" w:firstLine="0"/>
              <w:jc w:val="center"/>
            </w:pPr>
            <w:r>
              <w:rPr>
                <w:rStyle w:val="14"/>
                <w:rFonts w:ascii="Calibri" w:hAnsi="Calibri" w:eastAsia="SimSun" w:cs="Calibri"/>
                <w:color w:val="000000"/>
                <w:sz w:val="24"/>
                <w:szCs w:val="24"/>
                <w:lang w:val="pt-BR" w:eastAsia="zh-CN" w:bidi="ar-SA"/>
              </w:rPr>
              <w:t>Unidade</w:t>
            </w:r>
          </w:p>
        </w:tc>
        <w:tc>
          <w:tcPr>
            <w:tcW w:w="1589" w:type="dxa"/>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val="0"/>
              <w:overflowPunct w:val="0"/>
              <w:bidi w:val="0"/>
              <w:ind w:left="0" w:right="0" w:firstLine="0"/>
              <w:jc w:val="center"/>
            </w:pPr>
            <w:r>
              <w:rPr>
                <w:rStyle w:val="14"/>
                <w:rFonts w:ascii="Calibri" w:hAnsi="Calibri" w:cs="Calibri"/>
                <w:sz w:val="24"/>
                <w:szCs w:val="24"/>
              </w:rPr>
              <w:t>Quantidade</w:t>
            </w:r>
          </w:p>
        </w:tc>
      </w:tr>
      <w:tr>
        <w:tblPrEx>
          <w:tblCellMar>
            <w:top w:w="15" w:type="dxa"/>
            <w:left w:w="15" w:type="dxa"/>
            <w:bottom w:w="15" w:type="dxa"/>
            <w:right w:w="15" w:type="dxa"/>
          </w:tblCellMar>
        </w:tblPrEx>
        <w:trPr>
          <w:trHeight w:val="255" w:hRule="atLeast"/>
          <w:jc w:val="center"/>
        </w:trPr>
        <w:tc>
          <w:tcPr>
            <w:tcW w:w="735" w:type="dxa"/>
            <w:tcBorders>
              <w:top w:val="single" w:color="000000" w:sz="4" w:space="0"/>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w:t>
            </w:r>
          </w:p>
        </w:tc>
        <w:tc>
          <w:tcPr>
            <w:tcW w:w="1020" w:type="dxa"/>
            <w:tcBorders>
              <w:top w:val="single" w:color="000000" w:sz="4" w:space="0"/>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1904</w:t>
            </w:r>
          </w:p>
        </w:tc>
        <w:tc>
          <w:tcPr>
            <w:tcW w:w="1305" w:type="dxa"/>
            <w:tcBorders>
              <w:top w:val="single" w:color="000000" w:sz="4" w:space="0"/>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001600008</w:t>
            </w:r>
          </w:p>
        </w:tc>
        <w:tc>
          <w:tcPr>
            <w:tcW w:w="3750" w:type="dxa"/>
            <w:tcBorders>
              <w:top w:val="single" w:color="000000" w:sz="4" w:space="0"/>
              <w:left w:val="single" w:color="000000" w:sz="4" w:space="0"/>
              <w:bottom w:val="single" w:color="000000" w:sz="4" w:space="0"/>
            </w:tcBorders>
            <w:vAlign w:val="center"/>
          </w:tcPr>
          <w:p>
            <w:pPr>
              <w:pStyle w:val="644"/>
              <w:widowControl/>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Fórmula modificada para nutrição enteral e ORAL, líquida, nutricionalmente completa, com densidade energética maior ou igual a 1,5 kcal/mL; normoproteica (maior ou igual a 10% e menor que 20% do VET (valor energético total) de proteínas); isenta de fibras; sabor BAUNILHA. Embalagem de 180 a 200 mL.</w:t>
            </w:r>
          </w:p>
        </w:tc>
        <w:tc>
          <w:tcPr>
            <w:tcW w:w="1350" w:type="dxa"/>
            <w:tcBorders>
              <w:top w:val="single" w:color="000000" w:sz="4" w:space="0"/>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cal</w:t>
            </w:r>
          </w:p>
        </w:tc>
        <w:tc>
          <w:tcPr>
            <w:tcW w:w="1589" w:type="dxa"/>
            <w:tcBorders>
              <w:top w:val="single" w:color="000000" w:sz="4" w:space="0"/>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13.863.600</w:t>
            </w:r>
          </w:p>
        </w:tc>
      </w:tr>
      <w:tr>
        <w:tblPrEx>
          <w:tblCellMar>
            <w:top w:w="15" w:type="dxa"/>
            <w:left w:w="15" w:type="dxa"/>
            <w:bottom w:w="15" w:type="dxa"/>
            <w:right w:w="15" w:type="dxa"/>
          </w:tblCellMar>
        </w:tblPrEx>
        <w:trPr>
          <w:trHeight w:val="255" w:hRule="atLeast"/>
          <w:jc w:val="center"/>
        </w:trPr>
        <w:tc>
          <w:tcPr>
            <w:tcW w:w="735"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2</w:t>
            </w:r>
          </w:p>
        </w:tc>
        <w:tc>
          <w:tcPr>
            <w:tcW w:w="1020"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1904</w:t>
            </w:r>
          </w:p>
        </w:tc>
        <w:tc>
          <w:tcPr>
            <w:tcW w:w="1305"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001600023</w:t>
            </w:r>
          </w:p>
        </w:tc>
        <w:tc>
          <w:tcPr>
            <w:tcW w:w="3750" w:type="dxa"/>
            <w:tcBorders>
              <w:left w:val="single" w:color="000000" w:sz="4" w:space="0"/>
              <w:bottom w:val="single" w:color="000000" w:sz="4" w:space="0"/>
            </w:tcBorders>
            <w:vAlign w:val="center"/>
          </w:tcPr>
          <w:p>
            <w:pPr>
              <w:pStyle w:val="644"/>
              <w:widowControl/>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Fórmula modificada para nutrição enteral e ORAL, líquida, nutricionalmente completa, para pacientes oncológicos, enriquecida com EPA (ácido eicosapentaenoico), com mix de fibras solúveis e insolúveis e antioxidantes (beta caroteno, vitamina C, selênio, manganês e zinco); com densidade energética maior ou igual a 1,5 kcal/mL; hiperproteica (maior ou igual a 20% do VET (valor energético total) de proteínas); com no mínimo 3 sabores. Embalagem de 100 a 200 mL.</w:t>
            </w:r>
          </w:p>
        </w:tc>
        <w:tc>
          <w:tcPr>
            <w:tcW w:w="1350"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cal</w:t>
            </w:r>
          </w:p>
        </w:tc>
        <w:tc>
          <w:tcPr>
            <w:tcW w:w="1589"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2.390.400</w:t>
            </w:r>
          </w:p>
        </w:tc>
      </w:tr>
      <w:tr>
        <w:tblPrEx>
          <w:tblCellMar>
            <w:top w:w="15" w:type="dxa"/>
            <w:left w:w="15" w:type="dxa"/>
            <w:bottom w:w="15" w:type="dxa"/>
            <w:right w:w="15" w:type="dxa"/>
          </w:tblCellMar>
        </w:tblPrEx>
        <w:trPr>
          <w:trHeight w:val="255" w:hRule="atLeast"/>
          <w:jc w:val="center"/>
        </w:trPr>
        <w:tc>
          <w:tcPr>
            <w:tcW w:w="735"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3</w:t>
            </w:r>
          </w:p>
        </w:tc>
        <w:tc>
          <w:tcPr>
            <w:tcW w:w="1020"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1904</w:t>
            </w:r>
          </w:p>
        </w:tc>
        <w:tc>
          <w:tcPr>
            <w:tcW w:w="1305"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001600025</w:t>
            </w:r>
          </w:p>
        </w:tc>
        <w:tc>
          <w:tcPr>
            <w:tcW w:w="3750" w:type="dxa"/>
            <w:tcBorders>
              <w:left w:val="single" w:color="000000" w:sz="4" w:space="0"/>
              <w:bottom w:val="single" w:color="000000" w:sz="4" w:space="0"/>
            </w:tcBorders>
            <w:vAlign w:val="center"/>
          </w:tcPr>
          <w:p>
            <w:pPr>
              <w:pStyle w:val="644"/>
              <w:widowControl/>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Fórmula modificada para nutrição enteral e ORAL, líquida, nutricionalmente completa, com densidade energética igual a 1,5 kcal/mL; hiperproteica (maior ou igual a 20% do VET (valor energético total) de proteínas); sabor BAUNILHA. Embalagem de 180 a 200 mL.</w:t>
            </w:r>
          </w:p>
        </w:tc>
        <w:tc>
          <w:tcPr>
            <w:tcW w:w="1350"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cal</w:t>
            </w:r>
          </w:p>
        </w:tc>
        <w:tc>
          <w:tcPr>
            <w:tcW w:w="1589"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4.237.200</w:t>
            </w:r>
          </w:p>
        </w:tc>
      </w:tr>
      <w:tr>
        <w:tblPrEx>
          <w:tblCellMar>
            <w:top w:w="15" w:type="dxa"/>
            <w:left w:w="15" w:type="dxa"/>
            <w:bottom w:w="15" w:type="dxa"/>
            <w:right w:w="15" w:type="dxa"/>
          </w:tblCellMar>
        </w:tblPrEx>
        <w:trPr>
          <w:trHeight w:val="255" w:hRule="atLeast"/>
          <w:jc w:val="center"/>
        </w:trPr>
        <w:tc>
          <w:tcPr>
            <w:tcW w:w="735"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4</w:t>
            </w:r>
          </w:p>
        </w:tc>
        <w:tc>
          <w:tcPr>
            <w:tcW w:w="1020"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1904</w:t>
            </w:r>
          </w:p>
        </w:tc>
        <w:tc>
          <w:tcPr>
            <w:tcW w:w="1305"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001600049</w:t>
            </w:r>
          </w:p>
        </w:tc>
        <w:tc>
          <w:tcPr>
            <w:tcW w:w="3750" w:type="dxa"/>
            <w:tcBorders>
              <w:left w:val="single" w:color="000000" w:sz="4" w:space="0"/>
              <w:bottom w:val="single" w:color="000000" w:sz="4" w:space="0"/>
            </w:tcBorders>
            <w:vAlign w:val="center"/>
          </w:tcPr>
          <w:p>
            <w:pPr>
              <w:pStyle w:val="644"/>
              <w:widowControl/>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Fórmula modificada para nutrição enteral e ORAL, líquida, nutricionalmente completa, com densidade energética maior ou igual a 1,5 kcal/mL; normoproteica (maior ou igual a 10% e menor que 20% do VET (valor energético total) de proteínas); isenta de fibras; sabor CHOCOLATE. Embalagem de 180 a 200 mL.</w:t>
            </w:r>
          </w:p>
        </w:tc>
        <w:tc>
          <w:tcPr>
            <w:tcW w:w="1350"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cal</w:t>
            </w:r>
          </w:p>
        </w:tc>
        <w:tc>
          <w:tcPr>
            <w:tcW w:w="1589"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8.460.000</w:t>
            </w:r>
          </w:p>
        </w:tc>
      </w:tr>
      <w:tr>
        <w:tblPrEx>
          <w:tblCellMar>
            <w:top w:w="15" w:type="dxa"/>
            <w:left w:w="15" w:type="dxa"/>
            <w:bottom w:w="15" w:type="dxa"/>
            <w:right w:w="15" w:type="dxa"/>
          </w:tblCellMar>
        </w:tblPrEx>
        <w:trPr>
          <w:trHeight w:val="255" w:hRule="atLeast"/>
          <w:jc w:val="center"/>
        </w:trPr>
        <w:tc>
          <w:tcPr>
            <w:tcW w:w="735"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5</w:t>
            </w:r>
          </w:p>
        </w:tc>
        <w:tc>
          <w:tcPr>
            <w:tcW w:w="1020"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1904</w:t>
            </w:r>
          </w:p>
        </w:tc>
        <w:tc>
          <w:tcPr>
            <w:tcW w:w="1305"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001600050</w:t>
            </w:r>
          </w:p>
        </w:tc>
        <w:tc>
          <w:tcPr>
            <w:tcW w:w="3750" w:type="dxa"/>
            <w:tcBorders>
              <w:left w:val="single" w:color="000000" w:sz="4" w:space="0"/>
              <w:bottom w:val="single" w:color="000000" w:sz="4" w:space="0"/>
            </w:tcBorders>
            <w:vAlign w:val="center"/>
          </w:tcPr>
          <w:p>
            <w:pPr>
              <w:pStyle w:val="644"/>
              <w:widowControl/>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Fórmula modificada para nutrição enteral e ORAL, líquida, nutricionalmente completa, com densidade energética maior ou igual a 1,5 kcal/mL; normoproteica (maior ou igual a 10% e menor que 20% do VET (valor energético total) de proteínas); isenta de fibras; sabor MORANGO. Embalagem de 180 a 200 mL.</w:t>
            </w:r>
          </w:p>
        </w:tc>
        <w:tc>
          <w:tcPr>
            <w:tcW w:w="1350"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cal</w:t>
            </w:r>
          </w:p>
        </w:tc>
        <w:tc>
          <w:tcPr>
            <w:tcW w:w="1589"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6.990.912</w:t>
            </w:r>
          </w:p>
        </w:tc>
      </w:tr>
      <w:tr>
        <w:tblPrEx>
          <w:tblCellMar>
            <w:top w:w="15" w:type="dxa"/>
            <w:left w:w="15" w:type="dxa"/>
            <w:bottom w:w="15" w:type="dxa"/>
            <w:right w:w="15" w:type="dxa"/>
          </w:tblCellMar>
        </w:tblPrEx>
        <w:trPr>
          <w:trHeight w:val="255" w:hRule="atLeast"/>
          <w:jc w:val="center"/>
        </w:trPr>
        <w:tc>
          <w:tcPr>
            <w:tcW w:w="735"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w:t>
            </w:r>
          </w:p>
        </w:tc>
        <w:tc>
          <w:tcPr>
            <w:tcW w:w="1020"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1904</w:t>
            </w:r>
          </w:p>
        </w:tc>
        <w:tc>
          <w:tcPr>
            <w:tcW w:w="1305"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001600059</w:t>
            </w:r>
          </w:p>
        </w:tc>
        <w:tc>
          <w:tcPr>
            <w:tcW w:w="3750" w:type="dxa"/>
            <w:tcBorders>
              <w:left w:val="single" w:color="000000" w:sz="4" w:space="0"/>
              <w:bottom w:val="single" w:color="000000" w:sz="4" w:space="0"/>
            </w:tcBorders>
            <w:vAlign w:val="center"/>
          </w:tcPr>
          <w:p>
            <w:pPr>
              <w:pStyle w:val="644"/>
              <w:widowControl/>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Fórmula modificada para nutrição enteral e ORAL, líquida, nutricionalmente completa, imunomoduladora para pacientes no pré e pós-cirúrgico, com no mínimo 100 mg de vitamina C e 10 mg de vitamina E em 500 kcal, com vitamina A, cobre, selênio, zinco, manganês e ômega-3, com adição de arginina e nucleotídeos; hiperproteica (maior ou igual a 20% do VET (valor energético total) de proteínas); isenta de sacarose; com no mínimo 2 sabores. Embalagem de 180 a 200 mL.</w:t>
            </w:r>
          </w:p>
        </w:tc>
        <w:tc>
          <w:tcPr>
            <w:tcW w:w="1350"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cal</w:t>
            </w:r>
          </w:p>
        </w:tc>
        <w:tc>
          <w:tcPr>
            <w:tcW w:w="1589"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1.142.760</w:t>
            </w:r>
          </w:p>
        </w:tc>
      </w:tr>
      <w:tr>
        <w:tblPrEx>
          <w:tblCellMar>
            <w:top w:w="15" w:type="dxa"/>
            <w:left w:w="15" w:type="dxa"/>
            <w:bottom w:w="15" w:type="dxa"/>
            <w:right w:w="15" w:type="dxa"/>
          </w:tblCellMar>
        </w:tblPrEx>
        <w:trPr>
          <w:trHeight w:val="255" w:hRule="atLeast"/>
          <w:jc w:val="center"/>
        </w:trPr>
        <w:tc>
          <w:tcPr>
            <w:tcW w:w="735"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7</w:t>
            </w:r>
          </w:p>
        </w:tc>
        <w:tc>
          <w:tcPr>
            <w:tcW w:w="1020"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1904</w:t>
            </w:r>
          </w:p>
        </w:tc>
        <w:tc>
          <w:tcPr>
            <w:tcW w:w="1305"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001600061</w:t>
            </w:r>
          </w:p>
        </w:tc>
        <w:tc>
          <w:tcPr>
            <w:tcW w:w="3750" w:type="dxa"/>
            <w:tcBorders>
              <w:left w:val="single" w:color="000000" w:sz="4" w:space="0"/>
              <w:bottom w:val="single" w:color="000000" w:sz="4" w:space="0"/>
            </w:tcBorders>
            <w:vAlign w:val="center"/>
          </w:tcPr>
          <w:p>
            <w:pPr>
              <w:pStyle w:val="644"/>
              <w:widowControl/>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Fórmula modificada para nutrição enteral e ORAL, pastosa, nutricionalmente completa, com densidade energética maior ou igual a 2,0 kcal/mL; hiperproteica (maior ou igual a 20% do VET (valor energético total) de proteínas); com no mínimo 2 sabores. Embalagem de 100 a 150 g.</w:t>
            </w:r>
          </w:p>
        </w:tc>
        <w:tc>
          <w:tcPr>
            <w:tcW w:w="1350"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cal</w:t>
            </w:r>
          </w:p>
        </w:tc>
        <w:tc>
          <w:tcPr>
            <w:tcW w:w="1589"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1.170.000</w:t>
            </w:r>
          </w:p>
        </w:tc>
      </w:tr>
      <w:tr>
        <w:tblPrEx>
          <w:tblCellMar>
            <w:top w:w="15" w:type="dxa"/>
            <w:left w:w="15" w:type="dxa"/>
            <w:bottom w:w="15" w:type="dxa"/>
            <w:right w:w="15" w:type="dxa"/>
          </w:tblCellMar>
        </w:tblPrEx>
        <w:trPr>
          <w:trHeight w:val="255" w:hRule="atLeast"/>
          <w:jc w:val="center"/>
        </w:trPr>
        <w:tc>
          <w:tcPr>
            <w:tcW w:w="735"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8</w:t>
            </w:r>
          </w:p>
        </w:tc>
        <w:tc>
          <w:tcPr>
            <w:tcW w:w="1020"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1905</w:t>
            </w:r>
          </w:p>
        </w:tc>
        <w:tc>
          <w:tcPr>
            <w:tcW w:w="1305"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001945015</w:t>
            </w:r>
          </w:p>
        </w:tc>
        <w:tc>
          <w:tcPr>
            <w:tcW w:w="3750" w:type="dxa"/>
            <w:tcBorders>
              <w:left w:val="single" w:color="000000" w:sz="4" w:space="0"/>
              <w:bottom w:val="single" w:color="000000" w:sz="4" w:space="0"/>
            </w:tcBorders>
            <w:vAlign w:val="center"/>
          </w:tcPr>
          <w:p>
            <w:pPr>
              <w:pStyle w:val="644"/>
              <w:widowControl/>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Fórmula modificada para nutrição enteral e ORAL, líquida, nutricionalmente completa, para pacientes com doença renal crônica (DRC) em diálise, com densidade energética maior ou igual a 1,5 kcal/mL; com 15 a 20% do VET (valor energético total) de proteínas; no máximo 10% do VET de gordura saturada e sacarose; sódio e potássio menor ou igual a 2000 mg/ 2000 kcal; com sabor. Embalagem de 180 a 200 mL.</w:t>
            </w:r>
          </w:p>
        </w:tc>
        <w:tc>
          <w:tcPr>
            <w:tcW w:w="1350"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cal</w:t>
            </w:r>
          </w:p>
        </w:tc>
        <w:tc>
          <w:tcPr>
            <w:tcW w:w="1589"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2.174.400</w:t>
            </w:r>
          </w:p>
        </w:tc>
      </w:tr>
      <w:tr>
        <w:tblPrEx>
          <w:tblCellMar>
            <w:top w:w="15" w:type="dxa"/>
            <w:left w:w="15" w:type="dxa"/>
            <w:bottom w:w="15" w:type="dxa"/>
            <w:right w:w="15" w:type="dxa"/>
          </w:tblCellMar>
        </w:tblPrEx>
        <w:trPr>
          <w:trHeight w:val="255" w:hRule="atLeast"/>
          <w:jc w:val="center"/>
        </w:trPr>
        <w:tc>
          <w:tcPr>
            <w:tcW w:w="735"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9</w:t>
            </w:r>
          </w:p>
        </w:tc>
        <w:tc>
          <w:tcPr>
            <w:tcW w:w="1020"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1905</w:t>
            </w:r>
          </w:p>
        </w:tc>
        <w:tc>
          <w:tcPr>
            <w:tcW w:w="1305"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001945016</w:t>
            </w:r>
          </w:p>
        </w:tc>
        <w:tc>
          <w:tcPr>
            <w:tcW w:w="3750" w:type="dxa"/>
            <w:tcBorders>
              <w:left w:val="single" w:color="000000" w:sz="4" w:space="0"/>
              <w:bottom w:val="single" w:color="000000" w:sz="4" w:space="0"/>
            </w:tcBorders>
            <w:vAlign w:val="center"/>
          </w:tcPr>
          <w:p>
            <w:pPr>
              <w:pStyle w:val="644"/>
              <w:widowControl/>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Fórmula modificada para nutrição enteral e ORAL, líquida, nutricionalmente completa, para pacientes com doença renal crônica (DRC) em tratamento conservador, com densidade energética maior ou igual a 1,5 kcal/mL; hipoproteica (menor que 10% do VET (valor energético total) de proteínas); no máximo 10% do VET de gordura saturada e sacarose; sódio e potássio menor ou igual a 2000 mg/ 2000 kcal; com sabor. Embalagem de 180 a 200 mL.</w:t>
            </w:r>
          </w:p>
        </w:tc>
        <w:tc>
          <w:tcPr>
            <w:tcW w:w="1350"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cal</w:t>
            </w:r>
          </w:p>
        </w:tc>
        <w:tc>
          <w:tcPr>
            <w:tcW w:w="1589"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336.000</w:t>
            </w:r>
          </w:p>
        </w:tc>
      </w:tr>
      <w:tr>
        <w:tblPrEx>
          <w:tblCellMar>
            <w:top w:w="15" w:type="dxa"/>
            <w:left w:w="15" w:type="dxa"/>
            <w:bottom w:w="15" w:type="dxa"/>
            <w:right w:w="15" w:type="dxa"/>
          </w:tblCellMar>
        </w:tblPrEx>
        <w:trPr>
          <w:trHeight w:val="255" w:hRule="atLeast"/>
          <w:jc w:val="center"/>
        </w:trPr>
        <w:tc>
          <w:tcPr>
            <w:tcW w:w="735"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10</w:t>
            </w:r>
          </w:p>
        </w:tc>
        <w:tc>
          <w:tcPr>
            <w:tcW w:w="1020"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1905</w:t>
            </w:r>
          </w:p>
        </w:tc>
        <w:tc>
          <w:tcPr>
            <w:tcW w:w="1305"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001945043</w:t>
            </w:r>
          </w:p>
        </w:tc>
        <w:tc>
          <w:tcPr>
            <w:tcW w:w="3750" w:type="dxa"/>
            <w:tcBorders>
              <w:left w:val="single" w:color="000000" w:sz="4" w:space="0"/>
              <w:bottom w:val="single" w:color="000000" w:sz="4" w:space="0"/>
            </w:tcBorders>
            <w:vAlign w:val="center"/>
          </w:tcPr>
          <w:p>
            <w:pPr>
              <w:pStyle w:val="644"/>
              <w:widowControl/>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Fórmula modificada para nutrição enteral, líquida, nutricionalmente completa, com densidade energética maior ou igual a 1,5 kcal/mL; polimérica, hiperprotéica (maior ou igual a 20% do VET (valor energético total) de proteínas), no mínimo 60% de origem animal; com triglicerídeos de cadeia média. Lactose menor ou igual a 100 mg/100 mL, isenta de sacarose, glúten e fibras. Embalagem de 1000 mL, sistema fechado (SF). Obs.: A conexão da embalagem deverá estar de acordo com a norma ISSO 80369.</w:t>
            </w:r>
          </w:p>
        </w:tc>
        <w:tc>
          <w:tcPr>
            <w:tcW w:w="1350"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cal</w:t>
            </w:r>
          </w:p>
        </w:tc>
        <w:tc>
          <w:tcPr>
            <w:tcW w:w="1589"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54.558.000</w:t>
            </w:r>
          </w:p>
        </w:tc>
      </w:tr>
      <w:tr>
        <w:tblPrEx>
          <w:tblCellMar>
            <w:top w:w="15" w:type="dxa"/>
            <w:left w:w="15" w:type="dxa"/>
            <w:bottom w:w="15" w:type="dxa"/>
            <w:right w:w="15" w:type="dxa"/>
          </w:tblCellMar>
        </w:tblPrEx>
        <w:trPr>
          <w:trHeight w:val="255" w:hRule="atLeast"/>
          <w:jc w:val="center"/>
        </w:trPr>
        <w:tc>
          <w:tcPr>
            <w:tcW w:w="735"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11</w:t>
            </w:r>
          </w:p>
        </w:tc>
        <w:tc>
          <w:tcPr>
            <w:tcW w:w="1020"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1905</w:t>
            </w:r>
          </w:p>
        </w:tc>
        <w:tc>
          <w:tcPr>
            <w:tcW w:w="1305"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001945055</w:t>
            </w:r>
          </w:p>
        </w:tc>
        <w:tc>
          <w:tcPr>
            <w:tcW w:w="3750" w:type="dxa"/>
            <w:tcBorders>
              <w:left w:val="single" w:color="000000" w:sz="4" w:space="0"/>
              <w:bottom w:val="single" w:color="000000" w:sz="4" w:space="0"/>
            </w:tcBorders>
            <w:vAlign w:val="center"/>
          </w:tcPr>
          <w:p>
            <w:pPr>
              <w:pStyle w:val="644"/>
              <w:widowControl/>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Fórmula modificada para nutrição enteral, líquida, nutricionalmente completa, com densidade energética maior ou igual a 1,5 kcal/mL; polimérica, hiperprotéica (maior ou igual a 20% do VET (valor energético total) de proteínas), no mínimo 60% de origem animal; com triglicerídeos de cadeia média. Lactose menor ou igual a 100 mg/100 mL, isenta de sacarose, glúten e fibras. Embalagem de 500 mL, sistema fechado (SF). Obs.: A conexão da embalagem deverá estar de acordo com a norma ISSO 80369.</w:t>
            </w:r>
          </w:p>
        </w:tc>
        <w:tc>
          <w:tcPr>
            <w:tcW w:w="1350"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cal</w:t>
            </w:r>
          </w:p>
        </w:tc>
        <w:tc>
          <w:tcPr>
            <w:tcW w:w="1589"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4.761.000</w:t>
            </w:r>
          </w:p>
        </w:tc>
      </w:tr>
      <w:tr>
        <w:tblPrEx>
          <w:tblCellMar>
            <w:top w:w="15" w:type="dxa"/>
            <w:left w:w="15" w:type="dxa"/>
            <w:bottom w:w="15" w:type="dxa"/>
            <w:right w:w="15" w:type="dxa"/>
          </w:tblCellMar>
        </w:tblPrEx>
        <w:trPr>
          <w:trHeight w:val="255" w:hRule="atLeast"/>
          <w:jc w:val="center"/>
        </w:trPr>
        <w:tc>
          <w:tcPr>
            <w:tcW w:w="735"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12</w:t>
            </w:r>
          </w:p>
        </w:tc>
        <w:tc>
          <w:tcPr>
            <w:tcW w:w="1020"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1905</w:t>
            </w:r>
          </w:p>
        </w:tc>
        <w:tc>
          <w:tcPr>
            <w:tcW w:w="1305"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001945063</w:t>
            </w:r>
          </w:p>
        </w:tc>
        <w:tc>
          <w:tcPr>
            <w:tcW w:w="3750" w:type="dxa"/>
            <w:tcBorders>
              <w:left w:val="single" w:color="000000" w:sz="4" w:space="0"/>
              <w:bottom w:val="single" w:color="000000" w:sz="4" w:space="0"/>
            </w:tcBorders>
            <w:vAlign w:val="center"/>
          </w:tcPr>
          <w:p>
            <w:pPr>
              <w:pStyle w:val="644"/>
              <w:widowControl/>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Fórmula modificada para nutrição enteral e oral, em pó, nutricionalmente completa, com densidade energética de 1,0 kcal/mL; oligomérica, com 15 a 20% do VET (valor energético total) de proteínas; com ácidos graxos essenciais e triglicerídeos de cadeia média; com sabor. Embalagem de 350 a 400 g, rígida tipo pote ou lata com lacre, com colher medida.</w:t>
            </w:r>
          </w:p>
        </w:tc>
        <w:tc>
          <w:tcPr>
            <w:tcW w:w="1350"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grama</w:t>
            </w:r>
          </w:p>
        </w:tc>
        <w:tc>
          <w:tcPr>
            <w:tcW w:w="1589"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288.000</w:t>
            </w:r>
          </w:p>
        </w:tc>
      </w:tr>
      <w:tr>
        <w:tblPrEx>
          <w:tblCellMar>
            <w:top w:w="15" w:type="dxa"/>
            <w:left w:w="15" w:type="dxa"/>
            <w:bottom w:w="15" w:type="dxa"/>
            <w:right w:w="15" w:type="dxa"/>
          </w:tblCellMar>
        </w:tblPrEx>
        <w:trPr>
          <w:trHeight w:val="255" w:hRule="atLeast"/>
          <w:jc w:val="center"/>
        </w:trPr>
        <w:tc>
          <w:tcPr>
            <w:tcW w:w="735"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13</w:t>
            </w:r>
          </w:p>
        </w:tc>
        <w:tc>
          <w:tcPr>
            <w:tcW w:w="1020"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1905</w:t>
            </w:r>
          </w:p>
        </w:tc>
        <w:tc>
          <w:tcPr>
            <w:tcW w:w="1305"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001945064</w:t>
            </w:r>
          </w:p>
        </w:tc>
        <w:tc>
          <w:tcPr>
            <w:tcW w:w="3750" w:type="dxa"/>
            <w:tcBorders>
              <w:left w:val="single" w:color="000000" w:sz="4" w:space="0"/>
              <w:bottom w:val="single" w:color="000000" w:sz="4" w:space="0"/>
            </w:tcBorders>
            <w:vAlign w:val="center"/>
          </w:tcPr>
          <w:p>
            <w:pPr>
              <w:pStyle w:val="644"/>
              <w:widowControl/>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Fórmula modificada para nutrição enteral, líquida, nutricionalmente completa, com densidade energética igual a 1,5 kcal/mL; polimérica, normoprotéica (maior ou igual a 10% e menor que 20% do VET (valor energético total) de proteínas), no mínimo 60% de origem animal; normolipídica (maior ou igual a 15% e menor ou igual a 35% do VET de lipídios), no máximo 10% do VET de gordura saturada. Limite máximo de sódio de 115 mg/100 kcal. Lactose menor ou igual a 100 mg/100 mL, isenta de sacarose, glúten e fibras. Embalagem de 1000 mL, tetra pak ou rígida.</w:t>
            </w:r>
          </w:p>
        </w:tc>
        <w:tc>
          <w:tcPr>
            <w:tcW w:w="1350"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cal</w:t>
            </w:r>
          </w:p>
        </w:tc>
        <w:tc>
          <w:tcPr>
            <w:tcW w:w="1589"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18.540.000</w:t>
            </w:r>
          </w:p>
        </w:tc>
      </w:tr>
      <w:tr>
        <w:tblPrEx>
          <w:tblCellMar>
            <w:top w:w="15" w:type="dxa"/>
            <w:left w:w="15" w:type="dxa"/>
            <w:bottom w:w="15" w:type="dxa"/>
            <w:right w:w="15" w:type="dxa"/>
          </w:tblCellMar>
        </w:tblPrEx>
        <w:trPr>
          <w:trHeight w:val="255" w:hRule="atLeast"/>
          <w:jc w:val="center"/>
        </w:trPr>
        <w:tc>
          <w:tcPr>
            <w:tcW w:w="735"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14</w:t>
            </w:r>
          </w:p>
        </w:tc>
        <w:tc>
          <w:tcPr>
            <w:tcW w:w="1020"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1903</w:t>
            </w:r>
          </w:p>
        </w:tc>
        <w:tc>
          <w:tcPr>
            <w:tcW w:w="1305"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121380003</w:t>
            </w:r>
          </w:p>
        </w:tc>
        <w:tc>
          <w:tcPr>
            <w:tcW w:w="3750" w:type="dxa"/>
            <w:tcBorders>
              <w:left w:val="single" w:color="000000" w:sz="4" w:space="0"/>
              <w:bottom w:val="single" w:color="000000" w:sz="4" w:space="0"/>
            </w:tcBorders>
            <w:vAlign w:val="center"/>
          </w:tcPr>
          <w:p>
            <w:pPr>
              <w:pStyle w:val="644"/>
              <w:widowControl/>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Fórmula modificada para nutrição enteral e ORAL, líquida, nutricionalmente completa, com densidade energética maior ou igual a 2,0 kcal/mL; hiperproteica (maior ou igual a 20% do VET (valor energético total) de proteínas); sabor BAUNILHA. Embalagem de 100 a 150 mL.</w:t>
            </w:r>
          </w:p>
        </w:tc>
        <w:tc>
          <w:tcPr>
            <w:tcW w:w="1350"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cal</w:t>
            </w:r>
          </w:p>
        </w:tc>
        <w:tc>
          <w:tcPr>
            <w:tcW w:w="1589"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3.614.400</w:t>
            </w:r>
          </w:p>
        </w:tc>
      </w:tr>
      <w:tr>
        <w:tblPrEx>
          <w:tblCellMar>
            <w:top w:w="15" w:type="dxa"/>
            <w:left w:w="15" w:type="dxa"/>
            <w:bottom w:w="15" w:type="dxa"/>
            <w:right w:w="15" w:type="dxa"/>
          </w:tblCellMar>
        </w:tblPrEx>
        <w:trPr>
          <w:trHeight w:val="255" w:hRule="atLeast"/>
          <w:jc w:val="center"/>
        </w:trPr>
        <w:tc>
          <w:tcPr>
            <w:tcW w:w="735"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15</w:t>
            </w:r>
          </w:p>
        </w:tc>
        <w:tc>
          <w:tcPr>
            <w:tcW w:w="1020"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1903</w:t>
            </w:r>
          </w:p>
        </w:tc>
        <w:tc>
          <w:tcPr>
            <w:tcW w:w="1305"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121380009</w:t>
            </w:r>
          </w:p>
        </w:tc>
        <w:tc>
          <w:tcPr>
            <w:tcW w:w="3750" w:type="dxa"/>
            <w:tcBorders>
              <w:left w:val="single" w:color="000000" w:sz="4" w:space="0"/>
              <w:bottom w:val="single" w:color="000000" w:sz="4" w:space="0"/>
            </w:tcBorders>
            <w:vAlign w:val="center"/>
          </w:tcPr>
          <w:p>
            <w:pPr>
              <w:pStyle w:val="644"/>
              <w:widowControl/>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Fórmula modificada para nutrição enteral e ORAL, líquida, nutricionalmente completa, com densidade energética maior ou igual a 2,0 kcal/mL; hiperproteica (maior ou igual a 20% do VET (valor energético total) de proteínas); com no mínimo 2 sabores, exceto baunilha. Embalagem de 100 a 150 mL.</w:t>
            </w:r>
          </w:p>
        </w:tc>
        <w:tc>
          <w:tcPr>
            <w:tcW w:w="1350"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cal</w:t>
            </w:r>
          </w:p>
        </w:tc>
        <w:tc>
          <w:tcPr>
            <w:tcW w:w="1589"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3.679.200</w:t>
            </w:r>
          </w:p>
        </w:tc>
      </w:tr>
      <w:tr>
        <w:tblPrEx>
          <w:tblCellMar>
            <w:top w:w="15" w:type="dxa"/>
            <w:left w:w="15" w:type="dxa"/>
            <w:bottom w:w="15" w:type="dxa"/>
            <w:right w:w="15" w:type="dxa"/>
          </w:tblCellMar>
        </w:tblPrEx>
        <w:trPr>
          <w:trHeight w:val="255" w:hRule="atLeast"/>
          <w:jc w:val="center"/>
        </w:trPr>
        <w:tc>
          <w:tcPr>
            <w:tcW w:w="735"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16</w:t>
            </w:r>
          </w:p>
        </w:tc>
        <w:tc>
          <w:tcPr>
            <w:tcW w:w="1020"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1904</w:t>
            </w:r>
          </w:p>
        </w:tc>
        <w:tc>
          <w:tcPr>
            <w:tcW w:w="1305"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001600051</w:t>
            </w:r>
          </w:p>
        </w:tc>
        <w:tc>
          <w:tcPr>
            <w:tcW w:w="3750" w:type="dxa"/>
            <w:tcBorders>
              <w:left w:val="single" w:color="000000" w:sz="4" w:space="0"/>
              <w:bottom w:val="single" w:color="000000" w:sz="4" w:space="0"/>
            </w:tcBorders>
            <w:vAlign w:val="center"/>
          </w:tcPr>
          <w:p>
            <w:pPr>
              <w:pStyle w:val="644"/>
              <w:widowControl/>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Alimento pronto para o consumo para dietas com restrição de sacarose, líquido, para controle glicêmico, com fibras, isento de sacarose; hiperproteico (maior ou igual a 20% do VET (valor energético total) de proteínas); com sabor (exceto baunilha). Embalagem de 180 a 200 mL.</w:t>
            </w:r>
          </w:p>
        </w:tc>
        <w:tc>
          <w:tcPr>
            <w:tcW w:w="1350"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cal</w:t>
            </w:r>
          </w:p>
        </w:tc>
        <w:tc>
          <w:tcPr>
            <w:tcW w:w="1589" w:type="dxa"/>
            <w:tcBorders>
              <w:left w:val="single" w:color="000000" w:sz="4" w:space="0"/>
              <w:bottom w:val="single" w:color="000000" w:sz="4" w:space="0"/>
              <w:right w:val="single" w:color="000000" w:sz="4" w:space="0"/>
            </w:tcBorders>
            <w:vAlign w:val="center"/>
          </w:tcPr>
          <w:p>
            <w:pPr>
              <w:pStyle w:val="644"/>
              <w:widowControl/>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3.209.952</w:t>
            </w:r>
          </w:p>
        </w:tc>
      </w:tr>
    </w:tbl>
    <w:p>
      <w:pPr>
        <w:overflowPunct w:val="0"/>
        <w:bidi w:val="0"/>
        <w:spacing w:before="1" w:after="0"/>
        <w:ind w:left="0" w:right="0" w:firstLine="0"/>
        <w:jc w:val="both"/>
        <w:rPr>
          <w:rFonts w:ascii="Calibri" w:hAnsi="Calibri" w:eastAsia="NSimSun" w:cs="Lucida Sans"/>
          <w:kern w:val="0"/>
          <w:sz w:val="24"/>
          <w:szCs w:val="24"/>
          <w:lang w:val="pt-BR" w:eastAsia="zh-CN" w:bidi="hi-IN"/>
        </w:rPr>
      </w:pPr>
    </w:p>
    <w:p>
      <w:pPr>
        <w:overflowPunct w:val="0"/>
        <w:bidi w:val="0"/>
        <w:spacing w:before="1" w:after="0" w:line="0" w:lineRule="atLeast"/>
        <w:ind w:left="0" w:right="0" w:firstLine="0"/>
        <w:jc w:val="both"/>
        <w:rPr>
          <w:rFonts w:ascii="Calibri" w:hAnsi="Calibri"/>
          <w:sz w:val="24"/>
          <w:szCs w:val="24"/>
        </w:rPr>
      </w:pPr>
      <w:r>
        <w:rPr>
          <w:rFonts w:ascii="Calibri" w:hAnsi="Calibri" w:cs="Calibri"/>
          <w:b w:val="0"/>
          <w:bCs w:val="0"/>
          <w:color w:val="000000"/>
          <w:sz w:val="24"/>
          <w:szCs w:val="24"/>
          <w:lang w:val="pt-PT"/>
        </w:rPr>
        <w:t>(1) As quantidades licitadas são estimativas, podendo a contratante requisitar quantidades maiores ou menores conforme a efetiva necessidade, respeitando-se os limites estabelecidos pela legislação.</w:t>
      </w:r>
    </w:p>
    <w:p>
      <w:pPr>
        <w:overflowPunct w:val="0"/>
        <w:bidi w:val="0"/>
        <w:spacing w:before="1" w:after="0" w:line="0" w:lineRule="atLeast"/>
        <w:ind w:left="0" w:right="0" w:firstLine="0"/>
        <w:jc w:val="both"/>
        <w:rPr>
          <w:rFonts w:ascii="Calibri" w:hAnsi="Calibri"/>
          <w:sz w:val="24"/>
          <w:szCs w:val="24"/>
        </w:rPr>
      </w:pPr>
      <w:r>
        <w:rPr>
          <w:rFonts w:ascii="Calibri" w:hAnsi="Calibri" w:cs="Calibri"/>
          <w:b w:val="0"/>
          <w:bCs w:val="0"/>
          <w:color w:val="000000"/>
          <w:sz w:val="24"/>
          <w:szCs w:val="24"/>
          <w:lang w:val="pt-PT"/>
        </w:rPr>
        <w:t>(2) As proponentes devem oferecer propostas prevendo o quantitativo total solicitado para cada item, sendo vetado o oferecimento de quantidades menores que o consumo estimado neste instrumento.</w:t>
      </w:r>
    </w:p>
    <w:p>
      <w:pPr>
        <w:pStyle w:val="2"/>
        <w:overflowPunct w:val="0"/>
        <w:bidi w:val="0"/>
        <w:spacing w:before="1" w:after="0" w:line="0" w:lineRule="atLeast"/>
        <w:ind w:left="0" w:right="0" w:firstLine="0"/>
        <w:jc w:val="both"/>
        <w:rPr>
          <w:rFonts w:ascii="Calibri" w:hAnsi="Calibri" w:cs="Calibri"/>
          <w:b w:val="0"/>
          <w:bCs w:val="0"/>
          <w:color w:val="000000"/>
          <w:sz w:val="24"/>
          <w:szCs w:val="24"/>
        </w:rPr>
      </w:pPr>
    </w:p>
    <w:p>
      <w:pPr>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sz w:val="24"/>
          <w:szCs w:val="24"/>
        </w:rPr>
      </w:pPr>
      <w:r>
        <w:rPr>
          <w:rFonts w:ascii="Calibri" w:hAnsi="Calibri" w:cs="Calibri"/>
          <w:b/>
          <w:sz w:val="24"/>
          <w:szCs w:val="24"/>
          <w:lang w:val="pt-PT"/>
        </w:rPr>
        <w:t xml:space="preserve">1 – </w:t>
      </w:r>
      <w:r>
        <w:rPr>
          <w:rFonts w:ascii="Calibri" w:hAnsi="Calibri" w:cs="Calibri"/>
          <w:b/>
          <w:sz w:val="24"/>
          <w:szCs w:val="24"/>
        </w:rPr>
        <w:t>PRAZOS E CONDIÇÕES DE FORNECIMENTO</w:t>
      </w: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r>
        <w:rPr>
          <w:rFonts w:ascii="Calibri" w:hAnsi="Calibri"/>
          <w:b/>
          <w:bCs/>
        </w:rPr>
        <w:t>1.1 –</w:t>
      </w:r>
      <w:r>
        <w:rPr>
          <w:rFonts w:ascii="Calibri" w:hAnsi="Calibri"/>
          <w:b w:val="0"/>
          <w:bCs w:val="0"/>
        </w:rPr>
        <w:t xml:space="preserve"> O compromisso será firmado por meio de Ata de Registro de Preço com duração de 12 meses, para futura e eventual aquisição, conforme especificações e quantitativos previstos no presente edital;</w:t>
      </w: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r>
        <w:rPr>
          <w:rFonts w:ascii="Calibri" w:hAnsi="Calibri"/>
          <w:b/>
          <w:bCs/>
        </w:rPr>
        <w:t>1.2 –</w:t>
      </w:r>
      <w:r>
        <w:rPr>
          <w:rFonts w:ascii="Calibri" w:hAnsi="Calibri"/>
          <w:b w:val="0"/>
          <w:bCs w:val="0"/>
        </w:rPr>
        <w:t xml:space="preserve"> As quantidades licitadas e informadas são estimativas, podendo a contratante requisitar quantidades maiores ou menores conforme a efetiva necessidade, respeitando-se os limites estabelecidos pela legislação;</w:t>
      </w: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r>
        <w:rPr>
          <w:rFonts w:ascii="Calibri" w:hAnsi="Calibri"/>
          <w:b/>
          <w:bCs/>
        </w:rPr>
        <w:t>1.3 –</w:t>
      </w:r>
      <w:r>
        <w:rPr>
          <w:rFonts w:ascii="Calibri" w:hAnsi="Calibri"/>
          <w:b w:val="0"/>
          <w:bCs w:val="0"/>
        </w:rPr>
        <w:t xml:space="preserve"> O prazo de entrega será de 20 (vinte) dias após a emissão e empenho da Autorização de Fornecimento (AF);</w:t>
      </w: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r>
        <w:rPr>
          <w:rFonts w:ascii="Calibri" w:hAnsi="Calibri"/>
          <w:b/>
          <w:bCs/>
        </w:rPr>
        <w:t>1.4 –</w:t>
      </w:r>
      <w:r>
        <w:rPr>
          <w:rFonts w:ascii="Calibri" w:hAnsi="Calibri"/>
          <w:b w:val="0"/>
          <w:bCs w:val="0"/>
        </w:rPr>
        <w:t xml:space="preserve"> O recebimento do objeto não exclui a responsabilidade da contratada pelos prejuízos resultantes da incorreta execução do contrato;</w:t>
      </w: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r>
        <w:rPr>
          <w:rFonts w:ascii="Calibri" w:hAnsi="Calibri"/>
          <w:b/>
          <w:bCs/>
        </w:rPr>
        <w:t>1.5 –</w:t>
      </w:r>
      <w:r>
        <w:rPr>
          <w:rFonts w:ascii="Calibri" w:hAnsi="Calibri"/>
          <w:b w:val="0"/>
          <w:bCs w:val="0"/>
        </w:rPr>
        <w:t xml:space="preserve"> A entrega deverá ser efetuada diretamente à Unidade Solicitante conforme especificação do objeto no(s) endereço(s): Gerência de Bens Regulares (GEBER), Gerência de Bens Judiciais (GEJUD)  e Diretoria  de  Assistência  Farmacêutica  (DIAF)  -  Rua  Judite  Melo  dos  Santos,  nº 251,  Galpão  06  a  09,  Distrito  Industrial,  São  José,  SC,  CEP  88.104-765,  Fones:  (48)  3665-5510 (GEBER), (48) 3664-7794 (GEJUD), (48) 3665-4427 (DIAF);</w:t>
      </w: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r>
        <w:rPr>
          <w:rFonts w:ascii="Calibri" w:hAnsi="Calibri"/>
          <w:b/>
          <w:bCs/>
        </w:rPr>
        <w:t>1.6 –</w:t>
      </w:r>
      <w:r>
        <w:rPr>
          <w:rFonts w:ascii="Calibri" w:hAnsi="Calibri"/>
          <w:b w:val="0"/>
          <w:bCs w:val="0"/>
        </w:rPr>
        <w:t xml:space="preserve"> Funcionários da contratada deverão apresentar-se sempre com identificação e/ou credencial na Unidade Solicitante respeitando as normas de cada instituição;</w:t>
      </w: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r>
        <w:rPr>
          <w:rFonts w:ascii="Calibri" w:hAnsi="Calibri"/>
          <w:b/>
          <w:bCs/>
        </w:rPr>
        <w:t>1.7 –</w:t>
      </w:r>
      <w:r>
        <w:rPr>
          <w:rFonts w:ascii="Calibri" w:hAnsi="Calibri"/>
          <w:b w:val="0"/>
          <w:bCs w:val="0"/>
        </w:rPr>
        <w:t xml:space="preserve"> A contratada deverá ofertar treinamentos relacionados ao objeto licitado, nas Unidades Solicitantes, mediante demanda da equipe técnica;</w:t>
      </w: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r>
        <w:rPr>
          <w:rFonts w:ascii="Calibri" w:hAnsi="Calibri"/>
          <w:b/>
          <w:bCs/>
        </w:rPr>
        <w:t>1.8 –</w:t>
      </w:r>
      <w:r>
        <w:rPr>
          <w:rFonts w:ascii="Calibri" w:hAnsi="Calibri"/>
          <w:b w:val="0"/>
          <w:bCs w:val="0"/>
        </w:rPr>
        <w:t xml:space="preserve"> O objeto deverá estar de acordo com as especificações do edital e atender a legislação a ele(s) pertinente(s);</w:t>
      </w: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r>
        <w:rPr>
          <w:rFonts w:ascii="Calibri" w:hAnsi="Calibri"/>
          <w:b/>
          <w:bCs/>
        </w:rPr>
        <w:t>1.9 –</w:t>
      </w:r>
      <w:r>
        <w:rPr>
          <w:rFonts w:ascii="Calibri" w:hAnsi="Calibri"/>
          <w:b w:val="0"/>
          <w:bCs w:val="0"/>
        </w:rPr>
        <w:t xml:space="preserve"> O objeto deverá estar com no mínimo 75% do prazo de validade no momento do recebimento;</w:t>
      </w: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r>
        <w:rPr>
          <w:rFonts w:ascii="Calibri" w:hAnsi="Calibri"/>
          <w:b/>
          <w:bCs/>
        </w:rPr>
        <w:t>1.10 –</w:t>
      </w:r>
      <w:r>
        <w:rPr>
          <w:rFonts w:ascii="Calibri" w:hAnsi="Calibri"/>
          <w:b w:val="0"/>
          <w:bCs w:val="0"/>
        </w:rPr>
        <w:t xml:space="preserve"> A embalagem deverá estar íntegra e em perfeitas condições de utilização;</w:t>
      </w: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r>
        <w:rPr>
          <w:rFonts w:ascii="Calibri" w:hAnsi="Calibri"/>
          <w:b/>
          <w:bCs/>
        </w:rPr>
        <w:t>1.11 –</w:t>
      </w:r>
      <w:r>
        <w:rPr>
          <w:rFonts w:ascii="Calibri" w:hAnsi="Calibri"/>
          <w:b w:val="0"/>
          <w:bCs w:val="0"/>
        </w:rPr>
        <w:t xml:space="preserve"> Os produtos a serem fornecidos devem ser livres de impurezas, estando sujeitos ao controle de qualidade do Contratante diretamente ou por intermédio de terceiros, durante toda a execução do Contrato, sendo rejeitados os produtos não aprovados ou que se apresentarem impróprios para o consumo, os quais deverão ser imediatamente substituídos pelo fornecedor, sem qualquer custo adicional;</w:t>
      </w: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r>
        <w:rPr>
          <w:rFonts w:ascii="Calibri" w:hAnsi="Calibri"/>
          <w:b/>
          <w:bCs/>
        </w:rPr>
        <w:t>1.12 –</w:t>
      </w:r>
      <w:r>
        <w:rPr>
          <w:rFonts w:ascii="Calibri" w:hAnsi="Calibri"/>
          <w:b w:val="0"/>
          <w:bCs w:val="0"/>
        </w:rPr>
        <w:t xml:space="preserve"> O objeto não será aceito caso não seja transportado e entregue de maneira correta, respeitando as recomendações do fabricante e autoridades sanitárias, de acordo com as legislações vigentes para cada item;</w:t>
      </w: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r>
        <w:rPr>
          <w:rFonts w:ascii="Calibri" w:hAnsi="Calibri"/>
          <w:b/>
          <w:bCs/>
        </w:rPr>
        <w:t xml:space="preserve">1.13 – </w:t>
      </w:r>
      <w:r>
        <w:rPr>
          <w:rFonts w:ascii="Calibri" w:hAnsi="Calibri"/>
          <w:b w:val="0"/>
          <w:bCs w:val="0"/>
        </w:rPr>
        <w:t>O material deverá indicar na embalagem a razão social da Contratada, o número deste Pregão, o número da nota fiscal e o número do documento de fornecimento;</w:t>
      </w: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r>
        <w:rPr>
          <w:rFonts w:ascii="Calibri" w:hAnsi="Calibri"/>
          <w:b/>
          <w:bCs/>
        </w:rPr>
        <w:t>1.14 –</w:t>
      </w:r>
      <w:r>
        <w:rPr>
          <w:rFonts w:ascii="Calibri" w:hAnsi="Calibri"/>
          <w:b w:val="0"/>
          <w:bCs w:val="0"/>
        </w:rPr>
        <w:t xml:space="preserve"> Para os produtos em que é exigido pela legislação vigente prazo de validade, o mesmo deverá constar na embalagem;</w:t>
      </w: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r>
        <w:rPr>
          <w:rFonts w:ascii="Calibri" w:hAnsi="Calibri"/>
          <w:b/>
          <w:bCs/>
        </w:rPr>
        <w:t>1.15 –</w:t>
      </w:r>
      <w:r>
        <w:rPr>
          <w:rFonts w:ascii="Calibri" w:hAnsi="Calibri"/>
          <w:b w:val="0"/>
          <w:bCs w:val="0"/>
        </w:rPr>
        <w:t xml:space="preserve"> A Contratada, mesmo não sendo a fabricante da matéria-prima empregada na fabricação de seu produto, responderá inteira e solidariamente pela qualidade e autenticidade deste, obrigando-se a substituir, as suas expensas, no todo ou em parte, o objeto desta licitação, em que se verificarem vícios, defeitos, incorreções, resultantes da fabricação ou transporte, constatado visualmente ou em laboratório, correndo estes custos por sua conta;</w:t>
      </w: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r>
        <w:rPr>
          <w:rFonts w:ascii="Calibri" w:hAnsi="Calibri"/>
          <w:b/>
          <w:bCs/>
        </w:rPr>
        <w:t>1.16 –</w:t>
      </w:r>
      <w:r>
        <w:rPr>
          <w:rFonts w:ascii="Calibri" w:hAnsi="Calibri"/>
          <w:b w:val="0"/>
          <w:bCs w:val="0"/>
        </w:rPr>
        <w:t xml:space="preserve"> O aceite do(s) produto(s) pela Contratante, não exclui a responsabilidade civil da Contratada por vícios de quantidade ou qualidade do produto ou disparidade com as especificações técnicas exigidas no edital ou atribuídas pela Contratada, verificados posteriormente, garantindo-se à Contratante as faculdades previstas no artigo 18, da Lei nº 8.078/90 (Código de Defesa do Consumidor).</w:t>
      </w: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p>
    <w:p>
      <w:pPr>
        <w:tabs>
          <w:tab w:val="left" w:pos="204"/>
          <w:tab w:val="left" w:pos="720"/>
        </w:tabs>
        <w:overflowPunct/>
        <w:bidi w:val="0"/>
        <w:spacing w:line="276" w:lineRule="auto"/>
        <w:ind w:left="0" w:right="0" w:firstLine="0"/>
        <w:jc w:val="center"/>
      </w:pPr>
      <w:r>
        <w:rPr>
          <w:rFonts w:ascii="Calibri" w:hAnsi="Calibri" w:cs="Calibri"/>
          <w:b/>
          <w:sz w:val="24"/>
          <w:szCs w:val="24"/>
        </w:rPr>
        <w:t>ANEXO I-A</w:t>
      </w:r>
    </w:p>
    <w:p>
      <w:pPr>
        <w:tabs>
          <w:tab w:val="left" w:pos="204"/>
          <w:tab w:val="left" w:pos="720"/>
        </w:tabs>
        <w:overflowPunct/>
        <w:bidi w:val="0"/>
        <w:spacing w:line="276" w:lineRule="auto"/>
        <w:ind w:left="0" w:right="0" w:firstLine="0"/>
        <w:jc w:val="center"/>
      </w:pPr>
      <w:r>
        <w:rPr>
          <w:rFonts w:ascii="Calibri" w:hAnsi="Calibri" w:cs="Calibri"/>
          <w:b/>
          <w:sz w:val="24"/>
          <w:szCs w:val="24"/>
        </w:rPr>
        <w:t xml:space="preserve">PREGÃO ELETRÔNICO Nº </w:t>
      </w:r>
      <w:r>
        <w:rPr>
          <w:rFonts w:ascii="Calibri" w:hAnsi="Calibri" w:eastAsia="SimSun" w:cs="Calibri"/>
          <w:b/>
          <w:color w:val="000000"/>
          <w:kern w:val="0"/>
          <w:sz w:val="24"/>
          <w:szCs w:val="24"/>
          <w:lang w:val="pt-BR" w:eastAsia="zh-CN" w:bidi="ar-SA"/>
        </w:rPr>
        <w:t>1190/2023</w:t>
      </w:r>
    </w:p>
    <w:p>
      <w:pPr>
        <w:pStyle w:val="657"/>
        <w:suppressAutoHyphens/>
        <w:overflowPunct/>
        <w:bidi w:val="0"/>
        <w:spacing w:line="276" w:lineRule="auto"/>
        <w:ind w:left="0" w:right="0" w:firstLine="0"/>
      </w:pPr>
      <w:r>
        <w:rPr>
          <w:rFonts w:ascii="Calibri" w:hAnsi="Calibri" w:cs="Calibri"/>
          <w:bCs/>
          <w:sz w:val="24"/>
          <w:szCs w:val="24"/>
          <w:lang w:val="pt-PT"/>
        </w:rPr>
        <w:t>DISTRIBUIÇÃO</w:t>
      </w:r>
    </w:p>
    <w:p>
      <w:pPr>
        <w:pStyle w:val="652"/>
        <w:overflowPunct/>
        <w:bidi w:val="0"/>
        <w:spacing w:before="0" w:after="0"/>
        <w:ind w:left="0" w:right="0" w:firstLine="0"/>
        <w:jc w:val="both"/>
        <w:rPr>
          <w:rFonts w:eastAsia="NSimSun" w:cs="Lucida Sans"/>
          <w:kern w:val="0"/>
          <w:lang w:val="pt-BR" w:eastAsia="zh-CN" w:bidi="hi-IN"/>
        </w:rPr>
      </w:pPr>
    </w:p>
    <w:p>
      <w:pPr>
        <w:pStyle w:val="16"/>
        <w:overflowPunct/>
        <w:bidi w:val="0"/>
        <w:spacing w:line="276" w:lineRule="auto"/>
        <w:ind w:left="0" w:right="0" w:firstLine="0"/>
      </w:pPr>
      <w:r>
        <w:rPr>
          <w:rStyle w:val="14"/>
          <w:rFonts w:ascii="Calibri" w:hAnsi="Calibri" w:cs="Calibri"/>
          <w:sz w:val="24"/>
          <w:szCs w:val="24"/>
          <w:lang w:val="pt-PT"/>
        </w:rPr>
        <w:t xml:space="preserve">Solicitante: </w:t>
      </w:r>
      <w:r>
        <w:rPr>
          <w:rStyle w:val="14"/>
          <w:rFonts w:ascii="Calibri" w:hAnsi="Calibri" w:eastAsia="SimSun" w:cs="Calibri"/>
          <w:b/>
          <w:bCs/>
          <w:color w:val="000000"/>
          <w:kern w:val="0"/>
          <w:sz w:val="24"/>
          <w:szCs w:val="24"/>
          <w:lang w:val="pt-PT" w:eastAsia="zh-CN" w:bidi="ar-SA"/>
        </w:rPr>
        <w:t>DIAF</w:t>
      </w:r>
      <w:r>
        <w:rPr>
          <w:rStyle w:val="14"/>
          <w:rFonts w:ascii="Calibri" w:hAnsi="Calibri" w:cs="Calibri"/>
          <w:sz w:val="24"/>
          <w:szCs w:val="24"/>
          <w:lang w:val="pt-PT"/>
        </w:rPr>
        <w:t xml:space="preserve"> </w:t>
      </w:r>
      <w:r>
        <w:rPr>
          <w:rStyle w:val="14"/>
          <w:rFonts w:ascii="Calibri" w:hAnsi="Calibri" w:eastAsia="Times New Roman" w:cs="Calibri"/>
          <w:sz w:val="24"/>
          <w:szCs w:val="24"/>
          <w:lang w:val="pt-PT"/>
        </w:rPr>
        <w:t xml:space="preserve">– </w:t>
      </w:r>
      <w:r>
        <w:rPr>
          <w:rStyle w:val="14"/>
          <w:rFonts w:ascii="Calibri" w:hAnsi="Calibri" w:eastAsia="SimSun" w:cs="Calibri"/>
          <w:b/>
          <w:bCs/>
          <w:color w:val="000000"/>
          <w:kern w:val="0"/>
          <w:sz w:val="24"/>
          <w:szCs w:val="24"/>
          <w:lang w:val="pt-PT" w:eastAsia="zh-CN" w:bidi="ar-SA"/>
        </w:rPr>
        <w:t>DIRETORIA DE ASSISTÊNCIA FARMACÊUTICA</w:t>
      </w:r>
    </w:p>
    <w:tbl>
      <w:tblPr>
        <w:tblStyle w:val="13"/>
        <w:tblW w:w="9660" w:type="dxa"/>
        <w:tblInd w:w="-9" w:type="dxa"/>
        <w:tblLayout w:type="fixed"/>
        <w:tblCellMar>
          <w:top w:w="15" w:type="dxa"/>
          <w:left w:w="15" w:type="dxa"/>
          <w:bottom w:w="15" w:type="dxa"/>
          <w:right w:w="15" w:type="dxa"/>
        </w:tblCellMar>
      </w:tblPr>
      <w:tblGrid>
        <w:gridCol w:w="792"/>
        <w:gridCol w:w="1053"/>
        <w:gridCol w:w="1365"/>
        <w:gridCol w:w="3734"/>
        <w:gridCol w:w="1305"/>
        <w:gridCol w:w="1410"/>
      </w:tblGrid>
      <w:tr>
        <w:tblPrEx>
          <w:tblCellMar>
            <w:top w:w="15" w:type="dxa"/>
            <w:left w:w="15" w:type="dxa"/>
            <w:bottom w:w="15" w:type="dxa"/>
            <w:right w:w="15" w:type="dxa"/>
          </w:tblCellMar>
        </w:tblPrEx>
        <w:tc>
          <w:tcPr>
            <w:tcW w:w="792" w:type="dxa"/>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val="0"/>
              <w:overflowPunct/>
              <w:bidi w:val="0"/>
              <w:ind w:left="0" w:right="0" w:firstLine="0"/>
              <w:jc w:val="center"/>
            </w:pPr>
            <w:r>
              <w:rPr>
                <w:rStyle w:val="14"/>
                <w:rFonts w:ascii="Calibri" w:hAnsi="Calibri" w:cs="Calibri"/>
                <w:sz w:val="24"/>
                <w:szCs w:val="24"/>
              </w:rPr>
              <w:t>Item</w:t>
            </w:r>
          </w:p>
        </w:tc>
        <w:tc>
          <w:tcPr>
            <w:tcW w:w="1053" w:type="dxa"/>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val="0"/>
              <w:overflowPunct/>
              <w:bidi w:val="0"/>
              <w:ind w:left="0" w:right="0" w:firstLine="0"/>
              <w:jc w:val="center"/>
            </w:pPr>
            <w:r>
              <w:rPr>
                <w:rStyle w:val="14"/>
                <w:rFonts w:ascii="Calibri" w:hAnsi="Calibri" w:cs="Calibri"/>
                <w:sz w:val="24"/>
                <w:szCs w:val="24"/>
              </w:rPr>
              <w:t>Grupo/</w:t>
            </w:r>
          </w:p>
          <w:p>
            <w:pPr>
              <w:widowControl w:val="0"/>
              <w:overflowPunct/>
              <w:bidi w:val="0"/>
              <w:ind w:left="0" w:right="0" w:firstLine="0"/>
              <w:jc w:val="center"/>
            </w:pPr>
            <w:r>
              <w:rPr>
                <w:rStyle w:val="14"/>
                <w:rFonts w:ascii="Calibri" w:hAnsi="Calibri" w:cs="Calibri"/>
                <w:sz w:val="24"/>
                <w:szCs w:val="24"/>
              </w:rPr>
              <w:t>Classe</w:t>
            </w:r>
          </w:p>
        </w:tc>
        <w:tc>
          <w:tcPr>
            <w:tcW w:w="1365" w:type="dxa"/>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val="0"/>
              <w:overflowPunct/>
              <w:bidi w:val="0"/>
              <w:ind w:left="0" w:right="0" w:firstLine="0"/>
              <w:jc w:val="center"/>
            </w:pPr>
            <w:r>
              <w:rPr>
                <w:rStyle w:val="14"/>
                <w:rFonts w:ascii="Calibri" w:hAnsi="Calibri" w:cs="Calibri"/>
                <w:sz w:val="24"/>
                <w:szCs w:val="24"/>
              </w:rPr>
              <w:t>Código</w:t>
            </w:r>
          </w:p>
        </w:tc>
        <w:tc>
          <w:tcPr>
            <w:tcW w:w="3734" w:type="dxa"/>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val="0"/>
              <w:overflowPunct/>
              <w:bidi w:val="0"/>
              <w:ind w:left="0" w:right="0" w:firstLine="0"/>
              <w:jc w:val="center"/>
            </w:pPr>
            <w:r>
              <w:rPr>
                <w:rStyle w:val="14"/>
                <w:rFonts w:ascii="Calibri" w:hAnsi="Calibri" w:cs="Calibri"/>
                <w:sz w:val="24"/>
                <w:szCs w:val="24"/>
              </w:rPr>
              <w:t>Descrição do Material</w:t>
            </w:r>
          </w:p>
        </w:tc>
        <w:tc>
          <w:tcPr>
            <w:tcW w:w="1305" w:type="dxa"/>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val="0"/>
              <w:overflowPunct/>
              <w:bidi w:val="0"/>
              <w:ind w:left="0" w:right="0" w:firstLine="0"/>
              <w:jc w:val="center"/>
            </w:pPr>
            <w:r>
              <w:rPr>
                <w:rStyle w:val="14"/>
                <w:rFonts w:ascii="Calibri" w:hAnsi="Calibri" w:cs="Calibri"/>
                <w:sz w:val="24"/>
                <w:szCs w:val="24"/>
              </w:rPr>
              <w:t>Unidade</w:t>
            </w:r>
          </w:p>
        </w:tc>
        <w:tc>
          <w:tcPr>
            <w:tcW w:w="1410" w:type="dxa"/>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val="0"/>
              <w:overflowPunct/>
              <w:bidi w:val="0"/>
              <w:ind w:left="0" w:right="0" w:firstLine="0"/>
              <w:jc w:val="center"/>
            </w:pPr>
            <w:r>
              <w:rPr>
                <w:rStyle w:val="14"/>
                <w:rFonts w:ascii="Calibri" w:hAnsi="Calibri" w:cs="Calibri"/>
                <w:sz w:val="24"/>
                <w:szCs w:val="24"/>
              </w:rPr>
              <w:t>Quantidade</w:t>
            </w:r>
          </w:p>
        </w:tc>
      </w:tr>
      <w:tr>
        <w:tblPrEx>
          <w:tblCellMar>
            <w:top w:w="15" w:type="dxa"/>
            <w:left w:w="15" w:type="dxa"/>
            <w:bottom w:w="15" w:type="dxa"/>
            <w:right w:w="15" w:type="dxa"/>
          </w:tblCellMar>
        </w:tblPrEx>
        <w:tc>
          <w:tcPr>
            <w:tcW w:w="792" w:type="dxa"/>
            <w:tcBorders>
              <w:top w:val="single" w:color="000000" w:sz="4" w:space="0"/>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w:t>
            </w:r>
          </w:p>
        </w:tc>
        <w:tc>
          <w:tcPr>
            <w:tcW w:w="1053" w:type="dxa"/>
            <w:tcBorders>
              <w:top w:val="single" w:color="000000" w:sz="4" w:space="0"/>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1904</w:t>
            </w:r>
          </w:p>
        </w:tc>
        <w:tc>
          <w:tcPr>
            <w:tcW w:w="1365" w:type="dxa"/>
            <w:tcBorders>
              <w:top w:val="single" w:color="000000" w:sz="4" w:space="0"/>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001600008</w:t>
            </w:r>
          </w:p>
        </w:tc>
        <w:tc>
          <w:tcPr>
            <w:tcW w:w="3734" w:type="dxa"/>
            <w:tcBorders>
              <w:top w:val="single" w:color="000000" w:sz="4" w:space="0"/>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rPr>
                <w:rFonts w:ascii="Calibri" w:hAnsi="Calibri"/>
                <w:sz w:val="24"/>
                <w:szCs w:val="24"/>
              </w:rPr>
            </w:pPr>
            <w:r>
              <w:rPr>
                <w:rFonts w:ascii="Calibri" w:hAnsi="Calibri"/>
                <w:sz w:val="24"/>
                <w:szCs w:val="24"/>
              </w:rPr>
              <w:t>Fórmula modificada para nutrição enteral e ORAL, líquida, nutricionalmente completa, com densidade energética maior ou igual a 1,5 kcal/mL; normoproteica (maior ou igual a 10% e menor que 20% do VET (valor energético total) de proteínas); isenta de fibras; sabor BAUNILHA. Embalagem de 180 a 200 mL.</w:t>
            </w:r>
          </w:p>
        </w:tc>
        <w:tc>
          <w:tcPr>
            <w:tcW w:w="1305" w:type="dxa"/>
            <w:tcBorders>
              <w:top w:val="single" w:color="000000" w:sz="4" w:space="0"/>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cal</w:t>
            </w:r>
          </w:p>
        </w:tc>
        <w:tc>
          <w:tcPr>
            <w:tcW w:w="1410" w:type="dxa"/>
            <w:tcBorders>
              <w:top w:val="single" w:color="000000" w:sz="4" w:space="0"/>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10.551.600</w:t>
            </w:r>
          </w:p>
        </w:tc>
      </w:tr>
      <w:tr>
        <w:tblPrEx>
          <w:tblCellMar>
            <w:top w:w="15" w:type="dxa"/>
            <w:left w:w="15" w:type="dxa"/>
            <w:bottom w:w="15" w:type="dxa"/>
            <w:right w:w="15" w:type="dxa"/>
          </w:tblCellMar>
        </w:tblPrEx>
        <w:tc>
          <w:tcPr>
            <w:tcW w:w="792"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4</w:t>
            </w:r>
          </w:p>
        </w:tc>
        <w:tc>
          <w:tcPr>
            <w:tcW w:w="1053"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1904</w:t>
            </w:r>
          </w:p>
        </w:tc>
        <w:tc>
          <w:tcPr>
            <w:tcW w:w="1365"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001600049</w:t>
            </w:r>
          </w:p>
        </w:tc>
        <w:tc>
          <w:tcPr>
            <w:tcW w:w="3734"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rPr>
                <w:rFonts w:ascii="Calibri" w:hAnsi="Calibri"/>
                <w:sz w:val="24"/>
                <w:szCs w:val="24"/>
              </w:rPr>
            </w:pPr>
            <w:r>
              <w:rPr>
                <w:rFonts w:ascii="Calibri" w:hAnsi="Calibri"/>
                <w:sz w:val="24"/>
                <w:szCs w:val="24"/>
              </w:rPr>
              <w:t>Fórmula modificada para nutrição enteral e ORAL, líquida, nutricionalmente completa, com densidade energética maior ou igual a 1,5 kcal/mL; normoproteica (maior ou igual a 10% e menor que 20% do VET (valor energético total) de proteínas); isenta de fibras; sabor CHOCOLATE. Embalagem de 180 a 200 mL.</w:t>
            </w:r>
          </w:p>
        </w:tc>
        <w:tc>
          <w:tcPr>
            <w:tcW w:w="1305"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cal</w:t>
            </w:r>
          </w:p>
        </w:tc>
        <w:tc>
          <w:tcPr>
            <w:tcW w:w="1410"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5.497.200</w:t>
            </w:r>
          </w:p>
        </w:tc>
      </w:tr>
      <w:tr>
        <w:tblPrEx>
          <w:tblCellMar>
            <w:top w:w="15" w:type="dxa"/>
            <w:left w:w="15" w:type="dxa"/>
            <w:bottom w:w="15" w:type="dxa"/>
            <w:right w:w="15" w:type="dxa"/>
          </w:tblCellMar>
        </w:tblPrEx>
        <w:tc>
          <w:tcPr>
            <w:tcW w:w="792"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5</w:t>
            </w:r>
          </w:p>
        </w:tc>
        <w:tc>
          <w:tcPr>
            <w:tcW w:w="1053"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1904</w:t>
            </w:r>
          </w:p>
        </w:tc>
        <w:tc>
          <w:tcPr>
            <w:tcW w:w="1365"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001600050</w:t>
            </w:r>
          </w:p>
        </w:tc>
        <w:tc>
          <w:tcPr>
            <w:tcW w:w="3734"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rPr>
                <w:rFonts w:ascii="Calibri" w:hAnsi="Calibri"/>
                <w:sz w:val="24"/>
                <w:szCs w:val="24"/>
              </w:rPr>
            </w:pPr>
            <w:r>
              <w:rPr>
                <w:rFonts w:ascii="Calibri" w:hAnsi="Calibri"/>
                <w:sz w:val="24"/>
                <w:szCs w:val="24"/>
              </w:rPr>
              <w:t>Fórmula modificada para nutrição enteral e ORAL, líquida, nutricionalmente completa, com densidade energética maior ou igual a 1,5 kcal/mL; normoproteica (maior ou igual a 10% e menor que 20% do VET (valor energético total) de proteínas); isenta de fibras; sabor MORANGO. Embalagem de 180 a 200 mL.</w:t>
            </w:r>
          </w:p>
        </w:tc>
        <w:tc>
          <w:tcPr>
            <w:tcW w:w="1305"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cal</w:t>
            </w:r>
          </w:p>
        </w:tc>
        <w:tc>
          <w:tcPr>
            <w:tcW w:w="1410"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3.965.760</w:t>
            </w:r>
          </w:p>
        </w:tc>
      </w:tr>
      <w:tr>
        <w:tblPrEx>
          <w:tblCellMar>
            <w:top w:w="15" w:type="dxa"/>
            <w:left w:w="15" w:type="dxa"/>
            <w:bottom w:w="15" w:type="dxa"/>
            <w:right w:w="15" w:type="dxa"/>
          </w:tblCellMar>
        </w:tblPrEx>
        <w:tc>
          <w:tcPr>
            <w:tcW w:w="792"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16</w:t>
            </w:r>
          </w:p>
        </w:tc>
        <w:tc>
          <w:tcPr>
            <w:tcW w:w="1053"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1904</w:t>
            </w:r>
          </w:p>
        </w:tc>
        <w:tc>
          <w:tcPr>
            <w:tcW w:w="1365"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001600051</w:t>
            </w:r>
          </w:p>
        </w:tc>
        <w:tc>
          <w:tcPr>
            <w:tcW w:w="3734"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rPr>
                <w:rFonts w:ascii="Calibri" w:hAnsi="Calibri"/>
                <w:sz w:val="24"/>
                <w:szCs w:val="24"/>
              </w:rPr>
            </w:pPr>
            <w:r>
              <w:rPr>
                <w:rFonts w:ascii="Calibri" w:hAnsi="Calibri"/>
                <w:sz w:val="24"/>
                <w:szCs w:val="24"/>
              </w:rPr>
              <w:t>Alimento pronto para o consumo para dietas com restrição de sacarose, líquido, para controle glicêmico, com fibras, isento de sacarose; hiperproteico (maior ou igual a 20% do VET (valor energético total) de proteínas); com sabor (exceto baunilha). Embalagem de 180 a 200 mL.</w:t>
            </w:r>
          </w:p>
        </w:tc>
        <w:tc>
          <w:tcPr>
            <w:tcW w:w="1305"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cal</w:t>
            </w:r>
          </w:p>
        </w:tc>
        <w:tc>
          <w:tcPr>
            <w:tcW w:w="1410"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1.620.000</w:t>
            </w:r>
          </w:p>
        </w:tc>
      </w:tr>
    </w:tbl>
    <w:p>
      <w:pPr>
        <w:tabs>
          <w:tab w:val="left" w:pos="709"/>
          <w:tab w:val="left" w:pos="1418"/>
          <w:tab w:val="left" w:pos="2127"/>
          <w:tab w:val="left" w:pos="2836"/>
          <w:tab w:val="left" w:pos="3545"/>
          <w:tab w:val="left" w:pos="4254"/>
          <w:tab w:val="left" w:pos="4963"/>
          <w:tab w:val="left" w:pos="5672"/>
          <w:tab w:val="left" w:pos="6381"/>
          <w:tab w:val="left" w:pos="7090"/>
          <w:tab w:val="left" w:pos="7799"/>
        </w:tabs>
        <w:overflowPunct/>
        <w:bidi w:val="0"/>
        <w:spacing w:before="1" w:after="0" w:line="276" w:lineRule="auto"/>
        <w:ind w:left="0" w:right="0" w:firstLine="0"/>
        <w:jc w:val="both"/>
        <w:rPr>
          <w:rFonts w:eastAsia="NSimSun" w:cs="Lucida Sans"/>
          <w:kern w:val="0"/>
          <w:lang w:val="pt-BR" w:eastAsia="zh-CN" w:bidi="hi-IN"/>
        </w:rPr>
      </w:pPr>
    </w:p>
    <w:p>
      <w:pPr>
        <w:pStyle w:val="16"/>
        <w:overflowPunct/>
        <w:bidi w:val="0"/>
        <w:spacing w:line="276" w:lineRule="auto"/>
        <w:ind w:left="0" w:right="0" w:firstLine="0"/>
      </w:pPr>
      <w:r>
        <w:rPr>
          <w:rStyle w:val="14"/>
          <w:rFonts w:ascii="Calibri" w:hAnsi="Calibri" w:cs="Calibri"/>
          <w:sz w:val="24"/>
          <w:szCs w:val="24"/>
          <w:lang w:val="pt-PT"/>
        </w:rPr>
        <w:t xml:space="preserve">Solicitante: </w:t>
      </w:r>
      <w:r>
        <w:rPr>
          <w:rStyle w:val="14"/>
          <w:rFonts w:ascii="Calibri" w:hAnsi="Calibri" w:eastAsia="SimSun" w:cs="Calibri"/>
          <w:b/>
          <w:bCs/>
          <w:color w:val="000000"/>
          <w:kern w:val="0"/>
          <w:sz w:val="24"/>
          <w:szCs w:val="24"/>
          <w:lang w:val="pt-PT" w:eastAsia="zh-CN" w:bidi="ar-SA"/>
        </w:rPr>
        <w:t>GEJUD</w:t>
      </w:r>
      <w:r>
        <w:rPr>
          <w:rStyle w:val="14"/>
          <w:rFonts w:ascii="Calibri" w:hAnsi="Calibri" w:cs="Calibri"/>
          <w:sz w:val="24"/>
          <w:szCs w:val="24"/>
          <w:lang w:val="pt-PT"/>
        </w:rPr>
        <w:t xml:space="preserve"> </w:t>
      </w:r>
      <w:r>
        <w:rPr>
          <w:rStyle w:val="14"/>
          <w:rFonts w:ascii="Calibri" w:hAnsi="Calibri" w:eastAsia="Times New Roman" w:cs="Calibri"/>
          <w:sz w:val="24"/>
          <w:szCs w:val="24"/>
          <w:lang w:val="pt-PT"/>
        </w:rPr>
        <w:t xml:space="preserve">– </w:t>
      </w:r>
      <w:r>
        <w:rPr>
          <w:rStyle w:val="14"/>
          <w:rFonts w:ascii="Calibri" w:hAnsi="Calibri" w:eastAsia="SimSun" w:cs="Calibri"/>
          <w:b/>
          <w:bCs/>
          <w:color w:val="000000"/>
          <w:kern w:val="0"/>
          <w:sz w:val="24"/>
          <w:szCs w:val="24"/>
          <w:lang w:val="pt-PT" w:eastAsia="zh-CN" w:bidi="ar-SA"/>
        </w:rPr>
        <w:t>GERÊNCIA DE BENS JUDICIAIS</w:t>
      </w:r>
    </w:p>
    <w:tbl>
      <w:tblPr>
        <w:tblStyle w:val="13"/>
        <w:tblW w:w="9660" w:type="dxa"/>
        <w:tblInd w:w="-9" w:type="dxa"/>
        <w:tblLayout w:type="fixed"/>
        <w:tblCellMar>
          <w:top w:w="15" w:type="dxa"/>
          <w:left w:w="15" w:type="dxa"/>
          <w:bottom w:w="15" w:type="dxa"/>
          <w:right w:w="15" w:type="dxa"/>
        </w:tblCellMar>
      </w:tblPr>
      <w:tblGrid>
        <w:gridCol w:w="792"/>
        <w:gridCol w:w="1053"/>
        <w:gridCol w:w="1365"/>
        <w:gridCol w:w="3734"/>
        <w:gridCol w:w="1305"/>
        <w:gridCol w:w="1410"/>
      </w:tblGrid>
      <w:tr>
        <w:tblPrEx>
          <w:tblCellMar>
            <w:top w:w="15" w:type="dxa"/>
            <w:left w:w="15" w:type="dxa"/>
            <w:bottom w:w="15" w:type="dxa"/>
            <w:right w:w="15" w:type="dxa"/>
          </w:tblCellMar>
        </w:tblPrEx>
        <w:tc>
          <w:tcPr>
            <w:tcW w:w="792" w:type="dxa"/>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val="0"/>
              <w:overflowPunct/>
              <w:bidi w:val="0"/>
              <w:ind w:left="0" w:right="0" w:firstLine="0"/>
              <w:jc w:val="center"/>
            </w:pPr>
            <w:r>
              <w:rPr>
                <w:rStyle w:val="14"/>
                <w:rFonts w:ascii="Calibri" w:hAnsi="Calibri" w:cs="Calibri"/>
                <w:sz w:val="24"/>
                <w:szCs w:val="24"/>
              </w:rPr>
              <w:t>Item</w:t>
            </w:r>
          </w:p>
        </w:tc>
        <w:tc>
          <w:tcPr>
            <w:tcW w:w="1053" w:type="dxa"/>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val="0"/>
              <w:overflowPunct/>
              <w:bidi w:val="0"/>
              <w:ind w:left="0" w:right="0" w:firstLine="0"/>
              <w:jc w:val="center"/>
            </w:pPr>
            <w:r>
              <w:rPr>
                <w:rStyle w:val="14"/>
                <w:rFonts w:ascii="Calibri" w:hAnsi="Calibri" w:cs="Calibri"/>
                <w:sz w:val="24"/>
                <w:szCs w:val="24"/>
              </w:rPr>
              <w:t>Grupo/</w:t>
            </w:r>
          </w:p>
          <w:p>
            <w:pPr>
              <w:widowControl w:val="0"/>
              <w:overflowPunct/>
              <w:bidi w:val="0"/>
              <w:ind w:left="0" w:right="0" w:firstLine="0"/>
              <w:jc w:val="center"/>
            </w:pPr>
            <w:r>
              <w:rPr>
                <w:rStyle w:val="14"/>
                <w:rFonts w:ascii="Calibri" w:hAnsi="Calibri" w:cs="Calibri"/>
                <w:sz w:val="24"/>
                <w:szCs w:val="24"/>
              </w:rPr>
              <w:t>Classe</w:t>
            </w:r>
          </w:p>
        </w:tc>
        <w:tc>
          <w:tcPr>
            <w:tcW w:w="1365" w:type="dxa"/>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val="0"/>
              <w:overflowPunct/>
              <w:bidi w:val="0"/>
              <w:ind w:left="0" w:right="0" w:firstLine="0"/>
              <w:jc w:val="center"/>
            </w:pPr>
            <w:r>
              <w:rPr>
                <w:rStyle w:val="14"/>
                <w:rFonts w:ascii="Calibri" w:hAnsi="Calibri" w:cs="Calibri"/>
                <w:sz w:val="24"/>
                <w:szCs w:val="24"/>
              </w:rPr>
              <w:t>Código</w:t>
            </w:r>
          </w:p>
        </w:tc>
        <w:tc>
          <w:tcPr>
            <w:tcW w:w="3734" w:type="dxa"/>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val="0"/>
              <w:overflowPunct/>
              <w:bidi w:val="0"/>
              <w:ind w:left="0" w:right="0" w:firstLine="0"/>
              <w:jc w:val="center"/>
            </w:pPr>
            <w:r>
              <w:rPr>
                <w:rStyle w:val="14"/>
                <w:rFonts w:ascii="Calibri" w:hAnsi="Calibri" w:cs="Calibri"/>
                <w:sz w:val="24"/>
                <w:szCs w:val="24"/>
              </w:rPr>
              <w:t>Descrição do Material</w:t>
            </w:r>
          </w:p>
        </w:tc>
        <w:tc>
          <w:tcPr>
            <w:tcW w:w="1305" w:type="dxa"/>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val="0"/>
              <w:overflowPunct/>
              <w:bidi w:val="0"/>
              <w:ind w:left="0" w:right="0" w:firstLine="0"/>
              <w:jc w:val="center"/>
            </w:pPr>
            <w:r>
              <w:rPr>
                <w:rStyle w:val="14"/>
                <w:rFonts w:ascii="Calibri" w:hAnsi="Calibri" w:cs="Calibri"/>
                <w:sz w:val="24"/>
                <w:szCs w:val="24"/>
              </w:rPr>
              <w:t>Unidade</w:t>
            </w:r>
          </w:p>
        </w:tc>
        <w:tc>
          <w:tcPr>
            <w:tcW w:w="1410" w:type="dxa"/>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val="0"/>
              <w:overflowPunct/>
              <w:bidi w:val="0"/>
              <w:ind w:left="0" w:right="0" w:firstLine="0"/>
              <w:jc w:val="center"/>
            </w:pPr>
            <w:r>
              <w:rPr>
                <w:rStyle w:val="14"/>
                <w:rFonts w:ascii="Calibri" w:hAnsi="Calibri" w:cs="Calibri"/>
                <w:sz w:val="24"/>
                <w:szCs w:val="24"/>
              </w:rPr>
              <w:t>Quantidade</w:t>
            </w:r>
          </w:p>
        </w:tc>
      </w:tr>
      <w:tr>
        <w:tblPrEx>
          <w:tblCellMar>
            <w:top w:w="15" w:type="dxa"/>
            <w:left w:w="15" w:type="dxa"/>
            <w:bottom w:w="15" w:type="dxa"/>
            <w:right w:w="15" w:type="dxa"/>
          </w:tblCellMar>
        </w:tblPrEx>
        <w:tc>
          <w:tcPr>
            <w:tcW w:w="792" w:type="dxa"/>
            <w:tcBorders>
              <w:top w:val="single" w:color="000000" w:sz="4" w:space="0"/>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w:t>
            </w:r>
          </w:p>
        </w:tc>
        <w:tc>
          <w:tcPr>
            <w:tcW w:w="1053" w:type="dxa"/>
            <w:tcBorders>
              <w:top w:val="single" w:color="000000" w:sz="4" w:space="0"/>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1904</w:t>
            </w:r>
          </w:p>
        </w:tc>
        <w:tc>
          <w:tcPr>
            <w:tcW w:w="1365" w:type="dxa"/>
            <w:tcBorders>
              <w:top w:val="single" w:color="000000" w:sz="4" w:space="0"/>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001600008</w:t>
            </w:r>
          </w:p>
        </w:tc>
        <w:tc>
          <w:tcPr>
            <w:tcW w:w="3734" w:type="dxa"/>
            <w:tcBorders>
              <w:top w:val="single" w:color="000000" w:sz="4" w:space="0"/>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rPr>
                <w:rFonts w:ascii="Calibri" w:hAnsi="Calibri"/>
                <w:sz w:val="24"/>
                <w:szCs w:val="24"/>
              </w:rPr>
            </w:pPr>
            <w:r>
              <w:rPr>
                <w:rFonts w:ascii="Calibri" w:hAnsi="Calibri"/>
                <w:sz w:val="24"/>
                <w:szCs w:val="24"/>
              </w:rPr>
              <w:t>Fórmula modificada para nutrição enteral e ORAL, líquida, nutricionalmente completa, com densidade energética maior ou igual a 1,5 kcal/mL; normoproteica (maior ou igual a 10% e menor que 20% do VET (valor energético total) de proteínas); isenta de fibras; sabor BAUNILHA. Embalagem de 180 a 200 mL.</w:t>
            </w:r>
          </w:p>
        </w:tc>
        <w:tc>
          <w:tcPr>
            <w:tcW w:w="1305" w:type="dxa"/>
            <w:tcBorders>
              <w:top w:val="single" w:color="000000" w:sz="4" w:space="0"/>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cal</w:t>
            </w:r>
          </w:p>
        </w:tc>
        <w:tc>
          <w:tcPr>
            <w:tcW w:w="1410" w:type="dxa"/>
            <w:tcBorders>
              <w:top w:val="single" w:color="000000" w:sz="4" w:space="0"/>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216.000</w:t>
            </w:r>
          </w:p>
        </w:tc>
      </w:tr>
      <w:tr>
        <w:tblPrEx>
          <w:tblCellMar>
            <w:top w:w="15" w:type="dxa"/>
            <w:left w:w="15" w:type="dxa"/>
            <w:bottom w:w="15" w:type="dxa"/>
            <w:right w:w="15" w:type="dxa"/>
          </w:tblCellMar>
        </w:tblPrEx>
        <w:tc>
          <w:tcPr>
            <w:tcW w:w="792"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2</w:t>
            </w:r>
          </w:p>
        </w:tc>
        <w:tc>
          <w:tcPr>
            <w:tcW w:w="1053"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1904</w:t>
            </w:r>
          </w:p>
        </w:tc>
        <w:tc>
          <w:tcPr>
            <w:tcW w:w="1365"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001600023</w:t>
            </w:r>
          </w:p>
        </w:tc>
        <w:tc>
          <w:tcPr>
            <w:tcW w:w="3734"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rPr>
                <w:rFonts w:ascii="Calibri" w:hAnsi="Calibri"/>
                <w:sz w:val="24"/>
                <w:szCs w:val="24"/>
              </w:rPr>
            </w:pPr>
            <w:r>
              <w:rPr>
                <w:rFonts w:ascii="Calibri" w:hAnsi="Calibri"/>
                <w:sz w:val="24"/>
                <w:szCs w:val="24"/>
              </w:rPr>
              <w:t>Fórmula modificada para nutrição enteral e ORAL, líquida, nutricionalmente completa, para pacientes oncológicos, enriquecida com EPA (ácido eicosapentaenoico), com mix de fibras solúveis e insolúveis e antioxidantes (beta caroteno, vitamina C, selênio, manganês e zinco); com densidade energética maior ou igual a 1,5 kcal/mL; hiperproteica (maior ou igual a 20% do VET (valor energético total) de proteínas); com no mínimo 3 sabores. Embalagem de 100 a 200 mL.</w:t>
            </w:r>
          </w:p>
        </w:tc>
        <w:tc>
          <w:tcPr>
            <w:tcW w:w="1305"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cal</w:t>
            </w:r>
          </w:p>
        </w:tc>
        <w:tc>
          <w:tcPr>
            <w:tcW w:w="1410"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108.000</w:t>
            </w:r>
          </w:p>
        </w:tc>
      </w:tr>
      <w:tr>
        <w:tblPrEx>
          <w:tblCellMar>
            <w:top w:w="15" w:type="dxa"/>
            <w:left w:w="15" w:type="dxa"/>
            <w:bottom w:w="15" w:type="dxa"/>
            <w:right w:w="15" w:type="dxa"/>
          </w:tblCellMar>
        </w:tblPrEx>
        <w:tc>
          <w:tcPr>
            <w:tcW w:w="792"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10</w:t>
            </w:r>
          </w:p>
        </w:tc>
        <w:tc>
          <w:tcPr>
            <w:tcW w:w="1053"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1905</w:t>
            </w:r>
          </w:p>
        </w:tc>
        <w:tc>
          <w:tcPr>
            <w:tcW w:w="1365"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001945043</w:t>
            </w:r>
          </w:p>
        </w:tc>
        <w:tc>
          <w:tcPr>
            <w:tcW w:w="3734"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rPr>
                <w:rFonts w:ascii="Calibri" w:hAnsi="Calibri"/>
                <w:sz w:val="24"/>
                <w:szCs w:val="24"/>
              </w:rPr>
            </w:pPr>
            <w:r>
              <w:rPr>
                <w:rFonts w:ascii="Calibri" w:hAnsi="Calibri"/>
                <w:sz w:val="24"/>
                <w:szCs w:val="24"/>
              </w:rPr>
              <w:t>Fórmula modificada para nutrição enteral, líquida, nutricionalmente completa, com densidade energética maior ou igual a 1,5 kcal/mL; polimérica, hiperprotéica (maior ou igual a 20% do VET (valor energético total) de proteínas), no mínimo 60% de origem animal; com triglicerídeos de cadeia média. Lactose menor ou igual a 100 mg/100 mL, isenta de sacarose, glúten e fibras. Embalagem de 1000 mL, sistema fechado (SF). Obs.: A conexão da embalagem deverá estar de acordo com a norma ISSO 80369.</w:t>
            </w:r>
          </w:p>
        </w:tc>
        <w:tc>
          <w:tcPr>
            <w:tcW w:w="1305"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cal</w:t>
            </w:r>
          </w:p>
        </w:tc>
        <w:tc>
          <w:tcPr>
            <w:tcW w:w="1410"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1.152.000</w:t>
            </w:r>
          </w:p>
        </w:tc>
      </w:tr>
      <w:tr>
        <w:tblPrEx>
          <w:tblCellMar>
            <w:top w:w="15" w:type="dxa"/>
            <w:left w:w="15" w:type="dxa"/>
            <w:bottom w:w="15" w:type="dxa"/>
            <w:right w:w="15" w:type="dxa"/>
          </w:tblCellMar>
        </w:tblPrEx>
        <w:tc>
          <w:tcPr>
            <w:tcW w:w="792"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12</w:t>
            </w:r>
          </w:p>
        </w:tc>
        <w:tc>
          <w:tcPr>
            <w:tcW w:w="1053"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1905</w:t>
            </w:r>
          </w:p>
        </w:tc>
        <w:tc>
          <w:tcPr>
            <w:tcW w:w="1365"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001945063</w:t>
            </w:r>
          </w:p>
        </w:tc>
        <w:tc>
          <w:tcPr>
            <w:tcW w:w="3734"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rPr>
                <w:rFonts w:ascii="Calibri" w:hAnsi="Calibri"/>
                <w:sz w:val="24"/>
                <w:szCs w:val="24"/>
              </w:rPr>
            </w:pPr>
            <w:r>
              <w:rPr>
                <w:rFonts w:ascii="Calibri" w:hAnsi="Calibri"/>
                <w:sz w:val="24"/>
                <w:szCs w:val="24"/>
              </w:rPr>
              <w:t>Fórmula modificada para nutrição enteral e oral, em pó, nutricionalmente completa, com densidade energética de 1,0 kcal/mL; oligomérica, com 15 a 20% do VET (valor energético total) de proteínas; com ácidos graxos essenciais e triglicerídeos de cadeia média; com sabor. Embalagem de 350 a 400 g, rígida tipo pote ou lata com lacre, com colher medida.</w:t>
            </w:r>
          </w:p>
        </w:tc>
        <w:tc>
          <w:tcPr>
            <w:tcW w:w="1305"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grama</w:t>
            </w:r>
          </w:p>
        </w:tc>
        <w:tc>
          <w:tcPr>
            <w:tcW w:w="1410"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134.400</w:t>
            </w:r>
          </w:p>
        </w:tc>
      </w:tr>
      <w:tr>
        <w:tblPrEx>
          <w:tblCellMar>
            <w:top w:w="15" w:type="dxa"/>
            <w:left w:w="15" w:type="dxa"/>
            <w:bottom w:w="15" w:type="dxa"/>
            <w:right w:w="15" w:type="dxa"/>
          </w:tblCellMar>
        </w:tblPrEx>
        <w:tc>
          <w:tcPr>
            <w:tcW w:w="792"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13</w:t>
            </w:r>
          </w:p>
        </w:tc>
        <w:tc>
          <w:tcPr>
            <w:tcW w:w="1053"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1905</w:t>
            </w:r>
          </w:p>
        </w:tc>
        <w:tc>
          <w:tcPr>
            <w:tcW w:w="1365"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001945064</w:t>
            </w:r>
          </w:p>
        </w:tc>
        <w:tc>
          <w:tcPr>
            <w:tcW w:w="3734"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rPr>
                <w:rFonts w:ascii="Calibri" w:hAnsi="Calibri"/>
                <w:sz w:val="24"/>
                <w:szCs w:val="24"/>
              </w:rPr>
            </w:pPr>
            <w:r>
              <w:rPr>
                <w:rFonts w:ascii="Calibri" w:hAnsi="Calibri"/>
                <w:sz w:val="24"/>
                <w:szCs w:val="24"/>
              </w:rPr>
              <w:t>Fórmula modificada para nutrição enteral, líquida, nutricionalmente completa, com densidade energética igual a 1,5 kcal/mL; polimérica, normoprotéica (maior ou igual a 10% e menor que 20% do VET (valor energético total) de proteínas), no mínimo 60% de origem animal; normolipídica (maior ou igual a 15% e menor ou igual a 35% do VET de lipídios), no máximo 10% do VET de gordura saturada. Limite máximo de sódio de 115 mg/100 kcal. Lactose menor ou igual a 100 mg/100 mL, isenta de sacarose, glúten e fibras. Embalagem de 1000 mL, tetra pak ou rígida.</w:t>
            </w:r>
          </w:p>
        </w:tc>
        <w:tc>
          <w:tcPr>
            <w:tcW w:w="1305"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cal</w:t>
            </w:r>
          </w:p>
        </w:tc>
        <w:tc>
          <w:tcPr>
            <w:tcW w:w="1410"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720.000</w:t>
            </w:r>
          </w:p>
        </w:tc>
      </w:tr>
    </w:tbl>
    <w:p>
      <w:pPr>
        <w:tabs>
          <w:tab w:val="left" w:pos="709"/>
          <w:tab w:val="left" w:pos="1418"/>
          <w:tab w:val="left" w:pos="2127"/>
          <w:tab w:val="left" w:pos="2836"/>
          <w:tab w:val="left" w:pos="3545"/>
          <w:tab w:val="left" w:pos="4254"/>
          <w:tab w:val="left" w:pos="4963"/>
          <w:tab w:val="left" w:pos="5672"/>
          <w:tab w:val="left" w:pos="6381"/>
          <w:tab w:val="left" w:pos="7090"/>
          <w:tab w:val="left" w:pos="7799"/>
        </w:tabs>
        <w:overflowPunct/>
        <w:bidi w:val="0"/>
        <w:spacing w:before="1" w:after="0" w:line="276" w:lineRule="auto"/>
        <w:ind w:left="0" w:right="0" w:firstLine="0"/>
        <w:jc w:val="both"/>
        <w:rPr>
          <w:rFonts w:eastAsia="NSimSun" w:cs="Lucida Sans"/>
          <w:kern w:val="0"/>
          <w:lang w:val="pt-BR" w:eastAsia="zh-CN" w:bidi="hi-IN"/>
        </w:rPr>
      </w:pPr>
    </w:p>
    <w:p>
      <w:pPr>
        <w:pStyle w:val="16"/>
        <w:overflowPunct/>
        <w:bidi w:val="0"/>
        <w:spacing w:line="276" w:lineRule="auto"/>
        <w:ind w:left="0" w:right="0" w:firstLine="0"/>
      </w:pPr>
      <w:r>
        <w:rPr>
          <w:rStyle w:val="14"/>
          <w:rFonts w:ascii="Calibri" w:hAnsi="Calibri" w:cs="Calibri"/>
          <w:sz w:val="24"/>
          <w:szCs w:val="24"/>
          <w:lang w:val="pt-PT"/>
        </w:rPr>
        <w:t xml:space="preserve">Solicitante: </w:t>
      </w:r>
      <w:r>
        <w:rPr>
          <w:rStyle w:val="14"/>
          <w:rFonts w:ascii="Calibri" w:hAnsi="Calibri" w:eastAsia="SimSun" w:cs="Calibri"/>
          <w:b/>
          <w:bCs/>
          <w:color w:val="000000"/>
          <w:kern w:val="0"/>
          <w:sz w:val="24"/>
          <w:szCs w:val="24"/>
          <w:lang w:val="pt-PT" w:eastAsia="zh-CN" w:bidi="ar-SA"/>
        </w:rPr>
        <w:t>GEBER</w:t>
      </w:r>
      <w:r>
        <w:rPr>
          <w:rStyle w:val="14"/>
          <w:rFonts w:ascii="Calibri" w:hAnsi="Calibri" w:cs="Calibri"/>
          <w:sz w:val="24"/>
          <w:szCs w:val="24"/>
          <w:lang w:val="pt-PT"/>
        </w:rPr>
        <w:t xml:space="preserve"> </w:t>
      </w:r>
      <w:r>
        <w:rPr>
          <w:rStyle w:val="14"/>
          <w:rFonts w:ascii="Calibri" w:hAnsi="Calibri" w:eastAsia="Times New Roman" w:cs="Calibri"/>
          <w:sz w:val="24"/>
          <w:szCs w:val="24"/>
          <w:lang w:val="pt-PT"/>
        </w:rPr>
        <w:t xml:space="preserve">– </w:t>
      </w:r>
      <w:r>
        <w:rPr>
          <w:rStyle w:val="14"/>
          <w:rFonts w:ascii="Calibri" w:hAnsi="Calibri" w:eastAsia="SimSun" w:cs="Calibri"/>
          <w:b/>
          <w:bCs/>
          <w:color w:val="000000"/>
          <w:kern w:val="0"/>
          <w:sz w:val="24"/>
          <w:szCs w:val="24"/>
          <w:lang w:val="pt-PT" w:eastAsia="zh-CN" w:bidi="ar-SA"/>
        </w:rPr>
        <w:t>GERÊNCIA DE BENS REGULARES</w:t>
      </w:r>
    </w:p>
    <w:tbl>
      <w:tblPr>
        <w:tblStyle w:val="13"/>
        <w:tblW w:w="9660" w:type="dxa"/>
        <w:tblInd w:w="-9" w:type="dxa"/>
        <w:tblLayout w:type="fixed"/>
        <w:tblCellMar>
          <w:top w:w="15" w:type="dxa"/>
          <w:left w:w="15" w:type="dxa"/>
          <w:bottom w:w="15" w:type="dxa"/>
          <w:right w:w="15" w:type="dxa"/>
        </w:tblCellMar>
      </w:tblPr>
      <w:tblGrid>
        <w:gridCol w:w="792"/>
        <w:gridCol w:w="1053"/>
        <w:gridCol w:w="1365"/>
        <w:gridCol w:w="3734"/>
        <w:gridCol w:w="1305"/>
        <w:gridCol w:w="1410"/>
      </w:tblGrid>
      <w:tr>
        <w:tblPrEx>
          <w:tblCellMar>
            <w:top w:w="15" w:type="dxa"/>
            <w:left w:w="15" w:type="dxa"/>
            <w:bottom w:w="15" w:type="dxa"/>
            <w:right w:w="15" w:type="dxa"/>
          </w:tblCellMar>
        </w:tblPrEx>
        <w:tc>
          <w:tcPr>
            <w:tcW w:w="792" w:type="dxa"/>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val="0"/>
              <w:overflowPunct/>
              <w:bidi w:val="0"/>
              <w:ind w:left="0" w:right="0" w:firstLine="0"/>
              <w:jc w:val="center"/>
            </w:pPr>
            <w:r>
              <w:rPr>
                <w:rStyle w:val="14"/>
                <w:rFonts w:ascii="Calibri" w:hAnsi="Calibri" w:cs="Calibri"/>
                <w:sz w:val="24"/>
                <w:szCs w:val="24"/>
              </w:rPr>
              <w:t>Item</w:t>
            </w:r>
          </w:p>
        </w:tc>
        <w:tc>
          <w:tcPr>
            <w:tcW w:w="1053" w:type="dxa"/>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val="0"/>
              <w:overflowPunct/>
              <w:bidi w:val="0"/>
              <w:ind w:left="0" w:right="0" w:firstLine="0"/>
              <w:jc w:val="center"/>
            </w:pPr>
            <w:r>
              <w:rPr>
                <w:rStyle w:val="14"/>
                <w:rFonts w:ascii="Calibri" w:hAnsi="Calibri" w:cs="Calibri"/>
                <w:sz w:val="24"/>
                <w:szCs w:val="24"/>
              </w:rPr>
              <w:t>Grupo/</w:t>
            </w:r>
          </w:p>
          <w:p>
            <w:pPr>
              <w:widowControl w:val="0"/>
              <w:overflowPunct/>
              <w:bidi w:val="0"/>
              <w:ind w:left="0" w:right="0" w:firstLine="0"/>
              <w:jc w:val="center"/>
            </w:pPr>
            <w:r>
              <w:rPr>
                <w:rStyle w:val="14"/>
                <w:rFonts w:ascii="Calibri" w:hAnsi="Calibri" w:cs="Calibri"/>
                <w:sz w:val="24"/>
                <w:szCs w:val="24"/>
              </w:rPr>
              <w:t>Classe</w:t>
            </w:r>
          </w:p>
        </w:tc>
        <w:tc>
          <w:tcPr>
            <w:tcW w:w="1365" w:type="dxa"/>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val="0"/>
              <w:overflowPunct/>
              <w:bidi w:val="0"/>
              <w:ind w:left="0" w:right="0" w:firstLine="0"/>
              <w:jc w:val="center"/>
            </w:pPr>
            <w:r>
              <w:rPr>
                <w:rStyle w:val="14"/>
                <w:rFonts w:ascii="Calibri" w:hAnsi="Calibri" w:cs="Calibri"/>
                <w:sz w:val="24"/>
                <w:szCs w:val="24"/>
              </w:rPr>
              <w:t>Código</w:t>
            </w:r>
          </w:p>
        </w:tc>
        <w:tc>
          <w:tcPr>
            <w:tcW w:w="3734" w:type="dxa"/>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val="0"/>
              <w:overflowPunct/>
              <w:bidi w:val="0"/>
              <w:ind w:left="0" w:right="0" w:firstLine="0"/>
              <w:jc w:val="center"/>
            </w:pPr>
            <w:r>
              <w:rPr>
                <w:rStyle w:val="14"/>
                <w:rFonts w:ascii="Calibri" w:hAnsi="Calibri" w:cs="Calibri"/>
                <w:sz w:val="24"/>
                <w:szCs w:val="24"/>
              </w:rPr>
              <w:t>Descrição do Material</w:t>
            </w:r>
          </w:p>
        </w:tc>
        <w:tc>
          <w:tcPr>
            <w:tcW w:w="1305" w:type="dxa"/>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val="0"/>
              <w:overflowPunct/>
              <w:bidi w:val="0"/>
              <w:ind w:left="0" w:right="0" w:firstLine="0"/>
              <w:jc w:val="center"/>
            </w:pPr>
            <w:r>
              <w:rPr>
                <w:rStyle w:val="14"/>
                <w:rFonts w:ascii="Calibri" w:hAnsi="Calibri" w:cs="Calibri"/>
                <w:sz w:val="24"/>
                <w:szCs w:val="24"/>
              </w:rPr>
              <w:t>Unidade</w:t>
            </w:r>
          </w:p>
        </w:tc>
        <w:tc>
          <w:tcPr>
            <w:tcW w:w="1410" w:type="dxa"/>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val="0"/>
              <w:overflowPunct/>
              <w:bidi w:val="0"/>
              <w:ind w:left="0" w:right="0" w:firstLine="0"/>
              <w:jc w:val="center"/>
            </w:pPr>
            <w:r>
              <w:rPr>
                <w:rStyle w:val="14"/>
                <w:rFonts w:ascii="Calibri" w:hAnsi="Calibri" w:cs="Calibri"/>
                <w:sz w:val="24"/>
                <w:szCs w:val="24"/>
              </w:rPr>
              <w:t>Quantidade</w:t>
            </w:r>
          </w:p>
        </w:tc>
      </w:tr>
      <w:tr>
        <w:tblPrEx>
          <w:tblCellMar>
            <w:top w:w="15" w:type="dxa"/>
            <w:left w:w="15" w:type="dxa"/>
            <w:bottom w:w="15" w:type="dxa"/>
            <w:right w:w="15" w:type="dxa"/>
          </w:tblCellMar>
        </w:tblPrEx>
        <w:tc>
          <w:tcPr>
            <w:tcW w:w="792" w:type="dxa"/>
            <w:tcBorders>
              <w:top w:val="single" w:color="000000" w:sz="4" w:space="0"/>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w:t>
            </w:r>
          </w:p>
        </w:tc>
        <w:tc>
          <w:tcPr>
            <w:tcW w:w="1053" w:type="dxa"/>
            <w:tcBorders>
              <w:top w:val="single" w:color="000000" w:sz="4" w:space="0"/>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1904</w:t>
            </w:r>
          </w:p>
        </w:tc>
        <w:tc>
          <w:tcPr>
            <w:tcW w:w="1365" w:type="dxa"/>
            <w:tcBorders>
              <w:top w:val="single" w:color="000000" w:sz="4" w:space="0"/>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001600008</w:t>
            </w:r>
          </w:p>
        </w:tc>
        <w:tc>
          <w:tcPr>
            <w:tcW w:w="3734" w:type="dxa"/>
            <w:tcBorders>
              <w:top w:val="single" w:color="000000" w:sz="4" w:space="0"/>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rPr>
                <w:rFonts w:ascii="Calibri" w:hAnsi="Calibri"/>
                <w:sz w:val="24"/>
                <w:szCs w:val="24"/>
              </w:rPr>
            </w:pPr>
            <w:r>
              <w:rPr>
                <w:rFonts w:ascii="Calibri" w:hAnsi="Calibri"/>
                <w:sz w:val="24"/>
                <w:szCs w:val="24"/>
              </w:rPr>
              <w:t>Fórmula modificada para nutrição enteral e ORAL, líquida, nutricionalmente completa, com densidade energética maior ou igual a 1,5 kcal/mL; normoproteica (maior ou igual a 10% e menor que 20% do VET (valor energético total) de proteínas); isenta de fibras; sabor BAUNILHA. Embalagem de 180 a 200 mL.</w:t>
            </w:r>
          </w:p>
        </w:tc>
        <w:tc>
          <w:tcPr>
            <w:tcW w:w="1305" w:type="dxa"/>
            <w:tcBorders>
              <w:top w:val="single" w:color="000000" w:sz="4" w:space="0"/>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cal</w:t>
            </w:r>
          </w:p>
        </w:tc>
        <w:tc>
          <w:tcPr>
            <w:tcW w:w="1410" w:type="dxa"/>
            <w:tcBorders>
              <w:top w:val="single" w:color="000000" w:sz="4" w:space="0"/>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3.096.000</w:t>
            </w:r>
          </w:p>
        </w:tc>
      </w:tr>
      <w:tr>
        <w:tblPrEx>
          <w:tblCellMar>
            <w:top w:w="15" w:type="dxa"/>
            <w:left w:w="15" w:type="dxa"/>
            <w:bottom w:w="15" w:type="dxa"/>
            <w:right w:w="15" w:type="dxa"/>
          </w:tblCellMar>
        </w:tblPrEx>
        <w:tc>
          <w:tcPr>
            <w:tcW w:w="792"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2</w:t>
            </w:r>
          </w:p>
        </w:tc>
        <w:tc>
          <w:tcPr>
            <w:tcW w:w="1053"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1904</w:t>
            </w:r>
          </w:p>
        </w:tc>
        <w:tc>
          <w:tcPr>
            <w:tcW w:w="1365"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001600023</w:t>
            </w:r>
          </w:p>
        </w:tc>
        <w:tc>
          <w:tcPr>
            <w:tcW w:w="3734"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rPr>
                <w:rFonts w:ascii="Calibri" w:hAnsi="Calibri"/>
                <w:sz w:val="24"/>
                <w:szCs w:val="24"/>
              </w:rPr>
            </w:pPr>
            <w:r>
              <w:rPr>
                <w:rFonts w:ascii="Calibri" w:hAnsi="Calibri"/>
                <w:sz w:val="24"/>
                <w:szCs w:val="24"/>
              </w:rPr>
              <w:t>Fórmula modificada para nutrição enteral e ORAL, líquida, nutricionalmente completa, para pacientes oncológicos, enriquecida com EPA (ácido eicosapentaenoico), com mix de fibras solúveis e insolúveis e antioxidantes (beta caroteno, vitamina C, selênio, manganês e zinco); com densidade energética maior ou igual a 1,5 kcal/mL; hiperproteica (maior ou igual a 20% do VET (valor energético total) de proteínas); com no mínimo 3 sabores. Embalagem de 100 a 200 mL.</w:t>
            </w:r>
          </w:p>
        </w:tc>
        <w:tc>
          <w:tcPr>
            <w:tcW w:w="1305"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cal</w:t>
            </w:r>
          </w:p>
        </w:tc>
        <w:tc>
          <w:tcPr>
            <w:tcW w:w="1410"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2.282.400</w:t>
            </w:r>
          </w:p>
        </w:tc>
      </w:tr>
      <w:tr>
        <w:tblPrEx>
          <w:tblCellMar>
            <w:top w:w="15" w:type="dxa"/>
            <w:left w:w="15" w:type="dxa"/>
            <w:bottom w:w="15" w:type="dxa"/>
            <w:right w:w="15" w:type="dxa"/>
          </w:tblCellMar>
        </w:tblPrEx>
        <w:tc>
          <w:tcPr>
            <w:tcW w:w="792"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3</w:t>
            </w:r>
          </w:p>
        </w:tc>
        <w:tc>
          <w:tcPr>
            <w:tcW w:w="1053"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1904</w:t>
            </w:r>
          </w:p>
        </w:tc>
        <w:tc>
          <w:tcPr>
            <w:tcW w:w="1365"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001600025</w:t>
            </w:r>
          </w:p>
        </w:tc>
        <w:tc>
          <w:tcPr>
            <w:tcW w:w="3734"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rPr>
                <w:rFonts w:ascii="Calibri" w:hAnsi="Calibri"/>
                <w:sz w:val="24"/>
                <w:szCs w:val="24"/>
              </w:rPr>
            </w:pPr>
            <w:r>
              <w:rPr>
                <w:rFonts w:ascii="Calibri" w:hAnsi="Calibri"/>
                <w:sz w:val="24"/>
                <w:szCs w:val="24"/>
              </w:rPr>
              <w:t>Fórmula modificada para nutrição enteral e ORAL, líquida, nutricionalmente completa, com densidade energética igual a 1,5 kcal/mL; hiperproteica (maior ou igual a 20% do VET (valor energético total) de proteínas); sabor BAUNILHA. Embalagem de 180 a 200 mL.</w:t>
            </w:r>
          </w:p>
        </w:tc>
        <w:tc>
          <w:tcPr>
            <w:tcW w:w="1305"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cal</w:t>
            </w:r>
          </w:p>
        </w:tc>
        <w:tc>
          <w:tcPr>
            <w:tcW w:w="1410"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4.237.200</w:t>
            </w:r>
          </w:p>
        </w:tc>
      </w:tr>
      <w:tr>
        <w:tblPrEx>
          <w:tblCellMar>
            <w:top w:w="15" w:type="dxa"/>
            <w:left w:w="15" w:type="dxa"/>
            <w:bottom w:w="15" w:type="dxa"/>
            <w:right w:w="15" w:type="dxa"/>
          </w:tblCellMar>
        </w:tblPrEx>
        <w:tc>
          <w:tcPr>
            <w:tcW w:w="792"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4</w:t>
            </w:r>
          </w:p>
        </w:tc>
        <w:tc>
          <w:tcPr>
            <w:tcW w:w="1053"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1904</w:t>
            </w:r>
          </w:p>
        </w:tc>
        <w:tc>
          <w:tcPr>
            <w:tcW w:w="1365"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001600049</w:t>
            </w:r>
          </w:p>
        </w:tc>
        <w:tc>
          <w:tcPr>
            <w:tcW w:w="3734"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rPr>
                <w:rFonts w:ascii="Calibri" w:hAnsi="Calibri"/>
                <w:sz w:val="24"/>
                <w:szCs w:val="24"/>
              </w:rPr>
            </w:pPr>
            <w:r>
              <w:rPr>
                <w:rFonts w:ascii="Calibri" w:hAnsi="Calibri"/>
                <w:sz w:val="24"/>
                <w:szCs w:val="24"/>
              </w:rPr>
              <w:t>Fórmula modificada para nutrição enteral e ORAL, líquida, nutricionalmente completa, com densidade energética maior ou igual a 1,5 kcal/mL; normoproteica (maior ou igual a 10% e menor que 20% do VET (valor energético total) de proteínas); isenta de fibras; sabor CHOCOLATE. Embalagem de 180 a 200 mL.</w:t>
            </w:r>
          </w:p>
        </w:tc>
        <w:tc>
          <w:tcPr>
            <w:tcW w:w="1305"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cal</w:t>
            </w:r>
          </w:p>
        </w:tc>
        <w:tc>
          <w:tcPr>
            <w:tcW w:w="1410"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2.962.800</w:t>
            </w:r>
          </w:p>
        </w:tc>
      </w:tr>
      <w:tr>
        <w:tblPrEx>
          <w:tblCellMar>
            <w:top w:w="15" w:type="dxa"/>
            <w:left w:w="15" w:type="dxa"/>
            <w:bottom w:w="15" w:type="dxa"/>
            <w:right w:w="15" w:type="dxa"/>
          </w:tblCellMar>
        </w:tblPrEx>
        <w:tc>
          <w:tcPr>
            <w:tcW w:w="792"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5</w:t>
            </w:r>
          </w:p>
        </w:tc>
        <w:tc>
          <w:tcPr>
            <w:tcW w:w="1053"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1904</w:t>
            </w:r>
          </w:p>
        </w:tc>
        <w:tc>
          <w:tcPr>
            <w:tcW w:w="1365"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001600050</w:t>
            </w:r>
          </w:p>
        </w:tc>
        <w:tc>
          <w:tcPr>
            <w:tcW w:w="3734"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rPr>
                <w:rFonts w:ascii="Calibri" w:hAnsi="Calibri"/>
                <w:sz w:val="24"/>
                <w:szCs w:val="24"/>
              </w:rPr>
            </w:pPr>
            <w:r>
              <w:rPr>
                <w:rFonts w:ascii="Calibri" w:hAnsi="Calibri"/>
                <w:sz w:val="24"/>
                <w:szCs w:val="24"/>
              </w:rPr>
              <w:t>Fórmula modificada para nutrição enteral e ORAL, líquida, nutricionalmente completa, com densidade energética maior ou igual a 1,5 kcal/mL; normoproteica (maior ou igual a 10% e menor que 20% do VET (valor energético total) de proteínas); isenta de fibras; sabor MORANGO. Embalagem de 180 a 200 mL.</w:t>
            </w:r>
          </w:p>
        </w:tc>
        <w:tc>
          <w:tcPr>
            <w:tcW w:w="1305"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cal</w:t>
            </w:r>
          </w:p>
        </w:tc>
        <w:tc>
          <w:tcPr>
            <w:tcW w:w="1410"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3.025.152</w:t>
            </w:r>
          </w:p>
        </w:tc>
      </w:tr>
      <w:tr>
        <w:tblPrEx>
          <w:tblCellMar>
            <w:top w:w="15" w:type="dxa"/>
            <w:left w:w="15" w:type="dxa"/>
            <w:bottom w:w="15" w:type="dxa"/>
            <w:right w:w="15" w:type="dxa"/>
          </w:tblCellMar>
        </w:tblPrEx>
        <w:tc>
          <w:tcPr>
            <w:tcW w:w="792"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6</w:t>
            </w:r>
          </w:p>
        </w:tc>
        <w:tc>
          <w:tcPr>
            <w:tcW w:w="1053"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1904</w:t>
            </w:r>
          </w:p>
        </w:tc>
        <w:tc>
          <w:tcPr>
            <w:tcW w:w="1365"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001600059</w:t>
            </w:r>
          </w:p>
        </w:tc>
        <w:tc>
          <w:tcPr>
            <w:tcW w:w="3734"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rPr>
                <w:rFonts w:ascii="Calibri" w:hAnsi="Calibri"/>
                <w:sz w:val="24"/>
                <w:szCs w:val="24"/>
              </w:rPr>
            </w:pPr>
            <w:r>
              <w:rPr>
                <w:rFonts w:ascii="Calibri" w:hAnsi="Calibri"/>
                <w:sz w:val="24"/>
                <w:szCs w:val="24"/>
              </w:rPr>
              <w:t>Fórmula modificada para nutrição enteral e ORAL, líquida, nutricionalmente completa, imunomoduladora para pacientes no pré e pós-cirúrgico, com no mínimo 100 mg de vitamina C e 10 mg de vitamina E em 500 kcal, com vitamina A, cobre, selênio, zinco, manganês e ômega-3, com adição de arginina e nucleotídeos; hiperproteica (maior ou igual a 20% do VET (valor energético total) de proteínas); isenta de sacarose; com no mínimo 2 sabores. Embalagem de 180 a 200 mL.</w:t>
            </w:r>
          </w:p>
        </w:tc>
        <w:tc>
          <w:tcPr>
            <w:tcW w:w="1305"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cal</w:t>
            </w:r>
          </w:p>
        </w:tc>
        <w:tc>
          <w:tcPr>
            <w:tcW w:w="1410"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1.142.760</w:t>
            </w:r>
          </w:p>
        </w:tc>
      </w:tr>
      <w:tr>
        <w:tblPrEx>
          <w:tblCellMar>
            <w:top w:w="15" w:type="dxa"/>
            <w:left w:w="15" w:type="dxa"/>
            <w:bottom w:w="15" w:type="dxa"/>
            <w:right w:w="15" w:type="dxa"/>
          </w:tblCellMar>
        </w:tblPrEx>
        <w:tc>
          <w:tcPr>
            <w:tcW w:w="792"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7</w:t>
            </w:r>
          </w:p>
        </w:tc>
        <w:tc>
          <w:tcPr>
            <w:tcW w:w="1053"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1904</w:t>
            </w:r>
          </w:p>
        </w:tc>
        <w:tc>
          <w:tcPr>
            <w:tcW w:w="1365"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001600061</w:t>
            </w:r>
          </w:p>
        </w:tc>
        <w:tc>
          <w:tcPr>
            <w:tcW w:w="3734"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rPr>
                <w:rFonts w:ascii="Calibri" w:hAnsi="Calibri"/>
                <w:sz w:val="24"/>
                <w:szCs w:val="24"/>
              </w:rPr>
            </w:pPr>
            <w:r>
              <w:rPr>
                <w:rFonts w:ascii="Calibri" w:hAnsi="Calibri"/>
                <w:sz w:val="24"/>
                <w:szCs w:val="24"/>
              </w:rPr>
              <w:t>Fórmula modificada para nutrição enteral e ORAL, pastosa, nutricionalmente completa, com densidade energética maior ou igual a 2,0 kcal/mL; hiperproteica (maior ou igual a 20% do VET (valor energético total) de proteínas); com no mínimo 2 sabores. Embalagem de 100 a 150 g.</w:t>
            </w:r>
          </w:p>
        </w:tc>
        <w:tc>
          <w:tcPr>
            <w:tcW w:w="1305"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cal</w:t>
            </w:r>
          </w:p>
        </w:tc>
        <w:tc>
          <w:tcPr>
            <w:tcW w:w="1410"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1.170.000</w:t>
            </w:r>
          </w:p>
        </w:tc>
      </w:tr>
      <w:tr>
        <w:tblPrEx>
          <w:tblCellMar>
            <w:top w:w="15" w:type="dxa"/>
            <w:left w:w="15" w:type="dxa"/>
            <w:bottom w:w="15" w:type="dxa"/>
            <w:right w:w="15" w:type="dxa"/>
          </w:tblCellMar>
        </w:tblPrEx>
        <w:tc>
          <w:tcPr>
            <w:tcW w:w="792"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8</w:t>
            </w:r>
          </w:p>
        </w:tc>
        <w:tc>
          <w:tcPr>
            <w:tcW w:w="1053"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1905</w:t>
            </w:r>
          </w:p>
        </w:tc>
        <w:tc>
          <w:tcPr>
            <w:tcW w:w="1365"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001945015</w:t>
            </w:r>
          </w:p>
        </w:tc>
        <w:tc>
          <w:tcPr>
            <w:tcW w:w="3734"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rPr>
                <w:rFonts w:ascii="Calibri" w:hAnsi="Calibri"/>
                <w:sz w:val="24"/>
                <w:szCs w:val="24"/>
              </w:rPr>
            </w:pPr>
            <w:r>
              <w:rPr>
                <w:rFonts w:ascii="Calibri" w:hAnsi="Calibri"/>
                <w:sz w:val="24"/>
                <w:szCs w:val="24"/>
              </w:rPr>
              <w:t>Fórmula modificada para nutrição enteral e ORAL, líquida, nutricionalmente completa, para pacientes com doença renal crônica (DRC) em diálise, com densidade energética maior ou igual a 1,5 kcal/mL; com 15 a 20% do VET (valor energético total) de proteínas; no máximo 10% do VET de gordura saturada e sacarose; sódio e potássio menor ou igual a 2000 mg/ 2000 kcal; com sabor. Embalagem de 180 a 200 mL.</w:t>
            </w:r>
          </w:p>
        </w:tc>
        <w:tc>
          <w:tcPr>
            <w:tcW w:w="1305"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cal</w:t>
            </w:r>
          </w:p>
        </w:tc>
        <w:tc>
          <w:tcPr>
            <w:tcW w:w="1410"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2.174.400</w:t>
            </w:r>
          </w:p>
        </w:tc>
      </w:tr>
      <w:tr>
        <w:tblPrEx>
          <w:tblCellMar>
            <w:top w:w="15" w:type="dxa"/>
            <w:left w:w="15" w:type="dxa"/>
            <w:bottom w:w="15" w:type="dxa"/>
            <w:right w:w="15" w:type="dxa"/>
          </w:tblCellMar>
        </w:tblPrEx>
        <w:tc>
          <w:tcPr>
            <w:tcW w:w="792"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9</w:t>
            </w:r>
          </w:p>
        </w:tc>
        <w:tc>
          <w:tcPr>
            <w:tcW w:w="1053"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1905</w:t>
            </w:r>
          </w:p>
        </w:tc>
        <w:tc>
          <w:tcPr>
            <w:tcW w:w="1365"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001945016</w:t>
            </w:r>
          </w:p>
        </w:tc>
        <w:tc>
          <w:tcPr>
            <w:tcW w:w="3734"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rPr>
                <w:rFonts w:ascii="Calibri" w:hAnsi="Calibri"/>
                <w:sz w:val="24"/>
                <w:szCs w:val="24"/>
              </w:rPr>
            </w:pPr>
            <w:r>
              <w:rPr>
                <w:rFonts w:ascii="Calibri" w:hAnsi="Calibri"/>
                <w:sz w:val="24"/>
                <w:szCs w:val="24"/>
              </w:rPr>
              <w:t>Fórmula modificada para nutrição enteral e ORAL, líquida, nutricionalmente completa, para pacientes com doença renal crônica (DRC) em tratamento conservador, com densidade energética maior ou igual a 1,5 kcal/mL; hipoproteica (menor que 10% do VET (valor energético total) de proteínas); no máximo 10% do VET de gordura saturada e sacarose; sódio e potássio menor ou igual a 2000 mg/ 2000 kcal; com sabor. Embalagem de 180 a 200 mL.</w:t>
            </w:r>
          </w:p>
        </w:tc>
        <w:tc>
          <w:tcPr>
            <w:tcW w:w="1305"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cal</w:t>
            </w:r>
          </w:p>
        </w:tc>
        <w:tc>
          <w:tcPr>
            <w:tcW w:w="1410"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336.000</w:t>
            </w:r>
          </w:p>
        </w:tc>
      </w:tr>
      <w:tr>
        <w:tblPrEx>
          <w:tblCellMar>
            <w:top w:w="15" w:type="dxa"/>
            <w:left w:w="15" w:type="dxa"/>
            <w:bottom w:w="15" w:type="dxa"/>
            <w:right w:w="15" w:type="dxa"/>
          </w:tblCellMar>
        </w:tblPrEx>
        <w:tc>
          <w:tcPr>
            <w:tcW w:w="792"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10</w:t>
            </w:r>
          </w:p>
        </w:tc>
        <w:tc>
          <w:tcPr>
            <w:tcW w:w="1053"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1905</w:t>
            </w:r>
          </w:p>
        </w:tc>
        <w:tc>
          <w:tcPr>
            <w:tcW w:w="1365"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001945043</w:t>
            </w:r>
          </w:p>
        </w:tc>
        <w:tc>
          <w:tcPr>
            <w:tcW w:w="3734"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rPr>
                <w:rFonts w:ascii="Calibri" w:hAnsi="Calibri"/>
                <w:sz w:val="24"/>
                <w:szCs w:val="24"/>
              </w:rPr>
            </w:pPr>
            <w:r>
              <w:rPr>
                <w:rFonts w:ascii="Calibri" w:hAnsi="Calibri"/>
                <w:sz w:val="24"/>
                <w:szCs w:val="24"/>
              </w:rPr>
              <w:t>Fórmula modificada para nutrição enteral, líquida, nutricionalmente completa, com densidade energética maior ou igual a 1,5 kcal/mL; polimérica, hiperprotéica (maior ou igual a 20% do VET (valor energético total) de proteínas), no mínimo 60% de origem animal; com triglicerídeos de cadeia média. Lactose menor ou igual a 100 mg/100 mL, isenta de sacarose, glúten e fibras. Embalagem de 1000 mL, sistema fechado (SF). Obs.: A conexão da embalagem deverá estar de acordo com a norma ISSO 80369.</w:t>
            </w:r>
          </w:p>
        </w:tc>
        <w:tc>
          <w:tcPr>
            <w:tcW w:w="1305"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cal</w:t>
            </w:r>
          </w:p>
        </w:tc>
        <w:tc>
          <w:tcPr>
            <w:tcW w:w="1410"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53.406.000</w:t>
            </w:r>
          </w:p>
        </w:tc>
      </w:tr>
      <w:tr>
        <w:tblPrEx>
          <w:tblCellMar>
            <w:top w:w="15" w:type="dxa"/>
            <w:left w:w="15" w:type="dxa"/>
            <w:bottom w:w="15" w:type="dxa"/>
            <w:right w:w="15" w:type="dxa"/>
          </w:tblCellMar>
        </w:tblPrEx>
        <w:tc>
          <w:tcPr>
            <w:tcW w:w="792"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11</w:t>
            </w:r>
          </w:p>
        </w:tc>
        <w:tc>
          <w:tcPr>
            <w:tcW w:w="1053"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1905</w:t>
            </w:r>
          </w:p>
        </w:tc>
        <w:tc>
          <w:tcPr>
            <w:tcW w:w="1365"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001945055</w:t>
            </w:r>
          </w:p>
        </w:tc>
        <w:tc>
          <w:tcPr>
            <w:tcW w:w="3734"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rPr>
                <w:rFonts w:ascii="Calibri" w:hAnsi="Calibri"/>
                <w:sz w:val="24"/>
                <w:szCs w:val="24"/>
              </w:rPr>
            </w:pPr>
            <w:r>
              <w:rPr>
                <w:rFonts w:ascii="Calibri" w:hAnsi="Calibri"/>
                <w:sz w:val="24"/>
                <w:szCs w:val="24"/>
              </w:rPr>
              <w:t>Fórmula modificada para nutrição enteral, líquida, nutricionalmente completa, com densidade energética maior ou igual a 1,5 kcal/mL; polimérica, hiperprotéica (maior ou igual a 20% do VET (valor energético total) de proteínas), no mínimo 60% de origem animal; com triglicerídeos de cadeia média. Lactose menor ou igual a 100 mg/100 mL, isenta de sacarose, glúten e fibras. Embalagem de 500 mL, sistema fechado (SF). Obs.: A conexão da embalagem deverá estar de acordo com a norma ISSO 80369.</w:t>
            </w:r>
          </w:p>
        </w:tc>
        <w:tc>
          <w:tcPr>
            <w:tcW w:w="1305"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cal</w:t>
            </w:r>
          </w:p>
        </w:tc>
        <w:tc>
          <w:tcPr>
            <w:tcW w:w="1410"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4.761.000</w:t>
            </w:r>
          </w:p>
        </w:tc>
      </w:tr>
      <w:tr>
        <w:tblPrEx>
          <w:tblCellMar>
            <w:top w:w="15" w:type="dxa"/>
            <w:left w:w="15" w:type="dxa"/>
            <w:bottom w:w="15" w:type="dxa"/>
            <w:right w:w="15" w:type="dxa"/>
          </w:tblCellMar>
        </w:tblPrEx>
        <w:tc>
          <w:tcPr>
            <w:tcW w:w="792"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12</w:t>
            </w:r>
          </w:p>
        </w:tc>
        <w:tc>
          <w:tcPr>
            <w:tcW w:w="1053"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1905</w:t>
            </w:r>
          </w:p>
        </w:tc>
        <w:tc>
          <w:tcPr>
            <w:tcW w:w="1365"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001945063</w:t>
            </w:r>
          </w:p>
        </w:tc>
        <w:tc>
          <w:tcPr>
            <w:tcW w:w="3734"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rPr>
                <w:rFonts w:ascii="Calibri" w:hAnsi="Calibri"/>
                <w:sz w:val="24"/>
                <w:szCs w:val="24"/>
              </w:rPr>
            </w:pPr>
            <w:r>
              <w:rPr>
                <w:rFonts w:ascii="Calibri" w:hAnsi="Calibri"/>
                <w:sz w:val="24"/>
                <w:szCs w:val="24"/>
              </w:rPr>
              <w:t>Fórmula modificada para nutrição enteral e oral, em pó, nutricionalmente completa, com densidade energética de 1,0 kcal/mL; oligomérica, com 15 a 20% do VET (valor energético total) de proteínas; com ácidos graxos essenciais e triglicerídeos de cadeia média; com sabor. Embalagem de 350 a 400 g, rígida tipo pote ou lata com lacre, com colher medida.</w:t>
            </w:r>
          </w:p>
        </w:tc>
        <w:tc>
          <w:tcPr>
            <w:tcW w:w="1305"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grama</w:t>
            </w:r>
          </w:p>
        </w:tc>
        <w:tc>
          <w:tcPr>
            <w:tcW w:w="1410"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153.600</w:t>
            </w:r>
          </w:p>
        </w:tc>
      </w:tr>
      <w:tr>
        <w:tblPrEx>
          <w:tblCellMar>
            <w:top w:w="15" w:type="dxa"/>
            <w:left w:w="15" w:type="dxa"/>
            <w:bottom w:w="15" w:type="dxa"/>
            <w:right w:w="15" w:type="dxa"/>
          </w:tblCellMar>
        </w:tblPrEx>
        <w:tc>
          <w:tcPr>
            <w:tcW w:w="792"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13</w:t>
            </w:r>
          </w:p>
        </w:tc>
        <w:tc>
          <w:tcPr>
            <w:tcW w:w="1053"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1905</w:t>
            </w:r>
          </w:p>
        </w:tc>
        <w:tc>
          <w:tcPr>
            <w:tcW w:w="1365"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001945064</w:t>
            </w:r>
          </w:p>
        </w:tc>
        <w:tc>
          <w:tcPr>
            <w:tcW w:w="3734"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rPr>
                <w:rFonts w:ascii="Calibri" w:hAnsi="Calibri"/>
                <w:sz w:val="24"/>
                <w:szCs w:val="24"/>
              </w:rPr>
            </w:pPr>
            <w:r>
              <w:rPr>
                <w:rFonts w:ascii="Calibri" w:hAnsi="Calibri"/>
                <w:sz w:val="24"/>
                <w:szCs w:val="24"/>
              </w:rPr>
              <w:t>Fórmula modificada para nutrição enteral, líquida, nutricionalmente completa, com densidade energética igual a 1,5 kcal/mL; polimérica, normoprotéica (maior ou igual a 10% e menor que 20% do VET (valor energético total) de proteínas), no mínimo 60% de origem animal; normolipídica (maior ou igual a 15% e menor ou igual a 35% do VET de lipídios), no máximo 10% do VET de gordura saturada. Limite máximo de sódio de 115 mg/100 kcal. Lactose menor ou igual a 100 mg/100 mL, isenta de sacarose, glúten e fibras. Embalagem de 1000 mL, tetra pak ou rígida.</w:t>
            </w:r>
          </w:p>
        </w:tc>
        <w:tc>
          <w:tcPr>
            <w:tcW w:w="1305"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cal</w:t>
            </w:r>
          </w:p>
        </w:tc>
        <w:tc>
          <w:tcPr>
            <w:tcW w:w="1410"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17.820.000</w:t>
            </w:r>
          </w:p>
        </w:tc>
      </w:tr>
      <w:tr>
        <w:tblPrEx>
          <w:tblCellMar>
            <w:top w:w="15" w:type="dxa"/>
            <w:left w:w="15" w:type="dxa"/>
            <w:bottom w:w="15" w:type="dxa"/>
            <w:right w:w="15" w:type="dxa"/>
          </w:tblCellMar>
        </w:tblPrEx>
        <w:tc>
          <w:tcPr>
            <w:tcW w:w="792"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14</w:t>
            </w:r>
          </w:p>
        </w:tc>
        <w:tc>
          <w:tcPr>
            <w:tcW w:w="1053"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1903</w:t>
            </w:r>
          </w:p>
        </w:tc>
        <w:tc>
          <w:tcPr>
            <w:tcW w:w="1365"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121380003</w:t>
            </w:r>
          </w:p>
        </w:tc>
        <w:tc>
          <w:tcPr>
            <w:tcW w:w="3734"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rPr>
                <w:rFonts w:ascii="Calibri" w:hAnsi="Calibri"/>
                <w:sz w:val="24"/>
                <w:szCs w:val="24"/>
              </w:rPr>
            </w:pPr>
            <w:r>
              <w:rPr>
                <w:rFonts w:ascii="Calibri" w:hAnsi="Calibri"/>
                <w:sz w:val="24"/>
                <w:szCs w:val="24"/>
              </w:rPr>
              <w:t>Fórmula modificada para nutrição enteral e ORAL, líquida, nutricionalmente completa, com densidade energética maior ou igual a 2,0 kcal/mL; hiperproteica (maior ou igual a 20% do VET (valor energético total) de proteínas); sabor BAUNILHA. Embalagem de 100 a 150 mL.</w:t>
            </w:r>
          </w:p>
        </w:tc>
        <w:tc>
          <w:tcPr>
            <w:tcW w:w="1305"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cal</w:t>
            </w:r>
          </w:p>
        </w:tc>
        <w:tc>
          <w:tcPr>
            <w:tcW w:w="1410"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3.614.400</w:t>
            </w:r>
          </w:p>
        </w:tc>
      </w:tr>
      <w:tr>
        <w:tblPrEx>
          <w:tblCellMar>
            <w:top w:w="15" w:type="dxa"/>
            <w:left w:w="15" w:type="dxa"/>
            <w:bottom w:w="15" w:type="dxa"/>
            <w:right w:w="15" w:type="dxa"/>
          </w:tblCellMar>
        </w:tblPrEx>
        <w:tc>
          <w:tcPr>
            <w:tcW w:w="792"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15</w:t>
            </w:r>
          </w:p>
        </w:tc>
        <w:tc>
          <w:tcPr>
            <w:tcW w:w="1053"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1903</w:t>
            </w:r>
          </w:p>
        </w:tc>
        <w:tc>
          <w:tcPr>
            <w:tcW w:w="1365"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121380009</w:t>
            </w:r>
          </w:p>
        </w:tc>
        <w:tc>
          <w:tcPr>
            <w:tcW w:w="3734"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rPr>
                <w:rFonts w:ascii="Calibri" w:hAnsi="Calibri"/>
                <w:sz w:val="24"/>
                <w:szCs w:val="24"/>
              </w:rPr>
            </w:pPr>
            <w:r>
              <w:rPr>
                <w:rFonts w:ascii="Calibri" w:hAnsi="Calibri"/>
                <w:sz w:val="24"/>
                <w:szCs w:val="24"/>
              </w:rPr>
              <w:t>Fórmula modificada para nutrição enteral e ORAL, líquida, nutricionalmente completa, com densidade energética maior ou igual a 2,0 kcal/mL; hiperproteica (maior ou igual a 20% do VET (valor energético total) de proteínas); com no mínimo 2 sabores, exceto baunilha. Embalagem de 100 a 150 mL.</w:t>
            </w:r>
          </w:p>
        </w:tc>
        <w:tc>
          <w:tcPr>
            <w:tcW w:w="1305"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cal</w:t>
            </w:r>
          </w:p>
        </w:tc>
        <w:tc>
          <w:tcPr>
            <w:tcW w:w="1410"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3.679.200</w:t>
            </w:r>
          </w:p>
        </w:tc>
      </w:tr>
      <w:tr>
        <w:tblPrEx>
          <w:tblCellMar>
            <w:top w:w="15" w:type="dxa"/>
            <w:left w:w="15" w:type="dxa"/>
            <w:bottom w:w="15" w:type="dxa"/>
            <w:right w:w="15" w:type="dxa"/>
          </w:tblCellMar>
        </w:tblPrEx>
        <w:tc>
          <w:tcPr>
            <w:tcW w:w="792"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16</w:t>
            </w:r>
          </w:p>
        </w:tc>
        <w:tc>
          <w:tcPr>
            <w:tcW w:w="1053"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1904</w:t>
            </w:r>
          </w:p>
        </w:tc>
        <w:tc>
          <w:tcPr>
            <w:tcW w:w="1365"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001600051</w:t>
            </w:r>
          </w:p>
        </w:tc>
        <w:tc>
          <w:tcPr>
            <w:tcW w:w="3734"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rPr>
                <w:rFonts w:ascii="Calibri" w:hAnsi="Calibri"/>
                <w:sz w:val="24"/>
                <w:szCs w:val="24"/>
              </w:rPr>
            </w:pPr>
            <w:r>
              <w:rPr>
                <w:rFonts w:ascii="Calibri" w:hAnsi="Calibri"/>
                <w:sz w:val="24"/>
                <w:szCs w:val="24"/>
              </w:rPr>
              <w:t>Alimento pronto para o consumo para dietas com restrição de sacarose, líquido, para controle glicêmico, com fibras, isento de sacarose; hiperproteico (maior ou igual a 20% do VET (valor energético total) de proteínas); com sabor (exceto baunilha). Embalagem de 180 a 200 mL.</w:t>
            </w:r>
          </w:p>
        </w:tc>
        <w:tc>
          <w:tcPr>
            <w:tcW w:w="1305"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cal</w:t>
            </w:r>
          </w:p>
        </w:tc>
        <w:tc>
          <w:tcPr>
            <w:tcW w:w="1410" w:type="dxa"/>
            <w:tcBorders>
              <w:left w:val="single" w:color="000000" w:sz="4" w:space="0"/>
              <w:bottom w:val="single" w:color="000000" w:sz="4" w:space="0"/>
              <w:right w:val="single" w:color="000000" w:sz="4" w:space="0"/>
            </w:tcBorders>
            <w:tcMar>
              <w:top w:w="28" w:type="dxa"/>
              <w:left w:w="28" w:type="dxa"/>
              <w:bottom w:w="28" w:type="dxa"/>
              <w:right w:w="28" w:type="dxa"/>
            </w:tcMar>
            <w:vAlign w:val="center"/>
          </w:tcPr>
          <w:p>
            <w:pPr>
              <w:pStyle w:val="644"/>
              <w:widowControl w:val="0"/>
              <w:jc w:val="center"/>
              <w:rPr>
                <w:rFonts w:ascii="Calibri" w:hAnsi="Calibri"/>
                <w:sz w:val="24"/>
                <w:szCs w:val="24"/>
              </w:rPr>
            </w:pPr>
            <w:r>
              <w:rPr>
                <w:rFonts w:ascii="Calibri" w:hAnsi="Calibri"/>
                <w:sz w:val="24"/>
                <w:szCs w:val="24"/>
              </w:rPr>
              <w:t>1.589.952</w:t>
            </w:r>
          </w:p>
        </w:tc>
      </w:tr>
    </w:tbl>
    <w:p>
      <w:pPr>
        <w:tabs>
          <w:tab w:val="left" w:pos="709"/>
          <w:tab w:val="left" w:pos="1418"/>
          <w:tab w:val="left" w:pos="2127"/>
          <w:tab w:val="left" w:pos="2836"/>
          <w:tab w:val="left" w:pos="3545"/>
          <w:tab w:val="left" w:pos="4254"/>
          <w:tab w:val="left" w:pos="4963"/>
          <w:tab w:val="left" w:pos="5672"/>
          <w:tab w:val="left" w:pos="6381"/>
          <w:tab w:val="left" w:pos="7090"/>
          <w:tab w:val="left" w:pos="7799"/>
        </w:tabs>
        <w:overflowPunct/>
        <w:bidi w:val="0"/>
        <w:spacing w:before="1" w:after="0" w:line="276" w:lineRule="auto"/>
        <w:ind w:left="0" w:right="0" w:firstLine="0"/>
        <w:jc w:val="both"/>
        <w:rPr>
          <w:rFonts w:eastAsia="NSimSun" w:cs="Lucida Sans"/>
          <w:kern w:val="0"/>
          <w:lang w:val="pt-BR" w:eastAsia="zh-CN" w:bidi="hi-IN"/>
        </w:rPr>
      </w:pP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r>
        <w:br w:type="page"/>
      </w:r>
    </w:p>
    <w:p>
      <w:pPr>
        <w:pStyle w:val="3"/>
        <w:numPr>
          <w:ilvl w:val="0"/>
          <w:numId w:val="3"/>
        </w:numPr>
        <w:overflowPunct w:val="0"/>
        <w:bidi w:val="0"/>
        <w:ind w:left="0" w:right="0" w:firstLine="0"/>
        <w:jc w:val="center"/>
        <w:rPr>
          <w:rFonts w:ascii="Calibri" w:hAnsi="Calibri"/>
          <w:sz w:val="24"/>
          <w:szCs w:val="24"/>
        </w:rPr>
      </w:pPr>
    </w:p>
    <w:p>
      <w:pPr>
        <w:pStyle w:val="3"/>
        <w:numPr>
          <w:ilvl w:val="0"/>
          <w:numId w:val="3"/>
        </w:numPr>
        <w:overflowPunct w:val="0"/>
        <w:bidi w:val="0"/>
        <w:ind w:left="0" w:right="0" w:firstLine="0"/>
        <w:jc w:val="center"/>
        <w:rPr>
          <w:rFonts w:ascii="Calibri" w:hAnsi="Calibri"/>
          <w:sz w:val="24"/>
          <w:szCs w:val="24"/>
        </w:rPr>
      </w:pPr>
    </w:p>
    <w:p>
      <w:pPr>
        <w:pStyle w:val="3"/>
        <w:numPr>
          <w:ilvl w:val="0"/>
          <w:numId w:val="3"/>
        </w:numPr>
        <w:overflowPunct w:val="0"/>
        <w:bidi w:val="0"/>
        <w:ind w:left="0" w:right="0" w:firstLine="0"/>
        <w:jc w:val="center"/>
        <w:rPr>
          <w:rFonts w:ascii="Calibri" w:hAnsi="Calibri"/>
          <w:sz w:val="24"/>
          <w:szCs w:val="24"/>
        </w:rPr>
      </w:pPr>
      <w:r>
        <w:rPr>
          <w:rFonts w:ascii="Calibri" w:hAnsi="Calibri"/>
          <w:sz w:val="24"/>
          <w:szCs w:val="24"/>
        </w:rPr>
        <w:t>ANEXO</w:t>
      </w:r>
      <w:r>
        <w:rPr>
          <w:rFonts w:ascii="Calibri" w:hAnsi="Calibri"/>
          <w:spacing w:val="-9"/>
          <w:sz w:val="24"/>
          <w:szCs w:val="24"/>
        </w:rPr>
        <w:t xml:space="preserve"> </w:t>
      </w:r>
      <w:r>
        <w:rPr>
          <w:rFonts w:ascii="Calibri" w:hAnsi="Calibri"/>
          <w:sz w:val="24"/>
          <w:szCs w:val="24"/>
        </w:rPr>
        <w:t>II</w:t>
      </w:r>
    </w:p>
    <w:p>
      <w:pPr>
        <w:overflowPunct w:val="0"/>
        <w:bidi w:val="0"/>
        <w:spacing w:before="0" w:after="0"/>
        <w:ind w:left="0" w:right="0" w:firstLine="0"/>
        <w:jc w:val="center"/>
        <w:rPr>
          <w:rFonts w:ascii="Calibri" w:hAnsi="Calibri"/>
          <w:sz w:val="24"/>
          <w:szCs w:val="24"/>
        </w:rPr>
      </w:pPr>
      <w:r>
        <w:rPr>
          <w:rFonts w:ascii="Calibri" w:hAnsi="Calibri" w:eastAsia="NSimSun" w:cs="Lucida Sans"/>
          <w:b/>
          <w:bCs w:val="0"/>
          <w:color w:val="000000"/>
          <w:spacing w:val="-1"/>
          <w:kern w:val="0"/>
          <w:sz w:val="24"/>
          <w:szCs w:val="24"/>
          <w:lang w:val="pt-BR" w:eastAsia="zh-CN" w:bidi="hi-IN"/>
        </w:rPr>
        <w:t>PREGÃO ELETRÔNICO</w:t>
      </w:r>
      <w:r>
        <w:rPr>
          <w:rFonts w:ascii="Calibri" w:hAnsi="Calibri" w:eastAsia="NSimSun" w:cs="Lucida Sans"/>
          <w:b/>
          <w:bCs w:val="0"/>
          <w:color w:val="000000"/>
          <w:spacing w:val="-3"/>
          <w:kern w:val="0"/>
          <w:sz w:val="24"/>
          <w:szCs w:val="24"/>
          <w:lang w:val="pt-BR" w:eastAsia="zh-CN" w:bidi="hi-IN"/>
        </w:rPr>
        <w:t xml:space="preserve"> </w:t>
      </w:r>
      <w:r>
        <w:rPr>
          <w:rFonts w:ascii="Calibri" w:hAnsi="Calibri" w:eastAsia="NSimSun" w:cs="Lucida Sans"/>
          <w:b/>
          <w:bCs w:val="0"/>
          <w:color w:val="000000"/>
          <w:spacing w:val="-1"/>
          <w:kern w:val="0"/>
          <w:sz w:val="24"/>
          <w:szCs w:val="24"/>
          <w:lang w:val="pt-BR" w:eastAsia="zh-CN" w:bidi="hi-IN"/>
        </w:rPr>
        <w:t>Nº</w:t>
      </w:r>
      <w:r>
        <w:rPr>
          <w:rFonts w:ascii="Calibri" w:hAnsi="Calibri" w:eastAsia="NSimSun" w:cs="Lucida Sans"/>
          <w:b/>
          <w:bCs w:val="0"/>
          <w:color w:val="000000"/>
          <w:spacing w:val="2"/>
          <w:kern w:val="0"/>
          <w:sz w:val="24"/>
          <w:szCs w:val="24"/>
          <w:lang w:val="pt-BR" w:eastAsia="zh-CN" w:bidi="hi-IN"/>
        </w:rPr>
        <w:t xml:space="preserve"> </w:t>
      </w:r>
      <w:r>
        <w:rPr>
          <w:rFonts w:ascii="Calibri" w:hAnsi="Calibri" w:eastAsia="NSimSun" w:cs="Calibri"/>
          <w:b/>
          <w:bCs/>
          <w:color w:val="000000"/>
          <w:spacing w:val="2"/>
          <w:kern w:val="0"/>
          <w:sz w:val="24"/>
          <w:szCs w:val="24"/>
          <w:lang w:val="pt-BR" w:eastAsia="zh-CN" w:bidi="hi-IN"/>
        </w:rPr>
        <w:t>1190/2023</w:t>
      </w:r>
      <w:r>
        <w:rPr>
          <w:rFonts w:ascii="Calibri" w:hAnsi="Calibri" w:eastAsia="NSimSun" w:cs="Lucida Sans"/>
          <w:b/>
          <w:bCs w:val="0"/>
          <w:color w:val="000000"/>
          <w:spacing w:val="-1"/>
          <w:kern w:val="0"/>
          <w:sz w:val="24"/>
          <w:szCs w:val="24"/>
          <w:lang w:val="pt-BR" w:eastAsia="zh-CN" w:bidi="hi-IN"/>
        </w:rPr>
        <w:t xml:space="preserve"> </w:t>
      </w:r>
    </w:p>
    <w:p>
      <w:pPr>
        <w:overflowPunct w:val="0"/>
        <w:bidi w:val="0"/>
        <w:spacing w:before="0" w:after="0"/>
        <w:ind w:left="0" w:right="0" w:firstLine="0"/>
        <w:jc w:val="center"/>
        <w:rPr>
          <w:rFonts w:ascii="Calibri" w:hAnsi="Calibri"/>
          <w:sz w:val="24"/>
          <w:szCs w:val="24"/>
        </w:rPr>
      </w:pPr>
      <w:r>
        <w:rPr>
          <w:rFonts w:ascii="Calibri" w:hAnsi="Calibri" w:eastAsia="NSimSun" w:cs="Lucida Sans"/>
          <w:b/>
          <w:bCs w:val="0"/>
          <w:color w:val="000000"/>
          <w:kern w:val="0"/>
          <w:sz w:val="24"/>
          <w:szCs w:val="24"/>
          <w:lang w:val="pt-BR" w:eastAsia="zh-CN" w:bidi="hi-IN"/>
        </w:rPr>
        <w:t>MODELO</w:t>
      </w:r>
      <w:r>
        <w:rPr>
          <w:rFonts w:ascii="Calibri" w:hAnsi="Calibri" w:eastAsia="NSimSun" w:cs="Lucida Sans"/>
          <w:b/>
          <w:bCs w:val="0"/>
          <w:color w:val="000000"/>
          <w:spacing w:val="-12"/>
          <w:kern w:val="0"/>
          <w:sz w:val="24"/>
          <w:szCs w:val="24"/>
          <w:lang w:val="pt-BR" w:eastAsia="zh-CN" w:bidi="hi-IN"/>
        </w:rPr>
        <w:t xml:space="preserve"> </w:t>
      </w:r>
      <w:r>
        <w:rPr>
          <w:rFonts w:ascii="Calibri" w:hAnsi="Calibri" w:eastAsia="NSimSun" w:cs="Lucida Sans"/>
          <w:b/>
          <w:bCs w:val="0"/>
          <w:color w:val="000000"/>
          <w:kern w:val="0"/>
          <w:sz w:val="24"/>
          <w:szCs w:val="24"/>
          <w:lang w:val="pt-BR" w:eastAsia="zh-CN" w:bidi="hi-IN"/>
        </w:rPr>
        <w:t>DE</w:t>
      </w:r>
      <w:r>
        <w:rPr>
          <w:rFonts w:ascii="Calibri" w:hAnsi="Calibri" w:eastAsia="NSimSun" w:cs="Lucida Sans"/>
          <w:b/>
          <w:bCs w:val="0"/>
          <w:color w:val="000000"/>
          <w:spacing w:val="-9"/>
          <w:kern w:val="0"/>
          <w:sz w:val="24"/>
          <w:szCs w:val="24"/>
          <w:lang w:val="pt-BR" w:eastAsia="zh-CN" w:bidi="hi-IN"/>
        </w:rPr>
        <w:t xml:space="preserve"> </w:t>
      </w:r>
      <w:r>
        <w:rPr>
          <w:rFonts w:ascii="Calibri" w:hAnsi="Calibri" w:eastAsia="NSimSun" w:cs="Lucida Sans"/>
          <w:b/>
          <w:bCs w:val="0"/>
          <w:color w:val="000000"/>
          <w:kern w:val="0"/>
          <w:sz w:val="24"/>
          <w:szCs w:val="24"/>
          <w:lang w:val="pt-BR" w:eastAsia="zh-CN" w:bidi="hi-IN"/>
        </w:rPr>
        <w:t>PROPOSTA</w:t>
      </w:r>
      <w:r>
        <w:rPr>
          <w:rFonts w:ascii="Calibri" w:hAnsi="Calibri" w:eastAsia="NSimSun" w:cs="Lucida Sans"/>
          <w:b/>
          <w:bCs w:val="0"/>
          <w:color w:val="000000"/>
          <w:spacing w:val="-11"/>
          <w:kern w:val="0"/>
          <w:sz w:val="24"/>
          <w:szCs w:val="24"/>
          <w:lang w:val="pt-BR" w:eastAsia="zh-CN" w:bidi="hi-IN"/>
        </w:rPr>
        <w:t xml:space="preserve"> </w:t>
      </w:r>
      <w:r>
        <w:rPr>
          <w:rFonts w:ascii="Calibri" w:hAnsi="Calibri" w:eastAsia="NSimSun" w:cs="Lucida Sans"/>
          <w:b/>
          <w:bCs w:val="0"/>
          <w:color w:val="000000"/>
          <w:kern w:val="0"/>
          <w:sz w:val="24"/>
          <w:szCs w:val="24"/>
          <w:lang w:val="pt-BR" w:eastAsia="zh-CN" w:bidi="hi-IN"/>
        </w:rPr>
        <w:t>DE</w:t>
      </w:r>
      <w:r>
        <w:rPr>
          <w:rFonts w:ascii="Calibri" w:hAnsi="Calibri" w:eastAsia="NSimSun" w:cs="Lucida Sans"/>
          <w:b/>
          <w:bCs w:val="0"/>
          <w:color w:val="000000"/>
          <w:spacing w:val="-13"/>
          <w:kern w:val="0"/>
          <w:sz w:val="24"/>
          <w:szCs w:val="24"/>
          <w:lang w:val="pt-BR" w:eastAsia="zh-CN" w:bidi="hi-IN"/>
        </w:rPr>
        <w:t xml:space="preserve"> </w:t>
      </w:r>
      <w:r>
        <w:rPr>
          <w:rFonts w:ascii="Calibri" w:hAnsi="Calibri" w:eastAsia="NSimSun" w:cs="Lucida Sans"/>
          <w:b/>
          <w:bCs w:val="0"/>
          <w:color w:val="000000"/>
          <w:kern w:val="0"/>
          <w:sz w:val="24"/>
          <w:szCs w:val="24"/>
          <w:lang w:val="pt-BR" w:eastAsia="zh-CN" w:bidi="hi-IN"/>
        </w:rPr>
        <w:t>PREÇOS</w:t>
      </w:r>
      <w:r>
        <w:rPr>
          <w:rFonts w:ascii="Calibri" w:hAnsi="Calibri" w:eastAsia="NSimSun" w:cs="Lucida Sans"/>
          <w:b/>
          <w:bCs w:val="0"/>
          <w:color w:val="000000"/>
          <w:spacing w:val="-10"/>
          <w:kern w:val="0"/>
          <w:sz w:val="24"/>
          <w:szCs w:val="24"/>
          <w:lang w:val="pt-BR" w:eastAsia="zh-CN" w:bidi="hi-IN"/>
        </w:rPr>
        <w:t xml:space="preserve"> </w:t>
      </w:r>
      <w:r>
        <w:rPr>
          <w:rFonts w:ascii="Calibri" w:hAnsi="Calibri" w:eastAsia="NSimSun" w:cs="Lucida Sans"/>
          <w:b/>
          <w:bCs w:val="0"/>
          <w:color w:val="000000"/>
          <w:kern w:val="0"/>
          <w:sz w:val="24"/>
          <w:szCs w:val="24"/>
          <w:lang w:val="pt-BR" w:eastAsia="zh-CN" w:bidi="hi-IN"/>
        </w:rPr>
        <w:t>ELETRÔNICA</w:t>
      </w:r>
    </w:p>
    <w:p>
      <w:pPr>
        <w:pStyle w:val="2"/>
        <w:overflowPunct w:val="0"/>
        <w:bidi w:val="0"/>
        <w:spacing w:before="0" w:after="0"/>
        <w:ind w:left="0" w:right="0" w:firstLine="0"/>
        <w:jc w:val="center"/>
        <w:rPr>
          <w:rFonts w:ascii="Calibri" w:hAnsi="Calibri" w:eastAsia="NSimSun" w:cs="Lucida Sans"/>
          <w:b/>
          <w:kern w:val="0"/>
          <w:sz w:val="24"/>
          <w:szCs w:val="24"/>
          <w:lang w:val="pt-BR" w:eastAsia="zh-CN" w:bidi="hi-IN"/>
        </w:rPr>
      </w:pPr>
    </w:p>
    <w:p>
      <w:pPr>
        <w:pStyle w:val="2"/>
        <w:overflowPunct w:val="0"/>
        <w:bidi w:val="0"/>
        <w:spacing w:before="0" w:after="0"/>
        <w:ind w:left="0" w:right="0" w:firstLine="0"/>
        <w:jc w:val="center"/>
        <w:rPr>
          <w:rFonts w:ascii="Calibri" w:hAnsi="Calibri" w:eastAsia="NSimSun" w:cs="Lucida Sans"/>
          <w:kern w:val="0"/>
          <w:sz w:val="24"/>
          <w:szCs w:val="24"/>
          <w:lang w:val="pt-BR" w:eastAsia="zh-CN" w:bidi="hi-IN"/>
        </w:rPr>
      </w:pPr>
      <w:r>
        <w:rPr>
          <w:rFonts w:ascii="Calibri" w:hAnsi="Calibri" w:eastAsia="NSimSun" w:cs="Lucida Sans"/>
          <w:b/>
          <w:kern w:val="0"/>
          <w:sz w:val="24"/>
          <w:szCs w:val="24"/>
          <w:lang w:val="pt-BR" w:eastAsia="zh-CN" w:bidi="hi-IN"/>
        </w:rPr>
        <w:drawing>
          <wp:anchor distT="0" distB="0" distL="0" distR="0" simplePos="0" relativeHeight="251659264" behindDoc="0" locked="0" layoutInCell="0" allowOverlap="1">
            <wp:simplePos x="0" y="0"/>
            <wp:positionH relativeFrom="column">
              <wp:posOffset>-4445</wp:posOffset>
            </wp:positionH>
            <wp:positionV relativeFrom="paragraph">
              <wp:posOffset>102235</wp:posOffset>
            </wp:positionV>
            <wp:extent cx="6196330" cy="4794885"/>
            <wp:effectExtent l="0" t="0" r="0" b="0"/>
            <wp:wrapTopAndBottom/>
            <wp:docPr id="2"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jpeg"/>
                    <pic:cNvPicPr>
                      <a:picLocks noChangeAspect="1" noChangeArrowheads="1"/>
                    </pic:cNvPicPr>
                  </pic:nvPicPr>
                  <pic:blipFill>
                    <a:blip r:embed="rId8"/>
                    <a:stretch>
                      <a:fillRect/>
                    </a:stretch>
                  </pic:blipFill>
                  <pic:spPr>
                    <a:xfrm>
                      <a:off x="0" y="0"/>
                      <a:ext cx="6196330" cy="4794885"/>
                    </a:xfrm>
                    <a:prstGeom prst="rect">
                      <a:avLst/>
                    </a:prstGeom>
                  </pic:spPr>
                </pic:pic>
              </a:graphicData>
            </a:graphic>
          </wp:anchor>
        </w:drawing>
      </w:r>
    </w:p>
    <w:p>
      <w:pPr>
        <w:tabs>
          <w:tab w:val="left" w:pos="2552"/>
        </w:tabs>
        <w:overflowPunct w:val="0"/>
        <w:bidi w:val="0"/>
        <w:ind w:left="0" w:right="0" w:firstLine="0"/>
        <w:jc w:val="both"/>
        <w:rPr>
          <w:rFonts w:ascii="Calibri" w:hAnsi="Calibri"/>
          <w:sz w:val="24"/>
          <w:szCs w:val="24"/>
        </w:rPr>
      </w:pPr>
      <w:r>
        <w:rPr>
          <w:rFonts w:ascii="Calibri" w:hAnsi="Calibri" w:cs="Calibri"/>
          <w:b w:val="0"/>
          <w:bCs w:val="0"/>
          <w:sz w:val="24"/>
          <w:szCs w:val="24"/>
        </w:rPr>
        <w:t>1 – Sob pena de desclassificação, deverá ser preenchido para cada item do objeto cotado, no campo correspondente:</w:t>
      </w:r>
    </w:p>
    <w:p>
      <w:pPr>
        <w:pStyle w:val="2"/>
        <w:tabs>
          <w:tab w:val="left" w:pos="2552"/>
        </w:tabs>
        <w:overflowPunct w:val="0"/>
        <w:bidi w:val="0"/>
        <w:ind w:left="0" w:right="0" w:firstLine="0"/>
        <w:jc w:val="both"/>
        <w:rPr>
          <w:rFonts w:ascii="Calibri" w:hAnsi="Calibri" w:cs="Calibri"/>
          <w:b w:val="0"/>
          <w:bCs w:val="0"/>
          <w:sz w:val="24"/>
          <w:szCs w:val="24"/>
        </w:rPr>
      </w:pPr>
    </w:p>
    <w:p>
      <w:pPr>
        <w:pStyle w:val="2"/>
        <w:tabs>
          <w:tab w:val="left" w:pos="2552"/>
        </w:tabs>
        <w:overflowPunct w:val="0"/>
        <w:bidi w:val="0"/>
        <w:ind w:left="0" w:right="0" w:firstLine="0"/>
        <w:jc w:val="both"/>
        <w:rPr>
          <w:rFonts w:ascii="Calibri" w:hAnsi="Calibri"/>
          <w:sz w:val="24"/>
          <w:szCs w:val="24"/>
        </w:rPr>
      </w:pPr>
      <w:r>
        <w:rPr>
          <w:rFonts w:ascii="Calibri" w:hAnsi="Calibri" w:cs="Calibri"/>
          <w:b w:val="0"/>
          <w:bCs w:val="0"/>
          <w:sz w:val="24"/>
          <w:szCs w:val="24"/>
        </w:rPr>
        <w:t>a) Preço unitário do item, expresso em reais;</w:t>
      </w:r>
    </w:p>
    <w:p>
      <w:pPr>
        <w:pStyle w:val="2"/>
        <w:tabs>
          <w:tab w:val="left" w:pos="2552"/>
        </w:tabs>
        <w:overflowPunct w:val="0"/>
        <w:bidi w:val="0"/>
        <w:ind w:left="0" w:right="0" w:firstLine="0"/>
        <w:jc w:val="both"/>
        <w:rPr>
          <w:rFonts w:ascii="Calibri" w:hAnsi="Calibri" w:cs="Calibri"/>
          <w:b w:val="0"/>
          <w:bCs w:val="0"/>
          <w:sz w:val="24"/>
          <w:szCs w:val="24"/>
        </w:rPr>
      </w:pPr>
    </w:p>
    <w:p>
      <w:pPr>
        <w:pStyle w:val="2"/>
        <w:tabs>
          <w:tab w:val="left" w:pos="2552"/>
        </w:tabs>
        <w:overflowPunct w:val="0"/>
        <w:bidi w:val="0"/>
        <w:ind w:left="0" w:right="0" w:firstLine="0"/>
        <w:jc w:val="both"/>
        <w:rPr>
          <w:rFonts w:ascii="Calibri" w:hAnsi="Calibri"/>
          <w:sz w:val="24"/>
          <w:szCs w:val="24"/>
        </w:rPr>
      </w:pPr>
      <w:r>
        <w:rPr>
          <w:rFonts w:ascii="Calibri" w:hAnsi="Calibri" w:cs="Calibri"/>
          <w:b w:val="0"/>
          <w:bCs w:val="0"/>
          <w:sz w:val="24"/>
          <w:szCs w:val="24"/>
        </w:rPr>
        <w:t>*Esta imagem (.jpeg) é meramente ilustrativa e poderá não contemplar todas as atualizações que possam ser implementadas no Sistema (updates), como layouts e campos informativos.</w:t>
      </w:r>
      <w:r>
        <w:br w:type="page"/>
      </w:r>
    </w:p>
    <w:p>
      <w:pPr>
        <w:tabs>
          <w:tab w:val="center" w:pos="4819"/>
          <w:tab w:val="left" w:pos="5921"/>
        </w:tabs>
        <w:spacing w:line="276" w:lineRule="auto"/>
        <w:jc w:val="center"/>
        <w:rPr>
          <w:rFonts w:ascii="Calibri" w:hAnsi="Calibri" w:cs="Calibri"/>
          <w:b/>
          <w:sz w:val="24"/>
          <w:szCs w:val="24"/>
        </w:rPr>
      </w:pPr>
      <w:r>
        <w:rPr>
          <w:rFonts w:ascii="Calibri" w:hAnsi="Calibri" w:cs="Calibri"/>
          <w:b/>
          <w:sz w:val="24"/>
          <w:szCs w:val="24"/>
        </w:rPr>
        <w:t>ANEXO III</w:t>
      </w:r>
    </w:p>
    <w:p>
      <w:pPr>
        <w:pStyle w:val="621"/>
        <w:jc w:val="center"/>
        <w:rPr>
          <w:rFonts w:ascii="Calibri" w:hAnsi="Calibri" w:eastAsia="SimSun" w:cs="Calibri"/>
          <w:b/>
          <w:bCs/>
          <w:shadow/>
          <w:color w:val="000000"/>
          <w:sz w:val="24"/>
          <w:szCs w:val="24"/>
          <w:lang w:val="pt-BR" w:eastAsia="zh-CN" w:bidi="ar-SA"/>
        </w:rPr>
      </w:pPr>
      <w:r>
        <w:rPr>
          <w:rFonts w:ascii="Calibri" w:hAnsi="Calibri" w:cs="Calibri"/>
          <w:b/>
          <w:bCs/>
          <w:sz w:val="24"/>
          <w:szCs w:val="24"/>
        </w:rPr>
        <w:t xml:space="preserve">PREGÃO ELETRÔNICO Nº </w:t>
      </w:r>
      <w:r>
        <w:rPr>
          <w:rFonts w:ascii="Calibri" w:hAnsi="Calibri" w:eastAsia="SimSun" w:cs="Calibri"/>
          <w:b/>
          <w:bCs/>
          <w:shadow/>
          <w:color w:val="000000"/>
          <w:kern w:val="0"/>
          <w:sz w:val="24"/>
          <w:szCs w:val="24"/>
          <w:lang w:val="pt-BR" w:eastAsia="zh-CN" w:bidi="ar-SA"/>
        </w:rPr>
        <w:t>1190/2023</w:t>
      </w:r>
    </w:p>
    <w:p>
      <w:pPr>
        <w:jc w:val="center"/>
        <w:rPr>
          <w:rFonts w:ascii="Calibri" w:hAnsi="Calibri" w:cs="Calibri"/>
          <w:b/>
          <w:sz w:val="24"/>
          <w:szCs w:val="24"/>
        </w:rPr>
      </w:pPr>
      <w:r>
        <w:rPr>
          <w:rFonts w:ascii="Calibri" w:hAnsi="Calibri" w:cs="Calibri"/>
          <w:b/>
          <w:sz w:val="24"/>
          <w:szCs w:val="24"/>
        </w:rPr>
        <w:t>MODELO DE FORMULÁRIO DE ANÁLISE DE QUALIDADE TÉCNICA</w:t>
      </w:r>
    </w:p>
    <w:tbl>
      <w:tblPr>
        <w:tblStyle w:val="13"/>
        <w:tblW w:w="9690" w:type="dxa"/>
        <w:tblInd w:w="55" w:type="dxa"/>
        <w:tblLayout w:type="fixed"/>
        <w:tblCellMar>
          <w:top w:w="55" w:type="dxa"/>
          <w:left w:w="55" w:type="dxa"/>
          <w:bottom w:w="55" w:type="dxa"/>
          <w:right w:w="55" w:type="dxa"/>
        </w:tblCellMar>
      </w:tblPr>
      <w:tblGrid>
        <w:gridCol w:w="2406"/>
        <w:gridCol w:w="2184"/>
        <w:gridCol w:w="2444"/>
        <w:gridCol w:w="2655"/>
      </w:tblGrid>
      <w:tr>
        <w:tblPrEx>
          <w:tblCellMar>
            <w:top w:w="55" w:type="dxa"/>
            <w:left w:w="55" w:type="dxa"/>
            <w:bottom w:w="55" w:type="dxa"/>
            <w:right w:w="55" w:type="dxa"/>
          </w:tblCellMar>
        </w:tblPrEx>
        <w:tc>
          <w:tcPr>
            <w:tcW w:w="4590" w:type="dxa"/>
            <w:gridSpan w:val="2"/>
            <w:tcBorders>
              <w:top w:val="single" w:color="000000" w:sz="6" w:space="0"/>
              <w:left w:val="single" w:color="000000" w:sz="6" w:space="0"/>
              <w:bottom w:val="single" w:color="000000" w:sz="6" w:space="0"/>
            </w:tcBorders>
          </w:tcPr>
          <w:p>
            <w:pPr>
              <w:widowControl w:val="0"/>
              <w:tabs>
                <w:tab w:val="left" w:pos="-709"/>
              </w:tabs>
              <w:spacing w:before="0" w:after="0" w:line="240" w:lineRule="auto"/>
              <w:ind w:left="0" w:right="-567" w:firstLine="0"/>
              <w:jc w:val="both"/>
              <w:rPr>
                <w:rFonts w:ascii="Calibri" w:hAnsi="Calibri" w:cs="Calibri"/>
                <w:sz w:val="18"/>
                <w:szCs w:val="18"/>
              </w:rPr>
            </w:pPr>
            <w:r>
              <w:rPr>
                <w:rFonts w:ascii="Calibri" w:hAnsi="Calibri" w:cs="Calibri"/>
                <w:sz w:val="18"/>
                <w:szCs w:val="18"/>
              </w:rPr>
              <w:t>INSTITUIÇÃO:</w:t>
            </w:r>
          </w:p>
        </w:tc>
        <w:tc>
          <w:tcPr>
            <w:tcW w:w="5099" w:type="dxa"/>
            <w:gridSpan w:val="2"/>
            <w:tcBorders>
              <w:top w:val="single" w:color="000000" w:sz="6" w:space="0"/>
              <w:left w:val="single" w:color="000000" w:sz="6" w:space="0"/>
              <w:bottom w:val="single" w:color="000000" w:sz="6" w:space="0"/>
              <w:right w:val="single" w:color="000000" w:sz="6" w:space="0"/>
            </w:tcBorders>
          </w:tcPr>
          <w:p>
            <w:pPr>
              <w:widowControl w:val="0"/>
              <w:tabs>
                <w:tab w:val="left" w:pos="-709"/>
              </w:tabs>
              <w:spacing w:before="0" w:after="0" w:line="240" w:lineRule="auto"/>
              <w:ind w:left="0" w:right="-567" w:firstLine="0"/>
              <w:jc w:val="both"/>
              <w:rPr>
                <w:rFonts w:ascii="Calibri" w:hAnsi="Calibri" w:cs="Calibri"/>
                <w:sz w:val="18"/>
                <w:szCs w:val="18"/>
              </w:rPr>
            </w:pPr>
            <w:r>
              <w:rPr>
                <w:rFonts w:ascii="Calibri" w:hAnsi="Calibri" w:cs="Calibri"/>
                <w:sz w:val="18"/>
                <w:szCs w:val="18"/>
              </w:rPr>
              <w:t>RECEBIDO NO SETOR DE TESTE:</w:t>
            </w:r>
          </w:p>
        </w:tc>
      </w:tr>
      <w:tr>
        <w:tblPrEx>
          <w:tblCellMar>
            <w:top w:w="55" w:type="dxa"/>
            <w:left w:w="55" w:type="dxa"/>
            <w:bottom w:w="55" w:type="dxa"/>
            <w:right w:w="55" w:type="dxa"/>
          </w:tblCellMar>
        </w:tblPrEx>
        <w:tc>
          <w:tcPr>
            <w:tcW w:w="4590" w:type="dxa"/>
            <w:gridSpan w:val="2"/>
            <w:tcBorders>
              <w:left w:val="single" w:color="000000" w:sz="6" w:space="0"/>
              <w:bottom w:val="single" w:color="000000" w:sz="6" w:space="0"/>
            </w:tcBorders>
          </w:tcPr>
          <w:p>
            <w:pPr>
              <w:widowControl w:val="0"/>
              <w:tabs>
                <w:tab w:val="left" w:pos="-709"/>
              </w:tabs>
              <w:spacing w:before="0" w:after="0" w:line="240" w:lineRule="auto"/>
              <w:ind w:left="0" w:right="-567" w:firstLine="0"/>
              <w:jc w:val="both"/>
              <w:rPr>
                <w:rFonts w:ascii="Calibri" w:hAnsi="Calibri" w:cs="Calibri"/>
                <w:sz w:val="18"/>
                <w:szCs w:val="18"/>
              </w:rPr>
            </w:pPr>
            <w:r>
              <w:rPr>
                <w:rFonts w:ascii="Calibri" w:hAnsi="Calibri" w:cs="Calibri"/>
                <w:sz w:val="18"/>
                <w:szCs w:val="18"/>
              </w:rPr>
              <w:t>SETOR DE TESTE:</w:t>
            </w:r>
          </w:p>
        </w:tc>
        <w:tc>
          <w:tcPr>
            <w:tcW w:w="5099" w:type="dxa"/>
            <w:gridSpan w:val="2"/>
            <w:tcBorders>
              <w:left w:val="single" w:color="000000" w:sz="6" w:space="0"/>
              <w:bottom w:val="single" w:color="000000" w:sz="6" w:space="0"/>
              <w:right w:val="single" w:color="000000" w:sz="6" w:space="0"/>
            </w:tcBorders>
          </w:tcPr>
          <w:p>
            <w:pPr>
              <w:widowControl w:val="0"/>
              <w:tabs>
                <w:tab w:val="left" w:pos="-709"/>
              </w:tabs>
              <w:spacing w:before="0" w:after="0" w:line="240" w:lineRule="auto"/>
              <w:ind w:left="0" w:right="-567" w:firstLine="0"/>
              <w:jc w:val="both"/>
              <w:rPr>
                <w:rFonts w:ascii="Calibri" w:hAnsi="Calibri" w:cs="Calibri"/>
                <w:sz w:val="18"/>
                <w:szCs w:val="18"/>
              </w:rPr>
            </w:pPr>
            <w:r>
              <w:rPr>
                <w:rFonts w:ascii="Calibri" w:hAnsi="Calibri" w:cs="Calibri"/>
                <w:sz w:val="18"/>
                <w:szCs w:val="18"/>
              </w:rPr>
              <w:t>DATA DE RETORNO:</w:t>
            </w:r>
          </w:p>
        </w:tc>
      </w:tr>
      <w:tr>
        <w:tblPrEx>
          <w:tblCellMar>
            <w:top w:w="55" w:type="dxa"/>
            <w:left w:w="55" w:type="dxa"/>
            <w:bottom w:w="55" w:type="dxa"/>
            <w:right w:w="55" w:type="dxa"/>
          </w:tblCellMar>
        </w:tblPrEx>
        <w:tc>
          <w:tcPr>
            <w:tcW w:w="2406" w:type="dxa"/>
            <w:tcBorders>
              <w:left w:val="single" w:color="000000" w:sz="6" w:space="0"/>
              <w:bottom w:val="single" w:color="000000" w:sz="6" w:space="0"/>
            </w:tcBorders>
          </w:tcPr>
          <w:p>
            <w:pPr>
              <w:widowControl w:val="0"/>
              <w:tabs>
                <w:tab w:val="left" w:pos="-709"/>
              </w:tabs>
              <w:spacing w:before="0" w:after="0" w:line="240" w:lineRule="auto"/>
              <w:ind w:left="0" w:right="-567" w:firstLine="0"/>
              <w:jc w:val="both"/>
              <w:rPr>
                <w:rFonts w:ascii="Calibri" w:hAnsi="Calibri" w:cs="Calibri"/>
                <w:sz w:val="18"/>
                <w:szCs w:val="18"/>
              </w:rPr>
            </w:pPr>
            <w:r>
              <w:rPr>
                <w:rFonts w:ascii="Calibri" w:hAnsi="Calibri" w:cs="Calibri"/>
                <w:sz w:val="18"/>
                <w:szCs w:val="18"/>
              </w:rPr>
              <w:t>PSES:</w:t>
            </w:r>
          </w:p>
        </w:tc>
        <w:tc>
          <w:tcPr>
            <w:tcW w:w="2184" w:type="dxa"/>
            <w:tcBorders>
              <w:left w:val="single" w:color="000000" w:sz="6" w:space="0"/>
              <w:bottom w:val="single" w:color="000000" w:sz="6" w:space="0"/>
            </w:tcBorders>
          </w:tcPr>
          <w:p>
            <w:pPr>
              <w:widowControl w:val="0"/>
              <w:tabs>
                <w:tab w:val="left" w:pos="-709"/>
              </w:tabs>
              <w:spacing w:before="0" w:after="0" w:line="240" w:lineRule="auto"/>
              <w:ind w:left="0" w:right="-567" w:firstLine="0"/>
              <w:jc w:val="both"/>
              <w:rPr>
                <w:rFonts w:ascii="Calibri" w:hAnsi="Calibri" w:cs="Calibri"/>
                <w:sz w:val="18"/>
                <w:szCs w:val="18"/>
              </w:rPr>
            </w:pPr>
            <w:r>
              <w:rPr>
                <w:rFonts w:ascii="Calibri" w:hAnsi="Calibri" w:cs="Calibri"/>
                <w:sz w:val="18"/>
                <w:szCs w:val="18"/>
              </w:rPr>
              <w:t>EDITAL:</w:t>
            </w:r>
          </w:p>
        </w:tc>
        <w:tc>
          <w:tcPr>
            <w:tcW w:w="2444" w:type="dxa"/>
            <w:tcBorders>
              <w:left w:val="single" w:color="000000" w:sz="6" w:space="0"/>
              <w:bottom w:val="single" w:color="000000" w:sz="6" w:space="0"/>
            </w:tcBorders>
          </w:tcPr>
          <w:p>
            <w:pPr>
              <w:widowControl w:val="0"/>
              <w:tabs>
                <w:tab w:val="left" w:pos="-709"/>
              </w:tabs>
              <w:spacing w:before="0" w:after="0" w:line="240" w:lineRule="auto"/>
              <w:ind w:left="0" w:right="-567" w:firstLine="0"/>
              <w:jc w:val="both"/>
              <w:rPr>
                <w:rFonts w:ascii="Calibri" w:hAnsi="Calibri" w:cs="Calibri"/>
                <w:sz w:val="18"/>
                <w:szCs w:val="18"/>
              </w:rPr>
            </w:pPr>
            <w:r>
              <w:rPr>
                <w:rFonts w:ascii="Calibri" w:hAnsi="Calibri" w:cs="Calibri"/>
                <w:sz w:val="18"/>
                <w:szCs w:val="18"/>
              </w:rPr>
              <w:t>ITEM:</w:t>
            </w:r>
          </w:p>
        </w:tc>
        <w:tc>
          <w:tcPr>
            <w:tcW w:w="2655" w:type="dxa"/>
            <w:tcBorders>
              <w:left w:val="single" w:color="000000" w:sz="6" w:space="0"/>
              <w:bottom w:val="single" w:color="000000" w:sz="6" w:space="0"/>
              <w:right w:val="single" w:color="000000" w:sz="6" w:space="0"/>
            </w:tcBorders>
          </w:tcPr>
          <w:p>
            <w:pPr>
              <w:widowControl w:val="0"/>
              <w:tabs>
                <w:tab w:val="left" w:pos="-709"/>
              </w:tabs>
              <w:spacing w:before="0" w:after="0" w:line="240" w:lineRule="auto"/>
              <w:ind w:left="0" w:right="-567" w:firstLine="0"/>
              <w:jc w:val="both"/>
              <w:rPr>
                <w:rFonts w:ascii="Calibri" w:hAnsi="Calibri" w:cs="Calibri"/>
                <w:sz w:val="18"/>
                <w:szCs w:val="18"/>
              </w:rPr>
            </w:pPr>
            <w:r>
              <w:rPr>
                <w:rFonts w:ascii="Calibri" w:hAnsi="Calibri" w:cs="Calibri"/>
                <w:sz w:val="18"/>
                <w:szCs w:val="18"/>
              </w:rPr>
              <w:t>DATA:</w:t>
            </w:r>
          </w:p>
        </w:tc>
      </w:tr>
      <w:tr>
        <w:tblPrEx>
          <w:tblCellMar>
            <w:top w:w="55" w:type="dxa"/>
            <w:left w:w="55" w:type="dxa"/>
            <w:bottom w:w="55" w:type="dxa"/>
            <w:right w:w="55" w:type="dxa"/>
          </w:tblCellMar>
        </w:tblPrEx>
        <w:tc>
          <w:tcPr>
            <w:tcW w:w="2406" w:type="dxa"/>
            <w:tcBorders>
              <w:left w:val="single" w:color="000000" w:sz="6" w:space="0"/>
              <w:bottom w:val="single" w:color="000000" w:sz="6" w:space="0"/>
            </w:tcBorders>
          </w:tcPr>
          <w:p>
            <w:pPr>
              <w:widowControl w:val="0"/>
              <w:tabs>
                <w:tab w:val="left" w:pos="-709"/>
              </w:tabs>
              <w:spacing w:before="0" w:after="0" w:line="240" w:lineRule="auto"/>
              <w:ind w:left="0" w:right="-567" w:firstLine="0"/>
              <w:jc w:val="both"/>
              <w:rPr>
                <w:rFonts w:ascii="Calibri" w:hAnsi="Calibri" w:cs="Calibri"/>
                <w:sz w:val="18"/>
                <w:szCs w:val="18"/>
              </w:rPr>
            </w:pPr>
            <w:r>
              <w:rPr>
                <w:rFonts w:ascii="Calibri" w:hAnsi="Calibri" w:cs="Calibri"/>
                <w:sz w:val="18"/>
                <w:szCs w:val="18"/>
              </w:rPr>
              <w:t>PRODUTO:</w:t>
            </w:r>
          </w:p>
        </w:tc>
        <w:tc>
          <w:tcPr>
            <w:tcW w:w="2184" w:type="dxa"/>
            <w:tcBorders>
              <w:left w:val="single" w:color="000000" w:sz="6" w:space="0"/>
              <w:bottom w:val="single" w:color="000000" w:sz="6" w:space="0"/>
            </w:tcBorders>
          </w:tcPr>
          <w:p>
            <w:pPr>
              <w:widowControl w:val="0"/>
              <w:tabs>
                <w:tab w:val="left" w:pos="-709"/>
              </w:tabs>
              <w:spacing w:before="0" w:after="0" w:line="240" w:lineRule="auto"/>
              <w:ind w:left="0" w:right="-567" w:firstLine="0"/>
              <w:jc w:val="both"/>
              <w:rPr>
                <w:rFonts w:ascii="Calibri" w:hAnsi="Calibri" w:cs="Calibri"/>
                <w:sz w:val="18"/>
                <w:szCs w:val="18"/>
              </w:rPr>
            </w:pPr>
            <w:r>
              <w:rPr>
                <w:rFonts w:ascii="Calibri" w:hAnsi="Calibri" w:cs="Calibri"/>
                <w:sz w:val="18"/>
                <w:szCs w:val="18"/>
              </w:rPr>
              <w:t>MARCA:</w:t>
            </w:r>
          </w:p>
        </w:tc>
        <w:tc>
          <w:tcPr>
            <w:tcW w:w="2444" w:type="dxa"/>
            <w:tcBorders>
              <w:left w:val="single" w:color="000000" w:sz="6" w:space="0"/>
              <w:bottom w:val="single" w:color="000000" w:sz="6" w:space="0"/>
            </w:tcBorders>
          </w:tcPr>
          <w:p>
            <w:pPr>
              <w:widowControl w:val="0"/>
              <w:tabs>
                <w:tab w:val="left" w:pos="-709"/>
              </w:tabs>
              <w:spacing w:before="0" w:after="0" w:line="240" w:lineRule="auto"/>
              <w:ind w:left="0" w:right="-567" w:firstLine="0"/>
              <w:jc w:val="both"/>
              <w:rPr>
                <w:rFonts w:ascii="Calibri" w:hAnsi="Calibri" w:cs="Calibri"/>
                <w:sz w:val="18"/>
                <w:szCs w:val="18"/>
              </w:rPr>
            </w:pPr>
            <w:r>
              <w:rPr>
                <w:rFonts w:ascii="Calibri" w:hAnsi="Calibri" w:cs="Calibri"/>
                <w:sz w:val="18"/>
                <w:szCs w:val="18"/>
              </w:rPr>
              <w:t>EMPRESA:</w:t>
            </w:r>
          </w:p>
        </w:tc>
        <w:tc>
          <w:tcPr>
            <w:tcW w:w="2655" w:type="dxa"/>
            <w:tcBorders>
              <w:left w:val="single" w:color="000000" w:sz="6" w:space="0"/>
              <w:bottom w:val="single" w:color="000000" w:sz="6" w:space="0"/>
              <w:right w:val="single" w:color="000000" w:sz="6" w:space="0"/>
            </w:tcBorders>
          </w:tcPr>
          <w:p>
            <w:pPr>
              <w:widowControl w:val="0"/>
              <w:tabs>
                <w:tab w:val="left" w:pos="-709"/>
              </w:tabs>
              <w:spacing w:before="0" w:after="0" w:line="240" w:lineRule="auto"/>
              <w:ind w:left="0" w:right="-567" w:firstLine="0"/>
              <w:jc w:val="both"/>
              <w:rPr>
                <w:rFonts w:ascii="Calibri" w:hAnsi="Calibri" w:cs="Calibri"/>
                <w:sz w:val="18"/>
                <w:szCs w:val="18"/>
              </w:rPr>
            </w:pPr>
            <w:r>
              <w:rPr>
                <w:rFonts w:ascii="Calibri" w:hAnsi="Calibri" w:cs="Calibri"/>
                <w:sz w:val="18"/>
                <w:szCs w:val="18"/>
              </w:rPr>
              <w:t>FABRICANTE:</w:t>
            </w:r>
          </w:p>
        </w:tc>
      </w:tr>
      <w:tr>
        <w:tblPrEx>
          <w:tblCellMar>
            <w:top w:w="55" w:type="dxa"/>
            <w:left w:w="55" w:type="dxa"/>
            <w:bottom w:w="55" w:type="dxa"/>
            <w:right w:w="55" w:type="dxa"/>
          </w:tblCellMar>
        </w:tblPrEx>
        <w:tc>
          <w:tcPr>
            <w:tcW w:w="2406" w:type="dxa"/>
            <w:tcBorders>
              <w:left w:val="single" w:color="000000" w:sz="6" w:space="0"/>
              <w:bottom w:val="single" w:color="000000" w:sz="6" w:space="0"/>
            </w:tcBorders>
          </w:tcPr>
          <w:p>
            <w:pPr>
              <w:widowControl w:val="0"/>
              <w:tabs>
                <w:tab w:val="left" w:pos="-709"/>
              </w:tabs>
              <w:spacing w:before="0" w:after="0" w:line="240" w:lineRule="auto"/>
              <w:ind w:left="0" w:right="-567" w:firstLine="0"/>
              <w:jc w:val="both"/>
              <w:rPr>
                <w:rFonts w:ascii="Calibri" w:hAnsi="Calibri" w:cs="Calibri"/>
                <w:sz w:val="18"/>
                <w:szCs w:val="18"/>
              </w:rPr>
            </w:pPr>
            <w:r>
              <w:rPr>
                <w:rFonts w:ascii="Calibri" w:hAnsi="Calibri" w:cs="Calibri"/>
                <w:sz w:val="18"/>
                <w:szCs w:val="18"/>
              </w:rPr>
              <w:t>ORIGEM:</w:t>
            </w:r>
          </w:p>
        </w:tc>
        <w:tc>
          <w:tcPr>
            <w:tcW w:w="2184" w:type="dxa"/>
            <w:tcBorders>
              <w:left w:val="single" w:color="000000" w:sz="6" w:space="0"/>
              <w:bottom w:val="single" w:color="000000" w:sz="6" w:space="0"/>
            </w:tcBorders>
          </w:tcPr>
          <w:p>
            <w:pPr>
              <w:widowControl w:val="0"/>
              <w:tabs>
                <w:tab w:val="left" w:pos="-709"/>
              </w:tabs>
              <w:spacing w:before="0" w:after="0" w:line="240" w:lineRule="auto"/>
              <w:ind w:left="0" w:right="-567" w:firstLine="0"/>
              <w:jc w:val="both"/>
              <w:rPr>
                <w:rFonts w:ascii="Calibri" w:hAnsi="Calibri" w:cs="Calibri"/>
                <w:sz w:val="18"/>
                <w:szCs w:val="18"/>
              </w:rPr>
            </w:pPr>
            <w:r>
              <w:rPr>
                <w:rFonts w:ascii="Calibri" w:hAnsi="Calibri" w:cs="Calibri"/>
                <w:sz w:val="18"/>
                <w:szCs w:val="18"/>
              </w:rPr>
              <w:t>RMS:</w:t>
            </w:r>
          </w:p>
        </w:tc>
        <w:tc>
          <w:tcPr>
            <w:tcW w:w="2444" w:type="dxa"/>
            <w:tcBorders>
              <w:left w:val="single" w:color="000000" w:sz="6" w:space="0"/>
              <w:bottom w:val="single" w:color="000000" w:sz="6" w:space="0"/>
            </w:tcBorders>
          </w:tcPr>
          <w:p>
            <w:pPr>
              <w:widowControl w:val="0"/>
              <w:tabs>
                <w:tab w:val="left" w:pos="-709"/>
              </w:tabs>
              <w:spacing w:before="0" w:after="0" w:line="240" w:lineRule="auto"/>
              <w:ind w:left="0" w:right="-567" w:firstLine="0"/>
              <w:jc w:val="both"/>
              <w:rPr>
                <w:rFonts w:ascii="Calibri" w:hAnsi="Calibri" w:cs="Calibri"/>
                <w:sz w:val="18"/>
                <w:szCs w:val="18"/>
              </w:rPr>
            </w:pPr>
            <w:r>
              <w:rPr>
                <w:rFonts w:ascii="Calibri" w:hAnsi="Calibri" w:cs="Calibri"/>
                <w:sz w:val="18"/>
                <w:szCs w:val="18"/>
              </w:rPr>
              <w:t>LOTE:</w:t>
            </w:r>
          </w:p>
        </w:tc>
        <w:tc>
          <w:tcPr>
            <w:tcW w:w="2655" w:type="dxa"/>
            <w:tcBorders>
              <w:left w:val="single" w:color="000000" w:sz="6" w:space="0"/>
              <w:bottom w:val="single" w:color="000000" w:sz="6" w:space="0"/>
              <w:right w:val="single" w:color="000000" w:sz="6" w:space="0"/>
            </w:tcBorders>
          </w:tcPr>
          <w:p>
            <w:pPr>
              <w:widowControl w:val="0"/>
              <w:tabs>
                <w:tab w:val="left" w:pos="-709"/>
              </w:tabs>
              <w:spacing w:before="0" w:after="0" w:line="240" w:lineRule="auto"/>
              <w:ind w:left="0" w:right="-567" w:firstLine="0"/>
              <w:jc w:val="both"/>
              <w:rPr>
                <w:rFonts w:ascii="Calibri" w:hAnsi="Calibri" w:cs="Calibri"/>
                <w:sz w:val="18"/>
                <w:szCs w:val="18"/>
              </w:rPr>
            </w:pPr>
            <w:r>
              <w:rPr>
                <w:rFonts w:ascii="Calibri" w:hAnsi="Calibri" w:cs="Calibri"/>
                <w:sz w:val="18"/>
                <w:szCs w:val="18"/>
              </w:rPr>
              <w:t>VALIDADE:</w:t>
            </w:r>
          </w:p>
        </w:tc>
      </w:tr>
    </w:tbl>
    <w:p>
      <w:pPr>
        <w:jc w:val="center"/>
        <w:rPr>
          <w:rFonts w:ascii="Calibri" w:hAnsi="Calibri" w:cs="Calibri"/>
          <w:b/>
          <w:sz w:val="18"/>
          <w:szCs w:val="18"/>
        </w:rPr>
      </w:pPr>
    </w:p>
    <w:p>
      <w:pPr>
        <w:pStyle w:val="2"/>
        <w:jc w:val="left"/>
        <w:rPr>
          <w:rFonts w:ascii="Calibri" w:hAnsi="Calibri" w:cs="Calibri"/>
          <w:b/>
          <w:bCs/>
          <w:i w:val="0"/>
          <w:caps w:val="0"/>
          <w:smallCaps w:val="0"/>
          <w:spacing w:val="0"/>
          <w:sz w:val="18"/>
          <w:szCs w:val="18"/>
        </w:rPr>
      </w:pPr>
      <w:r>
        <w:rPr>
          <w:rFonts w:ascii="Calibri" w:hAnsi="Calibri" w:cs="Calibri"/>
          <w:b/>
          <w:bCs/>
          <w:i w:val="0"/>
          <w:caps w:val="0"/>
          <w:smallCaps w:val="0"/>
          <w:spacing w:val="0"/>
          <w:sz w:val="18"/>
          <w:szCs w:val="18"/>
        </w:rPr>
        <w:t>DATA DE ENVIO DA DPGC PARA UNIDADE:</w:t>
      </w:r>
    </w:p>
    <w:p>
      <w:pPr>
        <w:pStyle w:val="2"/>
        <w:jc w:val="both"/>
        <w:rPr>
          <w:sz w:val="18"/>
          <w:szCs w:val="18"/>
        </w:rPr>
      </w:pPr>
      <w:r>
        <w:rPr>
          <w:rFonts w:ascii="Calibri" w:hAnsi="Calibri" w:cs="Calibri"/>
          <w:b/>
          <w:bCs/>
          <w:i w:val="0"/>
          <w:caps w:val="0"/>
          <w:smallCaps w:val="0"/>
          <w:spacing w:val="0"/>
          <w:sz w:val="18"/>
          <w:szCs w:val="18"/>
        </w:rPr>
        <w:t xml:space="preserve">OBJETIVO: </w:t>
      </w:r>
      <w:r>
        <w:rPr>
          <w:rFonts w:ascii="Calibri" w:hAnsi="Calibri" w:cs="Calibri"/>
          <w:b w:val="0"/>
          <w:i w:val="0"/>
          <w:caps w:val="0"/>
          <w:smallCaps w:val="0"/>
          <w:spacing w:val="0"/>
          <w:sz w:val="18"/>
          <w:szCs w:val="18"/>
        </w:rPr>
        <w:t>Utilizar o Parecer Técnico emitido pelo profissional para a conclusão de escolha, do produto que melhor atende as nossas necessidades, a ser adquirido através de pregão.</w:t>
      </w:r>
      <w:r>
        <w:rPr>
          <w:rFonts w:ascii="Calibri" w:hAnsi="Calibri" w:cs="Calibri"/>
          <w:b/>
          <w:sz w:val="18"/>
          <w:szCs w:val="18"/>
        </w:rPr>
        <w:t xml:space="preserve"> </w:t>
      </w:r>
    </w:p>
    <w:p>
      <w:pPr>
        <w:pStyle w:val="2"/>
        <w:jc w:val="left"/>
        <w:rPr>
          <w:rFonts w:ascii="Calibri" w:hAnsi="Calibri" w:cs="Calibri"/>
          <w:b/>
          <w:sz w:val="18"/>
          <w:szCs w:val="18"/>
        </w:rPr>
      </w:pPr>
    </w:p>
    <w:tbl>
      <w:tblPr>
        <w:tblStyle w:val="13"/>
        <w:tblW w:w="9690" w:type="dxa"/>
        <w:tblInd w:w="55" w:type="dxa"/>
        <w:tblLayout w:type="fixed"/>
        <w:tblCellMar>
          <w:top w:w="55" w:type="dxa"/>
          <w:left w:w="55" w:type="dxa"/>
          <w:bottom w:w="55" w:type="dxa"/>
          <w:right w:w="55" w:type="dxa"/>
        </w:tblCellMar>
      </w:tblPr>
      <w:tblGrid>
        <w:gridCol w:w="1650"/>
        <w:gridCol w:w="8039"/>
      </w:tblGrid>
      <w:tr>
        <w:tblPrEx>
          <w:tblCellMar>
            <w:top w:w="55" w:type="dxa"/>
            <w:left w:w="55" w:type="dxa"/>
            <w:bottom w:w="55" w:type="dxa"/>
            <w:right w:w="55" w:type="dxa"/>
          </w:tblCellMar>
        </w:tblPrEx>
        <w:tc>
          <w:tcPr>
            <w:tcW w:w="1650" w:type="dxa"/>
            <w:tcBorders>
              <w:top w:val="single" w:color="000000" w:sz="6" w:space="0"/>
              <w:left w:val="single" w:color="000000" w:sz="6" w:space="0"/>
              <w:bottom w:val="single" w:color="000000" w:sz="6" w:space="0"/>
            </w:tcBorders>
          </w:tcPr>
          <w:p>
            <w:pPr>
              <w:widowControl w:val="0"/>
              <w:tabs>
                <w:tab w:val="left" w:pos="-709"/>
              </w:tabs>
              <w:jc w:val="center"/>
              <w:rPr>
                <w:rFonts w:ascii="Calibri" w:hAnsi="Calibri" w:cs="Calibri"/>
                <w:b/>
                <w:sz w:val="18"/>
                <w:szCs w:val="18"/>
              </w:rPr>
            </w:pPr>
            <w:r>
              <w:rPr>
                <w:rFonts w:ascii="Calibri" w:hAnsi="Calibri" w:cs="Calibri"/>
                <w:b/>
                <w:sz w:val="18"/>
                <w:szCs w:val="18"/>
              </w:rPr>
              <w:t>CÓDIGO</w:t>
            </w:r>
          </w:p>
        </w:tc>
        <w:tc>
          <w:tcPr>
            <w:tcW w:w="8039" w:type="dxa"/>
            <w:tcBorders>
              <w:top w:val="single" w:color="000000" w:sz="6" w:space="0"/>
              <w:left w:val="single" w:color="000000" w:sz="6" w:space="0"/>
              <w:bottom w:val="single" w:color="000000" w:sz="6" w:space="0"/>
              <w:right w:val="single" w:color="000000" w:sz="6" w:space="0"/>
            </w:tcBorders>
          </w:tcPr>
          <w:p>
            <w:pPr>
              <w:widowControl w:val="0"/>
              <w:tabs>
                <w:tab w:val="left" w:pos="-709"/>
              </w:tabs>
              <w:jc w:val="center"/>
              <w:rPr>
                <w:rFonts w:ascii="Calibri" w:hAnsi="Calibri" w:cs="Calibri"/>
                <w:b/>
                <w:sz w:val="18"/>
                <w:szCs w:val="18"/>
              </w:rPr>
            </w:pPr>
            <w:r>
              <w:rPr>
                <w:rFonts w:ascii="Calibri" w:hAnsi="Calibri" w:cs="Calibri"/>
                <w:b/>
                <w:sz w:val="18"/>
                <w:szCs w:val="18"/>
              </w:rPr>
              <w:t>DESCRIÇÃO</w:t>
            </w:r>
          </w:p>
        </w:tc>
      </w:tr>
      <w:tr>
        <w:tblPrEx>
          <w:tblCellMar>
            <w:top w:w="55" w:type="dxa"/>
            <w:left w:w="55" w:type="dxa"/>
            <w:bottom w:w="55" w:type="dxa"/>
            <w:right w:w="55" w:type="dxa"/>
          </w:tblCellMar>
        </w:tblPrEx>
        <w:tc>
          <w:tcPr>
            <w:tcW w:w="1650" w:type="dxa"/>
            <w:tcBorders>
              <w:left w:val="single" w:color="000000" w:sz="6" w:space="0"/>
              <w:bottom w:val="single" w:color="000000" w:sz="6" w:space="0"/>
            </w:tcBorders>
          </w:tcPr>
          <w:p>
            <w:pPr>
              <w:pStyle w:val="644"/>
              <w:widowControl w:val="0"/>
              <w:snapToGrid w:val="0"/>
              <w:jc w:val="center"/>
              <w:rPr>
                <w:rFonts w:ascii="Calibri" w:hAnsi="Calibri" w:cs="Calibri"/>
                <w:sz w:val="18"/>
                <w:szCs w:val="18"/>
              </w:rPr>
            </w:pPr>
          </w:p>
        </w:tc>
        <w:tc>
          <w:tcPr>
            <w:tcW w:w="8039" w:type="dxa"/>
            <w:tcBorders>
              <w:left w:val="single" w:color="000000" w:sz="6" w:space="0"/>
              <w:bottom w:val="single" w:color="000000" w:sz="6" w:space="0"/>
              <w:right w:val="single" w:color="000000" w:sz="6" w:space="0"/>
            </w:tcBorders>
          </w:tcPr>
          <w:p>
            <w:pPr>
              <w:pStyle w:val="644"/>
              <w:widowControl w:val="0"/>
              <w:snapToGrid w:val="0"/>
              <w:jc w:val="center"/>
              <w:rPr>
                <w:rFonts w:ascii="Calibri" w:hAnsi="Calibri" w:cs="Calibri"/>
                <w:sz w:val="18"/>
                <w:szCs w:val="18"/>
              </w:rPr>
            </w:pPr>
          </w:p>
        </w:tc>
      </w:tr>
    </w:tbl>
    <w:p>
      <w:pPr>
        <w:widowControl/>
        <w:tabs>
          <w:tab w:val="left" w:pos="-709"/>
        </w:tabs>
        <w:suppressAutoHyphens/>
        <w:bidi w:val="0"/>
        <w:ind w:left="0" w:right="0" w:firstLine="0"/>
        <w:jc w:val="both"/>
        <w:rPr>
          <w:rFonts w:ascii="Calibri" w:hAnsi="Calibri" w:cs="Calibri"/>
          <w:sz w:val="18"/>
          <w:szCs w:val="18"/>
        </w:rPr>
      </w:pPr>
    </w:p>
    <w:p>
      <w:pPr>
        <w:widowControl/>
        <w:tabs>
          <w:tab w:val="left" w:pos="-709"/>
        </w:tabs>
        <w:suppressAutoHyphens/>
        <w:bidi w:val="0"/>
        <w:ind w:left="0" w:right="0" w:firstLine="0"/>
        <w:jc w:val="both"/>
        <w:rPr>
          <w:rFonts w:ascii="Calibri" w:hAnsi="Calibri" w:cs="Calibri"/>
          <w:b/>
          <w:sz w:val="18"/>
          <w:szCs w:val="18"/>
        </w:rPr>
      </w:pPr>
      <w:r>
        <w:rPr>
          <w:rFonts w:ascii="Calibri" w:hAnsi="Calibri" w:cs="Calibri"/>
          <w:b/>
          <w:sz w:val="18"/>
          <w:szCs w:val="18"/>
        </w:rPr>
        <w:t>Avalie os itens a seguir (assinale com um “X” o campo correspondente): ADEQUADO, INADEQUADO OU NÃO AVALIADO.</w:t>
      </w:r>
    </w:p>
    <w:tbl>
      <w:tblPr>
        <w:tblStyle w:val="13"/>
        <w:tblW w:w="9675" w:type="dxa"/>
        <w:tblInd w:w="99" w:type="dxa"/>
        <w:tblLayout w:type="fixed"/>
        <w:tblCellMar>
          <w:top w:w="0" w:type="dxa"/>
          <w:left w:w="108" w:type="dxa"/>
          <w:bottom w:w="0" w:type="dxa"/>
          <w:right w:w="108" w:type="dxa"/>
        </w:tblCellMar>
      </w:tblPr>
      <w:tblGrid>
        <w:gridCol w:w="2083"/>
        <w:gridCol w:w="1707"/>
        <w:gridCol w:w="1815"/>
        <w:gridCol w:w="1935"/>
        <w:gridCol w:w="2135"/>
      </w:tblGrid>
      <w:tr>
        <w:tblPrEx>
          <w:tblCellMar>
            <w:top w:w="0" w:type="dxa"/>
            <w:left w:w="108" w:type="dxa"/>
            <w:bottom w:w="0" w:type="dxa"/>
            <w:right w:w="108" w:type="dxa"/>
          </w:tblCellMar>
        </w:tblPrEx>
        <w:tc>
          <w:tcPr>
            <w:tcW w:w="2083" w:type="dxa"/>
            <w:tcBorders>
              <w:top w:val="single" w:color="000000" w:sz="4" w:space="0"/>
              <w:left w:val="single" w:color="000000" w:sz="4" w:space="0"/>
              <w:bottom w:val="single" w:color="000000" w:sz="4" w:space="0"/>
              <w:right w:val="single" w:color="000000" w:sz="4" w:space="0"/>
            </w:tcBorders>
            <w:vAlign w:val="center"/>
          </w:tcPr>
          <w:p>
            <w:pPr>
              <w:widowControl w:val="0"/>
              <w:tabs>
                <w:tab w:val="left" w:pos="-709"/>
              </w:tabs>
              <w:suppressAutoHyphens/>
              <w:bidi w:val="0"/>
              <w:spacing w:before="0" w:after="0" w:line="240" w:lineRule="auto"/>
              <w:ind w:left="0" w:right="0" w:firstLine="0"/>
              <w:jc w:val="center"/>
              <w:rPr>
                <w:rFonts w:ascii="Calibri" w:hAnsi="Calibri" w:cs="Calibri"/>
                <w:b/>
                <w:sz w:val="18"/>
                <w:szCs w:val="18"/>
              </w:rPr>
            </w:pPr>
            <w:r>
              <w:rPr>
                <w:rFonts w:ascii="Calibri" w:hAnsi="Calibri" w:cs="Calibri"/>
                <w:b/>
                <w:sz w:val="18"/>
                <w:szCs w:val="18"/>
              </w:rPr>
              <w:t>DESCRIÇÃO</w:t>
            </w:r>
          </w:p>
        </w:tc>
        <w:tc>
          <w:tcPr>
            <w:tcW w:w="1707" w:type="dxa"/>
            <w:tcBorders>
              <w:top w:val="single" w:color="000000" w:sz="4" w:space="0"/>
              <w:left w:val="single" w:color="000000" w:sz="4" w:space="0"/>
              <w:bottom w:val="single" w:color="000000" w:sz="4" w:space="0"/>
              <w:right w:val="single" w:color="000000" w:sz="4" w:space="0"/>
            </w:tcBorders>
            <w:vAlign w:val="center"/>
          </w:tcPr>
          <w:p>
            <w:pPr>
              <w:widowControl w:val="0"/>
              <w:tabs>
                <w:tab w:val="left" w:pos="-709"/>
              </w:tabs>
              <w:suppressAutoHyphens/>
              <w:bidi w:val="0"/>
              <w:spacing w:before="0" w:after="0"/>
              <w:ind w:left="0" w:right="0" w:firstLine="0"/>
              <w:jc w:val="center"/>
              <w:rPr>
                <w:rFonts w:ascii="Calibri" w:hAnsi="Calibri" w:cs="Calibri"/>
                <w:b/>
                <w:sz w:val="18"/>
                <w:szCs w:val="18"/>
              </w:rPr>
            </w:pPr>
            <w:r>
              <w:rPr>
                <w:rFonts w:ascii="Calibri" w:hAnsi="Calibri" w:cs="Calibri"/>
                <w:b/>
                <w:sz w:val="18"/>
                <w:szCs w:val="18"/>
              </w:rPr>
              <w:t>ADEQUADO</w:t>
            </w:r>
          </w:p>
          <w:p>
            <w:pPr>
              <w:widowControl w:val="0"/>
              <w:tabs>
                <w:tab w:val="left" w:pos="-709"/>
              </w:tabs>
              <w:suppressAutoHyphens/>
              <w:bidi w:val="0"/>
              <w:spacing w:before="57" w:after="0"/>
              <w:ind w:left="0" w:right="0" w:firstLine="0"/>
              <w:jc w:val="center"/>
              <w:rPr>
                <w:rFonts w:ascii="Calibri" w:hAnsi="Calibri" w:cs="Calibri"/>
                <w:b/>
                <w:sz w:val="18"/>
                <w:szCs w:val="18"/>
              </w:rPr>
            </w:pPr>
          </w:p>
        </w:tc>
        <w:tc>
          <w:tcPr>
            <w:tcW w:w="1815" w:type="dxa"/>
            <w:tcBorders>
              <w:top w:val="single" w:color="000000" w:sz="4" w:space="0"/>
              <w:left w:val="single" w:color="000000" w:sz="4" w:space="0"/>
              <w:bottom w:val="single" w:color="000000" w:sz="4" w:space="0"/>
              <w:right w:val="single" w:color="000000" w:sz="4" w:space="0"/>
            </w:tcBorders>
            <w:vAlign w:val="center"/>
          </w:tcPr>
          <w:p>
            <w:pPr>
              <w:widowControl w:val="0"/>
              <w:tabs>
                <w:tab w:val="left" w:pos="-709"/>
              </w:tabs>
              <w:suppressAutoHyphens/>
              <w:bidi w:val="0"/>
              <w:spacing w:before="57" w:after="0"/>
              <w:ind w:left="0" w:right="0" w:firstLine="0"/>
              <w:jc w:val="center"/>
              <w:rPr>
                <w:rFonts w:ascii="Calibri" w:hAnsi="Calibri" w:cs="Calibri"/>
                <w:b/>
                <w:sz w:val="18"/>
                <w:szCs w:val="18"/>
              </w:rPr>
            </w:pPr>
            <w:r>
              <w:rPr>
                <w:rFonts w:ascii="Calibri" w:hAnsi="Calibri" w:cs="Calibri"/>
                <w:b/>
                <w:sz w:val="18"/>
                <w:szCs w:val="18"/>
              </w:rPr>
              <w:t>INADEQUADO</w:t>
            </w:r>
          </w:p>
          <w:p>
            <w:pPr>
              <w:widowControl w:val="0"/>
              <w:tabs>
                <w:tab w:val="left" w:pos="-709"/>
              </w:tabs>
              <w:suppressAutoHyphens/>
              <w:bidi w:val="0"/>
              <w:spacing w:before="57" w:after="0"/>
              <w:ind w:left="0" w:right="0" w:firstLine="0"/>
              <w:jc w:val="center"/>
              <w:rPr>
                <w:rFonts w:ascii="Calibri" w:hAnsi="Calibri" w:cs="Calibri"/>
                <w:b/>
                <w:sz w:val="18"/>
                <w:szCs w:val="18"/>
              </w:rPr>
            </w:pPr>
          </w:p>
        </w:tc>
        <w:tc>
          <w:tcPr>
            <w:tcW w:w="1935" w:type="dxa"/>
            <w:tcBorders>
              <w:top w:val="single" w:color="000000" w:sz="4" w:space="0"/>
              <w:left w:val="single" w:color="000000" w:sz="4" w:space="0"/>
              <w:bottom w:val="single" w:color="000000" w:sz="4" w:space="0"/>
              <w:right w:val="single" w:color="000000" w:sz="4" w:space="0"/>
            </w:tcBorders>
            <w:vAlign w:val="center"/>
          </w:tcPr>
          <w:p>
            <w:pPr>
              <w:widowControl w:val="0"/>
              <w:tabs>
                <w:tab w:val="left" w:pos="-709"/>
              </w:tabs>
              <w:suppressAutoHyphens/>
              <w:bidi w:val="0"/>
              <w:spacing w:before="57" w:after="0"/>
              <w:ind w:left="0" w:right="0" w:firstLine="0"/>
              <w:jc w:val="center"/>
              <w:rPr>
                <w:rFonts w:ascii="Calibri" w:hAnsi="Calibri" w:cs="Calibri"/>
                <w:b/>
                <w:sz w:val="18"/>
                <w:szCs w:val="18"/>
              </w:rPr>
            </w:pPr>
            <w:r>
              <w:rPr>
                <w:rFonts w:ascii="Calibri" w:hAnsi="Calibri" w:cs="Calibri"/>
                <w:b/>
                <w:sz w:val="18"/>
                <w:szCs w:val="18"/>
              </w:rPr>
              <w:t>SE INADEQUADO, INDICAR O MOTIVO</w:t>
            </w:r>
          </w:p>
        </w:tc>
        <w:tc>
          <w:tcPr>
            <w:tcW w:w="2135" w:type="dxa"/>
            <w:tcBorders>
              <w:top w:val="single" w:color="000000" w:sz="4" w:space="0"/>
              <w:left w:val="single" w:color="000000" w:sz="4" w:space="0"/>
              <w:bottom w:val="single" w:color="000000" w:sz="4" w:space="0"/>
              <w:right w:val="single" w:color="000000" w:sz="4" w:space="0"/>
            </w:tcBorders>
            <w:vAlign w:val="center"/>
          </w:tcPr>
          <w:p>
            <w:pPr>
              <w:widowControl w:val="0"/>
              <w:tabs>
                <w:tab w:val="left" w:pos="-709"/>
              </w:tabs>
              <w:suppressAutoHyphens/>
              <w:bidi w:val="0"/>
              <w:spacing w:before="57" w:after="0"/>
              <w:ind w:left="0" w:right="0" w:firstLine="0"/>
              <w:jc w:val="center"/>
              <w:rPr>
                <w:rFonts w:ascii="Calibri" w:hAnsi="Calibri" w:cs="Calibri"/>
                <w:b/>
                <w:sz w:val="18"/>
                <w:szCs w:val="18"/>
              </w:rPr>
            </w:pPr>
            <w:r>
              <w:rPr>
                <w:rFonts w:ascii="Calibri" w:hAnsi="Calibri" w:cs="Calibri"/>
                <w:b/>
                <w:sz w:val="18"/>
                <w:szCs w:val="18"/>
              </w:rPr>
              <w:t>SE NÃO AVALIADO INDICAR O MOTIVO</w:t>
            </w:r>
          </w:p>
        </w:tc>
      </w:tr>
      <w:tr>
        <w:tblPrEx>
          <w:tblCellMar>
            <w:top w:w="0" w:type="dxa"/>
            <w:left w:w="108" w:type="dxa"/>
            <w:bottom w:w="0" w:type="dxa"/>
            <w:right w:w="108" w:type="dxa"/>
          </w:tblCellMar>
        </w:tblPrEx>
        <w:trPr>
          <w:trHeight w:val="454" w:hRule="atLeast"/>
        </w:trPr>
        <w:tc>
          <w:tcPr>
            <w:tcW w:w="2083" w:type="dxa"/>
            <w:tcBorders>
              <w:top w:val="single" w:color="000000" w:sz="4" w:space="0"/>
              <w:left w:val="single" w:color="000000" w:sz="4" w:space="0"/>
              <w:bottom w:val="single" w:color="000000" w:sz="4" w:space="0"/>
              <w:right w:val="single" w:color="000000" w:sz="4" w:space="0"/>
            </w:tcBorders>
            <w:vAlign w:val="center"/>
          </w:tcPr>
          <w:p>
            <w:pPr>
              <w:widowControl w:val="0"/>
              <w:tabs>
                <w:tab w:val="left" w:pos="-709"/>
              </w:tabs>
              <w:suppressAutoHyphens/>
              <w:bidi w:val="0"/>
              <w:spacing w:before="57" w:after="0"/>
              <w:ind w:left="0" w:right="0" w:firstLine="0"/>
              <w:jc w:val="left"/>
              <w:rPr>
                <w:rFonts w:ascii="Calibri" w:hAnsi="Calibri" w:cs="Calibri"/>
                <w:b/>
                <w:sz w:val="18"/>
                <w:szCs w:val="18"/>
              </w:rPr>
            </w:pPr>
            <w:r>
              <w:rPr>
                <w:rFonts w:ascii="Calibri" w:hAnsi="Calibri" w:cs="Calibri"/>
                <w:b/>
                <w:sz w:val="18"/>
                <w:szCs w:val="18"/>
              </w:rPr>
              <w:t>Apresentação</w:t>
            </w:r>
          </w:p>
        </w:tc>
        <w:tc>
          <w:tcPr>
            <w:tcW w:w="1707" w:type="dxa"/>
            <w:tcBorders>
              <w:top w:val="single" w:color="000000" w:sz="4" w:space="0"/>
              <w:left w:val="single" w:color="000000" w:sz="4" w:space="0"/>
              <w:bottom w:val="single" w:color="000000" w:sz="4" w:space="0"/>
              <w:right w:val="single" w:color="000000" w:sz="4" w:space="0"/>
            </w:tcBorders>
            <w:vAlign w:val="center"/>
          </w:tcPr>
          <w:p>
            <w:pPr>
              <w:widowControl w:val="0"/>
              <w:tabs>
                <w:tab w:val="left" w:pos="-709"/>
              </w:tabs>
              <w:suppressAutoHyphens/>
              <w:bidi w:val="0"/>
              <w:snapToGrid w:val="0"/>
              <w:spacing w:before="57" w:after="0"/>
              <w:ind w:left="0" w:right="0" w:firstLine="0"/>
              <w:jc w:val="center"/>
              <w:rPr>
                <w:rFonts w:ascii="Calibri" w:hAnsi="Calibri" w:cs="Calibri"/>
                <w:b/>
                <w:sz w:val="18"/>
                <w:szCs w:val="18"/>
              </w:rPr>
            </w:pPr>
          </w:p>
        </w:tc>
        <w:tc>
          <w:tcPr>
            <w:tcW w:w="1815" w:type="dxa"/>
            <w:tcBorders>
              <w:top w:val="single" w:color="000000" w:sz="4" w:space="0"/>
              <w:left w:val="single" w:color="000000" w:sz="4" w:space="0"/>
              <w:bottom w:val="single" w:color="000000" w:sz="4" w:space="0"/>
              <w:right w:val="single" w:color="000000" w:sz="4" w:space="0"/>
            </w:tcBorders>
            <w:vAlign w:val="center"/>
          </w:tcPr>
          <w:p>
            <w:pPr>
              <w:widowControl w:val="0"/>
              <w:tabs>
                <w:tab w:val="left" w:pos="-709"/>
              </w:tabs>
              <w:suppressAutoHyphens/>
              <w:bidi w:val="0"/>
              <w:snapToGrid w:val="0"/>
              <w:spacing w:before="57" w:after="0"/>
              <w:ind w:left="0" w:right="0" w:firstLine="0"/>
              <w:jc w:val="center"/>
              <w:rPr>
                <w:rFonts w:ascii="Calibri" w:hAnsi="Calibri" w:cs="Calibri"/>
                <w:b/>
                <w:sz w:val="18"/>
                <w:szCs w:val="18"/>
              </w:rPr>
            </w:pPr>
          </w:p>
        </w:tc>
        <w:tc>
          <w:tcPr>
            <w:tcW w:w="1935" w:type="dxa"/>
            <w:vMerge w:val="restart"/>
            <w:tcBorders>
              <w:top w:val="single" w:color="000000" w:sz="4" w:space="0"/>
              <w:left w:val="single" w:color="000000" w:sz="4" w:space="0"/>
              <w:bottom w:val="single" w:color="000000" w:sz="4" w:space="0"/>
              <w:right w:val="single" w:color="000000" w:sz="4" w:space="0"/>
            </w:tcBorders>
            <w:vAlign w:val="center"/>
          </w:tcPr>
          <w:p>
            <w:pPr>
              <w:widowControl w:val="0"/>
              <w:tabs>
                <w:tab w:val="left" w:pos="-709"/>
              </w:tabs>
              <w:suppressAutoHyphens/>
              <w:bidi w:val="0"/>
              <w:snapToGrid w:val="0"/>
              <w:spacing w:before="57" w:after="0"/>
              <w:ind w:left="0" w:right="0" w:firstLine="0"/>
              <w:jc w:val="center"/>
              <w:rPr>
                <w:rFonts w:ascii="Calibri" w:hAnsi="Calibri" w:cs="Calibri"/>
                <w:b/>
                <w:sz w:val="18"/>
                <w:szCs w:val="18"/>
              </w:rPr>
            </w:pPr>
          </w:p>
          <w:p>
            <w:pPr>
              <w:widowControl w:val="0"/>
              <w:tabs>
                <w:tab w:val="left" w:pos="-709"/>
              </w:tabs>
              <w:suppressAutoHyphens/>
              <w:bidi w:val="0"/>
              <w:spacing w:before="57" w:after="0"/>
              <w:ind w:left="0" w:right="0" w:firstLine="0"/>
              <w:jc w:val="center"/>
              <w:rPr>
                <w:rFonts w:ascii="Calibri" w:hAnsi="Calibri" w:cs="Calibri"/>
                <w:b/>
                <w:sz w:val="18"/>
                <w:szCs w:val="18"/>
              </w:rPr>
            </w:pPr>
          </w:p>
        </w:tc>
        <w:tc>
          <w:tcPr>
            <w:tcW w:w="2135" w:type="dxa"/>
            <w:vMerge w:val="restart"/>
            <w:tcBorders>
              <w:top w:val="single" w:color="000000" w:sz="4" w:space="0"/>
              <w:left w:val="single" w:color="000000" w:sz="4" w:space="0"/>
              <w:bottom w:val="single" w:color="000000" w:sz="4" w:space="0"/>
              <w:right w:val="single" w:color="000000" w:sz="4" w:space="0"/>
            </w:tcBorders>
            <w:vAlign w:val="center"/>
          </w:tcPr>
          <w:p>
            <w:pPr>
              <w:widowControl w:val="0"/>
              <w:tabs>
                <w:tab w:val="left" w:pos="-709"/>
              </w:tabs>
              <w:suppressAutoHyphens/>
              <w:bidi w:val="0"/>
              <w:snapToGrid w:val="0"/>
              <w:spacing w:before="57" w:after="0"/>
              <w:ind w:left="0" w:right="0" w:firstLine="0"/>
              <w:jc w:val="center"/>
              <w:rPr>
                <w:rFonts w:ascii="Calibri" w:hAnsi="Calibri" w:cs="Calibri"/>
                <w:b/>
                <w:sz w:val="18"/>
                <w:szCs w:val="18"/>
              </w:rPr>
            </w:pPr>
          </w:p>
        </w:tc>
      </w:tr>
      <w:tr>
        <w:tblPrEx>
          <w:tblCellMar>
            <w:top w:w="0" w:type="dxa"/>
            <w:left w:w="108" w:type="dxa"/>
            <w:bottom w:w="0" w:type="dxa"/>
            <w:right w:w="108" w:type="dxa"/>
          </w:tblCellMar>
        </w:tblPrEx>
        <w:trPr>
          <w:trHeight w:val="454" w:hRule="atLeast"/>
        </w:trPr>
        <w:tc>
          <w:tcPr>
            <w:tcW w:w="2083" w:type="dxa"/>
            <w:tcBorders>
              <w:top w:val="single" w:color="000000" w:sz="4" w:space="0"/>
              <w:left w:val="single" w:color="000000" w:sz="4" w:space="0"/>
              <w:bottom w:val="single" w:color="000000" w:sz="4" w:space="0"/>
              <w:right w:val="single" w:color="000000" w:sz="4" w:space="0"/>
            </w:tcBorders>
            <w:vAlign w:val="center"/>
          </w:tcPr>
          <w:p>
            <w:pPr>
              <w:widowControl w:val="0"/>
              <w:tabs>
                <w:tab w:val="left" w:pos="-709"/>
              </w:tabs>
              <w:jc w:val="left"/>
              <w:rPr>
                <w:rFonts w:ascii="Calibri" w:hAnsi="Calibri" w:cs="Calibri"/>
                <w:b/>
                <w:sz w:val="18"/>
                <w:szCs w:val="18"/>
              </w:rPr>
            </w:pPr>
            <w:r>
              <w:rPr>
                <w:rFonts w:ascii="Calibri" w:hAnsi="Calibri" w:cs="Calibri"/>
                <w:b/>
                <w:sz w:val="18"/>
                <w:szCs w:val="18"/>
              </w:rPr>
              <w:t>Composição</w:t>
            </w:r>
          </w:p>
        </w:tc>
        <w:tc>
          <w:tcPr>
            <w:tcW w:w="1707" w:type="dxa"/>
            <w:tcBorders>
              <w:top w:val="single" w:color="000000" w:sz="4" w:space="0"/>
              <w:left w:val="single" w:color="000000" w:sz="4" w:space="0"/>
              <w:bottom w:val="single" w:color="000000" w:sz="4" w:space="0"/>
              <w:right w:val="single" w:color="000000" w:sz="4" w:space="0"/>
            </w:tcBorders>
            <w:vAlign w:val="center"/>
          </w:tcPr>
          <w:p>
            <w:pPr>
              <w:widowControl w:val="0"/>
              <w:tabs>
                <w:tab w:val="left" w:pos="-709"/>
              </w:tabs>
              <w:snapToGrid w:val="0"/>
              <w:jc w:val="left"/>
              <w:rPr>
                <w:rFonts w:ascii="Calibri" w:hAnsi="Calibri" w:cs="Calibri"/>
                <w:b/>
                <w:sz w:val="18"/>
                <w:szCs w:val="18"/>
              </w:rPr>
            </w:pPr>
          </w:p>
        </w:tc>
        <w:tc>
          <w:tcPr>
            <w:tcW w:w="1815" w:type="dxa"/>
            <w:tcBorders>
              <w:top w:val="single" w:color="000000" w:sz="4" w:space="0"/>
              <w:left w:val="single" w:color="000000" w:sz="4" w:space="0"/>
              <w:bottom w:val="single" w:color="000000" w:sz="4" w:space="0"/>
              <w:right w:val="single" w:color="000000" w:sz="4" w:space="0"/>
            </w:tcBorders>
            <w:vAlign w:val="center"/>
          </w:tcPr>
          <w:p>
            <w:pPr>
              <w:widowControl w:val="0"/>
              <w:tabs>
                <w:tab w:val="left" w:pos="-709"/>
              </w:tabs>
              <w:snapToGrid w:val="0"/>
              <w:jc w:val="left"/>
              <w:rPr>
                <w:rFonts w:ascii="Calibri" w:hAnsi="Calibri" w:cs="Calibri"/>
                <w:b/>
                <w:sz w:val="18"/>
                <w:szCs w:val="18"/>
              </w:rPr>
            </w:pPr>
          </w:p>
        </w:tc>
        <w:tc>
          <w:tcPr>
            <w:tcW w:w="1935" w:type="dxa"/>
            <w:vMerge w:val="continue"/>
            <w:tcBorders>
              <w:top w:val="single" w:color="000000" w:sz="4" w:space="0"/>
              <w:left w:val="single" w:color="000000" w:sz="4" w:space="0"/>
              <w:bottom w:val="single" w:color="000000" w:sz="4" w:space="0"/>
              <w:right w:val="single" w:color="000000" w:sz="4" w:space="0"/>
            </w:tcBorders>
            <w:vAlign w:val="center"/>
          </w:tcPr>
          <w:p>
            <w:pPr>
              <w:widowControl w:val="0"/>
              <w:snapToGrid w:val="0"/>
              <w:rPr>
                <w:rFonts w:ascii="Calibri" w:hAnsi="Calibri" w:cs="Calibri"/>
                <w:b/>
                <w:sz w:val="18"/>
                <w:szCs w:val="18"/>
              </w:rPr>
            </w:pPr>
          </w:p>
        </w:tc>
        <w:tc>
          <w:tcPr>
            <w:tcW w:w="2135" w:type="dxa"/>
            <w:vMerge w:val="continue"/>
            <w:tcBorders>
              <w:top w:val="single" w:color="000000" w:sz="4" w:space="0"/>
              <w:left w:val="single" w:color="000000" w:sz="4" w:space="0"/>
              <w:bottom w:val="single" w:color="000000" w:sz="4" w:space="0"/>
              <w:right w:val="single" w:color="000000" w:sz="4" w:space="0"/>
            </w:tcBorders>
            <w:vAlign w:val="center"/>
          </w:tcPr>
          <w:p>
            <w:pPr>
              <w:widowControl w:val="0"/>
              <w:snapToGrid w:val="0"/>
              <w:rPr>
                <w:rFonts w:ascii="Calibri" w:hAnsi="Calibri" w:cs="Calibri"/>
                <w:b/>
                <w:sz w:val="18"/>
                <w:szCs w:val="18"/>
              </w:rPr>
            </w:pPr>
          </w:p>
        </w:tc>
      </w:tr>
      <w:tr>
        <w:tblPrEx>
          <w:tblCellMar>
            <w:top w:w="0" w:type="dxa"/>
            <w:left w:w="108" w:type="dxa"/>
            <w:bottom w:w="0" w:type="dxa"/>
            <w:right w:w="108" w:type="dxa"/>
          </w:tblCellMar>
        </w:tblPrEx>
        <w:trPr>
          <w:trHeight w:val="454" w:hRule="atLeast"/>
        </w:trPr>
        <w:tc>
          <w:tcPr>
            <w:tcW w:w="2083" w:type="dxa"/>
            <w:tcBorders>
              <w:top w:val="single" w:color="000000" w:sz="4" w:space="0"/>
              <w:left w:val="single" w:color="000000" w:sz="4" w:space="0"/>
              <w:bottom w:val="single" w:color="000000" w:sz="4" w:space="0"/>
              <w:right w:val="single" w:color="000000" w:sz="4" w:space="0"/>
            </w:tcBorders>
            <w:vAlign w:val="center"/>
          </w:tcPr>
          <w:p>
            <w:pPr>
              <w:widowControl w:val="0"/>
              <w:tabs>
                <w:tab w:val="left" w:pos="-709"/>
              </w:tabs>
              <w:jc w:val="left"/>
              <w:rPr>
                <w:rFonts w:ascii="Calibri" w:hAnsi="Calibri" w:cs="Calibri"/>
                <w:b/>
                <w:sz w:val="18"/>
                <w:szCs w:val="18"/>
              </w:rPr>
            </w:pPr>
            <w:r>
              <w:rPr>
                <w:rFonts w:ascii="Calibri" w:hAnsi="Calibri" w:cs="Calibri"/>
                <w:b/>
                <w:sz w:val="18"/>
                <w:szCs w:val="18"/>
              </w:rPr>
              <w:t>Rendimento</w:t>
            </w:r>
          </w:p>
        </w:tc>
        <w:tc>
          <w:tcPr>
            <w:tcW w:w="1707" w:type="dxa"/>
            <w:tcBorders>
              <w:top w:val="single" w:color="000000" w:sz="4" w:space="0"/>
              <w:left w:val="single" w:color="000000" w:sz="4" w:space="0"/>
              <w:bottom w:val="single" w:color="000000" w:sz="4" w:space="0"/>
              <w:right w:val="single" w:color="000000" w:sz="4" w:space="0"/>
            </w:tcBorders>
            <w:vAlign w:val="center"/>
          </w:tcPr>
          <w:p>
            <w:pPr>
              <w:widowControl w:val="0"/>
              <w:tabs>
                <w:tab w:val="left" w:pos="-709"/>
              </w:tabs>
              <w:snapToGrid w:val="0"/>
              <w:jc w:val="left"/>
              <w:rPr>
                <w:rFonts w:ascii="Calibri" w:hAnsi="Calibri" w:cs="Calibri"/>
                <w:b/>
                <w:sz w:val="18"/>
                <w:szCs w:val="18"/>
              </w:rPr>
            </w:pPr>
          </w:p>
        </w:tc>
        <w:tc>
          <w:tcPr>
            <w:tcW w:w="1815" w:type="dxa"/>
            <w:tcBorders>
              <w:top w:val="single" w:color="000000" w:sz="4" w:space="0"/>
              <w:left w:val="single" w:color="000000" w:sz="4" w:space="0"/>
              <w:bottom w:val="single" w:color="000000" w:sz="4" w:space="0"/>
              <w:right w:val="single" w:color="000000" w:sz="4" w:space="0"/>
            </w:tcBorders>
            <w:vAlign w:val="center"/>
          </w:tcPr>
          <w:p>
            <w:pPr>
              <w:widowControl w:val="0"/>
              <w:tabs>
                <w:tab w:val="left" w:pos="-709"/>
              </w:tabs>
              <w:snapToGrid w:val="0"/>
              <w:jc w:val="left"/>
              <w:rPr>
                <w:rFonts w:ascii="Calibri" w:hAnsi="Calibri" w:cs="Calibri"/>
                <w:b/>
                <w:sz w:val="18"/>
                <w:szCs w:val="18"/>
              </w:rPr>
            </w:pPr>
          </w:p>
        </w:tc>
        <w:tc>
          <w:tcPr>
            <w:tcW w:w="1935" w:type="dxa"/>
            <w:vMerge w:val="continue"/>
            <w:tcBorders>
              <w:top w:val="single" w:color="000000" w:sz="4" w:space="0"/>
              <w:left w:val="single" w:color="000000" w:sz="4" w:space="0"/>
              <w:bottom w:val="single" w:color="000000" w:sz="4" w:space="0"/>
              <w:right w:val="single" w:color="000000" w:sz="4" w:space="0"/>
            </w:tcBorders>
            <w:vAlign w:val="center"/>
          </w:tcPr>
          <w:p>
            <w:pPr>
              <w:widowControl w:val="0"/>
              <w:snapToGrid w:val="0"/>
              <w:rPr>
                <w:rFonts w:ascii="Calibri" w:hAnsi="Calibri" w:cs="Calibri"/>
                <w:b/>
                <w:sz w:val="18"/>
                <w:szCs w:val="18"/>
              </w:rPr>
            </w:pPr>
          </w:p>
        </w:tc>
        <w:tc>
          <w:tcPr>
            <w:tcW w:w="2135" w:type="dxa"/>
            <w:vMerge w:val="continue"/>
            <w:tcBorders>
              <w:top w:val="single" w:color="000000" w:sz="4" w:space="0"/>
              <w:left w:val="single" w:color="000000" w:sz="4" w:space="0"/>
              <w:bottom w:val="single" w:color="000000" w:sz="4" w:space="0"/>
              <w:right w:val="single" w:color="000000" w:sz="4" w:space="0"/>
            </w:tcBorders>
            <w:vAlign w:val="center"/>
          </w:tcPr>
          <w:p>
            <w:pPr>
              <w:widowControl w:val="0"/>
              <w:snapToGrid w:val="0"/>
              <w:rPr>
                <w:rFonts w:ascii="Calibri" w:hAnsi="Calibri" w:cs="Calibri"/>
                <w:b/>
                <w:sz w:val="18"/>
                <w:szCs w:val="18"/>
              </w:rPr>
            </w:pPr>
          </w:p>
        </w:tc>
      </w:tr>
      <w:tr>
        <w:tblPrEx>
          <w:tblCellMar>
            <w:top w:w="0" w:type="dxa"/>
            <w:left w:w="108" w:type="dxa"/>
            <w:bottom w:w="0" w:type="dxa"/>
            <w:right w:w="108" w:type="dxa"/>
          </w:tblCellMar>
        </w:tblPrEx>
        <w:trPr>
          <w:trHeight w:val="454" w:hRule="atLeast"/>
        </w:trPr>
        <w:tc>
          <w:tcPr>
            <w:tcW w:w="2083" w:type="dxa"/>
            <w:tcBorders>
              <w:top w:val="single" w:color="000000" w:sz="4" w:space="0"/>
              <w:left w:val="single" w:color="000000" w:sz="4" w:space="0"/>
              <w:bottom w:val="single" w:color="000000" w:sz="4" w:space="0"/>
              <w:right w:val="single" w:color="000000" w:sz="4" w:space="0"/>
            </w:tcBorders>
            <w:vAlign w:val="center"/>
          </w:tcPr>
          <w:p>
            <w:pPr>
              <w:widowControl w:val="0"/>
              <w:tabs>
                <w:tab w:val="left" w:pos="-709"/>
              </w:tabs>
              <w:jc w:val="left"/>
              <w:rPr>
                <w:rFonts w:ascii="Calibri" w:hAnsi="Calibri" w:cs="Calibri"/>
                <w:b/>
                <w:sz w:val="18"/>
                <w:szCs w:val="18"/>
              </w:rPr>
            </w:pPr>
            <w:r>
              <w:rPr>
                <w:rFonts w:ascii="Calibri" w:hAnsi="Calibri" w:cs="Calibri"/>
                <w:b/>
                <w:sz w:val="18"/>
                <w:szCs w:val="18"/>
              </w:rPr>
              <w:t>Solubilidade</w:t>
            </w:r>
          </w:p>
        </w:tc>
        <w:tc>
          <w:tcPr>
            <w:tcW w:w="1707" w:type="dxa"/>
            <w:tcBorders>
              <w:top w:val="single" w:color="000000" w:sz="4" w:space="0"/>
              <w:left w:val="single" w:color="000000" w:sz="4" w:space="0"/>
              <w:bottom w:val="single" w:color="000000" w:sz="4" w:space="0"/>
              <w:right w:val="single" w:color="000000" w:sz="4" w:space="0"/>
            </w:tcBorders>
            <w:vAlign w:val="center"/>
          </w:tcPr>
          <w:p>
            <w:pPr>
              <w:widowControl w:val="0"/>
              <w:tabs>
                <w:tab w:val="left" w:pos="-709"/>
              </w:tabs>
              <w:snapToGrid w:val="0"/>
              <w:jc w:val="left"/>
              <w:rPr>
                <w:rFonts w:ascii="Calibri" w:hAnsi="Calibri" w:cs="Calibri"/>
                <w:b/>
                <w:sz w:val="18"/>
                <w:szCs w:val="18"/>
              </w:rPr>
            </w:pPr>
          </w:p>
        </w:tc>
        <w:tc>
          <w:tcPr>
            <w:tcW w:w="1815" w:type="dxa"/>
            <w:tcBorders>
              <w:top w:val="single" w:color="000000" w:sz="4" w:space="0"/>
              <w:left w:val="single" w:color="000000" w:sz="4" w:space="0"/>
              <w:bottom w:val="single" w:color="000000" w:sz="4" w:space="0"/>
              <w:right w:val="single" w:color="000000" w:sz="4" w:space="0"/>
            </w:tcBorders>
            <w:vAlign w:val="center"/>
          </w:tcPr>
          <w:p>
            <w:pPr>
              <w:widowControl w:val="0"/>
              <w:tabs>
                <w:tab w:val="left" w:pos="-709"/>
              </w:tabs>
              <w:snapToGrid w:val="0"/>
              <w:jc w:val="left"/>
              <w:rPr>
                <w:rFonts w:ascii="Calibri" w:hAnsi="Calibri" w:cs="Calibri"/>
                <w:b/>
                <w:sz w:val="18"/>
                <w:szCs w:val="18"/>
              </w:rPr>
            </w:pPr>
          </w:p>
        </w:tc>
        <w:tc>
          <w:tcPr>
            <w:tcW w:w="1935" w:type="dxa"/>
            <w:vMerge w:val="continue"/>
            <w:tcBorders>
              <w:top w:val="single" w:color="000000" w:sz="4" w:space="0"/>
              <w:left w:val="single" w:color="000000" w:sz="4" w:space="0"/>
              <w:bottom w:val="single" w:color="000000" w:sz="4" w:space="0"/>
              <w:right w:val="single" w:color="000000" w:sz="4" w:space="0"/>
            </w:tcBorders>
            <w:vAlign w:val="center"/>
          </w:tcPr>
          <w:p>
            <w:pPr>
              <w:widowControl w:val="0"/>
              <w:snapToGrid w:val="0"/>
              <w:rPr>
                <w:rFonts w:ascii="Calibri" w:hAnsi="Calibri" w:cs="Calibri"/>
                <w:b/>
                <w:sz w:val="18"/>
                <w:szCs w:val="18"/>
              </w:rPr>
            </w:pPr>
          </w:p>
        </w:tc>
        <w:tc>
          <w:tcPr>
            <w:tcW w:w="2135" w:type="dxa"/>
            <w:vMerge w:val="continue"/>
            <w:tcBorders>
              <w:top w:val="single" w:color="000000" w:sz="4" w:space="0"/>
              <w:left w:val="single" w:color="000000" w:sz="4" w:space="0"/>
              <w:bottom w:val="single" w:color="000000" w:sz="4" w:space="0"/>
              <w:right w:val="single" w:color="000000" w:sz="4" w:space="0"/>
            </w:tcBorders>
            <w:vAlign w:val="center"/>
          </w:tcPr>
          <w:p>
            <w:pPr>
              <w:widowControl w:val="0"/>
              <w:snapToGrid w:val="0"/>
              <w:rPr>
                <w:rFonts w:ascii="Calibri" w:hAnsi="Calibri" w:cs="Calibri"/>
                <w:b/>
                <w:sz w:val="18"/>
                <w:szCs w:val="18"/>
              </w:rPr>
            </w:pPr>
          </w:p>
        </w:tc>
      </w:tr>
      <w:tr>
        <w:tblPrEx>
          <w:tblCellMar>
            <w:top w:w="0" w:type="dxa"/>
            <w:left w:w="108" w:type="dxa"/>
            <w:bottom w:w="0" w:type="dxa"/>
            <w:right w:w="108" w:type="dxa"/>
          </w:tblCellMar>
        </w:tblPrEx>
        <w:trPr>
          <w:trHeight w:val="454" w:hRule="atLeast"/>
        </w:trPr>
        <w:tc>
          <w:tcPr>
            <w:tcW w:w="2083" w:type="dxa"/>
            <w:tcBorders>
              <w:top w:val="single" w:color="000000" w:sz="4" w:space="0"/>
              <w:left w:val="single" w:color="000000" w:sz="4" w:space="0"/>
              <w:bottom w:val="single" w:color="000000" w:sz="4" w:space="0"/>
              <w:right w:val="single" w:color="000000" w:sz="4" w:space="0"/>
            </w:tcBorders>
            <w:vAlign w:val="center"/>
          </w:tcPr>
          <w:p>
            <w:pPr>
              <w:widowControl w:val="0"/>
              <w:tabs>
                <w:tab w:val="left" w:pos="-709"/>
              </w:tabs>
              <w:jc w:val="left"/>
              <w:rPr>
                <w:rFonts w:ascii="Calibri" w:hAnsi="Calibri" w:cs="Calibri"/>
                <w:sz w:val="18"/>
                <w:szCs w:val="18"/>
              </w:rPr>
            </w:pPr>
            <w:r>
              <w:rPr>
                <w:rFonts w:ascii="Calibri" w:hAnsi="Calibri" w:cs="Calibri"/>
                <w:sz w:val="18"/>
                <w:szCs w:val="18"/>
              </w:rPr>
              <w:t>Odor</w:t>
            </w:r>
          </w:p>
        </w:tc>
        <w:tc>
          <w:tcPr>
            <w:tcW w:w="1707" w:type="dxa"/>
            <w:tcBorders>
              <w:top w:val="single" w:color="000000" w:sz="4" w:space="0"/>
              <w:left w:val="single" w:color="000000" w:sz="4" w:space="0"/>
              <w:bottom w:val="single" w:color="000000" w:sz="4" w:space="0"/>
              <w:right w:val="single" w:color="000000" w:sz="4" w:space="0"/>
            </w:tcBorders>
            <w:vAlign w:val="center"/>
          </w:tcPr>
          <w:p>
            <w:pPr>
              <w:widowControl w:val="0"/>
              <w:tabs>
                <w:tab w:val="left" w:pos="-709"/>
              </w:tabs>
              <w:snapToGrid w:val="0"/>
              <w:jc w:val="left"/>
              <w:rPr>
                <w:rFonts w:ascii="Calibri" w:hAnsi="Calibri" w:cs="Calibri"/>
                <w:b/>
                <w:sz w:val="18"/>
                <w:szCs w:val="18"/>
              </w:rPr>
            </w:pPr>
          </w:p>
        </w:tc>
        <w:tc>
          <w:tcPr>
            <w:tcW w:w="1815" w:type="dxa"/>
            <w:tcBorders>
              <w:top w:val="single" w:color="000000" w:sz="4" w:space="0"/>
              <w:left w:val="single" w:color="000000" w:sz="4" w:space="0"/>
              <w:bottom w:val="single" w:color="000000" w:sz="4" w:space="0"/>
              <w:right w:val="single" w:color="000000" w:sz="4" w:space="0"/>
            </w:tcBorders>
            <w:vAlign w:val="center"/>
          </w:tcPr>
          <w:p>
            <w:pPr>
              <w:widowControl w:val="0"/>
              <w:tabs>
                <w:tab w:val="left" w:pos="-709"/>
              </w:tabs>
              <w:snapToGrid w:val="0"/>
              <w:jc w:val="left"/>
              <w:rPr>
                <w:rFonts w:ascii="Calibri" w:hAnsi="Calibri" w:cs="Calibri"/>
                <w:b/>
                <w:sz w:val="18"/>
                <w:szCs w:val="18"/>
              </w:rPr>
            </w:pPr>
          </w:p>
        </w:tc>
        <w:tc>
          <w:tcPr>
            <w:tcW w:w="1935" w:type="dxa"/>
            <w:vMerge w:val="continue"/>
            <w:tcBorders>
              <w:top w:val="single" w:color="000000" w:sz="4" w:space="0"/>
              <w:left w:val="single" w:color="000000" w:sz="4" w:space="0"/>
              <w:bottom w:val="single" w:color="000000" w:sz="4" w:space="0"/>
              <w:right w:val="single" w:color="000000" w:sz="4" w:space="0"/>
            </w:tcBorders>
            <w:vAlign w:val="center"/>
          </w:tcPr>
          <w:p>
            <w:pPr>
              <w:widowControl w:val="0"/>
              <w:snapToGrid w:val="0"/>
              <w:rPr>
                <w:rFonts w:ascii="Calibri" w:hAnsi="Calibri" w:cs="Calibri"/>
                <w:b/>
                <w:sz w:val="18"/>
                <w:szCs w:val="18"/>
              </w:rPr>
            </w:pPr>
          </w:p>
        </w:tc>
        <w:tc>
          <w:tcPr>
            <w:tcW w:w="2135" w:type="dxa"/>
            <w:vMerge w:val="continue"/>
            <w:tcBorders>
              <w:top w:val="single" w:color="000000" w:sz="4" w:space="0"/>
              <w:left w:val="single" w:color="000000" w:sz="4" w:space="0"/>
              <w:bottom w:val="single" w:color="000000" w:sz="4" w:space="0"/>
              <w:right w:val="single" w:color="000000" w:sz="4" w:space="0"/>
            </w:tcBorders>
            <w:vAlign w:val="center"/>
          </w:tcPr>
          <w:p>
            <w:pPr>
              <w:widowControl w:val="0"/>
              <w:snapToGrid w:val="0"/>
              <w:rPr>
                <w:rFonts w:ascii="Calibri" w:hAnsi="Calibri" w:cs="Calibri"/>
                <w:b/>
                <w:sz w:val="18"/>
                <w:szCs w:val="18"/>
              </w:rPr>
            </w:pPr>
          </w:p>
        </w:tc>
      </w:tr>
      <w:tr>
        <w:tblPrEx>
          <w:tblCellMar>
            <w:top w:w="0" w:type="dxa"/>
            <w:left w:w="108" w:type="dxa"/>
            <w:bottom w:w="0" w:type="dxa"/>
            <w:right w:w="108" w:type="dxa"/>
          </w:tblCellMar>
        </w:tblPrEx>
        <w:trPr>
          <w:trHeight w:val="454" w:hRule="atLeast"/>
        </w:trPr>
        <w:tc>
          <w:tcPr>
            <w:tcW w:w="2083" w:type="dxa"/>
            <w:tcBorders>
              <w:left w:val="single" w:color="000000" w:sz="4" w:space="0"/>
              <w:bottom w:val="single" w:color="000000" w:sz="4" w:space="0"/>
              <w:right w:val="single" w:color="000000" w:sz="4" w:space="0"/>
            </w:tcBorders>
            <w:vAlign w:val="center"/>
          </w:tcPr>
          <w:p>
            <w:pPr>
              <w:widowControl w:val="0"/>
              <w:tabs>
                <w:tab w:val="left" w:pos="-709"/>
              </w:tabs>
              <w:jc w:val="left"/>
              <w:rPr>
                <w:rFonts w:ascii="Calibri" w:hAnsi="Calibri" w:eastAsia="SimSun" w:cs="Calibri"/>
                <w:bCs/>
                <w:color w:val="000000"/>
                <w:sz w:val="18"/>
                <w:szCs w:val="18"/>
                <w:lang w:val="pt-BR" w:eastAsia="zh-CN" w:bidi="ar-SA"/>
              </w:rPr>
            </w:pPr>
            <w:r>
              <w:rPr>
                <w:rFonts w:ascii="Calibri" w:hAnsi="Calibri" w:eastAsia="SimSun" w:cs="Calibri"/>
                <w:bCs/>
                <w:color w:val="000000"/>
                <w:sz w:val="18"/>
                <w:szCs w:val="18"/>
                <w:lang w:val="pt-BR" w:eastAsia="zh-CN" w:bidi="ar-SA"/>
              </w:rPr>
              <w:t>Sabor</w:t>
            </w:r>
          </w:p>
        </w:tc>
        <w:tc>
          <w:tcPr>
            <w:tcW w:w="1707" w:type="dxa"/>
            <w:tcBorders>
              <w:left w:val="single" w:color="000000" w:sz="4" w:space="0"/>
              <w:bottom w:val="single" w:color="000000" w:sz="4" w:space="0"/>
              <w:right w:val="single" w:color="000000" w:sz="4" w:space="0"/>
            </w:tcBorders>
            <w:vAlign w:val="center"/>
          </w:tcPr>
          <w:p>
            <w:pPr>
              <w:widowControl w:val="0"/>
              <w:tabs>
                <w:tab w:val="left" w:pos="-709"/>
              </w:tabs>
              <w:snapToGrid w:val="0"/>
              <w:jc w:val="left"/>
              <w:rPr>
                <w:rFonts w:ascii="Calibri" w:hAnsi="Calibri" w:cs="Calibri"/>
                <w:b/>
                <w:sz w:val="18"/>
                <w:szCs w:val="18"/>
              </w:rPr>
            </w:pPr>
          </w:p>
        </w:tc>
        <w:tc>
          <w:tcPr>
            <w:tcW w:w="1815" w:type="dxa"/>
            <w:tcBorders>
              <w:left w:val="single" w:color="000000" w:sz="4" w:space="0"/>
              <w:bottom w:val="single" w:color="000000" w:sz="4" w:space="0"/>
              <w:right w:val="single" w:color="000000" w:sz="4" w:space="0"/>
            </w:tcBorders>
            <w:vAlign w:val="center"/>
          </w:tcPr>
          <w:p>
            <w:pPr>
              <w:widowControl w:val="0"/>
              <w:tabs>
                <w:tab w:val="left" w:pos="-709"/>
              </w:tabs>
              <w:snapToGrid w:val="0"/>
              <w:jc w:val="left"/>
              <w:rPr>
                <w:rFonts w:ascii="Calibri" w:hAnsi="Calibri" w:cs="Calibri"/>
                <w:b/>
                <w:sz w:val="18"/>
                <w:szCs w:val="18"/>
              </w:rPr>
            </w:pPr>
          </w:p>
        </w:tc>
        <w:tc>
          <w:tcPr>
            <w:tcW w:w="1935" w:type="dxa"/>
            <w:vMerge w:val="continue"/>
            <w:tcBorders>
              <w:top w:val="single" w:color="000000" w:sz="4" w:space="0"/>
              <w:left w:val="single" w:color="000000" w:sz="4" w:space="0"/>
              <w:bottom w:val="single" w:color="000000" w:sz="4" w:space="0"/>
              <w:right w:val="single" w:color="000000" w:sz="4" w:space="0"/>
            </w:tcBorders>
            <w:vAlign w:val="center"/>
          </w:tcPr>
          <w:p>
            <w:pPr>
              <w:widowControl w:val="0"/>
              <w:snapToGrid w:val="0"/>
              <w:rPr>
                <w:rFonts w:ascii="Calibri" w:hAnsi="Calibri" w:cs="Calibri"/>
                <w:b/>
                <w:sz w:val="18"/>
                <w:szCs w:val="18"/>
              </w:rPr>
            </w:pPr>
          </w:p>
        </w:tc>
        <w:tc>
          <w:tcPr>
            <w:tcW w:w="2135" w:type="dxa"/>
            <w:vMerge w:val="continue"/>
            <w:tcBorders>
              <w:top w:val="single" w:color="000000" w:sz="4" w:space="0"/>
              <w:left w:val="single" w:color="000000" w:sz="4" w:space="0"/>
              <w:bottom w:val="single" w:color="000000" w:sz="4" w:space="0"/>
              <w:right w:val="single" w:color="000000" w:sz="4" w:space="0"/>
            </w:tcBorders>
            <w:vAlign w:val="center"/>
          </w:tcPr>
          <w:p>
            <w:pPr>
              <w:widowControl w:val="0"/>
              <w:snapToGrid w:val="0"/>
              <w:rPr>
                <w:rFonts w:ascii="Calibri" w:hAnsi="Calibri" w:cs="Calibri"/>
                <w:b/>
                <w:sz w:val="18"/>
                <w:szCs w:val="18"/>
              </w:rPr>
            </w:pPr>
          </w:p>
        </w:tc>
      </w:tr>
      <w:tr>
        <w:tblPrEx>
          <w:tblCellMar>
            <w:top w:w="0" w:type="dxa"/>
            <w:left w:w="108" w:type="dxa"/>
            <w:bottom w:w="0" w:type="dxa"/>
            <w:right w:w="108" w:type="dxa"/>
          </w:tblCellMar>
        </w:tblPrEx>
        <w:trPr>
          <w:trHeight w:val="454" w:hRule="atLeast"/>
        </w:trPr>
        <w:tc>
          <w:tcPr>
            <w:tcW w:w="2083" w:type="dxa"/>
            <w:tcBorders>
              <w:left w:val="single" w:color="000000" w:sz="4" w:space="0"/>
              <w:bottom w:val="single" w:color="000000" w:sz="4" w:space="0"/>
              <w:right w:val="single" w:color="000000" w:sz="4" w:space="0"/>
            </w:tcBorders>
            <w:vAlign w:val="center"/>
          </w:tcPr>
          <w:p>
            <w:pPr>
              <w:widowControl w:val="0"/>
              <w:tabs>
                <w:tab w:val="left" w:pos="-709"/>
              </w:tabs>
              <w:jc w:val="left"/>
              <w:rPr>
                <w:rFonts w:ascii="Calibri" w:hAnsi="Calibri" w:eastAsia="SimSun" w:cs="Calibri"/>
                <w:bCs/>
                <w:color w:val="000000"/>
                <w:sz w:val="18"/>
                <w:szCs w:val="18"/>
                <w:lang w:val="pt-BR" w:eastAsia="zh-CN" w:bidi="ar-SA"/>
              </w:rPr>
            </w:pPr>
            <w:r>
              <w:rPr>
                <w:rFonts w:ascii="Calibri" w:hAnsi="Calibri" w:eastAsia="SimSun" w:cs="Calibri"/>
                <w:bCs/>
                <w:color w:val="000000"/>
                <w:sz w:val="18"/>
                <w:szCs w:val="18"/>
                <w:lang w:val="pt-BR" w:eastAsia="zh-CN" w:bidi="ar-SA"/>
              </w:rPr>
              <w:t>Aceitação pelo Paciente</w:t>
            </w:r>
          </w:p>
        </w:tc>
        <w:tc>
          <w:tcPr>
            <w:tcW w:w="1707" w:type="dxa"/>
            <w:tcBorders>
              <w:left w:val="single" w:color="000000" w:sz="4" w:space="0"/>
              <w:bottom w:val="single" w:color="000000" w:sz="4" w:space="0"/>
              <w:right w:val="single" w:color="000000" w:sz="4" w:space="0"/>
            </w:tcBorders>
            <w:vAlign w:val="center"/>
          </w:tcPr>
          <w:p>
            <w:pPr>
              <w:widowControl w:val="0"/>
              <w:tabs>
                <w:tab w:val="left" w:pos="-709"/>
              </w:tabs>
              <w:snapToGrid w:val="0"/>
              <w:jc w:val="left"/>
              <w:rPr>
                <w:rFonts w:ascii="Calibri" w:hAnsi="Calibri" w:cs="Calibri"/>
                <w:b/>
                <w:sz w:val="18"/>
                <w:szCs w:val="18"/>
              </w:rPr>
            </w:pPr>
          </w:p>
        </w:tc>
        <w:tc>
          <w:tcPr>
            <w:tcW w:w="1815" w:type="dxa"/>
            <w:tcBorders>
              <w:left w:val="single" w:color="000000" w:sz="4" w:space="0"/>
              <w:bottom w:val="single" w:color="000000" w:sz="4" w:space="0"/>
              <w:right w:val="single" w:color="000000" w:sz="4" w:space="0"/>
            </w:tcBorders>
            <w:vAlign w:val="center"/>
          </w:tcPr>
          <w:p>
            <w:pPr>
              <w:widowControl w:val="0"/>
              <w:tabs>
                <w:tab w:val="left" w:pos="-709"/>
              </w:tabs>
              <w:snapToGrid w:val="0"/>
              <w:jc w:val="left"/>
              <w:rPr>
                <w:rFonts w:ascii="Calibri" w:hAnsi="Calibri" w:cs="Calibri"/>
                <w:b/>
                <w:sz w:val="18"/>
                <w:szCs w:val="18"/>
              </w:rPr>
            </w:pPr>
          </w:p>
        </w:tc>
        <w:tc>
          <w:tcPr>
            <w:tcW w:w="1935" w:type="dxa"/>
            <w:vMerge w:val="continue"/>
            <w:tcBorders>
              <w:top w:val="single" w:color="000000" w:sz="4" w:space="0"/>
              <w:left w:val="single" w:color="000000" w:sz="4" w:space="0"/>
              <w:bottom w:val="single" w:color="000000" w:sz="4" w:space="0"/>
              <w:right w:val="single" w:color="000000" w:sz="4" w:space="0"/>
            </w:tcBorders>
            <w:vAlign w:val="center"/>
          </w:tcPr>
          <w:p>
            <w:pPr>
              <w:widowControl w:val="0"/>
              <w:snapToGrid w:val="0"/>
              <w:rPr>
                <w:rFonts w:ascii="Calibri" w:hAnsi="Calibri" w:cs="Calibri"/>
                <w:b/>
                <w:sz w:val="18"/>
                <w:szCs w:val="18"/>
              </w:rPr>
            </w:pPr>
          </w:p>
        </w:tc>
        <w:tc>
          <w:tcPr>
            <w:tcW w:w="2135" w:type="dxa"/>
            <w:vMerge w:val="continue"/>
            <w:tcBorders>
              <w:top w:val="single" w:color="000000" w:sz="4" w:space="0"/>
              <w:left w:val="single" w:color="000000" w:sz="4" w:space="0"/>
              <w:bottom w:val="single" w:color="000000" w:sz="4" w:space="0"/>
              <w:right w:val="single" w:color="000000" w:sz="4" w:space="0"/>
            </w:tcBorders>
            <w:vAlign w:val="center"/>
          </w:tcPr>
          <w:p>
            <w:pPr>
              <w:widowControl w:val="0"/>
              <w:snapToGrid w:val="0"/>
              <w:rPr>
                <w:rFonts w:ascii="Calibri" w:hAnsi="Calibri" w:cs="Calibri"/>
                <w:b/>
                <w:sz w:val="18"/>
                <w:szCs w:val="18"/>
              </w:rPr>
            </w:pPr>
          </w:p>
        </w:tc>
      </w:tr>
      <w:tr>
        <w:tblPrEx>
          <w:tblCellMar>
            <w:top w:w="0" w:type="dxa"/>
            <w:left w:w="108" w:type="dxa"/>
            <w:bottom w:w="0" w:type="dxa"/>
            <w:right w:w="108" w:type="dxa"/>
          </w:tblCellMar>
        </w:tblPrEx>
        <w:trPr>
          <w:trHeight w:val="454" w:hRule="atLeast"/>
        </w:trPr>
        <w:tc>
          <w:tcPr>
            <w:tcW w:w="2083" w:type="dxa"/>
            <w:tcBorders>
              <w:left w:val="single" w:color="000000" w:sz="4" w:space="0"/>
              <w:bottom w:val="single" w:color="000000" w:sz="4" w:space="0"/>
              <w:right w:val="single" w:color="000000" w:sz="4" w:space="0"/>
            </w:tcBorders>
            <w:vAlign w:val="center"/>
          </w:tcPr>
          <w:p>
            <w:pPr>
              <w:widowControl w:val="0"/>
              <w:tabs>
                <w:tab w:val="left" w:pos="-709"/>
              </w:tabs>
              <w:jc w:val="left"/>
              <w:rPr>
                <w:rFonts w:ascii="Calibri" w:hAnsi="Calibri" w:eastAsia="SimSun" w:cs="Calibri"/>
                <w:bCs/>
                <w:color w:val="000000"/>
                <w:sz w:val="18"/>
                <w:szCs w:val="18"/>
                <w:lang w:val="pt-BR" w:eastAsia="zh-CN" w:bidi="ar-SA"/>
              </w:rPr>
            </w:pPr>
            <w:r>
              <w:rPr>
                <w:rFonts w:ascii="Calibri" w:hAnsi="Calibri" w:eastAsia="SimSun" w:cs="Calibri"/>
                <w:bCs/>
                <w:color w:val="000000"/>
                <w:sz w:val="18"/>
                <w:szCs w:val="18"/>
                <w:lang w:val="pt-BR" w:eastAsia="zh-CN" w:bidi="ar-SA"/>
              </w:rPr>
              <w:t>Reação ao uso do produto</w:t>
            </w:r>
          </w:p>
        </w:tc>
        <w:tc>
          <w:tcPr>
            <w:tcW w:w="1707" w:type="dxa"/>
            <w:tcBorders>
              <w:left w:val="single" w:color="000000" w:sz="4" w:space="0"/>
              <w:bottom w:val="single" w:color="000000" w:sz="4" w:space="0"/>
              <w:right w:val="single" w:color="000000" w:sz="4" w:space="0"/>
            </w:tcBorders>
            <w:vAlign w:val="center"/>
          </w:tcPr>
          <w:p>
            <w:pPr>
              <w:widowControl w:val="0"/>
              <w:tabs>
                <w:tab w:val="left" w:pos="-709"/>
              </w:tabs>
              <w:snapToGrid w:val="0"/>
              <w:jc w:val="left"/>
              <w:rPr>
                <w:rFonts w:ascii="Calibri" w:hAnsi="Calibri" w:cs="Calibri"/>
                <w:b/>
                <w:sz w:val="18"/>
                <w:szCs w:val="18"/>
              </w:rPr>
            </w:pPr>
          </w:p>
        </w:tc>
        <w:tc>
          <w:tcPr>
            <w:tcW w:w="1815" w:type="dxa"/>
            <w:tcBorders>
              <w:left w:val="single" w:color="000000" w:sz="4" w:space="0"/>
              <w:bottom w:val="single" w:color="000000" w:sz="4" w:space="0"/>
              <w:right w:val="single" w:color="000000" w:sz="4" w:space="0"/>
            </w:tcBorders>
            <w:vAlign w:val="center"/>
          </w:tcPr>
          <w:p>
            <w:pPr>
              <w:widowControl w:val="0"/>
              <w:tabs>
                <w:tab w:val="left" w:pos="-709"/>
              </w:tabs>
              <w:snapToGrid w:val="0"/>
              <w:jc w:val="left"/>
              <w:rPr>
                <w:rFonts w:ascii="Calibri" w:hAnsi="Calibri" w:cs="Calibri"/>
                <w:b/>
                <w:sz w:val="18"/>
                <w:szCs w:val="18"/>
              </w:rPr>
            </w:pPr>
          </w:p>
        </w:tc>
        <w:tc>
          <w:tcPr>
            <w:tcW w:w="1935" w:type="dxa"/>
            <w:vMerge w:val="continue"/>
            <w:tcBorders>
              <w:top w:val="single" w:color="000000" w:sz="4" w:space="0"/>
              <w:left w:val="single" w:color="000000" w:sz="4" w:space="0"/>
              <w:bottom w:val="single" w:color="000000" w:sz="4" w:space="0"/>
              <w:right w:val="single" w:color="000000" w:sz="4" w:space="0"/>
            </w:tcBorders>
            <w:vAlign w:val="center"/>
          </w:tcPr>
          <w:p>
            <w:pPr>
              <w:widowControl w:val="0"/>
              <w:snapToGrid w:val="0"/>
              <w:rPr>
                <w:rFonts w:ascii="Calibri" w:hAnsi="Calibri" w:cs="Calibri"/>
                <w:b/>
                <w:sz w:val="18"/>
                <w:szCs w:val="18"/>
              </w:rPr>
            </w:pPr>
          </w:p>
        </w:tc>
        <w:tc>
          <w:tcPr>
            <w:tcW w:w="2135" w:type="dxa"/>
            <w:vMerge w:val="continue"/>
            <w:tcBorders>
              <w:top w:val="single" w:color="000000" w:sz="4" w:space="0"/>
              <w:left w:val="single" w:color="000000" w:sz="4" w:space="0"/>
              <w:bottom w:val="single" w:color="000000" w:sz="4" w:space="0"/>
              <w:right w:val="single" w:color="000000" w:sz="4" w:space="0"/>
            </w:tcBorders>
            <w:vAlign w:val="center"/>
          </w:tcPr>
          <w:p>
            <w:pPr>
              <w:widowControl w:val="0"/>
              <w:snapToGrid w:val="0"/>
              <w:rPr>
                <w:rFonts w:ascii="Calibri" w:hAnsi="Calibri" w:cs="Calibri"/>
                <w:b/>
                <w:sz w:val="18"/>
                <w:szCs w:val="18"/>
              </w:rPr>
            </w:pPr>
          </w:p>
        </w:tc>
      </w:tr>
      <w:tr>
        <w:tblPrEx>
          <w:tblCellMar>
            <w:top w:w="0" w:type="dxa"/>
            <w:left w:w="108" w:type="dxa"/>
            <w:bottom w:w="0" w:type="dxa"/>
            <w:right w:w="108" w:type="dxa"/>
          </w:tblCellMar>
        </w:tblPrEx>
        <w:trPr>
          <w:trHeight w:val="454" w:hRule="atLeast"/>
        </w:trPr>
        <w:tc>
          <w:tcPr>
            <w:tcW w:w="9675" w:type="dxa"/>
            <w:gridSpan w:val="5"/>
            <w:tcBorders>
              <w:top w:val="single" w:color="000000" w:sz="4" w:space="0"/>
              <w:left w:val="single" w:color="000000" w:sz="4" w:space="0"/>
              <w:bottom w:val="single" w:color="000000" w:sz="4" w:space="0"/>
              <w:right w:val="single" w:color="000000" w:sz="4" w:space="0"/>
            </w:tcBorders>
            <w:vAlign w:val="center"/>
          </w:tcPr>
          <w:p>
            <w:pPr>
              <w:widowControl w:val="0"/>
              <w:tabs>
                <w:tab w:val="left" w:pos="-709"/>
              </w:tabs>
              <w:jc w:val="left"/>
              <w:rPr>
                <w:sz w:val="18"/>
                <w:szCs w:val="18"/>
              </w:rPr>
            </w:pPr>
            <w:r>
              <w:rPr>
                <w:rFonts w:ascii="Calibri" w:hAnsi="Calibri" w:cs="Calibri"/>
                <w:b/>
                <w:i/>
                <w:sz w:val="18"/>
                <w:szCs w:val="18"/>
              </w:rPr>
              <w:t>Observação/ Outras considerações (utilizar o verso):</w:t>
            </w:r>
          </w:p>
        </w:tc>
      </w:tr>
    </w:tbl>
    <w:p>
      <w:pPr>
        <w:widowControl/>
        <w:tabs>
          <w:tab w:val="left" w:pos="-709"/>
        </w:tabs>
        <w:suppressAutoHyphens/>
        <w:bidi w:val="0"/>
        <w:ind w:left="0" w:right="0" w:firstLine="0"/>
        <w:jc w:val="both"/>
        <w:rPr>
          <w:rFonts w:ascii="Calibri" w:hAnsi="Calibri" w:cs="Calibri"/>
          <w:sz w:val="18"/>
          <w:szCs w:val="18"/>
        </w:rPr>
      </w:pPr>
    </w:p>
    <w:p>
      <w:pPr>
        <w:widowControl/>
        <w:tabs>
          <w:tab w:val="left" w:pos="-709"/>
        </w:tabs>
        <w:suppressAutoHyphens/>
        <w:bidi w:val="0"/>
        <w:ind w:left="0" w:right="0" w:firstLine="0"/>
        <w:jc w:val="both"/>
        <w:rPr>
          <w:sz w:val="18"/>
          <w:szCs w:val="18"/>
        </w:rPr>
      </w:pPr>
      <w:r>
        <w:rPr>
          <w:rFonts w:ascii="Calibri" w:hAnsi="Calibri" w:cs="Calibri"/>
          <w:b/>
          <w:sz w:val="18"/>
          <w:szCs w:val="18"/>
        </w:rPr>
        <w:t>CONCLUSÃO DO TESTE REALIZADO: (    ) APROVADO    (    ) REPROVADO   (    )</w:t>
      </w:r>
      <w:r>
        <w:rPr>
          <w:rFonts w:ascii="Calibri" w:hAnsi="Calibri" w:cs="Calibri"/>
          <w:b/>
          <w:sz w:val="18"/>
          <w:szCs w:val="18"/>
          <w:u w:val="none"/>
        </w:rPr>
        <w:t xml:space="preserve"> NÃO AVALIADO</w:t>
      </w:r>
    </w:p>
    <w:p>
      <w:pPr>
        <w:pStyle w:val="2"/>
        <w:widowControl/>
        <w:tabs>
          <w:tab w:val="left" w:pos="-709"/>
        </w:tabs>
        <w:suppressAutoHyphens/>
        <w:bidi w:val="0"/>
        <w:ind w:left="0" w:right="0" w:firstLine="0"/>
        <w:jc w:val="both"/>
        <w:rPr>
          <w:rFonts w:ascii="Calibri" w:hAnsi="Calibri" w:cs="Calibri"/>
          <w:sz w:val="18"/>
          <w:szCs w:val="18"/>
        </w:rPr>
      </w:pPr>
    </w:p>
    <w:p>
      <w:pPr>
        <w:widowControl/>
        <w:tabs>
          <w:tab w:val="left" w:pos="-709"/>
        </w:tabs>
        <w:suppressAutoHyphens/>
        <w:bidi w:val="0"/>
        <w:ind w:left="0" w:right="0" w:firstLine="0"/>
        <w:jc w:val="left"/>
        <w:rPr>
          <w:sz w:val="18"/>
          <w:szCs w:val="18"/>
        </w:rPr>
      </w:pPr>
      <w:r>
        <w:rPr>
          <w:rFonts w:ascii="Calibri" w:hAnsi="Calibri" w:cs="Calibri"/>
          <w:b w:val="0"/>
          <w:bCs w:val="0"/>
          <w:sz w:val="18"/>
          <w:szCs w:val="18"/>
          <w:u w:val="none"/>
        </w:rPr>
        <w:t xml:space="preserve">Nome completo do responsável pelo parecer: </w:t>
      </w:r>
      <w:r>
        <w:rPr>
          <w:rFonts w:ascii="Calibri" w:hAnsi="Calibri" w:cs="Calibri"/>
          <w:b/>
          <w:sz w:val="18"/>
          <w:szCs w:val="18"/>
          <w:u w:val="none"/>
        </w:rPr>
        <w:t>____________________________________</w:t>
      </w:r>
    </w:p>
    <w:p>
      <w:pPr>
        <w:widowControl/>
        <w:tabs>
          <w:tab w:val="left" w:pos="-709"/>
        </w:tabs>
        <w:suppressAutoHyphens/>
        <w:bidi w:val="0"/>
        <w:ind w:left="0" w:right="0" w:firstLine="0"/>
        <w:jc w:val="both"/>
        <w:rPr>
          <w:rFonts w:ascii="Calibri" w:hAnsi="Calibri" w:cs="Calibri"/>
          <w:sz w:val="18"/>
          <w:szCs w:val="18"/>
        </w:rPr>
      </w:pPr>
    </w:p>
    <w:p>
      <w:pPr>
        <w:pStyle w:val="2"/>
        <w:widowControl/>
        <w:tabs>
          <w:tab w:val="left" w:pos="-709"/>
        </w:tabs>
        <w:suppressAutoHyphens/>
        <w:bidi w:val="0"/>
        <w:ind w:left="0" w:right="0" w:firstLine="0"/>
        <w:jc w:val="both"/>
        <w:rPr>
          <w:sz w:val="18"/>
          <w:szCs w:val="18"/>
        </w:rPr>
      </w:pPr>
      <w:r>
        <w:rPr>
          <w:rFonts w:ascii="Calibri" w:hAnsi="Calibri" w:eastAsia="SimSun" w:cs="Calibri"/>
          <w:b/>
          <w:bCs/>
          <w:i w:val="0"/>
          <w:caps w:val="0"/>
          <w:smallCaps w:val="0"/>
          <w:spacing w:val="0"/>
          <w:sz w:val="18"/>
          <w:szCs w:val="18"/>
        </w:rPr>
        <w:t xml:space="preserve">Solicitamos assinaturas e a inclusão do carimbo dos profissionais que emitiram o parecer. Lembramos que, o prazo para retorno das fichas de análise técnica é de 10 (dez) dias. Caso o prazo não seja respeitado, o produto de menor preço será considerado </w:t>
      </w:r>
      <w:r>
        <w:rPr>
          <w:rFonts w:ascii="Calibri" w:hAnsi="Calibri" w:eastAsia="SimSun" w:cs="Calibri"/>
          <w:b/>
          <w:bCs/>
          <w:i w:val="0"/>
          <w:caps w:val="0"/>
          <w:smallCaps w:val="0"/>
          <w:spacing w:val="0"/>
          <w:sz w:val="18"/>
          <w:szCs w:val="18"/>
          <w:u w:val="single"/>
        </w:rPr>
        <w:t>APROVADO</w:t>
      </w:r>
      <w:r>
        <w:rPr>
          <w:rFonts w:ascii="Calibri" w:hAnsi="Calibri" w:eastAsia="SimSun" w:cs="Calibri"/>
          <w:b/>
          <w:bCs/>
          <w:i w:val="0"/>
          <w:caps w:val="0"/>
          <w:smallCaps w:val="0"/>
          <w:spacing w:val="0"/>
          <w:sz w:val="18"/>
          <w:szCs w:val="18"/>
        </w:rPr>
        <w:t xml:space="preserve"> para aquisição.</w:t>
      </w:r>
      <w:r>
        <w:rPr>
          <w:rFonts w:ascii="Calibri" w:hAnsi="Calibri" w:eastAsia="SimSun" w:cs="Calibri"/>
          <w:b/>
          <w:bCs/>
          <w:sz w:val="18"/>
          <w:szCs w:val="18"/>
        </w:rPr>
        <w:t xml:space="preserve"> </w:t>
      </w:r>
    </w:p>
    <w:p>
      <w:pPr>
        <w:jc w:val="both"/>
        <w:rPr>
          <w:rFonts w:ascii="Calibri" w:hAnsi="Calibri" w:cs="Calibri"/>
          <w:b/>
          <w:bCs w:val="0"/>
          <w:sz w:val="18"/>
          <w:szCs w:val="18"/>
        </w:rPr>
      </w:pPr>
    </w:p>
    <w:tbl>
      <w:tblPr>
        <w:tblStyle w:val="13"/>
        <w:tblW w:w="9690" w:type="dxa"/>
        <w:tblInd w:w="55" w:type="dxa"/>
        <w:tblLayout w:type="fixed"/>
        <w:tblCellMar>
          <w:top w:w="55" w:type="dxa"/>
          <w:left w:w="55" w:type="dxa"/>
          <w:bottom w:w="55" w:type="dxa"/>
          <w:right w:w="55" w:type="dxa"/>
        </w:tblCellMar>
      </w:tblPr>
      <w:tblGrid>
        <w:gridCol w:w="3212"/>
        <w:gridCol w:w="3213"/>
        <w:gridCol w:w="3265"/>
      </w:tblGrid>
      <w:tr>
        <w:tblPrEx>
          <w:tblCellMar>
            <w:top w:w="55" w:type="dxa"/>
            <w:left w:w="55" w:type="dxa"/>
            <w:bottom w:w="55" w:type="dxa"/>
            <w:right w:w="55" w:type="dxa"/>
          </w:tblCellMar>
        </w:tblPrEx>
        <w:trPr>
          <w:trHeight w:val="346" w:hRule="atLeast"/>
        </w:trPr>
        <w:tc>
          <w:tcPr>
            <w:tcW w:w="3212" w:type="dxa"/>
            <w:tcBorders>
              <w:top w:val="single" w:color="000000" w:sz="6" w:space="0"/>
              <w:left w:val="single" w:color="000000" w:sz="6" w:space="0"/>
              <w:bottom w:val="single" w:color="000000" w:sz="6" w:space="0"/>
            </w:tcBorders>
          </w:tcPr>
          <w:p>
            <w:pPr>
              <w:widowControl w:val="0"/>
              <w:tabs>
                <w:tab w:val="left" w:pos="-709"/>
              </w:tabs>
              <w:jc w:val="both"/>
              <w:rPr>
                <w:rFonts w:ascii="Calibri" w:hAnsi="Calibri" w:cs="Calibri"/>
                <w:sz w:val="18"/>
                <w:szCs w:val="18"/>
              </w:rPr>
            </w:pPr>
            <w:r>
              <w:rPr>
                <w:rFonts w:ascii="Calibri" w:hAnsi="Calibri" w:cs="Calibri"/>
                <w:sz w:val="18"/>
                <w:szCs w:val="18"/>
              </w:rPr>
              <w:t>Assinatura (física ou digital)</w:t>
            </w:r>
          </w:p>
        </w:tc>
        <w:tc>
          <w:tcPr>
            <w:tcW w:w="3213" w:type="dxa"/>
            <w:tcBorders>
              <w:top w:val="single" w:color="000000" w:sz="6" w:space="0"/>
              <w:left w:val="single" w:color="000000" w:sz="6" w:space="0"/>
              <w:bottom w:val="single" w:color="000000" w:sz="6" w:space="0"/>
            </w:tcBorders>
          </w:tcPr>
          <w:p>
            <w:pPr>
              <w:widowControl w:val="0"/>
              <w:tabs>
                <w:tab w:val="left" w:pos="-709"/>
              </w:tabs>
              <w:jc w:val="both"/>
              <w:rPr>
                <w:rFonts w:ascii="Calibri" w:hAnsi="Calibri" w:cs="Calibri"/>
                <w:sz w:val="18"/>
                <w:szCs w:val="18"/>
              </w:rPr>
            </w:pPr>
            <w:r>
              <w:rPr>
                <w:rFonts w:ascii="Calibri" w:hAnsi="Calibri" w:cs="Calibri"/>
                <w:sz w:val="18"/>
                <w:szCs w:val="18"/>
              </w:rPr>
              <w:t>Assinatura (física ou digital)</w:t>
            </w:r>
          </w:p>
        </w:tc>
        <w:tc>
          <w:tcPr>
            <w:tcW w:w="3265" w:type="dxa"/>
            <w:tcBorders>
              <w:top w:val="single" w:color="000000" w:sz="6" w:space="0"/>
              <w:left w:val="single" w:color="000000" w:sz="6" w:space="0"/>
              <w:bottom w:val="single" w:color="000000" w:sz="6" w:space="0"/>
              <w:right w:val="single" w:color="000000" w:sz="6" w:space="0"/>
            </w:tcBorders>
          </w:tcPr>
          <w:p>
            <w:pPr>
              <w:widowControl w:val="0"/>
              <w:tabs>
                <w:tab w:val="left" w:pos="-709"/>
              </w:tabs>
              <w:jc w:val="both"/>
              <w:rPr>
                <w:rFonts w:ascii="Calibri" w:hAnsi="Calibri" w:cs="Calibri"/>
                <w:sz w:val="18"/>
                <w:szCs w:val="18"/>
              </w:rPr>
            </w:pPr>
            <w:r>
              <w:rPr>
                <w:rFonts w:ascii="Calibri" w:hAnsi="Calibri" w:cs="Calibri"/>
                <w:sz w:val="18"/>
                <w:szCs w:val="18"/>
              </w:rPr>
              <w:t>Assinatura (física ou digital)</w:t>
            </w:r>
          </w:p>
        </w:tc>
      </w:tr>
      <w:tr>
        <w:tblPrEx>
          <w:tblCellMar>
            <w:top w:w="55" w:type="dxa"/>
            <w:left w:w="55" w:type="dxa"/>
            <w:bottom w:w="55" w:type="dxa"/>
            <w:right w:w="55" w:type="dxa"/>
          </w:tblCellMar>
        </w:tblPrEx>
        <w:trPr>
          <w:trHeight w:val="346" w:hRule="atLeast"/>
        </w:trPr>
        <w:tc>
          <w:tcPr>
            <w:tcW w:w="3212" w:type="dxa"/>
            <w:tcBorders>
              <w:left w:val="single" w:color="000000" w:sz="6" w:space="0"/>
              <w:bottom w:val="single" w:color="000000" w:sz="6" w:space="0"/>
            </w:tcBorders>
          </w:tcPr>
          <w:p>
            <w:pPr>
              <w:widowControl w:val="0"/>
              <w:tabs>
                <w:tab w:val="left" w:pos="-709"/>
              </w:tabs>
              <w:jc w:val="both"/>
              <w:rPr>
                <w:rFonts w:ascii="Calibri" w:hAnsi="Calibri" w:cs="Calibri"/>
                <w:sz w:val="18"/>
                <w:szCs w:val="18"/>
              </w:rPr>
            </w:pPr>
            <w:r>
              <w:rPr>
                <w:rFonts w:ascii="Calibri" w:hAnsi="Calibri" w:cs="Calibri"/>
                <w:sz w:val="18"/>
                <w:szCs w:val="18"/>
              </w:rPr>
              <w:t>Data</w:t>
            </w:r>
          </w:p>
        </w:tc>
        <w:tc>
          <w:tcPr>
            <w:tcW w:w="3213" w:type="dxa"/>
            <w:tcBorders>
              <w:left w:val="single" w:color="000000" w:sz="6" w:space="0"/>
              <w:bottom w:val="single" w:color="000000" w:sz="6" w:space="0"/>
            </w:tcBorders>
          </w:tcPr>
          <w:p>
            <w:pPr>
              <w:widowControl w:val="0"/>
              <w:tabs>
                <w:tab w:val="left" w:pos="-709"/>
              </w:tabs>
              <w:jc w:val="both"/>
              <w:rPr>
                <w:rFonts w:ascii="Calibri" w:hAnsi="Calibri" w:cs="Calibri"/>
                <w:sz w:val="18"/>
                <w:szCs w:val="18"/>
              </w:rPr>
            </w:pPr>
            <w:r>
              <w:rPr>
                <w:rFonts w:ascii="Calibri" w:hAnsi="Calibri" w:cs="Calibri"/>
                <w:sz w:val="18"/>
                <w:szCs w:val="18"/>
              </w:rPr>
              <w:t>Data</w:t>
            </w:r>
          </w:p>
        </w:tc>
        <w:tc>
          <w:tcPr>
            <w:tcW w:w="3265" w:type="dxa"/>
            <w:tcBorders>
              <w:left w:val="single" w:color="000000" w:sz="6" w:space="0"/>
              <w:bottom w:val="single" w:color="000000" w:sz="6" w:space="0"/>
              <w:right w:val="single" w:color="000000" w:sz="6" w:space="0"/>
            </w:tcBorders>
          </w:tcPr>
          <w:p>
            <w:pPr>
              <w:widowControl w:val="0"/>
              <w:tabs>
                <w:tab w:val="left" w:pos="-709"/>
              </w:tabs>
              <w:jc w:val="both"/>
              <w:rPr>
                <w:rFonts w:ascii="Calibri" w:hAnsi="Calibri" w:cs="Calibri"/>
                <w:sz w:val="18"/>
                <w:szCs w:val="18"/>
              </w:rPr>
            </w:pPr>
            <w:r>
              <w:rPr>
                <w:rFonts w:ascii="Calibri" w:hAnsi="Calibri" w:cs="Calibri"/>
                <w:sz w:val="18"/>
                <w:szCs w:val="18"/>
              </w:rPr>
              <w:t>Data</w:t>
            </w:r>
          </w:p>
        </w:tc>
      </w:tr>
      <w:tr>
        <w:tblPrEx>
          <w:tblCellMar>
            <w:top w:w="55" w:type="dxa"/>
            <w:left w:w="55" w:type="dxa"/>
            <w:bottom w:w="55" w:type="dxa"/>
            <w:right w:w="55" w:type="dxa"/>
          </w:tblCellMar>
        </w:tblPrEx>
        <w:tc>
          <w:tcPr>
            <w:tcW w:w="3212" w:type="dxa"/>
            <w:tcBorders>
              <w:left w:val="single" w:color="000000" w:sz="6" w:space="0"/>
              <w:bottom w:val="single" w:color="000000" w:sz="6" w:space="0"/>
            </w:tcBorders>
          </w:tcPr>
          <w:p>
            <w:pPr>
              <w:widowControl w:val="0"/>
              <w:tabs>
                <w:tab w:val="left" w:pos="-709"/>
              </w:tabs>
              <w:jc w:val="both"/>
              <w:rPr>
                <w:rFonts w:ascii="Calibri" w:hAnsi="Calibri" w:cs="Calibri"/>
                <w:sz w:val="18"/>
                <w:szCs w:val="18"/>
              </w:rPr>
            </w:pPr>
            <w:r>
              <w:rPr>
                <w:rFonts w:ascii="Calibri" w:hAnsi="Calibri" w:cs="Calibri"/>
                <w:sz w:val="18"/>
                <w:szCs w:val="18"/>
              </w:rPr>
              <w:t>Carimbo</w:t>
            </w:r>
          </w:p>
        </w:tc>
        <w:tc>
          <w:tcPr>
            <w:tcW w:w="3213" w:type="dxa"/>
            <w:tcBorders>
              <w:left w:val="single" w:color="000000" w:sz="6" w:space="0"/>
              <w:bottom w:val="single" w:color="000000" w:sz="6" w:space="0"/>
            </w:tcBorders>
          </w:tcPr>
          <w:p>
            <w:pPr>
              <w:widowControl w:val="0"/>
              <w:tabs>
                <w:tab w:val="left" w:pos="-709"/>
              </w:tabs>
              <w:jc w:val="both"/>
              <w:rPr>
                <w:rFonts w:ascii="Calibri" w:hAnsi="Calibri" w:cs="Calibri"/>
                <w:sz w:val="18"/>
                <w:szCs w:val="18"/>
              </w:rPr>
            </w:pPr>
            <w:r>
              <w:rPr>
                <w:rFonts w:ascii="Calibri" w:hAnsi="Calibri" w:cs="Calibri"/>
                <w:sz w:val="18"/>
                <w:szCs w:val="18"/>
              </w:rPr>
              <w:t>Carimbo</w:t>
            </w:r>
          </w:p>
        </w:tc>
        <w:tc>
          <w:tcPr>
            <w:tcW w:w="3265" w:type="dxa"/>
            <w:tcBorders>
              <w:left w:val="single" w:color="000000" w:sz="6" w:space="0"/>
              <w:bottom w:val="single" w:color="000000" w:sz="6" w:space="0"/>
              <w:right w:val="single" w:color="000000" w:sz="6" w:space="0"/>
            </w:tcBorders>
          </w:tcPr>
          <w:p>
            <w:pPr>
              <w:widowControl w:val="0"/>
              <w:tabs>
                <w:tab w:val="left" w:pos="-709"/>
              </w:tabs>
              <w:jc w:val="both"/>
              <w:rPr>
                <w:rFonts w:ascii="Calibri" w:hAnsi="Calibri" w:cs="Calibri"/>
                <w:sz w:val="18"/>
                <w:szCs w:val="18"/>
              </w:rPr>
            </w:pPr>
            <w:r>
              <w:rPr>
                <w:rFonts w:ascii="Calibri" w:hAnsi="Calibri" w:cs="Calibri"/>
                <w:sz w:val="18"/>
                <w:szCs w:val="18"/>
              </w:rPr>
              <w:t>Carimbo</w:t>
            </w:r>
          </w:p>
        </w:tc>
      </w:tr>
    </w:tbl>
    <w:p>
      <w:pPr>
        <w:widowControl/>
        <w:tabs>
          <w:tab w:val="center" w:pos="4819"/>
          <w:tab w:val="left" w:pos="5921"/>
        </w:tabs>
        <w:suppressAutoHyphens/>
        <w:bidi w:val="0"/>
        <w:spacing w:line="276" w:lineRule="auto"/>
        <w:ind w:left="0" w:right="0" w:firstLine="0"/>
        <w:jc w:val="both"/>
        <w:rPr>
          <w:rFonts w:ascii="Calibri" w:hAnsi="Calibri" w:cs="Calibri"/>
          <w:sz w:val="18"/>
          <w:szCs w:val="18"/>
        </w:rPr>
      </w:pPr>
    </w:p>
    <w:p>
      <w:pPr>
        <w:widowControl/>
        <w:tabs>
          <w:tab w:val="center" w:pos="4819"/>
          <w:tab w:val="left" w:pos="5921"/>
        </w:tabs>
        <w:suppressAutoHyphens/>
        <w:overflowPunct w:val="0"/>
        <w:bidi w:val="0"/>
        <w:spacing w:line="276" w:lineRule="auto"/>
        <w:ind w:left="0" w:right="0" w:firstLine="0"/>
        <w:jc w:val="both"/>
        <w:rPr>
          <w:sz w:val="18"/>
          <w:szCs w:val="18"/>
        </w:rPr>
      </w:pPr>
      <w:r>
        <w:rPr>
          <w:rFonts w:ascii="Calibri" w:hAnsi="Calibri" w:cs="Calibri"/>
          <w:b/>
          <w:bCs/>
          <w:color w:val="000000"/>
          <w:sz w:val="18"/>
          <w:szCs w:val="18"/>
        </w:rPr>
        <w:t>Após preenchido, assinado e carimbado, encaminhar este formulário pelo sgpe ou e-mail (</w:t>
      </w:r>
      <w:r>
        <w:rPr>
          <w:sz w:val="18"/>
          <w:szCs w:val="18"/>
        </w:rPr>
        <w:fldChar w:fldCharType="begin"/>
      </w:r>
      <w:r>
        <w:rPr>
          <w:sz w:val="18"/>
          <w:szCs w:val="18"/>
        </w:rPr>
        <w:instrText xml:space="preserve"> HYPERLINK "mailto:nutricaoses@saude.sc.gov.br" \h </w:instrText>
      </w:r>
      <w:r>
        <w:rPr>
          <w:sz w:val="18"/>
          <w:szCs w:val="18"/>
        </w:rPr>
        <w:fldChar w:fldCharType="separate"/>
      </w:r>
      <w:r>
        <w:rPr>
          <w:rStyle w:val="41"/>
          <w:rFonts w:ascii="Calibri" w:hAnsi="Calibri" w:cs="Calibri"/>
          <w:b/>
          <w:bCs/>
          <w:sz w:val="18"/>
          <w:szCs w:val="18"/>
        </w:rPr>
        <w:t>nutricaoses@saude.sc.gov.br</w:t>
      </w:r>
      <w:r>
        <w:rPr>
          <w:rStyle w:val="41"/>
          <w:rFonts w:ascii="Calibri" w:hAnsi="Calibri" w:cs="Calibri"/>
          <w:b/>
          <w:bCs/>
          <w:sz w:val="18"/>
          <w:szCs w:val="18"/>
        </w:rPr>
        <w:fldChar w:fldCharType="end"/>
      </w:r>
      <w:r>
        <w:rPr>
          <w:rFonts w:ascii="Calibri" w:hAnsi="Calibri" w:cs="Calibri"/>
          <w:b/>
          <w:bCs/>
          <w:color w:val="000000"/>
          <w:sz w:val="18"/>
          <w:szCs w:val="18"/>
        </w:rPr>
        <w:t>)</w:t>
      </w:r>
    </w:p>
    <w:p>
      <w:pPr>
        <w:overflowPunct w:val="0"/>
        <w:bidi w:val="0"/>
        <w:ind w:left="0" w:right="0" w:firstLine="0"/>
        <w:jc w:val="center"/>
        <w:rPr>
          <w:rFonts w:ascii="Calibri" w:hAnsi="Calibri" w:cs="Calibri"/>
          <w:b/>
          <w:color w:val="000000"/>
          <w:sz w:val="22"/>
          <w:szCs w:val="22"/>
        </w:rPr>
      </w:pPr>
    </w:p>
    <w:p>
      <w:pPr>
        <w:pStyle w:val="2"/>
        <w:overflowPunct w:val="0"/>
        <w:bidi w:val="0"/>
        <w:ind w:left="0" w:right="0" w:firstLine="0"/>
        <w:jc w:val="center"/>
        <w:rPr>
          <w:rFonts w:ascii="Calibri" w:hAnsi="Calibri" w:cs="Calibri"/>
          <w:b/>
          <w:color w:val="000000"/>
          <w:sz w:val="22"/>
          <w:szCs w:val="22"/>
        </w:rPr>
      </w:pPr>
    </w:p>
    <w:p>
      <w:pPr>
        <w:tabs>
          <w:tab w:val="left" w:pos="2552"/>
        </w:tabs>
        <w:overflowPunct w:val="0"/>
        <w:bidi w:val="0"/>
        <w:ind w:left="0" w:right="0" w:firstLine="0"/>
        <w:jc w:val="center"/>
        <w:rPr>
          <w:rFonts w:ascii="Calibri" w:hAnsi="Calibri" w:cs="Calibri"/>
          <w:b/>
          <w:sz w:val="24"/>
          <w:szCs w:val="24"/>
        </w:rPr>
      </w:pPr>
    </w:p>
    <w:p>
      <w:pPr>
        <w:tabs>
          <w:tab w:val="left" w:pos="2552"/>
        </w:tabs>
        <w:overflowPunct w:val="0"/>
        <w:bidi w:val="0"/>
        <w:ind w:left="0" w:right="0" w:firstLine="0"/>
        <w:jc w:val="center"/>
        <w:rPr>
          <w:rFonts w:ascii="Calibri" w:hAnsi="Calibri"/>
          <w:sz w:val="22"/>
          <w:szCs w:val="22"/>
        </w:rPr>
      </w:pPr>
      <w:bookmarkStart w:id="1" w:name="_GoBack"/>
      <w:bookmarkEnd w:id="1"/>
      <w:r>
        <w:rPr>
          <w:rFonts w:ascii="Calibri" w:hAnsi="Calibri" w:cs="Calibri"/>
          <w:b/>
          <w:sz w:val="24"/>
          <w:szCs w:val="24"/>
        </w:rPr>
        <w:t xml:space="preserve">ANEXO </w:t>
      </w:r>
      <w:r>
        <w:rPr>
          <w:rFonts w:ascii="Calibri" w:hAnsi="Calibri" w:cs="Calibri"/>
          <w:b/>
          <w:sz w:val="24"/>
          <w:szCs w:val="24"/>
          <w:lang w:val="pt-BR"/>
        </w:rPr>
        <w:t>IV</w:t>
      </w:r>
    </w:p>
    <w:p>
      <w:pPr>
        <w:pStyle w:val="2"/>
        <w:tabs>
          <w:tab w:val="left" w:pos="2552"/>
        </w:tabs>
        <w:overflowPunct w:val="0"/>
        <w:bidi w:val="0"/>
        <w:ind w:left="0" w:right="0" w:firstLine="0"/>
        <w:jc w:val="center"/>
        <w:rPr>
          <w:rFonts w:ascii="Calibri" w:hAnsi="Calibri"/>
          <w:sz w:val="22"/>
          <w:szCs w:val="22"/>
        </w:rPr>
      </w:pPr>
      <w:r>
        <w:rPr>
          <w:rFonts w:ascii="Calibri" w:hAnsi="Calibri" w:cs="Calibri"/>
          <w:b/>
          <w:sz w:val="24"/>
          <w:szCs w:val="24"/>
          <w:lang w:val="pt-BR"/>
        </w:rPr>
        <w:t>PREGÃO ELETRÔNICO Nº 1190/2023</w:t>
      </w:r>
    </w:p>
    <w:p>
      <w:pPr>
        <w:pStyle w:val="2"/>
        <w:tabs>
          <w:tab w:val="left" w:pos="2552"/>
        </w:tabs>
        <w:overflowPunct w:val="0"/>
        <w:bidi w:val="0"/>
        <w:ind w:left="0" w:right="0" w:firstLine="0"/>
        <w:jc w:val="center"/>
        <w:rPr>
          <w:rFonts w:ascii="Calibri" w:hAnsi="Calibri"/>
          <w:sz w:val="22"/>
          <w:szCs w:val="22"/>
        </w:rPr>
      </w:pPr>
      <w:r>
        <w:rPr>
          <w:rFonts w:ascii="Calibri" w:hAnsi="Calibri" w:cs="Calibri"/>
          <w:b/>
          <w:sz w:val="24"/>
          <w:szCs w:val="24"/>
          <w:lang w:val="pt-BR"/>
        </w:rPr>
        <w:t>MINUTA DA ATA DE REGISTRO DE PREÇOS</w:t>
      </w:r>
    </w:p>
    <w:p>
      <w:pPr>
        <w:pStyle w:val="2"/>
        <w:tabs>
          <w:tab w:val="left" w:pos="2552"/>
        </w:tabs>
        <w:overflowPunct w:val="0"/>
        <w:bidi w:val="0"/>
        <w:ind w:left="0" w:right="0" w:firstLine="0"/>
        <w:jc w:val="center"/>
        <w:rPr>
          <w:rFonts w:ascii="Calibri" w:hAnsi="Calibri" w:cs="Calibri"/>
          <w:bCs/>
          <w:sz w:val="24"/>
          <w:szCs w:val="24"/>
        </w:rPr>
      </w:pPr>
    </w:p>
    <w:p>
      <w:pPr>
        <w:overflowPunct w:val="0"/>
        <w:bidi w:val="0"/>
        <w:ind w:left="0" w:right="0" w:firstLine="0"/>
        <w:jc w:val="both"/>
        <w:rPr>
          <w:rFonts w:ascii="Calibri" w:hAnsi="Calibri"/>
          <w:sz w:val="24"/>
          <w:szCs w:val="24"/>
        </w:rPr>
      </w:pPr>
      <w:r>
        <w:rPr>
          <w:rFonts w:ascii="Calibri" w:hAnsi="Calibri" w:cs="Calibri"/>
          <w:sz w:val="24"/>
          <w:szCs w:val="24"/>
        </w:rPr>
        <w:t xml:space="preserve">No Estado de Santa Catarina, através da Secretaria de Estado da Saúde/Fundo Estadual de Saúde, Órgão Gerenciador deste Registro de Preços, situada na Rua Esteves Júnior, nº 160, nesta Capital, inscrita no CNPJ sob o nº 80.673.411/0001-87, representado neste ato pelo (cargo) ____________, senhor(a) (nome) _______, pelo Gestor desta Ata, senhor(a) ___________, são registrados os preços da(s) empresa(s) ________(fornecedor) ______, estabelecida na Rua ______________________, inscrita no Cadastro de Pessoas Jurídicas sob o n° ______________, neste ato representado pelo(a) ______ (nome do representante) ____________, inscrito(a) no Cadastro de Pessoas Físicas sob o nº ____________, portador(a) do RG n° _________________, para eventual fornecimento de </w:t>
      </w:r>
      <w:r>
        <w:rPr>
          <w:rFonts w:ascii="Calibri" w:hAnsi="Calibri" w:eastAsia="SimSun" w:cs="Calibri"/>
          <w:b/>
          <w:bCs/>
          <w:color w:val="000000"/>
          <w:kern w:val="0"/>
          <w:sz w:val="24"/>
          <w:szCs w:val="24"/>
          <w:lang w:val="pt-BR" w:eastAsia="zh-CN" w:bidi="ar-SA"/>
        </w:rPr>
        <w:t>itens de nutrição,</w:t>
      </w:r>
      <w:r>
        <w:rPr>
          <w:rFonts w:ascii="Calibri" w:hAnsi="Calibri" w:cs="Calibri"/>
          <w:b/>
          <w:bCs/>
          <w:sz w:val="24"/>
          <w:szCs w:val="24"/>
        </w:rPr>
        <w:t xml:space="preserve"> </w:t>
      </w:r>
      <w:r>
        <w:rPr>
          <w:rFonts w:ascii="Calibri" w:hAnsi="Calibri" w:cs="Calibri"/>
          <w:b/>
          <w:sz w:val="24"/>
          <w:szCs w:val="24"/>
        </w:rPr>
        <w:t>para a Gerência de Bens Regulares (GEBER), Gerência de Bens Judiciais (GEJUD) e Diretoria de Assistência Farmacêutica (DIAF)</w:t>
      </w:r>
      <w:r>
        <w:rPr>
          <w:rFonts w:ascii="Calibri" w:hAnsi="Calibri" w:cs="Calibri"/>
          <w:sz w:val="24"/>
          <w:szCs w:val="24"/>
        </w:rPr>
        <w:t xml:space="preserve">, conforme especificado no quadro abaixo, resultante do </w:t>
      </w:r>
      <w:r>
        <w:rPr>
          <w:rFonts w:ascii="Calibri" w:hAnsi="Calibri" w:cs="Calibri"/>
          <w:b/>
          <w:sz w:val="24"/>
          <w:szCs w:val="24"/>
        </w:rPr>
        <w:t xml:space="preserve">Pregão Eletrônico nº </w:t>
      </w:r>
      <w:r>
        <w:rPr>
          <w:rFonts w:ascii="Calibri" w:hAnsi="Calibri" w:eastAsia="SimSun" w:cs="Calibri"/>
          <w:b/>
          <w:color w:val="000000"/>
          <w:kern w:val="0"/>
          <w:sz w:val="24"/>
          <w:szCs w:val="24"/>
          <w:lang w:val="pt-BR" w:eastAsia="zh-CN" w:bidi="ar-SA"/>
        </w:rPr>
        <w:t>1190/2023</w:t>
      </w:r>
      <w:r>
        <w:rPr>
          <w:rFonts w:ascii="Calibri" w:hAnsi="Calibri" w:cs="Calibri"/>
          <w:sz w:val="24"/>
          <w:szCs w:val="24"/>
        </w:rPr>
        <w:t xml:space="preserve">, objeto do processo </w:t>
      </w:r>
      <w:r>
        <w:rPr>
          <w:rFonts w:ascii="Calibri" w:hAnsi="Calibri" w:cs="Calibri"/>
          <w:b/>
          <w:sz w:val="24"/>
          <w:szCs w:val="24"/>
        </w:rPr>
        <w:t xml:space="preserve">SES </w:t>
      </w:r>
      <w:r>
        <w:rPr>
          <w:rFonts w:ascii="Calibri" w:hAnsi="Calibri" w:eastAsia="SimSun" w:cs="Calibri"/>
          <w:b/>
          <w:color w:val="000000"/>
          <w:kern w:val="0"/>
          <w:sz w:val="24"/>
          <w:szCs w:val="24"/>
          <w:lang w:val="pt-BR" w:eastAsia="zh-CN" w:bidi="ar-SA"/>
        </w:rPr>
        <w:t>120271/2023</w:t>
      </w:r>
      <w:r>
        <w:rPr>
          <w:rFonts w:ascii="Calibri" w:hAnsi="Calibri" w:cs="Calibri"/>
          <w:sz w:val="24"/>
          <w:szCs w:val="24"/>
        </w:rPr>
        <w:t>. As condições a serem praticadas neste registro de preços são as constantes do instrumento convocatório respectivo e seus anexos, da proposta apresentada pelo(s) fornecedor(es), os quais integram esta ata, independentemente de transcrição. O presente registro de preços terá vigência de 01 (um) ano, contado a partir da data de assinatura desta Ata.</w:t>
      </w:r>
    </w:p>
    <w:p>
      <w:pPr>
        <w:pStyle w:val="2"/>
        <w:overflowPunct w:val="0"/>
        <w:bidi w:val="0"/>
        <w:ind w:left="0" w:right="0" w:firstLine="0"/>
        <w:jc w:val="both"/>
        <w:rPr>
          <w:rFonts w:ascii="Calibri" w:hAnsi="Calibri" w:cs="Calibri"/>
          <w:sz w:val="24"/>
          <w:szCs w:val="24"/>
        </w:rPr>
      </w:pPr>
    </w:p>
    <w:p>
      <w:pPr>
        <w:pStyle w:val="2"/>
        <w:overflowPunct w:val="0"/>
        <w:bidi w:val="0"/>
        <w:ind w:left="0" w:right="0" w:firstLine="0"/>
        <w:jc w:val="both"/>
        <w:rPr>
          <w:rFonts w:ascii="Calibri" w:hAnsi="Calibri" w:cs="Calibri"/>
          <w:sz w:val="24"/>
          <w:szCs w:val="24"/>
        </w:rPr>
      </w:pPr>
    </w:p>
    <w:p>
      <w:pPr>
        <w:bidi w:val="0"/>
        <w:ind w:left="0" w:right="0" w:firstLine="0"/>
        <w:jc w:val="both"/>
        <w:rPr>
          <w:rFonts w:ascii="Calibri" w:hAnsi="Calibri" w:cs="Calibri"/>
          <w:b/>
          <w:sz w:val="24"/>
          <w:szCs w:val="24"/>
        </w:rPr>
      </w:pPr>
      <w:r>
        <w:rPr>
          <w:rFonts w:ascii="Calibri" w:hAnsi="Calibri" w:cs="Calibri"/>
          <w:b/>
          <w:sz w:val="24"/>
          <w:szCs w:val="24"/>
        </w:rPr>
        <w:t>CLÁUSULA PRIMEIRA – DA</w:t>
      </w:r>
      <w:r>
        <w:rPr>
          <w:rFonts w:ascii="Calibri" w:hAnsi="Calibri" w:eastAsia="SimSun" w:cs="Calibri"/>
          <w:b/>
          <w:color w:val="000000"/>
          <w:kern w:val="0"/>
          <w:sz w:val="24"/>
          <w:szCs w:val="24"/>
          <w:lang w:val="pt-BR" w:eastAsia="zh-CN" w:bidi="ar-SA"/>
        </w:rPr>
        <w:t>S CONDIÇÕES DE PAGAMENTO</w:t>
      </w:r>
    </w:p>
    <w:p>
      <w:pPr>
        <w:pStyle w:val="2"/>
        <w:bidi w:val="0"/>
        <w:ind w:left="0" w:right="0" w:firstLine="0"/>
        <w:jc w:val="both"/>
        <w:rPr>
          <w:b w:val="0"/>
          <w:bCs w:val="0"/>
        </w:rPr>
      </w:pPr>
      <w:r>
        <w:rPr>
          <w:rFonts w:ascii="Calibri" w:hAnsi="Calibri" w:eastAsia="SimSun" w:cs="Calibri"/>
          <w:b w:val="0"/>
          <w:bCs w:val="0"/>
          <w:color w:val="000000"/>
          <w:kern w:val="0"/>
          <w:sz w:val="24"/>
          <w:szCs w:val="24"/>
          <w:lang w:val="pt-BR" w:eastAsia="zh-CN" w:bidi="ar-SA"/>
        </w:rPr>
        <w:t>1.1 – A Secretaria de Estado da Saúde efetuará o pagamento por intermédio do Banco do Brasil em 30 (trinta) dias após o recebimento e aceite dos serviços com a respectiva Nota Fiscal/Fatura ou documento legalmente equivalente, observado o cumprimento integral das disposições contidas neste edital;</w:t>
      </w:r>
    </w:p>
    <w:p>
      <w:pPr>
        <w:pStyle w:val="2"/>
        <w:bidi w:val="0"/>
        <w:ind w:left="0" w:right="0" w:firstLine="0"/>
        <w:jc w:val="both"/>
        <w:rPr>
          <w:b w:val="0"/>
          <w:bCs w:val="0"/>
        </w:rPr>
      </w:pPr>
      <w:r>
        <w:rPr>
          <w:rFonts w:ascii="Calibri" w:hAnsi="Calibri" w:eastAsia="SimSun" w:cs="Calibri"/>
          <w:b w:val="0"/>
          <w:bCs w:val="0"/>
          <w:color w:val="000000"/>
          <w:kern w:val="0"/>
          <w:sz w:val="24"/>
          <w:szCs w:val="24"/>
          <w:lang w:val="pt-BR" w:eastAsia="zh-CN" w:bidi="ar-SA"/>
        </w:rPr>
        <w:t>1.2 – Quando couber, a contratada deverá emitir Nota Fiscal, para cada unidade hospitalar, por tipo, mensalmente ou de acordo com a frequência dos serviços/fornecimento;</w:t>
      </w:r>
    </w:p>
    <w:p>
      <w:pPr>
        <w:pStyle w:val="2"/>
        <w:bidi w:val="0"/>
        <w:ind w:left="0" w:right="0" w:firstLine="0"/>
        <w:jc w:val="both"/>
        <w:rPr>
          <w:b w:val="0"/>
          <w:bCs w:val="0"/>
        </w:rPr>
      </w:pPr>
      <w:r>
        <w:rPr>
          <w:rFonts w:ascii="Calibri" w:hAnsi="Calibri" w:eastAsia="SimSun" w:cs="Calibri"/>
          <w:b w:val="0"/>
          <w:bCs w:val="0"/>
          <w:color w:val="000000"/>
          <w:kern w:val="0"/>
          <w:sz w:val="24"/>
          <w:szCs w:val="24"/>
          <w:lang w:val="pt-BR" w:eastAsia="zh-CN" w:bidi="ar-SA"/>
        </w:rPr>
        <w:t>1.2.1 – Caso o vencimento do prazo de pagamento da Nota Fiscal/Fatura ocorra fora do calendário semanal ou de expediente bancário, o pagamento será efetuado na próxima data do calendário, imediatamente posterior ao vencimento, não incidindo qualquer compensação financeira neste período.</w:t>
      </w:r>
    </w:p>
    <w:p>
      <w:pPr>
        <w:pStyle w:val="2"/>
        <w:bidi w:val="0"/>
        <w:ind w:left="0" w:right="0" w:firstLine="0"/>
        <w:jc w:val="both"/>
        <w:rPr>
          <w:b w:val="0"/>
          <w:bCs w:val="0"/>
        </w:rPr>
      </w:pPr>
      <w:r>
        <w:rPr>
          <w:rFonts w:ascii="Calibri" w:hAnsi="Calibri" w:eastAsia="SimSun" w:cs="Calibri"/>
          <w:b w:val="0"/>
          <w:bCs w:val="0"/>
          <w:color w:val="000000"/>
          <w:kern w:val="0"/>
          <w:sz w:val="24"/>
          <w:szCs w:val="24"/>
          <w:lang w:val="pt-BR" w:eastAsia="zh-CN" w:bidi="ar-SA"/>
        </w:rPr>
        <w:t>1.2.2 – O credor que não possuir conta corrente no Banco do Brasil poderá receber o pagamento em outras instituições, mediante crédito em conta corrente do favorecido, ficando, contudo, responsável pelo pagamento das tarifas bancárias derivadas da operação, conforme art. 9º, §4º do Decreto Estadual nº 1073/2017;</w:t>
      </w:r>
    </w:p>
    <w:p>
      <w:pPr>
        <w:pStyle w:val="2"/>
        <w:bidi w:val="0"/>
        <w:ind w:left="0" w:right="0" w:firstLine="0"/>
        <w:jc w:val="both"/>
        <w:rPr>
          <w:b w:val="0"/>
          <w:bCs w:val="0"/>
        </w:rPr>
      </w:pPr>
      <w:r>
        <w:rPr>
          <w:rFonts w:ascii="Calibri" w:hAnsi="Calibri" w:eastAsia="SimSun" w:cs="Calibri"/>
          <w:b w:val="0"/>
          <w:bCs w:val="0"/>
          <w:color w:val="000000"/>
          <w:kern w:val="0"/>
          <w:sz w:val="24"/>
          <w:szCs w:val="24"/>
          <w:lang w:val="pt-BR" w:eastAsia="zh-CN" w:bidi="ar-SA"/>
        </w:rPr>
        <w:t>1.3 – A Contratada deverá apresentar juntamente com cada Nota Fiscal, Certidão de Débito para com a Fazenda Estadual demonstrando sua regularidade;</w:t>
      </w:r>
    </w:p>
    <w:p>
      <w:pPr>
        <w:pStyle w:val="2"/>
        <w:bidi w:val="0"/>
        <w:ind w:left="0" w:right="0" w:firstLine="0"/>
        <w:jc w:val="both"/>
        <w:rPr>
          <w:b w:val="0"/>
          <w:bCs w:val="0"/>
        </w:rPr>
      </w:pPr>
      <w:r>
        <w:rPr>
          <w:rFonts w:ascii="Calibri" w:hAnsi="Calibri" w:eastAsia="SimSun" w:cs="Calibri"/>
          <w:b w:val="0"/>
          <w:bCs w:val="0"/>
          <w:color w:val="000000"/>
          <w:kern w:val="0"/>
          <w:sz w:val="24"/>
          <w:szCs w:val="24"/>
          <w:lang w:val="pt-BR" w:eastAsia="zh-CN" w:bidi="ar-SA"/>
        </w:rPr>
        <w:t>1.3.1 – A não apresentação destes documentos, implicará na suspensão do pagamento da fatura, até a apresentação, não incidindo neste caso, em hipótese alguma, qualquer acréscimo de valores;</w:t>
      </w:r>
    </w:p>
    <w:p>
      <w:pPr>
        <w:pStyle w:val="2"/>
        <w:bidi w:val="0"/>
        <w:ind w:left="0" w:right="0" w:firstLine="0"/>
        <w:jc w:val="both"/>
        <w:rPr>
          <w:b w:val="0"/>
          <w:bCs w:val="0"/>
        </w:rPr>
      </w:pPr>
      <w:r>
        <w:rPr>
          <w:rFonts w:ascii="Calibri" w:hAnsi="Calibri" w:eastAsia="SimSun" w:cs="Calibri"/>
          <w:b w:val="0"/>
          <w:bCs w:val="0"/>
          <w:color w:val="000000"/>
          <w:kern w:val="0"/>
          <w:sz w:val="24"/>
          <w:szCs w:val="24"/>
          <w:lang w:val="pt-BR" w:eastAsia="zh-CN" w:bidi="ar-SA"/>
        </w:rPr>
        <w:t>1.4 – A empresa deverá mencionar na respectiva Nota Fiscal/Fatura informações pertinentes sobre o produto/serviço, tais como: a MARCA sob o qual o mesmo é comercializado, Fabricante, Apresentação, País de Origem, o número Certificado de Registro do Produto junto ao Ministério da Saúde, o número do lote e o prazo de validade do produto. Além de mencionar o número do Contrato, o número da Licitação, do Processo SES e da Autorização de Fornecimento;</w:t>
      </w:r>
    </w:p>
    <w:p>
      <w:pPr>
        <w:pStyle w:val="2"/>
        <w:bidi w:val="0"/>
        <w:ind w:left="0" w:right="0" w:firstLine="0"/>
        <w:jc w:val="both"/>
        <w:rPr>
          <w:rFonts w:ascii="Calibri" w:hAnsi="Calibri"/>
          <w:sz w:val="24"/>
          <w:szCs w:val="24"/>
        </w:rPr>
      </w:pPr>
      <w:r>
        <w:rPr>
          <w:rFonts w:ascii="Calibri" w:hAnsi="Calibri" w:eastAsia="SimSun" w:cs="Calibri"/>
          <w:b w:val="0"/>
          <w:bCs w:val="0"/>
          <w:color w:val="000000"/>
          <w:kern w:val="0"/>
          <w:sz w:val="24"/>
          <w:szCs w:val="24"/>
          <w:lang w:val="pt-BR" w:eastAsia="zh-CN" w:bidi="ar-SA"/>
        </w:rPr>
        <w:t xml:space="preserve">1.5 – </w:t>
      </w:r>
      <w:r>
        <w:rPr>
          <w:rFonts w:ascii="Calibri" w:hAnsi="Calibri" w:eastAsia="Calibri" w:cs="Arial"/>
          <w:b w:val="0"/>
          <w:bCs w:val="0"/>
          <w:color w:val="000000"/>
          <w:kern w:val="0"/>
          <w:sz w:val="24"/>
          <w:szCs w:val="24"/>
          <w:lang w:val="pt-BR" w:eastAsia="zh-CN" w:bidi="ar-SA"/>
        </w:rPr>
        <w:t>Vencido o prazo estabelecido e não efetuado o pagamento pela CONTRATANTE, sem que haja culpa da CONTRATADA, os valores serão corrigidos com base nos mesmos critérios adotados para a atualização das obrigações tributárias, em observância ao que dispõe o artigo</w:t>
      </w:r>
    </w:p>
    <w:p>
      <w:pPr>
        <w:pStyle w:val="2"/>
        <w:bidi w:val="0"/>
        <w:ind w:left="0" w:right="0" w:firstLine="0"/>
        <w:jc w:val="both"/>
        <w:rPr>
          <w:rFonts w:ascii="Calibri" w:hAnsi="Calibri" w:eastAsia="Calibri" w:cs="Arial"/>
          <w:b w:val="0"/>
          <w:bCs w:val="0"/>
          <w:sz w:val="24"/>
          <w:szCs w:val="24"/>
        </w:rPr>
      </w:pPr>
      <w:r>
        <w:rPr>
          <w:rFonts w:ascii="Calibri" w:hAnsi="Calibri" w:eastAsia="SimSun" w:cs="Calibri"/>
          <w:b w:val="0"/>
          <w:bCs w:val="0"/>
          <w:color w:val="000000"/>
          <w:kern w:val="0"/>
          <w:sz w:val="24"/>
          <w:szCs w:val="24"/>
          <w:lang w:val="pt-BR" w:eastAsia="zh-CN" w:bidi="ar-SA"/>
        </w:rPr>
        <w:t>117, da Constituição Estadual e artigo 92, inciso V, da Lei Federal nº 14.133, de 1 de abril de 2021.</w:t>
      </w:r>
    </w:p>
    <w:p>
      <w:pPr>
        <w:pStyle w:val="2"/>
        <w:bidi w:val="0"/>
        <w:ind w:left="0" w:right="0" w:firstLine="0"/>
        <w:jc w:val="both"/>
        <w:rPr>
          <w:rFonts w:ascii="Calibri" w:hAnsi="Calibri"/>
          <w:sz w:val="24"/>
          <w:szCs w:val="24"/>
        </w:rPr>
      </w:pPr>
      <w:r>
        <w:rPr>
          <w:rFonts w:ascii="Calibri" w:hAnsi="Calibri" w:eastAsia="SimSun" w:cs="Calibri"/>
          <w:b w:val="0"/>
          <w:bCs w:val="0"/>
          <w:color w:val="000000"/>
          <w:kern w:val="0"/>
          <w:sz w:val="24"/>
          <w:szCs w:val="24"/>
          <w:lang w:val="pt-BR" w:eastAsia="zh-CN" w:bidi="ar-SA"/>
        </w:rPr>
        <w:t>1.6 – Da aplicação do Decreto n.º 129/SC/2023:</w:t>
      </w:r>
    </w:p>
    <w:p>
      <w:pPr>
        <w:pStyle w:val="2"/>
        <w:bidi w:val="0"/>
        <w:ind w:left="0" w:right="0" w:firstLine="0"/>
        <w:jc w:val="both"/>
        <w:rPr>
          <w:b w:val="0"/>
          <w:bCs w:val="0"/>
        </w:rPr>
      </w:pPr>
      <w:r>
        <w:rPr>
          <w:rFonts w:ascii="Calibri" w:hAnsi="Calibri" w:eastAsia="SimSun" w:cs="Calibri"/>
          <w:b w:val="0"/>
          <w:bCs w:val="0"/>
          <w:color w:val="000000"/>
          <w:kern w:val="0"/>
          <w:sz w:val="24"/>
          <w:szCs w:val="24"/>
          <w:lang w:val="pt-BR" w:eastAsia="zh-CN" w:bidi="ar-SA"/>
        </w:rPr>
        <w:t>1.6.1 – De acordo com o Decreto n.º 129, de 10 de maio de 2023, os órgãos da Administração Pública Estadual Direta, os fundos, as autarquias e as fundações públicas do Estado de Santa Catarina, ao efetuarem pagamento à pessoa jurídica pelo fornecimento de bens ou pela prestação de serviços em geral, inclusive obras, ficam obrigados a proceder à retenção do imposto de renda (IR) com base na Instrução Normativa RFB nº 1.234, de 11 de janeiro de 2012;</w:t>
      </w:r>
    </w:p>
    <w:p>
      <w:pPr>
        <w:pStyle w:val="2"/>
        <w:bidi w:val="0"/>
        <w:ind w:left="0" w:right="0" w:firstLine="0"/>
        <w:jc w:val="both"/>
        <w:rPr>
          <w:b w:val="0"/>
          <w:bCs w:val="0"/>
        </w:rPr>
      </w:pPr>
      <w:r>
        <w:rPr>
          <w:rFonts w:ascii="Calibri" w:hAnsi="Calibri" w:eastAsia="SimSun" w:cs="Calibri"/>
          <w:b w:val="0"/>
          <w:bCs w:val="0"/>
          <w:color w:val="000000"/>
          <w:kern w:val="0"/>
          <w:sz w:val="24"/>
          <w:szCs w:val="24"/>
          <w:lang w:val="pt-BR" w:eastAsia="zh-CN" w:bidi="ar-SA"/>
        </w:rPr>
        <w:t>1.6.1.1 – As retenções serão efetuadas sobre qualquer forma de pagamento, inclusive os que forem antecipados por conta de fornecimento de bens ou de prestação de serviços, para entrega futura;</w:t>
      </w:r>
    </w:p>
    <w:p>
      <w:pPr>
        <w:pStyle w:val="2"/>
        <w:bidi w:val="0"/>
        <w:ind w:left="0" w:right="0" w:firstLine="0"/>
        <w:jc w:val="both"/>
        <w:rPr>
          <w:b w:val="0"/>
          <w:bCs w:val="0"/>
        </w:rPr>
      </w:pPr>
      <w:r>
        <w:rPr>
          <w:rFonts w:ascii="Calibri" w:hAnsi="Calibri" w:eastAsia="SimSun" w:cs="Calibri"/>
          <w:b w:val="0"/>
          <w:bCs w:val="0"/>
          <w:color w:val="000000"/>
          <w:kern w:val="0"/>
          <w:sz w:val="24"/>
          <w:szCs w:val="24"/>
          <w:lang w:val="pt-BR" w:eastAsia="zh-CN" w:bidi="ar-SA"/>
        </w:rPr>
        <w:t>1.6.1.2 – Não se sujeitam à retenção do IR na fonte os pagamentos realizados nas hipóteses estabelecidas no art. 4º da Instrução Normativa RFB nº 1.234, de 2012;</w:t>
      </w:r>
    </w:p>
    <w:p>
      <w:pPr>
        <w:pStyle w:val="2"/>
        <w:bidi w:val="0"/>
        <w:ind w:left="0" w:right="0" w:firstLine="0"/>
        <w:jc w:val="both"/>
        <w:rPr>
          <w:b w:val="0"/>
          <w:bCs w:val="0"/>
        </w:rPr>
      </w:pPr>
      <w:r>
        <w:rPr>
          <w:rFonts w:ascii="Calibri" w:hAnsi="Calibri" w:eastAsia="SimSun" w:cs="Calibri"/>
          <w:b w:val="0"/>
          <w:bCs w:val="0"/>
          <w:color w:val="000000"/>
          <w:kern w:val="0"/>
          <w:sz w:val="24"/>
          <w:szCs w:val="24"/>
          <w:lang w:val="pt-BR" w:eastAsia="zh-CN" w:bidi="ar-SA"/>
        </w:rPr>
        <w:t>1.6.1.3 – Os prestadores de serviço e fornecedores de bens deverão, a partir da data estabelecida no caput do art. 1º deste Decreto, emitir as notas fiscais, as faturas ou os recibos em observância às regras de retenção dispostas na Instrução Normativa RFB nº 1.234, de 2012;</w:t>
      </w:r>
    </w:p>
    <w:p>
      <w:pPr>
        <w:pStyle w:val="2"/>
        <w:bidi w:val="0"/>
        <w:ind w:left="0" w:right="0" w:firstLine="0"/>
        <w:jc w:val="both"/>
        <w:rPr>
          <w:b w:val="0"/>
          <w:bCs w:val="0"/>
        </w:rPr>
      </w:pPr>
      <w:r>
        <w:rPr>
          <w:rFonts w:ascii="Calibri" w:hAnsi="Calibri" w:eastAsia="SimSun" w:cs="Calibri"/>
          <w:b w:val="0"/>
          <w:bCs w:val="0"/>
          <w:color w:val="000000"/>
          <w:kern w:val="0"/>
          <w:sz w:val="24"/>
          <w:szCs w:val="24"/>
          <w:lang w:val="pt-BR" w:eastAsia="zh-CN" w:bidi="ar-SA"/>
        </w:rPr>
        <w:t>1.6.1.4 – Os documentos de cobrança em desacordo com o previsto não serão aceitos para fins de liquidação de despesa.</w:t>
      </w:r>
    </w:p>
    <w:p>
      <w:pPr>
        <w:pStyle w:val="2"/>
        <w:bidi w:val="0"/>
        <w:ind w:left="0" w:right="0" w:firstLine="0"/>
        <w:jc w:val="both"/>
        <w:rPr>
          <w:rFonts w:ascii="Calibri" w:hAnsi="Calibri" w:cs="Calibri"/>
          <w:b/>
          <w:sz w:val="24"/>
          <w:szCs w:val="24"/>
        </w:rPr>
      </w:pPr>
    </w:p>
    <w:p>
      <w:pPr>
        <w:bidi w:val="0"/>
        <w:ind w:left="0" w:right="0" w:firstLine="0"/>
        <w:jc w:val="both"/>
        <w:rPr>
          <w:rFonts w:ascii="Calibri" w:hAnsi="Calibri" w:cs="Calibri"/>
          <w:b/>
          <w:sz w:val="24"/>
          <w:szCs w:val="24"/>
        </w:rPr>
      </w:pPr>
      <w:r>
        <w:rPr>
          <w:rFonts w:ascii="Calibri" w:hAnsi="Calibri" w:eastAsia="SimSun" w:cs="Calibri"/>
          <w:b/>
          <w:color w:val="000000"/>
          <w:kern w:val="0"/>
          <w:sz w:val="24"/>
          <w:szCs w:val="24"/>
          <w:lang w:val="pt-BR" w:eastAsia="zh-CN" w:bidi="ar-SA"/>
        </w:rPr>
        <w:t>CLÁUSULA SEGUNDA – DA VIGÊNCIA</w:t>
      </w:r>
    </w:p>
    <w:p>
      <w:pPr>
        <w:pStyle w:val="2"/>
        <w:bidi w:val="0"/>
        <w:spacing w:before="1" w:after="0"/>
        <w:ind w:right="259" w:firstLine="0"/>
        <w:jc w:val="both"/>
        <w:rPr>
          <w:rFonts w:ascii="Calibri" w:hAnsi="Calibri"/>
          <w:b/>
          <w:bCs/>
          <w:color w:val="000000"/>
          <w:sz w:val="24"/>
          <w:szCs w:val="24"/>
        </w:rPr>
      </w:pPr>
      <w:r>
        <w:rPr>
          <w:rFonts w:ascii="Calibri" w:hAnsi="Calibri" w:eastAsia="SimSun" w:cs="Calibri"/>
          <w:b w:val="0"/>
          <w:bCs w:val="0"/>
          <w:color w:val="000000"/>
          <w:kern w:val="0"/>
          <w:sz w:val="24"/>
          <w:szCs w:val="24"/>
          <w:lang w:val="pt-BR" w:eastAsia="zh-CN" w:bidi="ar-SA"/>
        </w:rPr>
        <w:t xml:space="preserve">2.1 – O prazo de validade da Ata de Registro de Preços será de 12 meses, </w:t>
      </w:r>
      <w:r>
        <w:rPr>
          <w:rFonts w:ascii="Calibri" w:hAnsi="Calibri" w:eastAsia="NSimSun" w:cs="Lucida Sans"/>
          <w:b w:val="0"/>
          <w:bCs w:val="0"/>
          <w:color w:val="000000"/>
          <w:kern w:val="0"/>
          <w:sz w:val="24"/>
          <w:szCs w:val="24"/>
          <w:lang w:val="pt-BR" w:eastAsia="zh-CN" w:bidi="hi-IN"/>
        </w:rPr>
        <w:t>prorrogável</w:t>
      </w:r>
      <w:r>
        <w:rPr>
          <w:rFonts w:ascii="Calibri" w:hAnsi="Calibri" w:eastAsia="SimSun" w:cs="Calibri"/>
          <w:b w:val="0"/>
          <w:bCs w:val="0"/>
          <w:color w:val="000000"/>
          <w:kern w:val="0"/>
          <w:sz w:val="24"/>
          <w:szCs w:val="24"/>
          <w:lang w:val="pt-BR" w:eastAsia="zh-CN" w:bidi="ar-SA"/>
        </w:rPr>
        <w:t xml:space="preserve"> por igual período, na forma do artigo 84 da Lei n° 14.133, de 2021.</w:t>
      </w:r>
    </w:p>
    <w:p>
      <w:pPr>
        <w:pStyle w:val="2"/>
        <w:bidi w:val="0"/>
        <w:ind w:left="0" w:right="0" w:firstLine="0"/>
        <w:jc w:val="both"/>
        <w:rPr>
          <w:rFonts w:ascii="Calibri" w:hAnsi="Calibri" w:cs="Calibri"/>
          <w:b/>
          <w:sz w:val="24"/>
          <w:szCs w:val="24"/>
        </w:rPr>
      </w:pPr>
    </w:p>
    <w:p>
      <w:pPr>
        <w:bidi w:val="0"/>
        <w:jc w:val="both"/>
        <w:rPr>
          <w:color w:val="000000"/>
        </w:rPr>
      </w:pPr>
      <w:r>
        <w:rPr>
          <w:rFonts w:ascii="Calibri" w:hAnsi="Calibri" w:cs="Calibri"/>
          <w:b/>
          <w:color w:val="000000"/>
          <w:sz w:val="24"/>
          <w:szCs w:val="24"/>
        </w:rPr>
        <w:t xml:space="preserve">CLÁUSULA </w:t>
      </w:r>
      <w:r>
        <w:rPr>
          <w:rFonts w:ascii="Calibri" w:hAnsi="Calibri" w:eastAsia="SimSun" w:cs="Calibri"/>
          <w:b/>
          <w:color w:val="000000"/>
          <w:kern w:val="0"/>
          <w:sz w:val="24"/>
          <w:szCs w:val="24"/>
          <w:lang w:val="pt-BR" w:eastAsia="zh-CN" w:bidi="ar-SA"/>
        </w:rPr>
        <w:t>TERCEIRA</w:t>
      </w:r>
      <w:r>
        <w:rPr>
          <w:rFonts w:ascii="Calibri" w:hAnsi="Calibri" w:cs="Calibri"/>
          <w:b/>
          <w:color w:val="000000"/>
          <w:sz w:val="24"/>
          <w:szCs w:val="24"/>
        </w:rPr>
        <w:t xml:space="preserve"> – DA GESTÃO E FISCALIZAÇÃO DA ATA DE REGISTRO DE PREÇOS</w:t>
      </w:r>
    </w:p>
    <w:p>
      <w:pPr>
        <w:bidi w:val="0"/>
        <w:jc w:val="both"/>
        <w:rPr>
          <w:color w:val="000000"/>
        </w:rPr>
      </w:pPr>
      <w:r>
        <w:rPr>
          <w:rFonts w:ascii="Calibri" w:hAnsi="Calibri" w:cs="Calibri"/>
          <w:color w:val="000000"/>
          <w:sz w:val="24"/>
          <w:szCs w:val="24"/>
        </w:rPr>
        <w:t>3.1</w:t>
      </w:r>
      <w:r>
        <w:rPr>
          <w:rFonts w:ascii="Calibri" w:hAnsi="Calibri" w:cs="Calibri"/>
          <w:color w:val="000000"/>
          <w:sz w:val="24"/>
          <w:szCs w:val="24"/>
          <w:lang w:val="pt-BR"/>
        </w:rPr>
        <w:t xml:space="preserve"> - </w:t>
      </w:r>
      <w:r>
        <w:rPr>
          <w:rFonts w:ascii="Calibri" w:hAnsi="Calibri" w:cs="Calibri"/>
          <w:color w:val="000000"/>
          <w:sz w:val="24"/>
          <w:szCs w:val="24"/>
        </w:rPr>
        <w:t>O objeto deverá ser executado fielmente pelas partes, de acordo com as cláusulas avençadas e as normas da Lei nº 14.133, de 2021, e cada parte responderá pelas consequências de sua inexecução total ou parcial.</w:t>
      </w:r>
    </w:p>
    <w:p>
      <w:pPr>
        <w:pStyle w:val="2"/>
        <w:bidi w:val="0"/>
        <w:jc w:val="both"/>
        <w:rPr>
          <w:color w:val="000000"/>
        </w:rPr>
      </w:pPr>
      <w:r>
        <w:rPr>
          <w:rFonts w:ascii="Calibri" w:hAnsi="Calibri" w:cs="Calibri"/>
          <w:color w:val="000000"/>
          <w:sz w:val="24"/>
          <w:szCs w:val="24"/>
        </w:rPr>
        <w:t>3.2</w:t>
      </w:r>
      <w:r>
        <w:rPr>
          <w:rFonts w:ascii="Calibri" w:hAnsi="Calibri" w:cs="Calibri"/>
          <w:color w:val="000000"/>
          <w:sz w:val="24"/>
          <w:szCs w:val="24"/>
          <w:lang w:val="pt-BR"/>
        </w:rPr>
        <w:t xml:space="preserve"> -</w:t>
      </w:r>
      <w:r>
        <w:rPr>
          <w:rFonts w:ascii="Calibri" w:hAnsi="Calibri" w:cs="Calibri"/>
          <w:color w:val="000000"/>
          <w:sz w:val="24"/>
          <w:szCs w:val="24"/>
        </w:rPr>
        <w:t xml:space="preserve"> Em caso de impedimento, ordem de paralisação ou suspensão do contrato, o cronograma de</w:t>
      </w:r>
    </w:p>
    <w:p>
      <w:pPr>
        <w:pStyle w:val="2"/>
        <w:bidi w:val="0"/>
        <w:jc w:val="both"/>
        <w:rPr>
          <w:color w:val="000000"/>
        </w:rPr>
      </w:pPr>
      <w:r>
        <w:rPr>
          <w:rFonts w:ascii="Calibri" w:hAnsi="Calibri" w:cs="Calibri"/>
          <w:color w:val="000000"/>
          <w:sz w:val="24"/>
          <w:szCs w:val="24"/>
        </w:rPr>
        <w:t>execução será prorrogado automaticamente pelo tempo correspondente, anotadas tais circunstâncias mediante simples apostila.</w:t>
      </w:r>
    </w:p>
    <w:p>
      <w:pPr>
        <w:pStyle w:val="2"/>
        <w:bidi w:val="0"/>
        <w:jc w:val="both"/>
        <w:rPr>
          <w:color w:val="000000"/>
        </w:rPr>
      </w:pPr>
      <w:r>
        <w:rPr>
          <w:rFonts w:ascii="Calibri" w:hAnsi="Calibri" w:cs="Calibri"/>
          <w:color w:val="000000"/>
          <w:sz w:val="24"/>
          <w:szCs w:val="24"/>
        </w:rPr>
        <w:t>3.3</w:t>
      </w:r>
      <w:r>
        <w:rPr>
          <w:rFonts w:ascii="Calibri" w:hAnsi="Calibri" w:cs="Calibri"/>
          <w:color w:val="000000"/>
          <w:sz w:val="24"/>
          <w:szCs w:val="24"/>
          <w:lang w:val="pt-BR"/>
        </w:rPr>
        <w:t xml:space="preserve"> -</w:t>
      </w:r>
      <w:r>
        <w:rPr>
          <w:rFonts w:ascii="Calibri" w:hAnsi="Calibri" w:cs="Calibri"/>
          <w:color w:val="000000"/>
          <w:sz w:val="24"/>
          <w:szCs w:val="24"/>
        </w:rPr>
        <w:t xml:space="preserve"> As comunicações entre o órgão ou entidade e a contratada devem ser realizadas por escrito sempre que o ato exigir tal formalidade, admitindo-se o uso de mensagem eletrônica para esse fim.</w:t>
      </w:r>
    </w:p>
    <w:p>
      <w:pPr>
        <w:pStyle w:val="2"/>
        <w:bidi w:val="0"/>
        <w:jc w:val="both"/>
        <w:rPr>
          <w:color w:val="000000"/>
        </w:rPr>
      </w:pPr>
      <w:r>
        <w:rPr>
          <w:rFonts w:ascii="Calibri" w:hAnsi="Calibri" w:cs="Calibri"/>
          <w:color w:val="000000"/>
          <w:sz w:val="24"/>
          <w:szCs w:val="24"/>
        </w:rPr>
        <w:t>3.4</w:t>
      </w:r>
      <w:r>
        <w:rPr>
          <w:rFonts w:ascii="Calibri" w:hAnsi="Calibri" w:cs="Calibri"/>
          <w:color w:val="000000"/>
          <w:sz w:val="24"/>
          <w:szCs w:val="24"/>
          <w:lang w:val="pt-BR"/>
        </w:rPr>
        <w:t xml:space="preserve"> -</w:t>
      </w:r>
      <w:r>
        <w:rPr>
          <w:rFonts w:ascii="Calibri" w:hAnsi="Calibri" w:cs="Calibri"/>
          <w:color w:val="000000"/>
          <w:sz w:val="24"/>
          <w:szCs w:val="24"/>
        </w:rPr>
        <w:t xml:space="preserve"> O órgão ou entidade poderá convocar representante da empresa para adoção de providências que devam ser cumpridas de imediato.</w:t>
      </w:r>
    </w:p>
    <w:p>
      <w:pPr>
        <w:pStyle w:val="2"/>
        <w:bidi w:val="0"/>
        <w:jc w:val="both"/>
        <w:rPr>
          <w:color w:val="000000"/>
        </w:rPr>
      </w:pPr>
      <w:r>
        <w:rPr>
          <w:rFonts w:ascii="Calibri" w:hAnsi="Calibri" w:cs="Calibri"/>
          <w:color w:val="000000"/>
          <w:sz w:val="24"/>
          <w:szCs w:val="24"/>
        </w:rPr>
        <w:t>3.5</w:t>
      </w:r>
      <w:r>
        <w:rPr>
          <w:rFonts w:ascii="Calibri" w:hAnsi="Calibri" w:cs="Calibri"/>
          <w:color w:val="000000"/>
          <w:sz w:val="24"/>
          <w:szCs w:val="24"/>
          <w:lang w:val="pt-BR"/>
        </w:rPr>
        <w:t xml:space="preserve"> -</w:t>
      </w:r>
      <w:r>
        <w:rPr>
          <w:rFonts w:ascii="Calibri" w:hAnsi="Calibri" w:cs="Calibri"/>
          <w:color w:val="000000"/>
          <w:sz w:val="24"/>
          <w:szCs w:val="24"/>
        </w:rPr>
        <w:t xml:space="preserve"> Após a assinatura da Ata de Registro de Preços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pStyle w:val="2"/>
        <w:bidi w:val="0"/>
        <w:jc w:val="both"/>
        <w:rPr>
          <w:color w:val="000000"/>
        </w:rPr>
      </w:pPr>
      <w:r>
        <w:rPr>
          <w:rFonts w:ascii="Calibri" w:hAnsi="Calibri" w:cs="Calibri"/>
          <w:color w:val="000000"/>
          <w:sz w:val="24"/>
          <w:szCs w:val="24"/>
        </w:rPr>
        <w:t>3.6</w:t>
      </w:r>
      <w:r>
        <w:rPr>
          <w:rFonts w:ascii="Calibri" w:hAnsi="Calibri" w:cs="Calibri"/>
          <w:color w:val="000000"/>
          <w:sz w:val="24"/>
          <w:szCs w:val="24"/>
          <w:lang w:val="pt-BR"/>
        </w:rPr>
        <w:t xml:space="preserve"> -</w:t>
      </w:r>
      <w:r>
        <w:rPr>
          <w:rFonts w:ascii="Calibri" w:hAnsi="Calibri" w:cs="Calibri"/>
          <w:color w:val="000000"/>
          <w:sz w:val="24"/>
          <w:szCs w:val="24"/>
        </w:rPr>
        <w:t xml:space="preserve"> A execução do objeto deverá ser acompanhada e fiscalizada pelo(s) fiscal(is) da Ata de Registro de Preços, ou pelos respectivos substitutos (Lei nº 14.133, de 2021, art. 117, caput).</w:t>
      </w:r>
    </w:p>
    <w:p>
      <w:pPr>
        <w:pStyle w:val="2"/>
        <w:bidi w:val="0"/>
        <w:jc w:val="both"/>
        <w:rPr>
          <w:color w:val="000000"/>
        </w:rPr>
      </w:pPr>
      <w:r>
        <w:rPr>
          <w:rFonts w:ascii="Calibri" w:hAnsi="Calibri" w:cs="Calibri"/>
          <w:color w:val="000000"/>
          <w:sz w:val="24"/>
          <w:szCs w:val="24"/>
        </w:rPr>
        <w:t>3.7</w:t>
      </w:r>
      <w:r>
        <w:rPr>
          <w:rFonts w:ascii="Calibri" w:hAnsi="Calibri" w:cs="Calibri"/>
          <w:color w:val="000000"/>
          <w:sz w:val="24"/>
          <w:szCs w:val="24"/>
          <w:lang w:val="pt-BR"/>
        </w:rPr>
        <w:t xml:space="preserve"> -</w:t>
      </w:r>
      <w:r>
        <w:rPr>
          <w:rFonts w:ascii="Calibri" w:hAnsi="Calibri" w:cs="Calibri"/>
          <w:color w:val="000000"/>
          <w:sz w:val="24"/>
          <w:szCs w:val="24"/>
        </w:rPr>
        <w:t xml:space="preserve"> O fiscal da Ata de Registro de Preços acompanhará a execução do contrato, para que sejam cumpridas todas as condições estabelecidas, de modo a assegurar os melhores resultados para a Administração;</w:t>
      </w:r>
    </w:p>
    <w:p>
      <w:pPr>
        <w:pStyle w:val="2"/>
        <w:bidi w:val="0"/>
        <w:jc w:val="both"/>
        <w:rPr>
          <w:color w:val="000000"/>
        </w:rPr>
      </w:pPr>
      <w:r>
        <w:rPr>
          <w:rFonts w:ascii="Calibri" w:hAnsi="Calibri" w:cs="Calibri"/>
          <w:color w:val="000000"/>
          <w:sz w:val="24"/>
          <w:szCs w:val="24"/>
        </w:rPr>
        <w:t>3.7.1</w:t>
      </w:r>
      <w:r>
        <w:rPr>
          <w:rFonts w:ascii="Calibri" w:hAnsi="Calibri" w:cs="Calibri"/>
          <w:color w:val="000000"/>
          <w:sz w:val="24"/>
          <w:szCs w:val="24"/>
          <w:lang w:val="pt-BR"/>
        </w:rPr>
        <w:t xml:space="preserve"> -</w:t>
      </w:r>
      <w:r>
        <w:rPr>
          <w:rFonts w:ascii="Calibri" w:hAnsi="Calibri" w:cs="Calibri"/>
          <w:color w:val="000000"/>
          <w:sz w:val="24"/>
          <w:szCs w:val="24"/>
        </w:rPr>
        <w:t xml:space="preserve"> O fiscal da Ata de Registro de Preços anotará no histórico de gerenciamento do contrato todas as ocorrências relacionadas à execução do objeto, com a descrição do que for necessário para a regularização das faltas ou dos defeitos observados. (Lei nº 14.133, de 2021, art. 117, §1º);</w:t>
      </w:r>
    </w:p>
    <w:p>
      <w:pPr>
        <w:pStyle w:val="2"/>
        <w:bidi w:val="0"/>
        <w:jc w:val="both"/>
        <w:rPr>
          <w:color w:val="000000"/>
        </w:rPr>
      </w:pPr>
      <w:r>
        <w:rPr>
          <w:rFonts w:ascii="Calibri" w:hAnsi="Calibri" w:cs="Calibri"/>
          <w:color w:val="000000"/>
          <w:sz w:val="24"/>
          <w:szCs w:val="24"/>
        </w:rPr>
        <w:t>3.7.2</w:t>
      </w:r>
      <w:r>
        <w:rPr>
          <w:rFonts w:ascii="Calibri" w:hAnsi="Calibri" w:cs="Calibri"/>
          <w:color w:val="000000"/>
          <w:sz w:val="24"/>
          <w:szCs w:val="24"/>
          <w:lang w:val="pt-BR"/>
        </w:rPr>
        <w:t xml:space="preserve"> -</w:t>
      </w:r>
      <w:r>
        <w:rPr>
          <w:rFonts w:ascii="Calibri" w:hAnsi="Calibri" w:cs="Calibri"/>
          <w:color w:val="000000"/>
          <w:sz w:val="24"/>
          <w:szCs w:val="24"/>
        </w:rPr>
        <w:t xml:space="preserve"> Identificada qualquer inexatidão ou irregularidade, o fiscal da Ata de Registro de Preços emitirá notificações para a correção da execução do objeto, determinando prazo para a correção;</w:t>
      </w:r>
    </w:p>
    <w:p>
      <w:pPr>
        <w:pStyle w:val="2"/>
        <w:bidi w:val="0"/>
        <w:jc w:val="both"/>
        <w:rPr>
          <w:color w:val="000000"/>
        </w:rPr>
      </w:pPr>
      <w:r>
        <w:rPr>
          <w:rFonts w:ascii="Calibri" w:hAnsi="Calibri" w:cs="Calibri"/>
          <w:color w:val="000000"/>
          <w:sz w:val="24"/>
          <w:szCs w:val="24"/>
        </w:rPr>
        <w:t>3.7.3</w:t>
      </w:r>
      <w:r>
        <w:rPr>
          <w:rFonts w:ascii="Calibri" w:hAnsi="Calibri" w:cs="Calibri"/>
          <w:color w:val="000000"/>
          <w:sz w:val="24"/>
          <w:szCs w:val="24"/>
          <w:lang w:val="pt-BR"/>
        </w:rPr>
        <w:t xml:space="preserve"> -</w:t>
      </w:r>
      <w:r>
        <w:rPr>
          <w:rFonts w:ascii="Calibri" w:hAnsi="Calibri" w:cs="Calibri"/>
          <w:color w:val="000000"/>
          <w:sz w:val="24"/>
          <w:szCs w:val="24"/>
        </w:rPr>
        <w:t xml:space="preserve"> O fiscal da Ata de Registro de Preços informará ao gestor da mesma, em tempo hábil, a situação que demandar decisão ou adoção de medidas que ultrapassem sua competência, para que adote as medidas necessárias e saneadoras, se for o caso;</w:t>
      </w:r>
    </w:p>
    <w:p>
      <w:pPr>
        <w:pStyle w:val="2"/>
        <w:bidi w:val="0"/>
        <w:jc w:val="both"/>
        <w:rPr>
          <w:color w:val="000000"/>
        </w:rPr>
      </w:pPr>
      <w:r>
        <w:rPr>
          <w:rFonts w:ascii="Calibri" w:hAnsi="Calibri" w:cs="Calibri"/>
          <w:color w:val="000000"/>
          <w:sz w:val="24"/>
          <w:szCs w:val="24"/>
        </w:rPr>
        <w:t>3.7.4</w:t>
      </w:r>
      <w:r>
        <w:rPr>
          <w:rFonts w:ascii="Calibri" w:hAnsi="Calibri" w:cs="Calibri"/>
          <w:color w:val="000000"/>
          <w:sz w:val="24"/>
          <w:szCs w:val="24"/>
          <w:lang w:val="pt-BR"/>
        </w:rPr>
        <w:t xml:space="preserve"> -</w:t>
      </w:r>
      <w:r>
        <w:rPr>
          <w:rFonts w:ascii="Calibri" w:hAnsi="Calibri" w:cs="Calibri"/>
          <w:color w:val="000000"/>
          <w:sz w:val="24"/>
          <w:szCs w:val="24"/>
        </w:rPr>
        <w:t xml:space="preserve"> No caso de ocorrências que possam inviabilizar a execução do objeto nas datas aprazadas, o fiscal da Ata de Registro de Preços comunicará o fato imediatamente ao gestor da mesma;</w:t>
      </w:r>
    </w:p>
    <w:p>
      <w:pPr>
        <w:pStyle w:val="2"/>
        <w:bidi w:val="0"/>
        <w:jc w:val="both"/>
        <w:rPr>
          <w:color w:val="000000"/>
        </w:rPr>
      </w:pPr>
      <w:r>
        <w:rPr>
          <w:rFonts w:ascii="Calibri" w:hAnsi="Calibri" w:cs="Calibri"/>
          <w:color w:val="000000"/>
          <w:sz w:val="24"/>
          <w:szCs w:val="24"/>
        </w:rPr>
        <w:t>3.7.</w:t>
      </w:r>
      <w:r>
        <w:rPr>
          <w:rFonts w:ascii="Calibri" w:hAnsi="Calibri" w:cs="Calibri"/>
          <w:color w:val="000000"/>
          <w:sz w:val="24"/>
          <w:szCs w:val="24"/>
          <w:lang w:val="pt-BR"/>
        </w:rPr>
        <w:t>5 -</w:t>
      </w:r>
      <w:r>
        <w:rPr>
          <w:rFonts w:ascii="Calibri" w:hAnsi="Calibri" w:cs="Calibri"/>
          <w:color w:val="000000"/>
          <w:sz w:val="24"/>
          <w:szCs w:val="24"/>
        </w:rPr>
        <w:t xml:space="preserve"> O gestor da Ata de registro de Preços acompanhará os registros realizados pelos fiscais da mesma, de todas as ocorrências relacionadas à execução do objeto e as medidas adotadas, informando, se for o caso, à autoridade superior àquelas que ultrapassarem a sua competência.</w:t>
      </w:r>
    </w:p>
    <w:p>
      <w:pPr>
        <w:pStyle w:val="2"/>
        <w:bidi w:val="0"/>
        <w:jc w:val="both"/>
        <w:rPr>
          <w:color w:val="000000"/>
        </w:rPr>
      </w:pPr>
      <w:r>
        <w:rPr>
          <w:rFonts w:ascii="Calibri" w:hAnsi="Calibri" w:cs="Calibri"/>
          <w:color w:val="000000"/>
          <w:sz w:val="24"/>
          <w:szCs w:val="24"/>
        </w:rPr>
        <w:t>3.8</w:t>
      </w:r>
      <w:r>
        <w:rPr>
          <w:rFonts w:ascii="Calibri" w:hAnsi="Calibri" w:cs="Calibri"/>
          <w:color w:val="000000"/>
          <w:sz w:val="24"/>
          <w:szCs w:val="24"/>
          <w:lang w:val="pt-BR"/>
        </w:rPr>
        <w:t xml:space="preserve"> -</w:t>
      </w:r>
      <w:r>
        <w:rPr>
          <w:rFonts w:ascii="Calibri" w:hAnsi="Calibri" w:cs="Calibri"/>
          <w:color w:val="000000"/>
          <w:sz w:val="24"/>
          <w:szCs w:val="24"/>
        </w:rPr>
        <w:t xml:space="preserve"> O fiscal da Ata de Registro de Preços verificará a manutenção das condições de habilitação da empresa detentora da mesma,</w:t>
      </w:r>
    </w:p>
    <w:p>
      <w:pPr>
        <w:pStyle w:val="2"/>
        <w:bidi w:val="0"/>
        <w:jc w:val="both"/>
        <w:rPr>
          <w:color w:val="000000"/>
        </w:rPr>
      </w:pPr>
      <w:r>
        <w:rPr>
          <w:rFonts w:ascii="Calibri" w:hAnsi="Calibri" w:cs="Calibri"/>
          <w:color w:val="000000"/>
          <w:sz w:val="24"/>
          <w:szCs w:val="24"/>
        </w:rPr>
        <w:t>acompanhará o empenho, o pagamento, as garantias, as glosas e a formalização de apostilamento e termos aditivos, solicitando quaisquer documentos comprobatórios pertinentes, caso necessário.</w:t>
      </w:r>
    </w:p>
    <w:p>
      <w:pPr>
        <w:pStyle w:val="2"/>
        <w:bidi w:val="0"/>
        <w:jc w:val="both"/>
        <w:rPr>
          <w:color w:val="000000"/>
        </w:rPr>
      </w:pPr>
      <w:r>
        <w:rPr>
          <w:rFonts w:ascii="Calibri" w:hAnsi="Calibri" w:cs="Calibri"/>
          <w:color w:val="000000"/>
          <w:sz w:val="24"/>
          <w:szCs w:val="24"/>
        </w:rPr>
        <w:t>3.8.1</w:t>
      </w:r>
      <w:r>
        <w:rPr>
          <w:rFonts w:ascii="Calibri" w:hAnsi="Calibri" w:cs="Calibri"/>
          <w:color w:val="000000"/>
          <w:sz w:val="24"/>
          <w:szCs w:val="24"/>
          <w:lang w:val="pt-BR"/>
        </w:rPr>
        <w:t xml:space="preserve"> -</w:t>
      </w:r>
      <w:r>
        <w:rPr>
          <w:rFonts w:ascii="Calibri" w:hAnsi="Calibri" w:cs="Calibri"/>
          <w:color w:val="000000"/>
          <w:sz w:val="24"/>
          <w:szCs w:val="24"/>
        </w:rPr>
        <w:t xml:space="preserve"> Caso ocorram descumprimento das obrigações definidas  em edital, o fiscal da Ata de Registro de Preços atuará tempestivamente na solução do problema, reportando ao gestor da mesma para que tome as providências cabíveis, quando ultrapassar a sua competência.</w:t>
      </w:r>
    </w:p>
    <w:p>
      <w:pPr>
        <w:pStyle w:val="2"/>
        <w:bidi w:val="0"/>
        <w:jc w:val="both"/>
        <w:rPr>
          <w:color w:val="000000"/>
        </w:rPr>
      </w:pPr>
      <w:r>
        <w:rPr>
          <w:rFonts w:ascii="Calibri" w:hAnsi="Calibri" w:cs="Calibri"/>
          <w:color w:val="000000"/>
          <w:sz w:val="24"/>
          <w:szCs w:val="24"/>
        </w:rPr>
        <w:t>3.9</w:t>
      </w:r>
      <w:r>
        <w:rPr>
          <w:rFonts w:ascii="Calibri" w:hAnsi="Calibri" w:cs="Calibri"/>
          <w:color w:val="000000"/>
          <w:sz w:val="24"/>
          <w:szCs w:val="24"/>
          <w:lang w:val="pt-BR"/>
        </w:rPr>
        <w:t xml:space="preserve"> -</w:t>
      </w:r>
      <w:r>
        <w:rPr>
          <w:rFonts w:ascii="Calibri" w:hAnsi="Calibri" w:cs="Calibri"/>
          <w:color w:val="000000"/>
          <w:sz w:val="24"/>
          <w:szCs w:val="24"/>
        </w:rPr>
        <w:t xml:space="preserve"> O gestor da Ata de Registro de Preços coordenará a atualização do processo de acompanhamento e fiscalização, contendo todos os registros formais da execução no histórico de gerenciamento do objeto, a exemplo da ordem de serviço, do registro de ocorrências, das alterações e das prorrogações da Ata, elaborando relatório com vistas à verificação da necessidade de adequações do Ata de Registro de Preços para fins de atendimento da finalidade da administração.</w:t>
      </w:r>
    </w:p>
    <w:p>
      <w:pPr>
        <w:pStyle w:val="2"/>
        <w:bidi w:val="0"/>
        <w:jc w:val="both"/>
        <w:rPr>
          <w:color w:val="000000"/>
        </w:rPr>
      </w:pPr>
      <w:r>
        <w:rPr>
          <w:rFonts w:ascii="Calibri" w:hAnsi="Calibri" w:cs="Calibri"/>
          <w:color w:val="000000"/>
          <w:sz w:val="24"/>
          <w:szCs w:val="24"/>
        </w:rPr>
        <w:t>3.9.1</w:t>
      </w:r>
      <w:r>
        <w:rPr>
          <w:rFonts w:ascii="Calibri" w:hAnsi="Calibri" w:cs="Calibri"/>
          <w:color w:val="000000"/>
          <w:sz w:val="24"/>
          <w:szCs w:val="24"/>
          <w:lang w:val="pt-BR"/>
        </w:rPr>
        <w:t xml:space="preserve"> -</w:t>
      </w:r>
      <w:r>
        <w:rPr>
          <w:rFonts w:ascii="Calibri" w:hAnsi="Calibri" w:cs="Calibri"/>
          <w:color w:val="000000"/>
          <w:sz w:val="24"/>
          <w:szCs w:val="24"/>
        </w:rPr>
        <w:t xml:space="preserve"> O gestor da Ata de Registro de Preços acompanhará a manutenção das condições de habilitação da empresa detentora da Ata, para fins de empenho de despesa e pagamento, e anotará os problemas que obstem o fluxo normal da liquidação e do pagamento da despesa no relatório de riscos eventuais.</w:t>
      </w:r>
    </w:p>
    <w:p>
      <w:pPr>
        <w:pStyle w:val="2"/>
        <w:bidi w:val="0"/>
        <w:jc w:val="both"/>
        <w:rPr>
          <w:color w:val="000000"/>
        </w:rPr>
      </w:pPr>
      <w:r>
        <w:rPr>
          <w:rFonts w:ascii="Calibri" w:hAnsi="Calibri" w:cs="Calibri"/>
          <w:color w:val="000000"/>
          <w:sz w:val="24"/>
          <w:szCs w:val="24"/>
        </w:rPr>
        <w:t>3.9.2</w:t>
      </w:r>
      <w:r>
        <w:rPr>
          <w:rFonts w:ascii="Calibri" w:hAnsi="Calibri" w:cs="Calibri"/>
          <w:color w:val="000000"/>
          <w:sz w:val="24"/>
          <w:szCs w:val="24"/>
          <w:lang w:val="pt-BR"/>
        </w:rPr>
        <w:t xml:space="preserve"> -</w:t>
      </w:r>
      <w:r>
        <w:rPr>
          <w:rFonts w:ascii="Calibri" w:hAnsi="Calibri" w:cs="Calibri"/>
          <w:color w:val="000000"/>
          <w:sz w:val="24"/>
          <w:szCs w:val="24"/>
        </w:rPr>
        <w:t xml:space="preserve"> O gestor da Ata de Registro de Preços emitirá documento comprobatório da avaliação realizada pelos fiscais quanto ao cumprimento de obrigações assumidas pela empresa detentora da Ata, com menção ao seu desempenho na execução do objeto, baseado nos indicadores objetivamente definidos e aferidos, e a eventuais penalidades aplicadas, devendo constar do cadastro de atesto de cumprimento de obrigações.</w:t>
      </w:r>
    </w:p>
    <w:p>
      <w:pPr>
        <w:pStyle w:val="2"/>
        <w:bidi w:val="0"/>
        <w:jc w:val="both"/>
        <w:rPr>
          <w:color w:val="000000"/>
        </w:rPr>
      </w:pPr>
      <w:r>
        <w:rPr>
          <w:rFonts w:ascii="Calibri" w:hAnsi="Calibri" w:cs="Calibri"/>
          <w:color w:val="000000"/>
          <w:sz w:val="24"/>
          <w:szCs w:val="24"/>
        </w:rPr>
        <w:t>3.9.3</w:t>
      </w:r>
      <w:r>
        <w:rPr>
          <w:rFonts w:ascii="Calibri" w:hAnsi="Calibri" w:cs="Calibri"/>
          <w:color w:val="000000"/>
          <w:sz w:val="24"/>
          <w:szCs w:val="24"/>
          <w:lang w:val="pt-BR"/>
        </w:rPr>
        <w:t xml:space="preserve"> -</w:t>
      </w:r>
      <w:r>
        <w:rPr>
          <w:rFonts w:ascii="Calibri" w:hAnsi="Calibri" w:cs="Calibri"/>
          <w:color w:val="000000"/>
          <w:sz w:val="24"/>
          <w:szCs w:val="24"/>
        </w:rPr>
        <w:t xml:space="preserve"> O gestor da Ata de Registro de Preços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pPr>
        <w:pStyle w:val="2"/>
        <w:bidi w:val="0"/>
        <w:jc w:val="both"/>
        <w:rPr>
          <w:color w:val="000000"/>
        </w:rPr>
      </w:pPr>
      <w:r>
        <w:rPr>
          <w:rFonts w:ascii="Calibri" w:hAnsi="Calibri" w:cs="Calibri"/>
          <w:color w:val="000000"/>
          <w:sz w:val="24"/>
          <w:szCs w:val="24"/>
        </w:rPr>
        <w:t>3.10</w:t>
      </w:r>
      <w:r>
        <w:rPr>
          <w:rFonts w:ascii="Calibri" w:hAnsi="Calibri" w:cs="Calibri"/>
          <w:color w:val="000000"/>
          <w:sz w:val="24"/>
          <w:szCs w:val="24"/>
          <w:lang w:val="pt-BR"/>
        </w:rPr>
        <w:t xml:space="preserve"> -</w:t>
      </w:r>
      <w:r>
        <w:rPr>
          <w:rFonts w:ascii="Calibri" w:hAnsi="Calibri" w:cs="Calibri"/>
          <w:color w:val="000000"/>
          <w:sz w:val="24"/>
          <w:szCs w:val="24"/>
        </w:rPr>
        <w:t xml:space="preserve"> O fiscal da Ata de Registro de Preços comunicará ao gestor da mesma, em tempo hábil, o término do da vigência da Ata sob sua responsabilidade, com vistas à tempestiva renovação ou prorrogação desta.</w:t>
      </w:r>
    </w:p>
    <w:p>
      <w:pPr>
        <w:pStyle w:val="2"/>
        <w:bidi w:val="0"/>
        <w:jc w:val="both"/>
        <w:rPr>
          <w:color w:val="000000"/>
        </w:rPr>
      </w:pPr>
      <w:r>
        <w:rPr>
          <w:rFonts w:ascii="Calibri" w:hAnsi="Calibri" w:cs="Calibri"/>
          <w:color w:val="000000"/>
          <w:sz w:val="24"/>
          <w:szCs w:val="24"/>
        </w:rPr>
        <w:t>3.11</w:t>
      </w:r>
      <w:r>
        <w:rPr>
          <w:rFonts w:ascii="Calibri" w:hAnsi="Calibri" w:cs="Calibri"/>
          <w:color w:val="000000"/>
          <w:sz w:val="24"/>
          <w:szCs w:val="24"/>
          <w:lang w:val="pt-BR"/>
        </w:rPr>
        <w:t xml:space="preserve"> -</w:t>
      </w:r>
      <w:r>
        <w:rPr>
          <w:rFonts w:ascii="Calibri" w:hAnsi="Calibri" w:cs="Calibri"/>
          <w:color w:val="000000"/>
          <w:sz w:val="24"/>
          <w:szCs w:val="24"/>
        </w:rPr>
        <w:t xml:space="preserve"> O gestor da Ata de Registro de Preços deverá elaborar relatório final com informações sobre a consecução dos objetivos que tenham justificado a contratação e eventuais condutas a serem adotadas para o aprimoramento das atividades da Administração.</w:t>
      </w:r>
    </w:p>
    <w:p>
      <w:pPr>
        <w:pStyle w:val="2"/>
        <w:bidi w:val="0"/>
        <w:jc w:val="both"/>
        <w:rPr>
          <w:color w:val="000000"/>
        </w:rPr>
      </w:pPr>
      <w:r>
        <w:rPr>
          <w:rFonts w:ascii="Calibri" w:hAnsi="Calibri" w:cs="Calibri"/>
          <w:color w:val="000000"/>
          <w:sz w:val="24"/>
          <w:szCs w:val="24"/>
        </w:rPr>
        <w:t>3.12</w:t>
      </w:r>
      <w:r>
        <w:rPr>
          <w:rFonts w:ascii="Calibri" w:hAnsi="Calibri" w:cs="Calibri"/>
          <w:color w:val="000000"/>
          <w:sz w:val="24"/>
          <w:szCs w:val="24"/>
          <w:lang w:val="pt-BR"/>
        </w:rPr>
        <w:t xml:space="preserve"> -</w:t>
      </w:r>
      <w:r>
        <w:rPr>
          <w:rFonts w:ascii="Calibri" w:hAnsi="Calibri" w:cs="Calibri"/>
          <w:color w:val="000000"/>
          <w:sz w:val="24"/>
          <w:szCs w:val="24"/>
        </w:rPr>
        <w:t xml:space="preserve"> O gestor da Ata de registro de Preços deverá enviar a documentação pertinente para a formalização dos procedimentos de liquidação e pagamento, no valor dimensionado pela fiscalização e gestão nos termos deste documento.</w:t>
      </w:r>
    </w:p>
    <w:p>
      <w:pPr>
        <w:pStyle w:val="2"/>
        <w:bidi w:val="0"/>
        <w:jc w:val="both"/>
        <w:rPr>
          <w:rFonts w:ascii="Calibri" w:hAnsi="Calibri" w:cs="Calibri"/>
          <w:sz w:val="24"/>
          <w:szCs w:val="24"/>
        </w:rPr>
      </w:pPr>
    </w:p>
    <w:p>
      <w:pPr>
        <w:pStyle w:val="2"/>
        <w:bidi w:val="0"/>
        <w:jc w:val="both"/>
        <w:rPr>
          <w:color w:val="000000"/>
        </w:rPr>
      </w:pPr>
      <w:r>
        <w:rPr>
          <w:rFonts w:ascii="Calibri" w:hAnsi="Calibri" w:eastAsia="Calibri" w:cs="Calibri"/>
          <w:b/>
          <w:bCs/>
          <w:color w:val="000000"/>
          <w:sz w:val="24"/>
          <w:szCs w:val="24"/>
        </w:rPr>
        <w:t>CL</w:t>
      </w:r>
      <w:r>
        <w:rPr>
          <w:rFonts w:ascii="Calibri" w:hAnsi="Calibri" w:eastAsia="Calibri" w:cs="Calibri"/>
          <w:b/>
          <w:bCs/>
        </w:rPr>
        <w:t>ÁUSULA QUARTA – ALTERAÇÃO OU ATUALIZAÇÃO DOS PREÇOS REGISTRADOS</w:t>
      </w:r>
    </w:p>
    <w:p>
      <w:pPr>
        <w:pStyle w:val="2"/>
        <w:jc w:val="both"/>
        <w:rPr>
          <w:color w:val="000000"/>
        </w:rPr>
      </w:pPr>
      <w:r>
        <w:rPr>
          <w:rFonts w:ascii="Calibri" w:hAnsi="Calibri" w:eastAsia="Calibri" w:cs="Calibri"/>
          <w:b w:val="0"/>
          <w:bCs w:val="0"/>
        </w:rPr>
        <w:t>4.1</w:t>
      </w:r>
      <w:r>
        <w:rPr>
          <w:rFonts w:ascii="Calibri" w:hAnsi="Calibri" w:eastAsia="Calibri" w:cs="Calibri"/>
          <w:b w:val="0"/>
          <w:bCs w:val="0"/>
          <w:lang w:val="pt-BR"/>
        </w:rPr>
        <w:t xml:space="preserve"> </w:t>
      </w:r>
      <w:r>
        <w:rPr>
          <w:rFonts w:ascii="Calibri" w:hAnsi="Calibri" w:eastAsia="Calibri" w:cs="Calibri"/>
          <w:b w:val="0"/>
          <w:bCs w:val="0"/>
        </w:rPr>
        <w:t>-  Os preços inicialmente registrados são fixos e irreajustáveis no prazo de um ano contado da data da entrega das propostas.</w:t>
      </w:r>
    </w:p>
    <w:p>
      <w:pPr>
        <w:pStyle w:val="2"/>
        <w:jc w:val="both"/>
        <w:rPr>
          <w:color w:val="000000"/>
        </w:rPr>
      </w:pPr>
      <w:r>
        <w:rPr>
          <w:rFonts w:ascii="Calibri" w:hAnsi="Calibri" w:eastAsia="Calibri" w:cs="Calibri"/>
          <w:b w:val="0"/>
          <w:bCs w:val="0"/>
        </w:rPr>
        <w:t>4.2 - Após o interregno de um ano, os preços registrados poderão ser reajustados de acordo com o IPCA/IBGE ou outro índice que vier a substituí-lo.</w:t>
      </w:r>
    </w:p>
    <w:p>
      <w:pPr>
        <w:pStyle w:val="2"/>
        <w:jc w:val="both"/>
        <w:rPr>
          <w:color w:val="000000"/>
        </w:rPr>
      </w:pPr>
      <w:r>
        <w:rPr>
          <w:rFonts w:ascii="Calibri" w:hAnsi="Calibri" w:eastAsia="Calibri" w:cs="Calibri"/>
          <w:b w:val="0"/>
          <w:bCs w:val="0"/>
        </w:rPr>
        <w:t>4.3 - Caso o(s) índice(s) estabelecido(s) para reajustamento venha(m) a ser extinto(s) ou de qualquer forma não possa(m) mais ser utilizado(s), será(ão) adotado(s), em substituição, o(s) que vier(em) a ser determinado(s) pela legislação então em vigor.</w:t>
      </w:r>
    </w:p>
    <w:p>
      <w:pPr>
        <w:pStyle w:val="2"/>
        <w:jc w:val="both"/>
        <w:rPr>
          <w:color w:val="000000"/>
        </w:rPr>
      </w:pPr>
      <w:r>
        <w:rPr>
          <w:rFonts w:ascii="Calibri" w:hAnsi="Calibri" w:eastAsia="Calibri" w:cs="Calibri"/>
          <w:b w:val="0"/>
          <w:bCs w:val="0"/>
        </w:rPr>
        <w:t>4.4 - Na ausência de previsão legal quanto ao índice substituto, as partes elegerão novo índice oficial, para reajustamento do preço do valor remanescente, por meio de termo aditivo.</w:t>
      </w:r>
    </w:p>
    <w:p>
      <w:pPr>
        <w:pStyle w:val="2"/>
        <w:jc w:val="both"/>
        <w:rPr>
          <w:color w:val="000000"/>
        </w:rPr>
      </w:pPr>
      <w:r>
        <w:rPr>
          <w:rFonts w:ascii="Calibri" w:hAnsi="Calibri" w:eastAsia="Calibri" w:cs="Calibri"/>
          <w:b w:val="0"/>
          <w:bCs w:val="0"/>
        </w:rPr>
        <w:t>4.5 - O reajuste será realizado por apostilamento.</w:t>
      </w:r>
    </w:p>
    <w:p>
      <w:pPr>
        <w:pStyle w:val="2"/>
        <w:jc w:val="both"/>
        <w:rPr>
          <w:color w:val="000000"/>
        </w:rPr>
      </w:pPr>
      <w:r>
        <w:rPr>
          <w:rFonts w:ascii="Calibri" w:hAnsi="Calibri" w:eastAsia="Calibri" w:cs="Calibri"/>
          <w:b w:val="0"/>
          <w:bCs w:val="0"/>
        </w:rPr>
        <w:t>4.6 – Em exceção a possibilidade prevista de reajuste prevista ao item 4.2, os preços registrados poderão ser alterados ou atualizados em decorrência de eventual redução dos preços praticados no mercado ou de fato que eleve o custo dos bens, das obras ou dos serviços registrados, nas seguintes situações:</w:t>
      </w:r>
    </w:p>
    <w:p>
      <w:pPr>
        <w:pStyle w:val="2"/>
        <w:jc w:val="both"/>
        <w:rPr>
          <w:color w:val="000000"/>
        </w:rPr>
      </w:pPr>
      <w:r>
        <w:rPr>
          <w:rFonts w:ascii="Calibri" w:hAnsi="Calibri" w:eastAsia="Calibri" w:cs="Calibri"/>
          <w:b w:val="0"/>
          <w:bCs w:val="0"/>
        </w:rPr>
        <w:t>4.6.1 -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pPr>
        <w:bidi w:val="0"/>
        <w:jc w:val="both"/>
        <w:rPr>
          <w:color w:val="000000"/>
        </w:rPr>
      </w:pPr>
      <w:r>
        <w:rPr>
          <w:rFonts w:ascii="Calibri" w:hAnsi="Calibri" w:eastAsia="Calibri" w:cs="Calibri"/>
          <w:b w:val="0"/>
          <w:bCs w:val="0"/>
        </w:rPr>
        <w:t>4.6.2 - Em caso de criação, alteração ou extinção de quaisquer tributos ou encargos legais ou a superveniência de disposições legais, com comprovada repercussão sobre os preços registrados</w:t>
      </w:r>
      <w:r>
        <w:rPr>
          <w:rFonts w:ascii="Calibri" w:hAnsi="Calibri" w:eastAsia="Calibri" w:cs="Calibri"/>
          <w:b w:val="0"/>
          <w:bCs w:val="0"/>
          <w:lang w:val="pt-BR"/>
        </w:rPr>
        <w:t>.</w:t>
      </w:r>
      <w:r>
        <w:rPr>
          <w:rFonts w:ascii="Calibri" w:hAnsi="Calibri" w:eastAsia="Calibri" w:cs="Calibri"/>
          <w:b w:val="0"/>
          <w:bCs w:val="0"/>
        </w:rPr>
        <w:t xml:space="preserve"> </w:t>
      </w:r>
    </w:p>
    <w:p>
      <w:pPr>
        <w:pStyle w:val="2"/>
        <w:bidi w:val="0"/>
        <w:jc w:val="both"/>
        <w:rPr>
          <w:color w:val="000000"/>
        </w:rPr>
      </w:pPr>
    </w:p>
    <w:p>
      <w:pPr>
        <w:pStyle w:val="2"/>
        <w:bidi w:val="0"/>
        <w:jc w:val="both"/>
        <w:rPr>
          <w:color w:val="000000"/>
        </w:rPr>
      </w:pPr>
      <w:r>
        <w:rPr>
          <w:rFonts w:ascii="Calibri" w:hAnsi="Calibri" w:eastAsia="Calibri" w:cs="Calibri"/>
          <w:b/>
          <w:bCs/>
          <w:color w:val="000000"/>
          <w:sz w:val="24"/>
          <w:szCs w:val="24"/>
        </w:rPr>
        <w:t>CL</w:t>
      </w:r>
      <w:r>
        <w:rPr>
          <w:rFonts w:ascii="Calibri" w:hAnsi="Calibri" w:eastAsia="Calibri" w:cs="Calibri"/>
          <w:b/>
          <w:bCs/>
        </w:rPr>
        <w:t>ÁUSULA</w:t>
      </w:r>
      <w:r>
        <w:rPr>
          <w:rFonts w:ascii="Calibri" w:hAnsi="Calibri" w:cs="Calibri"/>
          <w:b/>
          <w:bCs/>
          <w:color w:val="000000"/>
          <w:sz w:val="24"/>
          <w:szCs w:val="24"/>
        </w:rPr>
        <w:t xml:space="preserve"> QUINTA -  DO CANCELAMENTO DO REGISTRO DO LICITANTE VENCEDOR E DOS PREÇOS REGISTRADOS</w:t>
      </w:r>
    </w:p>
    <w:p>
      <w:pPr>
        <w:pStyle w:val="2"/>
        <w:bidi w:val="0"/>
        <w:jc w:val="both"/>
        <w:rPr>
          <w:color w:val="000000"/>
        </w:rPr>
      </w:pPr>
      <w:r>
        <w:rPr>
          <w:rFonts w:ascii="Calibri" w:hAnsi="Calibri" w:cs="Calibri"/>
          <w:b w:val="0"/>
          <w:bCs w:val="0"/>
          <w:color w:val="000000"/>
          <w:sz w:val="24"/>
          <w:szCs w:val="24"/>
        </w:rPr>
        <w:t>5.1 - O registro do fornecedor será cancelado pelo gerenciador, quando o fornecedor:</w:t>
      </w:r>
    </w:p>
    <w:p>
      <w:pPr>
        <w:pStyle w:val="2"/>
        <w:bidi w:val="0"/>
        <w:jc w:val="both"/>
        <w:rPr>
          <w:color w:val="000000"/>
        </w:rPr>
      </w:pPr>
      <w:r>
        <w:rPr>
          <w:rFonts w:ascii="Calibri" w:hAnsi="Calibri" w:cs="Calibri"/>
          <w:b w:val="0"/>
          <w:bCs w:val="0"/>
          <w:color w:val="000000"/>
          <w:sz w:val="24"/>
          <w:szCs w:val="24"/>
        </w:rPr>
        <w:t>5.1.1 - Descumprir as condições da ata de registro de preços, sem motivo justificado;</w:t>
      </w:r>
    </w:p>
    <w:p>
      <w:pPr>
        <w:pStyle w:val="2"/>
        <w:bidi w:val="0"/>
        <w:jc w:val="both"/>
        <w:rPr>
          <w:color w:val="000000"/>
        </w:rPr>
      </w:pPr>
      <w:r>
        <w:rPr>
          <w:rFonts w:ascii="Calibri" w:hAnsi="Calibri" w:cs="Calibri"/>
          <w:b w:val="0"/>
          <w:bCs w:val="0"/>
          <w:color w:val="000000"/>
          <w:sz w:val="24"/>
          <w:szCs w:val="24"/>
        </w:rPr>
        <w:t>5.1.2 - Não retirar a nota de empenho, ou instrumento equivalente, no prazo estabelecido pela Administração sem justificativa razoável;</w:t>
      </w:r>
    </w:p>
    <w:p>
      <w:pPr>
        <w:pStyle w:val="2"/>
        <w:bidi w:val="0"/>
        <w:jc w:val="both"/>
        <w:rPr>
          <w:color w:val="000000"/>
        </w:rPr>
      </w:pPr>
      <w:r>
        <w:rPr>
          <w:rFonts w:ascii="Calibri" w:hAnsi="Calibri" w:cs="Calibri"/>
          <w:b w:val="0"/>
          <w:bCs w:val="0"/>
          <w:color w:val="000000"/>
          <w:sz w:val="24"/>
          <w:szCs w:val="24"/>
        </w:rPr>
        <w:t>5.1.3 - Não aceitar manter seu preço registrado, na hipótese prevista no artigo 27, § 2º, do Decreto nº 11.462, de 2023; ou</w:t>
      </w:r>
    </w:p>
    <w:p>
      <w:pPr>
        <w:pStyle w:val="2"/>
        <w:bidi w:val="0"/>
        <w:jc w:val="both"/>
        <w:rPr>
          <w:color w:val="000000"/>
        </w:rPr>
      </w:pPr>
      <w:r>
        <w:rPr>
          <w:rFonts w:ascii="Calibri" w:hAnsi="Calibri" w:cs="Calibri"/>
          <w:b w:val="0"/>
          <w:bCs w:val="0"/>
          <w:color w:val="000000"/>
          <w:sz w:val="24"/>
          <w:szCs w:val="24"/>
        </w:rPr>
        <w:t>5.1.4 -  Sofrer sanção prevista nos incisos III ou IV do caput do art. 156 da Lei nº 14.133, de 2021.</w:t>
      </w:r>
    </w:p>
    <w:p>
      <w:pPr>
        <w:pStyle w:val="2"/>
        <w:bidi w:val="0"/>
        <w:jc w:val="both"/>
        <w:rPr>
          <w:color w:val="000000"/>
        </w:rPr>
      </w:pPr>
      <w:r>
        <w:rPr>
          <w:rFonts w:ascii="Calibri" w:hAnsi="Calibri" w:cs="Calibri"/>
          <w:b w:val="0"/>
          <w:bCs w:val="0"/>
          <w:color w:val="000000"/>
          <w:sz w:val="24"/>
          <w:szCs w:val="24"/>
        </w:rPr>
        <w:t>5.1.4.1 -  Na hipótese de aplicação de sanção prevista nos incisos III ou IV do caput do art. 156 da Lei nº 14.133, de 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pPr>
        <w:pStyle w:val="2"/>
        <w:bidi w:val="0"/>
        <w:jc w:val="both"/>
        <w:rPr>
          <w:color w:val="000000"/>
        </w:rPr>
      </w:pPr>
      <w:r>
        <w:rPr>
          <w:rFonts w:ascii="Calibri" w:hAnsi="Calibri" w:cs="Calibri"/>
          <w:b w:val="0"/>
          <w:bCs w:val="0"/>
          <w:color w:val="000000"/>
          <w:sz w:val="24"/>
          <w:szCs w:val="24"/>
        </w:rPr>
        <w:t>5.2 - O cancelamento de registros nas hipóteses previstas no item 5.1 será formalizado por despacho do órgão ou da entidade gerenciadora, garantidos os princípios do contraditório e da ampla defesa.</w:t>
      </w:r>
    </w:p>
    <w:p>
      <w:pPr>
        <w:pStyle w:val="2"/>
        <w:bidi w:val="0"/>
        <w:jc w:val="both"/>
        <w:rPr>
          <w:color w:val="000000"/>
        </w:rPr>
      </w:pPr>
      <w:r>
        <w:rPr>
          <w:rFonts w:ascii="Calibri" w:hAnsi="Calibri" w:cs="Calibri"/>
          <w:b w:val="0"/>
          <w:bCs w:val="0"/>
          <w:color w:val="000000"/>
          <w:sz w:val="24"/>
          <w:szCs w:val="24"/>
        </w:rPr>
        <w:t>5.3 - Na hipótese de cancelamento do registro do fornecedor, o órgão ou a entidade gerenciadora poderá convocar os licitantes que compõem o cadastro de reserva, observada a ordem de classificação.</w:t>
      </w:r>
    </w:p>
    <w:p>
      <w:pPr>
        <w:pStyle w:val="2"/>
        <w:bidi w:val="0"/>
        <w:jc w:val="both"/>
        <w:rPr>
          <w:color w:val="000000"/>
        </w:rPr>
      </w:pPr>
      <w:r>
        <w:rPr>
          <w:rFonts w:ascii="Calibri" w:hAnsi="Calibri" w:cs="Calibri"/>
          <w:b w:val="0"/>
          <w:bCs w:val="0"/>
          <w:color w:val="000000"/>
          <w:sz w:val="24"/>
          <w:szCs w:val="24"/>
        </w:rPr>
        <w:t xml:space="preserve">5.4 - O cancelamento dos preços registrados poderá ser realizado pelo gerenciador, em determinada ata de registro de preços, total ou parcialmente, nas seguintes hipóteses, desde que devidamente comprovadas e justificadas: </w:t>
      </w:r>
    </w:p>
    <w:p>
      <w:pPr>
        <w:pStyle w:val="2"/>
        <w:bidi w:val="0"/>
        <w:jc w:val="both"/>
        <w:rPr>
          <w:color w:val="000000"/>
        </w:rPr>
      </w:pPr>
      <w:r>
        <w:rPr>
          <w:rFonts w:ascii="Calibri" w:hAnsi="Calibri" w:cs="Calibri"/>
          <w:b w:val="0"/>
          <w:bCs w:val="0"/>
          <w:color w:val="000000"/>
          <w:sz w:val="24"/>
          <w:szCs w:val="24"/>
        </w:rPr>
        <w:t>5.4.1 - Por razão de interesse público;</w:t>
      </w:r>
    </w:p>
    <w:p>
      <w:pPr>
        <w:pStyle w:val="2"/>
        <w:bidi w:val="0"/>
        <w:jc w:val="both"/>
        <w:rPr>
          <w:color w:val="000000"/>
        </w:rPr>
      </w:pPr>
      <w:r>
        <w:rPr>
          <w:rFonts w:ascii="Calibri" w:hAnsi="Calibri" w:cs="Calibri"/>
          <w:b w:val="0"/>
          <w:bCs w:val="0"/>
          <w:color w:val="000000"/>
          <w:sz w:val="24"/>
          <w:szCs w:val="24"/>
        </w:rPr>
        <w:t>5.4.2 - A pedido do fornecedor, decorrente de caso fortuito ou força maior; ou</w:t>
      </w:r>
    </w:p>
    <w:p>
      <w:pPr>
        <w:pStyle w:val="2"/>
        <w:bidi w:val="0"/>
        <w:jc w:val="both"/>
        <w:rPr>
          <w:color w:val="000000"/>
        </w:rPr>
      </w:pPr>
      <w:r>
        <w:rPr>
          <w:rFonts w:ascii="Calibri" w:hAnsi="Calibri" w:cs="Calibri"/>
          <w:b w:val="0"/>
          <w:bCs w:val="0"/>
          <w:color w:val="000000"/>
          <w:sz w:val="24"/>
          <w:szCs w:val="24"/>
        </w:rPr>
        <w:t xml:space="preserve">5.4.3 -  Se não houver êxito nas negociações, nas hipóteses em que o preço de mercado tornar-se superior ou inferior ao preço registrado, nos termos do artigos 26, § 3º e  27, § 4º, ambos do Decreto nº 11.462, de 2023. </w:t>
      </w:r>
    </w:p>
    <w:p>
      <w:pPr>
        <w:pStyle w:val="2"/>
        <w:bidi w:val="0"/>
        <w:jc w:val="both"/>
        <w:rPr>
          <w:rFonts w:ascii="Calibri" w:hAnsi="Calibri" w:cs="Calibri"/>
          <w:color w:val="000000"/>
          <w:sz w:val="24"/>
          <w:szCs w:val="24"/>
        </w:rPr>
      </w:pPr>
    </w:p>
    <w:p>
      <w:pPr>
        <w:bidi w:val="0"/>
        <w:jc w:val="both"/>
        <w:rPr>
          <w:rFonts w:ascii="Calibri" w:hAnsi="Calibri" w:cs="Calibri"/>
          <w:b/>
          <w:sz w:val="24"/>
          <w:szCs w:val="24"/>
        </w:rPr>
      </w:pPr>
      <w:r>
        <w:rPr>
          <w:rFonts w:ascii="Calibri" w:hAnsi="Calibri" w:cs="Calibri"/>
          <w:b/>
          <w:sz w:val="24"/>
          <w:szCs w:val="24"/>
        </w:rPr>
        <w:t xml:space="preserve">CLÁUSULA </w:t>
      </w:r>
      <w:r>
        <w:rPr>
          <w:rFonts w:ascii="Calibri" w:hAnsi="Calibri" w:eastAsia="SimSun" w:cs="Calibri"/>
          <w:b/>
          <w:color w:val="000000"/>
          <w:kern w:val="0"/>
          <w:sz w:val="24"/>
          <w:szCs w:val="24"/>
          <w:lang w:val="pt-BR" w:eastAsia="zh-CN" w:bidi="ar-SA"/>
        </w:rPr>
        <w:t>SEXTA</w:t>
      </w:r>
      <w:r>
        <w:rPr>
          <w:rFonts w:ascii="Calibri" w:hAnsi="Calibri" w:cs="Calibri"/>
          <w:b/>
          <w:sz w:val="24"/>
          <w:szCs w:val="24"/>
        </w:rPr>
        <w:t xml:space="preserve"> – DAS PRÁTICAS FRAUDULENTAS E DE CORRUPÇÃO</w:t>
      </w:r>
    </w:p>
    <w:p>
      <w:pPr>
        <w:bidi w:val="0"/>
        <w:jc w:val="both"/>
        <w:rPr>
          <w:rFonts w:ascii="Calibri" w:hAnsi="Calibri" w:cs="Calibri"/>
          <w:sz w:val="24"/>
          <w:szCs w:val="24"/>
        </w:rPr>
      </w:pPr>
      <w:r>
        <w:rPr>
          <w:rFonts w:ascii="Calibri" w:hAnsi="Calibri" w:eastAsia="SimSun" w:cs="Calibri"/>
          <w:color w:val="000000"/>
          <w:kern w:val="0"/>
          <w:sz w:val="24"/>
          <w:szCs w:val="24"/>
          <w:lang w:val="pt-BR" w:eastAsia="zh-CN" w:bidi="ar-SA"/>
        </w:rPr>
        <w:t>6</w:t>
      </w:r>
      <w:r>
        <w:rPr>
          <w:rFonts w:ascii="Calibri" w:hAnsi="Calibri" w:cs="Calibri"/>
          <w:sz w:val="24"/>
          <w:szCs w:val="24"/>
        </w:rPr>
        <w:t>.1</w:t>
      </w:r>
      <w:r>
        <w:rPr>
          <w:rFonts w:ascii="Calibri" w:hAnsi="Calibri" w:cs="Calibri"/>
          <w:sz w:val="24"/>
          <w:szCs w:val="24"/>
          <w:lang w:val="pt-BR"/>
        </w:rPr>
        <w:t xml:space="preserve"> -</w:t>
      </w:r>
      <w:r>
        <w:rPr>
          <w:rFonts w:ascii="Calibri" w:hAnsi="Calibri" w:cs="Calibri"/>
          <w:sz w:val="24"/>
          <w:szCs w:val="24"/>
        </w:rPr>
        <w:t xml:space="preserve"> As partes, por seus agentes públicos ou por seus sócios, acionistas, administradores e colaboradores:</w:t>
      </w:r>
    </w:p>
    <w:p>
      <w:pPr>
        <w:bidi w:val="0"/>
        <w:jc w:val="both"/>
        <w:rPr>
          <w:rFonts w:ascii="Calibri" w:hAnsi="Calibri" w:cs="Calibri"/>
          <w:sz w:val="24"/>
          <w:szCs w:val="24"/>
        </w:rPr>
      </w:pPr>
      <w:r>
        <w:rPr>
          <w:rFonts w:ascii="Calibri" w:hAnsi="Calibri" w:cs="Calibri"/>
          <w:sz w:val="24"/>
          <w:szCs w:val="24"/>
        </w:rPr>
        <w:t>I – Declaram que têm conhecimento das normas previstas na legislação, entre as quais nas Leis n° 8.429/1992 e nº 12.846/2013, seus regulamentos e eventuais outras aplicáveis;</w:t>
      </w:r>
    </w:p>
    <w:p>
      <w:pPr>
        <w:bidi w:val="0"/>
        <w:jc w:val="both"/>
        <w:rPr>
          <w:rFonts w:ascii="Calibri" w:hAnsi="Calibri" w:cs="Calibri"/>
          <w:sz w:val="24"/>
          <w:szCs w:val="24"/>
        </w:rPr>
      </w:pPr>
      <w:r>
        <w:rPr>
          <w:rFonts w:ascii="Calibri" w:hAnsi="Calibri" w:cs="Calibri"/>
          <w:sz w:val="24"/>
          <w:szCs w:val="24"/>
        </w:rPr>
        <w:t>II – Comprometem-se em não adotar práticas ou procedimentos que se enquadrem nas hipóteses previstas nas leis e regulamentos mencionados no inciso anterior e se comprometem em exigir o mesmo pelos terceiros por elas contratados;</w:t>
      </w:r>
    </w:p>
    <w:p>
      <w:pPr>
        <w:bidi w:val="0"/>
        <w:jc w:val="both"/>
        <w:rPr>
          <w:rFonts w:ascii="Calibri" w:hAnsi="Calibri" w:cs="Calibri"/>
          <w:sz w:val="24"/>
          <w:szCs w:val="24"/>
        </w:rPr>
      </w:pPr>
      <w:r>
        <w:rPr>
          <w:rFonts w:ascii="Calibri" w:hAnsi="Calibri" w:cs="Calibri"/>
          <w:sz w:val="24"/>
          <w:szCs w:val="24"/>
        </w:rPr>
        <w:t>III – Comprometem-se em notificar à Controladoria-Geral do Estado qualquer irregularidade que tiverem conhecimento acerca da execução do contrato;</w:t>
      </w:r>
    </w:p>
    <w:p>
      <w:pPr>
        <w:bidi w:val="0"/>
        <w:jc w:val="both"/>
        <w:rPr>
          <w:rFonts w:ascii="Calibri" w:hAnsi="Calibri" w:cs="Calibri"/>
          <w:sz w:val="24"/>
          <w:szCs w:val="24"/>
        </w:rPr>
      </w:pPr>
      <w:r>
        <w:rPr>
          <w:rFonts w:ascii="Calibri" w:hAnsi="Calibri" w:cs="Calibri"/>
          <w:sz w:val="24"/>
          <w:szCs w:val="24"/>
        </w:rPr>
        <w:t>IV – Declaram que têm ciência que a violação de qualquer das obrigações previstas na Instrução Normativa conjunta CGE/SEA nº 01/2020, além de outras, é causa para a rescisão unilateral do contrato, sem prejuízo da cobrança das perdas e danos, inclusive danos potenciais, causados à parte inocente e das multas pactuadas.</w:t>
      </w:r>
    </w:p>
    <w:p>
      <w:pPr>
        <w:pStyle w:val="2"/>
        <w:bidi w:val="0"/>
        <w:jc w:val="both"/>
        <w:rPr>
          <w:rFonts w:ascii="Calibri" w:hAnsi="Calibri" w:cs="Calibri"/>
          <w:sz w:val="24"/>
          <w:szCs w:val="24"/>
        </w:rPr>
      </w:pPr>
    </w:p>
    <w:p>
      <w:pPr>
        <w:bidi w:val="0"/>
        <w:jc w:val="both"/>
        <w:rPr>
          <w:rFonts w:ascii="Calibri" w:hAnsi="Calibri" w:cs="Calibri"/>
          <w:b/>
          <w:sz w:val="24"/>
          <w:szCs w:val="24"/>
        </w:rPr>
      </w:pPr>
      <w:r>
        <w:rPr>
          <w:rFonts w:ascii="Calibri" w:hAnsi="Calibri" w:cs="Calibri"/>
          <w:b/>
          <w:sz w:val="24"/>
          <w:szCs w:val="24"/>
        </w:rPr>
        <w:t xml:space="preserve">CLÁUSULA </w:t>
      </w:r>
      <w:r>
        <w:rPr>
          <w:rFonts w:ascii="Calibri" w:hAnsi="Calibri" w:eastAsia="SimSun" w:cs="Calibri"/>
          <w:b/>
          <w:color w:val="000000"/>
          <w:kern w:val="0"/>
          <w:sz w:val="24"/>
          <w:szCs w:val="24"/>
          <w:lang w:val="pt-BR" w:eastAsia="zh-CN" w:bidi="ar-SA"/>
        </w:rPr>
        <w:t>SÉTIMA</w:t>
      </w:r>
      <w:r>
        <w:rPr>
          <w:rFonts w:ascii="Calibri" w:hAnsi="Calibri" w:cs="Calibri"/>
          <w:b/>
          <w:sz w:val="24"/>
          <w:szCs w:val="24"/>
        </w:rPr>
        <w:t xml:space="preserve"> – DO ATENDIMENTO A LEI FEDERAL DE PROTEÇÃO DE DADOS</w:t>
      </w:r>
    </w:p>
    <w:p>
      <w:pPr>
        <w:pStyle w:val="2"/>
        <w:bidi w:val="0"/>
        <w:jc w:val="both"/>
        <w:rPr>
          <w:b w:val="0"/>
          <w:bCs w:val="0"/>
        </w:rPr>
      </w:pPr>
      <w:r>
        <w:rPr>
          <w:rFonts w:ascii="Calibri" w:hAnsi="Calibri" w:eastAsia="NSimSun" w:cs="Calibri"/>
          <w:b w:val="0"/>
          <w:bCs w:val="0"/>
          <w:color w:val="000000"/>
          <w:kern w:val="0"/>
          <w:sz w:val="24"/>
          <w:szCs w:val="24"/>
          <w:lang w:val="pt-BR" w:eastAsia="zh-CN" w:bidi="hi-IN"/>
        </w:rPr>
        <w:t>7</w:t>
      </w:r>
      <w:r>
        <w:rPr>
          <w:rFonts w:ascii="Calibri" w:hAnsi="Calibri" w:cs="Calibri"/>
          <w:b w:val="0"/>
          <w:bCs w:val="0"/>
          <w:sz w:val="24"/>
          <w:szCs w:val="24"/>
        </w:rPr>
        <w:t>.1 – A CONTRATADA declara que tem ciência da existência da Lei nº 13.709/2018 (Lei Geral de Proteção de Dados – LGPD) e se compromete a adequar todos os procedimentos internos ao disposto na legislação, com o intuito de proteger os dados pessoais que lhe forem repassados, cumprindo, a todo momento, as normas de proteção de dados pessoais, jamais colocando, por seus atos ou por sua omissão, a CONTRATANTE em situação de violação de tais regras.</w:t>
      </w:r>
    </w:p>
    <w:p>
      <w:pPr>
        <w:pStyle w:val="2"/>
        <w:bidi w:val="0"/>
        <w:jc w:val="both"/>
        <w:rPr>
          <w:b w:val="0"/>
          <w:bCs w:val="0"/>
        </w:rPr>
      </w:pPr>
      <w:r>
        <w:rPr>
          <w:rFonts w:ascii="Calibri" w:hAnsi="Calibri" w:eastAsia="NSimSun" w:cs="Calibri"/>
          <w:b w:val="0"/>
          <w:bCs w:val="0"/>
          <w:color w:val="000000"/>
          <w:kern w:val="0"/>
          <w:sz w:val="24"/>
          <w:szCs w:val="24"/>
          <w:lang w:val="pt-BR" w:eastAsia="zh-CN" w:bidi="hi-IN"/>
        </w:rPr>
        <w:t>7</w:t>
      </w:r>
      <w:r>
        <w:rPr>
          <w:rFonts w:ascii="Calibri" w:hAnsi="Calibri" w:cs="Calibri"/>
          <w:b w:val="0"/>
          <w:bCs w:val="0"/>
          <w:sz w:val="24"/>
          <w:szCs w:val="24"/>
        </w:rPr>
        <w:t xml:space="preserve">.2 – A CONTRATADA declara que designou Encarregado de Tratamento de Dados Pessoais, nos termos do § 1º. do art. 41 da Lei nº 13.709/2018 (Lei Geral de Proteção de Dados – LGPD), e se compromete a informar os dados de identidade e informações de contato deste encarregado na ocasião da assinatura deste contrato. A CONTRATADA também se compromete a manter o CONTRATANTE informado sobre os dados atualizados de contato de seu Encarregado de Tratamento de Dados Pessoais, sempre que for substituído; </w:t>
      </w:r>
    </w:p>
    <w:p>
      <w:pPr>
        <w:pStyle w:val="2"/>
        <w:bidi w:val="0"/>
        <w:jc w:val="both"/>
        <w:rPr>
          <w:b w:val="0"/>
          <w:bCs w:val="0"/>
        </w:rPr>
      </w:pPr>
      <w:r>
        <w:rPr>
          <w:rFonts w:ascii="Calibri" w:hAnsi="Calibri" w:eastAsia="NSimSun" w:cs="Calibri"/>
          <w:b w:val="0"/>
          <w:bCs w:val="0"/>
          <w:color w:val="000000"/>
          <w:kern w:val="0"/>
          <w:sz w:val="24"/>
          <w:szCs w:val="24"/>
          <w:lang w:val="pt-BR" w:eastAsia="zh-CN" w:bidi="hi-IN"/>
        </w:rPr>
        <w:t>7</w:t>
      </w:r>
      <w:r>
        <w:rPr>
          <w:rFonts w:ascii="Calibri" w:hAnsi="Calibri" w:cs="Calibri"/>
          <w:b w:val="0"/>
          <w:bCs w:val="0"/>
          <w:sz w:val="24"/>
          <w:szCs w:val="24"/>
        </w:rPr>
        <w:t>.3 – A CONTRATADA somente poderá tratar dados pessoais dos usuários dos serviços contratados, nos limites e finalidades exclusivas do cumprimento de suas obrigações com base no presente contrato e jamais para qualquer outra finalidade.</w:t>
      </w:r>
    </w:p>
    <w:p>
      <w:pPr>
        <w:pStyle w:val="2"/>
        <w:bidi w:val="0"/>
        <w:jc w:val="both"/>
        <w:rPr>
          <w:b w:val="0"/>
          <w:bCs w:val="0"/>
        </w:rPr>
      </w:pPr>
      <w:r>
        <w:rPr>
          <w:rFonts w:ascii="Calibri" w:hAnsi="Calibri" w:eastAsia="NSimSun" w:cs="Calibri"/>
          <w:b w:val="0"/>
          <w:bCs w:val="0"/>
          <w:color w:val="000000"/>
          <w:kern w:val="0"/>
          <w:sz w:val="24"/>
          <w:szCs w:val="24"/>
          <w:lang w:val="pt-BR" w:eastAsia="zh-CN" w:bidi="hi-IN"/>
        </w:rPr>
        <w:t>7</w:t>
      </w:r>
      <w:r>
        <w:rPr>
          <w:rFonts w:ascii="Calibri" w:hAnsi="Calibri" w:cs="Calibri"/>
          <w:b w:val="0"/>
          <w:bCs w:val="0"/>
          <w:sz w:val="24"/>
          <w:szCs w:val="24"/>
        </w:rPr>
        <w:t>.4 – A CONTRATADA se certificará de que seus empregados, representantes, e prepostos agirão de acordo com o presente contrato e com as leis de proteção de dados e eventuais instruções transmitidas pela CONTRATANTE sobre a presente cláusula, comprometendo-se a manter o sigilo e a confidencialidade dos dados pessoais e dos dados pessoais sensíveis repassados em decorrência da execução do objeto contratual, em consonância com o disposto na Lei nº 13.709/2018 (Lei Geral de Proteção de Dados Pessoais – LGPD), certificando-se a CONTRATADA de que seus empregados, representantes, e prepostos assumam compromisso de confidencialidade ou estejam sujeitos a obrigações legais de confidencialidade.</w:t>
      </w:r>
    </w:p>
    <w:p>
      <w:pPr>
        <w:pStyle w:val="2"/>
        <w:bidi w:val="0"/>
        <w:jc w:val="both"/>
        <w:rPr>
          <w:b w:val="0"/>
          <w:bCs w:val="0"/>
        </w:rPr>
      </w:pPr>
      <w:r>
        <w:rPr>
          <w:rFonts w:ascii="Calibri" w:hAnsi="Calibri" w:eastAsia="NSimSun" w:cs="Calibri"/>
          <w:b w:val="0"/>
          <w:bCs w:val="0"/>
          <w:color w:val="000000"/>
          <w:kern w:val="0"/>
          <w:sz w:val="24"/>
          <w:szCs w:val="24"/>
          <w:lang w:val="pt-BR" w:eastAsia="zh-CN" w:bidi="hi-IN"/>
        </w:rPr>
        <w:t>7</w:t>
      </w:r>
      <w:r>
        <w:rPr>
          <w:rFonts w:ascii="Calibri" w:hAnsi="Calibri" w:cs="Calibri"/>
          <w:b w:val="0"/>
          <w:bCs w:val="0"/>
          <w:sz w:val="24"/>
          <w:szCs w:val="24"/>
        </w:rPr>
        <w:t>.5 – Se o titular dos dados ou terceiros solicitarem informações à CONTRATADA relativas ao tratamento de dados pessoais que detiver em decorrência do presente contrato, a CONTRATADA submeterá esse pedido à apreciação da CONTRATANTE, não podendo, sem instruções prévias da CONTRATANTE, transferir, compartilhar e/ou garantir acesso aos dados pessoais que detenha por força do presente contrato, sendo, em regra, vedada a transferência das informações a outras pessoas físicas ou jurídicas, salvo aquelas decorrentes de obrigações legais ou para viabilizar o cumprimento do próprio contrato; se a solicitação for realizada por autoridade de proteção de dados, a CONTRATADA informará imediatamente à CONTRATANTE sobre tal pedido e suas decorrências.</w:t>
      </w:r>
    </w:p>
    <w:p>
      <w:pPr>
        <w:pStyle w:val="2"/>
        <w:bidi w:val="0"/>
        <w:jc w:val="both"/>
        <w:rPr>
          <w:b w:val="0"/>
          <w:bCs w:val="0"/>
        </w:rPr>
      </w:pPr>
      <w:r>
        <w:rPr>
          <w:rFonts w:ascii="Calibri" w:hAnsi="Calibri" w:eastAsia="NSimSun" w:cs="Calibri"/>
          <w:b w:val="0"/>
          <w:bCs w:val="0"/>
          <w:color w:val="000000"/>
          <w:kern w:val="0"/>
          <w:sz w:val="24"/>
          <w:szCs w:val="24"/>
          <w:lang w:val="pt-BR" w:eastAsia="zh-CN" w:bidi="hi-IN"/>
        </w:rPr>
        <w:t>7</w:t>
      </w:r>
      <w:r>
        <w:rPr>
          <w:rFonts w:ascii="Calibri" w:hAnsi="Calibri" w:cs="Calibri"/>
          <w:b w:val="0"/>
          <w:bCs w:val="0"/>
          <w:sz w:val="24"/>
          <w:szCs w:val="24"/>
        </w:rPr>
        <w:t>.6 – A CONTRATADA prestará assistência à CONTRATANTE no cumprimento das obrigações previstas nas leis de proteção de dados, quando relacionadas ao objeto contratual, especialmente nos casos em que for necessária a assistência da CONTRATADA para que a CONTRATANTE cumpra suas obrigações, incluindo aquelas relativas à segurança do tratamento, violações de dados pessoais, avaliação de impacto de proteção de dados, e consulta prévia a autoridades de proteção de dados, incluindo pedidos de acesso, retificação, bloqueio, restrição, apagamento, portabilidade de dados, ou o exercício de quaisquer outros direitos dos titulares de dados com base nas Leis Aplicáveis à Proteção de Dados.</w:t>
      </w:r>
    </w:p>
    <w:p>
      <w:pPr>
        <w:pStyle w:val="2"/>
        <w:bidi w:val="0"/>
        <w:jc w:val="both"/>
        <w:rPr>
          <w:b w:val="0"/>
          <w:bCs w:val="0"/>
        </w:rPr>
      </w:pPr>
      <w:r>
        <w:rPr>
          <w:rFonts w:ascii="Calibri" w:hAnsi="Calibri" w:eastAsia="NSimSun" w:cs="Calibri"/>
          <w:b w:val="0"/>
          <w:bCs w:val="0"/>
          <w:color w:val="000000"/>
          <w:kern w:val="0"/>
          <w:sz w:val="24"/>
          <w:szCs w:val="24"/>
          <w:lang w:val="pt-BR" w:eastAsia="zh-CN" w:bidi="hi-IN"/>
        </w:rPr>
        <w:t>7</w:t>
      </w:r>
      <w:r>
        <w:rPr>
          <w:rFonts w:ascii="Calibri" w:hAnsi="Calibri" w:cs="Calibri"/>
          <w:b w:val="0"/>
          <w:bCs w:val="0"/>
          <w:sz w:val="24"/>
          <w:szCs w:val="24"/>
        </w:rPr>
        <w:t xml:space="preserve">.7 – Quando solicitada, a CONTRATADA fornecerá à CONTRATANTE, no prazo de 2 (dois) dias úteis, todas as informações necessárias para comprovar a conformidade das obrigações da CONTRATADA previstas neste contrato com as leis de proteção de dados, inclusive para fins de elaboração de relatórios de impacto de proteção e riscos de uso de dados pessoais. </w:t>
      </w:r>
    </w:p>
    <w:p>
      <w:pPr>
        <w:pStyle w:val="2"/>
        <w:bidi w:val="0"/>
        <w:jc w:val="both"/>
        <w:rPr>
          <w:b w:val="0"/>
          <w:bCs w:val="0"/>
        </w:rPr>
      </w:pPr>
      <w:r>
        <w:rPr>
          <w:rFonts w:ascii="Calibri" w:hAnsi="Calibri" w:eastAsia="NSimSun" w:cs="Calibri"/>
          <w:b w:val="0"/>
          <w:bCs w:val="0"/>
          <w:color w:val="000000"/>
          <w:kern w:val="0"/>
          <w:sz w:val="24"/>
          <w:szCs w:val="24"/>
          <w:lang w:val="pt-BR" w:eastAsia="zh-CN" w:bidi="hi-IN"/>
        </w:rPr>
        <w:t>7</w:t>
      </w:r>
      <w:r>
        <w:rPr>
          <w:rFonts w:ascii="Calibri" w:hAnsi="Calibri" w:cs="Calibri"/>
          <w:b w:val="0"/>
          <w:bCs w:val="0"/>
          <w:sz w:val="24"/>
          <w:szCs w:val="24"/>
        </w:rPr>
        <w:t>.8 – A CONTRATADA prestará assistência à CONTRATANTE no cumprimento de suas outras obrigações de acordo com as leis de proteção de dados nos casos em que estiver implícita a assistência da CONTRATADA e/ou nos casos em que for necessária a assistência da CONTRATADA para que a CONTRATANTE cumpra suas obrigações, incluindo aquelas relativas à segurança do tratamento, violações de dados pessoais, avaliação de impacto de proteção de dados, e consulta prévia a autoridades de proteção de dados.</w:t>
      </w:r>
    </w:p>
    <w:p>
      <w:pPr>
        <w:pStyle w:val="2"/>
        <w:bidi w:val="0"/>
        <w:jc w:val="both"/>
        <w:rPr>
          <w:b w:val="0"/>
          <w:bCs w:val="0"/>
        </w:rPr>
      </w:pPr>
      <w:r>
        <w:rPr>
          <w:rFonts w:ascii="Calibri" w:hAnsi="Calibri" w:eastAsia="NSimSun" w:cs="Calibri"/>
          <w:b w:val="0"/>
          <w:bCs w:val="0"/>
          <w:color w:val="000000"/>
          <w:kern w:val="0"/>
          <w:sz w:val="24"/>
          <w:szCs w:val="24"/>
          <w:lang w:val="pt-BR" w:eastAsia="zh-CN" w:bidi="hi-IN"/>
        </w:rPr>
        <w:t>7</w:t>
      </w:r>
      <w:r>
        <w:rPr>
          <w:rFonts w:ascii="Calibri" w:hAnsi="Calibri" w:cs="Calibri"/>
          <w:b w:val="0"/>
          <w:bCs w:val="0"/>
          <w:sz w:val="24"/>
          <w:szCs w:val="24"/>
        </w:rPr>
        <w:t xml:space="preserve">.9 – A CONTRATADA fica obrigada a comunicar à CONTRATANTE, por escrito, em até 2 (dois) dias úteis a contar do momento em que tomou ciência da violação, ou em menor prazo, se assim vier a recomendar ou determinar a Autoridade Nacional de Proteção de Dados – ANPD,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 </w:t>
      </w:r>
    </w:p>
    <w:p>
      <w:pPr>
        <w:pStyle w:val="2"/>
        <w:bidi w:val="0"/>
        <w:jc w:val="both"/>
        <w:rPr>
          <w:b w:val="0"/>
          <w:bCs w:val="0"/>
        </w:rPr>
      </w:pPr>
      <w:r>
        <w:rPr>
          <w:rFonts w:ascii="Calibri" w:hAnsi="Calibri" w:eastAsia="NSimSun" w:cs="Calibri"/>
          <w:b w:val="0"/>
          <w:bCs w:val="0"/>
          <w:color w:val="000000"/>
          <w:kern w:val="0"/>
          <w:sz w:val="24"/>
          <w:szCs w:val="24"/>
          <w:lang w:val="pt-BR" w:eastAsia="zh-CN" w:bidi="hi-IN"/>
        </w:rPr>
        <w:t>7</w:t>
      </w:r>
      <w:r>
        <w:rPr>
          <w:rFonts w:ascii="Calibri" w:hAnsi="Calibri" w:cs="Calibri"/>
          <w:b w:val="0"/>
          <w:bCs w:val="0"/>
          <w:sz w:val="24"/>
          <w:szCs w:val="24"/>
        </w:rPr>
        <w:t>.10 – A CONTRATADA indenizará a CONTRATANTE, em razão do não cumprimento por parte da CONTRATADA das obrigações previstas nas leis, normas, regulamentos e recomendações das autoridades de proteção de dados com relação ao presente contrato, de quaisquer danos, prejuízos, custos e despesas, incluindo-se honorários advocatícios, multas, penalidades e eventuais dispêndios investigativos relativos a demandas administrativas ou judiciais propostas em face da CONTRATANTE a esse título.</w:t>
      </w:r>
    </w:p>
    <w:p>
      <w:pPr>
        <w:pStyle w:val="2"/>
        <w:bidi w:val="0"/>
        <w:ind w:left="0" w:right="0" w:firstLine="0"/>
        <w:jc w:val="both"/>
        <w:rPr>
          <w:b w:val="0"/>
          <w:bCs w:val="0"/>
        </w:rPr>
      </w:pPr>
      <w:r>
        <w:rPr>
          <w:rFonts w:ascii="Calibri" w:hAnsi="Calibri" w:eastAsia="SimSun" w:cs="Calibri"/>
          <w:b/>
          <w:bCs/>
          <w:color w:val="000000"/>
          <w:kern w:val="0"/>
          <w:sz w:val="24"/>
          <w:szCs w:val="24"/>
          <w:lang w:val="pt-BR" w:eastAsia="zh-CN" w:bidi="ar-SA"/>
        </w:rPr>
        <w:t xml:space="preserve">CLÁUSULA </w:t>
      </w:r>
      <w:r>
        <w:rPr>
          <w:rFonts w:ascii="Calibri" w:hAnsi="Calibri" w:eastAsia="NSimSun" w:cs="Calibri"/>
          <w:b/>
          <w:bCs/>
          <w:color w:val="000000"/>
          <w:kern w:val="0"/>
          <w:sz w:val="24"/>
          <w:szCs w:val="24"/>
          <w:lang w:val="pt-BR" w:eastAsia="zh-CN" w:bidi="hi-IN"/>
        </w:rPr>
        <w:t xml:space="preserve">OITAVA </w:t>
      </w:r>
      <w:r>
        <w:rPr>
          <w:rFonts w:ascii="Calibri" w:hAnsi="Calibri" w:eastAsia="SimSun" w:cs="Calibri"/>
          <w:b/>
          <w:bCs/>
          <w:color w:val="000000"/>
          <w:kern w:val="0"/>
          <w:sz w:val="24"/>
          <w:szCs w:val="24"/>
          <w:lang w:val="pt-BR" w:eastAsia="zh-CN" w:bidi="ar-SA"/>
        </w:rPr>
        <w:t xml:space="preserve"> – DO ATENDIMENTO A LEI 17.983 DE 19 DE AGOSTO DE 2020</w:t>
      </w:r>
      <w:r>
        <w:rPr>
          <w:rFonts w:ascii="Calibri" w:hAnsi="Calibri" w:eastAsia="SimSun" w:cs="Calibri"/>
          <w:b w:val="0"/>
          <w:bCs w:val="0"/>
          <w:color w:val="000000"/>
          <w:kern w:val="0"/>
          <w:sz w:val="24"/>
          <w:szCs w:val="24"/>
          <w:lang w:val="pt-BR" w:eastAsia="zh-CN" w:bidi="ar-SA"/>
        </w:rPr>
        <w:br w:type="textWrapping"/>
      </w:r>
      <w:r>
        <w:rPr>
          <w:rFonts w:ascii="Calibri" w:hAnsi="Calibri" w:eastAsia="NSimSun" w:cs="Calibri"/>
          <w:b w:val="0"/>
          <w:bCs w:val="0"/>
          <w:color w:val="000000"/>
          <w:kern w:val="0"/>
          <w:sz w:val="24"/>
          <w:szCs w:val="24"/>
          <w:lang w:val="pt-BR" w:eastAsia="zh-CN" w:bidi="hi-IN"/>
        </w:rPr>
        <w:t>8</w:t>
      </w:r>
      <w:r>
        <w:rPr>
          <w:rFonts w:ascii="Calibri" w:hAnsi="Calibri" w:eastAsia="SimSun" w:cs="Calibri"/>
          <w:b w:val="0"/>
          <w:bCs w:val="0"/>
          <w:color w:val="000000"/>
          <w:kern w:val="0"/>
          <w:sz w:val="24"/>
          <w:szCs w:val="24"/>
          <w:lang w:val="pt-BR" w:eastAsia="zh-CN" w:bidi="ar-SA"/>
        </w:rPr>
        <w:t>.1. Fica obrigada a publicação do nome do proprietário ou de todos os sócios-proprietários integrantes de pessoas jurídicas contratadas para fornecer serviços e produtos, aos Poderes Executivo, Legislativo e Judiciário, bem como aos demais órgãos da Administração Direta e Indireta, independente da forma de contratação.</w:t>
      </w:r>
      <w:r>
        <w:rPr>
          <w:rFonts w:ascii="Calibri" w:hAnsi="Calibri" w:eastAsia="SimSun" w:cs="Calibri"/>
          <w:b w:val="0"/>
          <w:bCs w:val="0"/>
          <w:color w:val="000000"/>
          <w:kern w:val="0"/>
          <w:sz w:val="24"/>
          <w:szCs w:val="24"/>
          <w:lang w:val="pt-BR" w:eastAsia="zh-CN" w:bidi="ar-SA"/>
        </w:rPr>
        <w:br w:type="textWrapping"/>
      </w:r>
      <w:r>
        <w:rPr>
          <w:rFonts w:ascii="Calibri" w:hAnsi="Calibri" w:eastAsia="NSimSun" w:cs="Calibri"/>
          <w:b w:val="0"/>
          <w:bCs w:val="0"/>
          <w:color w:val="000000"/>
          <w:kern w:val="0"/>
          <w:sz w:val="24"/>
          <w:szCs w:val="24"/>
          <w:lang w:val="pt-BR" w:eastAsia="zh-CN" w:bidi="hi-IN"/>
        </w:rPr>
        <w:t>8</w:t>
      </w:r>
      <w:r>
        <w:rPr>
          <w:rFonts w:ascii="Calibri" w:hAnsi="Calibri" w:eastAsia="SimSun" w:cs="Calibri"/>
          <w:b w:val="0"/>
          <w:bCs w:val="0"/>
          <w:color w:val="000000"/>
          <w:kern w:val="0"/>
          <w:sz w:val="24"/>
          <w:szCs w:val="24"/>
          <w:lang w:val="pt-BR" w:eastAsia="zh-CN" w:bidi="ar-SA"/>
        </w:rPr>
        <w:t>.1.1. A publicação deverá ser no Portal da Transparência do órgão contratante, em local de fácil acesso, devendo constar:</w:t>
      </w:r>
      <w:r>
        <w:rPr>
          <w:rFonts w:ascii="Calibri" w:hAnsi="Calibri" w:eastAsia="SimSun" w:cs="Calibri"/>
          <w:b w:val="0"/>
          <w:bCs w:val="0"/>
          <w:color w:val="000000"/>
          <w:kern w:val="0"/>
          <w:sz w:val="24"/>
          <w:szCs w:val="24"/>
          <w:lang w:val="pt-BR" w:eastAsia="zh-CN" w:bidi="ar-SA"/>
        </w:rPr>
        <w:br w:type="textWrapping"/>
      </w:r>
      <w:r>
        <w:rPr>
          <w:rFonts w:ascii="Calibri" w:hAnsi="Calibri" w:eastAsia="SimSun" w:cs="Calibri"/>
          <w:b w:val="0"/>
          <w:bCs w:val="0"/>
          <w:color w:val="000000"/>
          <w:kern w:val="0"/>
          <w:sz w:val="24"/>
          <w:szCs w:val="24"/>
          <w:lang w:val="pt-BR" w:eastAsia="zh-CN" w:bidi="ar-SA"/>
        </w:rPr>
        <w:t>I - relação dos sócios-proprietários com o número de Cadastro de Pessoa Física (CPF);</w:t>
      </w:r>
      <w:r>
        <w:rPr>
          <w:rFonts w:ascii="Calibri" w:hAnsi="Calibri" w:eastAsia="SimSun" w:cs="Calibri"/>
          <w:b w:val="0"/>
          <w:bCs w:val="0"/>
          <w:color w:val="000000"/>
          <w:kern w:val="0"/>
          <w:sz w:val="24"/>
          <w:szCs w:val="24"/>
          <w:lang w:val="pt-BR" w:eastAsia="zh-CN" w:bidi="ar-SA"/>
        </w:rPr>
        <w:br w:type="textWrapping"/>
      </w:r>
      <w:r>
        <w:rPr>
          <w:rFonts w:ascii="Calibri" w:hAnsi="Calibri" w:eastAsia="SimSun" w:cs="Calibri"/>
          <w:b w:val="0"/>
          <w:bCs w:val="0"/>
          <w:color w:val="000000"/>
          <w:kern w:val="0"/>
          <w:sz w:val="24"/>
          <w:szCs w:val="24"/>
          <w:lang w:val="pt-BR" w:eastAsia="zh-CN" w:bidi="ar-SA"/>
        </w:rPr>
        <w:t>II - endereço da sede da empresa contratada, em conformidade com contrato social;</w:t>
      </w:r>
      <w:r>
        <w:rPr>
          <w:rFonts w:ascii="Calibri" w:hAnsi="Calibri" w:eastAsia="SimSun" w:cs="Calibri"/>
          <w:b w:val="0"/>
          <w:bCs w:val="0"/>
          <w:color w:val="000000"/>
          <w:kern w:val="0"/>
          <w:sz w:val="24"/>
          <w:szCs w:val="24"/>
          <w:lang w:val="pt-BR" w:eastAsia="zh-CN" w:bidi="ar-SA"/>
        </w:rPr>
        <w:br w:type="textWrapping"/>
      </w:r>
      <w:r>
        <w:rPr>
          <w:rFonts w:ascii="Calibri" w:hAnsi="Calibri" w:eastAsia="SimSun" w:cs="Calibri"/>
          <w:b w:val="0"/>
          <w:bCs w:val="0"/>
          <w:color w:val="000000"/>
          <w:kern w:val="0"/>
          <w:sz w:val="24"/>
          <w:szCs w:val="24"/>
          <w:lang w:val="pt-BR" w:eastAsia="zh-CN" w:bidi="ar-SA"/>
        </w:rPr>
        <w:t>III - foto da fachada da sede da empresa; e</w:t>
      </w:r>
      <w:r>
        <w:rPr>
          <w:rFonts w:ascii="Calibri" w:hAnsi="Calibri" w:eastAsia="SimSun" w:cs="Calibri"/>
          <w:b w:val="0"/>
          <w:bCs w:val="0"/>
          <w:color w:val="000000"/>
          <w:kern w:val="0"/>
          <w:sz w:val="24"/>
          <w:szCs w:val="24"/>
          <w:lang w:val="pt-BR" w:eastAsia="zh-CN" w:bidi="ar-SA"/>
        </w:rPr>
        <w:br w:type="textWrapping"/>
      </w:r>
      <w:r>
        <w:rPr>
          <w:rFonts w:ascii="Calibri" w:hAnsi="Calibri" w:eastAsia="SimSun" w:cs="Calibri"/>
          <w:b w:val="0"/>
          <w:bCs w:val="0"/>
          <w:color w:val="000000"/>
          <w:kern w:val="0"/>
          <w:sz w:val="24"/>
          <w:szCs w:val="24"/>
          <w:lang w:val="pt-BR" w:eastAsia="zh-CN" w:bidi="ar-SA"/>
        </w:rPr>
        <w:t>IV - extrato da minuta do contrato firmado entre Administração Pública e a empresa contratada.</w:t>
      </w:r>
    </w:p>
    <w:p>
      <w:pPr>
        <w:pStyle w:val="2"/>
        <w:overflowPunct w:val="0"/>
        <w:bidi w:val="0"/>
        <w:ind w:left="0" w:right="0" w:firstLine="0"/>
        <w:jc w:val="both"/>
        <w:rPr>
          <w:rFonts w:ascii="Calibri" w:hAnsi="Calibri" w:cs="Calibri"/>
          <w:sz w:val="24"/>
          <w:szCs w:val="24"/>
        </w:rPr>
      </w:pPr>
    </w:p>
    <w:p>
      <w:pPr>
        <w:pStyle w:val="16"/>
        <w:overflowPunct w:val="0"/>
        <w:bidi w:val="0"/>
        <w:ind w:left="0" w:right="0" w:firstLine="0"/>
        <w:jc w:val="left"/>
        <w:rPr>
          <w:rFonts w:ascii="Calibri" w:hAnsi="Calibri"/>
          <w:sz w:val="24"/>
          <w:szCs w:val="24"/>
        </w:rPr>
      </w:pPr>
      <w:r>
        <w:rPr>
          <w:rFonts w:ascii="Calibri" w:hAnsi="Calibri" w:cs="Calibri"/>
          <w:sz w:val="24"/>
          <w:szCs w:val="24"/>
        </w:rPr>
        <w:t>Itens constantes da Ata:</w:t>
      </w:r>
    </w:p>
    <w:tbl>
      <w:tblPr>
        <w:tblStyle w:val="13"/>
        <w:tblW w:w="5000" w:type="pct"/>
        <w:tblInd w:w="108" w:type="dxa"/>
        <w:tblLayout w:type="fixed"/>
        <w:tblCellMar>
          <w:top w:w="0" w:type="dxa"/>
          <w:left w:w="108" w:type="dxa"/>
          <w:bottom w:w="0" w:type="dxa"/>
          <w:right w:w="108" w:type="dxa"/>
        </w:tblCellMar>
      </w:tblPr>
      <w:tblGrid>
        <w:gridCol w:w="834"/>
        <w:gridCol w:w="1476"/>
        <w:gridCol w:w="4876"/>
        <w:gridCol w:w="2780"/>
      </w:tblGrid>
      <w:tr>
        <w:tblPrEx>
          <w:tblCellMar>
            <w:top w:w="0" w:type="dxa"/>
            <w:left w:w="108" w:type="dxa"/>
            <w:bottom w:w="0" w:type="dxa"/>
            <w:right w:w="108" w:type="dxa"/>
          </w:tblCellMar>
        </w:tblPrEx>
        <w:trPr>
          <w:cantSplit/>
          <w:trHeight w:val="158" w:hRule="atLeast"/>
        </w:trPr>
        <w:tc>
          <w:tcPr>
            <w:tcW w:w="816" w:type="dxa"/>
            <w:tcBorders>
              <w:top w:val="single" w:color="000000" w:sz="4" w:space="0"/>
              <w:left w:val="single" w:color="000000" w:sz="4" w:space="0"/>
              <w:bottom w:val="single" w:color="000000" w:sz="4" w:space="0"/>
            </w:tcBorders>
            <w:vAlign w:val="center"/>
          </w:tcPr>
          <w:p>
            <w:pPr>
              <w:widowControl w:val="0"/>
              <w:overflowPunct w:val="0"/>
              <w:bidi w:val="0"/>
              <w:spacing w:before="57" w:after="57"/>
              <w:ind w:left="0" w:right="0" w:firstLine="0"/>
              <w:jc w:val="center"/>
              <w:rPr>
                <w:rFonts w:ascii="Calibri" w:hAnsi="Calibri"/>
                <w:sz w:val="24"/>
                <w:szCs w:val="24"/>
              </w:rPr>
            </w:pPr>
            <w:r>
              <w:rPr>
                <w:rFonts w:ascii="Calibri" w:hAnsi="Calibri" w:cs="Calibri"/>
                <w:sz w:val="24"/>
                <w:szCs w:val="24"/>
              </w:rPr>
              <w:t>ITEM</w:t>
            </w:r>
          </w:p>
        </w:tc>
        <w:tc>
          <w:tcPr>
            <w:tcW w:w="1444" w:type="dxa"/>
            <w:tcBorders>
              <w:top w:val="single" w:color="000000" w:sz="4" w:space="0"/>
              <w:left w:val="single" w:color="000000" w:sz="4" w:space="0"/>
              <w:bottom w:val="single" w:color="000000" w:sz="4" w:space="0"/>
            </w:tcBorders>
            <w:vAlign w:val="center"/>
          </w:tcPr>
          <w:p>
            <w:pPr>
              <w:widowControl w:val="0"/>
              <w:overflowPunct w:val="0"/>
              <w:bidi w:val="0"/>
              <w:spacing w:before="57" w:after="57"/>
              <w:ind w:left="0" w:right="0" w:firstLine="0"/>
              <w:jc w:val="center"/>
              <w:rPr>
                <w:rFonts w:ascii="Calibri" w:hAnsi="Calibri"/>
                <w:sz w:val="24"/>
                <w:szCs w:val="24"/>
              </w:rPr>
            </w:pPr>
            <w:r>
              <w:rPr>
                <w:rFonts w:ascii="Calibri" w:hAnsi="Calibri" w:cs="Calibri"/>
                <w:sz w:val="24"/>
                <w:szCs w:val="24"/>
              </w:rPr>
              <w:t>CÓDIGO</w:t>
            </w:r>
          </w:p>
        </w:tc>
        <w:tc>
          <w:tcPr>
            <w:tcW w:w="4770" w:type="dxa"/>
            <w:tcBorders>
              <w:top w:val="single" w:color="000000" w:sz="4" w:space="0"/>
              <w:left w:val="single" w:color="000000" w:sz="4" w:space="0"/>
              <w:bottom w:val="single" w:color="000000" w:sz="4" w:space="0"/>
            </w:tcBorders>
            <w:vAlign w:val="center"/>
          </w:tcPr>
          <w:p>
            <w:pPr>
              <w:widowControl w:val="0"/>
              <w:overflowPunct w:val="0"/>
              <w:bidi w:val="0"/>
              <w:spacing w:before="57" w:after="57"/>
              <w:ind w:left="0" w:right="0" w:firstLine="0"/>
              <w:jc w:val="center"/>
              <w:rPr>
                <w:rFonts w:ascii="Calibri" w:hAnsi="Calibri"/>
                <w:sz w:val="24"/>
                <w:szCs w:val="24"/>
              </w:rPr>
            </w:pPr>
            <w:r>
              <w:rPr>
                <w:rFonts w:ascii="Calibri" w:hAnsi="Calibri" w:cs="Calibri"/>
                <w:sz w:val="24"/>
                <w:szCs w:val="24"/>
              </w:rPr>
              <w:t>DESCRIÇÃO/MARCA(S)/PAÍS DE ORIGEM</w:t>
            </w:r>
          </w:p>
        </w:tc>
        <w:tc>
          <w:tcPr>
            <w:tcW w:w="2719" w:type="dxa"/>
            <w:tcBorders>
              <w:top w:val="single" w:color="000000" w:sz="4" w:space="0"/>
              <w:left w:val="single" w:color="000000" w:sz="4" w:space="0"/>
              <w:bottom w:val="single" w:color="000000" w:sz="4" w:space="0"/>
              <w:right w:val="single" w:color="000000" w:sz="4" w:space="0"/>
            </w:tcBorders>
            <w:vAlign w:val="center"/>
          </w:tcPr>
          <w:p>
            <w:pPr>
              <w:widowControl w:val="0"/>
              <w:overflowPunct w:val="0"/>
              <w:bidi w:val="0"/>
              <w:spacing w:before="57" w:after="57"/>
              <w:ind w:left="0" w:right="0" w:firstLine="0"/>
              <w:jc w:val="center"/>
              <w:rPr>
                <w:rFonts w:ascii="Calibri" w:hAnsi="Calibri"/>
                <w:sz w:val="24"/>
                <w:szCs w:val="24"/>
              </w:rPr>
            </w:pPr>
            <w:r>
              <w:rPr>
                <w:rFonts w:ascii="Calibri" w:hAnsi="Calibri" w:cs="Calibri"/>
                <w:sz w:val="24"/>
                <w:szCs w:val="24"/>
              </w:rPr>
              <w:t>VALOR UNITÁRIO</w:t>
            </w:r>
          </w:p>
        </w:tc>
      </w:tr>
      <w:tr>
        <w:tblPrEx>
          <w:tblCellMar>
            <w:top w:w="0" w:type="dxa"/>
            <w:left w:w="108" w:type="dxa"/>
            <w:bottom w:w="0" w:type="dxa"/>
            <w:right w:w="108" w:type="dxa"/>
          </w:tblCellMar>
        </w:tblPrEx>
        <w:tc>
          <w:tcPr>
            <w:tcW w:w="816" w:type="dxa"/>
            <w:tcBorders>
              <w:top w:val="single" w:color="000000" w:sz="4" w:space="0"/>
              <w:left w:val="single" w:color="000000" w:sz="4" w:space="0"/>
              <w:bottom w:val="single" w:color="000000" w:sz="4" w:space="0"/>
            </w:tcBorders>
            <w:vAlign w:val="center"/>
          </w:tcPr>
          <w:p>
            <w:pPr>
              <w:widowControl w:val="0"/>
              <w:overflowPunct w:val="0"/>
              <w:bidi w:val="0"/>
              <w:spacing w:before="57" w:after="57"/>
              <w:ind w:left="0" w:right="0" w:firstLine="0"/>
              <w:jc w:val="center"/>
              <w:rPr>
                <w:rFonts w:ascii="Calibri" w:hAnsi="Calibri"/>
                <w:sz w:val="24"/>
                <w:szCs w:val="24"/>
              </w:rPr>
            </w:pPr>
            <w:r>
              <w:rPr>
                <w:rFonts w:ascii="Calibri" w:hAnsi="Calibri" w:cs="Calibri"/>
                <w:sz w:val="24"/>
                <w:szCs w:val="24"/>
              </w:rPr>
              <w:t>01</w:t>
            </w:r>
          </w:p>
        </w:tc>
        <w:tc>
          <w:tcPr>
            <w:tcW w:w="1444" w:type="dxa"/>
            <w:tcBorders>
              <w:top w:val="single" w:color="000000" w:sz="4" w:space="0"/>
              <w:left w:val="single" w:color="000000" w:sz="4" w:space="0"/>
              <w:bottom w:val="single" w:color="000000" w:sz="4" w:space="0"/>
            </w:tcBorders>
            <w:vAlign w:val="center"/>
          </w:tcPr>
          <w:p>
            <w:pPr>
              <w:widowControl w:val="0"/>
              <w:overflowPunct w:val="0"/>
              <w:bidi w:val="0"/>
              <w:snapToGrid w:val="0"/>
              <w:spacing w:before="57" w:after="57"/>
              <w:ind w:left="0" w:right="0" w:firstLine="0"/>
              <w:jc w:val="center"/>
              <w:rPr>
                <w:rFonts w:ascii="Calibri" w:hAnsi="Calibri" w:cs="Calibri"/>
                <w:sz w:val="24"/>
                <w:szCs w:val="24"/>
              </w:rPr>
            </w:pPr>
          </w:p>
        </w:tc>
        <w:tc>
          <w:tcPr>
            <w:tcW w:w="4770" w:type="dxa"/>
            <w:tcBorders>
              <w:top w:val="single" w:color="000000" w:sz="4" w:space="0"/>
              <w:left w:val="single" w:color="000000" w:sz="4" w:space="0"/>
              <w:bottom w:val="single" w:color="000000" w:sz="4" w:space="0"/>
            </w:tcBorders>
            <w:vAlign w:val="center"/>
          </w:tcPr>
          <w:p>
            <w:pPr>
              <w:widowControl w:val="0"/>
              <w:overflowPunct w:val="0"/>
              <w:bidi w:val="0"/>
              <w:snapToGrid w:val="0"/>
              <w:spacing w:before="57" w:after="57"/>
              <w:ind w:left="0" w:right="0" w:firstLine="0"/>
              <w:jc w:val="center"/>
              <w:rPr>
                <w:rFonts w:ascii="Calibri" w:hAnsi="Calibri" w:cs="Calibri"/>
                <w:sz w:val="24"/>
                <w:szCs w:val="24"/>
              </w:rPr>
            </w:pPr>
          </w:p>
        </w:tc>
        <w:tc>
          <w:tcPr>
            <w:tcW w:w="2719" w:type="dxa"/>
            <w:tcBorders>
              <w:top w:val="single" w:color="000000" w:sz="4" w:space="0"/>
              <w:left w:val="single" w:color="000000" w:sz="4" w:space="0"/>
              <w:bottom w:val="single" w:color="000000" w:sz="4" w:space="0"/>
              <w:right w:val="single" w:color="000000" w:sz="4" w:space="0"/>
            </w:tcBorders>
            <w:vAlign w:val="center"/>
          </w:tcPr>
          <w:p>
            <w:pPr>
              <w:widowControl w:val="0"/>
              <w:overflowPunct w:val="0"/>
              <w:bidi w:val="0"/>
              <w:snapToGrid w:val="0"/>
              <w:spacing w:before="57" w:after="57"/>
              <w:ind w:left="0" w:right="0" w:firstLine="0"/>
              <w:jc w:val="center"/>
              <w:rPr>
                <w:rFonts w:ascii="Calibri" w:hAnsi="Calibri" w:cs="Calibri"/>
                <w:sz w:val="24"/>
                <w:szCs w:val="24"/>
              </w:rPr>
            </w:pPr>
          </w:p>
        </w:tc>
      </w:tr>
    </w:tbl>
    <w:p>
      <w:pPr>
        <w:pStyle w:val="669"/>
        <w:overflowPunct w:val="0"/>
        <w:bidi w:val="0"/>
        <w:ind w:left="0" w:right="0" w:firstLine="0"/>
        <w:rPr>
          <w:rFonts w:ascii="Calibri" w:hAnsi="Calibri" w:cs="Calibri"/>
          <w:sz w:val="24"/>
          <w:szCs w:val="24"/>
        </w:rPr>
      </w:pPr>
    </w:p>
    <w:p>
      <w:pPr>
        <w:pStyle w:val="669"/>
        <w:overflowPunct w:val="0"/>
        <w:bidi w:val="0"/>
        <w:ind w:left="0" w:right="0" w:firstLine="0"/>
        <w:rPr>
          <w:rFonts w:ascii="Calibri" w:hAnsi="Calibri"/>
          <w:sz w:val="24"/>
          <w:szCs w:val="24"/>
        </w:rPr>
      </w:pPr>
      <w:r>
        <w:rPr>
          <w:rFonts w:ascii="Calibri" w:hAnsi="Calibri" w:cs="Calibri"/>
          <w:sz w:val="24"/>
          <w:szCs w:val="24"/>
        </w:rPr>
        <w:t>Fiscal da ATA de Registro de Preços:</w:t>
      </w:r>
    </w:p>
    <w:p>
      <w:pPr>
        <w:pStyle w:val="669"/>
        <w:overflowPunct w:val="0"/>
        <w:bidi w:val="0"/>
        <w:ind w:left="0" w:right="0" w:firstLine="0"/>
        <w:rPr>
          <w:rFonts w:ascii="Calibri" w:hAnsi="Calibri"/>
          <w:sz w:val="24"/>
          <w:szCs w:val="24"/>
        </w:rPr>
      </w:pPr>
    </w:p>
    <w:p>
      <w:pPr>
        <w:pStyle w:val="669"/>
        <w:overflowPunct w:val="0"/>
        <w:bidi w:val="0"/>
        <w:ind w:left="0" w:right="0" w:firstLine="0"/>
        <w:rPr>
          <w:rFonts w:ascii="Calibri" w:hAnsi="Calibri"/>
          <w:sz w:val="24"/>
          <w:szCs w:val="24"/>
        </w:rPr>
      </w:pPr>
      <w:r>
        <w:rPr>
          <w:rFonts w:ascii="Calibri" w:hAnsi="Calibri" w:eastAsia="SimSun" w:cs="Calibri"/>
          <w:color w:val="000000"/>
          <w:kern w:val="0"/>
          <w:sz w:val="24"/>
          <w:szCs w:val="24"/>
          <w:lang w:val="pt-BR" w:eastAsia="zh-CN" w:bidi="ar-SA"/>
        </w:rPr>
        <w:t>GEBER</w:t>
      </w:r>
      <w:r>
        <w:rPr>
          <w:rFonts w:ascii="Calibri" w:hAnsi="Calibri" w:cs="Calibri"/>
          <w:sz w:val="24"/>
          <w:szCs w:val="24"/>
        </w:rPr>
        <w:t>: - Nome: - Matrícula:</w:t>
      </w:r>
    </w:p>
    <w:p>
      <w:pPr>
        <w:pStyle w:val="669"/>
        <w:overflowPunct w:val="0"/>
        <w:bidi w:val="0"/>
        <w:ind w:left="0" w:right="0" w:firstLine="0"/>
        <w:rPr>
          <w:rFonts w:ascii="Calibri" w:hAnsi="Calibri"/>
          <w:sz w:val="24"/>
          <w:szCs w:val="24"/>
        </w:rPr>
      </w:pPr>
      <w:r>
        <w:rPr>
          <w:rFonts w:ascii="Calibri" w:hAnsi="Calibri" w:eastAsia="SimSun" w:cs="Calibri"/>
          <w:color w:val="000000"/>
          <w:kern w:val="0"/>
          <w:sz w:val="24"/>
          <w:szCs w:val="24"/>
          <w:lang w:val="pt-BR" w:eastAsia="zh-CN" w:bidi="ar-SA"/>
        </w:rPr>
        <w:t>GEJUD</w:t>
      </w:r>
      <w:r>
        <w:rPr>
          <w:rFonts w:ascii="Calibri" w:hAnsi="Calibri" w:cs="Calibri"/>
          <w:sz w:val="24"/>
          <w:szCs w:val="24"/>
        </w:rPr>
        <w:t>: - Nome: - Matrícula:</w:t>
      </w:r>
    </w:p>
    <w:p>
      <w:pPr>
        <w:pStyle w:val="669"/>
        <w:overflowPunct w:val="0"/>
        <w:bidi w:val="0"/>
        <w:ind w:left="0" w:right="0" w:firstLine="0"/>
        <w:rPr>
          <w:rFonts w:ascii="Calibri" w:hAnsi="Calibri"/>
          <w:sz w:val="24"/>
          <w:szCs w:val="24"/>
        </w:rPr>
      </w:pPr>
      <w:r>
        <w:rPr>
          <w:rFonts w:ascii="Calibri" w:hAnsi="Calibri" w:eastAsia="SimSun" w:cs="Calibri"/>
          <w:color w:val="000000"/>
          <w:kern w:val="0"/>
          <w:sz w:val="24"/>
          <w:szCs w:val="24"/>
          <w:lang w:val="pt-BR" w:eastAsia="zh-CN" w:bidi="ar-SA"/>
        </w:rPr>
        <w:t>DIAF</w:t>
      </w:r>
      <w:r>
        <w:rPr>
          <w:rFonts w:ascii="Calibri" w:hAnsi="Calibri" w:cs="Calibri"/>
          <w:sz w:val="24"/>
          <w:szCs w:val="24"/>
        </w:rPr>
        <w:t>: - Nome: - Matrícula:</w:t>
      </w:r>
    </w:p>
    <w:p>
      <w:pPr>
        <w:pStyle w:val="669"/>
        <w:overflowPunct w:val="0"/>
        <w:bidi w:val="0"/>
        <w:ind w:left="0" w:right="0" w:firstLine="0"/>
        <w:rPr>
          <w:rFonts w:ascii="Calibri" w:hAnsi="Calibri"/>
          <w:sz w:val="24"/>
          <w:szCs w:val="24"/>
        </w:rPr>
      </w:pPr>
    </w:p>
    <w:p>
      <w:pPr>
        <w:overflowPunct w:val="0"/>
        <w:bidi w:val="0"/>
        <w:ind w:left="0" w:right="0" w:firstLine="0"/>
        <w:jc w:val="both"/>
        <w:rPr>
          <w:rFonts w:ascii="Calibri" w:hAnsi="Calibri"/>
          <w:sz w:val="24"/>
          <w:szCs w:val="24"/>
        </w:rPr>
      </w:pPr>
      <w:r>
        <w:rPr>
          <w:rFonts w:ascii="Calibri" w:hAnsi="Calibri" w:cs="Calibri"/>
          <w:sz w:val="24"/>
          <w:szCs w:val="24"/>
        </w:rPr>
        <w:t xml:space="preserve">Florianópolis, </w:t>
      </w:r>
    </w:p>
    <w:p>
      <w:pPr>
        <w:overflowPunct w:val="0"/>
        <w:bidi w:val="0"/>
        <w:ind w:left="0" w:right="0" w:firstLine="0"/>
        <w:jc w:val="both"/>
        <w:rPr>
          <w:rFonts w:ascii="Calibri" w:hAnsi="Calibri" w:cs="Calibri"/>
          <w:sz w:val="24"/>
          <w:szCs w:val="24"/>
        </w:rPr>
      </w:pPr>
    </w:p>
    <w:tbl>
      <w:tblPr>
        <w:tblStyle w:val="13"/>
        <w:tblW w:w="5000" w:type="pct"/>
        <w:tblInd w:w="108" w:type="dxa"/>
        <w:tblLayout w:type="fixed"/>
        <w:tblCellMar>
          <w:top w:w="0" w:type="dxa"/>
          <w:left w:w="108" w:type="dxa"/>
          <w:bottom w:w="0" w:type="dxa"/>
          <w:right w:w="108" w:type="dxa"/>
        </w:tblCellMar>
      </w:tblPr>
      <w:tblGrid>
        <w:gridCol w:w="5010"/>
        <w:gridCol w:w="4956"/>
      </w:tblGrid>
      <w:tr>
        <w:tblPrEx>
          <w:tblCellMar>
            <w:top w:w="0" w:type="dxa"/>
            <w:left w:w="108" w:type="dxa"/>
            <w:bottom w:w="0" w:type="dxa"/>
            <w:right w:w="108" w:type="dxa"/>
          </w:tblCellMar>
        </w:tblPrEx>
        <w:tc>
          <w:tcPr>
            <w:tcW w:w="4901" w:type="dxa"/>
            <w:tcBorders>
              <w:top w:val="single" w:color="000000" w:sz="4" w:space="0"/>
              <w:left w:val="single" w:color="000000" w:sz="4" w:space="0"/>
              <w:bottom w:val="single" w:color="000000" w:sz="4" w:space="0"/>
            </w:tcBorders>
            <w:vAlign w:val="center"/>
          </w:tcPr>
          <w:p>
            <w:pPr>
              <w:widowControl w:val="0"/>
              <w:overflowPunct w:val="0"/>
              <w:bidi w:val="0"/>
              <w:snapToGrid w:val="0"/>
              <w:spacing w:before="57" w:after="57"/>
              <w:ind w:left="0" w:right="0" w:firstLine="0"/>
              <w:jc w:val="both"/>
              <w:rPr>
                <w:rFonts w:ascii="Calibri" w:hAnsi="Calibri" w:cs="Calibri"/>
                <w:sz w:val="24"/>
                <w:szCs w:val="24"/>
              </w:rPr>
            </w:pPr>
          </w:p>
        </w:tc>
        <w:tc>
          <w:tcPr>
            <w:tcW w:w="4848" w:type="dxa"/>
            <w:tcBorders>
              <w:top w:val="single" w:color="000000" w:sz="4" w:space="0"/>
              <w:left w:val="single" w:color="000000" w:sz="4" w:space="0"/>
              <w:bottom w:val="single" w:color="000000" w:sz="4" w:space="0"/>
              <w:right w:val="single" w:color="000000" w:sz="4" w:space="0"/>
            </w:tcBorders>
            <w:vAlign w:val="center"/>
          </w:tcPr>
          <w:p>
            <w:pPr>
              <w:widowControl w:val="0"/>
              <w:overflowPunct w:val="0"/>
              <w:bidi w:val="0"/>
              <w:snapToGrid w:val="0"/>
              <w:spacing w:before="57" w:after="57"/>
              <w:ind w:left="0" w:right="0" w:firstLine="0"/>
              <w:jc w:val="both"/>
              <w:rPr>
                <w:rFonts w:ascii="Calibri" w:hAnsi="Calibri" w:cs="Calibri"/>
                <w:sz w:val="24"/>
                <w:szCs w:val="24"/>
              </w:rPr>
            </w:pPr>
          </w:p>
        </w:tc>
      </w:tr>
      <w:tr>
        <w:tblPrEx>
          <w:tblCellMar>
            <w:top w:w="0" w:type="dxa"/>
            <w:left w:w="108" w:type="dxa"/>
            <w:bottom w:w="0" w:type="dxa"/>
            <w:right w:w="108" w:type="dxa"/>
          </w:tblCellMar>
        </w:tblPrEx>
        <w:tc>
          <w:tcPr>
            <w:tcW w:w="4901" w:type="dxa"/>
            <w:tcBorders>
              <w:top w:val="single" w:color="000000" w:sz="4" w:space="0"/>
              <w:left w:val="single" w:color="000000" w:sz="4" w:space="0"/>
              <w:bottom w:val="single" w:color="000000" w:sz="4" w:space="0"/>
            </w:tcBorders>
            <w:vAlign w:val="center"/>
          </w:tcPr>
          <w:p>
            <w:pPr>
              <w:widowControl w:val="0"/>
              <w:overflowPunct w:val="0"/>
              <w:bidi w:val="0"/>
              <w:spacing w:before="57" w:after="57"/>
              <w:ind w:left="0" w:right="0" w:firstLine="0"/>
              <w:jc w:val="center"/>
              <w:rPr>
                <w:rFonts w:ascii="Calibri" w:hAnsi="Calibri"/>
                <w:sz w:val="24"/>
                <w:szCs w:val="24"/>
              </w:rPr>
            </w:pPr>
            <w:r>
              <w:rPr>
                <w:rFonts w:ascii="Calibri" w:hAnsi="Calibri" w:cs="Calibri"/>
                <w:sz w:val="24"/>
                <w:szCs w:val="24"/>
              </w:rPr>
              <w:t>Órgão Gerenciador</w:t>
            </w:r>
          </w:p>
          <w:p>
            <w:pPr>
              <w:widowControl w:val="0"/>
              <w:overflowPunct w:val="0"/>
              <w:bidi w:val="0"/>
              <w:spacing w:before="57" w:after="57"/>
              <w:ind w:left="0" w:right="0" w:firstLine="0"/>
              <w:jc w:val="center"/>
              <w:rPr>
                <w:rFonts w:ascii="Calibri" w:hAnsi="Calibri"/>
                <w:sz w:val="24"/>
                <w:szCs w:val="24"/>
              </w:rPr>
            </w:pPr>
            <w:r>
              <w:rPr>
                <w:rFonts w:ascii="Calibri" w:hAnsi="Calibri" w:cs="Calibri"/>
                <w:sz w:val="24"/>
                <w:szCs w:val="24"/>
              </w:rPr>
              <w:t>Fundo Estadual de Saúde/FES-SES</w:t>
            </w:r>
          </w:p>
        </w:tc>
        <w:tc>
          <w:tcPr>
            <w:tcW w:w="4848" w:type="dxa"/>
            <w:tcBorders>
              <w:top w:val="single" w:color="000000" w:sz="4" w:space="0"/>
              <w:left w:val="single" w:color="000000" w:sz="4" w:space="0"/>
              <w:bottom w:val="single" w:color="000000" w:sz="4" w:space="0"/>
              <w:right w:val="single" w:color="000000" w:sz="4" w:space="0"/>
            </w:tcBorders>
            <w:vAlign w:val="center"/>
          </w:tcPr>
          <w:p>
            <w:pPr>
              <w:widowControl w:val="0"/>
              <w:overflowPunct w:val="0"/>
              <w:bidi w:val="0"/>
              <w:spacing w:before="57" w:after="57"/>
              <w:ind w:left="0" w:right="0" w:firstLine="0"/>
              <w:jc w:val="center"/>
              <w:rPr>
                <w:rFonts w:ascii="Calibri" w:hAnsi="Calibri"/>
                <w:sz w:val="24"/>
                <w:szCs w:val="24"/>
              </w:rPr>
            </w:pPr>
            <w:r>
              <w:rPr>
                <w:rFonts w:ascii="Calibri" w:hAnsi="Calibri" w:cs="Calibri"/>
                <w:sz w:val="24"/>
                <w:szCs w:val="24"/>
              </w:rPr>
              <w:t>Empresa</w:t>
            </w:r>
          </w:p>
        </w:tc>
      </w:tr>
    </w:tbl>
    <w:p>
      <w:pPr>
        <w:tabs>
          <w:tab w:val="left" w:pos="2552"/>
        </w:tabs>
        <w:overflowPunct w:val="0"/>
        <w:bidi w:val="0"/>
        <w:spacing w:before="1" w:after="0"/>
        <w:ind w:left="0" w:right="0" w:firstLine="0"/>
        <w:jc w:val="both"/>
        <w:rPr>
          <w:rFonts w:ascii="Calibri" w:hAnsi="Calibri"/>
          <w:sz w:val="24"/>
          <w:szCs w:val="24"/>
        </w:rPr>
      </w:pPr>
    </w:p>
    <w:sectPr>
      <w:headerReference r:id="rId4" w:type="default"/>
      <w:footerReference r:id="rId5" w:type="default"/>
      <w:pgSz w:w="11906" w:h="16838"/>
      <w:pgMar w:top="1480" w:right="1016" w:bottom="640" w:left="1140" w:header="209" w:footer="446" w:gutter="0"/>
      <w:pgNumType w:fmt="decimal"/>
      <w:cols w:space="720" w:num="1"/>
      <w:formProt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Wingdings">
    <w:panose1 w:val="05000000000000000000"/>
    <w:charset w:val="00"/>
    <w:family w:val="roman"/>
    <w:pitch w:val="default"/>
    <w:sig w:usb0="00000000" w:usb1="00000000" w:usb2="00000000" w:usb3="00000000" w:csb0="80000000" w:csb1="00000000"/>
  </w:font>
  <w:font w:name="Arial Rounded MT Bold">
    <w:panose1 w:val="020F0704030504030204"/>
    <w:charset w:val="00"/>
    <w:family w:val="roman"/>
    <w:pitch w:val="default"/>
    <w:sig w:usb0="00000003" w:usb1="00000000" w:usb2="00000000" w:usb3="00000000" w:csb0="20000001" w:csb1="00000000"/>
  </w:font>
  <w:font w:name="Garamond">
    <w:panose1 w:val="02020404030301010803"/>
    <w:charset w:val="00"/>
    <w:family w:val="roman"/>
    <w:pitch w:val="default"/>
    <w:sig w:usb0="00000287" w:usb1="00000000" w:usb2="00000000" w:usb3="00000000" w:csb0="0000009F" w:csb1="DFD70000"/>
  </w:font>
  <w:font w:name="Times New (W1);Times New Roman">
    <w:altName w:val="Liberation Mono"/>
    <w:panose1 w:val="00000000000000000000"/>
    <w:charset w:val="00"/>
    <w:family w:val="auto"/>
    <w:pitch w:val="default"/>
    <w:sig w:usb0="00000000" w:usb1="00000000" w:usb2="00000000" w:usb3="00000000" w:csb0="00000000" w:csb1="00000000"/>
  </w:font>
  <w:font w:name="Liberation Mono">
    <w:panose1 w:val="02070409020205020404"/>
    <w:charset w:val="00"/>
    <w:family w:val="auto"/>
    <w:pitch w:val="default"/>
    <w:sig w:usb0="E0000AFF" w:usb1="400078FF" w:usb2="00000001" w:usb3="00000000" w:csb0="600001BF" w:csb1="DFF70000"/>
  </w:font>
  <w:font w:name="ArialMT;Times New Roman">
    <w:altName w:val="Liberation Mono"/>
    <w:panose1 w:val="00000000000000000000"/>
    <w:charset w:val="00"/>
    <w:family w:val="auto"/>
    <w:pitch w:val="default"/>
    <w:sig w:usb0="00000000" w:usb1="00000000" w:usb2="00000000" w:usb3="00000000" w:csb0="00000000" w:csb1="00000000"/>
  </w:font>
  <w:font w:name="Liberation Sans">
    <w:panose1 w:val="020B0604020202020204"/>
    <w:charset w:val="00"/>
    <w:family w:val="roman"/>
    <w:pitch w:val="default"/>
    <w:sig w:usb0="E0000AFF" w:usb1="500078FF" w:usb2="00000021" w:usb3="00000000" w:csb0="600001BF" w:csb1="DFF70000"/>
  </w:font>
  <w:font w:name="Microsoft YaHei">
    <w:panose1 w:val="020B0503020204020204"/>
    <w:charset w:val="86"/>
    <w:family w:val="auto"/>
    <w:pitch w:val="default"/>
    <w:sig w:usb0="80000287" w:usb1="2ACF3C50" w:usb2="00000016" w:usb3="00000000" w:csb0="0004001F" w:csb1="00000000"/>
  </w:font>
  <w:font w:name="Lucida Sans">
    <w:panose1 w:val="020B0602030504020204"/>
    <w:charset w:val="00"/>
    <w:family w:val="auto"/>
    <w:pitch w:val="default"/>
    <w:sig w:usb0="00000003" w:usb1="00000000" w:usb2="00000000" w:usb3="00000000" w:csb0="20000001" w:csb1="00000000"/>
  </w:font>
  <w:font w:name="Tahoma">
    <w:panose1 w:val="020B0604030504040204"/>
    <w:charset w:val="00"/>
    <w:family w:val="roman"/>
    <w:pitch w:val="default"/>
    <w:sig w:usb0="E1002EFF" w:usb1="C000605B" w:usb2="00000029" w:usb3="00000000" w:csb0="200101FF" w:csb1="20280000"/>
  </w:font>
  <w:font w:name="NSimSun">
    <w:panose1 w:val="02010609030101010101"/>
    <w:charset w:val="86"/>
    <w:family w:val="auto"/>
    <w:pitch w:val="default"/>
    <w:sig w:usb0="00000283" w:usb1="288F0000" w:usb2="00000006" w:usb3="00000000" w:csb0="00040001" w:csb1="00000000"/>
  </w:font>
  <w:font w:name="Mangal;Linux Libertine G">
    <w:altName w:val="Liberation Mono"/>
    <w:panose1 w:val="00000000000000000000"/>
    <w:charset w:val="00"/>
    <w:family w:val="auto"/>
    <w:pitch w:val="default"/>
    <w:sig w:usb0="00000000" w:usb1="00000000" w:usb2="00000000" w:usb3="00000000" w:csb0="00000000" w:csb1="00000000"/>
  </w:font>
  <w:font w:name="Liberation Sans;Arial">
    <w:altName w:val="Liberation Mono"/>
    <w:panose1 w:val="00000000000000000000"/>
    <w:charset w:val="00"/>
    <w:family w:val="auto"/>
    <w:pitch w:val="default"/>
    <w:sig w:usb0="00000000" w:usb1="00000000" w:usb2="00000000" w:usb3="00000000" w:csb0="00000000" w:csb1="00000000"/>
  </w:font>
  <w:font w:name="Lucida Sans Unicode">
    <w:panose1 w:val="020B0602030504020204"/>
    <w:charset w:val="00"/>
    <w:family w:val="auto"/>
    <w:pitch w:val="default"/>
    <w:sig w:usb0="80001AFF" w:usb1="0000396B" w:usb2="00000000" w:usb3="00000000" w:csb0="200000BF" w:csb1="D7F70000"/>
  </w:font>
  <w:font w:name="MS Mincho;Yu Gothic UI">
    <w:altName w:val="Liberation Mono"/>
    <w:panose1 w:val="00000000000000000000"/>
    <w:charset w:val="00"/>
    <w:family w:val="auto"/>
    <w:pitch w:val="default"/>
    <w:sig w:usb0="00000000" w:usb1="00000000" w:usb2="00000000" w:usb3="00000000" w:csb0="00000000" w:csb1="00000000"/>
  </w:font>
  <w:font w:name="Arial Unicode MS;Arial">
    <w:altName w:val="Arial"/>
    <w:panose1 w:val="00000000000000000000"/>
    <w:charset w:val="00"/>
    <w:family w:val="auto"/>
    <w:pitch w:val="default"/>
    <w:sig w:usb0="00000000" w:usb1="00000000" w:usb2="00000000" w:usb3="00000000" w:csb0="00000000" w:csb1="00000000"/>
  </w:font>
  <w:font w:name="Palatino Linotype">
    <w:panose1 w:val="02040502050505030304"/>
    <w:charset w:val="00"/>
    <w:family w:val="roman"/>
    <w:pitch w:val="default"/>
    <w:sig w:usb0="E0000287" w:usb1="40000013" w:usb2="00000000" w:usb3="00000000" w:csb0="2000019F" w:csb1="00000000"/>
  </w:font>
  <w:font w:name="Liberation Serif">
    <w:panose1 w:val="02020603050405020304"/>
    <w:charset w:val="00"/>
    <w:family w:val="roman"/>
    <w:pitch w:val="default"/>
    <w:sig w:usb0="E0000AFF" w:usb1="500078FF" w:usb2="00000021" w:usb3="00000000" w:csb0="600001BF" w:csb1="DFF70000"/>
  </w:font>
  <w:font w:name="sans-serif">
    <w:altName w:val="Arial"/>
    <w:panose1 w:val="00000000000000000000"/>
    <w:charset w:val="00"/>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Style w:val="41"/>
        <w:rFonts w:ascii="Calibri" w:hAnsi="Calibri" w:eastAsia="SimSun" w:cs="Times New Roman"/>
        <w:color w:val="000000"/>
        <w:kern w:val="0"/>
        <w:sz w:val="18"/>
        <w:szCs w:val="18"/>
        <w:u w:val="none"/>
        <w:lang w:val="pt-BR" w:eastAsia="zh-CN" w:bidi="ar-SA"/>
      </w:rPr>
      <w:t>EDITAL</w:t>
    </w:r>
    <w:r>
      <w:rPr>
        <w:rStyle w:val="41"/>
        <w:rFonts w:ascii="Calibri" w:hAnsi="Calibri"/>
        <w:color w:val="000000"/>
        <w:sz w:val="18"/>
        <w:szCs w:val="18"/>
        <w:u w:val="none"/>
      </w:rPr>
      <w:t xml:space="preserve"> nº </w:t>
    </w:r>
    <w:r>
      <w:rPr>
        <w:rStyle w:val="41"/>
        <w:rFonts w:ascii="Calibri" w:hAnsi="Calibri" w:eastAsia="SimSun" w:cs="Times New Roman"/>
        <w:color w:val="000000"/>
        <w:kern w:val="0"/>
        <w:sz w:val="18"/>
        <w:szCs w:val="18"/>
        <w:u w:val="none"/>
        <w:lang w:val="pt-BR" w:eastAsia="zh-CN" w:bidi="ar-SA"/>
      </w:rPr>
      <w:t>1190/2023</w:t>
    </w:r>
    <w:r>
      <w:rPr>
        <w:rStyle w:val="41"/>
        <w:rFonts w:ascii="Calibri" w:hAnsi="Calibri"/>
        <w:color w:val="000000"/>
        <w:sz w:val="18"/>
        <w:szCs w:val="18"/>
        <w:u w:val="none"/>
      </w:rPr>
      <w:t xml:space="preserve"> – SES </w:t>
    </w:r>
    <w:r>
      <w:rPr>
        <w:rStyle w:val="41"/>
        <w:rFonts w:ascii="Calibri" w:hAnsi="Calibri" w:eastAsia="SimSun" w:cs="Times New Roman"/>
        <w:color w:val="000000"/>
        <w:kern w:val="0"/>
        <w:sz w:val="18"/>
        <w:szCs w:val="18"/>
        <w:u w:val="none"/>
        <w:lang w:val="pt-BR" w:eastAsia="zh-CN" w:bidi="ar-SA"/>
      </w:rPr>
      <w:t>120271/2023</w:t>
    </w:r>
    <w:r>
      <w:rPr>
        <w:rStyle w:val="41"/>
        <w:rFonts w:ascii="Calibri" w:hAnsi="Calibri"/>
        <w:color w:val="000000"/>
        <w:sz w:val="18"/>
        <w:szCs w:val="18"/>
        <w:u w:val="none"/>
      </w:rPr>
      <w:t xml:space="preserve"> </w:t>
    </w:r>
  </w:p>
  <w:p>
    <w:pPr>
      <w:pStyle w:val="19"/>
      <w:jc w:val="center"/>
      <w:rPr>
        <w:rFonts w:ascii="Calibri" w:hAnsi="Calibri"/>
      </w:rPr>
    </w:pPr>
    <w:r>
      <w:rPr>
        <w:rFonts w:ascii="Calibri" w:hAnsi="Calibri"/>
        <w:sz w:val="18"/>
        <w:szCs w:val="18"/>
      </w:rPr>
      <w:t>Rua Esteves Júnior, 160 – 2º andar. Centro – Florianópolis/SC – 88.015-130</w:t>
    </w:r>
  </w:p>
  <w:p>
    <w:pPr>
      <w:pStyle w:val="19"/>
      <w:jc w:val="center"/>
    </w:pPr>
    <w:r>
      <w:rPr>
        <w:rFonts w:ascii="Calibri" w:hAnsi="Calibri"/>
        <w:sz w:val="18"/>
        <w:szCs w:val="18"/>
      </w:rPr>
      <w:t>Telefone: (48) 3664-</w:t>
    </w:r>
    <w:r>
      <w:rPr>
        <w:rFonts w:ascii="Calibri" w:hAnsi="Calibri" w:eastAsia="SimSun" w:cs="Times New Roman"/>
        <w:color w:val="000000"/>
        <w:kern w:val="0"/>
        <w:sz w:val="18"/>
        <w:szCs w:val="18"/>
        <w:lang w:val="pt-BR" w:eastAsia="zh-CN" w:bidi="ar-SA"/>
      </w:rPr>
      <w:t>8753</w:t>
    </w:r>
    <w:r>
      <w:rPr>
        <w:rFonts w:ascii="Calibri" w:hAnsi="Calibri"/>
        <w:sz w:val="18"/>
        <w:szCs w:val="18"/>
      </w:rPr>
      <w:t xml:space="preserve"> – E-mail: </w:t>
    </w:r>
    <w:r>
      <w:rPr>
        <w:rStyle w:val="41"/>
        <w:rFonts w:ascii="Calibri" w:hAnsi="Calibri" w:eastAsia="SimSun" w:cs="Times New Roman"/>
        <w:color w:val="000000"/>
        <w:kern w:val="0"/>
        <w:sz w:val="18"/>
        <w:szCs w:val="18"/>
        <w:u w:val="none"/>
        <w:lang w:val="pt-BR" w:eastAsia="zh-CN" w:bidi="ar-SA"/>
      </w:rPr>
      <w:t>dlic</w:t>
    </w:r>
    <w:r>
      <w:fldChar w:fldCharType="begin"/>
    </w:r>
    <w:r>
      <w:instrText xml:space="preserve"> HYPERLINK "mailto:editais@saude.sc.gov.br" \h </w:instrText>
    </w:r>
    <w:r>
      <w:fldChar w:fldCharType="separate"/>
    </w:r>
    <w:r>
      <w:rPr>
        <w:rStyle w:val="41"/>
        <w:rFonts w:ascii="Calibri" w:hAnsi="Calibri"/>
        <w:color w:val="000000"/>
        <w:sz w:val="18"/>
        <w:szCs w:val="18"/>
        <w:u w:val="none"/>
      </w:rPr>
      <w:t>@saude.sc.gov.br</w:t>
    </w:r>
    <w:r>
      <w:rPr>
        <w:rStyle w:val="41"/>
        <w:rFonts w:ascii="Calibri" w:hAnsi="Calibri"/>
        <w:color w:val="000000"/>
        <w:sz w:val="18"/>
        <w:szCs w:val="18"/>
        <w:u w:val="none"/>
      </w:rPr>
      <w:fldChar w:fldCharType="end"/>
    </w:r>
  </w:p>
  <w:p>
    <w:pPr>
      <w:pStyle w:val="19"/>
      <w:jc w:val="center"/>
      <w:rPr>
        <w:rFonts w:ascii="Calibri" w:hAnsi="Calibri" w:eastAsia="SimSun" w:cs="Times New Roman"/>
        <w:color w:val="000000"/>
        <w:kern w:val="0"/>
        <w:sz w:val="18"/>
        <w:szCs w:val="18"/>
        <w:u w:val="none"/>
        <w:lang w:val="pt-BR" w:eastAsia="zh-CN" w:bidi="ar-SA"/>
      </w:rPr>
    </w:pPr>
    <w:r>
      <w:rPr>
        <w:rStyle w:val="41"/>
        <w:rFonts w:ascii="Calibri" w:hAnsi="Calibri" w:eastAsia="SimSun" w:cs="Times New Roman"/>
        <w:color w:val="111111"/>
        <w:kern w:val="0"/>
        <w:sz w:val="18"/>
        <w:szCs w:val="18"/>
        <w:u w:val="none"/>
        <w:lang w:val="pt-BR" w:eastAsia="zh-CN" w:bidi="ar-SA"/>
      </w:rPr>
      <w:t>JRB</w:t>
    </w:r>
  </w:p>
  <w:p>
    <w:pPr>
      <w:pStyle w:val="19"/>
      <w:jc w:val="center"/>
      <w:rPr>
        <w:rFonts w:ascii="Calibri" w:hAnsi="Calibri"/>
      </w:rPr>
    </w:pPr>
    <w:r>
      <w:rPr>
        <w:rFonts w:ascii="Calibri" w:hAnsi="Calibri"/>
        <w:sz w:val="18"/>
        <w:szCs w:val="18"/>
      </w:rPr>
      <w:t xml:space="preserve">Página </w:t>
    </w:r>
    <w:r>
      <w:rPr>
        <w:rFonts w:ascii="Calibri" w:hAnsi="Calibri"/>
        <w:sz w:val="18"/>
        <w:szCs w:val="18"/>
      </w:rPr>
      <w:fldChar w:fldCharType="begin"/>
    </w:r>
    <w:r>
      <w:rPr>
        <w:rFonts w:ascii="Calibri" w:hAnsi="Calibri"/>
        <w:sz w:val="18"/>
        <w:szCs w:val="18"/>
      </w:rPr>
      <w:instrText xml:space="preserve">PAGE</w:instrText>
    </w:r>
    <w:r>
      <w:rPr>
        <w:rFonts w:ascii="Calibri" w:hAnsi="Calibri"/>
        <w:sz w:val="18"/>
        <w:szCs w:val="18"/>
      </w:rPr>
      <w:fldChar w:fldCharType="separate"/>
    </w:r>
    <w:r>
      <w:rPr>
        <w:rFonts w:ascii="Calibri" w:hAnsi="Calibri"/>
        <w:sz w:val="18"/>
        <w:szCs w:val="18"/>
      </w:rPr>
      <w:t>36</w:t>
    </w:r>
    <w:r>
      <w:rPr>
        <w:rFonts w:ascii="Calibri" w:hAnsi="Calibri"/>
        <w:sz w:val="18"/>
        <w:szCs w:val="18"/>
      </w:rPr>
      <w:fldChar w:fldCharType="end"/>
    </w:r>
    <w:r>
      <w:rPr>
        <w:rFonts w:ascii="Calibri" w:hAnsi="Calibri"/>
        <w:sz w:val="18"/>
        <w:szCs w:val="18"/>
      </w:rPr>
      <w:t xml:space="preserve"> de </w:t>
    </w:r>
    <w:r>
      <w:rPr>
        <w:rFonts w:ascii="Calibri" w:hAnsi="Calibri"/>
        <w:sz w:val="18"/>
        <w:szCs w:val="18"/>
      </w:rPr>
      <w:fldChar w:fldCharType="begin"/>
    </w:r>
    <w:r>
      <w:rPr>
        <w:rFonts w:ascii="Calibri" w:hAnsi="Calibri"/>
        <w:sz w:val="18"/>
        <w:szCs w:val="18"/>
      </w:rPr>
      <w:instrText xml:space="preserve">NUMPAGES</w:instrText>
    </w:r>
    <w:r>
      <w:rPr>
        <w:rFonts w:ascii="Calibri" w:hAnsi="Calibri"/>
        <w:sz w:val="18"/>
        <w:szCs w:val="18"/>
      </w:rPr>
      <w:fldChar w:fldCharType="separate"/>
    </w:r>
    <w:r>
      <w:rPr>
        <w:rFonts w:ascii="Calibri" w:hAnsi="Calibri"/>
        <w:sz w:val="18"/>
        <w:szCs w:val="18"/>
      </w:rPr>
      <w:t>36</w:t>
    </w:r>
    <w:r>
      <w:rPr>
        <w:rFonts w:ascii="Calibri" w:hAnsi="Calibri"/>
        <w:sz w:val="18"/>
        <w:szCs w:val="18"/>
      </w:rPr>
      <w:fldChar w:fldCharType="end"/>
    </w:r>
  </w:p>
  <w:p>
    <w:pPr>
      <w:pStyle w:val="19"/>
      <w:jc w:val="center"/>
    </w:pPr>
  </w:p>
  <w:p>
    <w:pPr>
      <w:pStyle w:val="19"/>
      <w:spacing w:line="0" w:lineRule="atLeast"/>
      <w:jc w:val="cen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spacing w:line="0" w:lineRule="atLeast"/>
      <w:rPr>
        <w:rFonts w:ascii="Calibri" w:hAnsi="Calibri" w:cs="Calibri"/>
        <w:sz w:val="24"/>
        <w:szCs w:val="24"/>
        <w:lang w:val="pt-BR" w:eastAsia="pt-BR"/>
      </w:rPr>
    </w:pPr>
  </w:p>
  <w:p>
    <w:pPr>
      <w:pStyle w:val="16"/>
      <w:spacing w:line="0" w:lineRule="atLeast"/>
      <w:rPr>
        <w:rFonts w:ascii="Calibri" w:hAnsi="Calibri" w:cs="Calibri"/>
        <w:sz w:val="24"/>
        <w:szCs w:val="24"/>
        <w:lang w:val="pt-BR" w:eastAsia="pt-BR"/>
      </w:rPr>
    </w:pPr>
  </w:p>
  <w:p>
    <w:pPr>
      <w:pStyle w:val="16"/>
      <w:spacing w:line="0" w:lineRule="atLeast"/>
      <w:rPr>
        <w:rFonts w:ascii="Calibri" w:hAnsi="Calibri" w:cs="Calibri"/>
        <w:sz w:val="24"/>
        <w:szCs w:val="24"/>
        <w:lang w:val="pt-BR" w:eastAsia="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bullet"/>
      <w:pStyle w:val="668"/>
      <w:lvlText w:val=""/>
      <w:lvlJc w:val="left"/>
      <w:pPr>
        <w:tabs>
          <w:tab w:val="left" w:pos="0"/>
        </w:tabs>
        <w:ind w:left="360" w:hanging="360"/>
      </w:pPr>
      <w:rPr>
        <w:rFonts w:hint="default" w:ascii="Wingdings" w:hAnsi="Wingdings" w:cs="Wingdings"/>
      </w:r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1">
    <w:nsid w:val="BF205925"/>
    <w:multiLevelType w:val="multilevel"/>
    <w:tmpl w:val="BF205925"/>
    <w:lvl w:ilvl="0" w:tentative="0">
      <w:start w:val="1"/>
      <w:numFmt w:val="decimal"/>
      <w:pStyle w:val="656"/>
      <w:lvlText w:val="%1."/>
      <w:lvlJc w:val="left"/>
      <w:pPr>
        <w:tabs>
          <w:tab w:val="left" w:pos="0"/>
        </w:tabs>
        <w:ind w:left="720" w:hanging="360"/>
      </w:pPr>
      <w:rPr>
        <w:color w:val="000000"/>
        <w:sz w:val="24"/>
      </w:r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2">
    <w:nsid w:val="03D62ECE"/>
    <w:multiLevelType w:val="multilevel"/>
    <w:tmpl w:val="03D62ECE"/>
    <w:lvl w:ilvl="0" w:tentative="0">
      <w:start w:val="1"/>
      <w:numFmt w:val="none"/>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documentProtection w:enforcement="0"/>
  <w:defaultTabStop w:val="709"/>
  <w:autoHyphenation/>
  <w:footnotePr>
    <w:footnote w:id="0"/>
    <w:footnote w:id="1"/>
  </w:footnotePr>
  <w:compat>
    <w:noLeading/>
    <w:doNotExpandShiftReturn/>
    <w:compatSetting w:name="compatibilityMode" w:uri="http://schemas.microsoft.com/office/word" w:val="12"/>
  </w:compat>
  <w:rsids>
    <w:rsidRoot w:val="00000000"/>
    <w:rsid w:val="498335DD"/>
    <w:rsid w:val="56B67C2C"/>
    <w:rsid w:val="5A143D79"/>
    <w:rsid w:val="7B1C19AD"/>
  </w:rsids>
  <m:mathPr>
    <m:brkBin m:val="before"/>
    <m:brkBinSub m:val="--"/>
    <m:smallFrac m:val="0"/>
    <m:dispDef/>
    <m:lMargin m:val="0"/>
    <m:rMargin m:val="0"/>
    <m:defJc m:val="centerGroup"/>
    <m:wrapIndent m:val="1440"/>
    <m:intLim m:val="subSup"/>
    <m:naryLim m:val="undOvr"/>
  </m:mathPr>
  <w:themeFontLang w:val="zh-CN" w:eastAsia="zh-CN" w:bidi="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next w:val="2"/>
    <w:qFormat/>
    <w:uiPriority w:val="0"/>
    <w:pPr>
      <w:widowControl/>
      <w:suppressAutoHyphens/>
      <w:overflowPunct w:val="0"/>
      <w:bidi w:val="0"/>
      <w:spacing w:before="0" w:after="0"/>
      <w:jc w:val="left"/>
    </w:pPr>
    <w:rPr>
      <w:rFonts w:ascii="Times New Roman" w:hAnsi="Times New Roman" w:eastAsia="SimSun" w:cs="Times New Roman"/>
      <w:color w:val="000000"/>
      <w:kern w:val="0"/>
      <w:sz w:val="24"/>
      <w:szCs w:val="24"/>
      <w:lang w:val="pt-BR" w:eastAsia="zh-CN" w:bidi="ar-SA"/>
    </w:rPr>
  </w:style>
  <w:style w:type="paragraph" w:styleId="3">
    <w:name w:val="heading 1"/>
    <w:basedOn w:val="1"/>
    <w:next w:val="1"/>
    <w:qFormat/>
    <w:uiPriority w:val="0"/>
    <w:pPr>
      <w:widowControl w:val="0"/>
      <w:suppressAutoHyphens w:val="0"/>
      <w:spacing w:before="115" w:after="0"/>
      <w:ind w:left="1703" w:right="0" w:hanging="348"/>
      <w:outlineLvl w:val="0"/>
    </w:pPr>
    <w:rPr>
      <w:rFonts w:ascii="Arial" w:hAnsi="Arial" w:eastAsia="Arial" w:cs="Arial"/>
      <w:b/>
      <w:bCs/>
      <w:sz w:val="20"/>
      <w:szCs w:val="20"/>
      <w:lang w:val="en-US"/>
    </w:rPr>
  </w:style>
  <w:style w:type="paragraph" w:styleId="4">
    <w:name w:val="heading 2"/>
    <w:basedOn w:val="1"/>
    <w:next w:val="1"/>
    <w:qFormat/>
    <w:uiPriority w:val="0"/>
    <w:pPr>
      <w:widowControl w:val="0"/>
      <w:suppressAutoHyphens w:val="0"/>
      <w:ind w:left="168" w:right="0" w:firstLine="0"/>
      <w:outlineLvl w:val="1"/>
    </w:pPr>
    <w:rPr>
      <w:rFonts w:ascii="Arial" w:hAnsi="Arial" w:eastAsia="Arial" w:cs="Arial"/>
      <w:b/>
      <w:bCs/>
      <w:sz w:val="12"/>
      <w:szCs w:val="12"/>
      <w:lang w:val="pt-PT"/>
    </w:rPr>
  </w:style>
  <w:style w:type="paragraph" w:styleId="5">
    <w:name w:val="heading 3"/>
    <w:basedOn w:val="1"/>
    <w:next w:val="1"/>
    <w:qFormat/>
    <w:uiPriority w:val="0"/>
    <w:pPr>
      <w:keepNext/>
      <w:tabs>
        <w:tab w:val="left" w:pos="0"/>
      </w:tabs>
      <w:jc w:val="center"/>
      <w:outlineLvl w:val="2"/>
    </w:pPr>
    <w:rPr>
      <w:b/>
      <w:sz w:val="20"/>
      <w:szCs w:val="20"/>
    </w:rPr>
  </w:style>
  <w:style w:type="paragraph" w:styleId="6">
    <w:name w:val="heading 4"/>
    <w:basedOn w:val="1"/>
    <w:next w:val="1"/>
    <w:qFormat/>
    <w:uiPriority w:val="0"/>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outlineLvl w:val="3"/>
    </w:pPr>
    <w:rPr>
      <w:b/>
      <w:sz w:val="28"/>
      <w:szCs w:val="20"/>
    </w:rPr>
  </w:style>
  <w:style w:type="paragraph" w:styleId="7">
    <w:name w:val="heading 5"/>
    <w:basedOn w:val="1"/>
    <w:next w:val="1"/>
    <w:qFormat/>
    <w:uiPriority w:val="0"/>
    <w:pPr>
      <w:keepNext/>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utlineLvl w:val="4"/>
    </w:pPr>
    <w:rPr>
      <w:b/>
      <w:szCs w:val="20"/>
    </w:rPr>
  </w:style>
  <w:style w:type="paragraph" w:styleId="8">
    <w:name w:val="heading 6"/>
    <w:basedOn w:val="1"/>
    <w:next w:val="1"/>
    <w:qFormat/>
    <w:uiPriority w:val="0"/>
    <w:pPr>
      <w:keepNext/>
      <w:tabs>
        <w:tab w:val="left" w:pos="0"/>
      </w:tabs>
      <w:outlineLvl w:val="5"/>
    </w:pPr>
    <w:rPr>
      <w:b/>
      <w:bCs/>
      <w:sz w:val="20"/>
    </w:rPr>
  </w:style>
  <w:style w:type="paragraph" w:styleId="9">
    <w:name w:val="heading 7"/>
    <w:basedOn w:val="1"/>
    <w:next w:val="1"/>
    <w:qFormat/>
    <w:uiPriority w:val="0"/>
    <w:pPr>
      <w:keepNext/>
      <w:tabs>
        <w:tab w:val="left" w:pos="0"/>
      </w:tabs>
      <w:jc w:val="center"/>
      <w:outlineLvl w:val="6"/>
    </w:pPr>
    <w:rPr>
      <w:b/>
      <w:szCs w:val="20"/>
      <w:lang w:val="en-US"/>
    </w:rPr>
  </w:style>
  <w:style w:type="paragraph" w:styleId="10">
    <w:name w:val="heading 8"/>
    <w:basedOn w:val="1"/>
    <w:next w:val="1"/>
    <w:qFormat/>
    <w:uiPriority w:val="0"/>
    <w:pPr>
      <w:keepNext/>
      <w:tabs>
        <w:tab w:val="left" w:pos="0"/>
      </w:tabs>
      <w:jc w:val="center"/>
      <w:outlineLvl w:val="7"/>
    </w:pPr>
    <w:rPr>
      <w:b/>
      <w:bCs/>
      <w:sz w:val="22"/>
    </w:rPr>
  </w:style>
  <w:style w:type="paragraph" w:styleId="11">
    <w:name w:val="heading 9"/>
    <w:basedOn w:val="1"/>
    <w:next w:val="1"/>
    <w:qFormat/>
    <w:uiPriority w:val="0"/>
    <w:pPr>
      <w:keepNext/>
      <w:tabs>
        <w:tab w:val="left" w:pos="0"/>
      </w:tabs>
      <w:jc w:val="center"/>
      <w:outlineLvl w:val="8"/>
    </w:pPr>
    <w:rPr>
      <w:b/>
      <w:bCs/>
      <w:sz w:val="22"/>
      <w:szCs w:val="20"/>
    </w:rPr>
  </w:style>
  <w:style w:type="character" w:default="1" w:styleId="12">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customStyle="1" w:styleId="2">
    <w:name w:val="LO-normal"/>
    <w:qFormat/>
    <w:uiPriority w:val="0"/>
    <w:pPr>
      <w:widowControl/>
      <w:suppressAutoHyphens/>
      <w:overflowPunct w:val="0"/>
      <w:bidi w:val="0"/>
      <w:spacing w:before="0" w:after="0"/>
      <w:jc w:val="left"/>
    </w:pPr>
    <w:rPr>
      <w:rFonts w:ascii="Times New Roman" w:hAnsi="Times New Roman" w:eastAsia="NSimSun" w:cs="Lucida Sans"/>
      <w:color w:val="000000"/>
      <w:kern w:val="0"/>
      <w:sz w:val="24"/>
      <w:szCs w:val="24"/>
      <w:lang w:val="pt-BR" w:eastAsia="zh-CN" w:bidi="hi-IN"/>
    </w:rPr>
  </w:style>
  <w:style w:type="character" w:styleId="14">
    <w:name w:val="Strong"/>
    <w:qFormat/>
    <w:uiPriority w:val="0"/>
    <w:rPr>
      <w:b/>
      <w:bCs/>
    </w:rPr>
  </w:style>
  <w:style w:type="paragraph" w:styleId="15">
    <w:name w:val="List"/>
    <w:basedOn w:val="1"/>
    <w:qFormat/>
    <w:uiPriority w:val="0"/>
    <w:pPr>
      <w:ind w:left="283" w:right="0" w:hanging="283"/>
    </w:pPr>
    <w:rPr>
      <w:szCs w:val="20"/>
    </w:rPr>
  </w:style>
  <w:style w:type="paragraph" w:styleId="16">
    <w:name w:val="Body Text"/>
    <w:basedOn w:val="1"/>
    <w:qFormat/>
    <w:uiPriority w:val="0"/>
    <w:pPr>
      <w:tabs>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szCs w:val="20"/>
    </w:rPr>
  </w:style>
  <w:style w:type="paragraph" w:styleId="17">
    <w:name w:val="Body Text 2"/>
    <w:basedOn w:val="1"/>
    <w:qFormat/>
    <w:uiPriority w:val="0"/>
    <w:pPr>
      <w:suppressAutoHyphens w:val="0"/>
      <w:ind w:left="0" w:right="0" w:firstLine="2835"/>
      <w:jc w:val="both"/>
    </w:pPr>
    <w:rPr>
      <w:szCs w:val="20"/>
    </w:rPr>
  </w:style>
  <w:style w:type="paragraph" w:styleId="18">
    <w:name w:val="header"/>
    <w:basedOn w:val="1"/>
    <w:qFormat/>
    <w:uiPriority w:val="0"/>
    <w:pPr>
      <w:tabs>
        <w:tab w:val="center" w:pos="4320"/>
        <w:tab w:val="right" w:pos="8640"/>
      </w:tabs>
    </w:pPr>
    <w:rPr>
      <w:rFonts w:ascii="Times New (W1);Times New Roman" w:hAnsi="Times New (W1);Times New Roman" w:cs="Times New (W1);Times New Roman"/>
      <w:sz w:val="20"/>
      <w:szCs w:val="20"/>
      <w:lang w:val="en-US"/>
    </w:rPr>
  </w:style>
  <w:style w:type="paragraph" w:styleId="19">
    <w:name w:val="footer"/>
    <w:basedOn w:val="1"/>
    <w:qFormat/>
    <w:uiPriority w:val="0"/>
    <w:pPr>
      <w:tabs>
        <w:tab w:val="center" w:pos="4419"/>
        <w:tab w:val="right" w:pos="8838"/>
      </w:tabs>
    </w:pPr>
  </w:style>
  <w:style w:type="paragraph" w:styleId="20">
    <w:name w:val="caption"/>
    <w:basedOn w:val="1"/>
    <w:next w:val="1"/>
    <w:qFormat/>
    <w:uiPriority w:val="0"/>
    <w:pPr>
      <w:suppressLineNumbers/>
      <w:spacing w:before="120" w:after="120"/>
    </w:pPr>
    <w:rPr>
      <w:rFonts w:cs="Mangal;Linux Libertine G"/>
      <w:i/>
      <w:iCs/>
      <w:sz w:val="24"/>
      <w:szCs w:val="24"/>
    </w:rPr>
  </w:style>
  <w:style w:type="paragraph" w:styleId="21">
    <w:name w:val="Body Text Indent 3"/>
    <w:basedOn w:val="1"/>
    <w:qFormat/>
    <w:uiPriority w:val="0"/>
    <w:pPr>
      <w:tabs>
        <w:tab w:val="left" w:pos="1247"/>
        <w:tab w:val="left" w:pos="1418"/>
      </w:tabs>
      <w:suppressAutoHyphens w:val="0"/>
      <w:overflowPunct/>
      <w:ind w:left="0" w:right="0" w:firstLine="567"/>
      <w:jc w:val="both"/>
    </w:pPr>
    <w:rPr>
      <w:szCs w:val="20"/>
    </w:rPr>
  </w:style>
  <w:style w:type="paragraph" w:styleId="22">
    <w:name w:val="Subtitle"/>
    <w:basedOn w:val="1"/>
    <w:next w:val="16"/>
    <w:qFormat/>
    <w:uiPriority w:val="0"/>
    <w:pPr>
      <w:shd w:val="clear" w:fill="E5E5E5"/>
      <w:jc w:val="center"/>
    </w:pPr>
    <w:rPr>
      <w:rFonts w:ascii="Garamond" w:hAnsi="Garamond" w:cs="Garamond"/>
      <w:b/>
      <w:shadow/>
    </w:rPr>
  </w:style>
  <w:style w:type="paragraph" w:styleId="23">
    <w:name w:val="footnote text"/>
    <w:basedOn w:val="1"/>
    <w:qFormat/>
    <w:uiPriority w:val="0"/>
    <w:rPr>
      <w:sz w:val="20"/>
      <w:szCs w:val="20"/>
      <w:lang w:val="en-US"/>
    </w:rPr>
  </w:style>
  <w:style w:type="paragraph" w:styleId="24">
    <w:name w:val="Body Text Indent"/>
    <w:basedOn w:val="1"/>
    <w:qFormat/>
    <w:uiPriority w:val="0"/>
    <w:pPr>
      <w:spacing w:before="0" w:after="120"/>
      <w:ind w:left="283" w:right="0" w:firstLine="0"/>
    </w:pPr>
    <w:rPr>
      <w:szCs w:val="20"/>
    </w:rPr>
  </w:style>
  <w:style w:type="character" w:customStyle="1" w:styleId="25">
    <w:name w:val="WW8Num1z0"/>
    <w:qFormat/>
    <w:uiPriority w:val="0"/>
  </w:style>
  <w:style w:type="character" w:customStyle="1" w:styleId="26">
    <w:name w:val="WW8Num1z1"/>
    <w:qFormat/>
    <w:uiPriority w:val="0"/>
  </w:style>
  <w:style w:type="character" w:customStyle="1" w:styleId="27">
    <w:name w:val="WW8Num1z2"/>
    <w:qFormat/>
    <w:uiPriority w:val="0"/>
  </w:style>
  <w:style w:type="character" w:customStyle="1" w:styleId="28">
    <w:name w:val="WW8Num1z3"/>
    <w:qFormat/>
    <w:uiPriority w:val="0"/>
  </w:style>
  <w:style w:type="character" w:customStyle="1" w:styleId="29">
    <w:name w:val="WW8Num1z4"/>
    <w:qFormat/>
    <w:uiPriority w:val="0"/>
  </w:style>
  <w:style w:type="character" w:customStyle="1" w:styleId="30">
    <w:name w:val="WW8Num1z5"/>
    <w:qFormat/>
    <w:uiPriority w:val="0"/>
  </w:style>
  <w:style w:type="character" w:customStyle="1" w:styleId="31">
    <w:name w:val="WW8Num1z6"/>
    <w:qFormat/>
    <w:uiPriority w:val="0"/>
  </w:style>
  <w:style w:type="character" w:customStyle="1" w:styleId="32">
    <w:name w:val="WW8Num1z7"/>
    <w:qFormat/>
    <w:uiPriority w:val="0"/>
  </w:style>
  <w:style w:type="character" w:customStyle="1" w:styleId="33">
    <w:name w:val="WW8Num1z8"/>
    <w:qFormat/>
    <w:uiPriority w:val="0"/>
  </w:style>
  <w:style w:type="character" w:customStyle="1" w:styleId="34">
    <w:name w:val="WW8Num2z0"/>
    <w:qFormat/>
    <w:uiPriority w:val="0"/>
    <w:rPr>
      <w:color w:val="000000"/>
      <w:sz w:val="24"/>
    </w:rPr>
  </w:style>
  <w:style w:type="character" w:customStyle="1" w:styleId="35">
    <w:name w:val="WW8Num3z0"/>
    <w:qFormat/>
    <w:uiPriority w:val="0"/>
    <w:rPr>
      <w:rFonts w:ascii="Wingdings" w:hAnsi="Wingdings" w:cs="Wingdings"/>
    </w:rPr>
  </w:style>
  <w:style w:type="character" w:customStyle="1" w:styleId="36">
    <w:name w:val="WW8Num4z0"/>
    <w:qFormat/>
    <w:uiPriority w:val="0"/>
    <w:rPr>
      <w:rFonts w:ascii="Arial" w:hAnsi="Arial" w:eastAsia="Arial" w:cs="Arial"/>
      <w:b/>
      <w:bCs/>
      <w:spacing w:val="-1"/>
      <w:w w:val="99"/>
      <w:sz w:val="20"/>
      <w:szCs w:val="20"/>
      <w:lang w:val="pt-PT" w:bidi="ar-SA"/>
    </w:rPr>
  </w:style>
  <w:style w:type="character" w:customStyle="1" w:styleId="37">
    <w:name w:val="WW8Num5z0"/>
    <w:qFormat/>
    <w:uiPriority w:val="0"/>
    <w:rPr>
      <w:rFonts w:ascii="Arial" w:hAnsi="Arial" w:eastAsia="Arial" w:cs="Arial"/>
      <w:b/>
      <w:bCs/>
      <w:spacing w:val="-1"/>
      <w:w w:val="99"/>
      <w:sz w:val="20"/>
      <w:szCs w:val="20"/>
      <w:lang w:val="pt-PT" w:bidi="ar-SA"/>
    </w:rPr>
  </w:style>
  <w:style w:type="character" w:customStyle="1" w:styleId="38">
    <w:name w:val="WW8Num6z0"/>
    <w:qFormat/>
    <w:uiPriority w:val="0"/>
    <w:rPr>
      <w:rFonts w:ascii="Arial" w:hAnsi="Arial" w:eastAsia="Arial" w:cs="Arial"/>
      <w:b/>
      <w:bCs/>
      <w:spacing w:val="-1"/>
      <w:w w:val="99"/>
      <w:sz w:val="20"/>
      <w:szCs w:val="20"/>
      <w:lang w:val="pt-PT" w:bidi="ar-SA"/>
    </w:rPr>
  </w:style>
  <w:style w:type="character" w:customStyle="1" w:styleId="39">
    <w:name w:val="Fonte parág. padrão122"/>
    <w:qFormat/>
    <w:uiPriority w:val="0"/>
  </w:style>
  <w:style w:type="character" w:customStyle="1" w:styleId="40">
    <w:name w:val="Link da internet visitado"/>
    <w:qFormat/>
    <w:uiPriority w:val="0"/>
    <w:rPr>
      <w:color w:val="800080"/>
      <w:u w:val="single"/>
    </w:rPr>
  </w:style>
  <w:style w:type="character" w:customStyle="1" w:styleId="41">
    <w:name w:val="Link da Internet"/>
    <w:qFormat/>
    <w:uiPriority w:val="0"/>
    <w:rPr>
      <w:color w:val="0000FF"/>
      <w:u w:val="single"/>
    </w:rPr>
  </w:style>
  <w:style w:type="character" w:customStyle="1" w:styleId="42">
    <w:name w:val="Número de página1"/>
    <w:qFormat/>
    <w:uiPriority w:val="0"/>
  </w:style>
  <w:style w:type="character" w:customStyle="1" w:styleId="43">
    <w:name w:val="Fonte parág. padrão121"/>
    <w:qFormat/>
    <w:uiPriority w:val="0"/>
  </w:style>
  <w:style w:type="character" w:customStyle="1" w:styleId="44">
    <w:name w:val="Fonte parág. padrão120"/>
    <w:qFormat/>
    <w:uiPriority w:val="0"/>
  </w:style>
  <w:style w:type="character" w:customStyle="1" w:styleId="45">
    <w:name w:val="Fonte parág. padrão119"/>
    <w:qFormat/>
    <w:uiPriority w:val="0"/>
  </w:style>
  <w:style w:type="character" w:customStyle="1" w:styleId="46">
    <w:name w:val="Fonte parág. padrão118"/>
    <w:qFormat/>
    <w:uiPriority w:val="0"/>
  </w:style>
  <w:style w:type="character" w:customStyle="1" w:styleId="47">
    <w:name w:val="Fonte parág. padrão117"/>
    <w:qFormat/>
    <w:uiPriority w:val="0"/>
  </w:style>
  <w:style w:type="character" w:customStyle="1" w:styleId="48">
    <w:name w:val="Fonte parág. padrão116"/>
    <w:qFormat/>
    <w:uiPriority w:val="0"/>
  </w:style>
  <w:style w:type="character" w:customStyle="1" w:styleId="49">
    <w:name w:val="Fonte parág. padrão115"/>
    <w:qFormat/>
    <w:uiPriority w:val="0"/>
  </w:style>
  <w:style w:type="character" w:customStyle="1" w:styleId="50">
    <w:name w:val="Fonte parág. padrão114"/>
    <w:qFormat/>
    <w:uiPriority w:val="0"/>
  </w:style>
  <w:style w:type="character" w:customStyle="1" w:styleId="51">
    <w:name w:val="Fonte parág. padrão113"/>
    <w:qFormat/>
    <w:uiPriority w:val="0"/>
  </w:style>
  <w:style w:type="character" w:customStyle="1" w:styleId="52">
    <w:name w:val="Fonte parág. padrão112"/>
    <w:qFormat/>
    <w:uiPriority w:val="0"/>
  </w:style>
  <w:style w:type="character" w:customStyle="1" w:styleId="53">
    <w:name w:val="Fonte parág. padrão111"/>
    <w:qFormat/>
    <w:uiPriority w:val="0"/>
  </w:style>
  <w:style w:type="character" w:customStyle="1" w:styleId="54">
    <w:name w:val="Fonte parág. padrão110"/>
    <w:qFormat/>
    <w:uiPriority w:val="0"/>
  </w:style>
  <w:style w:type="character" w:customStyle="1" w:styleId="55">
    <w:name w:val="Fonte parág. padrão19"/>
    <w:qFormat/>
    <w:uiPriority w:val="0"/>
  </w:style>
  <w:style w:type="character" w:customStyle="1" w:styleId="56">
    <w:name w:val="Fonte parág. padrão18"/>
    <w:qFormat/>
    <w:uiPriority w:val="0"/>
  </w:style>
  <w:style w:type="character" w:customStyle="1" w:styleId="57">
    <w:name w:val="Fonte parág. padrão17"/>
    <w:qFormat/>
    <w:uiPriority w:val="0"/>
  </w:style>
  <w:style w:type="character" w:customStyle="1" w:styleId="58">
    <w:name w:val="Fonte parág. padrão16"/>
    <w:qFormat/>
    <w:uiPriority w:val="0"/>
  </w:style>
  <w:style w:type="character" w:customStyle="1" w:styleId="59">
    <w:name w:val="Fonte parág. padrão15"/>
    <w:qFormat/>
    <w:uiPriority w:val="0"/>
  </w:style>
  <w:style w:type="character" w:customStyle="1" w:styleId="60">
    <w:name w:val="Fonte parág. padrão14"/>
    <w:qFormat/>
    <w:uiPriority w:val="0"/>
  </w:style>
  <w:style w:type="character" w:customStyle="1" w:styleId="61">
    <w:name w:val="Fonte parág. padrão13"/>
    <w:qFormat/>
    <w:uiPriority w:val="0"/>
  </w:style>
  <w:style w:type="character" w:customStyle="1" w:styleId="62">
    <w:name w:val="Fonte parág. padrão12"/>
    <w:qFormat/>
    <w:uiPriority w:val="0"/>
  </w:style>
  <w:style w:type="character" w:customStyle="1" w:styleId="63">
    <w:name w:val="Fonte parág. padrão4"/>
    <w:qFormat/>
    <w:uiPriority w:val="0"/>
  </w:style>
  <w:style w:type="character" w:customStyle="1" w:styleId="64">
    <w:name w:val="WW-Fonte parág. padrão111111111111111111"/>
    <w:qFormat/>
    <w:uiPriority w:val="0"/>
  </w:style>
  <w:style w:type="character" w:customStyle="1" w:styleId="65">
    <w:name w:val="Fonte parág. padrão11"/>
    <w:qFormat/>
    <w:uiPriority w:val="0"/>
  </w:style>
  <w:style w:type="character" w:customStyle="1" w:styleId="66">
    <w:name w:val="WW8Num2z1"/>
    <w:qFormat/>
    <w:uiPriority w:val="0"/>
  </w:style>
  <w:style w:type="character" w:customStyle="1" w:styleId="67">
    <w:name w:val="WW8Num2z2"/>
    <w:qFormat/>
    <w:uiPriority w:val="0"/>
  </w:style>
  <w:style w:type="character" w:customStyle="1" w:styleId="68">
    <w:name w:val="WW8Num2z3"/>
    <w:qFormat/>
    <w:uiPriority w:val="0"/>
  </w:style>
  <w:style w:type="character" w:customStyle="1" w:styleId="69">
    <w:name w:val="WW8Num2z4"/>
    <w:qFormat/>
    <w:uiPriority w:val="0"/>
  </w:style>
  <w:style w:type="character" w:customStyle="1" w:styleId="70">
    <w:name w:val="WW8Num2z5"/>
    <w:qFormat/>
    <w:uiPriority w:val="0"/>
  </w:style>
  <w:style w:type="character" w:customStyle="1" w:styleId="71">
    <w:name w:val="WW8Num2z6"/>
    <w:qFormat/>
    <w:uiPriority w:val="0"/>
  </w:style>
  <w:style w:type="character" w:customStyle="1" w:styleId="72">
    <w:name w:val="WW8Num2z7"/>
    <w:qFormat/>
    <w:uiPriority w:val="0"/>
  </w:style>
  <w:style w:type="character" w:customStyle="1" w:styleId="73">
    <w:name w:val="WW8Num2z8"/>
    <w:qFormat/>
    <w:uiPriority w:val="0"/>
  </w:style>
  <w:style w:type="character" w:customStyle="1" w:styleId="74">
    <w:name w:val="WW8Num7z0"/>
    <w:qFormat/>
    <w:uiPriority w:val="0"/>
    <w:rPr>
      <w:rFonts w:ascii="Arial" w:hAnsi="Arial" w:eastAsia="Arial" w:cs="Arial"/>
      <w:b/>
      <w:bCs/>
      <w:spacing w:val="-1"/>
      <w:w w:val="99"/>
      <w:sz w:val="20"/>
      <w:szCs w:val="20"/>
      <w:lang w:val="pt-PT" w:bidi="ar-SA"/>
    </w:rPr>
  </w:style>
  <w:style w:type="character" w:customStyle="1" w:styleId="75">
    <w:name w:val="WW8Num7z1"/>
    <w:qFormat/>
    <w:uiPriority w:val="0"/>
    <w:rPr>
      <w:lang w:val="pt-PT" w:bidi="ar-SA"/>
    </w:rPr>
  </w:style>
  <w:style w:type="character" w:customStyle="1" w:styleId="76">
    <w:name w:val="WW8Num8z0"/>
    <w:qFormat/>
    <w:uiPriority w:val="0"/>
    <w:rPr>
      <w:rFonts w:ascii="Arial" w:hAnsi="Arial" w:eastAsia="Arial" w:cs="Arial"/>
      <w:b/>
      <w:bCs/>
      <w:spacing w:val="-1"/>
      <w:w w:val="99"/>
      <w:sz w:val="20"/>
      <w:szCs w:val="20"/>
      <w:lang w:val="pt-PT" w:bidi="ar-SA"/>
    </w:rPr>
  </w:style>
  <w:style w:type="character" w:customStyle="1" w:styleId="77">
    <w:name w:val="WW8Num8z1"/>
    <w:qFormat/>
    <w:uiPriority w:val="0"/>
    <w:rPr>
      <w:lang w:val="pt-PT" w:bidi="ar-SA"/>
    </w:rPr>
  </w:style>
  <w:style w:type="character" w:customStyle="1" w:styleId="78">
    <w:name w:val="WW8Num9z0"/>
    <w:qFormat/>
    <w:uiPriority w:val="0"/>
    <w:rPr>
      <w:b/>
      <w:bCs/>
      <w:spacing w:val="-1"/>
      <w:w w:val="100"/>
    </w:rPr>
  </w:style>
  <w:style w:type="character" w:customStyle="1" w:styleId="79">
    <w:name w:val="WW8Num9z1"/>
    <w:qFormat/>
    <w:uiPriority w:val="0"/>
  </w:style>
  <w:style w:type="character" w:customStyle="1" w:styleId="80">
    <w:name w:val="WW8Num10z0"/>
    <w:qFormat/>
    <w:uiPriority w:val="0"/>
    <w:rPr>
      <w:rFonts w:ascii="Arial" w:hAnsi="Arial" w:eastAsia="Arial" w:cs="Arial"/>
      <w:b/>
      <w:bCs/>
      <w:spacing w:val="-1"/>
      <w:w w:val="99"/>
      <w:sz w:val="20"/>
      <w:szCs w:val="20"/>
      <w:lang w:val="pt-PT" w:bidi="ar-SA"/>
    </w:rPr>
  </w:style>
  <w:style w:type="character" w:customStyle="1" w:styleId="81">
    <w:name w:val="WW8Num10z1"/>
    <w:qFormat/>
    <w:uiPriority w:val="0"/>
    <w:rPr>
      <w:lang w:val="pt-PT" w:bidi="ar-SA"/>
    </w:rPr>
  </w:style>
  <w:style w:type="character" w:customStyle="1" w:styleId="82">
    <w:name w:val="WW8Num11z0"/>
    <w:qFormat/>
    <w:uiPriority w:val="0"/>
    <w:rPr>
      <w:rFonts w:ascii="Arial" w:hAnsi="Arial" w:eastAsia="Arial" w:cs="Arial"/>
      <w:b/>
      <w:bCs/>
      <w:spacing w:val="-1"/>
      <w:w w:val="100"/>
      <w:sz w:val="20"/>
      <w:szCs w:val="20"/>
    </w:rPr>
  </w:style>
  <w:style w:type="character" w:customStyle="1" w:styleId="83">
    <w:name w:val="WW8Num11z1"/>
    <w:qFormat/>
    <w:uiPriority w:val="0"/>
  </w:style>
  <w:style w:type="character" w:customStyle="1" w:styleId="84">
    <w:name w:val="WW8Num12z0"/>
    <w:qFormat/>
    <w:uiPriority w:val="0"/>
    <w:rPr>
      <w:rFonts w:ascii="Arial" w:hAnsi="Arial" w:eastAsia="Arial" w:cs="Arial"/>
      <w:b/>
      <w:bCs/>
      <w:spacing w:val="-1"/>
      <w:w w:val="100"/>
      <w:sz w:val="20"/>
      <w:szCs w:val="20"/>
    </w:rPr>
  </w:style>
  <w:style w:type="character" w:customStyle="1" w:styleId="85">
    <w:name w:val="WW8Num12z1"/>
    <w:qFormat/>
    <w:uiPriority w:val="0"/>
  </w:style>
  <w:style w:type="character" w:customStyle="1" w:styleId="86">
    <w:name w:val="Fonte parág. padrão3"/>
    <w:qFormat/>
    <w:uiPriority w:val="0"/>
  </w:style>
  <w:style w:type="character" w:customStyle="1" w:styleId="87">
    <w:name w:val="WW8Num4z1"/>
    <w:qFormat/>
    <w:uiPriority w:val="0"/>
  </w:style>
  <w:style w:type="character" w:customStyle="1" w:styleId="88">
    <w:name w:val="WW8Num4z2"/>
    <w:qFormat/>
    <w:uiPriority w:val="0"/>
  </w:style>
  <w:style w:type="character" w:customStyle="1" w:styleId="89">
    <w:name w:val="WW8Num4z3"/>
    <w:qFormat/>
    <w:uiPriority w:val="0"/>
  </w:style>
  <w:style w:type="character" w:customStyle="1" w:styleId="90">
    <w:name w:val="WW8Num4z4"/>
    <w:qFormat/>
    <w:uiPriority w:val="0"/>
  </w:style>
  <w:style w:type="character" w:customStyle="1" w:styleId="91">
    <w:name w:val="WW8Num4z5"/>
    <w:qFormat/>
    <w:uiPriority w:val="0"/>
  </w:style>
  <w:style w:type="character" w:customStyle="1" w:styleId="92">
    <w:name w:val="WW8Num4z6"/>
    <w:qFormat/>
    <w:uiPriority w:val="0"/>
  </w:style>
  <w:style w:type="character" w:customStyle="1" w:styleId="93">
    <w:name w:val="WW8Num4z7"/>
    <w:qFormat/>
    <w:uiPriority w:val="0"/>
  </w:style>
  <w:style w:type="character" w:customStyle="1" w:styleId="94">
    <w:name w:val="WW8Num4z8"/>
    <w:qFormat/>
    <w:uiPriority w:val="0"/>
  </w:style>
  <w:style w:type="character" w:customStyle="1" w:styleId="95">
    <w:name w:val="WW8Num5z1"/>
    <w:qFormat/>
    <w:uiPriority w:val="0"/>
  </w:style>
  <w:style w:type="character" w:customStyle="1" w:styleId="96">
    <w:name w:val="WW8Num5z2"/>
    <w:qFormat/>
    <w:uiPriority w:val="0"/>
  </w:style>
  <w:style w:type="character" w:customStyle="1" w:styleId="97">
    <w:name w:val="WW8Num5z3"/>
    <w:qFormat/>
    <w:uiPriority w:val="0"/>
  </w:style>
  <w:style w:type="character" w:customStyle="1" w:styleId="98">
    <w:name w:val="WW8Num5z4"/>
    <w:qFormat/>
    <w:uiPriority w:val="0"/>
  </w:style>
  <w:style w:type="character" w:customStyle="1" w:styleId="99">
    <w:name w:val="WW8Num5z5"/>
    <w:qFormat/>
    <w:uiPriority w:val="0"/>
  </w:style>
  <w:style w:type="character" w:customStyle="1" w:styleId="100">
    <w:name w:val="WW8Num5z6"/>
    <w:qFormat/>
    <w:uiPriority w:val="0"/>
  </w:style>
  <w:style w:type="character" w:customStyle="1" w:styleId="101">
    <w:name w:val="WW8Num5z7"/>
    <w:qFormat/>
    <w:uiPriority w:val="0"/>
  </w:style>
  <w:style w:type="character" w:customStyle="1" w:styleId="102">
    <w:name w:val="WW8Num5z8"/>
    <w:qFormat/>
    <w:uiPriority w:val="0"/>
  </w:style>
  <w:style w:type="character" w:customStyle="1" w:styleId="103">
    <w:name w:val="WW8Num8z2"/>
    <w:qFormat/>
    <w:uiPriority w:val="0"/>
  </w:style>
  <w:style w:type="character" w:customStyle="1" w:styleId="104">
    <w:name w:val="WW8Num8z3"/>
    <w:qFormat/>
    <w:uiPriority w:val="0"/>
  </w:style>
  <w:style w:type="character" w:customStyle="1" w:styleId="105">
    <w:name w:val="WW8Num8z4"/>
    <w:qFormat/>
    <w:uiPriority w:val="0"/>
  </w:style>
  <w:style w:type="character" w:customStyle="1" w:styleId="106">
    <w:name w:val="WW8Num8z5"/>
    <w:qFormat/>
    <w:uiPriority w:val="0"/>
  </w:style>
  <w:style w:type="character" w:customStyle="1" w:styleId="107">
    <w:name w:val="WW8Num8z6"/>
    <w:qFormat/>
    <w:uiPriority w:val="0"/>
  </w:style>
  <w:style w:type="character" w:customStyle="1" w:styleId="108">
    <w:name w:val="WW8Num8z7"/>
    <w:qFormat/>
    <w:uiPriority w:val="0"/>
  </w:style>
  <w:style w:type="character" w:customStyle="1" w:styleId="109">
    <w:name w:val="WW8Num8z8"/>
    <w:qFormat/>
    <w:uiPriority w:val="0"/>
  </w:style>
  <w:style w:type="character" w:customStyle="1" w:styleId="110">
    <w:name w:val="WW8Num9z2"/>
    <w:qFormat/>
    <w:uiPriority w:val="0"/>
  </w:style>
  <w:style w:type="character" w:customStyle="1" w:styleId="111">
    <w:name w:val="WW8Num9z3"/>
    <w:qFormat/>
    <w:uiPriority w:val="0"/>
  </w:style>
  <w:style w:type="character" w:customStyle="1" w:styleId="112">
    <w:name w:val="WW8Num9z4"/>
    <w:qFormat/>
    <w:uiPriority w:val="0"/>
  </w:style>
  <w:style w:type="character" w:customStyle="1" w:styleId="113">
    <w:name w:val="WW8Num9z5"/>
    <w:qFormat/>
    <w:uiPriority w:val="0"/>
  </w:style>
  <w:style w:type="character" w:customStyle="1" w:styleId="114">
    <w:name w:val="WW8Num9z6"/>
    <w:qFormat/>
    <w:uiPriority w:val="0"/>
  </w:style>
  <w:style w:type="character" w:customStyle="1" w:styleId="115">
    <w:name w:val="WW8Num9z7"/>
    <w:qFormat/>
    <w:uiPriority w:val="0"/>
  </w:style>
  <w:style w:type="character" w:customStyle="1" w:styleId="116">
    <w:name w:val="WW8Num9z8"/>
    <w:qFormat/>
    <w:uiPriority w:val="0"/>
  </w:style>
  <w:style w:type="character" w:customStyle="1" w:styleId="117">
    <w:name w:val="Fonte parág. padrão2"/>
    <w:qFormat/>
    <w:uiPriority w:val="0"/>
  </w:style>
  <w:style w:type="character" w:customStyle="1" w:styleId="118">
    <w:name w:val="WW8Num13z0"/>
    <w:qFormat/>
    <w:uiPriority w:val="0"/>
    <w:rPr>
      <w:rFonts w:ascii="Symbol" w:hAnsi="Symbol" w:cs="Symbol"/>
    </w:rPr>
  </w:style>
  <w:style w:type="character" w:customStyle="1" w:styleId="119">
    <w:name w:val="WW8Num13z1"/>
    <w:qFormat/>
    <w:uiPriority w:val="0"/>
    <w:rPr>
      <w:rFonts w:ascii="Courier New" w:hAnsi="Courier New" w:cs="Courier New"/>
    </w:rPr>
  </w:style>
  <w:style w:type="character" w:customStyle="1" w:styleId="120">
    <w:name w:val="WW8Num13z3"/>
    <w:qFormat/>
    <w:uiPriority w:val="0"/>
    <w:rPr>
      <w:rFonts w:ascii="Symbol" w:hAnsi="Symbol" w:cs="Times New Roman"/>
    </w:rPr>
  </w:style>
  <w:style w:type="character" w:customStyle="1" w:styleId="121">
    <w:name w:val="WW8Num14z0"/>
    <w:qFormat/>
    <w:uiPriority w:val="0"/>
    <w:rPr>
      <w:color w:val="000000"/>
      <w:sz w:val="24"/>
    </w:rPr>
  </w:style>
  <w:style w:type="character" w:customStyle="1" w:styleId="122">
    <w:name w:val="Fonte parág. padrão1"/>
    <w:qFormat/>
    <w:uiPriority w:val="0"/>
  </w:style>
  <w:style w:type="character" w:customStyle="1" w:styleId="123">
    <w:name w:val="Absatz-Standardschriftart"/>
    <w:qFormat/>
    <w:uiPriority w:val="0"/>
  </w:style>
  <w:style w:type="character" w:customStyle="1" w:styleId="124">
    <w:name w:val="WW-Fonte parág. padrão"/>
    <w:qFormat/>
    <w:uiPriority w:val="0"/>
  </w:style>
  <w:style w:type="character" w:customStyle="1" w:styleId="125">
    <w:name w:val="WW-Absatz-Standardschriftart"/>
    <w:qFormat/>
    <w:uiPriority w:val="0"/>
  </w:style>
  <w:style w:type="character" w:customStyle="1" w:styleId="126">
    <w:name w:val="WW-Absatz-Standardschriftart1"/>
    <w:qFormat/>
    <w:uiPriority w:val="0"/>
  </w:style>
  <w:style w:type="character" w:customStyle="1" w:styleId="127">
    <w:name w:val="WW-Fonte parág. padrão1"/>
    <w:qFormat/>
    <w:uiPriority w:val="0"/>
  </w:style>
  <w:style w:type="character" w:customStyle="1" w:styleId="128">
    <w:name w:val="WW-Absatz-Standardschriftart11"/>
    <w:qFormat/>
    <w:uiPriority w:val="0"/>
  </w:style>
  <w:style w:type="character" w:customStyle="1" w:styleId="129">
    <w:name w:val="WW-Absatz-Standardschriftart111"/>
    <w:qFormat/>
    <w:uiPriority w:val="0"/>
  </w:style>
  <w:style w:type="character" w:customStyle="1" w:styleId="130">
    <w:name w:val="WW-Fonte parág. padrão11"/>
    <w:qFormat/>
    <w:uiPriority w:val="0"/>
  </w:style>
  <w:style w:type="character" w:customStyle="1" w:styleId="131">
    <w:name w:val="WW-Fonte parág. padrão111"/>
    <w:qFormat/>
    <w:uiPriority w:val="0"/>
  </w:style>
  <w:style w:type="character" w:customStyle="1" w:styleId="132">
    <w:name w:val="WW-Fonte parág. padrão1111"/>
    <w:qFormat/>
    <w:uiPriority w:val="0"/>
  </w:style>
  <w:style w:type="character" w:customStyle="1" w:styleId="133">
    <w:name w:val="WW-Absatz-Standardschriftart1111"/>
    <w:qFormat/>
    <w:uiPriority w:val="0"/>
  </w:style>
  <w:style w:type="character" w:customStyle="1" w:styleId="134">
    <w:name w:val="WW-Absatz-Standardschriftart11111"/>
    <w:qFormat/>
    <w:uiPriority w:val="0"/>
  </w:style>
  <w:style w:type="character" w:customStyle="1" w:styleId="135">
    <w:name w:val="WW-Fonte parág. padrão11111"/>
    <w:qFormat/>
    <w:uiPriority w:val="0"/>
  </w:style>
  <w:style w:type="character" w:customStyle="1" w:styleId="136">
    <w:name w:val="WW-Absatz-Standardschriftart111111"/>
    <w:qFormat/>
    <w:uiPriority w:val="0"/>
  </w:style>
  <w:style w:type="character" w:customStyle="1" w:styleId="137">
    <w:name w:val="WW-Fonte parág. padrão111111"/>
    <w:qFormat/>
    <w:uiPriority w:val="0"/>
  </w:style>
  <w:style w:type="character" w:customStyle="1" w:styleId="138">
    <w:name w:val="WW-Absatz-Standardschriftart1111111"/>
    <w:qFormat/>
    <w:uiPriority w:val="0"/>
  </w:style>
  <w:style w:type="character" w:customStyle="1" w:styleId="139">
    <w:name w:val="WW-Fonte parág. padrão1111111"/>
    <w:qFormat/>
    <w:uiPriority w:val="0"/>
  </w:style>
  <w:style w:type="character" w:customStyle="1" w:styleId="140">
    <w:name w:val="WW-Absatz-Standardschriftart11111111"/>
    <w:qFormat/>
    <w:uiPriority w:val="0"/>
  </w:style>
  <w:style w:type="character" w:customStyle="1" w:styleId="141">
    <w:name w:val="WW-Absatz-Standardschriftart111111111"/>
    <w:qFormat/>
    <w:uiPriority w:val="0"/>
  </w:style>
  <w:style w:type="character" w:customStyle="1" w:styleId="142">
    <w:name w:val="WW-Absatz-Standardschriftart1111111111"/>
    <w:qFormat/>
    <w:uiPriority w:val="0"/>
  </w:style>
  <w:style w:type="character" w:customStyle="1" w:styleId="143">
    <w:name w:val="WW-Fonte parág. padrão11111111"/>
    <w:qFormat/>
    <w:uiPriority w:val="0"/>
  </w:style>
  <w:style w:type="character" w:customStyle="1" w:styleId="144">
    <w:name w:val="WW-Fonte parág. padrão111111111"/>
    <w:qFormat/>
    <w:uiPriority w:val="0"/>
  </w:style>
  <w:style w:type="character" w:customStyle="1" w:styleId="145">
    <w:name w:val="WW-Absatz-Standardschriftart11111111111"/>
    <w:qFormat/>
    <w:uiPriority w:val="0"/>
  </w:style>
  <w:style w:type="character" w:customStyle="1" w:styleId="146">
    <w:name w:val="WW-Fonte parág. padrão1111111111"/>
    <w:qFormat/>
    <w:uiPriority w:val="0"/>
  </w:style>
  <w:style w:type="character" w:customStyle="1" w:styleId="147">
    <w:name w:val="WW-Absatz-Standardschriftart111111111111"/>
    <w:qFormat/>
    <w:uiPriority w:val="0"/>
  </w:style>
  <w:style w:type="character" w:customStyle="1" w:styleId="148">
    <w:name w:val="WW-Absatz-Standardschriftart1111111111111"/>
    <w:qFormat/>
    <w:uiPriority w:val="0"/>
  </w:style>
  <w:style w:type="character" w:customStyle="1" w:styleId="149">
    <w:name w:val="WW-Absatz-Standardschriftart11111111111111"/>
    <w:qFormat/>
    <w:uiPriority w:val="0"/>
  </w:style>
  <w:style w:type="character" w:customStyle="1" w:styleId="150">
    <w:name w:val="WW-Absatz-Standardschriftart111111111111111"/>
    <w:qFormat/>
    <w:uiPriority w:val="0"/>
  </w:style>
  <w:style w:type="character" w:customStyle="1" w:styleId="151">
    <w:name w:val="WW-Absatz-Standardschriftart1111111111111111"/>
    <w:qFormat/>
    <w:uiPriority w:val="0"/>
  </w:style>
  <w:style w:type="character" w:customStyle="1" w:styleId="152">
    <w:name w:val="WW-Absatz-Standardschriftart11111111111111111"/>
    <w:qFormat/>
    <w:uiPriority w:val="0"/>
  </w:style>
  <w:style w:type="character" w:customStyle="1" w:styleId="153">
    <w:name w:val="WW-Absatz-Standardschriftart111111111111111111"/>
    <w:qFormat/>
    <w:uiPriority w:val="0"/>
  </w:style>
  <w:style w:type="character" w:customStyle="1" w:styleId="154">
    <w:name w:val="WW-Absatz-Standardschriftart1111111111111111111"/>
    <w:qFormat/>
    <w:uiPriority w:val="0"/>
  </w:style>
  <w:style w:type="character" w:customStyle="1" w:styleId="155">
    <w:name w:val="WW-Absatz-Standardschriftart11111111111111111111"/>
    <w:qFormat/>
    <w:uiPriority w:val="0"/>
  </w:style>
  <w:style w:type="character" w:customStyle="1" w:styleId="156">
    <w:name w:val="WW-Absatz-Standardschriftart111111111111111111111"/>
    <w:qFormat/>
    <w:uiPriority w:val="0"/>
  </w:style>
  <w:style w:type="character" w:customStyle="1" w:styleId="157">
    <w:name w:val="WW-Absatz-Standardschriftart1111111111111111111111"/>
    <w:qFormat/>
    <w:uiPriority w:val="0"/>
  </w:style>
  <w:style w:type="character" w:customStyle="1" w:styleId="158">
    <w:name w:val="WW-Absatz-Standardschriftart11111111111111111111111"/>
    <w:qFormat/>
    <w:uiPriority w:val="0"/>
  </w:style>
  <w:style w:type="character" w:customStyle="1" w:styleId="159">
    <w:name w:val="WW-Absatz-Standardschriftart111111111111111111111111"/>
    <w:qFormat/>
    <w:uiPriority w:val="0"/>
  </w:style>
  <w:style w:type="character" w:customStyle="1" w:styleId="160">
    <w:name w:val="WW8Num3z1"/>
    <w:qFormat/>
    <w:uiPriority w:val="0"/>
    <w:rPr>
      <w:rFonts w:ascii="Courier New" w:hAnsi="Courier New" w:cs="Courier New"/>
    </w:rPr>
  </w:style>
  <w:style w:type="character" w:customStyle="1" w:styleId="161">
    <w:name w:val="WW8Num3z2"/>
    <w:qFormat/>
    <w:uiPriority w:val="0"/>
    <w:rPr>
      <w:rFonts w:ascii="Wingdings" w:hAnsi="Wingdings" w:cs="Wingdings"/>
    </w:rPr>
  </w:style>
  <w:style w:type="character" w:customStyle="1" w:styleId="162">
    <w:name w:val="WW-Fonte parág. padrão11111111111"/>
    <w:qFormat/>
    <w:uiPriority w:val="0"/>
  </w:style>
  <w:style w:type="character" w:customStyle="1" w:styleId="163">
    <w:name w:val="WW-Fonte parág. padrão111111111111"/>
    <w:qFormat/>
    <w:uiPriority w:val="0"/>
  </w:style>
  <w:style w:type="character" w:customStyle="1" w:styleId="164">
    <w:name w:val="WW-Absatz-Standardschriftart1111111111111111111111111"/>
    <w:qFormat/>
    <w:uiPriority w:val="0"/>
  </w:style>
  <w:style w:type="character" w:customStyle="1" w:styleId="165">
    <w:name w:val="WW-Absatz-Standardschriftart11111111111111111111111111"/>
    <w:qFormat/>
    <w:uiPriority w:val="0"/>
  </w:style>
  <w:style w:type="character" w:customStyle="1" w:styleId="166">
    <w:name w:val="WW-Absatz-Standardschriftart111111111111111111111111111"/>
    <w:qFormat/>
    <w:uiPriority w:val="0"/>
  </w:style>
  <w:style w:type="character" w:customStyle="1" w:styleId="167">
    <w:name w:val="WW-Fonte parág. padrão1111111111111"/>
    <w:qFormat/>
    <w:uiPriority w:val="0"/>
  </w:style>
  <w:style w:type="character" w:customStyle="1" w:styleId="168">
    <w:name w:val="WW-Fonte parág. padrão11111111111111"/>
    <w:qFormat/>
    <w:uiPriority w:val="0"/>
  </w:style>
  <w:style w:type="character" w:customStyle="1" w:styleId="169">
    <w:name w:val="WW-Fonte parág. padrão111111111111111"/>
    <w:qFormat/>
    <w:uiPriority w:val="0"/>
  </w:style>
  <w:style w:type="character" w:customStyle="1" w:styleId="170">
    <w:name w:val="WW-Absatz-Standardschriftart1111111111111111111111111111"/>
    <w:qFormat/>
    <w:uiPriority w:val="0"/>
  </w:style>
  <w:style w:type="character" w:customStyle="1" w:styleId="171">
    <w:name w:val="WW-Absatz-Standardschriftart11111111111111111111111111111"/>
    <w:qFormat/>
    <w:uiPriority w:val="0"/>
  </w:style>
  <w:style w:type="character" w:customStyle="1" w:styleId="172">
    <w:name w:val="WW-Fonte parág. padrão1111111111111111"/>
    <w:qFormat/>
    <w:uiPriority w:val="0"/>
  </w:style>
  <w:style w:type="character" w:customStyle="1" w:styleId="173">
    <w:name w:val="WW-Absatz-Standardschriftart111111111111111111111111111111"/>
    <w:qFormat/>
    <w:uiPriority w:val="0"/>
  </w:style>
  <w:style w:type="character" w:customStyle="1" w:styleId="174">
    <w:name w:val="WW-Absatz-Standardschriftart1111111111111111111111111111111"/>
    <w:qFormat/>
    <w:uiPriority w:val="0"/>
  </w:style>
  <w:style w:type="character" w:customStyle="1" w:styleId="175">
    <w:name w:val="WW-Absatz-Standardschriftart11111111111111111111111111111111"/>
    <w:qFormat/>
    <w:uiPriority w:val="0"/>
  </w:style>
  <w:style w:type="character" w:customStyle="1" w:styleId="176">
    <w:name w:val="WW8Num13z2"/>
    <w:qFormat/>
    <w:uiPriority w:val="0"/>
    <w:rPr>
      <w:rFonts w:ascii="Wingdings" w:hAnsi="Wingdings" w:cs="Wingdings"/>
    </w:rPr>
  </w:style>
  <w:style w:type="character" w:customStyle="1" w:styleId="177">
    <w:name w:val="WW-Fonte parág. padrão11111111111111111"/>
    <w:qFormat/>
    <w:uiPriority w:val="0"/>
  </w:style>
  <w:style w:type="character" w:customStyle="1" w:styleId="178">
    <w:name w:val="WW-Absatz-Standardschriftart111111111111111111111111111111111"/>
    <w:qFormat/>
    <w:uiPriority w:val="0"/>
  </w:style>
  <w:style w:type="character" w:customStyle="1" w:styleId="179">
    <w:name w:val="WW-Absatz-Standardschriftart1111111111111111111111111111111111"/>
    <w:qFormat/>
    <w:uiPriority w:val="0"/>
  </w:style>
  <w:style w:type="character" w:customStyle="1" w:styleId="180">
    <w:name w:val="WW8Num15z0"/>
    <w:qFormat/>
    <w:uiPriority w:val="0"/>
    <w:rPr>
      <w:b/>
    </w:rPr>
  </w:style>
  <w:style w:type="character" w:customStyle="1" w:styleId="181">
    <w:name w:val="WW8Num16z0"/>
    <w:qFormat/>
    <w:uiPriority w:val="0"/>
    <w:rPr>
      <w:b/>
    </w:rPr>
  </w:style>
  <w:style w:type="character" w:customStyle="1" w:styleId="182">
    <w:name w:val="WW8Num17z0"/>
    <w:qFormat/>
    <w:uiPriority w:val="0"/>
    <w:rPr>
      <w:b/>
    </w:rPr>
  </w:style>
  <w:style w:type="character" w:customStyle="1" w:styleId="183">
    <w:name w:val="WW8Num21z0"/>
    <w:qFormat/>
    <w:uiPriority w:val="0"/>
    <w:rPr>
      <w:b/>
    </w:rPr>
  </w:style>
  <w:style w:type="character" w:customStyle="1" w:styleId="184">
    <w:name w:val="WW8Num23z0"/>
    <w:qFormat/>
    <w:uiPriority w:val="0"/>
    <w:rPr>
      <w:b/>
    </w:rPr>
  </w:style>
  <w:style w:type="character" w:customStyle="1" w:styleId="185">
    <w:name w:val="WW8Num28z0"/>
    <w:qFormat/>
    <w:uiPriority w:val="0"/>
    <w:rPr>
      <w:rFonts w:ascii="Times New Roman" w:hAnsi="Times New Roman" w:cs="Times New Roman"/>
    </w:rPr>
  </w:style>
  <w:style w:type="character" w:customStyle="1" w:styleId="186">
    <w:name w:val="WW8Num32z0"/>
    <w:qFormat/>
    <w:uiPriority w:val="0"/>
    <w:rPr>
      <w:rFonts w:ascii="Times New Roman" w:hAnsi="Times New Roman" w:cs="Times New Roman"/>
      <w:b/>
      <w:sz w:val="22"/>
    </w:rPr>
  </w:style>
  <w:style w:type="character" w:customStyle="1" w:styleId="187">
    <w:name w:val="WW8Num36z0"/>
    <w:qFormat/>
    <w:uiPriority w:val="0"/>
    <w:rPr>
      <w:b/>
    </w:rPr>
  </w:style>
  <w:style w:type="character" w:customStyle="1" w:styleId="188">
    <w:name w:val="WW8Num38z0"/>
    <w:qFormat/>
    <w:uiPriority w:val="0"/>
    <w:rPr>
      <w:b/>
    </w:rPr>
  </w:style>
  <w:style w:type="character" w:customStyle="1" w:styleId="189">
    <w:name w:val="WW8Num39z0"/>
    <w:qFormat/>
    <w:uiPriority w:val="0"/>
    <w:rPr>
      <w:b/>
    </w:rPr>
  </w:style>
  <w:style w:type="character" w:customStyle="1" w:styleId="190">
    <w:name w:val="WW8Num42z0"/>
    <w:qFormat/>
    <w:uiPriority w:val="0"/>
    <w:rPr>
      <w:b/>
    </w:rPr>
  </w:style>
  <w:style w:type="character" w:customStyle="1" w:styleId="191">
    <w:name w:val="WW8Num43z0"/>
    <w:qFormat/>
    <w:uiPriority w:val="0"/>
    <w:rPr>
      <w:rFonts w:ascii="Times New Roman" w:hAnsi="Times New Roman" w:cs="Times New Roman"/>
    </w:rPr>
  </w:style>
  <w:style w:type="character" w:customStyle="1" w:styleId="192">
    <w:name w:val="WW8Num48z0"/>
    <w:qFormat/>
    <w:uiPriority w:val="0"/>
    <w:rPr>
      <w:rFonts w:ascii="Arial Rounded MT Bold" w:hAnsi="Arial Rounded MT Bold" w:cs="Arial Rounded MT Bold"/>
    </w:rPr>
  </w:style>
  <w:style w:type="character" w:customStyle="1" w:styleId="193">
    <w:name w:val="WW8Num49z0"/>
    <w:qFormat/>
    <w:uiPriority w:val="0"/>
    <w:rPr>
      <w:rFonts w:ascii="Times New Roman" w:hAnsi="Times New Roman" w:cs="Times New Roman"/>
      <w:b/>
      <w:sz w:val="22"/>
    </w:rPr>
  </w:style>
  <w:style w:type="character" w:customStyle="1" w:styleId="194">
    <w:name w:val="WW8Num50z0"/>
    <w:qFormat/>
    <w:uiPriority w:val="0"/>
    <w:rPr>
      <w:b/>
    </w:rPr>
  </w:style>
  <w:style w:type="character" w:customStyle="1" w:styleId="195">
    <w:name w:val="WW8Num52z0"/>
    <w:qFormat/>
    <w:uiPriority w:val="0"/>
    <w:rPr>
      <w:b/>
    </w:rPr>
  </w:style>
  <w:style w:type="character" w:customStyle="1" w:styleId="196">
    <w:name w:val="WW8Num58z0"/>
    <w:qFormat/>
    <w:uiPriority w:val="0"/>
    <w:rPr>
      <w:b/>
    </w:rPr>
  </w:style>
  <w:style w:type="character" w:customStyle="1" w:styleId="197">
    <w:name w:val="WW8Num61z0"/>
    <w:qFormat/>
    <w:uiPriority w:val="0"/>
    <w:rPr>
      <w:rFonts w:ascii="Times New Roman" w:hAnsi="Times New Roman" w:cs="Times New Roman"/>
      <w:sz w:val="24"/>
      <w:u w:val="none"/>
    </w:rPr>
  </w:style>
  <w:style w:type="character" w:customStyle="1" w:styleId="198">
    <w:name w:val="WW8Num63z0"/>
    <w:qFormat/>
    <w:uiPriority w:val="0"/>
    <w:rPr>
      <w:rFonts w:ascii="Symbol" w:hAnsi="Symbol" w:cs="Symbol"/>
    </w:rPr>
  </w:style>
  <w:style w:type="character" w:customStyle="1" w:styleId="199">
    <w:name w:val="WW8Num70z0"/>
    <w:qFormat/>
    <w:uiPriority w:val="0"/>
    <w:rPr>
      <w:rFonts w:ascii="Times New Roman" w:hAnsi="Times New Roman" w:cs="Times New Roman"/>
      <w:b/>
      <w:sz w:val="24"/>
      <w:u w:val="none"/>
    </w:rPr>
  </w:style>
  <w:style w:type="character" w:customStyle="1" w:styleId="200">
    <w:name w:val="WW8Num74z0"/>
    <w:qFormat/>
    <w:uiPriority w:val="0"/>
    <w:rPr>
      <w:rFonts w:ascii="Times New Roman" w:hAnsi="Times New Roman" w:eastAsia="Times New Roman" w:cs="Times New Roman"/>
    </w:rPr>
  </w:style>
  <w:style w:type="character" w:customStyle="1" w:styleId="201">
    <w:name w:val="WW8Num74z1"/>
    <w:qFormat/>
    <w:uiPriority w:val="0"/>
    <w:rPr>
      <w:rFonts w:ascii="Courier New" w:hAnsi="Courier New" w:cs="Courier New"/>
    </w:rPr>
  </w:style>
  <w:style w:type="character" w:customStyle="1" w:styleId="202">
    <w:name w:val="WW8Num74z2"/>
    <w:qFormat/>
    <w:uiPriority w:val="0"/>
    <w:rPr>
      <w:rFonts w:ascii="Wingdings" w:hAnsi="Wingdings" w:cs="Wingdings"/>
    </w:rPr>
  </w:style>
  <w:style w:type="character" w:customStyle="1" w:styleId="203">
    <w:name w:val="WW8Num74z3"/>
    <w:qFormat/>
    <w:uiPriority w:val="0"/>
    <w:rPr>
      <w:rFonts w:ascii="Symbol" w:hAnsi="Symbol" w:cs="Symbol"/>
    </w:rPr>
  </w:style>
  <w:style w:type="character" w:customStyle="1" w:styleId="204">
    <w:name w:val="WW8Num75z1"/>
    <w:qFormat/>
    <w:uiPriority w:val="0"/>
    <w:rPr>
      <w:b/>
    </w:rPr>
  </w:style>
  <w:style w:type="character" w:customStyle="1" w:styleId="205">
    <w:name w:val="WW8Num77z0"/>
    <w:qFormat/>
    <w:uiPriority w:val="0"/>
    <w:rPr>
      <w:rFonts w:ascii="Times New Roman" w:hAnsi="Times New Roman" w:cs="Times New Roman"/>
      <w:b/>
      <w:sz w:val="22"/>
    </w:rPr>
  </w:style>
  <w:style w:type="character" w:customStyle="1" w:styleId="206">
    <w:name w:val="WW8Num79z0"/>
    <w:qFormat/>
    <w:uiPriority w:val="0"/>
    <w:rPr>
      <w:b/>
    </w:rPr>
  </w:style>
  <w:style w:type="character" w:customStyle="1" w:styleId="207">
    <w:name w:val="WW8Num81z0"/>
    <w:qFormat/>
    <w:uiPriority w:val="0"/>
    <w:rPr>
      <w:b/>
    </w:rPr>
  </w:style>
  <w:style w:type="character" w:customStyle="1" w:styleId="208">
    <w:name w:val="WW8Num82z0"/>
    <w:qFormat/>
    <w:uiPriority w:val="0"/>
    <w:rPr>
      <w:b/>
    </w:rPr>
  </w:style>
  <w:style w:type="character" w:customStyle="1" w:styleId="209">
    <w:name w:val="WW8Num83z0"/>
    <w:qFormat/>
    <w:uiPriority w:val="0"/>
    <w:rPr>
      <w:u w:val="single"/>
    </w:rPr>
  </w:style>
  <w:style w:type="character" w:customStyle="1" w:styleId="210">
    <w:name w:val="WW8Num83z1"/>
    <w:qFormat/>
    <w:uiPriority w:val="0"/>
    <w:rPr>
      <w:rFonts w:ascii="Times New Roman" w:hAnsi="Times New Roman" w:eastAsia="Times New Roman" w:cs="Times New Roman"/>
    </w:rPr>
  </w:style>
  <w:style w:type="character" w:customStyle="1" w:styleId="211">
    <w:name w:val="WW8Num84z0"/>
    <w:qFormat/>
    <w:uiPriority w:val="0"/>
    <w:rPr>
      <w:b/>
    </w:rPr>
  </w:style>
  <w:style w:type="character" w:customStyle="1" w:styleId="212">
    <w:name w:val="WW8Num85z0"/>
    <w:qFormat/>
    <w:uiPriority w:val="0"/>
    <w:rPr>
      <w:rFonts w:ascii="Times New Roman" w:hAnsi="Times New Roman" w:cs="Times New Roman"/>
      <w:b/>
      <w:sz w:val="22"/>
      <w:u w:val="none"/>
    </w:rPr>
  </w:style>
  <w:style w:type="character" w:customStyle="1" w:styleId="213">
    <w:name w:val="WW8Num86z0"/>
    <w:qFormat/>
    <w:uiPriority w:val="0"/>
    <w:rPr>
      <w:b/>
    </w:rPr>
  </w:style>
  <w:style w:type="character" w:customStyle="1" w:styleId="214">
    <w:name w:val="WW8Num88z0"/>
    <w:qFormat/>
    <w:uiPriority w:val="0"/>
    <w:rPr>
      <w:rFonts w:ascii="Symbol" w:hAnsi="Symbol" w:cs="Symbol"/>
    </w:rPr>
  </w:style>
  <w:style w:type="character" w:customStyle="1" w:styleId="215">
    <w:name w:val="WW8Num88z1"/>
    <w:qFormat/>
    <w:uiPriority w:val="0"/>
    <w:rPr>
      <w:rFonts w:ascii="Courier New" w:hAnsi="Courier New" w:cs="Courier New"/>
    </w:rPr>
  </w:style>
  <w:style w:type="character" w:customStyle="1" w:styleId="216">
    <w:name w:val="WW8Num88z2"/>
    <w:qFormat/>
    <w:uiPriority w:val="0"/>
    <w:rPr>
      <w:rFonts w:ascii="Wingdings" w:hAnsi="Wingdings" w:cs="Wingdings"/>
    </w:rPr>
  </w:style>
  <w:style w:type="character" w:customStyle="1" w:styleId="217">
    <w:name w:val="WW8Num89z0"/>
    <w:qFormat/>
    <w:uiPriority w:val="0"/>
    <w:rPr>
      <w:b/>
    </w:rPr>
  </w:style>
  <w:style w:type="character" w:customStyle="1" w:styleId="218">
    <w:name w:val="WW8Num92z0"/>
    <w:qFormat/>
    <w:uiPriority w:val="0"/>
    <w:rPr>
      <w:rFonts w:ascii="Times New Roman" w:hAnsi="Times New Roman" w:cs="Times New Roman"/>
      <w:b/>
      <w:sz w:val="18"/>
    </w:rPr>
  </w:style>
  <w:style w:type="character" w:customStyle="1" w:styleId="219">
    <w:name w:val="WW8Num93z0"/>
    <w:qFormat/>
    <w:uiPriority w:val="0"/>
    <w:rPr>
      <w:rFonts w:ascii="Symbol" w:hAnsi="Symbol" w:cs="Symbol"/>
    </w:rPr>
  </w:style>
  <w:style w:type="character" w:customStyle="1" w:styleId="220">
    <w:name w:val="WW8Num94z0"/>
    <w:qFormat/>
    <w:uiPriority w:val="0"/>
    <w:rPr>
      <w:rFonts w:ascii="Times New Roman" w:hAnsi="Times New Roman" w:cs="Times New Roman"/>
      <w:sz w:val="24"/>
      <w:u w:val="none"/>
    </w:rPr>
  </w:style>
  <w:style w:type="character" w:customStyle="1" w:styleId="221">
    <w:name w:val="WW8Num95z0"/>
    <w:qFormat/>
    <w:uiPriority w:val="0"/>
    <w:rPr>
      <w:b/>
    </w:rPr>
  </w:style>
  <w:style w:type="character" w:customStyle="1" w:styleId="222">
    <w:name w:val="WW8Num96z0"/>
    <w:qFormat/>
    <w:uiPriority w:val="0"/>
    <w:rPr>
      <w:b/>
    </w:rPr>
  </w:style>
  <w:style w:type="character" w:customStyle="1" w:styleId="223">
    <w:name w:val="WW8Num100z0"/>
    <w:qFormat/>
    <w:uiPriority w:val="0"/>
    <w:rPr>
      <w:rFonts w:ascii="Times New Roman" w:hAnsi="Times New Roman" w:eastAsia="Times New Roman" w:cs="Times New Roman"/>
    </w:rPr>
  </w:style>
  <w:style w:type="character" w:customStyle="1" w:styleId="224">
    <w:name w:val="WW8Num100z1"/>
    <w:qFormat/>
    <w:uiPriority w:val="0"/>
    <w:rPr>
      <w:rFonts w:ascii="Courier New" w:hAnsi="Courier New" w:cs="Courier New"/>
    </w:rPr>
  </w:style>
  <w:style w:type="character" w:customStyle="1" w:styleId="225">
    <w:name w:val="WW8Num100z2"/>
    <w:qFormat/>
    <w:uiPriority w:val="0"/>
    <w:rPr>
      <w:rFonts w:ascii="Wingdings" w:hAnsi="Wingdings" w:cs="Wingdings"/>
    </w:rPr>
  </w:style>
  <w:style w:type="character" w:customStyle="1" w:styleId="226">
    <w:name w:val="WW8Num100z3"/>
    <w:qFormat/>
    <w:uiPriority w:val="0"/>
    <w:rPr>
      <w:rFonts w:ascii="Symbol" w:hAnsi="Symbol" w:cs="Symbol"/>
    </w:rPr>
  </w:style>
  <w:style w:type="character" w:customStyle="1" w:styleId="227">
    <w:name w:val="WW8Num102z0"/>
    <w:qFormat/>
    <w:uiPriority w:val="0"/>
    <w:rPr>
      <w:b/>
    </w:rPr>
  </w:style>
  <w:style w:type="character" w:customStyle="1" w:styleId="228">
    <w:name w:val="WW8Num103z0"/>
    <w:qFormat/>
    <w:uiPriority w:val="0"/>
    <w:rPr>
      <w:rFonts w:ascii="Times New Roman" w:hAnsi="Times New Roman" w:cs="Times New Roman"/>
      <w:b/>
      <w:sz w:val="18"/>
    </w:rPr>
  </w:style>
  <w:style w:type="character" w:customStyle="1" w:styleId="229">
    <w:name w:val="WW8Num106z0"/>
    <w:qFormat/>
    <w:uiPriority w:val="0"/>
    <w:rPr>
      <w:rFonts w:ascii="Times New Roman" w:hAnsi="Times New Roman" w:cs="Times New Roman"/>
      <w:sz w:val="24"/>
    </w:rPr>
  </w:style>
  <w:style w:type="character" w:customStyle="1" w:styleId="230">
    <w:name w:val="WW8Num107z0"/>
    <w:qFormat/>
    <w:uiPriority w:val="0"/>
  </w:style>
  <w:style w:type="character" w:customStyle="1" w:styleId="231">
    <w:name w:val="WW8Num108z0"/>
    <w:qFormat/>
    <w:uiPriority w:val="0"/>
    <w:rPr>
      <w:b/>
    </w:rPr>
  </w:style>
  <w:style w:type="character" w:customStyle="1" w:styleId="232">
    <w:name w:val="WW8Num109z0"/>
    <w:qFormat/>
    <w:uiPriority w:val="0"/>
    <w:rPr>
      <w:b/>
    </w:rPr>
  </w:style>
  <w:style w:type="character" w:customStyle="1" w:styleId="233">
    <w:name w:val="WW8Num112z0"/>
    <w:qFormat/>
    <w:uiPriority w:val="0"/>
    <w:rPr>
      <w:b/>
    </w:rPr>
  </w:style>
  <w:style w:type="character" w:customStyle="1" w:styleId="234">
    <w:name w:val="WW8Num118z0"/>
    <w:qFormat/>
    <w:uiPriority w:val="0"/>
    <w:rPr>
      <w:b/>
    </w:rPr>
  </w:style>
  <w:style w:type="character" w:customStyle="1" w:styleId="235">
    <w:name w:val="WW8Num118z1"/>
    <w:qFormat/>
    <w:uiPriority w:val="0"/>
    <w:rPr>
      <w:rFonts w:ascii="Times New Roman" w:hAnsi="Times New Roman" w:cs="Times New Roman"/>
      <w:b/>
      <w:sz w:val="22"/>
    </w:rPr>
  </w:style>
  <w:style w:type="character" w:customStyle="1" w:styleId="236">
    <w:name w:val="WW8Num120z0"/>
    <w:qFormat/>
    <w:uiPriority w:val="0"/>
    <w:rPr>
      <w:rFonts w:ascii="Times New Roman" w:hAnsi="Times New Roman" w:cs="Times New Roman"/>
      <w:b/>
      <w:sz w:val="18"/>
    </w:rPr>
  </w:style>
  <w:style w:type="character" w:customStyle="1" w:styleId="237">
    <w:name w:val="WW8Num121z0"/>
    <w:qFormat/>
    <w:uiPriority w:val="0"/>
    <w:rPr>
      <w:b/>
    </w:rPr>
  </w:style>
  <w:style w:type="character" w:customStyle="1" w:styleId="238">
    <w:name w:val="WW8Num122z0"/>
    <w:qFormat/>
    <w:uiPriority w:val="0"/>
    <w:rPr>
      <w:rFonts w:ascii="Symbol" w:hAnsi="Symbol" w:cs="Symbol"/>
    </w:rPr>
  </w:style>
  <w:style w:type="character" w:customStyle="1" w:styleId="239">
    <w:name w:val="WW8Num128z0"/>
    <w:qFormat/>
    <w:uiPriority w:val="0"/>
    <w:rPr>
      <w:rFonts w:ascii="Symbol" w:hAnsi="Symbol" w:cs="Symbol"/>
    </w:rPr>
  </w:style>
  <w:style w:type="character" w:customStyle="1" w:styleId="240">
    <w:name w:val="WW8Num134z0"/>
    <w:qFormat/>
    <w:uiPriority w:val="0"/>
    <w:rPr>
      <w:rFonts w:ascii="Times New Roman" w:hAnsi="Times New Roman" w:cs="Times New Roman"/>
      <w:b/>
      <w:sz w:val="22"/>
    </w:rPr>
  </w:style>
  <w:style w:type="character" w:customStyle="1" w:styleId="241">
    <w:name w:val="WW8Num135z0"/>
    <w:qFormat/>
    <w:uiPriority w:val="0"/>
  </w:style>
  <w:style w:type="character" w:customStyle="1" w:styleId="242">
    <w:name w:val="WW8Num136z0"/>
    <w:qFormat/>
    <w:uiPriority w:val="0"/>
    <w:rPr>
      <w:b/>
    </w:rPr>
  </w:style>
  <w:style w:type="character" w:customStyle="1" w:styleId="243">
    <w:name w:val="WW8Num137z0"/>
    <w:qFormat/>
    <w:uiPriority w:val="0"/>
    <w:rPr>
      <w:rFonts w:ascii="Symbol" w:hAnsi="Symbol" w:cs="Symbol"/>
    </w:rPr>
  </w:style>
  <w:style w:type="character" w:customStyle="1" w:styleId="244">
    <w:name w:val="WW8Num140z0"/>
    <w:qFormat/>
    <w:uiPriority w:val="0"/>
    <w:rPr>
      <w:rFonts w:ascii="Symbol" w:hAnsi="Symbol" w:cs="Symbol"/>
    </w:rPr>
  </w:style>
  <w:style w:type="character" w:customStyle="1" w:styleId="245">
    <w:name w:val="WW8Num140z1"/>
    <w:qFormat/>
    <w:uiPriority w:val="0"/>
    <w:rPr>
      <w:rFonts w:ascii="Courier New" w:hAnsi="Courier New" w:cs="Courier New"/>
    </w:rPr>
  </w:style>
  <w:style w:type="character" w:customStyle="1" w:styleId="246">
    <w:name w:val="WW8Num140z2"/>
    <w:qFormat/>
    <w:uiPriority w:val="0"/>
    <w:rPr>
      <w:rFonts w:ascii="Wingdings" w:hAnsi="Wingdings" w:cs="Wingdings"/>
    </w:rPr>
  </w:style>
  <w:style w:type="character" w:customStyle="1" w:styleId="247">
    <w:name w:val="WW8Num142z0"/>
    <w:qFormat/>
    <w:uiPriority w:val="0"/>
    <w:rPr>
      <w:b/>
    </w:rPr>
  </w:style>
  <w:style w:type="character" w:customStyle="1" w:styleId="248">
    <w:name w:val="WW8Num145z1"/>
    <w:qFormat/>
    <w:uiPriority w:val="0"/>
    <w:rPr>
      <w:rFonts w:ascii="Courier New" w:hAnsi="Courier New" w:cs="Courier New"/>
    </w:rPr>
  </w:style>
  <w:style w:type="character" w:customStyle="1" w:styleId="249">
    <w:name w:val="WW8Num145z2"/>
    <w:qFormat/>
    <w:uiPriority w:val="0"/>
    <w:rPr>
      <w:rFonts w:ascii="Wingdings" w:hAnsi="Wingdings" w:cs="Wingdings"/>
    </w:rPr>
  </w:style>
  <w:style w:type="character" w:customStyle="1" w:styleId="250">
    <w:name w:val="WW8Num145z3"/>
    <w:qFormat/>
    <w:uiPriority w:val="0"/>
    <w:rPr>
      <w:rFonts w:ascii="Symbol" w:hAnsi="Symbol" w:cs="Symbol"/>
    </w:rPr>
  </w:style>
  <w:style w:type="character" w:customStyle="1" w:styleId="251">
    <w:name w:val="WW8Num149z0"/>
    <w:qFormat/>
    <w:uiPriority w:val="0"/>
    <w:rPr>
      <w:rFonts w:ascii="Times New Roman" w:hAnsi="Times New Roman" w:cs="Times New Roman"/>
      <w:b/>
      <w:sz w:val="18"/>
    </w:rPr>
  </w:style>
  <w:style w:type="character" w:customStyle="1" w:styleId="252">
    <w:name w:val="WW8Num151z0"/>
    <w:qFormat/>
    <w:uiPriority w:val="0"/>
    <w:rPr>
      <w:b/>
    </w:rPr>
  </w:style>
  <w:style w:type="character" w:customStyle="1" w:styleId="253">
    <w:name w:val="WW8Num160z0"/>
    <w:qFormat/>
    <w:uiPriority w:val="0"/>
    <w:rPr>
      <w:b/>
      <w:sz w:val="24"/>
    </w:rPr>
  </w:style>
  <w:style w:type="character" w:customStyle="1" w:styleId="254">
    <w:name w:val="WW8Num164z0"/>
    <w:qFormat/>
    <w:uiPriority w:val="0"/>
    <w:rPr>
      <w:b/>
    </w:rPr>
  </w:style>
  <w:style w:type="character" w:customStyle="1" w:styleId="255">
    <w:name w:val="WW8Num165z1"/>
    <w:qFormat/>
    <w:uiPriority w:val="0"/>
    <w:rPr>
      <w:b/>
    </w:rPr>
  </w:style>
  <w:style w:type="character" w:customStyle="1" w:styleId="256">
    <w:name w:val="WW8Num167z0"/>
    <w:qFormat/>
    <w:uiPriority w:val="0"/>
    <w:rPr>
      <w:b/>
    </w:rPr>
  </w:style>
  <w:style w:type="character" w:customStyle="1" w:styleId="257">
    <w:name w:val="WW8Num168z1"/>
    <w:qFormat/>
    <w:uiPriority w:val="0"/>
    <w:rPr>
      <w:rFonts w:ascii="Times New Roman" w:hAnsi="Times New Roman" w:cs="Times New Roman"/>
    </w:rPr>
  </w:style>
  <w:style w:type="character" w:customStyle="1" w:styleId="258">
    <w:name w:val="WW8Num169z0"/>
    <w:qFormat/>
    <w:uiPriority w:val="0"/>
    <w:rPr>
      <w:rFonts w:ascii="Times New Roman" w:hAnsi="Times New Roman" w:cs="Times New Roman"/>
      <w:b/>
      <w:sz w:val="22"/>
    </w:rPr>
  </w:style>
  <w:style w:type="character" w:customStyle="1" w:styleId="259">
    <w:name w:val="WW8Num173z0"/>
    <w:qFormat/>
    <w:uiPriority w:val="0"/>
    <w:rPr>
      <w:b/>
    </w:rPr>
  </w:style>
  <w:style w:type="character" w:customStyle="1" w:styleId="260">
    <w:name w:val="WW8Num176z0"/>
    <w:qFormat/>
    <w:uiPriority w:val="0"/>
    <w:rPr>
      <w:b/>
    </w:rPr>
  </w:style>
  <w:style w:type="character" w:customStyle="1" w:styleId="261">
    <w:name w:val="WW8Num177z0"/>
    <w:qFormat/>
    <w:uiPriority w:val="0"/>
    <w:rPr>
      <w:b/>
    </w:rPr>
  </w:style>
  <w:style w:type="character" w:customStyle="1" w:styleId="262">
    <w:name w:val="WW8Num177z1"/>
    <w:qFormat/>
    <w:uiPriority w:val="0"/>
    <w:rPr>
      <w:rFonts w:ascii="Times New Roman" w:hAnsi="Times New Roman" w:cs="Times New Roman"/>
      <w:b/>
      <w:sz w:val="22"/>
    </w:rPr>
  </w:style>
  <w:style w:type="character" w:customStyle="1" w:styleId="263">
    <w:name w:val="WW8Num178z0"/>
    <w:qFormat/>
    <w:uiPriority w:val="0"/>
    <w:rPr>
      <w:b/>
    </w:rPr>
  </w:style>
  <w:style w:type="character" w:customStyle="1" w:styleId="264">
    <w:name w:val="WW8Num181z0"/>
    <w:qFormat/>
    <w:uiPriority w:val="0"/>
    <w:rPr>
      <w:b/>
    </w:rPr>
  </w:style>
  <w:style w:type="character" w:customStyle="1" w:styleId="265">
    <w:name w:val="WW8Num183z0"/>
    <w:qFormat/>
    <w:uiPriority w:val="0"/>
    <w:rPr>
      <w:b/>
    </w:rPr>
  </w:style>
  <w:style w:type="character" w:customStyle="1" w:styleId="266">
    <w:name w:val="WW8Num187z0"/>
    <w:qFormat/>
    <w:uiPriority w:val="0"/>
    <w:rPr>
      <w:b/>
    </w:rPr>
  </w:style>
  <w:style w:type="character" w:customStyle="1" w:styleId="267">
    <w:name w:val="WW8Num188z0"/>
    <w:qFormat/>
    <w:uiPriority w:val="0"/>
    <w:rPr>
      <w:b/>
    </w:rPr>
  </w:style>
  <w:style w:type="character" w:customStyle="1" w:styleId="268">
    <w:name w:val="WW8Num193z0"/>
    <w:qFormat/>
    <w:uiPriority w:val="0"/>
    <w:rPr>
      <w:rFonts w:ascii="Wingdings" w:hAnsi="Wingdings" w:cs="Wingdings"/>
    </w:rPr>
  </w:style>
  <w:style w:type="character" w:customStyle="1" w:styleId="269">
    <w:name w:val="WW8Num202z0"/>
    <w:qFormat/>
    <w:uiPriority w:val="0"/>
    <w:rPr>
      <w:rFonts w:ascii="Wingdings" w:hAnsi="Wingdings" w:cs="Wingdings"/>
    </w:rPr>
  </w:style>
  <w:style w:type="character" w:customStyle="1" w:styleId="270">
    <w:name w:val="WW8Num203z0"/>
    <w:qFormat/>
    <w:uiPriority w:val="0"/>
    <w:rPr>
      <w:b/>
    </w:rPr>
  </w:style>
  <w:style w:type="character" w:customStyle="1" w:styleId="271">
    <w:name w:val="WW8Num203z1"/>
    <w:qFormat/>
    <w:uiPriority w:val="0"/>
    <w:rPr>
      <w:rFonts w:ascii="Times New Roman" w:hAnsi="Times New Roman" w:cs="Times New Roman"/>
      <w:b/>
      <w:sz w:val="22"/>
    </w:rPr>
  </w:style>
  <w:style w:type="character" w:customStyle="1" w:styleId="272">
    <w:name w:val="WW8Num204z0"/>
    <w:qFormat/>
    <w:uiPriority w:val="0"/>
    <w:rPr>
      <w:rFonts w:ascii="Wingdings" w:hAnsi="Wingdings" w:cs="Wingdings"/>
    </w:rPr>
  </w:style>
  <w:style w:type="character" w:customStyle="1" w:styleId="273">
    <w:name w:val="WW8Num204z1"/>
    <w:qFormat/>
    <w:uiPriority w:val="0"/>
    <w:rPr>
      <w:rFonts w:ascii="Courier New" w:hAnsi="Courier New" w:cs="Courier New"/>
    </w:rPr>
  </w:style>
  <w:style w:type="character" w:customStyle="1" w:styleId="274">
    <w:name w:val="WW8Num204z3"/>
    <w:qFormat/>
    <w:uiPriority w:val="0"/>
    <w:rPr>
      <w:rFonts w:ascii="Symbol" w:hAnsi="Symbol" w:cs="Symbol"/>
    </w:rPr>
  </w:style>
  <w:style w:type="character" w:customStyle="1" w:styleId="275">
    <w:name w:val="WW8Num207z0"/>
    <w:qFormat/>
    <w:uiPriority w:val="0"/>
    <w:rPr>
      <w:rFonts w:ascii="Symbol" w:hAnsi="Symbol" w:cs="Symbol"/>
    </w:rPr>
  </w:style>
  <w:style w:type="character" w:customStyle="1" w:styleId="276">
    <w:name w:val="WW8Num207z1"/>
    <w:qFormat/>
    <w:uiPriority w:val="0"/>
    <w:rPr>
      <w:rFonts w:ascii="Courier New" w:hAnsi="Courier New" w:cs="Courier New"/>
    </w:rPr>
  </w:style>
  <w:style w:type="character" w:customStyle="1" w:styleId="277">
    <w:name w:val="WW8Num207z2"/>
    <w:qFormat/>
    <w:uiPriority w:val="0"/>
    <w:rPr>
      <w:rFonts w:ascii="Wingdings" w:hAnsi="Wingdings" w:cs="Wingdings"/>
    </w:rPr>
  </w:style>
  <w:style w:type="character" w:customStyle="1" w:styleId="278">
    <w:name w:val="WW8Num209z0"/>
    <w:qFormat/>
    <w:uiPriority w:val="0"/>
    <w:rPr>
      <w:rFonts w:ascii="Times New Roman" w:hAnsi="Times New Roman" w:cs="Times New Roman"/>
      <w:b/>
      <w:sz w:val="22"/>
    </w:rPr>
  </w:style>
  <w:style w:type="character" w:customStyle="1" w:styleId="279">
    <w:name w:val="WW8Num210z0"/>
    <w:qFormat/>
    <w:uiPriority w:val="0"/>
    <w:rPr>
      <w:b/>
    </w:rPr>
  </w:style>
  <w:style w:type="character" w:customStyle="1" w:styleId="280">
    <w:name w:val="WW8Num213z0"/>
    <w:qFormat/>
    <w:uiPriority w:val="0"/>
    <w:rPr>
      <w:rFonts w:ascii="Courier New" w:hAnsi="Courier New" w:cs="Courier New"/>
    </w:rPr>
  </w:style>
  <w:style w:type="character" w:customStyle="1" w:styleId="281">
    <w:name w:val="WW8Num213z2"/>
    <w:qFormat/>
    <w:uiPriority w:val="0"/>
    <w:rPr>
      <w:rFonts w:ascii="Wingdings" w:hAnsi="Wingdings" w:cs="Wingdings"/>
    </w:rPr>
  </w:style>
  <w:style w:type="character" w:customStyle="1" w:styleId="282">
    <w:name w:val="WW8Num213z3"/>
    <w:qFormat/>
    <w:uiPriority w:val="0"/>
    <w:rPr>
      <w:rFonts w:ascii="Symbol" w:hAnsi="Symbol" w:cs="Symbol"/>
    </w:rPr>
  </w:style>
  <w:style w:type="character" w:customStyle="1" w:styleId="283">
    <w:name w:val="WW8Num221z1"/>
    <w:qFormat/>
    <w:uiPriority w:val="0"/>
    <w:rPr>
      <w:b/>
    </w:rPr>
  </w:style>
  <w:style w:type="character" w:customStyle="1" w:styleId="284">
    <w:name w:val="WW8Num223z0"/>
    <w:qFormat/>
    <w:uiPriority w:val="0"/>
    <w:rPr>
      <w:b/>
    </w:rPr>
  </w:style>
  <w:style w:type="character" w:customStyle="1" w:styleId="285">
    <w:name w:val="WW8Num225z0"/>
    <w:qFormat/>
    <w:uiPriority w:val="0"/>
    <w:rPr>
      <w:rFonts w:ascii="Symbol" w:hAnsi="Symbol" w:cs="Symbol"/>
    </w:rPr>
  </w:style>
  <w:style w:type="character" w:customStyle="1" w:styleId="286">
    <w:name w:val="WW8Num225z1"/>
    <w:qFormat/>
    <w:uiPriority w:val="0"/>
    <w:rPr>
      <w:rFonts w:ascii="Courier New" w:hAnsi="Courier New" w:cs="Courier New"/>
    </w:rPr>
  </w:style>
  <w:style w:type="character" w:customStyle="1" w:styleId="287">
    <w:name w:val="WW8Num225z2"/>
    <w:qFormat/>
    <w:uiPriority w:val="0"/>
    <w:rPr>
      <w:rFonts w:ascii="Wingdings" w:hAnsi="Wingdings" w:cs="Wingdings"/>
    </w:rPr>
  </w:style>
  <w:style w:type="character" w:customStyle="1" w:styleId="288">
    <w:name w:val="WW8Num227z0"/>
    <w:qFormat/>
    <w:uiPriority w:val="0"/>
    <w:rPr>
      <w:b/>
    </w:rPr>
  </w:style>
  <w:style w:type="character" w:customStyle="1" w:styleId="289">
    <w:name w:val="WW8Num229z0"/>
    <w:qFormat/>
    <w:uiPriority w:val="0"/>
    <w:rPr>
      <w:b/>
    </w:rPr>
  </w:style>
  <w:style w:type="character" w:customStyle="1" w:styleId="290">
    <w:name w:val="WW8Num230z1"/>
    <w:qFormat/>
    <w:uiPriority w:val="0"/>
    <w:rPr>
      <w:u w:val="none"/>
    </w:rPr>
  </w:style>
  <w:style w:type="character" w:customStyle="1" w:styleId="291">
    <w:name w:val="WW8Num233z0"/>
    <w:qFormat/>
    <w:uiPriority w:val="0"/>
    <w:rPr>
      <w:rFonts w:ascii="Times New Roman" w:hAnsi="Times New Roman" w:cs="Times New Roman"/>
      <w:b/>
      <w:sz w:val="24"/>
      <w:u w:val="none"/>
    </w:rPr>
  </w:style>
  <w:style w:type="character" w:customStyle="1" w:styleId="292">
    <w:name w:val="WW8Num238z0"/>
    <w:qFormat/>
    <w:uiPriority w:val="0"/>
    <w:rPr>
      <w:rFonts w:ascii="Times New Roman" w:hAnsi="Times New Roman" w:eastAsia="Times New Roman" w:cs="Times New Roman"/>
    </w:rPr>
  </w:style>
  <w:style w:type="character" w:customStyle="1" w:styleId="293">
    <w:name w:val="WW8Num238z1"/>
    <w:qFormat/>
    <w:uiPriority w:val="0"/>
    <w:rPr>
      <w:rFonts w:ascii="Courier New" w:hAnsi="Courier New" w:cs="Courier New"/>
    </w:rPr>
  </w:style>
  <w:style w:type="character" w:customStyle="1" w:styleId="294">
    <w:name w:val="WW8Num238z2"/>
    <w:qFormat/>
    <w:uiPriority w:val="0"/>
    <w:rPr>
      <w:rFonts w:ascii="Wingdings" w:hAnsi="Wingdings" w:cs="Wingdings"/>
    </w:rPr>
  </w:style>
  <w:style w:type="character" w:customStyle="1" w:styleId="295">
    <w:name w:val="WW8Num238z3"/>
    <w:qFormat/>
    <w:uiPriority w:val="0"/>
    <w:rPr>
      <w:rFonts w:ascii="Symbol" w:hAnsi="Symbol" w:cs="Symbol"/>
    </w:rPr>
  </w:style>
  <w:style w:type="character" w:customStyle="1" w:styleId="296">
    <w:name w:val="WW8Num240z0"/>
    <w:qFormat/>
    <w:uiPriority w:val="0"/>
    <w:rPr>
      <w:rFonts w:ascii="Symbol" w:hAnsi="Symbol" w:eastAsia="Times New Roman" w:cs="Times New Roman"/>
    </w:rPr>
  </w:style>
  <w:style w:type="character" w:customStyle="1" w:styleId="297">
    <w:name w:val="WW8Num240z1"/>
    <w:qFormat/>
    <w:uiPriority w:val="0"/>
    <w:rPr>
      <w:rFonts w:ascii="Courier New" w:hAnsi="Courier New" w:cs="Courier New"/>
    </w:rPr>
  </w:style>
  <w:style w:type="character" w:customStyle="1" w:styleId="298">
    <w:name w:val="WW8Num240z2"/>
    <w:qFormat/>
    <w:uiPriority w:val="0"/>
    <w:rPr>
      <w:rFonts w:ascii="Wingdings" w:hAnsi="Wingdings" w:cs="Wingdings"/>
    </w:rPr>
  </w:style>
  <w:style w:type="character" w:customStyle="1" w:styleId="299">
    <w:name w:val="WW8Num240z3"/>
    <w:qFormat/>
    <w:uiPriority w:val="0"/>
    <w:rPr>
      <w:rFonts w:ascii="Symbol" w:hAnsi="Symbol" w:cs="Symbol"/>
    </w:rPr>
  </w:style>
  <w:style w:type="character" w:customStyle="1" w:styleId="300">
    <w:name w:val="WW8Num241z0"/>
    <w:qFormat/>
    <w:uiPriority w:val="0"/>
    <w:rPr>
      <w:b/>
    </w:rPr>
  </w:style>
  <w:style w:type="character" w:customStyle="1" w:styleId="301">
    <w:name w:val="WW8Num242z0"/>
    <w:qFormat/>
    <w:uiPriority w:val="0"/>
    <w:rPr>
      <w:b/>
    </w:rPr>
  </w:style>
  <w:style w:type="character" w:customStyle="1" w:styleId="302">
    <w:name w:val="WW8Num243z0"/>
    <w:qFormat/>
    <w:uiPriority w:val="0"/>
    <w:rPr>
      <w:b/>
    </w:rPr>
  </w:style>
  <w:style w:type="character" w:customStyle="1" w:styleId="303">
    <w:name w:val="WW8Num244z0"/>
    <w:qFormat/>
    <w:uiPriority w:val="0"/>
    <w:rPr>
      <w:b/>
    </w:rPr>
  </w:style>
  <w:style w:type="character" w:customStyle="1" w:styleId="304">
    <w:name w:val="WW8Num246z0"/>
    <w:qFormat/>
    <w:uiPriority w:val="0"/>
    <w:rPr>
      <w:rFonts w:ascii="Symbol" w:hAnsi="Symbol" w:cs="Symbol"/>
    </w:rPr>
  </w:style>
  <w:style w:type="character" w:customStyle="1" w:styleId="305">
    <w:name w:val="WW8Num247z0"/>
    <w:qFormat/>
    <w:uiPriority w:val="0"/>
    <w:rPr>
      <w:b/>
    </w:rPr>
  </w:style>
  <w:style w:type="character" w:customStyle="1" w:styleId="306">
    <w:name w:val="WW8Num248z0"/>
    <w:qFormat/>
    <w:uiPriority w:val="0"/>
    <w:rPr>
      <w:b/>
    </w:rPr>
  </w:style>
  <w:style w:type="character" w:customStyle="1" w:styleId="307">
    <w:name w:val="WW8Num252z0"/>
    <w:qFormat/>
    <w:uiPriority w:val="0"/>
    <w:rPr>
      <w:b/>
    </w:rPr>
  </w:style>
  <w:style w:type="character" w:customStyle="1" w:styleId="308">
    <w:name w:val="WW8Num255z0"/>
    <w:qFormat/>
    <w:uiPriority w:val="0"/>
    <w:rPr>
      <w:b/>
    </w:rPr>
  </w:style>
  <w:style w:type="character" w:customStyle="1" w:styleId="309">
    <w:name w:val="WW8Num256z0"/>
    <w:qFormat/>
    <w:uiPriority w:val="0"/>
    <w:rPr>
      <w:b/>
    </w:rPr>
  </w:style>
  <w:style w:type="character" w:customStyle="1" w:styleId="310">
    <w:name w:val="WW8Num258z0"/>
    <w:qFormat/>
    <w:uiPriority w:val="0"/>
    <w:rPr>
      <w:b/>
    </w:rPr>
  </w:style>
  <w:style w:type="character" w:customStyle="1" w:styleId="311">
    <w:name w:val="WW8Num259z0"/>
    <w:qFormat/>
    <w:uiPriority w:val="0"/>
    <w:rPr>
      <w:b/>
    </w:rPr>
  </w:style>
  <w:style w:type="character" w:customStyle="1" w:styleId="312">
    <w:name w:val="WW8Num260z0"/>
    <w:qFormat/>
    <w:uiPriority w:val="0"/>
    <w:rPr>
      <w:rFonts w:ascii="Symbol" w:hAnsi="Symbol" w:cs="Symbol"/>
      <w:sz w:val="16"/>
    </w:rPr>
  </w:style>
  <w:style w:type="character" w:customStyle="1" w:styleId="313">
    <w:name w:val="WW8Num261z0"/>
    <w:qFormat/>
    <w:uiPriority w:val="0"/>
    <w:rPr>
      <w:b/>
    </w:rPr>
  </w:style>
  <w:style w:type="character" w:customStyle="1" w:styleId="314">
    <w:name w:val="WW8Num263z0"/>
    <w:qFormat/>
    <w:uiPriority w:val="0"/>
    <w:rPr>
      <w:b/>
    </w:rPr>
  </w:style>
  <w:style w:type="character" w:customStyle="1" w:styleId="315">
    <w:name w:val="WW8Num269z1"/>
    <w:qFormat/>
    <w:uiPriority w:val="0"/>
    <w:rPr>
      <w:b/>
    </w:rPr>
  </w:style>
  <w:style w:type="character" w:customStyle="1" w:styleId="316">
    <w:name w:val="WW8Num280z0"/>
    <w:qFormat/>
    <w:uiPriority w:val="0"/>
    <w:rPr>
      <w:rFonts w:ascii="Times New Roman" w:hAnsi="Times New Roman" w:cs="Times New Roman"/>
      <w:b/>
      <w:sz w:val="18"/>
    </w:rPr>
  </w:style>
  <w:style w:type="character" w:customStyle="1" w:styleId="317">
    <w:name w:val="WW8Num281z0"/>
    <w:qFormat/>
    <w:uiPriority w:val="0"/>
    <w:rPr>
      <w:b/>
    </w:rPr>
  </w:style>
  <w:style w:type="character" w:customStyle="1" w:styleId="318">
    <w:name w:val="WW8Num282z0"/>
    <w:qFormat/>
    <w:uiPriority w:val="0"/>
    <w:rPr>
      <w:b/>
    </w:rPr>
  </w:style>
  <w:style w:type="character" w:customStyle="1" w:styleId="319">
    <w:name w:val="WW8Num283z0"/>
    <w:qFormat/>
    <w:uiPriority w:val="0"/>
    <w:rPr>
      <w:b/>
    </w:rPr>
  </w:style>
  <w:style w:type="character" w:customStyle="1" w:styleId="320">
    <w:name w:val="WW8Num284z0"/>
    <w:qFormat/>
    <w:uiPriority w:val="0"/>
    <w:rPr>
      <w:rFonts w:ascii="Times New Roman" w:hAnsi="Times New Roman" w:cs="Times New Roman"/>
      <w:sz w:val="24"/>
    </w:rPr>
  </w:style>
  <w:style w:type="character" w:customStyle="1" w:styleId="321">
    <w:name w:val="WW8Num285z0"/>
    <w:qFormat/>
    <w:uiPriority w:val="0"/>
    <w:rPr>
      <w:b/>
    </w:rPr>
  </w:style>
  <w:style w:type="character" w:customStyle="1" w:styleId="322">
    <w:name w:val="WW8Num286z0"/>
    <w:qFormat/>
    <w:uiPriority w:val="0"/>
    <w:rPr>
      <w:b/>
    </w:rPr>
  </w:style>
  <w:style w:type="character" w:customStyle="1" w:styleId="323">
    <w:name w:val="WW8Num301z0"/>
    <w:qFormat/>
    <w:uiPriority w:val="0"/>
    <w:rPr>
      <w:b/>
    </w:rPr>
  </w:style>
  <w:style w:type="character" w:customStyle="1" w:styleId="324">
    <w:name w:val="WW8Num303z0"/>
    <w:qFormat/>
    <w:uiPriority w:val="0"/>
    <w:rPr>
      <w:rFonts w:ascii="Symbol" w:hAnsi="Symbol" w:cs="Symbol"/>
    </w:rPr>
  </w:style>
  <w:style w:type="character" w:customStyle="1" w:styleId="325">
    <w:name w:val="WW8Num309z0"/>
    <w:qFormat/>
    <w:uiPriority w:val="0"/>
    <w:rPr>
      <w:b/>
    </w:rPr>
  </w:style>
  <w:style w:type="character" w:customStyle="1" w:styleId="326">
    <w:name w:val="WW8Num309z1"/>
    <w:qFormat/>
    <w:uiPriority w:val="0"/>
    <w:rPr>
      <w:rFonts w:ascii="Courier New" w:hAnsi="Courier New" w:cs="Courier New"/>
    </w:rPr>
  </w:style>
  <w:style w:type="character" w:customStyle="1" w:styleId="327">
    <w:name w:val="WW8Num309z2"/>
    <w:qFormat/>
    <w:uiPriority w:val="0"/>
    <w:rPr>
      <w:rFonts w:ascii="Wingdings" w:hAnsi="Wingdings" w:cs="Wingdings"/>
    </w:rPr>
  </w:style>
  <w:style w:type="character" w:customStyle="1" w:styleId="328">
    <w:name w:val="WW8Num309z3"/>
    <w:qFormat/>
    <w:uiPriority w:val="0"/>
    <w:rPr>
      <w:rFonts w:ascii="Symbol" w:hAnsi="Symbol" w:cs="Symbol"/>
    </w:rPr>
  </w:style>
  <w:style w:type="character" w:customStyle="1" w:styleId="329">
    <w:name w:val="WW8Num313z0"/>
    <w:qFormat/>
    <w:uiPriority w:val="0"/>
    <w:rPr>
      <w:b/>
    </w:rPr>
  </w:style>
  <w:style w:type="character" w:customStyle="1" w:styleId="330">
    <w:name w:val="WW8Num317z0"/>
    <w:qFormat/>
    <w:uiPriority w:val="0"/>
    <w:rPr>
      <w:b/>
    </w:rPr>
  </w:style>
  <w:style w:type="character" w:customStyle="1" w:styleId="331">
    <w:name w:val="WW8Num320z0"/>
    <w:qFormat/>
    <w:uiPriority w:val="0"/>
    <w:rPr>
      <w:b/>
    </w:rPr>
  </w:style>
  <w:style w:type="character" w:customStyle="1" w:styleId="332">
    <w:name w:val="WW8Num320z1"/>
    <w:qFormat/>
    <w:uiPriority w:val="0"/>
    <w:rPr>
      <w:rFonts w:ascii="Times New Roman" w:hAnsi="Times New Roman" w:cs="Times New Roman"/>
      <w:b/>
      <w:sz w:val="22"/>
    </w:rPr>
  </w:style>
  <w:style w:type="character" w:customStyle="1" w:styleId="333">
    <w:name w:val="WW8Num321z0"/>
    <w:qFormat/>
    <w:uiPriority w:val="0"/>
    <w:rPr>
      <w:b/>
    </w:rPr>
  </w:style>
  <w:style w:type="character" w:customStyle="1" w:styleId="334">
    <w:name w:val="WW8Num321z1"/>
    <w:qFormat/>
    <w:uiPriority w:val="0"/>
    <w:rPr>
      <w:rFonts w:ascii="Times New Roman" w:hAnsi="Times New Roman" w:cs="Times New Roman"/>
      <w:b/>
      <w:sz w:val="22"/>
    </w:rPr>
  </w:style>
  <w:style w:type="character" w:customStyle="1" w:styleId="335">
    <w:name w:val="WW8Num324z0"/>
    <w:qFormat/>
    <w:uiPriority w:val="0"/>
    <w:rPr>
      <w:rFonts w:ascii="Times New Roman" w:hAnsi="Times New Roman" w:cs="Times New Roman"/>
      <w:b/>
      <w:sz w:val="18"/>
    </w:rPr>
  </w:style>
  <w:style w:type="character" w:customStyle="1" w:styleId="336">
    <w:name w:val="WW8Num325z0"/>
    <w:qFormat/>
    <w:uiPriority w:val="0"/>
    <w:rPr>
      <w:rFonts w:ascii="Symbol" w:hAnsi="Symbol" w:cs="Symbol"/>
    </w:rPr>
  </w:style>
  <w:style w:type="character" w:customStyle="1" w:styleId="337">
    <w:name w:val="WW8Num325z1"/>
    <w:qFormat/>
    <w:uiPriority w:val="0"/>
    <w:rPr>
      <w:rFonts w:ascii="Courier New" w:hAnsi="Courier New" w:cs="Courier New"/>
    </w:rPr>
  </w:style>
  <w:style w:type="character" w:customStyle="1" w:styleId="338">
    <w:name w:val="WW8Num325z2"/>
    <w:qFormat/>
    <w:uiPriority w:val="0"/>
    <w:rPr>
      <w:rFonts w:ascii="Wingdings" w:hAnsi="Wingdings" w:cs="Wingdings"/>
    </w:rPr>
  </w:style>
  <w:style w:type="character" w:customStyle="1" w:styleId="339">
    <w:name w:val="WW8Num326z0"/>
    <w:qFormat/>
    <w:uiPriority w:val="0"/>
    <w:rPr>
      <w:rFonts w:ascii="Times New Roman" w:hAnsi="Times New Roman" w:cs="Times New Roman"/>
      <w:b/>
      <w:sz w:val="24"/>
      <w:u w:val="none"/>
    </w:rPr>
  </w:style>
  <w:style w:type="character" w:customStyle="1" w:styleId="340">
    <w:name w:val="WW8Num327z2"/>
    <w:qFormat/>
    <w:uiPriority w:val="0"/>
    <w:rPr>
      <w:rFonts w:ascii="Times New Roman" w:hAnsi="Times New Roman" w:eastAsia="Times New Roman" w:cs="Times New Roman"/>
    </w:rPr>
  </w:style>
  <w:style w:type="character" w:customStyle="1" w:styleId="341">
    <w:name w:val="WW8Num328z0"/>
    <w:qFormat/>
    <w:uiPriority w:val="0"/>
    <w:rPr>
      <w:b/>
    </w:rPr>
  </w:style>
  <w:style w:type="character" w:customStyle="1" w:styleId="342">
    <w:name w:val="WW8Num334z0"/>
    <w:qFormat/>
    <w:uiPriority w:val="0"/>
    <w:rPr>
      <w:b/>
    </w:rPr>
  </w:style>
  <w:style w:type="character" w:customStyle="1" w:styleId="343">
    <w:name w:val="WW8Num336z0"/>
    <w:qFormat/>
    <w:uiPriority w:val="0"/>
    <w:rPr>
      <w:b/>
    </w:rPr>
  </w:style>
  <w:style w:type="character" w:customStyle="1" w:styleId="344">
    <w:name w:val="WW8Num337z0"/>
    <w:qFormat/>
    <w:uiPriority w:val="0"/>
    <w:rPr>
      <w:b/>
    </w:rPr>
  </w:style>
  <w:style w:type="character" w:customStyle="1" w:styleId="345">
    <w:name w:val="WW8Num339z0"/>
    <w:qFormat/>
    <w:uiPriority w:val="0"/>
    <w:rPr>
      <w:rFonts w:ascii="Symbol" w:hAnsi="Symbol" w:cs="Symbol"/>
    </w:rPr>
  </w:style>
  <w:style w:type="character" w:customStyle="1" w:styleId="346">
    <w:name w:val="WW8Num344z0"/>
    <w:qFormat/>
    <w:uiPriority w:val="0"/>
    <w:rPr>
      <w:rFonts w:ascii="Wingdings" w:hAnsi="Wingdings" w:cs="Wingdings"/>
    </w:rPr>
  </w:style>
  <w:style w:type="character" w:customStyle="1" w:styleId="347">
    <w:name w:val="WW8Num344z1"/>
    <w:qFormat/>
    <w:uiPriority w:val="0"/>
    <w:rPr>
      <w:rFonts w:ascii="Courier New" w:hAnsi="Courier New" w:cs="Courier New"/>
    </w:rPr>
  </w:style>
  <w:style w:type="character" w:customStyle="1" w:styleId="348">
    <w:name w:val="WW8Num344z3"/>
    <w:qFormat/>
    <w:uiPriority w:val="0"/>
    <w:rPr>
      <w:rFonts w:ascii="Symbol" w:hAnsi="Symbol" w:cs="Symbol"/>
    </w:rPr>
  </w:style>
  <w:style w:type="character" w:customStyle="1" w:styleId="349">
    <w:name w:val="WW8Num346z6"/>
    <w:qFormat/>
    <w:uiPriority w:val="0"/>
    <w:rPr>
      <w:rFonts w:ascii="Arial" w:hAnsi="Arial" w:cs="Arial"/>
      <w:b/>
      <w:caps/>
      <w:sz w:val="24"/>
    </w:rPr>
  </w:style>
  <w:style w:type="character" w:customStyle="1" w:styleId="350">
    <w:name w:val="WW8Num350z0"/>
    <w:qFormat/>
    <w:uiPriority w:val="0"/>
    <w:rPr>
      <w:rFonts w:ascii="Times New Roman" w:hAnsi="Times New Roman" w:cs="Times New Roman"/>
      <w:b/>
      <w:sz w:val="18"/>
    </w:rPr>
  </w:style>
  <w:style w:type="character" w:customStyle="1" w:styleId="351">
    <w:name w:val="WW8Num350z1"/>
    <w:qFormat/>
    <w:uiPriority w:val="0"/>
    <w:rPr>
      <w:b/>
    </w:rPr>
  </w:style>
  <w:style w:type="character" w:customStyle="1" w:styleId="352">
    <w:name w:val="WW8Num352z0"/>
    <w:qFormat/>
    <w:uiPriority w:val="0"/>
    <w:rPr>
      <w:rFonts w:ascii="Symbol" w:hAnsi="Symbol" w:cs="Symbol"/>
    </w:rPr>
  </w:style>
  <w:style w:type="character" w:customStyle="1" w:styleId="353">
    <w:name w:val="WW8Num354z0"/>
    <w:qFormat/>
    <w:uiPriority w:val="0"/>
    <w:rPr>
      <w:b/>
    </w:rPr>
  </w:style>
  <w:style w:type="character" w:customStyle="1" w:styleId="354">
    <w:name w:val="WW8Num356z0"/>
    <w:qFormat/>
    <w:uiPriority w:val="0"/>
    <w:rPr>
      <w:b/>
    </w:rPr>
  </w:style>
  <w:style w:type="character" w:customStyle="1" w:styleId="355">
    <w:name w:val="WW8Num356z1"/>
    <w:qFormat/>
    <w:uiPriority w:val="0"/>
    <w:rPr>
      <w:rFonts w:ascii="Times New Roman" w:hAnsi="Times New Roman" w:cs="Times New Roman"/>
      <w:b/>
      <w:sz w:val="22"/>
    </w:rPr>
  </w:style>
  <w:style w:type="character" w:customStyle="1" w:styleId="356">
    <w:name w:val="WW8Num358z0"/>
    <w:qFormat/>
    <w:uiPriority w:val="0"/>
  </w:style>
  <w:style w:type="character" w:customStyle="1" w:styleId="357">
    <w:name w:val="WW8Num362z0"/>
    <w:qFormat/>
    <w:uiPriority w:val="0"/>
    <w:rPr>
      <w:rFonts w:ascii="Times New Roman" w:hAnsi="Times New Roman" w:cs="Times New Roman"/>
      <w:b/>
      <w:sz w:val="22"/>
    </w:rPr>
  </w:style>
  <w:style w:type="character" w:customStyle="1" w:styleId="358">
    <w:name w:val="WW8Num363z0"/>
    <w:qFormat/>
    <w:uiPriority w:val="0"/>
    <w:rPr>
      <w:b/>
    </w:rPr>
  </w:style>
  <w:style w:type="character" w:customStyle="1" w:styleId="359">
    <w:name w:val="WW8Num365z0"/>
    <w:qFormat/>
    <w:uiPriority w:val="0"/>
    <w:rPr>
      <w:rFonts w:ascii="Symbol" w:hAnsi="Symbol" w:cs="Symbol"/>
    </w:rPr>
  </w:style>
  <w:style w:type="character" w:customStyle="1" w:styleId="360">
    <w:name w:val="WW8Num366z0"/>
    <w:qFormat/>
    <w:uiPriority w:val="0"/>
    <w:rPr>
      <w:b/>
    </w:rPr>
  </w:style>
  <w:style w:type="character" w:customStyle="1" w:styleId="361">
    <w:name w:val="WW8Num368z0"/>
    <w:qFormat/>
    <w:uiPriority w:val="0"/>
    <w:rPr>
      <w:b/>
    </w:rPr>
  </w:style>
  <w:style w:type="character" w:customStyle="1" w:styleId="362">
    <w:name w:val="WW8Num370z0"/>
    <w:qFormat/>
    <w:uiPriority w:val="0"/>
    <w:rPr>
      <w:b/>
    </w:rPr>
  </w:style>
  <w:style w:type="character" w:customStyle="1" w:styleId="363">
    <w:name w:val="WW8Num375z0"/>
    <w:qFormat/>
    <w:uiPriority w:val="0"/>
    <w:rPr>
      <w:rFonts w:ascii="Times New Roman" w:hAnsi="Times New Roman" w:cs="Times New Roman"/>
      <w:sz w:val="24"/>
      <w:u w:val="none"/>
    </w:rPr>
  </w:style>
  <w:style w:type="character" w:customStyle="1" w:styleId="364">
    <w:name w:val="WW8Num376z0"/>
    <w:qFormat/>
    <w:uiPriority w:val="0"/>
    <w:rPr>
      <w:rFonts w:ascii="Symbol" w:hAnsi="Symbol" w:cs="Symbol"/>
    </w:rPr>
  </w:style>
  <w:style w:type="character" w:customStyle="1" w:styleId="365">
    <w:name w:val="WW8Num378z0"/>
    <w:qFormat/>
    <w:uiPriority w:val="0"/>
    <w:rPr>
      <w:b/>
    </w:rPr>
  </w:style>
  <w:style w:type="character" w:customStyle="1" w:styleId="366">
    <w:name w:val="WW8Num380z0"/>
    <w:qFormat/>
    <w:uiPriority w:val="0"/>
    <w:rPr>
      <w:rFonts w:ascii="Times New Roman" w:hAnsi="Times New Roman" w:cs="Times New Roman"/>
    </w:rPr>
  </w:style>
  <w:style w:type="character" w:customStyle="1" w:styleId="367">
    <w:name w:val="WW8Num381z0"/>
    <w:qFormat/>
    <w:uiPriority w:val="0"/>
    <w:rPr>
      <w:rFonts w:ascii="Symbol" w:hAnsi="Symbol" w:cs="Symbol"/>
    </w:rPr>
  </w:style>
  <w:style w:type="character" w:customStyle="1" w:styleId="368">
    <w:name w:val="WW8Num383z0"/>
    <w:qFormat/>
    <w:uiPriority w:val="0"/>
    <w:rPr>
      <w:b/>
    </w:rPr>
  </w:style>
  <w:style w:type="character" w:customStyle="1" w:styleId="369">
    <w:name w:val="WW8Num387z0"/>
    <w:qFormat/>
    <w:uiPriority w:val="0"/>
    <w:rPr>
      <w:b/>
    </w:rPr>
  </w:style>
  <w:style w:type="character" w:customStyle="1" w:styleId="370">
    <w:name w:val="WW8Num388z0"/>
    <w:qFormat/>
    <w:uiPriority w:val="0"/>
    <w:rPr>
      <w:rFonts w:ascii="Times New Roman" w:hAnsi="Times New Roman" w:cs="Times New Roman"/>
      <w:b/>
      <w:sz w:val="18"/>
    </w:rPr>
  </w:style>
  <w:style w:type="character" w:customStyle="1" w:styleId="371">
    <w:name w:val="WW8Num389z0"/>
    <w:qFormat/>
    <w:uiPriority w:val="0"/>
    <w:rPr>
      <w:rFonts w:ascii="Times New Roman" w:hAnsi="Times New Roman" w:cs="Times New Roman"/>
    </w:rPr>
  </w:style>
  <w:style w:type="character" w:customStyle="1" w:styleId="372">
    <w:name w:val="WW8Num396z0"/>
    <w:qFormat/>
    <w:uiPriority w:val="0"/>
    <w:rPr>
      <w:rFonts w:ascii="Wingdings" w:hAnsi="Wingdings" w:cs="Wingdings"/>
    </w:rPr>
  </w:style>
  <w:style w:type="character" w:customStyle="1" w:styleId="373">
    <w:name w:val="WW8Num397z0"/>
    <w:qFormat/>
    <w:uiPriority w:val="0"/>
    <w:rPr>
      <w:rFonts w:ascii="Times New Roman" w:hAnsi="Times New Roman" w:cs="Times New Roman"/>
      <w:b/>
      <w:sz w:val="22"/>
    </w:rPr>
  </w:style>
  <w:style w:type="character" w:customStyle="1" w:styleId="374">
    <w:name w:val="WW8Num398z0"/>
    <w:qFormat/>
    <w:uiPriority w:val="0"/>
    <w:rPr>
      <w:b/>
    </w:rPr>
  </w:style>
  <w:style w:type="character" w:customStyle="1" w:styleId="375">
    <w:name w:val="WW8Num399z0"/>
    <w:qFormat/>
    <w:uiPriority w:val="0"/>
  </w:style>
  <w:style w:type="character" w:customStyle="1" w:styleId="376">
    <w:name w:val="WW8Num400z0"/>
    <w:qFormat/>
    <w:uiPriority w:val="0"/>
    <w:rPr>
      <w:b/>
    </w:rPr>
  </w:style>
  <w:style w:type="character" w:customStyle="1" w:styleId="377">
    <w:name w:val="WW8Num403z0"/>
    <w:qFormat/>
    <w:uiPriority w:val="0"/>
    <w:rPr>
      <w:sz w:val="24"/>
    </w:rPr>
  </w:style>
  <w:style w:type="character" w:customStyle="1" w:styleId="378">
    <w:name w:val="WW8Num404z0"/>
    <w:qFormat/>
    <w:uiPriority w:val="0"/>
    <w:rPr>
      <w:rFonts w:ascii="Symbol" w:hAnsi="Symbol" w:cs="Symbol"/>
    </w:rPr>
  </w:style>
  <w:style w:type="character" w:customStyle="1" w:styleId="379">
    <w:name w:val="WW8Num407z0"/>
    <w:qFormat/>
    <w:uiPriority w:val="0"/>
    <w:rPr>
      <w:rFonts w:ascii="Times New Roman" w:hAnsi="Times New Roman" w:cs="Times New Roman"/>
    </w:rPr>
  </w:style>
  <w:style w:type="character" w:customStyle="1" w:styleId="380">
    <w:name w:val="WW8Num411z0"/>
    <w:qFormat/>
    <w:uiPriority w:val="0"/>
    <w:rPr>
      <w:rFonts w:ascii="Wingdings" w:hAnsi="Wingdings" w:cs="Wingdings"/>
    </w:rPr>
  </w:style>
  <w:style w:type="character" w:customStyle="1" w:styleId="381">
    <w:name w:val="WW8Num411z1"/>
    <w:qFormat/>
    <w:uiPriority w:val="0"/>
    <w:rPr>
      <w:rFonts w:ascii="Courier New" w:hAnsi="Courier New" w:cs="Courier New"/>
    </w:rPr>
  </w:style>
  <w:style w:type="character" w:customStyle="1" w:styleId="382">
    <w:name w:val="WW8Num411z3"/>
    <w:qFormat/>
    <w:uiPriority w:val="0"/>
    <w:rPr>
      <w:rFonts w:ascii="Symbol" w:hAnsi="Symbol" w:cs="Symbol"/>
    </w:rPr>
  </w:style>
  <w:style w:type="character" w:customStyle="1" w:styleId="383">
    <w:name w:val="WW8Num412z0"/>
    <w:qFormat/>
    <w:uiPriority w:val="0"/>
    <w:rPr>
      <w:rFonts w:ascii="Times New Roman" w:hAnsi="Times New Roman" w:eastAsia="Times New Roman" w:cs="Times New Roman"/>
    </w:rPr>
  </w:style>
  <w:style w:type="character" w:customStyle="1" w:styleId="384">
    <w:name w:val="WW8Num412z1"/>
    <w:qFormat/>
    <w:uiPriority w:val="0"/>
    <w:rPr>
      <w:rFonts w:ascii="Courier New" w:hAnsi="Courier New" w:cs="Courier New"/>
    </w:rPr>
  </w:style>
  <w:style w:type="character" w:customStyle="1" w:styleId="385">
    <w:name w:val="WW8Num412z2"/>
    <w:qFormat/>
    <w:uiPriority w:val="0"/>
    <w:rPr>
      <w:rFonts w:ascii="Wingdings" w:hAnsi="Wingdings" w:cs="Wingdings"/>
    </w:rPr>
  </w:style>
  <w:style w:type="character" w:customStyle="1" w:styleId="386">
    <w:name w:val="WW8Num412z3"/>
    <w:qFormat/>
    <w:uiPriority w:val="0"/>
    <w:rPr>
      <w:rFonts w:ascii="Symbol" w:hAnsi="Symbol" w:cs="Symbol"/>
    </w:rPr>
  </w:style>
  <w:style w:type="character" w:customStyle="1" w:styleId="387">
    <w:name w:val="WW8Num415z1"/>
    <w:qFormat/>
    <w:uiPriority w:val="0"/>
    <w:rPr>
      <w:b/>
    </w:rPr>
  </w:style>
  <w:style w:type="character" w:customStyle="1" w:styleId="388">
    <w:name w:val="WW8Num418z0"/>
    <w:qFormat/>
    <w:uiPriority w:val="0"/>
    <w:rPr>
      <w:b/>
    </w:rPr>
  </w:style>
  <w:style w:type="character" w:customStyle="1" w:styleId="389">
    <w:name w:val="WW8Num420z0"/>
    <w:qFormat/>
    <w:uiPriority w:val="0"/>
    <w:rPr>
      <w:rFonts w:ascii="Times New Roman" w:hAnsi="Times New Roman" w:cs="Times New Roman"/>
    </w:rPr>
  </w:style>
  <w:style w:type="character" w:customStyle="1" w:styleId="390">
    <w:name w:val="WW8Num422z0"/>
    <w:qFormat/>
    <w:uiPriority w:val="0"/>
    <w:rPr>
      <w:b/>
    </w:rPr>
  </w:style>
  <w:style w:type="character" w:customStyle="1" w:styleId="391">
    <w:name w:val="WW8Num423z0"/>
    <w:qFormat/>
    <w:uiPriority w:val="0"/>
    <w:rPr>
      <w:b/>
    </w:rPr>
  </w:style>
  <w:style w:type="character" w:customStyle="1" w:styleId="392">
    <w:name w:val="WW8Num424z0"/>
    <w:qFormat/>
    <w:uiPriority w:val="0"/>
    <w:rPr>
      <w:rFonts w:ascii="Wingdings" w:hAnsi="Wingdings" w:cs="Wingdings"/>
    </w:rPr>
  </w:style>
  <w:style w:type="character" w:customStyle="1" w:styleId="393">
    <w:name w:val="WW8Num425z0"/>
    <w:qFormat/>
    <w:uiPriority w:val="0"/>
    <w:rPr>
      <w:rFonts w:ascii="Times New Roman" w:hAnsi="Times New Roman" w:cs="Times New Roman"/>
      <w:b/>
      <w:sz w:val="18"/>
    </w:rPr>
  </w:style>
  <w:style w:type="character" w:customStyle="1" w:styleId="394">
    <w:name w:val="WW8Num430z0"/>
    <w:qFormat/>
    <w:uiPriority w:val="0"/>
    <w:rPr>
      <w:rFonts w:ascii="Times New Roman" w:hAnsi="Times New Roman" w:cs="Times New Roman"/>
      <w:b/>
      <w:sz w:val="18"/>
    </w:rPr>
  </w:style>
  <w:style w:type="character" w:customStyle="1" w:styleId="395">
    <w:name w:val="WW8Num431z0"/>
    <w:qFormat/>
    <w:uiPriority w:val="0"/>
    <w:rPr>
      <w:rFonts w:ascii="Times New Roman" w:hAnsi="Times New Roman" w:cs="Times New Roman"/>
      <w:b/>
      <w:sz w:val="18"/>
    </w:rPr>
  </w:style>
  <w:style w:type="character" w:customStyle="1" w:styleId="396">
    <w:name w:val="WW8Num432z0"/>
    <w:qFormat/>
    <w:uiPriority w:val="0"/>
    <w:rPr>
      <w:rFonts w:ascii="Wingdings" w:hAnsi="Wingdings" w:cs="Wingdings"/>
    </w:rPr>
  </w:style>
  <w:style w:type="character" w:customStyle="1" w:styleId="397">
    <w:name w:val="WW8Num434z0"/>
    <w:qFormat/>
    <w:uiPriority w:val="0"/>
    <w:rPr>
      <w:b/>
    </w:rPr>
  </w:style>
  <w:style w:type="character" w:customStyle="1" w:styleId="398">
    <w:name w:val="WW8Num435z0"/>
    <w:qFormat/>
    <w:uiPriority w:val="0"/>
    <w:rPr>
      <w:b/>
    </w:rPr>
  </w:style>
  <w:style w:type="character" w:customStyle="1" w:styleId="399">
    <w:name w:val="WW8Num438z0"/>
    <w:qFormat/>
    <w:uiPriority w:val="0"/>
    <w:rPr>
      <w:rFonts w:ascii="Times New Roman" w:hAnsi="Times New Roman" w:eastAsia="Times New Roman" w:cs="Times New Roman"/>
    </w:rPr>
  </w:style>
  <w:style w:type="character" w:customStyle="1" w:styleId="400">
    <w:name w:val="WW8Num438z1"/>
    <w:qFormat/>
    <w:uiPriority w:val="0"/>
    <w:rPr>
      <w:rFonts w:ascii="Courier New" w:hAnsi="Courier New" w:cs="Courier New"/>
    </w:rPr>
  </w:style>
  <w:style w:type="character" w:customStyle="1" w:styleId="401">
    <w:name w:val="WW8Num438z2"/>
    <w:qFormat/>
    <w:uiPriority w:val="0"/>
    <w:rPr>
      <w:rFonts w:ascii="Wingdings" w:hAnsi="Wingdings" w:cs="Wingdings"/>
    </w:rPr>
  </w:style>
  <w:style w:type="character" w:customStyle="1" w:styleId="402">
    <w:name w:val="WW8Num438z3"/>
    <w:qFormat/>
    <w:uiPriority w:val="0"/>
    <w:rPr>
      <w:rFonts w:ascii="Symbol" w:hAnsi="Symbol" w:cs="Symbol"/>
    </w:rPr>
  </w:style>
  <w:style w:type="character" w:customStyle="1" w:styleId="403">
    <w:name w:val="WW8Num440z0"/>
    <w:qFormat/>
    <w:uiPriority w:val="0"/>
    <w:rPr>
      <w:rFonts w:ascii="Times New Roman" w:hAnsi="Times New Roman" w:cs="Times New Roman"/>
      <w:b/>
      <w:sz w:val="22"/>
    </w:rPr>
  </w:style>
  <w:style w:type="character" w:customStyle="1" w:styleId="404">
    <w:name w:val="WW8Num446z0"/>
    <w:qFormat/>
    <w:uiPriority w:val="0"/>
    <w:rPr>
      <w:b/>
    </w:rPr>
  </w:style>
  <w:style w:type="character" w:customStyle="1" w:styleId="405">
    <w:name w:val="WW8Num447z0"/>
    <w:qFormat/>
    <w:uiPriority w:val="0"/>
    <w:rPr>
      <w:b/>
    </w:rPr>
  </w:style>
  <w:style w:type="character" w:customStyle="1" w:styleId="406">
    <w:name w:val="WW8Num448z0"/>
    <w:qFormat/>
    <w:uiPriority w:val="0"/>
    <w:rPr>
      <w:b/>
    </w:rPr>
  </w:style>
  <w:style w:type="character" w:customStyle="1" w:styleId="407">
    <w:name w:val="WW8Num449z0"/>
    <w:qFormat/>
    <w:uiPriority w:val="0"/>
    <w:rPr>
      <w:b/>
    </w:rPr>
  </w:style>
  <w:style w:type="character" w:customStyle="1" w:styleId="408">
    <w:name w:val="WW8Num451z0"/>
    <w:qFormat/>
    <w:uiPriority w:val="0"/>
    <w:rPr>
      <w:rFonts w:ascii="Times New Roman" w:hAnsi="Times New Roman" w:cs="Times New Roman"/>
    </w:rPr>
  </w:style>
  <w:style w:type="character" w:customStyle="1" w:styleId="409">
    <w:name w:val="WW8Num455z0"/>
    <w:qFormat/>
    <w:uiPriority w:val="0"/>
    <w:rPr>
      <w:rFonts w:ascii="Times New Roman" w:hAnsi="Times New Roman" w:cs="Times New Roman"/>
      <w:b/>
      <w:sz w:val="22"/>
    </w:rPr>
  </w:style>
  <w:style w:type="character" w:customStyle="1" w:styleId="410">
    <w:name w:val="WW8Num456z0"/>
    <w:qFormat/>
    <w:uiPriority w:val="0"/>
    <w:rPr>
      <w:b/>
    </w:rPr>
  </w:style>
  <w:style w:type="character" w:customStyle="1" w:styleId="411">
    <w:name w:val="WW8Num460z0"/>
    <w:qFormat/>
    <w:uiPriority w:val="0"/>
    <w:rPr>
      <w:b/>
    </w:rPr>
  </w:style>
  <w:style w:type="character" w:customStyle="1" w:styleId="412">
    <w:name w:val="WW8Num463z0"/>
    <w:qFormat/>
    <w:uiPriority w:val="0"/>
    <w:rPr>
      <w:b/>
    </w:rPr>
  </w:style>
  <w:style w:type="character" w:customStyle="1" w:styleId="413">
    <w:name w:val="WW8Num464z0"/>
    <w:qFormat/>
    <w:uiPriority w:val="0"/>
    <w:rPr>
      <w:rFonts w:ascii="Times New Roman" w:hAnsi="Times New Roman" w:cs="Times New Roman"/>
      <w:b/>
      <w:sz w:val="18"/>
    </w:rPr>
  </w:style>
  <w:style w:type="character" w:customStyle="1" w:styleId="414">
    <w:name w:val="WW8Num466z0"/>
    <w:qFormat/>
    <w:uiPriority w:val="0"/>
    <w:rPr>
      <w:rFonts w:ascii="Times New Roman" w:hAnsi="Times New Roman" w:eastAsia="Times New Roman" w:cs="Times New Roman"/>
    </w:rPr>
  </w:style>
  <w:style w:type="character" w:customStyle="1" w:styleId="415">
    <w:name w:val="WW8Num466z1"/>
    <w:qFormat/>
    <w:uiPriority w:val="0"/>
    <w:rPr>
      <w:rFonts w:ascii="Courier New" w:hAnsi="Courier New" w:cs="Courier New"/>
    </w:rPr>
  </w:style>
  <w:style w:type="character" w:customStyle="1" w:styleId="416">
    <w:name w:val="WW8Num466z2"/>
    <w:qFormat/>
    <w:uiPriority w:val="0"/>
    <w:rPr>
      <w:rFonts w:ascii="Wingdings" w:hAnsi="Wingdings" w:cs="Wingdings"/>
    </w:rPr>
  </w:style>
  <w:style w:type="character" w:customStyle="1" w:styleId="417">
    <w:name w:val="WW8Num466z3"/>
    <w:qFormat/>
    <w:uiPriority w:val="0"/>
    <w:rPr>
      <w:rFonts w:ascii="Symbol" w:hAnsi="Symbol" w:cs="Symbol"/>
    </w:rPr>
  </w:style>
  <w:style w:type="character" w:customStyle="1" w:styleId="418">
    <w:name w:val="WW8Num471z0"/>
    <w:qFormat/>
    <w:uiPriority w:val="0"/>
    <w:rPr>
      <w:rFonts w:ascii="Wingdings" w:hAnsi="Wingdings" w:cs="Wingdings"/>
    </w:rPr>
  </w:style>
  <w:style w:type="character" w:customStyle="1" w:styleId="419">
    <w:name w:val="WW8Num471z1"/>
    <w:qFormat/>
    <w:uiPriority w:val="0"/>
    <w:rPr>
      <w:rFonts w:ascii="Courier New" w:hAnsi="Courier New" w:cs="Courier New"/>
    </w:rPr>
  </w:style>
  <w:style w:type="character" w:customStyle="1" w:styleId="420">
    <w:name w:val="WW8Num471z3"/>
    <w:qFormat/>
    <w:uiPriority w:val="0"/>
    <w:rPr>
      <w:rFonts w:ascii="Symbol" w:hAnsi="Symbol" w:cs="Symbol"/>
    </w:rPr>
  </w:style>
  <w:style w:type="character" w:customStyle="1" w:styleId="421">
    <w:name w:val="WW8Num475z1"/>
    <w:qFormat/>
    <w:uiPriority w:val="0"/>
    <w:rPr>
      <w:b/>
    </w:rPr>
  </w:style>
  <w:style w:type="character" w:customStyle="1" w:styleId="422">
    <w:name w:val="WW8Num476z0"/>
    <w:qFormat/>
    <w:uiPriority w:val="0"/>
    <w:rPr>
      <w:rFonts w:ascii="Times New Roman" w:hAnsi="Times New Roman" w:cs="Times New Roman"/>
      <w:b/>
      <w:sz w:val="18"/>
    </w:rPr>
  </w:style>
  <w:style w:type="character" w:customStyle="1" w:styleId="423">
    <w:name w:val="WW8Num479z0"/>
    <w:qFormat/>
    <w:uiPriority w:val="0"/>
    <w:rPr>
      <w:b/>
    </w:rPr>
  </w:style>
  <w:style w:type="character" w:customStyle="1" w:styleId="424">
    <w:name w:val="WW8Num483z0"/>
    <w:qFormat/>
    <w:uiPriority w:val="0"/>
    <w:rPr>
      <w:rFonts w:ascii="Symbol" w:hAnsi="Symbol" w:cs="Symbol"/>
    </w:rPr>
  </w:style>
  <w:style w:type="character" w:customStyle="1" w:styleId="425">
    <w:name w:val="WW8Num483z1"/>
    <w:qFormat/>
    <w:uiPriority w:val="0"/>
    <w:rPr>
      <w:rFonts w:ascii="Courier New" w:hAnsi="Courier New" w:cs="Courier New"/>
    </w:rPr>
  </w:style>
  <w:style w:type="character" w:customStyle="1" w:styleId="426">
    <w:name w:val="WW8Num483z2"/>
    <w:qFormat/>
    <w:uiPriority w:val="0"/>
    <w:rPr>
      <w:rFonts w:ascii="Wingdings" w:hAnsi="Wingdings" w:cs="Wingdings"/>
    </w:rPr>
  </w:style>
  <w:style w:type="character" w:customStyle="1" w:styleId="427">
    <w:name w:val="WW8Num484z0"/>
    <w:qFormat/>
    <w:uiPriority w:val="0"/>
    <w:rPr>
      <w:b/>
    </w:rPr>
  </w:style>
  <w:style w:type="character" w:customStyle="1" w:styleId="428">
    <w:name w:val="WW8Num485z0"/>
    <w:qFormat/>
    <w:uiPriority w:val="0"/>
    <w:rPr>
      <w:b/>
    </w:rPr>
  </w:style>
  <w:style w:type="character" w:customStyle="1" w:styleId="429">
    <w:name w:val="WW8Num488z0"/>
    <w:qFormat/>
    <w:uiPriority w:val="0"/>
    <w:rPr>
      <w:b/>
    </w:rPr>
  </w:style>
  <w:style w:type="character" w:customStyle="1" w:styleId="430">
    <w:name w:val="WW8Num492z0"/>
    <w:qFormat/>
    <w:uiPriority w:val="0"/>
    <w:rPr>
      <w:rFonts w:ascii="Symbol" w:hAnsi="Symbol" w:cs="Symbol"/>
    </w:rPr>
  </w:style>
  <w:style w:type="character" w:customStyle="1" w:styleId="431">
    <w:name w:val="WW8Num493z0"/>
    <w:qFormat/>
    <w:uiPriority w:val="0"/>
    <w:rPr>
      <w:b/>
    </w:rPr>
  </w:style>
  <w:style w:type="character" w:customStyle="1" w:styleId="432">
    <w:name w:val="WW8Num494z0"/>
    <w:qFormat/>
    <w:uiPriority w:val="0"/>
    <w:rPr>
      <w:rFonts w:ascii="Symbol" w:hAnsi="Symbol" w:cs="Symbol"/>
    </w:rPr>
  </w:style>
  <w:style w:type="character" w:customStyle="1" w:styleId="433">
    <w:name w:val="WW8Num499z0"/>
    <w:qFormat/>
    <w:uiPriority w:val="0"/>
    <w:rPr>
      <w:b/>
    </w:rPr>
  </w:style>
  <w:style w:type="character" w:customStyle="1" w:styleId="434">
    <w:name w:val="WW8Num500z0"/>
    <w:qFormat/>
    <w:uiPriority w:val="0"/>
    <w:rPr>
      <w:b/>
    </w:rPr>
  </w:style>
  <w:style w:type="character" w:customStyle="1" w:styleId="435">
    <w:name w:val="WW8Num508z0"/>
    <w:qFormat/>
    <w:uiPriority w:val="0"/>
    <w:rPr>
      <w:rFonts w:ascii="Symbol" w:hAnsi="Symbol" w:cs="Symbol"/>
    </w:rPr>
  </w:style>
  <w:style w:type="character" w:customStyle="1" w:styleId="436">
    <w:name w:val="WW8Num510z0"/>
    <w:qFormat/>
    <w:uiPriority w:val="0"/>
    <w:rPr>
      <w:rFonts w:ascii="Symbol" w:hAnsi="Symbol" w:cs="Symbol"/>
    </w:rPr>
  </w:style>
  <w:style w:type="character" w:customStyle="1" w:styleId="437">
    <w:name w:val="WW8Num510z1"/>
    <w:qFormat/>
    <w:uiPriority w:val="0"/>
    <w:rPr>
      <w:rFonts w:ascii="Courier New" w:hAnsi="Courier New" w:cs="Courier New"/>
    </w:rPr>
  </w:style>
  <w:style w:type="character" w:customStyle="1" w:styleId="438">
    <w:name w:val="WW8Num510z2"/>
    <w:qFormat/>
    <w:uiPriority w:val="0"/>
    <w:rPr>
      <w:rFonts w:ascii="Wingdings" w:hAnsi="Wingdings" w:cs="Wingdings"/>
    </w:rPr>
  </w:style>
  <w:style w:type="character" w:customStyle="1" w:styleId="439">
    <w:name w:val="WW8Num511z0"/>
    <w:qFormat/>
    <w:uiPriority w:val="0"/>
    <w:rPr>
      <w:b/>
    </w:rPr>
  </w:style>
  <w:style w:type="character" w:customStyle="1" w:styleId="440">
    <w:name w:val="WW8Num512z0"/>
    <w:qFormat/>
    <w:uiPriority w:val="0"/>
    <w:rPr>
      <w:b/>
    </w:rPr>
  </w:style>
  <w:style w:type="character" w:customStyle="1" w:styleId="441">
    <w:name w:val="WW8Num516z0"/>
    <w:qFormat/>
    <w:uiPriority w:val="0"/>
    <w:rPr>
      <w:b/>
    </w:rPr>
  </w:style>
  <w:style w:type="character" w:customStyle="1" w:styleId="442">
    <w:name w:val="WW8Num517z0"/>
    <w:qFormat/>
    <w:uiPriority w:val="0"/>
    <w:rPr>
      <w:b/>
    </w:rPr>
  </w:style>
  <w:style w:type="character" w:customStyle="1" w:styleId="443">
    <w:name w:val="WW8Num527z0"/>
    <w:qFormat/>
    <w:uiPriority w:val="0"/>
    <w:rPr>
      <w:b/>
    </w:rPr>
  </w:style>
  <w:style w:type="character" w:customStyle="1" w:styleId="444">
    <w:name w:val="WW8Num532z0"/>
    <w:qFormat/>
    <w:uiPriority w:val="0"/>
    <w:rPr>
      <w:b/>
    </w:rPr>
  </w:style>
  <w:style w:type="character" w:customStyle="1" w:styleId="445">
    <w:name w:val="WW8Num538z1"/>
    <w:qFormat/>
    <w:uiPriority w:val="0"/>
    <w:rPr>
      <w:b/>
    </w:rPr>
  </w:style>
  <w:style w:type="character" w:customStyle="1" w:styleId="446">
    <w:name w:val="WW8Num541z0"/>
    <w:qFormat/>
    <w:uiPriority w:val="0"/>
    <w:rPr>
      <w:rFonts w:ascii="Times New Roman" w:hAnsi="Times New Roman" w:cs="Times New Roman"/>
      <w:b/>
      <w:sz w:val="18"/>
    </w:rPr>
  </w:style>
  <w:style w:type="character" w:customStyle="1" w:styleId="447">
    <w:name w:val="WW8Num543z0"/>
    <w:qFormat/>
    <w:uiPriority w:val="0"/>
    <w:rPr>
      <w:rFonts w:ascii="Symbol" w:hAnsi="Symbol" w:cs="Symbol"/>
    </w:rPr>
  </w:style>
  <w:style w:type="character" w:customStyle="1" w:styleId="448">
    <w:name w:val="WW8Num546z0"/>
    <w:qFormat/>
    <w:uiPriority w:val="0"/>
    <w:rPr>
      <w:b/>
    </w:rPr>
  </w:style>
  <w:style w:type="character" w:customStyle="1" w:styleId="449">
    <w:name w:val="WW8Num548z0"/>
    <w:qFormat/>
    <w:uiPriority w:val="0"/>
    <w:rPr>
      <w:b/>
    </w:rPr>
  </w:style>
  <w:style w:type="character" w:customStyle="1" w:styleId="450">
    <w:name w:val="WW8Num549z0"/>
    <w:qFormat/>
    <w:uiPriority w:val="0"/>
    <w:rPr>
      <w:b/>
    </w:rPr>
  </w:style>
  <w:style w:type="character" w:customStyle="1" w:styleId="451">
    <w:name w:val="WW8Num550z0"/>
    <w:qFormat/>
    <w:uiPriority w:val="0"/>
    <w:rPr>
      <w:b/>
    </w:rPr>
  </w:style>
  <w:style w:type="character" w:customStyle="1" w:styleId="452">
    <w:name w:val="WW8Num551z0"/>
    <w:qFormat/>
    <w:uiPriority w:val="0"/>
    <w:rPr>
      <w:b/>
    </w:rPr>
  </w:style>
  <w:style w:type="character" w:customStyle="1" w:styleId="453">
    <w:name w:val="WW8Num552z0"/>
    <w:qFormat/>
    <w:uiPriority w:val="0"/>
    <w:rPr>
      <w:rFonts w:ascii="Wingdings" w:hAnsi="Wingdings" w:cs="Wingdings"/>
    </w:rPr>
  </w:style>
  <w:style w:type="character" w:customStyle="1" w:styleId="454">
    <w:name w:val="WW8Num552z1"/>
    <w:qFormat/>
    <w:uiPriority w:val="0"/>
    <w:rPr>
      <w:rFonts w:ascii="Courier New" w:hAnsi="Courier New" w:cs="Courier New"/>
    </w:rPr>
  </w:style>
  <w:style w:type="character" w:customStyle="1" w:styleId="455">
    <w:name w:val="WW8Num552z3"/>
    <w:qFormat/>
    <w:uiPriority w:val="0"/>
    <w:rPr>
      <w:rFonts w:ascii="Symbol" w:hAnsi="Symbol" w:cs="Symbol"/>
    </w:rPr>
  </w:style>
  <w:style w:type="character" w:customStyle="1" w:styleId="456">
    <w:name w:val="WW8Num555z0"/>
    <w:qFormat/>
    <w:uiPriority w:val="0"/>
    <w:rPr>
      <w:b/>
    </w:rPr>
  </w:style>
  <w:style w:type="character" w:customStyle="1" w:styleId="457">
    <w:name w:val="WW8Num556z0"/>
    <w:qFormat/>
    <w:uiPriority w:val="0"/>
    <w:rPr>
      <w:b/>
    </w:rPr>
  </w:style>
  <w:style w:type="character" w:customStyle="1" w:styleId="458">
    <w:name w:val="WW8Num560z0"/>
    <w:qFormat/>
    <w:uiPriority w:val="0"/>
    <w:rPr>
      <w:b/>
    </w:rPr>
  </w:style>
  <w:style w:type="character" w:customStyle="1" w:styleId="459">
    <w:name w:val="WW8Num561z0"/>
    <w:qFormat/>
    <w:uiPriority w:val="0"/>
    <w:rPr>
      <w:b/>
    </w:rPr>
  </w:style>
  <w:style w:type="character" w:customStyle="1" w:styleId="460">
    <w:name w:val="WW8Num564z0"/>
    <w:qFormat/>
    <w:uiPriority w:val="0"/>
    <w:rPr>
      <w:b/>
    </w:rPr>
  </w:style>
  <w:style w:type="character" w:customStyle="1" w:styleId="461">
    <w:name w:val="WW8Num574z0"/>
    <w:qFormat/>
    <w:uiPriority w:val="0"/>
    <w:rPr>
      <w:b/>
    </w:rPr>
  </w:style>
  <w:style w:type="character" w:customStyle="1" w:styleId="462">
    <w:name w:val="WW8Num575z0"/>
    <w:qFormat/>
    <w:uiPriority w:val="0"/>
    <w:rPr>
      <w:rFonts w:ascii="Wingdings" w:hAnsi="Wingdings" w:cs="Wingdings"/>
    </w:rPr>
  </w:style>
  <w:style w:type="character" w:customStyle="1" w:styleId="463">
    <w:name w:val="WW8Num575z1"/>
    <w:qFormat/>
    <w:uiPriority w:val="0"/>
    <w:rPr>
      <w:rFonts w:ascii="Courier New" w:hAnsi="Courier New" w:cs="Courier New"/>
    </w:rPr>
  </w:style>
  <w:style w:type="character" w:customStyle="1" w:styleId="464">
    <w:name w:val="WW8Num575z3"/>
    <w:qFormat/>
    <w:uiPriority w:val="0"/>
    <w:rPr>
      <w:rFonts w:ascii="Symbol" w:hAnsi="Symbol" w:cs="Symbol"/>
    </w:rPr>
  </w:style>
  <w:style w:type="character" w:customStyle="1" w:styleId="465">
    <w:name w:val="WW8Num577z0"/>
    <w:qFormat/>
    <w:uiPriority w:val="0"/>
    <w:rPr>
      <w:b/>
    </w:rPr>
  </w:style>
  <w:style w:type="character" w:customStyle="1" w:styleId="466">
    <w:name w:val="WW8Num583z0"/>
    <w:qFormat/>
    <w:uiPriority w:val="0"/>
    <w:rPr>
      <w:b/>
    </w:rPr>
  </w:style>
  <w:style w:type="character" w:customStyle="1" w:styleId="467">
    <w:name w:val="WW8Num591z0"/>
    <w:qFormat/>
    <w:uiPriority w:val="0"/>
    <w:rPr>
      <w:rFonts w:ascii="Times New Roman" w:hAnsi="Times New Roman" w:cs="Times New Roman"/>
      <w:b/>
      <w:sz w:val="22"/>
    </w:rPr>
  </w:style>
  <w:style w:type="character" w:customStyle="1" w:styleId="468">
    <w:name w:val="WW8Num594z0"/>
    <w:qFormat/>
    <w:uiPriority w:val="0"/>
    <w:rPr>
      <w:b/>
    </w:rPr>
  </w:style>
  <w:style w:type="character" w:customStyle="1" w:styleId="469">
    <w:name w:val="WW8Num595z0"/>
    <w:qFormat/>
    <w:uiPriority w:val="0"/>
    <w:rPr>
      <w:rFonts w:ascii="Symbol" w:hAnsi="Symbol" w:cs="Symbol"/>
    </w:rPr>
  </w:style>
  <w:style w:type="character" w:customStyle="1" w:styleId="470">
    <w:name w:val="WW8Num595z1"/>
    <w:qFormat/>
    <w:uiPriority w:val="0"/>
    <w:rPr>
      <w:rFonts w:ascii="Courier New" w:hAnsi="Courier New" w:cs="Courier New"/>
    </w:rPr>
  </w:style>
  <w:style w:type="character" w:customStyle="1" w:styleId="471">
    <w:name w:val="WW8Num595z2"/>
    <w:qFormat/>
    <w:uiPriority w:val="0"/>
    <w:rPr>
      <w:rFonts w:ascii="Wingdings" w:hAnsi="Wingdings" w:cs="Wingdings"/>
    </w:rPr>
  </w:style>
  <w:style w:type="character" w:customStyle="1" w:styleId="472">
    <w:name w:val="WW8Num596z0"/>
    <w:qFormat/>
    <w:uiPriority w:val="0"/>
    <w:rPr>
      <w:rFonts w:ascii="Times New Roman" w:hAnsi="Times New Roman" w:eastAsia="Times New Roman" w:cs="Times New Roman"/>
    </w:rPr>
  </w:style>
  <w:style w:type="character" w:customStyle="1" w:styleId="473">
    <w:name w:val="WW8Num596z1"/>
    <w:qFormat/>
    <w:uiPriority w:val="0"/>
    <w:rPr>
      <w:rFonts w:ascii="Courier New" w:hAnsi="Courier New" w:cs="Courier New"/>
    </w:rPr>
  </w:style>
  <w:style w:type="character" w:customStyle="1" w:styleId="474">
    <w:name w:val="WW8Num596z2"/>
    <w:qFormat/>
    <w:uiPriority w:val="0"/>
    <w:rPr>
      <w:rFonts w:ascii="Wingdings" w:hAnsi="Wingdings" w:cs="Wingdings"/>
    </w:rPr>
  </w:style>
  <w:style w:type="character" w:customStyle="1" w:styleId="475">
    <w:name w:val="WW8Num596z3"/>
    <w:qFormat/>
    <w:uiPriority w:val="0"/>
    <w:rPr>
      <w:rFonts w:ascii="Symbol" w:hAnsi="Symbol" w:cs="Symbol"/>
    </w:rPr>
  </w:style>
  <w:style w:type="character" w:customStyle="1" w:styleId="476">
    <w:name w:val="WW8Num600z0"/>
    <w:qFormat/>
    <w:uiPriority w:val="0"/>
    <w:rPr>
      <w:b/>
    </w:rPr>
  </w:style>
  <w:style w:type="character" w:customStyle="1" w:styleId="477">
    <w:name w:val="WW8Num607z0"/>
    <w:qFormat/>
    <w:uiPriority w:val="0"/>
    <w:rPr>
      <w:rFonts w:ascii="Times New Roman" w:hAnsi="Times New Roman" w:cs="Times New Roman"/>
      <w:b/>
      <w:sz w:val="18"/>
    </w:rPr>
  </w:style>
  <w:style w:type="character" w:customStyle="1" w:styleId="478">
    <w:name w:val="WW8Num610z0"/>
    <w:qFormat/>
    <w:uiPriority w:val="0"/>
    <w:rPr>
      <w:rFonts w:ascii="Times New Roman" w:hAnsi="Times New Roman" w:cs="Times New Roman"/>
      <w:b/>
      <w:sz w:val="18"/>
    </w:rPr>
  </w:style>
  <w:style w:type="character" w:customStyle="1" w:styleId="479">
    <w:name w:val="WW8Num611z0"/>
    <w:qFormat/>
    <w:uiPriority w:val="0"/>
    <w:rPr>
      <w:b/>
    </w:rPr>
  </w:style>
  <w:style w:type="character" w:customStyle="1" w:styleId="480">
    <w:name w:val="WW8Num615z0"/>
    <w:qFormat/>
    <w:uiPriority w:val="0"/>
  </w:style>
  <w:style w:type="character" w:customStyle="1" w:styleId="481">
    <w:name w:val="WW8Num621z0"/>
    <w:qFormat/>
    <w:uiPriority w:val="0"/>
    <w:rPr>
      <w:b/>
    </w:rPr>
  </w:style>
  <w:style w:type="character" w:customStyle="1" w:styleId="482">
    <w:name w:val="WW8Num622z0"/>
    <w:qFormat/>
    <w:uiPriority w:val="0"/>
    <w:rPr>
      <w:b/>
    </w:rPr>
  </w:style>
  <w:style w:type="character" w:customStyle="1" w:styleId="483">
    <w:name w:val="WW8Num625z0"/>
    <w:qFormat/>
    <w:uiPriority w:val="0"/>
    <w:rPr>
      <w:rFonts w:ascii="Times New Roman" w:hAnsi="Times New Roman" w:cs="Times New Roman"/>
      <w:b/>
      <w:sz w:val="18"/>
    </w:rPr>
  </w:style>
  <w:style w:type="character" w:customStyle="1" w:styleId="484">
    <w:name w:val="WW8Num627z0"/>
    <w:qFormat/>
    <w:uiPriority w:val="0"/>
    <w:rPr>
      <w:rFonts w:ascii="Symbol" w:hAnsi="Symbol" w:cs="Symbol"/>
    </w:rPr>
  </w:style>
  <w:style w:type="character" w:customStyle="1" w:styleId="485">
    <w:name w:val="WW8Num628z0"/>
    <w:qFormat/>
    <w:uiPriority w:val="0"/>
    <w:rPr>
      <w:rFonts w:ascii="Wingdings" w:hAnsi="Wingdings" w:cs="Wingdings"/>
    </w:rPr>
  </w:style>
  <w:style w:type="character" w:customStyle="1" w:styleId="486">
    <w:name w:val="WW8Num631z0"/>
    <w:qFormat/>
    <w:uiPriority w:val="0"/>
    <w:rPr>
      <w:b/>
    </w:rPr>
  </w:style>
  <w:style w:type="character" w:customStyle="1" w:styleId="487">
    <w:name w:val="WW8Num632z0"/>
    <w:qFormat/>
    <w:uiPriority w:val="0"/>
    <w:rPr>
      <w:b/>
    </w:rPr>
  </w:style>
  <w:style w:type="character" w:customStyle="1" w:styleId="488">
    <w:name w:val="WW8Num634z0"/>
    <w:qFormat/>
    <w:uiPriority w:val="0"/>
    <w:rPr>
      <w:b/>
    </w:rPr>
  </w:style>
  <w:style w:type="character" w:customStyle="1" w:styleId="489">
    <w:name w:val="WW8Num636z0"/>
    <w:qFormat/>
    <w:uiPriority w:val="0"/>
  </w:style>
  <w:style w:type="character" w:customStyle="1" w:styleId="490">
    <w:name w:val="WW8Num638z0"/>
    <w:qFormat/>
    <w:uiPriority w:val="0"/>
    <w:rPr>
      <w:b/>
    </w:rPr>
  </w:style>
  <w:style w:type="character" w:customStyle="1" w:styleId="491">
    <w:name w:val="WW8Num641z0"/>
    <w:qFormat/>
    <w:uiPriority w:val="0"/>
    <w:rPr>
      <w:b/>
    </w:rPr>
  </w:style>
  <w:style w:type="character" w:customStyle="1" w:styleId="492">
    <w:name w:val="WW8Num642z0"/>
    <w:qFormat/>
    <w:uiPriority w:val="0"/>
    <w:rPr>
      <w:b/>
    </w:rPr>
  </w:style>
  <w:style w:type="character" w:customStyle="1" w:styleId="493">
    <w:name w:val="WW8Num643z0"/>
    <w:qFormat/>
    <w:uiPriority w:val="0"/>
    <w:rPr>
      <w:rFonts w:ascii="Times New Roman" w:hAnsi="Times New Roman" w:cs="Times New Roman"/>
      <w:b/>
      <w:sz w:val="22"/>
    </w:rPr>
  </w:style>
  <w:style w:type="character" w:customStyle="1" w:styleId="494">
    <w:name w:val="WW8Num644z0"/>
    <w:qFormat/>
    <w:uiPriority w:val="0"/>
    <w:rPr>
      <w:rFonts w:ascii="Symbol" w:hAnsi="Symbol" w:cs="Symbol"/>
    </w:rPr>
  </w:style>
  <w:style w:type="character" w:customStyle="1" w:styleId="495">
    <w:name w:val="WW8Num645z0"/>
    <w:qFormat/>
    <w:uiPriority w:val="0"/>
    <w:rPr>
      <w:b/>
    </w:rPr>
  </w:style>
  <w:style w:type="character" w:customStyle="1" w:styleId="496">
    <w:name w:val="WW8Num647z0"/>
    <w:qFormat/>
    <w:uiPriority w:val="0"/>
    <w:rPr>
      <w:b/>
    </w:rPr>
  </w:style>
  <w:style w:type="character" w:customStyle="1" w:styleId="497">
    <w:name w:val="WW8Num649z0"/>
    <w:qFormat/>
    <w:uiPriority w:val="0"/>
    <w:rPr>
      <w:b/>
      <w:sz w:val="20"/>
    </w:rPr>
  </w:style>
  <w:style w:type="character" w:customStyle="1" w:styleId="498">
    <w:name w:val="WW8Num650z0"/>
    <w:qFormat/>
    <w:uiPriority w:val="0"/>
    <w:rPr>
      <w:b/>
    </w:rPr>
  </w:style>
  <w:style w:type="character" w:customStyle="1" w:styleId="499">
    <w:name w:val="WW8Num652z0"/>
    <w:qFormat/>
    <w:uiPriority w:val="0"/>
    <w:rPr>
      <w:rFonts w:ascii="Times New Roman" w:hAnsi="Times New Roman" w:cs="Times New Roman"/>
      <w:b/>
      <w:sz w:val="18"/>
    </w:rPr>
  </w:style>
  <w:style w:type="character" w:customStyle="1" w:styleId="500">
    <w:name w:val="WW8Num653z0"/>
    <w:qFormat/>
    <w:uiPriority w:val="0"/>
    <w:rPr>
      <w:rFonts w:ascii="Times New Roman" w:hAnsi="Times New Roman" w:cs="Times New Roman"/>
      <w:b/>
      <w:sz w:val="24"/>
      <w:u w:val="none"/>
    </w:rPr>
  </w:style>
  <w:style w:type="character" w:customStyle="1" w:styleId="501">
    <w:name w:val="WW8Num655z0"/>
    <w:qFormat/>
    <w:uiPriority w:val="0"/>
    <w:rPr>
      <w:b/>
    </w:rPr>
  </w:style>
  <w:style w:type="character" w:customStyle="1" w:styleId="502">
    <w:name w:val="WW8Num657z0"/>
    <w:qFormat/>
    <w:uiPriority w:val="0"/>
    <w:rPr>
      <w:rFonts w:ascii="Times New Roman" w:hAnsi="Times New Roman" w:cs="Times New Roman"/>
      <w:b/>
      <w:sz w:val="24"/>
      <w:u w:val="none"/>
    </w:rPr>
  </w:style>
  <w:style w:type="character" w:customStyle="1" w:styleId="503">
    <w:name w:val="WW8Num658z0"/>
    <w:qFormat/>
    <w:uiPriority w:val="0"/>
    <w:rPr>
      <w:rFonts w:ascii="Symbol" w:hAnsi="Symbol" w:cs="Symbol"/>
    </w:rPr>
  </w:style>
  <w:style w:type="character" w:customStyle="1" w:styleId="504">
    <w:name w:val="WW8Num659z0"/>
    <w:qFormat/>
    <w:uiPriority w:val="0"/>
    <w:rPr>
      <w:b/>
    </w:rPr>
  </w:style>
  <w:style w:type="character" w:customStyle="1" w:styleId="505">
    <w:name w:val="WW8Num660z0"/>
    <w:qFormat/>
    <w:uiPriority w:val="0"/>
    <w:rPr>
      <w:rFonts w:ascii="Wingdings" w:hAnsi="Wingdings" w:cs="Wingdings"/>
    </w:rPr>
  </w:style>
  <w:style w:type="character" w:customStyle="1" w:styleId="506">
    <w:name w:val="WW8Num660z1"/>
    <w:qFormat/>
    <w:uiPriority w:val="0"/>
    <w:rPr>
      <w:rFonts w:ascii="Courier New" w:hAnsi="Courier New" w:cs="Courier New"/>
    </w:rPr>
  </w:style>
  <w:style w:type="character" w:customStyle="1" w:styleId="507">
    <w:name w:val="WW8Num660z3"/>
    <w:qFormat/>
    <w:uiPriority w:val="0"/>
    <w:rPr>
      <w:rFonts w:ascii="Symbol" w:hAnsi="Symbol" w:cs="Symbol"/>
    </w:rPr>
  </w:style>
  <w:style w:type="character" w:customStyle="1" w:styleId="508">
    <w:name w:val="WW8Num663z0"/>
    <w:qFormat/>
    <w:uiPriority w:val="0"/>
    <w:rPr>
      <w:rFonts w:ascii="Symbol" w:hAnsi="Symbol" w:cs="Symbol"/>
    </w:rPr>
  </w:style>
  <w:style w:type="character" w:customStyle="1" w:styleId="509">
    <w:name w:val="WW8Num663z1"/>
    <w:qFormat/>
    <w:uiPriority w:val="0"/>
    <w:rPr>
      <w:rFonts w:ascii="Courier New" w:hAnsi="Courier New" w:cs="Courier New"/>
    </w:rPr>
  </w:style>
  <w:style w:type="character" w:customStyle="1" w:styleId="510">
    <w:name w:val="WW8Num663z2"/>
    <w:qFormat/>
    <w:uiPriority w:val="0"/>
    <w:rPr>
      <w:rFonts w:ascii="Wingdings" w:hAnsi="Wingdings" w:cs="Wingdings"/>
    </w:rPr>
  </w:style>
  <w:style w:type="character" w:customStyle="1" w:styleId="511">
    <w:name w:val="WW8Num667z0"/>
    <w:qFormat/>
    <w:uiPriority w:val="0"/>
    <w:rPr>
      <w:b/>
    </w:rPr>
  </w:style>
  <w:style w:type="character" w:customStyle="1" w:styleId="512">
    <w:name w:val="WW8Num669z0"/>
    <w:qFormat/>
    <w:uiPriority w:val="0"/>
    <w:rPr>
      <w:rFonts w:ascii="Symbol" w:hAnsi="Symbol" w:cs="Symbol"/>
    </w:rPr>
  </w:style>
  <w:style w:type="character" w:customStyle="1" w:styleId="513">
    <w:name w:val="WW8Num670z0"/>
    <w:qFormat/>
    <w:uiPriority w:val="0"/>
    <w:rPr>
      <w:b/>
    </w:rPr>
  </w:style>
  <w:style w:type="character" w:customStyle="1" w:styleId="514">
    <w:name w:val="WW8Num671z0"/>
    <w:qFormat/>
    <w:uiPriority w:val="0"/>
  </w:style>
  <w:style w:type="character" w:customStyle="1" w:styleId="515">
    <w:name w:val="WW8Num672z0"/>
    <w:qFormat/>
    <w:uiPriority w:val="0"/>
    <w:rPr>
      <w:rFonts w:ascii="Wingdings" w:hAnsi="Wingdings" w:cs="Wingdings"/>
    </w:rPr>
  </w:style>
  <w:style w:type="character" w:customStyle="1" w:styleId="516">
    <w:name w:val="WW8Num674z0"/>
    <w:qFormat/>
    <w:uiPriority w:val="0"/>
    <w:rPr>
      <w:rFonts w:ascii="Times New Roman" w:hAnsi="Times New Roman" w:cs="Times New Roman"/>
      <w:b/>
      <w:sz w:val="18"/>
    </w:rPr>
  </w:style>
  <w:style w:type="character" w:customStyle="1" w:styleId="517">
    <w:name w:val="WW8Num675z0"/>
    <w:qFormat/>
    <w:uiPriority w:val="0"/>
    <w:rPr>
      <w:rFonts w:ascii="Times New Roman" w:hAnsi="Times New Roman" w:cs="Times New Roman"/>
      <w:b/>
      <w:sz w:val="22"/>
    </w:rPr>
  </w:style>
  <w:style w:type="character" w:customStyle="1" w:styleId="518">
    <w:name w:val="WW8Num677z0"/>
    <w:qFormat/>
    <w:uiPriority w:val="0"/>
    <w:rPr>
      <w:b/>
    </w:rPr>
  </w:style>
  <w:style w:type="character" w:customStyle="1" w:styleId="519">
    <w:name w:val="WW8Num679z0"/>
    <w:qFormat/>
    <w:uiPriority w:val="0"/>
    <w:rPr>
      <w:rFonts w:ascii="Symbol" w:hAnsi="Symbol" w:cs="Symbol"/>
    </w:rPr>
  </w:style>
  <w:style w:type="character" w:customStyle="1" w:styleId="520">
    <w:name w:val="WW8Num681z0"/>
    <w:qFormat/>
    <w:uiPriority w:val="0"/>
    <w:rPr>
      <w:b/>
      <w:sz w:val="22"/>
    </w:rPr>
  </w:style>
  <w:style w:type="character" w:customStyle="1" w:styleId="521">
    <w:name w:val="WW8Num683z0"/>
    <w:qFormat/>
    <w:uiPriority w:val="0"/>
    <w:rPr>
      <w:rFonts w:ascii="Wingdings" w:hAnsi="Wingdings" w:cs="Wingdings"/>
    </w:rPr>
  </w:style>
  <w:style w:type="character" w:customStyle="1" w:styleId="522">
    <w:name w:val="WW8Num687z0"/>
    <w:qFormat/>
    <w:uiPriority w:val="0"/>
    <w:rPr>
      <w:b/>
    </w:rPr>
  </w:style>
  <w:style w:type="character" w:customStyle="1" w:styleId="523">
    <w:name w:val="WW8Num689z0"/>
    <w:qFormat/>
    <w:uiPriority w:val="0"/>
    <w:rPr>
      <w:b/>
    </w:rPr>
  </w:style>
  <w:style w:type="character" w:customStyle="1" w:styleId="524">
    <w:name w:val="WW8Num690z0"/>
    <w:qFormat/>
    <w:uiPriority w:val="0"/>
    <w:rPr>
      <w:b/>
      <w:u w:val="none"/>
    </w:rPr>
  </w:style>
  <w:style w:type="character" w:customStyle="1" w:styleId="525">
    <w:name w:val="WW8Num691z0"/>
    <w:qFormat/>
    <w:uiPriority w:val="0"/>
    <w:rPr>
      <w:b/>
    </w:rPr>
  </w:style>
  <w:style w:type="character" w:customStyle="1" w:styleId="526">
    <w:name w:val="WW8Num693z0"/>
    <w:qFormat/>
    <w:uiPriority w:val="0"/>
    <w:rPr>
      <w:b/>
    </w:rPr>
  </w:style>
  <w:style w:type="character" w:customStyle="1" w:styleId="527">
    <w:name w:val="WW8Num695z0"/>
    <w:qFormat/>
    <w:uiPriority w:val="0"/>
    <w:rPr>
      <w:b/>
    </w:rPr>
  </w:style>
  <w:style w:type="character" w:customStyle="1" w:styleId="528">
    <w:name w:val="WW8Num699z0"/>
    <w:qFormat/>
    <w:uiPriority w:val="0"/>
    <w:rPr>
      <w:rFonts w:ascii="Symbol" w:hAnsi="Symbol" w:cs="Symbol"/>
    </w:rPr>
  </w:style>
  <w:style w:type="character" w:customStyle="1" w:styleId="529">
    <w:name w:val="WW8Num701z0"/>
    <w:qFormat/>
    <w:uiPriority w:val="0"/>
    <w:rPr>
      <w:b/>
    </w:rPr>
  </w:style>
  <w:style w:type="character" w:customStyle="1" w:styleId="530">
    <w:name w:val="WW8Num702z0"/>
    <w:qFormat/>
    <w:uiPriority w:val="0"/>
    <w:rPr>
      <w:rFonts w:ascii="Symbol" w:hAnsi="Symbol" w:cs="Symbol"/>
    </w:rPr>
  </w:style>
  <w:style w:type="character" w:customStyle="1" w:styleId="531">
    <w:name w:val="WW8Num703z0"/>
    <w:qFormat/>
    <w:uiPriority w:val="0"/>
    <w:rPr>
      <w:b/>
    </w:rPr>
  </w:style>
  <w:style w:type="character" w:customStyle="1" w:styleId="532">
    <w:name w:val="WW8Num704z0"/>
    <w:qFormat/>
    <w:uiPriority w:val="0"/>
    <w:rPr>
      <w:rFonts w:ascii="Symbol" w:hAnsi="Symbol" w:cs="Symbol"/>
    </w:rPr>
  </w:style>
  <w:style w:type="character" w:customStyle="1" w:styleId="533">
    <w:name w:val="WW8Num705z0"/>
    <w:qFormat/>
    <w:uiPriority w:val="0"/>
    <w:rPr>
      <w:rFonts w:ascii="Symbol" w:hAnsi="Symbol" w:cs="Symbol"/>
    </w:rPr>
  </w:style>
  <w:style w:type="character" w:customStyle="1" w:styleId="534">
    <w:name w:val="WW8Num705z2"/>
    <w:qFormat/>
    <w:uiPriority w:val="0"/>
    <w:rPr>
      <w:rFonts w:ascii="Times New Roman" w:hAnsi="Times New Roman" w:eastAsia="Times New Roman" w:cs="Times New Roman"/>
    </w:rPr>
  </w:style>
  <w:style w:type="character" w:customStyle="1" w:styleId="535">
    <w:name w:val="WW8Num705z4"/>
    <w:qFormat/>
    <w:uiPriority w:val="0"/>
    <w:rPr>
      <w:rFonts w:ascii="Courier New" w:hAnsi="Courier New" w:cs="Courier New"/>
    </w:rPr>
  </w:style>
  <w:style w:type="character" w:customStyle="1" w:styleId="536">
    <w:name w:val="WW8Num705z5"/>
    <w:qFormat/>
    <w:uiPriority w:val="0"/>
    <w:rPr>
      <w:rFonts w:ascii="Wingdings" w:hAnsi="Wingdings" w:cs="Wingdings"/>
    </w:rPr>
  </w:style>
  <w:style w:type="character" w:customStyle="1" w:styleId="537">
    <w:name w:val="WW8Num707z0"/>
    <w:qFormat/>
    <w:uiPriority w:val="0"/>
    <w:rPr>
      <w:b/>
    </w:rPr>
  </w:style>
  <w:style w:type="character" w:customStyle="1" w:styleId="538">
    <w:name w:val="WW8Num709z0"/>
    <w:qFormat/>
    <w:uiPriority w:val="0"/>
    <w:rPr>
      <w:b/>
    </w:rPr>
  </w:style>
  <w:style w:type="character" w:customStyle="1" w:styleId="539">
    <w:name w:val="WW8Num711z0"/>
    <w:qFormat/>
    <w:uiPriority w:val="0"/>
    <w:rPr>
      <w:rFonts w:ascii="Times New Roman" w:hAnsi="Times New Roman" w:cs="Times New Roman"/>
      <w:b/>
      <w:sz w:val="22"/>
    </w:rPr>
  </w:style>
  <w:style w:type="character" w:customStyle="1" w:styleId="540">
    <w:name w:val="WW8Num717z0"/>
    <w:qFormat/>
    <w:uiPriority w:val="0"/>
    <w:rPr>
      <w:b/>
    </w:rPr>
  </w:style>
  <w:style w:type="character" w:customStyle="1" w:styleId="541">
    <w:name w:val="WW8Num725z0"/>
    <w:qFormat/>
    <w:uiPriority w:val="0"/>
    <w:rPr>
      <w:b/>
    </w:rPr>
  </w:style>
  <w:style w:type="character" w:customStyle="1" w:styleId="542">
    <w:name w:val="WW8Num729z0"/>
    <w:qFormat/>
    <w:uiPriority w:val="0"/>
    <w:rPr>
      <w:rFonts w:ascii="Times New Roman" w:hAnsi="Times New Roman" w:cs="Times New Roman"/>
      <w:b/>
      <w:sz w:val="18"/>
    </w:rPr>
  </w:style>
  <w:style w:type="character" w:customStyle="1" w:styleId="543">
    <w:name w:val="WW8Num730z0"/>
    <w:qFormat/>
    <w:uiPriority w:val="0"/>
    <w:rPr>
      <w:b/>
    </w:rPr>
  </w:style>
  <w:style w:type="character" w:customStyle="1" w:styleId="544">
    <w:name w:val="WW8Num734z0"/>
    <w:qFormat/>
    <w:uiPriority w:val="0"/>
    <w:rPr>
      <w:rFonts w:ascii="Symbol" w:hAnsi="Symbol" w:cs="Symbol"/>
    </w:rPr>
  </w:style>
  <w:style w:type="character" w:customStyle="1" w:styleId="545">
    <w:name w:val="WW8Num735z0"/>
    <w:qFormat/>
    <w:uiPriority w:val="0"/>
    <w:rPr>
      <w:b/>
    </w:rPr>
  </w:style>
  <w:style w:type="character" w:customStyle="1" w:styleId="546">
    <w:name w:val="WW8Num736z0"/>
    <w:qFormat/>
    <w:uiPriority w:val="0"/>
    <w:rPr>
      <w:rFonts w:ascii="Symbol" w:hAnsi="Symbol" w:cs="Symbol"/>
    </w:rPr>
  </w:style>
  <w:style w:type="character" w:customStyle="1" w:styleId="547">
    <w:name w:val="WW8Num739z0"/>
    <w:qFormat/>
    <w:uiPriority w:val="0"/>
    <w:rPr>
      <w:b/>
    </w:rPr>
  </w:style>
  <w:style w:type="character" w:customStyle="1" w:styleId="548">
    <w:name w:val="WW8Num740z1"/>
    <w:qFormat/>
    <w:uiPriority w:val="0"/>
    <w:rPr>
      <w:rFonts w:ascii="Times New Roman" w:hAnsi="Times New Roman" w:cs="Times New Roman"/>
      <w:b/>
      <w:sz w:val="22"/>
    </w:rPr>
  </w:style>
  <w:style w:type="character" w:customStyle="1" w:styleId="549">
    <w:name w:val="WW8Num742z0"/>
    <w:qFormat/>
    <w:uiPriority w:val="0"/>
    <w:rPr>
      <w:rFonts w:ascii="Times New Roman" w:hAnsi="Times New Roman" w:cs="Times New Roman"/>
      <w:b/>
      <w:sz w:val="22"/>
    </w:rPr>
  </w:style>
  <w:style w:type="character" w:customStyle="1" w:styleId="550">
    <w:name w:val="WW8Num743z0"/>
    <w:qFormat/>
    <w:uiPriority w:val="0"/>
    <w:rPr>
      <w:b/>
    </w:rPr>
  </w:style>
  <w:style w:type="character" w:customStyle="1" w:styleId="551">
    <w:name w:val="WW8Num744z0"/>
    <w:qFormat/>
    <w:uiPriority w:val="0"/>
    <w:rPr>
      <w:b/>
    </w:rPr>
  </w:style>
  <w:style w:type="character" w:customStyle="1" w:styleId="552">
    <w:name w:val="WW8Num746z0"/>
    <w:qFormat/>
    <w:uiPriority w:val="0"/>
    <w:rPr>
      <w:b/>
    </w:rPr>
  </w:style>
  <w:style w:type="character" w:customStyle="1" w:styleId="553">
    <w:name w:val="WW8Num748z0"/>
    <w:qFormat/>
    <w:uiPriority w:val="0"/>
    <w:rPr>
      <w:rFonts w:ascii="Wingdings" w:hAnsi="Wingdings" w:cs="Wingdings"/>
    </w:rPr>
  </w:style>
  <w:style w:type="character" w:customStyle="1" w:styleId="554">
    <w:name w:val="WW8Num750z0"/>
    <w:qFormat/>
    <w:uiPriority w:val="0"/>
    <w:rPr>
      <w:b/>
    </w:rPr>
  </w:style>
  <w:style w:type="character" w:customStyle="1" w:styleId="555">
    <w:name w:val="WW8Num752z1"/>
    <w:qFormat/>
    <w:uiPriority w:val="0"/>
    <w:rPr>
      <w:b/>
    </w:rPr>
  </w:style>
  <w:style w:type="character" w:customStyle="1" w:styleId="556">
    <w:name w:val="WW8Num754z0"/>
    <w:qFormat/>
    <w:uiPriority w:val="0"/>
    <w:rPr>
      <w:b/>
    </w:rPr>
  </w:style>
  <w:style w:type="character" w:customStyle="1" w:styleId="557">
    <w:name w:val="WW8Num756z0"/>
    <w:qFormat/>
    <w:uiPriority w:val="0"/>
    <w:rPr>
      <w:rFonts w:ascii="Symbol" w:hAnsi="Symbol" w:cs="Symbol"/>
    </w:rPr>
  </w:style>
  <w:style w:type="character" w:customStyle="1" w:styleId="558">
    <w:name w:val="WW8Num757z0"/>
    <w:qFormat/>
    <w:uiPriority w:val="0"/>
    <w:rPr>
      <w:b/>
    </w:rPr>
  </w:style>
  <w:style w:type="character" w:customStyle="1" w:styleId="559">
    <w:name w:val="WW8Num760z0"/>
    <w:qFormat/>
    <w:uiPriority w:val="0"/>
    <w:rPr>
      <w:b/>
    </w:rPr>
  </w:style>
  <w:style w:type="character" w:customStyle="1" w:styleId="560">
    <w:name w:val="WW8Num761z0"/>
    <w:qFormat/>
    <w:uiPriority w:val="0"/>
    <w:rPr>
      <w:b/>
    </w:rPr>
  </w:style>
  <w:style w:type="character" w:customStyle="1" w:styleId="561">
    <w:name w:val="WW8Num762z0"/>
    <w:qFormat/>
    <w:uiPriority w:val="0"/>
    <w:rPr>
      <w:b/>
    </w:rPr>
  </w:style>
  <w:style w:type="character" w:customStyle="1" w:styleId="562">
    <w:name w:val="WW8Num764z0"/>
    <w:qFormat/>
    <w:uiPriority w:val="0"/>
    <w:rPr>
      <w:b/>
    </w:rPr>
  </w:style>
  <w:style w:type="character" w:customStyle="1" w:styleId="563">
    <w:name w:val="WW8Num764z1"/>
    <w:qFormat/>
    <w:uiPriority w:val="0"/>
    <w:rPr>
      <w:rFonts w:ascii="Times New Roman" w:hAnsi="Times New Roman" w:cs="Times New Roman"/>
      <w:b/>
      <w:sz w:val="22"/>
    </w:rPr>
  </w:style>
  <w:style w:type="character" w:customStyle="1" w:styleId="564">
    <w:name w:val="WW8Num768z0"/>
    <w:qFormat/>
    <w:uiPriority w:val="0"/>
    <w:rPr>
      <w:sz w:val="24"/>
    </w:rPr>
  </w:style>
  <w:style w:type="character" w:customStyle="1" w:styleId="565">
    <w:name w:val="WW8Num771z0"/>
    <w:qFormat/>
    <w:uiPriority w:val="0"/>
    <w:rPr>
      <w:b/>
    </w:rPr>
  </w:style>
  <w:style w:type="character" w:customStyle="1" w:styleId="566">
    <w:name w:val="WW8Num772z0"/>
    <w:qFormat/>
    <w:uiPriority w:val="0"/>
    <w:rPr>
      <w:b/>
    </w:rPr>
  </w:style>
  <w:style w:type="character" w:customStyle="1" w:styleId="567">
    <w:name w:val="WW8Num777z1"/>
    <w:qFormat/>
    <w:uiPriority w:val="0"/>
    <w:rPr>
      <w:b/>
    </w:rPr>
  </w:style>
  <w:style w:type="character" w:customStyle="1" w:styleId="568">
    <w:name w:val="WW8Num778z0"/>
    <w:qFormat/>
    <w:uiPriority w:val="0"/>
    <w:rPr>
      <w:b/>
    </w:rPr>
  </w:style>
  <w:style w:type="character" w:customStyle="1" w:styleId="569">
    <w:name w:val="WW8Num780z0"/>
    <w:qFormat/>
    <w:uiPriority w:val="0"/>
    <w:rPr>
      <w:rFonts w:ascii="Symbol" w:hAnsi="Symbol" w:cs="Symbol"/>
    </w:rPr>
  </w:style>
  <w:style w:type="character" w:customStyle="1" w:styleId="570">
    <w:name w:val="WW8Num780z1"/>
    <w:qFormat/>
    <w:uiPriority w:val="0"/>
    <w:rPr>
      <w:rFonts w:ascii="Courier New" w:hAnsi="Courier New" w:cs="Courier New"/>
    </w:rPr>
  </w:style>
  <w:style w:type="character" w:customStyle="1" w:styleId="571">
    <w:name w:val="WW8Num780z2"/>
    <w:qFormat/>
    <w:uiPriority w:val="0"/>
    <w:rPr>
      <w:rFonts w:ascii="Wingdings" w:hAnsi="Wingdings" w:cs="Wingdings"/>
    </w:rPr>
  </w:style>
  <w:style w:type="character" w:customStyle="1" w:styleId="572">
    <w:name w:val="WW8Num783z0"/>
    <w:qFormat/>
    <w:uiPriority w:val="0"/>
    <w:rPr>
      <w:b/>
    </w:rPr>
  </w:style>
  <w:style w:type="character" w:customStyle="1" w:styleId="573">
    <w:name w:val="WW8Num784z0"/>
    <w:qFormat/>
    <w:uiPriority w:val="0"/>
    <w:rPr>
      <w:rFonts w:ascii="Times New Roman" w:hAnsi="Times New Roman" w:cs="Times New Roman"/>
      <w:b/>
      <w:sz w:val="24"/>
      <w:u w:val="none"/>
    </w:rPr>
  </w:style>
  <w:style w:type="character" w:customStyle="1" w:styleId="574">
    <w:name w:val="WW8Num785z0"/>
    <w:qFormat/>
    <w:uiPriority w:val="0"/>
    <w:rPr>
      <w:rFonts w:ascii="Symbol" w:hAnsi="Symbol" w:cs="Symbol"/>
    </w:rPr>
  </w:style>
  <w:style w:type="character" w:customStyle="1" w:styleId="575">
    <w:name w:val="WW8Num786z0"/>
    <w:qFormat/>
    <w:uiPriority w:val="0"/>
    <w:rPr>
      <w:b/>
    </w:rPr>
  </w:style>
  <w:style w:type="character" w:customStyle="1" w:styleId="576">
    <w:name w:val="WW8Num788z0"/>
    <w:qFormat/>
    <w:uiPriority w:val="0"/>
    <w:rPr>
      <w:rFonts w:ascii="Times New Roman" w:hAnsi="Times New Roman" w:cs="Times New Roman"/>
      <w:b/>
      <w:sz w:val="18"/>
    </w:rPr>
  </w:style>
  <w:style w:type="character" w:customStyle="1" w:styleId="577">
    <w:name w:val="WW8Num791z0"/>
    <w:qFormat/>
    <w:uiPriority w:val="0"/>
    <w:rPr>
      <w:b/>
    </w:rPr>
  </w:style>
  <w:style w:type="character" w:customStyle="1" w:styleId="578">
    <w:name w:val="WW8Num792z0"/>
    <w:qFormat/>
    <w:uiPriority w:val="0"/>
    <w:rPr>
      <w:rFonts w:ascii="Wingdings" w:hAnsi="Wingdings" w:cs="Wingdings"/>
    </w:rPr>
  </w:style>
  <w:style w:type="character" w:customStyle="1" w:styleId="579">
    <w:name w:val="WW8Num795z0"/>
    <w:qFormat/>
    <w:uiPriority w:val="0"/>
    <w:rPr>
      <w:b/>
    </w:rPr>
  </w:style>
  <w:style w:type="character" w:customStyle="1" w:styleId="580">
    <w:name w:val="WW8Num799z0"/>
    <w:qFormat/>
    <w:uiPriority w:val="0"/>
    <w:rPr>
      <w:b/>
    </w:rPr>
  </w:style>
  <w:style w:type="character" w:customStyle="1" w:styleId="581">
    <w:name w:val="Símbolos de numeração"/>
    <w:qFormat/>
    <w:uiPriority w:val="0"/>
  </w:style>
  <w:style w:type="character" w:customStyle="1" w:styleId="582">
    <w:name w:val="style111"/>
    <w:qFormat/>
    <w:uiPriority w:val="0"/>
    <w:rPr>
      <w:color w:val="FFFFFF"/>
    </w:rPr>
  </w:style>
  <w:style w:type="character" w:customStyle="1" w:styleId="583">
    <w:name w:val="apple-style-span"/>
    <w:qFormat/>
    <w:uiPriority w:val="0"/>
  </w:style>
  <w:style w:type="character" w:customStyle="1" w:styleId="584">
    <w:name w:val="Título 3 Char"/>
    <w:qFormat/>
    <w:uiPriority w:val="0"/>
    <w:rPr>
      <w:b/>
    </w:rPr>
  </w:style>
  <w:style w:type="character" w:customStyle="1" w:styleId="585">
    <w:name w:val="Título 4 Char"/>
    <w:qFormat/>
    <w:uiPriority w:val="0"/>
    <w:rPr>
      <w:b/>
      <w:sz w:val="28"/>
    </w:rPr>
  </w:style>
  <w:style w:type="character" w:customStyle="1" w:styleId="586">
    <w:name w:val="Título 1 Char"/>
    <w:qFormat/>
    <w:uiPriority w:val="0"/>
    <w:rPr>
      <w:b/>
      <w:sz w:val="24"/>
    </w:rPr>
  </w:style>
  <w:style w:type="character" w:customStyle="1" w:styleId="587">
    <w:name w:val="Título Char"/>
    <w:qFormat/>
    <w:uiPriority w:val="0"/>
    <w:rPr>
      <w:rFonts w:ascii="Garamond" w:hAnsi="Garamond" w:cs="Garamond"/>
      <w:b/>
      <w:shadow/>
      <w:sz w:val="28"/>
      <w:szCs w:val="24"/>
    </w:rPr>
  </w:style>
  <w:style w:type="character" w:customStyle="1" w:styleId="588">
    <w:name w:val="Cabeçalho Char"/>
    <w:qFormat/>
    <w:uiPriority w:val="0"/>
    <w:rPr>
      <w:rFonts w:ascii="Times New (W1);Times New Roman" w:hAnsi="Times New (W1);Times New Roman" w:cs="Times New (W1);Times New Roman"/>
      <w:lang w:val="en-US" w:eastAsia="zh-CN"/>
    </w:rPr>
  </w:style>
  <w:style w:type="character" w:customStyle="1" w:styleId="589">
    <w:name w:val="Corpo de texto 2 Char"/>
    <w:qFormat/>
    <w:uiPriority w:val="0"/>
    <w:rPr>
      <w:sz w:val="24"/>
      <w:szCs w:val="24"/>
      <w:lang w:eastAsia="zh-CN"/>
    </w:rPr>
  </w:style>
  <w:style w:type="character" w:customStyle="1" w:styleId="590">
    <w:name w:val="Corpo de texto Char"/>
    <w:qFormat/>
    <w:uiPriority w:val="0"/>
    <w:rPr>
      <w:sz w:val="24"/>
      <w:lang w:eastAsia="zh-CN"/>
    </w:rPr>
  </w:style>
  <w:style w:type="character" w:customStyle="1" w:styleId="591">
    <w:name w:val="fontstyle01"/>
    <w:basedOn w:val="56"/>
    <w:qFormat/>
    <w:uiPriority w:val="0"/>
    <w:rPr>
      <w:rFonts w:ascii="ArialMT;Times New Roman" w:hAnsi="ArialMT;Times New Roman" w:cs="ArialMT;Times New Roman"/>
      <w:color w:val="231F20"/>
      <w:sz w:val="16"/>
      <w:szCs w:val="16"/>
    </w:rPr>
  </w:style>
  <w:style w:type="character" w:customStyle="1" w:styleId="592">
    <w:name w:val="Ênfase forte"/>
    <w:qFormat/>
    <w:uiPriority w:val="0"/>
    <w:rPr>
      <w:b/>
      <w:bCs/>
    </w:rPr>
  </w:style>
  <w:style w:type="paragraph" w:customStyle="1" w:styleId="593">
    <w:name w:val="Título124"/>
    <w:basedOn w:val="1"/>
    <w:next w:val="16"/>
    <w:qFormat/>
    <w:uiPriority w:val="0"/>
    <w:pPr>
      <w:keepNext/>
      <w:spacing w:before="240" w:after="120"/>
    </w:pPr>
    <w:rPr>
      <w:rFonts w:ascii="Liberation Sans" w:hAnsi="Liberation Sans" w:eastAsia="Microsoft YaHei" w:cs="Lucida Sans"/>
      <w:sz w:val="28"/>
      <w:szCs w:val="28"/>
    </w:rPr>
  </w:style>
  <w:style w:type="paragraph" w:customStyle="1" w:styleId="594">
    <w:name w:val="Índice"/>
    <w:basedOn w:val="1"/>
    <w:qFormat/>
    <w:uiPriority w:val="0"/>
    <w:pPr>
      <w:suppressLineNumbers/>
    </w:pPr>
    <w:rPr>
      <w:rFonts w:cs="Tahoma"/>
    </w:rPr>
  </w:style>
  <w:style w:type="paragraph" w:customStyle="1" w:styleId="595">
    <w:name w:val="Cabeçalho e Rodapé"/>
    <w:basedOn w:val="1"/>
    <w:qFormat/>
    <w:uiPriority w:val="0"/>
    <w:pPr>
      <w:suppressLineNumbers/>
      <w:tabs>
        <w:tab w:val="center" w:pos="4819"/>
        <w:tab w:val="right" w:pos="9638"/>
      </w:tabs>
    </w:pPr>
  </w:style>
  <w:style w:type="paragraph" w:customStyle="1" w:styleId="596">
    <w:name w:val="Título123"/>
    <w:basedOn w:val="1"/>
    <w:next w:val="16"/>
    <w:qFormat/>
    <w:uiPriority w:val="0"/>
    <w:pPr>
      <w:keepNext/>
      <w:spacing w:before="240" w:after="120"/>
    </w:pPr>
    <w:rPr>
      <w:rFonts w:ascii="Liberation Sans" w:hAnsi="Liberation Sans" w:eastAsia="Microsoft YaHei" w:cs="Lucida Sans"/>
      <w:sz w:val="28"/>
      <w:szCs w:val="28"/>
    </w:rPr>
  </w:style>
  <w:style w:type="paragraph" w:customStyle="1" w:styleId="597">
    <w:name w:val="Título122"/>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598">
    <w:name w:val="Título121"/>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599">
    <w:name w:val="Título120"/>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00">
    <w:name w:val="Título119"/>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01">
    <w:name w:val="Título118"/>
    <w:basedOn w:val="1"/>
    <w:next w:val="16"/>
    <w:qFormat/>
    <w:uiPriority w:val="0"/>
    <w:pPr>
      <w:keepNext/>
      <w:spacing w:before="240" w:after="120"/>
    </w:pPr>
    <w:rPr>
      <w:rFonts w:ascii="Liberation Sans;Arial" w:hAnsi="Liberation Sans;Arial" w:eastAsia="Microsoft YaHei" w:cs="Arial"/>
      <w:sz w:val="28"/>
      <w:szCs w:val="28"/>
    </w:rPr>
  </w:style>
  <w:style w:type="paragraph" w:customStyle="1" w:styleId="602">
    <w:name w:val="Título117"/>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03">
    <w:name w:val="Título116"/>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04">
    <w:name w:val="Título115"/>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05">
    <w:name w:val="Título114"/>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06">
    <w:name w:val="Título113"/>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07">
    <w:name w:val="Título112"/>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08">
    <w:name w:val="Título111"/>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09">
    <w:name w:val="Título110"/>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0">
    <w:name w:val="Título19"/>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1">
    <w:name w:val="Título18"/>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2">
    <w:name w:val="Título17"/>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3">
    <w:name w:val="Título16"/>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4">
    <w:name w:val="Título15"/>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5">
    <w:name w:val="Título14"/>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6">
    <w:name w:val="Título13"/>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7">
    <w:name w:val="Título12"/>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8">
    <w:name w:val="Título4"/>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9">
    <w:name w:val="Título11"/>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20">
    <w:name w:val="Título3"/>
    <w:basedOn w:val="1"/>
    <w:next w:val="16"/>
    <w:qFormat/>
    <w:uiPriority w:val="0"/>
    <w:pPr>
      <w:keepNext/>
      <w:spacing w:before="240" w:after="120"/>
    </w:pPr>
    <w:rPr>
      <w:rFonts w:ascii="Liberation Sans;Arial" w:hAnsi="Liberation Sans;Arial" w:eastAsia="Microsoft YaHei" w:cs="Mangal;Linux Libertine G"/>
      <w:sz w:val="28"/>
      <w:szCs w:val="28"/>
    </w:rPr>
  </w:style>
  <w:style w:type="paragraph" w:customStyle="1" w:styleId="621">
    <w:name w:val="Título2"/>
    <w:basedOn w:val="1"/>
    <w:next w:val="22"/>
    <w:qFormat/>
    <w:uiPriority w:val="0"/>
    <w:pPr>
      <w:jc w:val="center"/>
    </w:pPr>
    <w:rPr>
      <w:rFonts w:ascii="Garamond" w:hAnsi="Garamond" w:cs="Garamond"/>
      <w:b/>
      <w:shadow/>
      <w:sz w:val="28"/>
    </w:rPr>
  </w:style>
  <w:style w:type="paragraph" w:customStyle="1" w:styleId="622">
    <w:name w:val="Título1"/>
    <w:basedOn w:val="1"/>
    <w:next w:val="16"/>
    <w:qFormat/>
    <w:uiPriority w:val="0"/>
    <w:pPr>
      <w:keepNext/>
      <w:spacing w:before="240" w:after="120"/>
    </w:pPr>
    <w:rPr>
      <w:rFonts w:ascii="Arial" w:hAnsi="Arial" w:eastAsia="Lucida Sans Unicode" w:cs="Mangal;Linux Libertine G"/>
      <w:sz w:val="28"/>
      <w:szCs w:val="28"/>
    </w:rPr>
  </w:style>
  <w:style w:type="paragraph" w:customStyle="1" w:styleId="623">
    <w:name w:val="Legenda2"/>
    <w:basedOn w:val="1"/>
    <w:qFormat/>
    <w:uiPriority w:val="0"/>
    <w:pPr>
      <w:suppressLineNumbers/>
      <w:spacing w:before="120" w:after="120"/>
    </w:pPr>
    <w:rPr>
      <w:rFonts w:cs="Tahoma"/>
      <w:i/>
      <w:iCs/>
      <w:sz w:val="20"/>
      <w:szCs w:val="20"/>
    </w:rPr>
  </w:style>
  <w:style w:type="paragraph" w:customStyle="1" w:styleId="624">
    <w:name w:val="Capítulo"/>
    <w:basedOn w:val="1"/>
    <w:next w:val="16"/>
    <w:qFormat/>
    <w:uiPriority w:val="0"/>
    <w:pPr>
      <w:keepNext/>
      <w:spacing w:before="240" w:after="120"/>
    </w:pPr>
    <w:rPr>
      <w:rFonts w:ascii="Arial" w:hAnsi="Arial" w:eastAsia="MS Mincho;Yu Gothic UI" w:cs="Tahoma"/>
      <w:sz w:val="28"/>
      <w:szCs w:val="28"/>
    </w:rPr>
  </w:style>
  <w:style w:type="paragraph" w:customStyle="1" w:styleId="625">
    <w:name w:val="WW-Título"/>
    <w:basedOn w:val="1"/>
    <w:next w:val="16"/>
    <w:qFormat/>
    <w:uiPriority w:val="0"/>
    <w:pPr>
      <w:keepNext/>
      <w:spacing w:before="240" w:after="120"/>
    </w:pPr>
    <w:rPr>
      <w:rFonts w:ascii="Arial" w:hAnsi="Arial" w:eastAsia="Lucida Sans Unicode" w:cs="Tahoma"/>
      <w:sz w:val="28"/>
      <w:szCs w:val="28"/>
    </w:rPr>
  </w:style>
  <w:style w:type="paragraph" w:customStyle="1" w:styleId="626">
    <w:name w:val="Título Principal"/>
    <w:basedOn w:val="1"/>
    <w:next w:val="16"/>
    <w:qFormat/>
    <w:uiPriority w:val="0"/>
    <w:pPr>
      <w:keepNext/>
      <w:spacing w:before="240" w:after="120"/>
    </w:pPr>
    <w:rPr>
      <w:rFonts w:ascii="Arial" w:hAnsi="Arial" w:eastAsia="MS Mincho;Yu Gothic UI" w:cs="Tahoma"/>
      <w:sz w:val="28"/>
      <w:szCs w:val="28"/>
    </w:rPr>
  </w:style>
  <w:style w:type="paragraph" w:customStyle="1" w:styleId="627">
    <w:name w:val="WW-Com marcadores 5"/>
    <w:basedOn w:val="1"/>
    <w:qFormat/>
    <w:uiPriority w:val="0"/>
    <w:pPr>
      <w:ind w:left="2694" w:right="0" w:hanging="219"/>
    </w:pPr>
    <w:rPr>
      <w:b/>
      <w:sz w:val="20"/>
      <w:szCs w:val="20"/>
      <w:lang w:val="en-US"/>
    </w:rPr>
  </w:style>
  <w:style w:type="paragraph" w:customStyle="1" w:styleId="628">
    <w:name w:val="WW-Lista 2"/>
    <w:basedOn w:val="1"/>
    <w:qFormat/>
    <w:uiPriority w:val="0"/>
    <w:pPr>
      <w:ind w:left="566" w:right="0" w:hanging="283"/>
    </w:pPr>
    <w:rPr>
      <w:szCs w:val="20"/>
    </w:rPr>
  </w:style>
  <w:style w:type="paragraph" w:customStyle="1" w:styleId="629">
    <w:name w:val="WW-Lista 3"/>
    <w:basedOn w:val="1"/>
    <w:qFormat/>
    <w:uiPriority w:val="0"/>
    <w:pPr>
      <w:ind w:left="849" w:right="0" w:hanging="283"/>
    </w:pPr>
    <w:rPr>
      <w:szCs w:val="20"/>
    </w:rPr>
  </w:style>
  <w:style w:type="paragraph" w:customStyle="1" w:styleId="630">
    <w:name w:val="WW-Lista 4"/>
    <w:basedOn w:val="1"/>
    <w:qFormat/>
    <w:uiPriority w:val="0"/>
    <w:pPr>
      <w:ind w:left="1132" w:right="0" w:hanging="283"/>
    </w:pPr>
    <w:rPr>
      <w:szCs w:val="20"/>
    </w:rPr>
  </w:style>
  <w:style w:type="paragraph" w:customStyle="1" w:styleId="631">
    <w:name w:val="WW-Lista 5"/>
    <w:basedOn w:val="1"/>
    <w:qFormat/>
    <w:uiPriority w:val="0"/>
    <w:pPr>
      <w:ind w:left="1415" w:right="0" w:hanging="283"/>
    </w:pPr>
    <w:rPr>
      <w:szCs w:val="20"/>
    </w:rPr>
  </w:style>
  <w:style w:type="paragraph" w:customStyle="1" w:styleId="632">
    <w:name w:val="WW-Lista de continuação 4"/>
    <w:basedOn w:val="1"/>
    <w:qFormat/>
    <w:uiPriority w:val="0"/>
    <w:pPr>
      <w:spacing w:before="0" w:after="120"/>
      <w:ind w:left="1132" w:right="0" w:firstLine="0"/>
    </w:pPr>
    <w:rPr>
      <w:szCs w:val="20"/>
    </w:rPr>
  </w:style>
  <w:style w:type="paragraph" w:customStyle="1" w:styleId="633">
    <w:name w:val="WW-Recuo de corpo de texto 3"/>
    <w:basedOn w:val="1"/>
    <w:qFormat/>
    <w:uiPriority w:val="0"/>
    <w:pPr>
      <w:ind w:left="0" w:right="1185" w:firstLine="284"/>
      <w:jc w:val="both"/>
    </w:pPr>
    <w:rPr>
      <w:szCs w:val="20"/>
    </w:rPr>
  </w:style>
  <w:style w:type="paragraph" w:customStyle="1" w:styleId="634">
    <w:name w:val="WW-Recuo de corpo de texto 2"/>
    <w:basedOn w:val="1"/>
    <w:qFormat/>
    <w:uiPriority w:val="0"/>
    <w:pPr>
      <w:ind w:left="0" w:right="0" w:hanging="2"/>
      <w:jc w:val="both"/>
    </w:pPr>
  </w:style>
  <w:style w:type="paragraph" w:customStyle="1" w:styleId="635">
    <w:name w:val="WW-Corpo de texto 2"/>
    <w:basedOn w:val="1"/>
    <w:qFormat/>
    <w:uiPriority w:val="0"/>
    <w:pPr>
      <w:jc w:val="both"/>
    </w:pPr>
    <w:rPr>
      <w:sz w:val="20"/>
    </w:rPr>
  </w:style>
  <w:style w:type="paragraph" w:customStyle="1" w:styleId="636">
    <w:name w:val="WW-Corpo de texto 3"/>
    <w:basedOn w:val="1"/>
    <w:qFormat/>
    <w:uiPriority w:val="0"/>
    <w:rPr>
      <w:sz w:val="20"/>
    </w:rPr>
  </w:style>
  <w:style w:type="paragraph" w:customStyle="1" w:styleId="637">
    <w:name w:val="WW-Normal (Web)"/>
    <w:basedOn w:val="1"/>
    <w:qFormat/>
    <w:uiPriority w:val="0"/>
    <w:pPr>
      <w:spacing w:before="280" w:after="280"/>
    </w:pPr>
    <w:rPr>
      <w:rFonts w:ascii="Arial Unicode MS;Arial" w:hAnsi="Arial Unicode MS;Arial" w:eastAsia="Arial Unicode MS;Arial" w:cs="Arial Unicode MS;Arial"/>
    </w:rPr>
  </w:style>
  <w:style w:type="paragraph" w:customStyle="1" w:styleId="638">
    <w:name w:val="_A303070"/>
    <w:qFormat/>
    <w:uiPriority w:val="0"/>
    <w:pPr>
      <w:widowControl w:val="0"/>
      <w:suppressAutoHyphens/>
      <w:overflowPunct w:val="0"/>
      <w:bidi w:val="0"/>
      <w:spacing w:before="0" w:after="0"/>
      <w:ind w:left="4176" w:right="576" w:firstLine="0"/>
      <w:jc w:val="both"/>
    </w:pPr>
    <w:rPr>
      <w:rFonts w:ascii="Times New Roman" w:hAnsi="Times New Roman" w:eastAsia="Arial" w:cs="Times New Roman"/>
      <w:color w:val="000000"/>
      <w:kern w:val="0"/>
      <w:sz w:val="24"/>
      <w:szCs w:val="24"/>
      <w:lang w:val="pt-BR" w:eastAsia="zh-CN" w:bidi="ar-SA"/>
    </w:rPr>
  </w:style>
  <w:style w:type="paragraph" w:customStyle="1" w:styleId="639">
    <w:name w:val="_A171070"/>
    <w:qFormat/>
    <w:uiPriority w:val="0"/>
    <w:pPr>
      <w:widowControl w:val="0"/>
      <w:suppressAutoHyphens/>
      <w:overflowPunct w:val="0"/>
      <w:bidi w:val="0"/>
      <w:spacing w:before="0" w:after="0"/>
      <w:ind w:left="1296" w:right="0" w:firstLine="1008"/>
      <w:jc w:val="both"/>
    </w:pPr>
    <w:rPr>
      <w:rFonts w:ascii="Times New Roman" w:hAnsi="Times New Roman" w:eastAsia="Arial" w:cs="Times New Roman"/>
      <w:color w:val="000000"/>
      <w:kern w:val="0"/>
      <w:sz w:val="24"/>
      <w:szCs w:val="24"/>
      <w:lang w:val="pt-BR" w:eastAsia="zh-CN" w:bidi="ar-SA"/>
    </w:rPr>
  </w:style>
  <w:style w:type="paragraph" w:customStyle="1" w:styleId="640">
    <w:name w:val="_A121070"/>
    <w:qFormat/>
    <w:uiPriority w:val="0"/>
    <w:pPr>
      <w:widowControl w:val="0"/>
      <w:suppressAutoHyphens/>
      <w:overflowPunct w:val="0"/>
      <w:bidi w:val="0"/>
      <w:spacing w:before="0" w:after="0"/>
      <w:ind w:left="1296" w:right="0" w:firstLine="288"/>
      <w:jc w:val="both"/>
    </w:pPr>
    <w:rPr>
      <w:rFonts w:ascii="Times New Roman" w:hAnsi="Times New Roman" w:eastAsia="Arial" w:cs="Times New Roman"/>
      <w:color w:val="000000"/>
      <w:kern w:val="0"/>
      <w:sz w:val="24"/>
      <w:szCs w:val="24"/>
      <w:lang w:val="pt-BR" w:eastAsia="zh-CN" w:bidi="ar-SA"/>
    </w:rPr>
  </w:style>
  <w:style w:type="paragraph" w:customStyle="1" w:styleId="641">
    <w:name w:val="Conteúdo da Tabela"/>
    <w:basedOn w:val="16"/>
    <w:qFormat/>
    <w:uiPriority w:val="0"/>
    <w:pPr>
      <w:suppressLineNumbers/>
    </w:pPr>
  </w:style>
  <w:style w:type="paragraph" w:customStyle="1" w:styleId="642">
    <w:name w:val="Título da Tabela"/>
    <w:basedOn w:val="641"/>
    <w:qFormat/>
    <w:uiPriority w:val="0"/>
    <w:pPr>
      <w:suppressLineNumbers/>
      <w:jc w:val="center"/>
    </w:pPr>
    <w:rPr>
      <w:b/>
      <w:bCs/>
      <w:i/>
      <w:iCs/>
    </w:rPr>
  </w:style>
  <w:style w:type="paragraph" w:customStyle="1" w:styleId="643">
    <w:name w:val="Conteúdo do quadro"/>
    <w:basedOn w:val="16"/>
    <w:qFormat/>
    <w:uiPriority w:val="0"/>
  </w:style>
  <w:style w:type="paragraph" w:customStyle="1" w:styleId="644">
    <w:name w:val="Conteúdo da tabela"/>
    <w:basedOn w:val="1"/>
    <w:qFormat/>
    <w:uiPriority w:val="0"/>
    <w:pPr>
      <w:suppressLineNumbers/>
    </w:pPr>
  </w:style>
  <w:style w:type="paragraph" w:customStyle="1" w:styleId="645">
    <w:name w:val="Título da tabela"/>
    <w:basedOn w:val="644"/>
    <w:qFormat/>
    <w:uiPriority w:val="0"/>
    <w:pPr>
      <w:suppressLineNumbers/>
      <w:jc w:val="center"/>
    </w:pPr>
    <w:rPr>
      <w:b/>
      <w:bCs/>
      <w:i/>
      <w:iCs/>
    </w:rPr>
  </w:style>
  <w:style w:type="paragraph" w:customStyle="1" w:styleId="646">
    <w:name w:val="Recuo de corpo de texto 21"/>
    <w:basedOn w:val="1"/>
    <w:qFormat/>
    <w:uiPriority w:val="0"/>
    <w:pPr>
      <w:ind w:left="0" w:right="0" w:firstLine="284"/>
    </w:pPr>
    <w:rPr>
      <w:sz w:val="22"/>
    </w:rPr>
  </w:style>
  <w:style w:type="paragraph" w:customStyle="1" w:styleId="647">
    <w:name w:val="Corpo de texto 22"/>
    <w:basedOn w:val="1"/>
    <w:qFormat/>
    <w:uiPriority w:val="0"/>
    <w:pPr>
      <w:jc w:val="both"/>
    </w:pPr>
    <w:rPr>
      <w:sz w:val="20"/>
    </w:rPr>
  </w:style>
  <w:style w:type="paragraph" w:customStyle="1" w:styleId="648">
    <w:name w:val="Recuo de corpo de texto 31"/>
    <w:basedOn w:val="1"/>
    <w:qFormat/>
    <w:uiPriority w:val="0"/>
    <w:pPr>
      <w:ind w:left="540" w:right="0" w:firstLine="0"/>
      <w:jc w:val="both"/>
    </w:pPr>
    <w:rPr>
      <w:sz w:val="40"/>
    </w:rPr>
  </w:style>
  <w:style w:type="paragraph" w:customStyle="1" w:styleId="649">
    <w:name w:val="Texto sem Formatação1"/>
    <w:basedOn w:val="1"/>
    <w:qFormat/>
    <w:uiPriority w:val="0"/>
    <w:pPr>
      <w:suppressAutoHyphens w:val="0"/>
    </w:pPr>
    <w:rPr>
      <w:rFonts w:ascii="Courier New" w:hAnsi="Courier New" w:cs="Courier New"/>
      <w:sz w:val="20"/>
      <w:szCs w:val="20"/>
    </w:rPr>
  </w:style>
  <w:style w:type="paragraph" w:customStyle="1" w:styleId="650">
    <w:name w:val="Mapa do Documento1"/>
    <w:basedOn w:val="1"/>
    <w:qFormat/>
    <w:uiPriority w:val="0"/>
    <w:pPr>
      <w:shd w:val="clear" w:fill="000080"/>
    </w:pPr>
    <w:rPr>
      <w:rFonts w:ascii="Tahoma" w:hAnsi="Tahoma" w:cs="Tahoma"/>
    </w:rPr>
  </w:style>
  <w:style w:type="paragraph" w:customStyle="1" w:styleId="651">
    <w:name w:val="Texto de balão1"/>
    <w:basedOn w:val="1"/>
    <w:qFormat/>
    <w:uiPriority w:val="0"/>
    <w:rPr>
      <w:rFonts w:ascii="Tahoma" w:hAnsi="Tahoma" w:cs="Tahoma"/>
      <w:sz w:val="16"/>
      <w:szCs w:val="16"/>
    </w:rPr>
  </w:style>
  <w:style w:type="paragraph" w:customStyle="1" w:styleId="652">
    <w:name w:val="Normal (Web)1"/>
    <w:basedOn w:val="1"/>
    <w:qFormat/>
    <w:uiPriority w:val="0"/>
    <w:pPr>
      <w:suppressAutoHyphens w:val="0"/>
      <w:spacing w:before="100" w:after="100"/>
    </w:pPr>
    <w:rPr>
      <w:rFonts w:ascii="Arial Unicode MS;Arial" w:hAnsi="Arial Unicode MS;Arial" w:eastAsia="Arial Unicode MS;Arial" w:cs="Arial Unicode MS;Arial"/>
      <w:color w:val="000000"/>
    </w:rPr>
  </w:style>
  <w:style w:type="paragraph" w:customStyle="1" w:styleId="653">
    <w:name w:val="Corpo de texto 32"/>
    <w:basedOn w:val="1"/>
    <w:qFormat/>
    <w:uiPriority w:val="0"/>
    <w:pPr>
      <w:jc w:val="both"/>
    </w:pPr>
    <w:rPr>
      <w:color w:val="0000FF"/>
      <w:szCs w:val="20"/>
    </w:rPr>
  </w:style>
  <w:style w:type="paragraph" w:customStyle="1" w:styleId="654">
    <w:name w:val="Esp SubTitulo 1 Char"/>
    <w:basedOn w:val="1"/>
    <w:qFormat/>
    <w:uiPriority w:val="0"/>
    <w:pPr>
      <w:suppressAutoHyphens w:val="0"/>
      <w:spacing w:before="360" w:after="200"/>
      <w:jc w:val="both"/>
    </w:pPr>
    <w:rPr>
      <w:rFonts w:ascii="Palatino Linotype" w:hAnsi="Palatino Linotype" w:cs="Palatino Linotype"/>
      <w:sz w:val="22"/>
      <w:szCs w:val="20"/>
    </w:rPr>
  </w:style>
  <w:style w:type="paragraph" w:customStyle="1" w:styleId="655">
    <w:name w:val="Corpo de texto 31"/>
    <w:basedOn w:val="1"/>
    <w:qFormat/>
    <w:uiPriority w:val="0"/>
    <w:pPr>
      <w:jc w:val="both"/>
    </w:pPr>
    <w:rPr>
      <w:color w:val="0000FF"/>
      <w:szCs w:val="20"/>
    </w:rPr>
  </w:style>
  <w:style w:type="paragraph" w:customStyle="1" w:styleId="656">
    <w:name w:val="TABELA"/>
    <w:basedOn w:val="1"/>
    <w:next w:val="1"/>
    <w:qFormat/>
    <w:uiPriority w:val="0"/>
    <w:pPr>
      <w:numPr>
        <w:ilvl w:val="0"/>
        <w:numId w:val="1"/>
      </w:numPr>
      <w:tabs>
        <w:tab w:val="left" w:pos="720"/>
      </w:tabs>
      <w:suppressAutoHyphens w:val="0"/>
      <w:ind w:left="0" w:right="0" w:firstLine="0"/>
      <w:jc w:val="center"/>
    </w:pPr>
    <w:rPr>
      <w:rFonts w:ascii="Arial" w:hAnsi="Arial" w:cs="Arial"/>
      <w:b/>
      <w:sz w:val="20"/>
      <w:szCs w:val="20"/>
    </w:rPr>
  </w:style>
  <w:style w:type="paragraph" w:customStyle="1" w:styleId="657">
    <w:name w:val="Legenda1"/>
    <w:basedOn w:val="1"/>
    <w:next w:val="1"/>
    <w:qFormat/>
    <w:uiPriority w:val="0"/>
    <w:pPr>
      <w:suppressAutoHyphens w:val="0"/>
      <w:jc w:val="center"/>
    </w:pPr>
    <w:rPr>
      <w:b/>
      <w:szCs w:val="20"/>
    </w:rPr>
  </w:style>
  <w:style w:type="paragraph" w:customStyle="1" w:styleId="658">
    <w:name w:val="WW-Corpo de texto 21"/>
    <w:basedOn w:val="1"/>
    <w:qFormat/>
    <w:uiPriority w:val="0"/>
    <w:pPr>
      <w:suppressAutoHyphens w:val="0"/>
      <w:jc w:val="center"/>
    </w:pPr>
    <w:rPr>
      <w:sz w:val="20"/>
      <w:szCs w:val="20"/>
    </w:rPr>
  </w:style>
  <w:style w:type="paragraph" w:customStyle="1" w:styleId="659">
    <w:name w:val="font5"/>
    <w:basedOn w:val="1"/>
    <w:qFormat/>
    <w:uiPriority w:val="0"/>
    <w:pPr>
      <w:suppressAutoHyphens w:val="0"/>
      <w:spacing w:before="100" w:after="100"/>
    </w:pPr>
    <w:rPr>
      <w:rFonts w:ascii="Arial" w:hAnsi="Arial" w:eastAsia="Arial Unicode MS;Arial" w:cs="Arial"/>
      <w:sz w:val="22"/>
      <w:szCs w:val="22"/>
    </w:rPr>
  </w:style>
  <w:style w:type="paragraph" w:customStyle="1" w:styleId="660">
    <w:name w:val="xl28"/>
    <w:basedOn w:val="1"/>
    <w:qFormat/>
    <w:uiPriority w:val="0"/>
    <w:pPr>
      <w:suppressAutoHyphens w:val="0"/>
      <w:spacing w:before="100" w:after="100"/>
      <w:jc w:val="center"/>
    </w:pPr>
    <w:rPr>
      <w:rFonts w:ascii="Arial Unicode MS;Arial" w:hAnsi="Arial Unicode MS;Arial" w:eastAsia="Arial Unicode MS;Arial" w:cs="Arial Unicode MS;Arial"/>
    </w:rPr>
  </w:style>
  <w:style w:type="paragraph" w:customStyle="1" w:styleId="661">
    <w:name w:val="_A200560"/>
    <w:qFormat/>
    <w:uiPriority w:val="0"/>
    <w:pPr>
      <w:widowControl w:val="0"/>
      <w:suppressAutoHyphens/>
      <w:overflowPunct w:val="0"/>
      <w:bidi w:val="0"/>
      <w:spacing w:before="0" w:after="0"/>
      <w:ind w:left="576" w:right="1440" w:firstLine="2160"/>
      <w:jc w:val="both"/>
    </w:pPr>
    <w:rPr>
      <w:rFonts w:ascii="Times New Roman" w:hAnsi="Times New Roman" w:eastAsia="Arial" w:cs="Times New Roman"/>
      <w:color w:val="000000"/>
      <w:kern w:val="2"/>
      <w:sz w:val="24"/>
      <w:szCs w:val="20"/>
      <w:lang w:val="pt-BR" w:eastAsia="zh-CN" w:bidi="ar-SA"/>
    </w:rPr>
  </w:style>
  <w:style w:type="paragraph" w:customStyle="1" w:styleId="662">
    <w:name w:val="Esp - Texto Char"/>
    <w:basedOn w:val="1"/>
    <w:qFormat/>
    <w:uiPriority w:val="0"/>
    <w:pPr>
      <w:suppressAutoHyphens w:val="0"/>
      <w:spacing w:before="200" w:after="200"/>
      <w:jc w:val="both"/>
    </w:pPr>
    <w:rPr>
      <w:rFonts w:ascii="Palatino Linotype" w:hAnsi="Palatino Linotype" w:cs="Palatino Linotype"/>
      <w:sz w:val="20"/>
      <w:szCs w:val="20"/>
    </w:rPr>
  </w:style>
  <w:style w:type="paragraph" w:customStyle="1" w:styleId="663">
    <w:name w:val="Corpo de texto 21"/>
    <w:basedOn w:val="1"/>
    <w:qFormat/>
    <w:uiPriority w:val="0"/>
    <w:pPr>
      <w:suppressAutoHyphens w:val="0"/>
    </w:pPr>
  </w:style>
  <w:style w:type="paragraph" w:customStyle="1" w:styleId="664">
    <w:name w:val="Conteúdo de tabela"/>
    <w:basedOn w:val="1"/>
    <w:qFormat/>
    <w:uiPriority w:val="0"/>
    <w:pPr>
      <w:suppressLineNumbers/>
    </w:pPr>
  </w:style>
  <w:style w:type="paragraph" w:customStyle="1" w:styleId="665">
    <w:name w:val="Título de tabela"/>
    <w:basedOn w:val="664"/>
    <w:qFormat/>
    <w:uiPriority w:val="0"/>
    <w:pPr>
      <w:suppressLineNumbers/>
      <w:jc w:val="center"/>
    </w:pPr>
    <w:rPr>
      <w:b/>
      <w:bCs/>
    </w:rPr>
  </w:style>
  <w:style w:type="paragraph" w:customStyle="1" w:styleId="666">
    <w:name w:val="Conteúdo de quadro"/>
    <w:basedOn w:val="16"/>
    <w:qFormat/>
    <w:uiPriority w:val="0"/>
  </w:style>
  <w:style w:type="paragraph" w:customStyle="1" w:styleId="667">
    <w:name w:val="Com marcadores 41"/>
    <w:basedOn w:val="1"/>
    <w:qFormat/>
    <w:uiPriority w:val="0"/>
    <w:pPr>
      <w:spacing w:before="0" w:after="0"/>
      <w:ind w:left="1132" w:right="0" w:hanging="283"/>
      <w:contextualSpacing/>
    </w:pPr>
  </w:style>
  <w:style w:type="paragraph" w:customStyle="1" w:styleId="668">
    <w:name w:val="Com marcadores 51"/>
    <w:basedOn w:val="1"/>
    <w:qFormat/>
    <w:uiPriority w:val="0"/>
    <w:pPr>
      <w:numPr>
        <w:ilvl w:val="0"/>
        <w:numId w:val="2"/>
      </w:numPr>
      <w:tabs>
        <w:tab w:val="left" w:pos="360"/>
        <w:tab w:val="left" w:pos="1560"/>
      </w:tabs>
      <w:suppressAutoHyphens w:val="0"/>
      <w:ind w:left="2694" w:right="0" w:hanging="219"/>
    </w:pPr>
    <w:rPr>
      <w:b/>
      <w:sz w:val="20"/>
      <w:szCs w:val="20"/>
      <w:lang w:val="en-US"/>
    </w:rPr>
  </w:style>
  <w:style w:type="paragraph" w:customStyle="1" w:styleId="669">
    <w:name w:val="Texto em bloco1"/>
    <w:basedOn w:val="1"/>
    <w:qFormat/>
    <w:uiPriority w:val="0"/>
    <w:pPr>
      <w:suppressAutoHyphens w:val="0"/>
      <w:ind w:left="426" w:right="27" w:hanging="426"/>
      <w:jc w:val="both"/>
    </w:pPr>
    <w:rPr>
      <w:rFonts w:ascii="Garamond" w:hAnsi="Garamond" w:cs="Garamond"/>
      <w:szCs w:val="20"/>
    </w:rPr>
  </w:style>
  <w:style w:type="paragraph" w:customStyle="1" w:styleId="670">
    <w:name w:val="Body Text 22"/>
    <w:basedOn w:val="1"/>
    <w:qFormat/>
    <w:uiPriority w:val="0"/>
    <w:pPr>
      <w:suppressAutoHyphens w:val="0"/>
      <w:ind w:left="0" w:right="0" w:firstLine="2835"/>
      <w:jc w:val="both"/>
    </w:pPr>
    <w:rPr>
      <w:szCs w:val="20"/>
      <w:lang w:eastAsia="zh-CN"/>
    </w:rPr>
  </w:style>
  <w:style w:type="paragraph" w:customStyle="1" w:styleId="671">
    <w:name w:val="Corpo de texto 23"/>
    <w:basedOn w:val="1"/>
    <w:qFormat/>
    <w:uiPriority w:val="0"/>
    <w:pPr>
      <w:spacing w:before="0" w:after="120" w:line="480" w:lineRule="auto"/>
    </w:pPr>
  </w:style>
  <w:style w:type="paragraph" w:customStyle="1" w:styleId="672">
    <w:name w:val="Texto em bloco2"/>
    <w:basedOn w:val="1"/>
    <w:qFormat/>
    <w:uiPriority w:val="0"/>
    <w:pPr>
      <w:suppressAutoHyphens w:val="0"/>
      <w:ind w:left="426" w:right="27" w:hanging="426"/>
      <w:jc w:val="both"/>
    </w:pPr>
    <w:rPr>
      <w:rFonts w:ascii="Garamond" w:hAnsi="Garamond" w:cs="Garamond"/>
      <w:szCs w:val="20"/>
    </w:rPr>
  </w:style>
  <w:style w:type="paragraph" w:customStyle="1" w:styleId="673">
    <w:name w:val="Parágrafo da Lista1"/>
    <w:basedOn w:val="1"/>
    <w:qFormat/>
    <w:uiPriority w:val="0"/>
    <w:pPr>
      <w:widowControl w:val="0"/>
      <w:suppressAutoHyphens w:val="0"/>
      <w:spacing w:before="115" w:after="0"/>
      <w:ind w:left="1703" w:right="0" w:hanging="348"/>
    </w:pPr>
    <w:rPr>
      <w:rFonts w:ascii="Arial" w:hAnsi="Arial" w:eastAsia="Arial" w:cs="Arial"/>
      <w:sz w:val="22"/>
      <w:szCs w:val="22"/>
      <w:lang w:val="en-US"/>
    </w:rPr>
  </w:style>
  <w:style w:type="paragraph" w:customStyle="1" w:styleId="674">
    <w:name w:val="Table Paragraph"/>
    <w:basedOn w:val="1"/>
    <w:qFormat/>
    <w:uiPriority w:val="0"/>
    <w:pPr>
      <w:widowControl w:val="0"/>
      <w:suppressAutoHyphens w:val="0"/>
    </w:pPr>
    <w:rPr>
      <w:rFonts w:ascii="Arial" w:hAnsi="Arial" w:eastAsia="Arial" w:cs="Arial"/>
      <w:sz w:val="22"/>
      <w:szCs w:val="22"/>
      <w:lang w:val="en-US"/>
    </w:rPr>
  </w:style>
  <w:style w:type="paragraph" w:customStyle="1" w:styleId="675">
    <w:name w:val="Normal1"/>
    <w:basedOn w:val="1"/>
    <w:qFormat/>
    <w:uiPriority w:val="0"/>
    <w:pPr>
      <w:widowControl w:val="0"/>
    </w:pPr>
    <w:rPr>
      <w:rFonts w:eastAsia="Lucida Sans Unicode"/>
      <w:kern w:val="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2.jpe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Serviços de reabilitação - CCR - PE</Template>
  <Pages>36</Pages>
  <Words>16117</Words>
  <Characters>90658</Characters>
  <Paragraphs>795</Paragraphs>
  <TotalTime>5</TotalTime>
  <ScaleCrop>false</ScaleCrop>
  <LinksUpToDate>false</LinksUpToDate>
  <CharactersWithSpaces>106489</CharactersWithSpaces>
  <Application>WPS Office_11.2.0.11537_F1E327BC-269C-435d-A152-05C5408002CA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2023-07-26T15:27:00Z</dcterms:created>
  <dc:creator>vieirafdh</dc:creator>
  <dc:description>06/07 - Primeiro edital na nova Lei</dc:description>
  <cp:lastModifiedBy>vieirafdh</cp:lastModifiedBy>
  <cp:lastPrinted>2023-08-02T14:01:00Z</cp:lastPrinted>
  <dcterms:modified xsi:type="dcterms:W3CDTF">2023-08-17T14:58:32Z</dcterms:modified>
  <dc:title>xxx-23 - Medicamentos - GEJUD - PE-RP</dc:title>
  <cp:revision>196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5ED1F4CCA25C42619B254DB8A42BB807</vt:lpwstr>
  </property>
  <property fmtid="{D5CDD505-2E9C-101B-9397-08002B2CF9AE}" pid="3" name="KSOProductBuildVer">
    <vt:lpwstr>1046-11.2.0.11537</vt:lpwstr>
  </property>
</Properties>
</file>