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60"/>
        <w:spacing w:before="0" w:after="0"/>
        <w:rPr>
          <w:rFonts w:ascii="Calibri" w:hAnsi="Calibri" w:eastAsia="Times New Roman" w:cs="Calibri"/>
          <w:sz w:val="24"/>
          <w:szCs w:val="24"/>
          <w:lang w:eastAsia="en-US"/>
        </w:rPr>
      </w:pPr>
      <w:r>
        <w:drawing>
          <wp:inline distT="0" distB="0" distL="0" distR="0">
            <wp:extent cx="732155" cy="62674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a:srcRect l="-1912" t="-2197" r="-1912" b="-2197"/>
                    <a:stretch>
                      <a:fillRect/>
                    </a:stretch>
                  </pic:blipFill>
                  <pic:spPr>
                    <a:xfrm>
                      <a:off x="0" y="0"/>
                      <a:ext cx="732155" cy="626745"/>
                    </a:xfrm>
                    <a:prstGeom prst="rect">
                      <a:avLst/>
                    </a:prstGeom>
                  </pic:spPr>
                </pic:pic>
              </a:graphicData>
            </a:graphic>
          </wp:inline>
        </w:drawing>
      </w:r>
    </w:p>
    <w:p>
      <w:pPr>
        <w:jc w:val="center"/>
        <w:rPr>
          <w:rFonts w:ascii="Calibri" w:hAnsi="Calibri" w:cs="Calibri"/>
          <w:b/>
          <w:color w:val="000000"/>
          <w:sz w:val="24"/>
          <w:szCs w:val="24"/>
        </w:rPr>
      </w:pPr>
      <w:r>
        <w:rPr>
          <w:rFonts w:ascii="Calibri" w:hAnsi="Calibri" w:cs="Calibri"/>
          <w:b/>
          <w:color w:val="000000"/>
          <w:sz w:val="24"/>
          <w:szCs w:val="24"/>
        </w:rPr>
        <w:t>ESTADO DE SANTA CATARINA</w:t>
      </w:r>
    </w:p>
    <w:p>
      <w:pPr>
        <w:jc w:val="center"/>
        <w:rPr>
          <w:rFonts w:ascii="Calibri" w:hAnsi="Calibri" w:cs="Calibri"/>
          <w:b/>
          <w:color w:val="000000"/>
          <w:sz w:val="24"/>
          <w:szCs w:val="24"/>
        </w:rPr>
      </w:pPr>
      <w:r>
        <w:rPr>
          <w:rFonts w:ascii="Calibri" w:hAnsi="Calibri" w:cs="Calibri"/>
          <w:b/>
          <w:color w:val="000000"/>
          <w:sz w:val="24"/>
          <w:szCs w:val="24"/>
        </w:rPr>
        <w:t>SECRETARIA DE ESTADO DA SAÚDE</w:t>
      </w:r>
    </w:p>
    <w:p>
      <w:pPr>
        <w:jc w:val="center"/>
        <w:rPr>
          <w:rFonts w:ascii="Calibri" w:hAnsi="Calibri" w:cs="Calibri"/>
          <w:b/>
          <w:color w:val="000000"/>
          <w:sz w:val="24"/>
          <w:szCs w:val="24"/>
        </w:rPr>
      </w:pPr>
      <w:r>
        <w:rPr>
          <w:rFonts w:ascii="Calibri" w:hAnsi="Calibri" w:cs="Calibri"/>
          <w:b/>
          <w:color w:val="000000"/>
          <w:sz w:val="24"/>
          <w:szCs w:val="24"/>
        </w:rPr>
        <w:t>FUNDO ESTADUAL DE SAÚDE</w:t>
      </w:r>
    </w:p>
    <w:p>
      <w:pPr>
        <w:jc w:val="center"/>
        <w:rPr>
          <w:rFonts w:ascii="Calibri" w:hAnsi="Calibri" w:cs="Calibri"/>
          <w:b/>
          <w:color w:val="000000"/>
          <w:sz w:val="24"/>
          <w:szCs w:val="24"/>
        </w:rPr>
      </w:pPr>
      <w:r>
        <w:rPr>
          <w:rFonts w:ascii="Calibri" w:hAnsi="Calibri" w:cs="Calibri"/>
          <w:b/>
          <w:color w:val="000000"/>
          <w:sz w:val="24"/>
          <w:szCs w:val="24"/>
        </w:rPr>
        <w:t xml:space="preserve">Rua Esteves Júnior, 160 </w:t>
      </w:r>
    </w:p>
    <w:p>
      <w:pPr>
        <w:jc w:val="center"/>
        <w:rPr>
          <w:rFonts w:ascii="Calibri" w:hAnsi="Calibri" w:cs="Calibri"/>
          <w:b/>
          <w:color w:val="000000"/>
          <w:sz w:val="24"/>
          <w:szCs w:val="24"/>
        </w:rPr>
      </w:pPr>
      <w:r>
        <w:rPr>
          <w:rFonts w:ascii="Calibri" w:hAnsi="Calibri" w:cs="Calibri"/>
          <w:b/>
          <w:color w:val="000000"/>
          <w:sz w:val="24"/>
          <w:szCs w:val="24"/>
        </w:rPr>
        <w:t xml:space="preserve"> Centro</w:t>
      </w:r>
      <w:r>
        <w:rPr>
          <w:rFonts w:ascii="Calibri" w:hAnsi="Calibri" w:cs="Calibri"/>
          <w:b/>
          <w:color w:val="000000"/>
          <w:sz w:val="24"/>
          <w:szCs w:val="24"/>
          <w:lang w:val="pt-BR"/>
        </w:rPr>
        <w:t xml:space="preserve"> - </w:t>
      </w:r>
      <w:r>
        <w:rPr>
          <w:rFonts w:ascii="Calibri" w:hAnsi="Calibri" w:cs="Calibri"/>
          <w:b/>
          <w:color w:val="000000"/>
          <w:sz w:val="24"/>
          <w:szCs w:val="24"/>
        </w:rPr>
        <w:t>Florianópolis – SC</w:t>
      </w:r>
      <w:r>
        <w:rPr>
          <w:rFonts w:ascii="Calibri" w:hAnsi="Calibri" w:cs="Calibri"/>
          <w:b/>
          <w:color w:val="000000"/>
          <w:sz w:val="24"/>
          <w:szCs w:val="24"/>
          <w:lang w:val="pt-BR"/>
        </w:rPr>
        <w:t xml:space="preserve"> - </w:t>
      </w:r>
      <w:r>
        <w:rPr>
          <w:rFonts w:ascii="Calibri" w:hAnsi="Calibri" w:cs="Calibri"/>
          <w:b/>
          <w:color w:val="000000"/>
          <w:sz w:val="24"/>
          <w:szCs w:val="24"/>
        </w:rPr>
        <w:t>CEP</w:t>
      </w:r>
      <w:r>
        <w:rPr>
          <w:rFonts w:ascii="Calibri" w:hAnsi="Calibri" w:cs="Calibri"/>
          <w:b/>
          <w:color w:val="000000"/>
          <w:sz w:val="24"/>
          <w:szCs w:val="24"/>
          <w:lang w:val="pt-BR"/>
        </w:rPr>
        <w:t>.</w:t>
      </w:r>
      <w:r>
        <w:rPr>
          <w:rFonts w:ascii="Calibri" w:hAnsi="Calibri" w:cs="Calibri"/>
          <w:b/>
          <w:color w:val="000000"/>
          <w:sz w:val="24"/>
          <w:szCs w:val="24"/>
        </w:rPr>
        <w:t xml:space="preserve"> 88015-130</w:t>
      </w:r>
    </w:p>
    <w:p>
      <w:pPr>
        <w:jc w:val="center"/>
      </w:pPr>
      <w:r>
        <w:rPr>
          <w:rFonts w:ascii="Calibri" w:hAnsi="Calibri" w:cs="Calibri"/>
          <w:b/>
          <w:color w:val="000000"/>
          <w:sz w:val="24"/>
          <w:szCs w:val="24"/>
        </w:rPr>
        <w:t xml:space="preserve">Site: </w:t>
      </w:r>
      <w:r>
        <w:fldChar w:fldCharType="begin"/>
      </w:r>
      <w:r>
        <w:instrText xml:space="preserve"> HYPERLINK "http://www.portaldecompras.sc.gov.br/" \h </w:instrText>
      </w:r>
      <w:r>
        <w:fldChar w:fldCharType="separate"/>
      </w:r>
      <w:r>
        <w:rPr>
          <w:rStyle w:val="41"/>
          <w:rFonts w:ascii="Calibri" w:hAnsi="Calibri" w:cs="Calibri"/>
          <w:b/>
          <w:sz w:val="24"/>
          <w:szCs w:val="24"/>
        </w:rPr>
        <w:t>http://www.portaldecompras.sc.gov.br/</w:t>
      </w:r>
      <w:r>
        <w:rPr>
          <w:rStyle w:val="41"/>
          <w:rFonts w:ascii="Calibri" w:hAnsi="Calibri" w:cs="Calibri"/>
          <w:b/>
          <w:sz w:val="24"/>
          <w:szCs w:val="24"/>
        </w:rPr>
        <w:fldChar w:fldCharType="end"/>
      </w:r>
    </w:p>
    <w:p>
      <w:pPr>
        <w:rPr>
          <w:rFonts w:ascii="Calibri" w:hAnsi="Calibri" w:cs="Calibri"/>
          <w:b/>
          <w:bCs/>
          <w:color w:val="000000"/>
          <w:sz w:val="24"/>
          <w:szCs w:val="24"/>
        </w:rPr>
      </w:pPr>
    </w:p>
    <w:p>
      <w:pPr>
        <w:rPr>
          <w:rFonts w:ascii="Calibri" w:hAnsi="Calibri" w:cs="Calibri"/>
          <w:b/>
          <w:bCs/>
          <w:color w:val="000000"/>
          <w:sz w:val="24"/>
          <w:szCs w:val="24"/>
        </w:rPr>
      </w:pPr>
    </w:p>
    <w:p>
      <w:pPr>
        <w:jc w:val="center"/>
      </w:pPr>
      <w:r>
        <w:rPr>
          <w:rFonts w:ascii="Calibri" w:hAnsi="Calibri" w:cs="Calibri"/>
          <w:b/>
          <w:bCs/>
          <w:sz w:val="24"/>
          <w:szCs w:val="24"/>
        </w:rPr>
        <w:t xml:space="preserve">PREGÃO ELETRÔNICO EDITAL Nº </w:t>
      </w:r>
      <w:r>
        <w:rPr>
          <w:rFonts w:ascii="Calibri" w:hAnsi="Calibri" w:cs="Calibri"/>
          <w:b/>
          <w:bCs/>
          <w:sz w:val="24"/>
          <w:szCs w:val="24"/>
          <w:lang w:val="pt-BR"/>
        </w:rPr>
        <w:t>1182/2023</w:t>
      </w:r>
    </w:p>
    <w:p>
      <w:pPr>
        <w:jc w:val="center"/>
      </w:pPr>
      <w:r>
        <w:rPr>
          <w:rFonts w:ascii="Calibri" w:hAnsi="Calibri" w:cs="Calibri"/>
          <w:b/>
          <w:bCs/>
          <w:sz w:val="24"/>
          <w:szCs w:val="24"/>
        </w:rPr>
        <w:t xml:space="preserve">SES </w:t>
      </w:r>
      <w:r>
        <w:rPr>
          <w:rFonts w:ascii="Calibri" w:hAnsi="Calibri" w:cs="Calibri"/>
          <w:b/>
          <w:bCs/>
          <w:sz w:val="24"/>
          <w:szCs w:val="24"/>
          <w:lang w:val="pt-BR"/>
        </w:rPr>
        <w:t>118525/2023</w:t>
      </w:r>
    </w:p>
    <w:p>
      <w:pPr>
        <w:pStyle w:val="2"/>
        <w:jc w:val="center"/>
        <w:rPr>
          <w:rFonts w:ascii="Calibri" w:hAnsi="Calibri" w:cs="Calibri"/>
          <w:b/>
          <w:bCs/>
          <w:sz w:val="24"/>
          <w:szCs w:val="24"/>
          <w:lang w:val="pt-BR"/>
        </w:rPr>
      </w:pPr>
    </w:p>
    <w:p>
      <w:pPr>
        <w:pStyle w:val="16"/>
        <w:spacing w:before="147" w:after="0"/>
        <w:ind w:left="142" w:right="257" w:firstLine="0"/>
        <w:rPr>
          <w:rFonts w:ascii="Calibri" w:hAnsi="Calibri"/>
          <w:sz w:val="24"/>
          <w:szCs w:val="24"/>
        </w:rPr>
      </w:pPr>
      <w:r>
        <w:rPr>
          <w:rFonts w:ascii="Calibri" w:hAnsi="Calibri"/>
          <w:sz w:val="24"/>
          <w:szCs w:val="24"/>
        </w:rPr>
        <w:t xml:space="preserve">A </w:t>
      </w:r>
      <w:r>
        <w:rPr>
          <w:rFonts w:ascii="Calibri" w:hAnsi="Calibri"/>
          <w:b/>
          <w:sz w:val="24"/>
          <w:szCs w:val="24"/>
        </w:rPr>
        <w:t xml:space="preserve">Secretaria de Estado da </w:t>
      </w:r>
      <w:r>
        <w:rPr>
          <w:rFonts w:ascii="Calibri" w:hAnsi="Calibri" w:eastAsia="SimSun" w:cs="Times New Roman"/>
          <w:b/>
          <w:color w:val="000000"/>
          <w:sz w:val="24"/>
          <w:szCs w:val="24"/>
          <w:lang w:val="pt-BR" w:eastAsia="zh-CN" w:bidi="ar-SA"/>
        </w:rPr>
        <w:t>Saúde</w:t>
      </w:r>
      <w:r>
        <w:rPr>
          <w:rFonts w:ascii="Calibri" w:hAnsi="Calibri"/>
          <w:sz w:val="24"/>
          <w:szCs w:val="24"/>
        </w:rPr>
        <w:t xml:space="preserve">, com sede </w:t>
      </w:r>
      <w:r>
        <w:rPr>
          <w:rFonts w:ascii="Calibri" w:hAnsi="Calibri" w:eastAsia="SimSun" w:cs="Times New Roman"/>
          <w:color w:val="000000"/>
          <w:sz w:val="24"/>
          <w:szCs w:val="24"/>
          <w:lang w:val="pt-BR" w:eastAsia="zh-CN" w:bidi="ar-SA"/>
        </w:rPr>
        <w:t>na Rua Esteves Junior</w:t>
      </w:r>
      <w:r>
        <w:rPr>
          <w:rFonts w:ascii="Calibri" w:hAnsi="Calibri"/>
          <w:sz w:val="24"/>
          <w:szCs w:val="24"/>
        </w:rPr>
        <w:t xml:space="preserve">, nº </w:t>
      </w:r>
      <w:r>
        <w:rPr>
          <w:rFonts w:ascii="Calibri" w:hAnsi="Calibri" w:eastAsia="SimSun" w:cs="Times New Roman"/>
          <w:color w:val="000000"/>
          <w:sz w:val="24"/>
          <w:szCs w:val="24"/>
          <w:lang w:val="pt-BR" w:eastAsia="zh-CN" w:bidi="ar-SA"/>
        </w:rPr>
        <w:t>160</w:t>
      </w:r>
      <w:r>
        <w:rPr>
          <w:rFonts w:ascii="Calibri" w:hAnsi="Calibri"/>
          <w:sz w:val="24"/>
          <w:szCs w:val="24"/>
        </w:rPr>
        <w:t>,</w:t>
      </w:r>
      <w:r>
        <w:rPr>
          <w:rFonts w:ascii="Calibri" w:hAnsi="Calibri"/>
          <w:spacing w:val="1"/>
          <w:sz w:val="24"/>
          <w:szCs w:val="24"/>
        </w:rPr>
        <w:t xml:space="preserve"> </w:t>
      </w:r>
      <w:r>
        <w:rPr>
          <w:rFonts w:ascii="Calibri" w:hAnsi="Calibri"/>
          <w:sz w:val="24"/>
          <w:szCs w:val="24"/>
        </w:rPr>
        <w:t xml:space="preserve">Bairro </w:t>
      </w:r>
      <w:r>
        <w:rPr>
          <w:rFonts w:ascii="Calibri" w:hAnsi="Calibri" w:eastAsia="SimSun" w:cs="Times New Roman"/>
          <w:color w:val="000000"/>
          <w:sz w:val="24"/>
          <w:szCs w:val="24"/>
          <w:lang w:val="pt-BR" w:eastAsia="zh-CN" w:bidi="ar-SA"/>
        </w:rPr>
        <w:t>Centro</w:t>
      </w:r>
      <w:r>
        <w:rPr>
          <w:rFonts w:ascii="Calibri" w:hAnsi="Calibri"/>
          <w:sz w:val="24"/>
          <w:szCs w:val="24"/>
        </w:rPr>
        <w:t>, Florianópolis/SC, inscrita no CNPJ sob o nº 80.673.411/0001-87, por intermédio da</w:t>
      </w:r>
      <w:r>
        <w:rPr>
          <w:rFonts w:ascii="Calibri" w:hAnsi="Calibri"/>
          <w:spacing w:val="1"/>
          <w:sz w:val="24"/>
          <w:szCs w:val="24"/>
        </w:rPr>
        <w:t xml:space="preserve"> </w:t>
      </w:r>
      <w:r>
        <w:rPr>
          <w:rFonts w:ascii="Calibri" w:hAnsi="Calibri"/>
          <w:sz w:val="24"/>
          <w:szCs w:val="24"/>
        </w:rPr>
        <w:t>Diretoria  de Licitações e Contratos - D</w:t>
      </w:r>
      <w:r>
        <w:rPr>
          <w:rFonts w:ascii="Calibri" w:hAnsi="Calibri" w:eastAsia="SimSun" w:cs="Times New Roman"/>
          <w:color w:val="000000"/>
          <w:sz w:val="24"/>
          <w:szCs w:val="24"/>
          <w:lang w:val="pt-BR" w:eastAsia="zh-CN" w:bidi="ar-SA"/>
        </w:rPr>
        <w:t>LIC</w:t>
      </w:r>
      <w:r>
        <w:rPr>
          <w:rFonts w:ascii="Calibri" w:hAnsi="Calibri"/>
          <w:sz w:val="24"/>
          <w:szCs w:val="24"/>
        </w:rPr>
        <w:t xml:space="preserve">, torna público que fará realizar licitação na </w:t>
      </w:r>
      <w:r>
        <w:rPr>
          <w:rFonts w:ascii="Calibri" w:hAnsi="Calibri"/>
          <w:b/>
          <w:sz w:val="24"/>
          <w:szCs w:val="24"/>
        </w:rPr>
        <w:t>modalidade</w:t>
      </w:r>
      <w:r>
        <w:rPr>
          <w:rFonts w:ascii="Calibri" w:hAnsi="Calibri"/>
          <w:b/>
          <w:spacing w:val="1"/>
          <w:sz w:val="24"/>
          <w:szCs w:val="24"/>
        </w:rPr>
        <w:t xml:space="preserve"> </w:t>
      </w:r>
      <w:r>
        <w:rPr>
          <w:rFonts w:ascii="Calibri" w:hAnsi="Calibri"/>
          <w:b/>
          <w:sz w:val="24"/>
          <w:szCs w:val="24"/>
        </w:rPr>
        <w:t>pregão,</w:t>
      </w:r>
      <w:r>
        <w:rPr>
          <w:rFonts w:ascii="Calibri" w:hAnsi="Calibri"/>
          <w:b/>
          <w:spacing w:val="1"/>
          <w:sz w:val="24"/>
          <w:szCs w:val="24"/>
        </w:rPr>
        <w:t xml:space="preserve"> </w:t>
      </w:r>
      <w:r>
        <w:rPr>
          <w:rFonts w:ascii="Calibri" w:hAnsi="Calibri"/>
          <w:sz w:val="24"/>
          <w:szCs w:val="24"/>
        </w:rPr>
        <w:t>tipo</w:t>
      </w:r>
      <w:r>
        <w:rPr>
          <w:rFonts w:ascii="Calibri" w:hAnsi="Calibri"/>
          <w:spacing w:val="1"/>
          <w:sz w:val="24"/>
          <w:szCs w:val="24"/>
        </w:rPr>
        <w:t xml:space="preserve"> </w:t>
      </w:r>
      <w:r>
        <w:rPr>
          <w:rFonts w:ascii="Calibri" w:hAnsi="Calibri"/>
          <w:sz w:val="24"/>
          <w:szCs w:val="24"/>
        </w:rPr>
        <w:t>menor</w:t>
      </w:r>
      <w:r>
        <w:rPr>
          <w:rFonts w:ascii="Calibri" w:hAnsi="Calibri"/>
          <w:spacing w:val="1"/>
          <w:sz w:val="24"/>
          <w:szCs w:val="24"/>
        </w:rPr>
        <w:t xml:space="preserve"> </w:t>
      </w:r>
      <w:r>
        <w:rPr>
          <w:rFonts w:ascii="Calibri" w:hAnsi="Calibri"/>
          <w:sz w:val="24"/>
          <w:szCs w:val="24"/>
        </w:rPr>
        <w:t>preço,</w:t>
      </w:r>
      <w:r>
        <w:rPr>
          <w:rFonts w:ascii="Calibri" w:hAnsi="Calibri"/>
          <w:spacing w:val="1"/>
          <w:sz w:val="24"/>
          <w:szCs w:val="24"/>
        </w:rPr>
        <w:t xml:space="preserve"> </w:t>
      </w:r>
      <w:r>
        <w:rPr>
          <w:rFonts w:ascii="Calibri" w:hAnsi="Calibri"/>
          <w:sz w:val="24"/>
          <w:szCs w:val="24"/>
        </w:rPr>
        <w:t>na</w:t>
      </w:r>
      <w:r>
        <w:rPr>
          <w:rFonts w:ascii="Calibri" w:hAnsi="Calibri"/>
          <w:spacing w:val="1"/>
          <w:sz w:val="24"/>
          <w:szCs w:val="24"/>
        </w:rPr>
        <w:t xml:space="preserve"> </w:t>
      </w:r>
      <w:r>
        <w:rPr>
          <w:rFonts w:ascii="Calibri" w:hAnsi="Calibri"/>
          <w:sz w:val="24"/>
          <w:szCs w:val="24"/>
        </w:rPr>
        <w:t>forma</w:t>
      </w:r>
      <w:r>
        <w:rPr>
          <w:rFonts w:ascii="Calibri" w:hAnsi="Calibri"/>
          <w:spacing w:val="1"/>
          <w:sz w:val="24"/>
          <w:szCs w:val="24"/>
        </w:rPr>
        <w:t xml:space="preserve"> </w:t>
      </w:r>
      <w:r>
        <w:rPr>
          <w:rFonts w:ascii="Calibri" w:hAnsi="Calibri"/>
          <w:sz w:val="24"/>
          <w:szCs w:val="24"/>
        </w:rPr>
        <w:t>eletrônica,</w:t>
      </w:r>
      <w:r>
        <w:rPr>
          <w:rFonts w:ascii="Calibri" w:hAnsi="Calibri"/>
          <w:spacing w:val="1"/>
          <w:sz w:val="24"/>
          <w:szCs w:val="24"/>
        </w:rPr>
        <w:t xml:space="preserve"> </w:t>
      </w:r>
      <w:r>
        <w:rPr>
          <w:rFonts w:ascii="Calibri" w:hAnsi="Calibri"/>
          <w:sz w:val="24"/>
          <w:szCs w:val="24"/>
        </w:rPr>
        <w:t>modo</w:t>
      </w:r>
      <w:r>
        <w:rPr>
          <w:rFonts w:ascii="Calibri" w:hAnsi="Calibri"/>
          <w:spacing w:val="1"/>
          <w:sz w:val="24"/>
          <w:szCs w:val="24"/>
        </w:rPr>
        <w:t xml:space="preserve"> </w:t>
      </w:r>
      <w:r>
        <w:rPr>
          <w:rFonts w:ascii="Calibri" w:hAnsi="Calibri"/>
          <w:sz w:val="24"/>
          <w:szCs w:val="24"/>
        </w:rPr>
        <w:t>de</w:t>
      </w:r>
      <w:r>
        <w:rPr>
          <w:rFonts w:ascii="Calibri" w:hAnsi="Calibri"/>
          <w:spacing w:val="50"/>
          <w:sz w:val="24"/>
          <w:szCs w:val="24"/>
        </w:rPr>
        <w:t xml:space="preserve"> </w:t>
      </w:r>
      <w:r>
        <w:rPr>
          <w:rFonts w:ascii="Calibri" w:hAnsi="Calibri"/>
          <w:sz w:val="24"/>
          <w:szCs w:val="24"/>
        </w:rPr>
        <w:t>disputa</w:t>
      </w:r>
      <w:r>
        <w:rPr>
          <w:rFonts w:ascii="Calibri" w:hAnsi="Calibri"/>
          <w:spacing w:val="50"/>
          <w:sz w:val="24"/>
          <w:szCs w:val="24"/>
        </w:rPr>
        <w:t xml:space="preserve"> aberto </w:t>
      </w:r>
      <w:r>
        <w:rPr>
          <w:rFonts w:ascii="Calibri" w:hAnsi="Calibri"/>
          <w:sz w:val="24"/>
          <w:szCs w:val="24"/>
        </w:rPr>
        <w:t>para</w:t>
      </w:r>
      <w:r>
        <w:rPr>
          <w:rFonts w:ascii="Calibri" w:hAnsi="Calibri"/>
          <w:spacing w:val="37"/>
          <w:sz w:val="24"/>
          <w:szCs w:val="24"/>
        </w:rPr>
        <w:t xml:space="preserve"> </w:t>
      </w:r>
      <w:r>
        <w:rPr>
          <w:rFonts w:ascii="Calibri" w:hAnsi="Calibri"/>
          <w:sz w:val="24"/>
          <w:szCs w:val="24"/>
        </w:rPr>
        <w:t>selecionar</w:t>
      </w:r>
      <w:r>
        <w:rPr>
          <w:rFonts w:ascii="Calibri" w:hAnsi="Calibri"/>
          <w:spacing w:val="35"/>
          <w:sz w:val="24"/>
          <w:szCs w:val="24"/>
        </w:rPr>
        <w:t xml:space="preserve"> </w:t>
      </w:r>
      <w:r>
        <w:rPr>
          <w:rFonts w:ascii="Calibri" w:hAnsi="Calibri"/>
          <w:sz w:val="24"/>
          <w:szCs w:val="24"/>
        </w:rPr>
        <w:t>proposta</w:t>
      </w:r>
      <w:r>
        <w:rPr>
          <w:rFonts w:ascii="Calibri" w:hAnsi="Calibri"/>
          <w:spacing w:val="38"/>
          <w:sz w:val="24"/>
          <w:szCs w:val="24"/>
        </w:rPr>
        <w:t xml:space="preserve"> </w:t>
      </w:r>
      <w:r>
        <w:rPr>
          <w:rFonts w:ascii="Calibri" w:hAnsi="Calibri"/>
          <w:sz w:val="24"/>
          <w:szCs w:val="24"/>
        </w:rPr>
        <w:t>objetivando</w:t>
      </w:r>
      <w:r>
        <w:rPr>
          <w:rFonts w:ascii="Calibri" w:hAnsi="Calibri"/>
          <w:spacing w:val="39"/>
          <w:sz w:val="24"/>
          <w:szCs w:val="24"/>
        </w:rPr>
        <w:t xml:space="preserve"> o</w:t>
      </w:r>
      <w:r>
        <w:rPr>
          <w:rFonts w:ascii="Calibri" w:hAnsi="Calibri"/>
          <w:sz w:val="24"/>
          <w:szCs w:val="24"/>
        </w:rPr>
        <w:t xml:space="preserve"> </w:t>
      </w:r>
      <w:r>
        <w:rPr>
          <w:rFonts w:ascii="Calibri" w:hAnsi="Calibri"/>
          <w:b/>
          <w:bCs/>
          <w:sz w:val="24"/>
          <w:szCs w:val="24"/>
        </w:rPr>
        <w:t>REGISTRO DE PREÇOS</w:t>
      </w:r>
      <w:r>
        <w:rPr>
          <w:rFonts w:ascii="Calibri" w:hAnsi="Calibri" w:cs="Calibri"/>
          <w:b/>
          <w:bCs/>
          <w:color w:val="000000"/>
          <w:sz w:val="24"/>
          <w:szCs w:val="24"/>
          <w:lang w:val="pt-BR"/>
        </w:rPr>
        <w:t>,</w:t>
      </w:r>
      <w:r>
        <w:rPr>
          <w:rFonts w:ascii="Calibri" w:hAnsi="Calibri" w:cs="Calibri"/>
          <w:b/>
          <w:bCs/>
          <w:color w:val="4471C4"/>
          <w:sz w:val="24"/>
          <w:szCs w:val="24"/>
          <w:lang w:val="pt-BR"/>
        </w:rPr>
        <w:t xml:space="preserve"> </w:t>
      </w:r>
      <w:r>
        <w:rPr>
          <w:rFonts w:ascii="Calibri" w:hAnsi="Calibri" w:cs="Calibri"/>
          <w:b w:val="0"/>
          <w:bCs w:val="0"/>
          <w:sz w:val="24"/>
          <w:szCs w:val="24"/>
          <w:lang w:val="pt-BR"/>
        </w:rPr>
        <w:t>nos termos da Lei Federal nº 14.133, de 01 de abril de</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2021, Lei Complementar nº 123, de 14 de dezembro de 2006, e demais normas legais federais e estaduais</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vigentes.</w:t>
      </w:r>
    </w:p>
    <w:p>
      <w:pPr>
        <w:pStyle w:val="652"/>
        <w:spacing w:before="0" w:after="0"/>
        <w:ind w:left="142" w:right="257" w:firstLine="0"/>
        <w:jc w:val="both"/>
        <w:rPr>
          <w:rFonts w:ascii="Calibri" w:hAnsi="Calibri" w:cs="Calibri"/>
          <w:b/>
          <w:bCs/>
          <w:sz w:val="24"/>
          <w:szCs w:val="24"/>
          <w:lang w:val="pt-BR"/>
        </w:rPr>
      </w:pPr>
    </w:p>
    <w:p>
      <w:pPr>
        <w:pStyle w:val="652"/>
        <w:spacing w:before="0" w:after="0"/>
        <w:ind w:left="142" w:right="257" w:firstLine="0"/>
        <w:jc w:val="both"/>
        <w:rPr>
          <w:rFonts w:ascii="Calibri" w:hAnsi="Calibri"/>
          <w:sz w:val="24"/>
          <w:szCs w:val="24"/>
        </w:rPr>
      </w:pPr>
      <w:r>
        <w:rPr>
          <w:rFonts w:ascii="Calibri" w:hAnsi="Calibri" w:cs="Calibri"/>
          <w:b/>
          <w:bCs/>
          <w:sz w:val="24"/>
          <w:szCs w:val="24"/>
          <w:lang w:val="pt-BR"/>
        </w:rPr>
        <w:t>OBJETO:</w:t>
      </w:r>
      <w:r>
        <w:rPr>
          <w:rFonts w:ascii="Calibri" w:hAnsi="Calibri" w:cs="Calibri"/>
          <w:b w:val="0"/>
          <w:bCs w:val="0"/>
          <w:sz w:val="24"/>
          <w:szCs w:val="24"/>
          <w:lang w:val="pt-BR"/>
        </w:rPr>
        <w:t xml:space="preserve"> Aquisição de </w:t>
      </w:r>
      <w:r>
        <w:rPr>
          <w:rFonts w:ascii="Calibri" w:hAnsi="Calibri" w:eastAsia="Arial Unicode MS;Arial" w:cs="Calibri"/>
          <w:b w:val="0"/>
          <w:bCs w:val="0"/>
          <w:color w:val="000000"/>
          <w:kern w:val="0"/>
          <w:sz w:val="24"/>
          <w:szCs w:val="24"/>
          <w:lang w:val="pt-BR" w:eastAsia="zh-CN" w:bidi="ar-SA"/>
        </w:rPr>
        <w:t>materiais de laboratório</w:t>
      </w:r>
      <w:r>
        <w:rPr>
          <w:rFonts w:ascii="Calibri" w:hAnsi="Calibri" w:cs="Calibri"/>
          <w:b w:val="0"/>
          <w:bCs w:val="0"/>
          <w:sz w:val="24"/>
          <w:szCs w:val="24"/>
          <w:lang w:val="pt-BR"/>
        </w:rPr>
        <w:t xml:space="preserve"> para o Laboratório Central de Saúde Pública (LACEN), conforme especificações constantes do </w:t>
      </w:r>
      <w:r>
        <w:rPr>
          <w:rFonts w:ascii="Calibri" w:hAnsi="Calibri" w:cs="Calibri"/>
          <w:b/>
          <w:bCs/>
          <w:sz w:val="24"/>
          <w:szCs w:val="24"/>
          <w:lang w:val="pt-BR"/>
        </w:rPr>
        <w:t>Anexo I</w:t>
      </w:r>
      <w:r>
        <w:rPr>
          <w:rFonts w:ascii="Calibri" w:hAnsi="Calibri" w:cs="Calibri"/>
          <w:b w:val="0"/>
          <w:bCs/>
          <w:sz w:val="24"/>
          <w:szCs w:val="24"/>
          <w:lang w:val="pt-BR"/>
        </w:rPr>
        <w:t>.</w:t>
      </w:r>
    </w:p>
    <w:p>
      <w:pPr>
        <w:pStyle w:val="652"/>
        <w:spacing w:before="0" w:after="0"/>
        <w:ind w:left="142" w:right="257" w:firstLine="0"/>
        <w:jc w:val="both"/>
        <w:rPr>
          <w:rFonts w:ascii="Calibri" w:hAnsi="Calibri"/>
          <w:sz w:val="24"/>
          <w:szCs w:val="24"/>
        </w:rPr>
      </w:pPr>
    </w:p>
    <w:p>
      <w:pPr>
        <w:pStyle w:val="2"/>
        <w:spacing w:before="1" w:after="0"/>
        <w:ind w:left="142" w:right="259" w:firstLine="0"/>
        <w:jc w:val="both"/>
        <w:rPr>
          <w:rFonts w:ascii="Calibri" w:hAnsi="Calibri"/>
          <w:b/>
          <w:bCs/>
          <w:sz w:val="24"/>
          <w:szCs w:val="24"/>
        </w:rPr>
      </w:pPr>
      <w:r>
        <w:rPr>
          <w:rFonts w:ascii="Calibri" w:hAnsi="Calibri"/>
          <w:b/>
          <w:bCs/>
          <w:sz w:val="24"/>
          <w:szCs w:val="24"/>
        </w:rPr>
        <w:t>1</w:t>
      </w:r>
      <w:r>
        <w:rPr>
          <w:rFonts w:ascii="Calibri" w:hAnsi="Calibri"/>
          <w:b/>
          <w:bCs/>
          <w:sz w:val="24"/>
          <w:szCs w:val="24"/>
          <w:lang w:val="pt-BR"/>
        </w:rPr>
        <w:t xml:space="preserve"> </w:t>
      </w:r>
      <w:r>
        <w:rPr>
          <w:rFonts w:ascii="Calibri" w:hAnsi="Calibri"/>
          <w:b/>
          <w:bCs/>
          <w:sz w:val="24"/>
          <w:szCs w:val="24"/>
        </w:rPr>
        <w:t>– DISPOSIÇÕES PRELIMINARES</w:t>
      </w:r>
    </w:p>
    <w:p>
      <w:pPr>
        <w:pStyle w:val="2"/>
        <w:spacing w:before="1" w:after="0"/>
        <w:ind w:left="142" w:right="259" w:firstLine="0"/>
        <w:jc w:val="both"/>
        <w:rPr>
          <w:rFonts w:ascii="Calibri" w:hAnsi="Calibri"/>
          <w:b/>
          <w:bCs/>
          <w:sz w:val="24"/>
          <w:szCs w:val="24"/>
        </w:rPr>
      </w:pPr>
    </w:p>
    <w:p>
      <w:pPr>
        <w:pStyle w:val="2"/>
        <w:spacing w:before="1" w:after="0"/>
        <w:ind w:right="259" w:firstLine="120" w:firstLineChars="50"/>
        <w:jc w:val="both"/>
        <w:rPr>
          <w:b/>
          <w:bCs/>
        </w:rPr>
      </w:pPr>
      <w:r>
        <w:rPr>
          <w:rFonts w:ascii="Calibri" w:hAnsi="Calibri"/>
          <w:b/>
          <w:bCs/>
          <w:sz w:val="24"/>
          <w:szCs w:val="24"/>
        </w:rPr>
        <w:t xml:space="preserve">1.1 – Envio de proposta: a partir das </w:t>
      </w:r>
      <w:r>
        <w:rPr>
          <w:rFonts w:ascii="Calibri" w:hAnsi="Calibri"/>
          <w:b/>
          <w:bCs/>
          <w:sz w:val="24"/>
          <w:szCs w:val="24"/>
          <w:lang w:val="pt-BR"/>
        </w:rPr>
        <w:t xml:space="preserve">17h30min. </w:t>
      </w:r>
      <w:r>
        <w:rPr>
          <w:rFonts w:ascii="Calibri" w:hAnsi="Calibri"/>
          <w:b/>
          <w:bCs/>
          <w:sz w:val="24"/>
          <w:szCs w:val="24"/>
        </w:rPr>
        <w:t xml:space="preserve">do dia </w:t>
      </w:r>
      <w:r>
        <w:rPr>
          <w:rFonts w:hint="default" w:ascii="Calibri" w:hAnsi="Calibri"/>
          <w:b/>
          <w:bCs/>
          <w:sz w:val="24"/>
          <w:szCs w:val="24"/>
          <w:lang w:val="pt-BR"/>
        </w:rPr>
        <w:t>23</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firstLine="120" w:firstLineChars="50"/>
        <w:jc w:val="both"/>
        <w:rPr>
          <w:b/>
          <w:bCs/>
        </w:rPr>
      </w:pPr>
      <w:r>
        <w:rPr>
          <w:rFonts w:ascii="Calibri" w:hAnsi="Calibri"/>
          <w:b/>
          <w:bCs/>
          <w:sz w:val="24"/>
          <w:szCs w:val="24"/>
        </w:rPr>
        <w:t>1.2 – Abertura da sessão: a partir das</w:t>
      </w:r>
      <w:r>
        <w:rPr>
          <w:rFonts w:ascii="Calibri" w:hAnsi="Calibri"/>
          <w:b/>
          <w:bCs/>
          <w:sz w:val="24"/>
          <w:szCs w:val="24"/>
          <w:lang w:val="pt-BR"/>
        </w:rPr>
        <w:t xml:space="preserve"> </w:t>
      </w:r>
      <w:r>
        <w:rPr>
          <w:rFonts w:hint="default" w:ascii="Calibri" w:hAnsi="Calibri"/>
          <w:b/>
          <w:bCs/>
          <w:sz w:val="24"/>
          <w:szCs w:val="24"/>
          <w:lang w:val="pt-BR"/>
        </w:rPr>
        <w:t>13</w:t>
      </w:r>
      <w:r>
        <w:rPr>
          <w:rFonts w:ascii="Calibri" w:hAnsi="Calibri"/>
          <w:b/>
          <w:bCs/>
          <w:sz w:val="24"/>
          <w:szCs w:val="24"/>
          <w:lang w:val="pt-BR"/>
        </w:rPr>
        <w:t>h15min.</w:t>
      </w:r>
      <w:r>
        <w:rPr>
          <w:rFonts w:ascii="Calibri" w:hAnsi="Calibri"/>
          <w:b/>
          <w:bCs/>
          <w:sz w:val="24"/>
          <w:szCs w:val="24"/>
        </w:rPr>
        <w:t xml:space="preserve"> do dia </w:t>
      </w:r>
      <w:r>
        <w:rPr>
          <w:rFonts w:hint="default" w:ascii="Calibri" w:hAnsi="Calibri"/>
          <w:b/>
          <w:bCs/>
          <w:sz w:val="24"/>
          <w:szCs w:val="24"/>
          <w:lang w:val="pt-BR"/>
        </w:rPr>
        <w:t>05</w:t>
      </w:r>
      <w:r>
        <w:rPr>
          <w:rFonts w:ascii="Calibri" w:hAnsi="Calibri"/>
          <w:b/>
          <w:bCs/>
          <w:sz w:val="24"/>
          <w:szCs w:val="24"/>
        </w:rPr>
        <w:t>/</w:t>
      </w:r>
      <w:r>
        <w:rPr>
          <w:rFonts w:ascii="Calibri" w:hAnsi="Calibri"/>
          <w:b/>
          <w:bCs/>
          <w:sz w:val="24"/>
          <w:szCs w:val="24"/>
          <w:lang w:val="pt-BR"/>
        </w:rPr>
        <w:t>0</w:t>
      </w:r>
      <w:r>
        <w:rPr>
          <w:rFonts w:hint="default" w:ascii="Calibri" w:hAnsi="Calibri"/>
          <w:b/>
          <w:bCs/>
          <w:sz w:val="24"/>
          <w:szCs w:val="24"/>
          <w:lang w:val="pt-BR"/>
        </w:rPr>
        <w:t>9</w:t>
      </w:r>
      <w:r>
        <w:rPr>
          <w:rFonts w:ascii="Calibri" w:hAnsi="Calibri"/>
          <w:b/>
          <w:bCs/>
          <w:sz w:val="24"/>
          <w:szCs w:val="24"/>
        </w:rPr>
        <w:t>/2023.</w:t>
      </w:r>
    </w:p>
    <w:p>
      <w:pPr>
        <w:pStyle w:val="2"/>
        <w:spacing w:before="1" w:after="0"/>
        <w:ind w:right="259" w:firstLine="120" w:firstLineChars="50"/>
        <w:jc w:val="both"/>
        <w:rPr>
          <w:b/>
          <w:bCs/>
        </w:rPr>
      </w:pPr>
      <w:r>
        <w:rPr>
          <w:rFonts w:ascii="Calibri" w:hAnsi="Calibri"/>
          <w:b/>
          <w:bCs/>
          <w:sz w:val="24"/>
          <w:szCs w:val="24"/>
        </w:rPr>
        <w:t xml:space="preserve">1.3 – Início da disputa: a partir das </w:t>
      </w:r>
      <w:r>
        <w:rPr>
          <w:rFonts w:hint="default" w:ascii="Calibri" w:hAnsi="Calibri"/>
          <w:b/>
          <w:bCs/>
          <w:sz w:val="24"/>
          <w:szCs w:val="24"/>
          <w:lang w:val="pt-BR"/>
        </w:rPr>
        <w:t>13</w:t>
      </w:r>
      <w:r>
        <w:rPr>
          <w:rFonts w:ascii="Calibri" w:hAnsi="Calibri"/>
          <w:b/>
          <w:bCs/>
          <w:sz w:val="24"/>
          <w:szCs w:val="24"/>
          <w:lang w:val="pt-BR"/>
        </w:rPr>
        <w:t>h30min.</w:t>
      </w:r>
      <w:r>
        <w:rPr>
          <w:rFonts w:ascii="Calibri" w:hAnsi="Calibri"/>
          <w:b/>
          <w:bCs/>
          <w:sz w:val="24"/>
          <w:szCs w:val="24"/>
        </w:rPr>
        <w:t xml:space="preserve"> do dia </w:t>
      </w:r>
      <w:r>
        <w:rPr>
          <w:rFonts w:hint="default" w:ascii="Calibri" w:hAnsi="Calibri"/>
          <w:b/>
          <w:bCs/>
          <w:sz w:val="24"/>
          <w:szCs w:val="24"/>
          <w:lang w:val="pt-BR"/>
        </w:rPr>
        <w:t>05</w:t>
      </w:r>
      <w:r>
        <w:rPr>
          <w:rFonts w:ascii="Calibri" w:hAnsi="Calibri"/>
          <w:b/>
          <w:bCs/>
          <w:sz w:val="24"/>
          <w:szCs w:val="24"/>
        </w:rPr>
        <w:t>/</w:t>
      </w:r>
      <w:r>
        <w:rPr>
          <w:rFonts w:ascii="Calibri" w:hAnsi="Calibri"/>
          <w:b/>
          <w:bCs/>
          <w:sz w:val="24"/>
          <w:szCs w:val="24"/>
          <w:lang w:val="pt-BR"/>
        </w:rPr>
        <w:t>0</w:t>
      </w:r>
      <w:r>
        <w:rPr>
          <w:rFonts w:hint="default" w:ascii="Calibri" w:hAnsi="Calibri"/>
          <w:b/>
          <w:bCs/>
          <w:sz w:val="24"/>
          <w:szCs w:val="24"/>
          <w:lang w:val="pt-BR"/>
        </w:rPr>
        <w:t>9</w:t>
      </w:r>
      <w:r>
        <w:rPr>
          <w:rFonts w:ascii="Calibri" w:hAnsi="Calibri"/>
          <w:b/>
          <w:bCs/>
          <w:sz w:val="24"/>
          <w:szCs w:val="24"/>
        </w:rPr>
        <w:t>/2023.</w:t>
      </w:r>
    </w:p>
    <w:p>
      <w:pPr>
        <w:pStyle w:val="2"/>
        <w:spacing w:before="1" w:after="0"/>
        <w:ind w:left="142" w:right="259" w:firstLine="0"/>
        <w:jc w:val="both"/>
        <w:rPr>
          <w:rFonts w:ascii="Calibri" w:hAnsi="Calibri"/>
          <w:sz w:val="24"/>
          <w:szCs w:val="24"/>
        </w:rPr>
      </w:pPr>
    </w:p>
    <w:p>
      <w:pPr>
        <w:pStyle w:val="2"/>
        <w:spacing w:before="1" w:after="0"/>
        <w:ind w:left="142" w:right="259" w:firstLine="0"/>
        <w:jc w:val="both"/>
        <w:rPr>
          <w:rFonts w:ascii="Calibri" w:hAnsi="Calibri"/>
          <w:sz w:val="24"/>
          <w:szCs w:val="24"/>
        </w:rPr>
      </w:pPr>
      <w:r>
        <w:rPr>
          <w:rFonts w:ascii="Calibri" w:hAnsi="Calibri"/>
          <w:sz w:val="24"/>
          <w:szCs w:val="24"/>
        </w:rPr>
        <w:t>1.4 – O pregão eletrônico será realizado por meio de disputa à distância em sessão pública, via Sistema Integrado de Licitações do Estado de Santa Catarina (LIC), módulo eletrônico (e-LIC).</w:t>
      </w:r>
    </w:p>
    <w:p>
      <w:pPr>
        <w:pStyle w:val="2"/>
        <w:spacing w:before="1" w:after="0"/>
        <w:ind w:left="142" w:right="259" w:firstLine="0"/>
        <w:jc w:val="both"/>
        <w:rPr>
          <w:rFonts w:ascii="Calibri" w:hAnsi="Calibri"/>
          <w:sz w:val="24"/>
          <w:szCs w:val="24"/>
        </w:rPr>
      </w:pPr>
      <w:r>
        <w:rPr>
          <w:rFonts w:ascii="Calibri" w:hAnsi="Calibri"/>
          <w:sz w:val="24"/>
          <w:szCs w:val="24"/>
        </w:rPr>
        <w:t>1.5 – Todo e qualquer ato referente ao presente processo licitatório dar-se-á exclusivamente por  meio eletrônico via internet.</w:t>
      </w:r>
    </w:p>
    <w:p>
      <w:pPr>
        <w:pStyle w:val="2"/>
        <w:spacing w:before="1" w:after="0"/>
        <w:ind w:left="142" w:right="259" w:firstLine="0"/>
        <w:jc w:val="both"/>
        <w:rPr>
          <w:rFonts w:ascii="Calibri" w:hAnsi="Calibri"/>
          <w:sz w:val="24"/>
          <w:szCs w:val="24"/>
        </w:rPr>
      </w:pPr>
      <w:r>
        <w:rPr>
          <w:rFonts w:ascii="Calibri" w:hAnsi="Calibri"/>
          <w:sz w:val="24"/>
          <w:szCs w:val="24"/>
        </w:rPr>
        <w:t>1.6 – A comunicação será realizada utilizando recursos de tecnologia da informação pela Internet, mediante condições de segurança –– criptografia e autenticação – em todas as etapas do certame.</w:t>
      </w:r>
    </w:p>
    <w:p>
      <w:pPr>
        <w:pStyle w:val="2"/>
        <w:spacing w:before="1" w:after="0"/>
        <w:ind w:left="142" w:right="259" w:firstLine="0"/>
        <w:jc w:val="both"/>
        <w:rPr>
          <w:rFonts w:ascii="Calibri" w:hAnsi="Calibri"/>
          <w:sz w:val="24"/>
          <w:szCs w:val="24"/>
        </w:rPr>
      </w:pPr>
      <w:r>
        <w:rPr>
          <w:rFonts w:ascii="Calibri" w:hAnsi="Calibri"/>
          <w:sz w:val="24"/>
          <w:szCs w:val="24"/>
        </w:rPr>
        <w:t>1.7 – O pregão, na forma eletrônica, será conduzido com apoio técnico e operacional da Secretaria de Estado da Administração, por intermédio da Diretoria de Gestão de Licitações e Contratos - DGLC, que atuará como provedor do Sistema eletrônico para os órgãos integrantes do Sistema de Administração de Gestão de Materiais e Serviços – SAGMS.</w:t>
      </w:r>
    </w:p>
    <w:p>
      <w:pPr>
        <w:pStyle w:val="2"/>
        <w:spacing w:before="1" w:after="0"/>
        <w:ind w:left="142" w:right="259" w:firstLine="0"/>
        <w:jc w:val="both"/>
        <w:rPr>
          <w:rFonts w:ascii="Calibri" w:hAnsi="Calibri"/>
          <w:sz w:val="24"/>
          <w:szCs w:val="24"/>
        </w:rPr>
      </w:pPr>
      <w:r>
        <w:rPr>
          <w:rFonts w:ascii="Calibri" w:hAnsi="Calibri"/>
          <w:sz w:val="24"/>
          <w:szCs w:val="24"/>
        </w:rPr>
        <w:t>1.8 – Os trabalhos serão conduzidos por servidores de órgão ou entidade vinculado ao Poder Executivo do Estado de Santa Catarina, denominados pregoeiro e equipe de apoio, mediante a inserção e monitoramento de dados gerados ou transferidos para o Sistema LIC, módulo e-LIC, por acesso restrito com login e senha no endereço eletrônico http://e-lic.sc.gov.br.</w:t>
      </w:r>
    </w:p>
    <w:p>
      <w:pPr>
        <w:pStyle w:val="2"/>
        <w:spacing w:before="1" w:after="0"/>
        <w:ind w:left="142" w:right="259" w:firstLine="0"/>
        <w:jc w:val="both"/>
        <w:rPr>
          <w:rFonts w:ascii="Calibri" w:hAnsi="Calibri"/>
          <w:sz w:val="24"/>
          <w:szCs w:val="24"/>
        </w:rPr>
      </w:pPr>
      <w:r>
        <w:rPr>
          <w:rFonts w:ascii="Calibri" w:hAnsi="Calibri"/>
          <w:sz w:val="24"/>
          <w:szCs w:val="24"/>
        </w:rPr>
        <w:t>1.9 – Todas as referências de tempo no edital, no aviso e durante a sessão pública observarão obrigatoriamente o horário de Brasília – DF e, dessa forma, serão registradas no Sistema eletrônico.</w:t>
      </w:r>
    </w:p>
    <w:p>
      <w:pPr>
        <w:pStyle w:val="2"/>
        <w:spacing w:before="1" w:after="0"/>
        <w:ind w:left="142" w:right="259" w:firstLine="0"/>
        <w:jc w:val="both"/>
        <w:rPr>
          <w:rFonts w:ascii="Calibri" w:hAnsi="Calibri"/>
          <w:sz w:val="24"/>
          <w:szCs w:val="24"/>
        </w:rPr>
      </w:pPr>
      <w:r>
        <w:rPr>
          <w:rFonts w:ascii="Calibri" w:hAnsi="Calibri"/>
          <w:sz w:val="24"/>
          <w:szCs w:val="24"/>
        </w:rPr>
        <w:t>1.10 – Os documentos relacionados a seguir fazem parte integrante desta licitação:</w:t>
      </w:r>
    </w:p>
    <w:p>
      <w:pPr>
        <w:pStyle w:val="2"/>
        <w:spacing w:before="1" w:after="0"/>
        <w:ind w:left="142" w:right="259" w:firstLine="0"/>
        <w:jc w:val="both"/>
        <w:rPr>
          <w:rFonts w:ascii="Calibri" w:hAnsi="Calibri"/>
          <w:sz w:val="24"/>
          <w:szCs w:val="24"/>
        </w:rPr>
      </w:pPr>
      <w:r>
        <w:rPr>
          <w:rFonts w:ascii="Calibri" w:hAnsi="Calibri"/>
          <w:sz w:val="24"/>
          <w:szCs w:val="24"/>
        </w:rPr>
        <w:t>Anexo I – Quadro de quantitativos, especificações mínimas e condições gerais de prestação dos serviços</w:t>
      </w:r>
      <w:r>
        <w:rPr>
          <w:rFonts w:ascii="Calibri" w:hAnsi="Calibri"/>
          <w:sz w:val="24"/>
          <w:szCs w:val="24"/>
          <w:lang w:val="pt-BR"/>
        </w:rPr>
        <w:t>;</w:t>
      </w:r>
      <w:r>
        <w:rPr>
          <w:rFonts w:ascii="Calibri" w:hAnsi="Calibri"/>
          <w:sz w:val="24"/>
          <w:szCs w:val="24"/>
        </w:rPr>
        <w:t xml:space="preserve"> </w:t>
      </w:r>
    </w:p>
    <w:p>
      <w:pPr>
        <w:pStyle w:val="2"/>
        <w:spacing w:before="1" w:after="0"/>
        <w:ind w:left="142" w:right="259" w:firstLine="0"/>
        <w:jc w:val="both"/>
        <w:rPr>
          <w:rFonts w:ascii="Calibri" w:hAnsi="Calibri"/>
          <w:sz w:val="24"/>
          <w:szCs w:val="24"/>
          <w:lang w:val="pt-BR"/>
        </w:rPr>
      </w:pPr>
      <w:r>
        <w:rPr>
          <w:rFonts w:ascii="Calibri" w:hAnsi="Calibri"/>
          <w:sz w:val="24"/>
          <w:szCs w:val="24"/>
        </w:rPr>
        <w:t>Anexo II – Modelo de proposta de preços eletrônica</w:t>
      </w:r>
      <w:r>
        <w:rPr>
          <w:rFonts w:ascii="Calibri" w:hAnsi="Calibri"/>
          <w:sz w:val="24"/>
          <w:szCs w:val="24"/>
          <w:lang w:val="pt-BR"/>
        </w:rPr>
        <w:t>;</w:t>
      </w:r>
    </w:p>
    <w:p>
      <w:pPr>
        <w:pStyle w:val="2"/>
        <w:spacing w:before="1" w:after="0"/>
        <w:ind w:left="142" w:right="259" w:firstLine="0"/>
        <w:jc w:val="both"/>
        <w:rPr>
          <w:rFonts w:ascii="Calibri" w:hAnsi="Calibri"/>
          <w:sz w:val="24"/>
          <w:szCs w:val="24"/>
          <w:lang w:val="pt-BR"/>
        </w:rPr>
      </w:pPr>
      <w:r>
        <w:rPr>
          <w:rFonts w:ascii="Calibri" w:hAnsi="Calibri"/>
          <w:sz w:val="24"/>
          <w:szCs w:val="24"/>
        </w:rPr>
        <w:t xml:space="preserve">Anexo III – </w:t>
      </w:r>
      <w:r>
        <w:rPr>
          <w:rFonts w:ascii="Calibri" w:hAnsi="Calibri" w:eastAsia="NSimSun" w:cs="Lucida Sans"/>
          <w:color w:val="000000"/>
          <w:kern w:val="0"/>
          <w:sz w:val="24"/>
          <w:szCs w:val="24"/>
          <w:lang w:val="pt-BR" w:eastAsia="zh-CN" w:bidi="hi-IN"/>
        </w:rPr>
        <w:t>Modelo de formulário de análise de qualidade técnica</w:t>
      </w:r>
      <w:r>
        <w:rPr>
          <w:rFonts w:ascii="Calibri" w:hAnsi="Calibri"/>
          <w:sz w:val="24"/>
          <w:szCs w:val="24"/>
          <w:lang w:val="pt-BR"/>
        </w:rPr>
        <w:t>;</w:t>
      </w:r>
    </w:p>
    <w:p>
      <w:pPr>
        <w:pStyle w:val="2"/>
        <w:spacing w:before="1" w:after="0"/>
        <w:ind w:left="142" w:right="259" w:firstLine="0"/>
        <w:jc w:val="both"/>
        <w:rPr>
          <w:rFonts w:ascii="Calibri" w:hAnsi="Calibri"/>
          <w:sz w:val="24"/>
          <w:szCs w:val="24"/>
        </w:rPr>
      </w:pPr>
      <w:r>
        <w:rPr>
          <w:rFonts w:ascii="Calibri" w:hAnsi="Calibri"/>
          <w:sz w:val="24"/>
          <w:szCs w:val="24"/>
        </w:rPr>
        <w:t xml:space="preserve">Anexo </w:t>
      </w:r>
      <w:r>
        <w:rPr>
          <w:rFonts w:ascii="Calibri" w:hAnsi="Calibri"/>
          <w:sz w:val="24"/>
          <w:szCs w:val="24"/>
          <w:lang w:val="pt-BR"/>
        </w:rPr>
        <w:t>IV</w:t>
      </w:r>
      <w:r>
        <w:rPr>
          <w:rFonts w:ascii="Calibri" w:hAnsi="Calibri"/>
          <w:sz w:val="24"/>
          <w:szCs w:val="24"/>
        </w:rPr>
        <w:t xml:space="preserve"> – Minuta da </w:t>
      </w:r>
      <w:r>
        <w:rPr>
          <w:rFonts w:ascii="Calibri" w:hAnsi="Calibri" w:eastAsia="NSimSun" w:cs="Lucida Sans"/>
          <w:color w:val="000000"/>
          <w:kern w:val="0"/>
          <w:sz w:val="24"/>
          <w:szCs w:val="24"/>
          <w:lang w:val="pt-BR" w:eastAsia="zh-CN" w:bidi="hi-IN"/>
        </w:rPr>
        <w:t>Ata de Registro de Preços</w:t>
      </w:r>
      <w:r>
        <w:rPr>
          <w:rFonts w:ascii="Calibri" w:hAnsi="Calibri"/>
          <w:sz w:val="24"/>
          <w:szCs w:val="24"/>
        </w:rPr>
        <w:t>.</w:t>
      </w:r>
    </w:p>
    <w:p>
      <w:pPr>
        <w:pStyle w:val="2"/>
        <w:spacing w:before="1" w:after="0"/>
        <w:ind w:left="142" w:right="259" w:firstLine="0"/>
        <w:jc w:val="both"/>
        <w:rPr>
          <w:rFonts w:ascii="Calibri" w:hAnsi="Calibri"/>
          <w:b/>
          <w:bCs/>
          <w:sz w:val="24"/>
          <w:szCs w:val="24"/>
        </w:rPr>
      </w:pPr>
    </w:p>
    <w:p>
      <w:pPr>
        <w:pStyle w:val="2"/>
        <w:spacing w:before="1" w:after="0"/>
        <w:ind w:left="142" w:right="259" w:firstLine="0"/>
        <w:jc w:val="both"/>
        <w:rPr>
          <w:rFonts w:ascii="Calibri" w:hAnsi="Calibri"/>
          <w:b/>
          <w:bCs/>
          <w:sz w:val="24"/>
          <w:szCs w:val="24"/>
        </w:rPr>
      </w:pPr>
      <w:r>
        <w:rPr>
          <w:rFonts w:ascii="Calibri" w:hAnsi="Calibri"/>
          <w:b/>
          <w:bCs/>
          <w:sz w:val="24"/>
          <w:szCs w:val="24"/>
        </w:rPr>
        <w:t>2</w:t>
      </w:r>
      <w:r>
        <w:rPr>
          <w:rFonts w:ascii="Calibri" w:hAnsi="Calibri"/>
          <w:b/>
          <w:bCs/>
          <w:sz w:val="24"/>
          <w:szCs w:val="24"/>
          <w:lang w:val="pt-BR"/>
        </w:rPr>
        <w:t xml:space="preserve"> </w:t>
      </w:r>
      <w:r>
        <w:rPr>
          <w:rFonts w:ascii="Calibri" w:hAnsi="Calibri"/>
          <w:b/>
          <w:bCs/>
          <w:sz w:val="24"/>
          <w:szCs w:val="24"/>
        </w:rPr>
        <w:t>– DA LICITAÇÃO</w:t>
      </w:r>
    </w:p>
    <w:p>
      <w:pPr>
        <w:pStyle w:val="2"/>
        <w:spacing w:before="1" w:after="0"/>
        <w:ind w:left="142" w:right="259" w:firstLine="0"/>
        <w:jc w:val="both"/>
        <w:rPr>
          <w:rFonts w:ascii="Calibri" w:hAnsi="Calibri"/>
          <w:sz w:val="24"/>
          <w:szCs w:val="24"/>
        </w:rPr>
      </w:pPr>
      <w:r>
        <w:rPr>
          <w:rFonts w:ascii="Calibri" w:hAnsi="Calibri"/>
          <w:sz w:val="24"/>
          <w:szCs w:val="24"/>
        </w:rPr>
        <w:t>2.1 – Do Objeto</w:t>
      </w:r>
    </w:p>
    <w:p>
      <w:pPr>
        <w:pStyle w:val="2"/>
        <w:spacing w:before="1" w:after="0"/>
        <w:ind w:left="142" w:right="259" w:firstLine="0"/>
        <w:jc w:val="both"/>
        <w:rPr>
          <w:rFonts w:ascii="Calibri" w:hAnsi="Calibri"/>
          <w:sz w:val="24"/>
          <w:szCs w:val="24"/>
        </w:rPr>
      </w:pPr>
      <w:r>
        <w:rPr>
          <w:rFonts w:ascii="Calibri" w:hAnsi="Calibri"/>
          <w:sz w:val="24"/>
          <w:szCs w:val="24"/>
        </w:rPr>
        <w:t xml:space="preserve">2.1.1 – A presente licitação destina-se a selecionar proposta objetivando </w:t>
      </w:r>
      <w:r>
        <w:rPr>
          <w:rFonts w:ascii="Calibri" w:hAnsi="Calibri"/>
          <w:sz w:val="24"/>
          <w:szCs w:val="24"/>
          <w:lang w:val="pt-BR"/>
        </w:rPr>
        <w:t xml:space="preserve">a </w:t>
      </w:r>
      <w:r>
        <w:rPr>
          <w:rFonts w:ascii="Calibri" w:hAnsi="Calibri" w:cs="Calibri"/>
          <w:b/>
          <w:bCs/>
          <w:sz w:val="24"/>
          <w:szCs w:val="24"/>
          <w:lang w:val="pt-BR"/>
        </w:rPr>
        <w:t>Aquisição</w:t>
      </w:r>
      <w:r>
        <w:rPr>
          <w:rFonts w:ascii="Calibri" w:hAnsi="Calibri"/>
          <w:b/>
          <w:bCs/>
          <w:sz w:val="24"/>
          <w:szCs w:val="24"/>
        </w:rPr>
        <w:t xml:space="preserve"> </w:t>
      </w:r>
      <w:r>
        <w:rPr>
          <w:rFonts w:ascii="Calibri" w:hAnsi="Calibri"/>
          <w:b/>
          <w:bCs/>
          <w:sz w:val="24"/>
          <w:szCs w:val="24"/>
          <w:lang w:val="pt-BR"/>
        </w:rPr>
        <w:t xml:space="preserve">de </w:t>
      </w:r>
      <w:r>
        <w:rPr>
          <w:rFonts w:ascii="Calibri" w:hAnsi="Calibri" w:eastAsia="SimSun" w:cs="Calibri"/>
          <w:b/>
          <w:bCs/>
          <w:color w:val="000000"/>
          <w:sz w:val="24"/>
          <w:szCs w:val="24"/>
          <w:lang w:val="pt-BR" w:eastAsia="zh-CN" w:bidi="ar-SA"/>
        </w:rPr>
        <w:t>materiais de laboratório</w:t>
      </w:r>
      <w:r>
        <w:rPr>
          <w:rFonts w:ascii="Calibri" w:hAnsi="Calibri"/>
          <w:sz w:val="24"/>
          <w:szCs w:val="24"/>
        </w:rPr>
        <w:t>, conforme especificações, quantitativos e condições estabelecidas e previstas neste edital e seus Anexos.</w:t>
      </w:r>
    </w:p>
    <w:p>
      <w:pPr>
        <w:pStyle w:val="2"/>
        <w:spacing w:before="1" w:after="0"/>
        <w:ind w:left="142" w:right="259" w:firstLine="0"/>
        <w:jc w:val="both"/>
        <w:rPr>
          <w:rFonts w:ascii="Calibri" w:hAnsi="Calibri"/>
          <w:sz w:val="24"/>
          <w:szCs w:val="24"/>
        </w:rPr>
      </w:pPr>
      <w:r>
        <w:rPr>
          <w:rFonts w:ascii="Calibri" w:hAnsi="Calibri"/>
          <w:sz w:val="24"/>
          <w:szCs w:val="24"/>
        </w:rPr>
        <w:t xml:space="preserve">2.2 – Do Convênio ICMS nº 26/03 </w:t>
      </w:r>
    </w:p>
    <w:p>
      <w:pPr>
        <w:pStyle w:val="2"/>
        <w:spacing w:before="1" w:after="0"/>
        <w:ind w:left="142" w:right="259" w:firstLine="0"/>
        <w:jc w:val="both"/>
        <w:rPr>
          <w:rFonts w:ascii="Calibri" w:hAnsi="Calibri"/>
          <w:sz w:val="24"/>
          <w:szCs w:val="24"/>
        </w:rPr>
      </w:pPr>
      <w:r>
        <w:rPr>
          <w:rFonts w:ascii="Calibri" w:hAnsi="Calibri"/>
          <w:sz w:val="24"/>
          <w:szCs w:val="24"/>
        </w:rPr>
        <w:t>2.2.1 – De acordo com o Convênio ICMS nº 26/03, aprovado pelo CONFAZ – Conselho Nacional de Política Fazendária, o benefício da isenção do ICMS às empresas catarinenses está condicionado ao desconto no preço ao valor equivalente ao imposto dispensado e a indicação do valor do desconto no respectivo documento fiscal de venda ou prestação de serviços; e à comprovação de inexistência de similar produzido no país, na hipótese de qualquer operação com mercadorias importadas do exterior, conforme previsto no parágrafo 1º da Cláusula Primeira do Convênio CONFAZ nº 26/2003, ficando ressalvadas as hipóteses em que a isenção mencionada não se aplica, nos termos previstos no Decreto Estadual nº 255, de 21/05/2003.</w:t>
      </w:r>
    </w:p>
    <w:p>
      <w:pPr>
        <w:pStyle w:val="2"/>
        <w:spacing w:before="1" w:after="0"/>
        <w:ind w:left="142" w:right="259" w:firstLine="0"/>
        <w:jc w:val="both"/>
        <w:rPr>
          <w:rFonts w:ascii="Calibri" w:hAnsi="Calibri"/>
          <w:sz w:val="24"/>
          <w:szCs w:val="24"/>
        </w:rPr>
      </w:pPr>
      <w:r>
        <w:rPr>
          <w:rFonts w:ascii="Calibri" w:hAnsi="Calibri"/>
          <w:sz w:val="24"/>
          <w:szCs w:val="24"/>
        </w:rPr>
        <w:t>2.2.2 – Nos termos do Convênio ICMS 26/03, por se tratar de operação interna relativa à aquisição de bens, as licitantes beneficiadas com a respectiva isenção fiscal devem apresentar as suas propostas de preços já com o valor líquido, ou seja, sem a carga tributária do ICMS.</w:t>
      </w:r>
    </w:p>
    <w:p>
      <w:pPr>
        <w:pStyle w:val="2"/>
        <w:spacing w:before="1" w:after="0"/>
        <w:ind w:left="142" w:right="259" w:firstLine="0"/>
        <w:jc w:val="both"/>
        <w:rPr>
          <w:rFonts w:ascii="Calibri" w:hAnsi="Calibri"/>
          <w:sz w:val="24"/>
          <w:szCs w:val="24"/>
        </w:rPr>
      </w:pPr>
      <w:r>
        <w:rPr>
          <w:rFonts w:ascii="Calibri" w:hAnsi="Calibri"/>
          <w:sz w:val="24"/>
          <w:szCs w:val="24"/>
        </w:rPr>
        <w:t>2.2.3 – Nos casos em que for aplicável a isenção do ICMS, o licitante deverá, obrigatoriamente, informar a respectiva alíquota via comunicação “CHAT”, caso seja o primeiro colocado, depois de encerrada a disputa de lances.</w:t>
      </w:r>
    </w:p>
    <w:p>
      <w:pPr>
        <w:pStyle w:val="2"/>
        <w:spacing w:before="1" w:after="0"/>
        <w:ind w:left="142" w:right="259" w:firstLine="0"/>
        <w:jc w:val="both"/>
        <w:rPr>
          <w:rFonts w:ascii="Calibri" w:hAnsi="Calibri"/>
          <w:sz w:val="24"/>
          <w:szCs w:val="24"/>
        </w:rPr>
      </w:pPr>
      <w:r>
        <w:rPr>
          <w:rFonts w:ascii="Calibri" w:hAnsi="Calibri"/>
          <w:sz w:val="24"/>
          <w:szCs w:val="24"/>
        </w:rPr>
        <w:t>2.2.4 – A isenção supracitada não se aplica a licitante vencedora, quando:</w:t>
      </w:r>
    </w:p>
    <w:p>
      <w:pPr>
        <w:pStyle w:val="2"/>
        <w:spacing w:before="1" w:after="0"/>
        <w:ind w:left="142" w:right="259" w:firstLine="0"/>
        <w:jc w:val="both"/>
        <w:rPr>
          <w:rFonts w:ascii="Calibri" w:hAnsi="Calibri"/>
          <w:sz w:val="24"/>
          <w:szCs w:val="24"/>
        </w:rPr>
      </w:pPr>
      <w:r>
        <w:rPr>
          <w:rFonts w:ascii="Calibri" w:hAnsi="Calibri"/>
          <w:sz w:val="24"/>
          <w:szCs w:val="24"/>
        </w:rPr>
        <w:t>a) saída promovida por contribuinte enquadrado no simples nacional;</w:t>
      </w:r>
    </w:p>
    <w:p>
      <w:pPr>
        <w:pStyle w:val="2"/>
        <w:spacing w:before="1" w:after="0"/>
        <w:ind w:left="142" w:right="259" w:firstLine="0"/>
        <w:jc w:val="both"/>
        <w:rPr>
          <w:rFonts w:ascii="Calibri" w:hAnsi="Calibri"/>
          <w:sz w:val="24"/>
          <w:szCs w:val="24"/>
        </w:rPr>
      </w:pPr>
      <w:r>
        <w:rPr>
          <w:rFonts w:ascii="Calibri" w:hAnsi="Calibri"/>
          <w:sz w:val="24"/>
          <w:szCs w:val="24"/>
        </w:rPr>
        <w:t>b) saída de bens ou mercadorias sujeitas ao regime de substituição tributária;</w:t>
      </w:r>
    </w:p>
    <w:p>
      <w:pPr>
        <w:pStyle w:val="2"/>
        <w:spacing w:before="1" w:after="0"/>
        <w:ind w:left="142" w:right="259" w:firstLine="0"/>
        <w:jc w:val="both"/>
        <w:rPr>
          <w:rFonts w:ascii="Calibri" w:hAnsi="Calibri"/>
          <w:sz w:val="24"/>
          <w:szCs w:val="24"/>
        </w:rPr>
      </w:pPr>
      <w:r>
        <w:rPr>
          <w:rFonts w:ascii="Calibri" w:hAnsi="Calibri"/>
          <w:sz w:val="24"/>
          <w:szCs w:val="24"/>
        </w:rPr>
        <w:t>2.2.5 – Eventuais dúvidas quanto ao benefício citado podem ser dirimidas junto a qualquer das Gerências Regionais da Fazenda Estadual – GERG, da Diretoria de Administração Tributária – DIAT, da Secretaria de Estado da Fazenda ou, ainda, no site www.sef.sc.gov.br.</w:t>
      </w:r>
    </w:p>
    <w:p>
      <w:pPr>
        <w:pStyle w:val="2"/>
        <w:spacing w:before="1" w:after="0"/>
        <w:ind w:left="142" w:right="259" w:firstLine="0"/>
        <w:jc w:val="both"/>
        <w:rPr>
          <w:rFonts w:ascii="Calibri" w:hAnsi="Calibri"/>
          <w:sz w:val="24"/>
          <w:szCs w:val="24"/>
        </w:rPr>
      </w:pPr>
      <w:r>
        <w:rPr>
          <w:rFonts w:ascii="Calibri" w:hAnsi="Calibri"/>
          <w:sz w:val="24"/>
          <w:szCs w:val="24"/>
        </w:rPr>
        <w:t>2.</w:t>
      </w:r>
      <w:r>
        <w:rPr>
          <w:rFonts w:ascii="Calibri" w:hAnsi="Calibri" w:eastAsia="NSimSun" w:cs="Lucida Sans"/>
          <w:color w:val="000000"/>
          <w:kern w:val="0"/>
          <w:sz w:val="24"/>
          <w:szCs w:val="24"/>
          <w:lang w:val="pt-BR" w:eastAsia="zh-CN" w:bidi="hi-IN"/>
        </w:rPr>
        <w:t>3</w:t>
      </w:r>
      <w:r>
        <w:rPr>
          <w:rFonts w:ascii="Calibri" w:hAnsi="Calibri"/>
          <w:sz w:val="24"/>
          <w:szCs w:val="24"/>
        </w:rPr>
        <w:t xml:space="preserve"> – Da Execução da Licitação</w:t>
      </w:r>
    </w:p>
    <w:p>
      <w:pPr>
        <w:pStyle w:val="2"/>
        <w:spacing w:before="1" w:after="0"/>
        <w:ind w:left="142" w:right="259" w:firstLine="0"/>
        <w:jc w:val="both"/>
        <w:rPr>
          <w:rFonts w:hint="default" w:ascii="Calibri" w:hAnsi="Calibri"/>
          <w:sz w:val="24"/>
          <w:szCs w:val="24"/>
          <w:lang w:val="pt-BR"/>
        </w:rPr>
      </w:pPr>
      <w:r>
        <w:rPr>
          <w:rFonts w:ascii="Calibri" w:hAnsi="Calibri"/>
          <w:sz w:val="24"/>
          <w:szCs w:val="24"/>
        </w:rPr>
        <w:t>2.</w:t>
      </w:r>
      <w:r>
        <w:rPr>
          <w:rFonts w:ascii="Calibri" w:hAnsi="Calibri" w:eastAsia="NSimSun" w:cs="Lucida Sans"/>
          <w:color w:val="000000"/>
          <w:kern w:val="0"/>
          <w:sz w:val="24"/>
          <w:szCs w:val="24"/>
          <w:lang w:val="pt-BR" w:eastAsia="zh-CN" w:bidi="hi-IN"/>
        </w:rPr>
        <w:t>3</w:t>
      </w:r>
      <w:r>
        <w:rPr>
          <w:rFonts w:ascii="Calibri" w:hAnsi="Calibri"/>
          <w:sz w:val="24"/>
          <w:szCs w:val="24"/>
        </w:rPr>
        <w:t xml:space="preserve">.1 – O processamento da licitação pela Secretaria de Estado da Saúde/ Diretoria de </w:t>
      </w:r>
      <w:r>
        <w:rPr>
          <w:rFonts w:ascii="Calibri" w:hAnsi="Calibri" w:eastAsia="NSimSun" w:cs="Lucida Sans"/>
          <w:color w:val="000000"/>
          <w:kern w:val="0"/>
          <w:sz w:val="24"/>
          <w:szCs w:val="24"/>
          <w:lang w:val="pt-BR" w:eastAsia="zh-CN" w:bidi="hi-IN"/>
        </w:rPr>
        <w:t>Licitações e Contratos</w:t>
      </w:r>
      <w:r>
        <w:rPr>
          <w:rFonts w:ascii="Calibri" w:hAnsi="Calibri"/>
          <w:sz w:val="24"/>
          <w:szCs w:val="24"/>
        </w:rPr>
        <w:t xml:space="preserve"> – DLIC, será na qualidade de Interveniente Promotora, destinando-se o objeto licitado a atender às necessidades do Laboratório Central de Saúde Pública (LACEN)</w:t>
      </w:r>
      <w:r>
        <w:rPr>
          <w:rFonts w:hint="default" w:ascii="Calibri" w:hAnsi="Calibri"/>
          <w:sz w:val="24"/>
          <w:szCs w:val="24"/>
          <w:lang w:val="pt-BR"/>
        </w:rPr>
        <w:t>.</w:t>
      </w:r>
    </w:p>
    <w:p>
      <w:pPr>
        <w:pStyle w:val="2"/>
        <w:spacing w:before="1" w:after="0"/>
        <w:ind w:left="142" w:right="259" w:firstLine="0"/>
        <w:jc w:val="both"/>
        <w:rPr>
          <w:rFonts w:ascii="Calibri" w:hAnsi="Calibri"/>
          <w:sz w:val="24"/>
          <w:szCs w:val="24"/>
        </w:rPr>
      </w:pPr>
    </w:p>
    <w:p>
      <w:pPr>
        <w:pStyle w:val="2"/>
        <w:spacing w:before="1" w:after="0"/>
        <w:ind w:left="142" w:right="259" w:firstLine="0"/>
        <w:jc w:val="both"/>
        <w:rPr>
          <w:rFonts w:ascii="Calibri" w:hAnsi="Calibri"/>
          <w:sz w:val="24"/>
          <w:szCs w:val="24"/>
        </w:rPr>
      </w:pPr>
    </w:p>
    <w:p>
      <w:pPr>
        <w:pStyle w:val="2"/>
        <w:spacing w:before="1" w:after="0"/>
        <w:ind w:left="142" w:right="259" w:firstLine="0"/>
        <w:jc w:val="both"/>
        <w:rPr>
          <w:rFonts w:ascii="Calibri" w:hAnsi="Calibri"/>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bCs/>
          <w:color w:val="000000"/>
          <w:kern w:val="0"/>
          <w:sz w:val="24"/>
          <w:szCs w:val="24"/>
          <w:lang w:val="pt-BR" w:eastAsia="zh-CN" w:bidi="hi-IN"/>
        </w:rPr>
        <w:t>3</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DAS CONDIÇÕES DE PARTICIPAÇÃO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3.1 – Poderão participar desta licitação as empresas interessad</w:t>
      </w:r>
      <w:r>
        <w:rPr>
          <w:rFonts w:hint="default" w:ascii="Calibri" w:hAnsi="Calibri" w:cs="Lucida Sans"/>
          <w:b w:val="0"/>
          <w:bCs w:val="0"/>
          <w:color w:val="000000"/>
          <w:kern w:val="0"/>
          <w:sz w:val="24"/>
          <w:szCs w:val="24"/>
          <w:lang w:val="pt-BR" w:eastAsia="zh-CN" w:bidi="hi-IN"/>
        </w:rPr>
        <w:t>a</w:t>
      </w:r>
      <w:r>
        <w:rPr>
          <w:rFonts w:ascii="Calibri" w:hAnsi="Calibri" w:eastAsia="NSimSun" w:cs="Lucida Sans"/>
          <w:b w:val="0"/>
          <w:bCs w:val="0"/>
          <w:color w:val="000000"/>
          <w:kern w:val="0"/>
          <w:sz w:val="24"/>
          <w:szCs w:val="24"/>
          <w:lang w:val="pt-BR" w:eastAsia="zh-CN" w:bidi="hi-IN"/>
        </w:rPr>
        <w:t>s que atenderem às exigências estabelecidas neste Edital.</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 – Não poderão disputar essa licitação: aquele que não atenda às condições deste Edital e seu(s) anexo(s);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autor do anteprojeto, do projeto básico ou do projeto executivo, pessoa física ou jurídica, quando a licitação versar sobre serviços ou fornecimento de bens a ele relacionados;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 física ou jurídica que se encontre, ao tempo da licitação, impossibilitada de participar da licitação em decorrência de sanção que lhe foi imposta;</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4</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5</w:t>
      </w:r>
      <w:r>
        <w:rPr>
          <w:rFonts w:ascii="Calibri" w:hAnsi="Calibri" w:eastAsia="NSimSun" w:cs="Lucida Sans"/>
          <w:b w:val="0"/>
          <w:bCs w:val="0"/>
          <w:color w:val="000000"/>
          <w:kern w:val="0"/>
          <w:sz w:val="24"/>
          <w:szCs w:val="24"/>
          <w:lang w:val="pt-BR" w:eastAsia="zh-CN" w:bidi="hi-IN"/>
        </w:rPr>
        <w:t xml:space="preserve"> - empresas controladoras, controladas ou coligadas, nos termos da Lei nº 6.404, de 15 de dezembro de 1976, concorrendo entre si;</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6</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7</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agente público do órgão ou entidade licitante;</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8</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Organizações da Sociedade Civil de Interesse Público - OSCIP, atuando nessa condição;</w:t>
      </w:r>
    </w:p>
    <w:p>
      <w:pPr>
        <w:pStyle w:val="2"/>
        <w:spacing w:before="1" w:after="0"/>
        <w:ind w:left="142" w:right="259" w:firstLine="0"/>
        <w:jc w:val="both"/>
        <w:rPr>
          <w:b w:val="0"/>
          <w:bCs w:val="0"/>
          <w:color w:val="000000"/>
        </w:rPr>
      </w:pPr>
      <w:r>
        <w:rPr>
          <w:rFonts w:ascii="Calibri" w:hAnsi="Calibri" w:eastAsia="NSimSun" w:cs="Lucida Sans"/>
          <w:b w:val="0"/>
          <w:bCs w:val="0"/>
          <w:color w:val="000000"/>
          <w:kern w:val="0"/>
          <w:sz w:val="24"/>
          <w:szCs w:val="24"/>
          <w:lang w:val="pt-BR" w:eastAsia="zh-CN" w:bidi="hi-IN"/>
        </w:rPr>
        <w:t>3.2.</w:t>
      </w:r>
      <w:r>
        <w:rPr>
          <w:rFonts w:ascii="Calibri" w:hAnsi="Calibri" w:cs="Lucida Sans"/>
          <w:b w:val="0"/>
          <w:bCs w:val="0"/>
          <w:color w:val="000000"/>
          <w:kern w:val="0"/>
          <w:sz w:val="24"/>
          <w:szCs w:val="24"/>
          <w:lang w:val="pt-BR" w:eastAsia="zh-CN" w:bidi="hi-IN"/>
        </w:rPr>
        <w:t>9</w:t>
      </w:r>
      <w:r>
        <w:rPr>
          <w:rFonts w:ascii="Calibri" w:hAnsi="Calibri" w:eastAsia="NSimSun" w:cs="Lucida Sans"/>
          <w:b w:val="0"/>
          <w:bCs w:val="0"/>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pessoas jurídicas reunidas em consórcio;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 xml:space="preserve">3.3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 xml:space="preserve">3.4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impedimento de que trata o item 3.</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 xml:space="preserve">3.5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critério da Administração e exclusivamente a seu serviço, o autor dos projetos e a empresa a que se referem 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poderão participar no apoio das atividades de planejamento da contratação, de execução da licitação ou de gestão do contrato, desde que sob supervisão exclusiva de agentes públicos do órgão ou entidade.</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 xml:space="preserve">3.6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Equiparam-se aos autores do projeto as empresas integrantes do mesmo grupo econômico.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3.7</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disposto nos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3.8</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 xml:space="preserve">3.9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vedação de que trata o item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.7 estende-se a terceiro que auxilie a condução da contratação na qualidade de integrante de equipe de apoio, profissional especializado ou funcionário ou representante de empresa que preste assessoria técnica.</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3.10 – A participação na licitação implica, sem que tenha sido tempestivamente impugnado o Edital, automaticamente, na aceitação integral e irretratável dos termos e conteúdos deste edital e seus Anexos, a observância dos preceitos legais e regulamentos em vigor; e a responsabilidade pela fidelidade e legitimidade das informações e dos documentos enviados em qualquer fase da licitação, não cabendo, portanto, posterior reclamação.</w:t>
      </w:r>
    </w:p>
    <w:p>
      <w:pPr>
        <w:pStyle w:val="2"/>
        <w:spacing w:before="1" w:after="0"/>
        <w:ind w:left="142" w:right="259" w:firstLine="0"/>
        <w:jc w:val="both"/>
        <w:rPr>
          <w:rFonts w:eastAsia="NSimSun" w:cs="Lucida Sans"/>
          <w:kern w:val="0"/>
          <w:lang w:val="pt-BR" w:eastAsia="zh-CN" w:bidi="hi-IN"/>
        </w:rPr>
      </w:pPr>
    </w:p>
    <w:p>
      <w:pPr>
        <w:pStyle w:val="2"/>
        <w:spacing w:before="1" w:after="0"/>
        <w:ind w:left="142" w:right="259" w:firstLine="0"/>
        <w:jc w:val="both"/>
        <w:rPr>
          <w:b/>
          <w:bCs/>
        </w:rPr>
      </w:pPr>
      <w:r>
        <w:rPr>
          <w:rFonts w:ascii="Calibri" w:hAnsi="Calibri" w:eastAsia="NSimSun" w:cs="Lucida Sans"/>
          <w:b/>
          <w:bCs/>
          <w:color w:val="000000"/>
          <w:kern w:val="0"/>
          <w:sz w:val="24"/>
          <w:szCs w:val="24"/>
          <w:lang w:val="pt-BR" w:eastAsia="zh-CN" w:bidi="hi-IN"/>
        </w:rPr>
        <w:t>4 – DAS ATRIBUIÇÕES DO PREGOEIRO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4.1 – Coordenar o processo licitatório;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4.2 – Receber, examinar e encaminhar as impugnações devidamente instruídas à autoridade superior;</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4.3 – Receber, examinar e responder os questionamentos ao edital e seus anexos, apoiado pelo setor responsável pela sua elaboração;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4.4 – Conduzir a sessão pública na internet e os trabalhos da equipe de apoio;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4.5 – Verificar a conformidade da proposta com os requisitos estabelecidos no instrumento convocatório;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4.6 – Dirigir a etapa de lances;</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4.7 – Verificar e julgar as condições de habilitação;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4.8 – Receber a documentação adicional quando necessário;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4.9 – Receber, examinar e encaminhar o recurso devidamente instruído à autoridade superior para deliberação;</w:t>
      </w: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val="0"/>
          <w:bCs w:val="0"/>
          <w:color w:val="000000"/>
          <w:kern w:val="0"/>
          <w:sz w:val="24"/>
          <w:szCs w:val="24"/>
          <w:lang w:val="pt-BR" w:eastAsia="zh-CN" w:bidi="hi-IN"/>
        </w:rPr>
        <w:t>4.10 – Encaminhar o processo devidamente instruído à autoridade superior para adjudicação, homologação e contratação.</w:t>
      </w:r>
    </w:p>
    <w:p>
      <w:pPr>
        <w:pStyle w:val="2"/>
        <w:spacing w:before="1" w:after="0"/>
        <w:ind w:left="142" w:right="259" w:firstLine="0"/>
        <w:jc w:val="both"/>
        <w:rPr>
          <w:rFonts w:eastAsia="NSimSun" w:cs="Lucida Sans"/>
          <w:kern w:val="0"/>
          <w:lang w:val="pt-BR" w:eastAsia="zh-CN" w:bidi="hi-IN"/>
        </w:rPr>
      </w:pP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DO CREDENCIAMENTO PARA PARTICIPAR DO CERTAME</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 As pessoas físicas ou jurídicas deverão dispor de chave identificação e de senha, pessoal e intransferível, para acesso ao Sistema eletrônico, emitida pelo sistema de Cadastro Geral de Fornecedores do Estado de Santa Catarina da Secretaria de Estado da Administração.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 Atribuição de chave de identificação e de senha, obtidas a partir da homologação do Cadastro Geral de Fornecedores, credenciará o interessado em participar do pregão eletrônico e o qualificará para fornecimento e envio de proposta eletrônica para o objeto correspondente ao grupo-classe indicado no edital.</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 Caso não consiga visualizar o processo para envio de proposta eletrônica, o credenciado precisa solicitar qualificação ao grupo-classe correspondente junto ao Cadastro Geral de Fornecedores.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 O procedimento para inscrição e alterações, no Cadastro Geral de Fornecedores, encontra-se disponível no site do Portal de Compras pelo endereço http://portaldecompras.sc.gov.br, clicando em seguida no link “Fornecedores”.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4</w:t>
      </w:r>
      <w:r>
        <w:rPr>
          <w:rFonts w:ascii="Calibri" w:hAnsi="Calibri" w:eastAsia="NSimSun" w:cs="Lucida Sans"/>
          <w:b w:val="0"/>
          <w:bCs w:val="0"/>
          <w:color w:val="000000"/>
          <w:kern w:val="0"/>
          <w:sz w:val="24"/>
          <w:szCs w:val="24"/>
          <w:lang w:val="pt-BR" w:eastAsia="zh-CN" w:bidi="hi-IN"/>
        </w:rPr>
        <w:t xml:space="preserve"> – A chave de identificação e a senha poderão ser utilizadas em qualquer pregão na forma eletrônica, correspondente ao seu grupo-classe registrado no Cadastro Geral de Fornecedores, para formular lances de preços e praticar os demais atos e operações no Sistema eletrônico, salvo quando canceladas por solicitação do credenciado ou por iniciativa da Secretaria de Estado da Administração, devidamente justificada.</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 A perda da senha ou a quebra de sigilo deverá ser comunicada imediatamente ao provedor do Sistema eletrônico, para imediato bloqueio de acesso.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 O credenciamento do licitante e de seu representante legal junto ao Sistema eletrônico implica na responsabilidade legal pelos atos praticados e a presunção de capacidade técnica para realização das transações inerentes ao pregão eletrônico.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5.</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Para o correto funcionamento do Sistema recomendam-se os seguintes requisitos mínimos: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a) Conexão de Internet com velocidade nominal de 2MB ou superior;</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b) Navegadores Internet Explorer 9 ou superior, Chrome ou Firefox;</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c) Javascript habilitado e pop-ups liberados (não bloqueados).</w:t>
      </w:r>
    </w:p>
    <w:p>
      <w:pPr>
        <w:pStyle w:val="2"/>
        <w:spacing w:before="1" w:after="0"/>
        <w:ind w:left="142" w:right="259" w:firstLine="0"/>
        <w:jc w:val="both"/>
        <w:rPr>
          <w:rFonts w:ascii="Calibri" w:hAnsi="Calibri"/>
          <w:b/>
          <w:bCs/>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 PARTICIPAÇÃO NO SISTEMA ELETRÔNICO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 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-O sistema de licitações estará disponível no endereço http://portaldecompras.sc.gov.br/ ou http://e-lic.sc.gov.br/, na área de acesso restrito.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 Efetuado login no Sistema, o fornecedor somente visualizará os editais em que esteja cadastrado no grupo-classe.</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 Como requisito para a participação no pregão, o licitante deverá manifestar, em campo próprio do Sistema eletrônico, o pleno conhecimento e atendimento às exigências previstas no edital.</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.1– Quando o licitante for beneficiário da Lei Complementar nº 123/2006 e suas alterações, deverá manifestar em campo próprio do Sistema eletrônico, o pleno conhecimento e atendimento das exigências previstas na lei.</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.2 – A declaração falsa relativa ao cumprimento dos requisitos de habilitação e proposta sujeitará o licitante às sanções previstas na legislação vigente aplicável à matéria.</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.3 – O licitante será responsável por todas as transações que forem efetuadas em seu nome no Sistema eletrônico, assumindo como firmes e verdadeiras suas propostas e lances.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.4 – O licitante não poderá identificar-se (nome, CNPJ, papel timbrado da empresa, telefone, e-mail, site da empresa, etc.) nesta proposta comercial, sob pena de desclassificação.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.4.1 – Qualquer elemento que possa identificar o licitante, importa na desclassificação da proposta, sem prejuízo das sanções previstas no Edital.</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 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4</w:t>
      </w:r>
      <w:r>
        <w:rPr>
          <w:rFonts w:ascii="Calibri" w:hAnsi="Calibri" w:eastAsia="NSimSun" w:cs="Lucida Sans"/>
          <w:b w:val="0"/>
          <w:bCs w:val="0"/>
          <w:color w:val="000000"/>
          <w:kern w:val="0"/>
          <w:sz w:val="24"/>
          <w:szCs w:val="24"/>
          <w:lang w:val="pt-BR" w:eastAsia="zh-CN" w:bidi="hi-IN"/>
        </w:rPr>
        <w:t xml:space="preserve"> – Os licitantes deverão comunicar imediatamente ao provedor do Sistema qualquer acontecimento que possa comprometer o sigilo ou a inviabilidade do uso da senha, para imediato bloqueio de acesso.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5</w:t>
      </w:r>
      <w:r>
        <w:rPr>
          <w:rFonts w:ascii="Calibri" w:hAnsi="Calibri" w:eastAsia="NSimSun" w:cs="Lucida Sans"/>
          <w:b w:val="0"/>
          <w:bCs w:val="0"/>
          <w:color w:val="000000"/>
          <w:kern w:val="0"/>
          <w:sz w:val="24"/>
          <w:szCs w:val="24"/>
          <w:lang w:val="pt-BR" w:eastAsia="zh-CN" w:bidi="hi-IN"/>
        </w:rPr>
        <w:t xml:space="preserve"> – Os licitantes deverão solicitar o cancelamento da chave de identificação ou da senha de acesso por interesse próprio.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6.</w:t>
      </w:r>
      <w:r>
        <w:rPr>
          <w:rFonts w:ascii="Calibri" w:hAnsi="Calibri" w:cs="Lucida Sans"/>
          <w:b w:val="0"/>
          <w:bCs w:val="0"/>
          <w:color w:val="000000"/>
          <w:kern w:val="0"/>
          <w:sz w:val="24"/>
          <w:szCs w:val="24"/>
          <w:lang w:val="pt-BR" w:eastAsia="zh-CN" w:bidi="hi-IN"/>
        </w:rPr>
        <w:t>6</w:t>
      </w:r>
      <w:r>
        <w:rPr>
          <w:rFonts w:ascii="Calibri" w:hAnsi="Calibri" w:eastAsia="NSimSun" w:cs="Lucida Sans"/>
          <w:b w:val="0"/>
          <w:bCs w:val="0"/>
          <w:color w:val="000000"/>
          <w:kern w:val="0"/>
          <w:sz w:val="24"/>
          <w:szCs w:val="24"/>
          <w:lang w:val="pt-BR" w:eastAsia="zh-CN" w:bidi="hi-IN"/>
        </w:rPr>
        <w:t xml:space="preserve"> – O fornecedor descredenciado no Cadastro Geral de Fornecedores terá sua chave de identificação e senha suspensas automaticamente.</w:t>
      </w:r>
    </w:p>
    <w:p>
      <w:pPr>
        <w:pStyle w:val="2"/>
        <w:spacing w:before="1" w:after="0"/>
        <w:ind w:left="142" w:right="259" w:firstLine="0"/>
        <w:jc w:val="both"/>
        <w:rPr>
          <w:rFonts w:eastAsia="NSimSun" w:cs="Lucida Sans"/>
          <w:kern w:val="0"/>
          <w:lang w:val="pt-BR" w:eastAsia="zh-CN" w:bidi="hi-IN"/>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7</w:t>
      </w:r>
      <w:r>
        <w:rPr>
          <w:rFonts w:ascii="Calibri" w:hAnsi="Calibri"/>
          <w:b/>
          <w:bCs/>
          <w:color w:val="000000"/>
          <w:sz w:val="24"/>
          <w:szCs w:val="24"/>
          <w:lang w:val="pt-BR"/>
        </w:rPr>
        <w:t xml:space="preserve"> </w:t>
      </w:r>
      <w:r>
        <w:rPr>
          <w:rFonts w:ascii="Calibri" w:hAnsi="Calibri"/>
          <w:b/>
          <w:bCs/>
          <w:color w:val="000000"/>
          <w:sz w:val="24"/>
          <w:szCs w:val="24"/>
        </w:rPr>
        <w:t>– DA PROPOSTA ELETRÔNICA DE PREÇOS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 xml:space="preserve"> – Após a divulgação do edital no endereço eletrônico, aos licitantes interessados deverão encaminhar proposta e, se for o caso, o(s) respectivo(s) Anexo(s), até a data e hora marcadas para abertura da sessão, exclusivamente por meio do Sistema eletrônico, quando, então, encerrar-se-á, automaticamente, a fase de recebimento de propostas.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 Até a abertura da sessão, os licitantes poderão retirar ou substituir a proposta anteriormente enviada.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 xml:space="preserve"> – Os licitantes receberão, por e-mail, comprovante de recebimento das suas propostas eletrônicas enviadas, com a indicação do dia e respectivo horário de registro.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7.4 – A proposta enviada não poderá ter prazo de validade inferior a 60 (sessenta) dias, contados da data limite para apresentação das propostas neste Pregão, sendo este o prazo considerado em caso de omissão.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7.5 – Sob pena de desclassificação, a proposta eletrônica deverá ser preenchida indicando o valor unitário e total dos serviços, expressos em reais, com no máximo 4 (quatro) casas decimais no campo “valor da proposta”.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6</w:t>
      </w:r>
      <w:r>
        <w:rPr>
          <w:rFonts w:ascii="Calibri" w:hAnsi="Calibri"/>
          <w:b w:val="0"/>
          <w:bCs w:val="0"/>
          <w:color w:val="000000"/>
          <w:sz w:val="24"/>
          <w:szCs w:val="24"/>
        </w:rPr>
        <w:t xml:space="preserve"> –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pPr>
        <w:spacing w:before="1" w:after="0"/>
        <w:ind w:left="142" w:right="259" w:firstLine="0"/>
        <w:jc w:val="both"/>
        <w:rPr>
          <w:color w:val="000000"/>
        </w:rPr>
      </w:pPr>
      <w:bookmarkStart w:id="0" w:name="docs-internal-guid-c2713284-7fff-903d-6b"/>
      <w:bookmarkEnd w:id="0"/>
      <w:r>
        <w:rPr>
          <w:rFonts w:ascii="Calibri" w:hAnsi="Calibri"/>
          <w:b w:val="0"/>
          <w:bCs w:val="0"/>
          <w:i w:val="0"/>
          <w:caps w:val="0"/>
          <w:smallCaps w:val="0"/>
          <w:strike w:val="0"/>
          <w:dstrike w:val="0"/>
          <w:color w:val="000000"/>
          <w:sz w:val="24"/>
          <w:szCs w:val="24"/>
          <w:u w:val="none"/>
          <w:shd w:val="clear" w:fill="auto"/>
        </w:rPr>
        <w:t>7.6.1 - A licitante deverá apresentar em sua proposta apenas um preço por item do edital, vetada diferenciação de preços em decorrência de local de entrega do item, forma ou local de acondicionamento do item ou quaisquer outras circunstâncias não previstas neste instrumento</w:t>
      </w:r>
      <w:r>
        <w:rPr>
          <w:rFonts w:ascii="Calibri" w:hAnsi="Calibri"/>
          <w:b w:val="0"/>
          <w:bCs w:val="0"/>
          <w:i w:val="0"/>
          <w:caps w:val="0"/>
          <w:smallCaps w:val="0"/>
          <w:strike w:val="0"/>
          <w:dstrike w:val="0"/>
          <w:color w:val="000000"/>
          <w:sz w:val="24"/>
          <w:szCs w:val="24"/>
          <w:u w:val="none"/>
          <w:shd w:val="clear" w:fill="auto"/>
          <w:lang w:val="pt-BR"/>
        </w:rPr>
        <w:t>.</w:t>
      </w:r>
      <w:r>
        <w:rPr>
          <w:rFonts w:ascii="Calibri" w:hAnsi="Calibri"/>
          <w:b w:val="0"/>
          <w:bCs w:val="0"/>
          <w:color w:val="000000"/>
          <w:sz w:val="24"/>
          <w:szCs w:val="24"/>
        </w:rPr>
        <w:t xml:space="preserve"> </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7</w:t>
      </w:r>
      <w:r>
        <w:rPr>
          <w:rFonts w:ascii="Calibri" w:hAnsi="Calibri"/>
          <w:b w:val="0"/>
          <w:bCs w:val="0"/>
          <w:color w:val="000000"/>
          <w:sz w:val="24"/>
          <w:szCs w:val="24"/>
        </w:rPr>
        <w:t xml:space="preserve"> – A proposta de preços com base nas especificações constantes deste neste edital e seus Anexos, estará condicionada às informações cadastradas no Sistema de Cadastro Geral de Fornecedores, que contém, obrigatoriamente, a razão social completa e CNPJ do licitante, endereço, telefone e endereço eletrônico (e- mail).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8</w:t>
      </w:r>
      <w:r>
        <w:rPr>
          <w:rFonts w:ascii="Calibri" w:hAnsi="Calibri"/>
          <w:b w:val="0"/>
          <w:bCs w:val="0"/>
          <w:color w:val="000000"/>
          <w:sz w:val="24"/>
          <w:szCs w:val="24"/>
        </w:rPr>
        <w:t xml:space="preserve"> –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 mail).</w:t>
      </w:r>
    </w:p>
    <w:p>
      <w:pPr>
        <w:pStyle w:val="2"/>
        <w:spacing w:before="1" w:after="0"/>
        <w:ind w:left="142" w:right="259" w:firstLine="0"/>
        <w:jc w:val="both"/>
        <w:rPr>
          <w:color w:val="111111"/>
        </w:rPr>
      </w:pPr>
      <w:r>
        <w:rPr>
          <w:rFonts w:ascii="Calibri" w:hAnsi="Calibri"/>
          <w:b w:val="0"/>
          <w:bCs w:val="0"/>
          <w:color w:val="111111"/>
          <w:sz w:val="24"/>
          <w:szCs w:val="24"/>
        </w:rPr>
        <w:t>7.</w:t>
      </w:r>
      <w:r>
        <w:rPr>
          <w:rFonts w:ascii="Calibri" w:hAnsi="Calibri" w:eastAsia="NSimSun" w:cs="Lucida Sans"/>
          <w:b w:val="0"/>
          <w:bCs w:val="0"/>
          <w:color w:val="111111"/>
          <w:kern w:val="0"/>
          <w:sz w:val="24"/>
          <w:szCs w:val="24"/>
          <w:lang w:val="pt-BR" w:eastAsia="zh-CN" w:bidi="hi-IN"/>
        </w:rPr>
        <w:t>9</w:t>
      </w:r>
      <w:r>
        <w:rPr>
          <w:rFonts w:ascii="Calibri" w:hAnsi="Calibri"/>
          <w:b w:val="0"/>
          <w:bCs w:val="0"/>
          <w:color w:val="111111"/>
          <w:sz w:val="24"/>
          <w:szCs w:val="24"/>
        </w:rPr>
        <w:t xml:space="preserve"> – A licitante vencedora do certame, quando houver cotação de proposta por lote, deverá detalhar sua proposta no sistema eletrônico, após encerramento da sessão, com os respectivos valores unitários readequados ao valor total representado pelo lance vencedor, no prazo de 1 (um) dia útil, contado a partir da data do encerramento da sessão;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9</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Quando por lote, o valor unitário readequado não poderá ser superior àquele oferecido na proposta escrita.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10</w:t>
      </w:r>
      <w:r>
        <w:rPr>
          <w:rFonts w:ascii="Calibri" w:hAnsi="Calibri"/>
          <w:b w:val="0"/>
          <w:bCs w:val="0"/>
          <w:color w:val="000000"/>
          <w:sz w:val="24"/>
          <w:szCs w:val="24"/>
        </w:rPr>
        <w:t xml:space="preserve"> – As propostas apresentadas serão irretratáveis e irrenunciáveis, na forma da lei.</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7.</w:t>
      </w:r>
      <w:r>
        <w:rPr>
          <w:rFonts w:ascii="Calibri" w:hAnsi="Calibri" w:eastAsia="NSimSun" w:cs="Lucida Sans"/>
          <w:b w:val="0"/>
          <w:bCs w:val="0"/>
          <w:color w:val="000000"/>
          <w:kern w:val="0"/>
          <w:sz w:val="24"/>
          <w:szCs w:val="24"/>
          <w:lang w:val="pt-BR" w:eastAsia="zh-CN" w:bidi="hi-IN"/>
        </w:rPr>
        <w:t>11</w:t>
      </w:r>
      <w:r>
        <w:rPr>
          <w:rFonts w:ascii="Calibri" w:hAnsi="Calibri"/>
          <w:b w:val="0"/>
          <w:bCs w:val="0"/>
          <w:color w:val="000000"/>
          <w:sz w:val="24"/>
          <w:szCs w:val="24"/>
        </w:rPr>
        <w:t xml:space="preserve"> – A apresentação da proposta implica na aceitação de todas as condições deste Edital.</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8</w:t>
      </w:r>
      <w:r>
        <w:rPr>
          <w:rFonts w:ascii="Calibri" w:hAnsi="Calibri"/>
          <w:b/>
          <w:bCs/>
          <w:color w:val="000000"/>
          <w:sz w:val="24"/>
          <w:szCs w:val="24"/>
          <w:lang w:val="pt-BR"/>
        </w:rPr>
        <w:t xml:space="preserve"> </w:t>
      </w:r>
      <w:r>
        <w:rPr>
          <w:rFonts w:ascii="Calibri" w:hAnsi="Calibri"/>
          <w:b/>
          <w:bCs/>
          <w:color w:val="000000"/>
          <w:sz w:val="24"/>
          <w:szCs w:val="24"/>
        </w:rPr>
        <w:t>– DA SESSÃO PÚBLICA DO PREGÃO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8.</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 xml:space="preserve"> – Iniciada a sessão pública do pregão, esta não será suspensa ou transferida, salvo motivo excepcional assim caracterizado pelo pregoeiro.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8.</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 Verificando-se o adiamento da sessão pública do pregão, o pregoeiro determinará nova data para continuação dos trabalhos, ficando intimadas </w:t>
      </w:r>
      <w:r>
        <w:rPr>
          <w:rFonts w:hint="default" w:ascii="Calibri" w:hAnsi="Calibri"/>
          <w:b w:val="0"/>
          <w:bCs w:val="0"/>
          <w:color w:val="000000"/>
          <w:sz w:val="24"/>
          <w:szCs w:val="24"/>
          <w:lang w:val="pt-BR"/>
        </w:rPr>
        <w:t>a</w:t>
      </w:r>
      <w:r>
        <w:rPr>
          <w:rFonts w:ascii="Calibri" w:hAnsi="Calibri"/>
          <w:b w:val="0"/>
          <w:bCs w:val="0"/>
          <w:color w:val="000000"/>
          <w:sz w:val="24"/>
          <w:szCs w:val="24"/>
        </w:rPr>
        <w:t>s licitantes.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8.</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 xml:space="preserve"> – O pregoeiro poderá interromper a sessão, temporariamente, para determinar alguma providência administrativa para o bom andamento dos trabalhos.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8.</w:t>
      </w:r>
      <w:r>
        <w:rPr>
          <w:rFonts w:ascii="Calibri" w:hAnsi="Calibri" w:eastAsia="NSimSun" w:cs="Lucida Sans"/>
          <w:b w:val="0"/>
          <w:bCs w:val="0"/>
          <w:color w:val="000000"/>
          <w:kern w:val="0"/>
          <w:sz w:val="24"/>
          <w:szCs w:val="24"/>
          <w:lang w:val="pt-BR" w:eastAsia="zh-CN" w:bidi="hi-IN"/>
        </w:rPr>
        <w:t>4</w:t>
      </w:r>
      <w:r>
        <w:rPr>
          <w:rFonts w:ascii="Calibri" w:hAnsi="Calibri"/>
          <w:b w:val="0"/>
          <w:bCs w:val="0"/>
          <w:color w:val="000000"/>
          <w:sz w:val="24"/>
          <w:szCs w:val="24"/>
        </w:rPr>
        <w:t xml:space="preserve"> – No caso de desconexão do pregoeiro, no decorrer da etapa de lances, se o Sistema eletrônico permanecer acessível aos licitantes, os lances continuarão sendo recebidos, sem prejuízo dos atos realizados.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8.</w:t>
      </w:r>
      <w:r>
        <w:rPr>
          <w:rFonts w:ascii="Calibri" w:hAnsi="Calibri" w:eastAsia="NSimSun" w:cs="Lucida Sans"/>
          <w:b w:val="0"/>
          <w:bCs w:val="0"/>
          <w:color w:val="000000"/>
          <w:kern w:val="0"/>
          <w:sz w:val="24"/>
          <w:szCs w:val="24"/>
          <w:lang w:val="pt-BR" w:eastAsia="zh-CN" w:bidi="hi-IN"/>
        </w:rPr>
        <w:t>5</w:t>
      </w:r>
      <w:r>
        <w:rPr>
          <w:rFonts w:ascii="Calibri" w:hAnsi="Calibri"/>
          <w:b w:val="0"/>
          <w:bCs w:val="0"/>
          <w:color w:val="000000"/>
          <w:sz w:val="24"/>
          <w:szCs w:val="24"/>
        </w:rPr>
        <w:t xml:space="preserve"> – Quando a desconexão do pregoeiro persistir por tempo superior a dez minutos, a sessão do pregão na forma eletrônica será suspensa e reiniciada somente após comunicação aos participantes, no endereço eletrônico utilizado para divulgação.</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9</w:t>
      </w:r>
      <w:r>
        <w:rPr>
          <w:rFonts w:ascii="Calibri" w:hAnsi="Calibri"/>
          <w:b/>
          <w:bCs/>
          <w:color w:val="000000"/>
          <w:sz w:val="24"/>
          <w:szCs w:val="24"/>
          <w:lang w:val="pt-BR"/>
        </w:rPr>
        <w:t xml:space="preserve"> </w:t>
      </w:r>
      <w:r>
        <w:rPr>
          <w:rFonts w:ascii="Calibri" w:hAnsi="Calibri"/>
          <w:b/>
          <w:bCs/>
          <w:color w:val="000000"/>
          <w:sz w:val="24"/>
          <w:szCs w:val="24"/>
        </w:rPr>
        <w:t>– DA ABERTURA DA SESSÃO E ETAPA DE LANCES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 xml:space="preserve"> – A partir do horário previsto no edital terá início a sessão pública do pregão eletrônico, momento em que o Sistema disponibilizará campo próprio (Chat) para troca de mensagens entre o pregoeiro e os licitantes.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 O pregoeiro verificará propostas eletrônicas enviadas, desclassificando aquelas que não estejam em conformidade com os requisitos estabelecidos no edital.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A desclassificação de proposta será sempre fundamentada e registrada no Sistema, com acompanhamento em tempo real por todos os participantes.</w:t>
      </w:r>
    </w:p>
    <w:p>
      <w:pPr>
        <w:pStyle w:val="2"/>
        <w:spacing w:before="1" w:after="0"/>
        <w:ind w:left="142" w:right="259" w:firstLine="0"/>
        <w:jc w:val="both"/>
        <w:rPr>
          <w:b w:val="0"/>
          <w:bCs w:val="0"/>
          <w:color w:val="111111"/>
        </w:rPr>
      </w:pPr>
      <w:r>
        <w:rPr>
          <w:rFonts w:ascii="Calibri" w:hAnsi="Calibri"/>
          <w:b w:val="0"/>
          <w:bCs w:val="0"/>
          <w:color w:val="111111"/>
          <w:sz w:val="24"/>
          <w:szCs w:val="24"/>
        </w:rPr>
        <w:t>9.</w:t>
      </w:r>
      <w:r>
        <w:rPr>
          <w:rFonts w:ascii="Calibri" w:hAnsi="Calibri" w:eastAsia="NSimSun" w:cs="Lucida Sans"/>
          <w:b w:val="0"/>
          <w:bCs w:val="0"/>
          <w:color w:val="111111"/>
          <w:kern w:val="0"/>
          <w:sz w:val="24"/>
          <w:szCs w:val="24"/>
          <w:lang w:val="pt-BR" w:eastAsia="zh-CN" w:bidi="hi-IN"/>
        </w:rPr>
        <w:t>2</w:t>
      </w:r>
      <w:r>
        <w:rPr>
          <w:rFonts w:ascii="Calibri" w:hAnsi="Calibri"/>
          <w:b w:val="0"/>
          <w:bCs w:val="0"/>
          <w:color w:val="111111"/>
          <w:sz w:val="24"/>
          <w:szCs w:val="24"/>
        </w:rPr>
        <w:t>.</w:t>
      </w:r>
      <w:r>
        <w:rPr>
          <w:rFonts w:ascii="Calibri" w:hAnsi="Calibri"/>
          <w:b w:val="0"/>
          <w:bCs w:val="0"/>
          <w:color w:val="111111"/>
          <w:sz w:val="24"/>
          <w:szCs w:val="24"/>
          <w:lang w:val="pt-BR"/>
        </w:rPr>
        <w:t>1</w:t>
      </w:r>
      <w:r>
        <w:rPr>
          <w:rFonts w:ascii="Calibri" w:hAnsi="Calibri"/>
          <w:b w:val="0"/>
          <w:bCs w:val="0"/>
          <w:color w:val="111111"/>
          <w:sz w:val="24"/>
          <w:szCs w:val="24"/>
        </w:rPr>
        <w:t>.1 – O fornecedor que tiver a sua proposta desclassificada, terá o tempo de 5 (cinco) minutos para solicitar reconsideração, findo o qual, o pregoeiro irá analisar a justificativa, fundamentando sua decisão.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.2 – A não desclassificação da proposta não impede o seu julgamento definitivo em sentido contrário, levado a efeito na fase de aceitação.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2</w:t>
      </w:r>
      <w:r>
        <w:rPr>
          <w:rFonts w:ascii="Calibri" w:hAnsi="Calibri"/>
          <w:b w:val="0"/>
          <w:bCs w:val="0"/>
          <w:color w:val="000000"/>
          <w:sz w:val="24"/>
          <w:szCs w:val="24"/>
        </w:rPr>
        <w:t xml:space="preserve"> – O Sistema ordenará, automaticamente, as propostas classificadas pelo pregoeiro, sendo que somente estas participarão da fase de lances.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3</w:t>
      </w:r>
      <w:r>
        <w:rPr>
          <w:rFonts w:ascii="Calibri" w:hAnsi="Calibri"/>
          <w:b w:val="0"/>
          <w:bCs w:val="0"/>
          <w:color w:val="000000"/>
          <w:sz w:val="24"/>
          <w:szCs w:val="24"/>
        </w:rPr>
        <w:t xml:space="preserve"> – As propostas apresentadas com o mesmo valor serão ordenadas automaticamente pelo sistema, por meio de sorteio eletrônico.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 xml:space="preserve"> – A partir do horário previsto no edital o pregoeiro dará início à etapa da disputa.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O pregoeiro abrirá o item/lote quando então os licitantes poderão encaminhar lances, exclusivamente, por meio do Sistema eletrônico.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b w:val="0"/>
          <w:bCs w:val="0"/>
          <w:color w:val="000000"/>
          <w:sz w:val="24"/>
          <w:szCs w:val="24"/>
          <w:lang w:val="pt-BR"/>
        </w:rPr>
        <w:t>2</w:t>
      </w:r>
      <w:r>
        <w:rPr>
          <w:rFonts w:ascii="Calibri" w:hAnsi="Calibri"/>
          <w:b w:val="0"/>
          <w:bCs w:val="0"/>
          <w:color w:val="000000"/>
          <w:sz w:val="24"/>
          <w:szCs w:val="24"/>
        </w:rPr>
        <w:t xml:space="preserve"> – Será considerada como primeiro lance a proposta inicial apresentada.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4</w:t>
      </w:r>
      <w:r>
        <w:rPr>
          <w:rFonts w:ascii="Calibri" w:hAnsi="Calibri"/>
          <w:b w:val="0"/>
          <w:bCs w:val="0"/>
          <w:color w:val="000000"/>
          <w:sz w:val="24"/>
          <w:szCs w:val="24"/>
        </w:rPr>
        <w:t xml:space="preserve"> – Os licitantes poderão encaminhar lances exclusivamente por meio do Sistema eletrônico, sendo imediatamente informado do seu recebimento e do valor consignado no registro, visualizando seu horário e valor no link “histórico de lances”.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5</w:t>
      </w:r>
      <w:r>
        <w:rPr>
          <w:rFonts w:ascii="Calibri" w:hAnsi="Calibri"/>
          <w:b w:val="0"/>
          <w:bCs w:val="0"/>
          <w:color w:val="000000"/>
          <w:sz w:val="24"/>
          <w:szCs w:val="24"/>
        </w:rPr>
        <w:t xml:space="preserve"> – Os licitantes poderão oferecer lances sucessivos somente inferiores ao último por ele ofertado e registrado pelo Sistema.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5</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Não serão aceitos dois ou mais lances de mesmo valor, prevalecendo aquele que for recebido e registrado em primeiro.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6</w:t>
      </w:r>
      <w:r>
        <w:rPr>
          <w:rFonts w:ascii="Calibri" w:hAnsi="Calibri"/>
          <w:b w:val="0"/>
          <w:bCs w:val="0"/>
          <w:color w:val="000000"/>
          <w:sz w:val="24"/>
          <w:szCs w:val="24"/>
        </w:rPr>
        <w:t xml:space="preserve"> – Somente o licitante de menor lance dentre os ofertados, e enquanto mantiver esta situação, visualiza em tempo real o ícone “troféu”.</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7</w:t>
      </w:r>
      <w:r>
        <w:rPr>
          <w:rFonts w:ascii="Calibri" w:hAnsi="Calibri"/>
          <w:b w:val="0"/>
          <w:bCs w:val="0"/>
          <w:color w:val="000000"/>
          <w:sz w:val="24"/>
          <w:szCs w:val="24"/>
        </w:rPr>
        <w:t xml:space="preserve"> – Durante o transcurso da sessão pública, os licitantes serão informados, em tempo real, do valor do menor lance registrado, vedada a identificação do licitante.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7</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O Sistema não identificará os autores dos lances podendo visualizar valores e horários registrados no link “histórico de lances”.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hint="default" w:ascii="Calibri" w:hAnsi="Calibri" w:cs="Lucida Sans"/>
          <w:b w:val="0"/>
          <w:bCs w:val="0"/>
          <w:color w:val="000000"/>
          <w:kern w:val="0"/>
          <w:sz w:val="24"/>
          <w:szCs w:val="24"/>
          <w:lang w:val="pt-BR" w:eastAsia="zh-CN" w:bidi="hi-IN"/>
        </w:rPr>
        <w:t>8</w:t>
      </w:r>
      <w:r>
        <w:rPr>
          <w:rFonts w:ascii="Calibri" w:hAnsi="Calibri"/>
          <w:b w:val="0"/>
          <w:bCs w:val="0"/>
          <w:color w:val="000000"/>
          <w:sz w:val="24"/>
          <w:szCs w:val="24"/>
        </w:rPr>
        <w:t xml:space="preserve"> – O procedimento seguirá de acordo com o modo de disputa adotado.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hint="default" w:ascii="Calibri" w:hAnsi="Calibri" w:cs="Lucida Sans"/>
          <w:b w:val="0"/>
          <w:bCs w:val="0"/>
          <w:color w:val="000000"/>
          <w:kern w:val="0"/>
          <w:sz w:val="24"/>
          <w:szCs w:val="24"/>
          <w:lang w:val="pt-BR" w:eastAsia="zh-CN" w:bidi="hi-IN"/>
        </w:rPr>
        <w:t>9</w:t>
      </w:r>
      <w:r>
        <w:rPr>
          <w:rFonts w:ascii="Calibri" w:hAnsi="Calibri"/>
          <w:b w:val="0"/>
          <w:bCs w:val="0"/>
          <w:color w:val="000000"/>
          <w:sz w:val="24"/>
          <w:szCs w:val="24"/>
        </w:rPr>
        <w:t xml:space="preserve"> – Caso seja adotado para o envio de lances no pregão eletrônico o modo de disputa "aberto", os licitantes apresentarão lances públicos e sucessivos, com prorrogações.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0</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3</w:t>
      </w:r>
      <w:r>
        <w:rPr>
          <w:rFonts w:ascii="Calibri" w:hAnsi="Calibri"/>
          <w:b w:val="0"/>
          <w:bCs w:val="0"/>
          <w:color w:val="000000"/>
          <w:sz w:val="24"/>
          <w:szCs w:val="24"/>
        </w:rPr>
        <w:t xml:space="preserve"> - Após o reinício previsto no item supra, os licitantes serão convocados para apresentar lances intermediários.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4</w:t>
      </w:r>
      <w:r>
        <w:rPr>
          <w:rFonts w:ascii="Calibri" w:hAnsi="Calibri"/>
          <w:b w:val="0"/>
          <w:bCs w:val="0"/>
          <w:color w:val="000000"/>
          <w:sz w:val="24"/>
          <w:szCs w:val="24"/>
        </w:rPr>
        <w:t xml:space="preserve"> - Caso seja adotado para o envio de lances no pregão eletrônico o modo de disputa "aberto e fechado", os licitantes apresentarão lances públicos e sucessivos, com lance final e fechado.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5</w:t>
      </w:r>
      <w:r>
        <w:rPr>
          <w:rFonts w:ascii="Calibri" w:hAnsi="Calibri"/>
          <w:b w:val="0"/>
          <w:bCs w:val="0"/>
          <w:color w:val="000000"/>
          <w:sz w:val="24"/>
          <w:szCs w:val="24"/>
        </w:rPr>
        <w:t xml:space="preserve"> -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6</w:t>
      </w:r>
      <w:r>
        <w:rPr>
          <w:rFonts w:ascii="Calibri" w:hAnsi="Calibri"/>
          <w:b w:val="0"/>
          <w:bCs w:val="0"/>
          <w:color w:val="000000"/>
          <w:sz w:val="24"/>
          <w:szCs w:val="24"/>
        </w:rPr>
        <w:t xml:space="preserve"> -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xml:space="preserve"> -  No procedimento de que trata o subitem supra, o licitante poderá optar por manter o seu último lance da etapa aberta, ou por ofertar melhor lance.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cs="Lucida Sans"/>
          <w:b w:val="0"/>
          <w:bCs w:val="0"/>
          <w:color w:val="000000"/>
          <w:kern w:val="0"/>
          <w:sz w:val="24"/>
          <w:szCs w:val="24"/>
          <w:lang w:val="pt-BR" w:eastAsia="zh-CN" w:bidi="hi-IN"/>
        </w:rPr>
        <w:t>1</w:t>
      </w:r>
      <w:r>
        <w:rPr>
          <w:rFonts w:hint="default" w:ascii="Calibri" w:hAnsi="Calibri" w:cs="Lucida Sans"/>
          <w:b w:val="0"/>
          <w:bCs w:val="0"/>
          <w:color w:val="000000"/>
          <w:kern w:val="0"/>
          <w:sz w:val="24"/>
          <w:szCs w:val="24"/>
          <w:lang w:val="pt-BR" w:eastAsia="zh-CN" w:bidi="hi-IN"/>
        </w:rPr>
        <w:t>8</w:t>
      </w:r>
      <w:r>
        <w:rPr>
          <w:rFonts w:ascii="Calibri" w:hAnsi="Calibri"/>
          <w:b w:val="0"/>
          <w:bCs w:val="0"/>
          <w:color w:val="000000"/>
          <w:sz w:val="24"/>
          <w:szCs w:val="24"/>
        </w:rPr>
        <w:t xml:space="preserve"> -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hint="default" w:ascii="Calibri" w:hAnsi="Calibri" w:cs="Lucida Sans"/>
          <w:b w:val="0"/>
          <w:bCs w:val="0"/>
          <w:color w:val="000000"/>
          <w:kern w:val="0"/>
          <w:sz w:val="24"/>
          <w:szCs w:val="24"/>
          <w:lang w:val="pt-BR" w:eastAsia="zh-CN" w:bidi="hi-IN"/>
        </w:rPr>
        <w:t>19</w:t>
      </w:r>
      <w:r>
        <w:rPr>
          <w:rFonts w:ascii="Calibri" w:hAnsi="Calibri"/>
          <w:b w:val="0"/>
          <w:bCs w:val="0"/>
          <w:color w:val="000000"/>
          <w:sz w:val="24"/>
          <w:szCs w:val="24"/>
        </w:rPr>
        <w:t xml:space="preserve"> - Após o término dos prazos estabelecidos nos itens anteriores, o sistema ordenará e divulgará os lances segundo a ordem crescente de valores.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0</w:t>
      </w:r>
      <w:r>
        <w:rPr>
          <w:rFonts w:ascii="Calibri" w:hAnsi="Calibri"/>
          <w:b w:val="0"/>
          <w:bCs w:val="0"/>
          <w:color w:val="000000"/>
          <w:sz w:val="24"/>
          <w:szCs w:val="24"/>
        </w:rPr>
        <w:t xml:space="preserve"> - 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1</w:t>
      </w:r>
      <w:r>
        <w:rPr>
          <w:rFonts w:ascii="Calibri" w:hAnsi="Calibri"/>
          <w:b w:val="0"/>
          <w:bCs w:val="0"/>
          <w:color w:val="000000"/>
          <w:sz w:val="24"/>
          <w:szCs w:val="24"/>
        </w:rPr>
        <w:t xml:space="preserve"> - Não havendo pelo menos 3 (três) propostas nas condições definidas no 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0</w:t>
      </w:r>
      <w:r>
        <w:rPr>
          <w:rFonts w:ascii="Calibri" w:hAnsi="Calibri"/>
          <w:b w:val="0"/>
          <w:bCs w:val="0"/>
          <w:color w:val="000000"/>
          <w:sz w:val="24"/>
          <w:szCs w:val="24"/>
        </w:rPr>
        <w:t>, poderão os licitantes que apresentaram as três melhores propostas, consideradas as empatadas, oferecer novos lances sucessivos.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4</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 xml:space="preserve"> Não havendo novos lances na forma estabelecida nos itens anteriores, a sessão pública encerrar-se-á automaticamente, e o sistema ordenará e divulgará os lances conforme a ordem final de classificação.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5</w:t>
      </w:r>
      <w:r>
        <w:rPr>
          <w:rFonts w:ascii="Calibri" w:hAnsi="Calibri" w:eastAsia="NSimSun" w:cs="Lucida Sans"/>
          <w:b w:val="0"/>
          <w:bCs w:val="0"/>
          <w:color w:val="000000"/>
          <w:kern w:val="0"/>
          <w:sz w:val="24"/>
          <w:szCs w:val="24"/>
          <w:lang w:val="pt-BR" w:eastAsia="zh-CN" w:bidi="hi-IN"/>
        </w:rPr>
        <w:t xml:space="preserve"> - </w:t>
      </w:r>
      <w:r>
        <w:rPr>
          <w:rFonts w:ascii="Calibri" w:hAnsi="Calibri"/>
          <w:b w:val="0"/>
          <w:bCs w:val="0"/>
          <w:color w:val="000000"/>
          <w:sz w:val="24"/>
          <w:szCs w:val="24"/>
        </w:rPr>
        <w:t xml:space="preserve"> 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5</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Depois de encerrados, automaticamente, os itens/lotes para a recepção de lances, por comando do pregoeiro, encerrar-se-á a fase competitiva (etapa da disputa) e o Sistema eletrônico emitirá aviso via chat iniciando as fases de negociação, aceitabilidade e habilitação.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6</w:t>
      </w:r>
      <w:r>
        <w:rPr>
          <w:rFonts w:ascii="Calibri" w:hAnsi="Calibri"/>
          <w:b w:val="0"/>
          <w:bCs w:val="0"/>
          <w:color w:val="000000"/>
          <w:sz w:val="24"/>
          <w:szCs w:val="24"/>
        </w:rPr>
        <w:t xml:space="preserve"> – O Sistema, automaticamente, verificará os requisitos para a aplicação da Lei Complementar nº 123/2006. Na sequência o pregoeiro poderá negociar diretamente com o proponente para que seja obtido preço melhor.</w:t>
      </w:r>
    </w:p>
    <w:p>
      <w:pPr>
        <w:pStyle w:val="2"/>
        <w:spacing w:before="1" w:after="0"/>
        <w:ind w:left="142" w:right="259" w:firstLine="0"/>
        <w:jc w:val="both"/>
        <w:rPr>
          <w:b w:val="0"/>
          <w:bCs w:val="0"/>
          <w:color w:val="000000"/>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6</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6</w:t>
      </w:r>
      <w:r>
        <w:rPr>
          <w:rFonts w:ascii="Calibri" w:hAnsi="Calibri"/>
          <w:b w:val="0"/>
          <w:bCs w:val="0"/>
          <w:color w:val="000000"/>
          <w:sz w:val="24"/>
          <w:szCs w:val="24"/>
        </w:rPr>
        <w:t>.</w:t>
      </w:r>
      <w:r>
        <w:rPr>
          <w:rFonts w:ascii="Calibri" w:hAnsi="Calibri"/>
          <w:b w:val="0"/>
          <w:bCs w:val="0"/>
          <w:color w:val="000000"/>
          <w:sz w:val="24"/>
          <w:szCs w:val="24"/>
          <w:lang w:val="pt-BR"/>
        </w:rPr>
        <w:t>2</w:t>
      </w:r>
      <w:r>
        <w:rPr>
          <w:rFonts w:ascii="Calibri" w:hAnsi="Calibri"/>
          <w:b w:val="0"/>
          <w:bCs w:val="0"/>
          <w:color w:val="000000"/>
          <w:sz w:val="24"/>
          <w:szCs w:val="24"/>
        </w:rPr>
        <w:t xml:space="preserve"> – A negociação será realizada por intermédio do Sistema de troca de mensagens (chat), podendo ser acompanhada pelos demais licitantes.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xml:space="preserve"> – Ocorrendo o empate será assegurada, como critério de desempate, preferência de contratação para as microempresas e empresas de pequeno porte.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Entende-se por empate aquelas situações em que as propostas/lances enviados pelas microempresas e empresas de pequeno porte sejam iguais ou até 5% (cinco por cento) superiores à proposta/lance mais bem classificado, conforme disposto na Lei Complementar nº 123/2006 e suas alterações.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w:t>
      </w:r>
      <w:r>
        <w:rPr>
          <w:rFonts w:ascii="Calibri" w:hAnsi="Calibri"/>
          <w:b w:val="0"/>
          <w:bCs w:val="0"/>
          <w:color w:val="000000"/>
          <w:sz w:val="24"/>
          <w:szCs w:val="24"/>
          <w:lang w:val="pt-BR"/>
        </w:rPr>
        <w:t>2</w:t>
      </w:r>
      <w:r>
        <w:rPr>
          <w:rFonts w:ascii="Calibri" w:hAnsi="Calibri"/>
          <w:b w:val="0"/>
          <w:bCs w:val="0"/>
          <w:color w:val="000000"/>
          <w:sz w:val="24"/>
          <w:szCs w:val="24"/>
        </w:rPr>
        <w:t xml:space="preserve"> – Ocorrendo o empate, proceder-se-á da seguinte forma: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a) o Sistema aplicará automaticamente o benefício da Lei Complementar nº 123/2006 e suas alterações, quando houver empresas dentro das condições previstas na lei;</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b) o Sistema convocará automaticamente a microempresa ou empresa de pequeno porte mais bem classificado, momento que abrirá campo para recepção de lances, para enviar nova proposta inferior àquela considerada vencedora do certame no prazo máximo de 5 (cinco) minutos sob pena de preclusão, situação em que será adjudicado em seu favor o objeto licitado;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c) não ocorrendo a contratação da microempresa ou empresa de pequeno porte, na forma do inciso I, do caput do artigo 45, da Lei Complementar nº 123/2006 e suas alterações, serão convocados os remanescentes que porventura se enquadrem na hipótese dos §§ 1º e 2º, do art. 44, da Lei Complementar nº 123/2006, na ordem classificatória, para o exercício do mesmo direito;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d) no caso de equivalência dos valores apresentados pelas microempresas e empresas de pequeno porte que se encontrem nos intervalos estabelecidos nos §§ 1º e 2º, do art. 44, da Lei Complementar nº 123/2006 e suas alterações, será realizado sorteio automático entre elas para que se identifique aquela que primeiro poderá enviar melhor oferta.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8</w:t>
      </w:r>
      <w:r>
        <w:rPr>
          <w:rFonts w:ascii="Calibri" w:hAnsi="Calibri"/>
          <w:b w:val="0"/>
          <w:bCs w:val="0"/>
          <w:color w:val="000000"/>
          <w:sz w:val="24"/>
          <w:szCs w:val="24"/>
        </w:rPr>
        <w:t xml:space="preserve"> – O disposto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xml:space="preserve"> somente se aplicará quando a melhor oferta inicial não tiver sido enviada por microempresa ou empresa de pequeno porte.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hint="default" w:ascii="Calibri" w:hAnsi="Calibri"/>
          <w:b w:val="0"/>
          <w:bCs w:val="0"/>
          <w:color w:val="000000"/>
          <w:sz w:val="24"/>
          <w:szCs w:val="24"/>
          <w:lang w:val="pt-BR"/>
        </w:rPr>
        <w:t>29</w:t>
      </w:r>
      <w:r>
        <w:rPr>
          <w:rFonts w:ascii="Calibri" w:hAnsi="Calibri"/>
          <w:b w:val="0"/>
          <w:bCs w:val="0"/>
          <w:color w:val="000000"/>
          <w:sz w:val="24"/>
          <w:szCs w:val="24"/>
        </w:rPr>
        <w:t xml:space="preserve"> – Na hipótese da não contratação nos termos previstos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o objeto licitado será adjudicado em favor da proposta originalmente vencedor do certame.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9.3</w:t>
      </w:r>
      <w:r>
        <w:rPr>
          <w:rFonts w:hint="default" w:ascii="Calibri" w:hAnsi="Calibri" w:cs="Lucida Sans"/>
          <w:b w:val="0"/>
          <w:bCs w:val="0"/>
          <w:color w:val="000000"/>
          <w:kern w:val="0"/>
          <w:sz w:val="24"/>
          <w:szCs w:val="24"/>
          <w:lang w:val="pt-BR" w:eastAsia="zh-CN" w:bidi="hi-IN"/>
        </w:rPr>
        <w:t>0</w:t>
      </w:r>
      <w:r>
        <w:rPr>
          <w:rFonts w:ascii="Calibri" w:hAnsi="Calibri"/>
          <w:b w:val="0"/>
          <w:bCs w:val="0"/>
          <w:color w:val="000000"/>
          <w:sz w:val="24"/>
          <w:szCs w:val="24"/>
        </w:rPr>
        <w:t xml:space="preserve"> – Iniciada a etapa de habilitação da sessão pública, o licitante detentora da melhor oferta deverá atender as exigências de habilitação previstas no item 10 deste edital.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1</w:t>
      </w:r>
      <w:r>
        <w:rPr>
          <w:rFonts w:ascii="Calibri" w:hAnsi="Calibri"/>
          <w:b w:val="0"/>
          <w:bCs w:val="0"/>
          <w:color w:val="000000"/>
          <w:sz w:val="24"/>
          <w:szCs w:val="24"/>
        </w:rPr>
        <w:t xml:space="preserve"> – O Sistema anunciará o licitante vencedor após adjudicação, ou, quando houver recursos, após a homologação.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2</w:t>
      </w:r>
      <w:r>
        <w:rPr>
          <w:rFonts w:ascii="Calibri" w:hAnsi="Calibri"/>
          <w:b w:val="0"/>
          <w:bCs w:val="0"/>
          <w:color w:val="000000"/>
          <w:sz w:val="24"/>
          <w:szCs w:val="24"/>
        </w:rPr>
        <w:t xml:space="preserve"> – Se a proposta ou o lance de menor valor não for aceitável, ou se o licitante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3</w:t>
      </w:r>
      <w:r>
        <w:rPr>
          <w:rFonts w:ascii="Calibri" w:hAnsi="Calibri"/>
          <w:b w:val="0"/>
          <w:bCs w:val="0"/>
          <w:color w:val="000000"/>
          <w:sz w:val="24"/>
          <w:szCs w:val="24"/>
        </w:rPr>
        <w:t xml:space="preserve"> – O pregoeiro solicitará ao licitante mais bem classificado que envie a proposta adequada ao último lance ofertado após a negociação realizada, constando:</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b/>
          <w:bCs/>
        </w:rPr>
      </w:pPr>
      <w:r>
        <w:rPr>
          <w:rFonts w:ascii="Calibri" w:hAnsi="Calibri"/>
          <w:b/>
          <w:bCs/>
          <w:color w:val="000000"/>
          <w:sz w:val="24"/>
          <w:szCs w:val="24"/>
        </w:rPr>
        <w:t xml:space="preserve">a) Valores unitários e totais readequados ao valor total representado pelo lance vencedor; </w:t>
      </w:r>
    </w:p>
    <w:p>
      <w:pPr>
        <w:pStyle w:val="2"/>
        <w:spacing w:before="1" w:after="0"/>
        <w:ind w:left="142" w:right="259" w:firstLine="0"/>
        <w:jc w:val="both"/>
        <w:rPr>
          <w:b/>
          <w:bCs/>
        </w:rPr>
      </w:pPr>
      <w:r>
        <w:rPr>
          <w:rFonts w:ascii="Calibri" w:hAnsi="Calibri"/>
          <w:b/>
          <w:bCs/>
          <w:color w:val="000000"/>
          <w:sz w:val="24"/>
          <w:szCs w:val="24"/>
        </w:rPr>
        <w:t>b) Razão Social da empresa;</w:t>
      </w:r>
    </w:p>
    <w:p>
      <w:pPr>
        <w:pStyle w:val="2"/>
        <w:spacing w:before="1" w:after="0"/>
        <w:ind w:left="142" w:right="259" w:firstLine="0"/>
        <w:jc w:val="both"/>
        <w:rPr>
          <w:b/>
          <w:bCs/>
        </w:rPr>
      </w:pPr>
      <w:r>
        <w:rPr>
          <w:rFonts w:ascii="Calibri" w:hAnsi="Calibri" w:eastAsia="NSimSun" w:cs="Lucida Sans"/>
          <w:b/>
          <w:bCs/>
          <w:color w:val="000000"/>
          <w:kern w:val="0"/>
          <w:sz w:val="24"/>
          <w:szCs w:val="24"/>
          <w:lang w:val="pt-BR" w:eastAsia="zh-CN" w:bidi="hi-IN"/>
        </w:rPr>
        <w:t xml:space="preserve">c) </w:t>
      </w:r>
      <w:r>
        <w:rPr>
          <w:rFonts w:ascii="Calibri" w:hAnsi="Calibri"/>
          <w:b/>
          <w:bCs/>
          <w:color w:val="000000"/>
          <w:sz w:val="24"/>
          <w:szCs w:val="24"/>
        </w:rPr>
        <w:t xml:space="preserve">Endereço completo e atualizado; </w:t>
      </w:r>
    </w:p>
    <w:p>
      <w:pPr>
        <w:pStyle w:val="2"/>
        <w:spacing w:before="1" w:after="0"/>
        <w:ind w:left="142" w:right="259" w:firstLine="0"/>
        <w:jc w:val="both"/>
        <w:rPr>
          <w:b/>
          <w:bCs/>
        </w:rPr>
      </w:pPr>
      <w:r>
        <w:rPr>
          <w:rFonts w:ascii="Calibri" w:hAnsi="Calibri"/>
          <w:b/>
          <w:bCs/>
          <w:color w:val="000000"/>
          <w:sz w:val="24"/>
          <w:szCs w:val="24"/>
        </w:rPr>
        <w:t>d) Telefone para contato;</w:t>
      </w:r>
    </w:p>
    <w:p>
      <w:pPr>
        <w:pStyle w:val="2"/>
        <w:spacing w:before="1" w:after="0"/>
        <w:ind w:left="142" w:right="259" w:firstLine="0"/>
        <w:jc w:val="both"/>
        <w:rPr>
          <w:b/>
          <w:bCs/>
        </w:rPr>
      </w:pPr>
      <w:r>
        <w:rPr>
          <w:rFonts w:ascii="Calibri" w:hAnsi="Calibri" w:eastAsia="NSimSun" w:cs="Lucida Sans"/>
          <w:b/>
          <w:bCs/>
          <w:color w:val="000000"/>
          <w:kern w:val="0"/>
          <w:sz w:val="24"/>
          <w:szCs w:val="24"/>
          <w:lang w:val="pt-BR" w:eastAsia="zh-CN" w:bidi="hi-IN"/>
        </w:rPr>
        <w:t xml:space="preserve">e) </w:t>
      </w:r>
      <w:r>
        <w:rPr>
          <w:rFonts w:ascii="Calibri" w:hAnsi="Calibri"/>
          <w:b/>
          <w:bCs/>
          <w:color w:val="000000"/>
          <w:sz w:val="24"/>
          <w:szCs w:val="24"/>
        </w:rPr>
        <w:t>Endereço de e-mail;</w:t>
      </w:r>
    </w:p>
    <w:p>
      <w:pPr>
        <w:pStyle w:val="2"/>
        <w:spacing w:before="1" w:after="0"/>
        <w:ind w:left="142" w:right="259" w:firstLine="0"/>
        <w:jc w:val="both"/>
        <w:rPr>
          <w:b/>
          <w:bCs/>
        </w:rPr>
      </w:pPr>
      <w:r>
        <w:rPr>
          <w:rFonts w:ascii="Calibri" w:hAnsi="Calibri" w:eastAsia="NSimSun" w:cs="Lucida Sans"/>
          <w:b/>
          <w:bCs/>
          <w:color w:val="000000"/>
          <w:kern w:val="0"/>
          <w:sz w:val="24"/>
          <w:szCs w:val="24"/>
          <w:lang w:val="pt-BR" w:eastAsia="zh-CN" w:bidi="hi-IN"/>
        </w:rPr>
        <w:t xml:space="preserve">f) </w:t>
      </w:r>
      <w:r>
        <w:rPr>
          <w:rFonts w:ascii="Calibri" w:hAnsi="Calibri"/>
          <w:b/>
          <w:bCs/>
          <w:color w:val="000000"/>
          <w:sz w:val="24"/>
          <w:szCs w:val="24"/>
        </w:rPr>
        <w:t xml:space="preserve">Representante legal da empresa (nome, cpf, rg, cargo/função na empresa, telefones de contato); </w:t>
      </w:r>
    </w:p>
    <w:p>
      <w:pPr>
        <w:pStyle w:val="2"/>
        <w:spacing w:before="1" w:after="0"/>
        <w:ind w:left="142" w:right="259" w:firstLine="0"/>
        <w:jc w:val="both"/>
        <w:rPr>
          <w:b/>
          <w:bCs/>
        </w:rPr>
      </w:pPr>
      <w:r>
        <w:rPr>
          <w:rFonts w:ascii="Calibri" w:hAnsi="Calibri" w:eastAsia="NSimSun" w:cs="Lucida Sans"/>
          <w:b/>
          <w:bCs/>
          <w:color w:val="000000"/>
          <w:kern w:val="0"/>
          <w:sz w:val="24"/>
          <w:szCs w:val="24"/>
          <w:lang w:val="pt-BR" w:eastAsia="zh-CN" w:bidi="hi-IN"/>
        </w:rPr>
        <w:t xml:space="preserve">g) </w:t>
      </w:r>
      <w:r>
        <w:rPr>
          <w:rFonts w:ascii="Calibri" w:hAnsi="Calibri"/>
          <w:b/>
          <w:bCs/>
          <w:color w:val="000000"/>
          <w:sz w:val="24"/>
          <w:szCs w:val="24"/>
        </w:rPr>
        <w:t>Dados bancários (nº e nome do banco para pagamento, nº da agência bancária com dígito,  nº da conta bancária com dígito)</w:t>
      </w:r>
    </w:p>
    <w:p>
      <w:pPr>
        <w:pStyle w:val="2"/>
        <w:spacing w:before="1" w:after="0"/>
        <w:ind w:left="142" w:right="259" w:firstLine="0"/>
        <w:jc w:val="both"/>
        <w:rPr>
          <w:rFonts w:ascii="Calibri" w:hAnsi="Calibri"/>
          <w:b/>
          <w:bCs/>
        </w:rPr>
      </w:pPr>
      <w:r>
        <w:rPr>
          <w:rFonts w:ascii="Calibri" w:hAnsi="Calibri"/>
          <w:b/>
          <w:bCs/>
          <w:color w:val="111111"/>
          <w:sz w:val="24"/>
          <w:szCs w:val="24"/>
        </w:rPr>
        <w:t>VIII - Ato constitutivo, estatuto ou contrato social em vigor, devidamente registrado, em se tratando de sociedades comerciais, e, no caso de sociedades por ações, acompanhado de documentos de eleição de seus administradores, com a comprovação da publicação no Diário Oficial da ata arquivada, bem com o das respectivas alterações, caso existam.</w:t>
      </w:r>
    </w:p>
    <w:p>
      <w:pPr>
        <w:pStyle w:val="2"/>
        <w:spacing w:before="1" w:after="0"/>
        <w:ind w:left="142" w:right="259" w:firstLine="0"/>
        <w:jc w:val="both"/>
        <w:rPr>
          <w:color w:val="C9211E"/>
        </w:rPr>
      </w:pPr>
      <w:r>
        <w:rPr>
          <w:rFonts w:ascii="Calibri" w:hAnsi="Calibri"/>
          <w:b/>
          <w:bCs/>
        </w:rPr>
        <w:t xml:space="preserve">h) marca/fabricante; </w:t>
      </w:r>
    </w:p>
    <w:p>
      <w:pPr>
        <w:pStyle w:val="2"/>
        <w:spacing w:before="1" w:after="0"/>
        <w:ind w:left="142" w:right="259" w:firstLine="0"/>
        <w:jc w:val="both"/>
        <w:rPr>
          <w:color w:val="C9211E"/>
        </w:rPr>
      </w:pPr>
      <w:r>
        <w:rPr>
          <w:rFonts w:ascii="Calibri" w:hAnsi="Calibri"/>
          <w:b/>
          <w:bCs/>
        </w:rPr>
        <w:t xml:space="preserve">i) nome comercial; </w:t>
      </w:r>
    </w:p>
    <w:p>
      <w:pPr>
        <w:pStyle w:val="2"/>
        <w:spacing w:before="1" w:after="0"/>
        <w:ind w:left="142" w:right="259" w:firstLine="0"/>
        <w:jc w:val="both"/>
        <w:rPr>
          <w:color w:val="C9211E"/>
        </w:rPr>
      </w:pPr>
      <w:r>
        <w:rPr>
          <w:rFonts w:ascii="Calibri" w:hAnsi="Calibri"/>
          <w:b/>
          <w:bCs/>
        </w:rPr>
        <w:t xml:space="preserve">j) apresentação; </w:t>
      </w:r>
    </w:p>
    <w:p>
      <w:pPr>
        <w:pStyle w:val="2"/>
        <w:spacing w:before="1" w:after="0"/>
        <w:ind w:left="142" w:right="259" w:firstLine="0"/>
        <w:jc w:val="both"/>
        <w:rPr>
          <w:color w:val="C9211E"/>
        </w:rPr>
      </w:pPr>
      <w:r>
        <w:rPr>
          <w:rFonts w:ascii="Calibri" w:hAnsi="Calibri"/>
          <w:b/>
          <w:bCs/>
        </w:rPr>
        <w:t xml:space="preserve">k) país de origem do produto; </w:t>
      </w:r>
    </w:p>
    <w:p>
      <w:pPr>
        <w:pStyle w:val="2"/>
        <w:spacing w:before="1" w:after="0"/>
        <w:ind w:left="142" w:right="259" w:firstLine="0"/>
        <w:jc w:val="both"/>
        <w:rPr>
          <w:color w:val="C9211E"/>
        </w:rPr>
      </w:pPr>
      <w:r>
        <w:rPr>
          <w:rFonts w:ascii="Calibri" w:hAnsi="Calibri"/>
          <w:b/>
          <w:bCs/>
        </w:rPr>
        <w:t xml:space="preserve">l) Certificado de Registro do Produto junto ao Ministério da Saúde (MS) ou sua publicação no Diário Oficial da União referência do produto; </w:t>
      </w:r>
    </w:p>
    <w:p>
      <w:pPr>
        <w:pStyle w:val="2"/>
        <w:spacing w:before="1" w:after="0"/>
        <w:ind w:left="142" w:right="259" w:firstLine="0"/>
        <w:jc w:val="both"/>
        <w:rPr>
          <w:color w:val="C9211E"/>
        </w:rPr>
      </w:pPr>
      <w:r>
        <w:rPr>
          <w:rFonts w:ascii="Calibri" w:hAnsi="Calibri"/>
          <w:b/>
          <w:bCs/>
        </w:rPr>
        <w:t>m) Caso o item cotado seja isento do Certificado de Registro do Produto junto ao MS/ANVISA, a licitante deverá apresentar Certificado de Isenção junto ao MS ou sua publicação no Diário Oficial da União;</w:t>
      </w:r>
    </w:p>
    <w:p>
      <w:pPr>
        <w:pStyle w:val="2"/>
        <w:spacing w:before="1" w:after="0"/>
        <w:ind w:left="142" w:right="259" w:firstLine="0"/>
        <w:jc w:val="both"/>
        <w:rPr>
          <w:color w:val="C9211E"/>
        </w:rPr>
      </w:pPr>
      <w:r>
        <w:rPr>
          <w:rFonts w:ascii="Calibri" w:hAnsi="Calibri"/>
          <w:b/>
          <w:bCs/>
        </w:rPr>
        <w:t>n) Caso o Certificado de Registro do Produto junto ao MS/ANVISA esteja vencido, a licitante deverá apresentar, juntamente com este, o último pedido de revalidação (formulário de petição nº 2) do MS;</w:t>
      </w:r>
    </w:p>
    <w:p>
      <w:pPr>
        <w:pStyle w:val="2"/>
        <w:spacing w:before="1" w:after="0"/>
        <w:ind w:left="142" w:right="259" w:firstLine="0"/>
        <w:jc w:val="both"/>
        <w:rPr>
          <w:color w:val="C9211E"/>
        </w:rPr>
      </w:pPr>
      <w:r>
        <w:rPr>
          <w:rFonts w:ascii="Calibri" w:hAnsi="Calibri"/>
          <w:b/>
          <w:bCs/>
        </w:rPr>
        <w:t>o) Apresentar declaração, caso o item cotado não seja classificado pelo MS/ANVISA, ficando sujeita as sanções cabíveis, no caso de falsidade de sua declaração.</w:t>
      </w:r>
    </w:p>
    <w:p>
      <w:pPr>
        <w:pStyle w:val="2"/>
        <w:spacing w:before="1" w:after="0"/>
        <w:ind w:left="142" w:right="259" w:firstLine="0"/>
        <w:jc w:val="both"/>
        <w:rPr>
          <w:color w:val="C9211E"/>
        </w:rPr>
      </w:pPr>
      <w:r>
        <w:rPr>
          <w:rFonts w:ascii="Calibri" w:hAnsi="Calibri"/>
          <w:b/>
          <w:bCs/>
        </w:rPr>
        <w:t>p) se aplicável, a referência do produto.</w:t>
      </w:r>
      <w:r>
        <w:t xml:space="preserve">  </w:t>
      </w:r>
    </w:p>
    <w:p>
      <w:pPr>
        <w:pStyle w:val="2"/>
        <w:spacing w:before="1" w:after="0"/>
        <w:ind w:left="142" w:right="259" w:firstLine="0"/>
        <w:jc w:val="both"/>
        <w:rPr>
          <w:rFonts w:ascii="Calibri" w:hAnsi="Calibri"/>
          <w:b/>
          <w:bCs/>
        </w:rPr>
      </w:pPr>
    </w:p>
    <w:p>
      <w:pPr>
        <w:pStyle w:val="2"/>
        <w:spacing w:before="1" w:after="0"/>
        <w:ind w:left="142" w:right="259" w:firstLine="0"/>
        <w:jc w:val="both"/>
        <w:rPr>
          <w:color w:val="000000"/>
        </w:rPr>
      </w:pPr>
      <w:r>
        <w:rPr>
          <w:rFonts w:ascii="Calibri" w:hAnsi="Calibri"/>
          <w:b w:val="0"/>
          <w:bCs w:val="0"/>
          <w:color w:val="000000"/>
          <w:sz w:val="24"/>
          <w:szCs w:val="24"/>
        </w:rPr>
        <w:t>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4</w:t>
      </w:r>
      <w:r>
        <w:rPr>
          <w:rFonts w:ascii="Calibri" w:hAnsi="Calibri"/>
          <w:b w:val="0"/>
          <w:bCs w:val="0"/>
          <w:color w:val="000000"/>
          <w:sz w:val="24"/>
          <w:szCs w:val="24"/>
        </w:rPr>
        <w:t xml:space="preserve"> – Os documentos solicitados nos subitens 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3</w:t>
      </w:r>
      <w:r>
        <w:rPr>
          <w:rFonts w:ascii="Calibri" w:hAnsi="Calibri"/>
          <w:b w:val="0"/>
          <w:bCs w:val="0"/>
          <w:color w:val="000000"/>
          <w:sz w:val="24"/>
          <w:szCs w:val="24"/>
        </w:rPr>
        <w:t>, deverão ser inseridos como Anexos no Sistema Eletrônico.</w:t>
      </w:r>
    </w:p>
    <w:p>
      <w:pPr>
        <w:pStyle w:val="2"/>
        <w:spacing w:before="1" w:after="0"/>
        <w:ind w:left="142" w:right="259" w:firstLine="0"/>
        <w:jc w:val="both"/>
        <w:rPr>
          <w:color w:val="000000"/>
        </w:rPr>
      </w:pPr>
      <w:r>
        <w:rPr>
          <w:rFonts w:ascii="Calibri" w:hAnsi="Calibri" w:eastAsia="NSimSun" w:cs="Lucida Sans"/>
          <w:color w:val="000000"/>
          <w:kern w:val="0"/>
          <w:sz w:val="24"/>
          <w:szCs w:val="24"/>
          <w:lang w:val="pt-BR" w:eastAsia="zh-CN" w:bidi="hi-IN"/>
        </w:rPr>
        <w:t>9</w:t>
      </w:r>
      <w:r>
        <w:rPr>
          <w:rFonts w:ascii="Calibri" w:hAnsi="Calibri"/>
          <w:color w:val="000000"/>
        </w:rPr>
        <w:t>.</w:t>
      </w:r>
      <w:r>
        <w:rPr>
          <w:rFonts w:ascii="Calibri" w:hAnsi="Calibri" w:eastAsia="NSimSun" w:cs="Lucida Sans"/>
          <w:color w:val="000000"/>
          <w:kern w:val="0"/>
          <w:sz w:val="24"/>
          <w:szCs w:val="24"/>
          <w:lang w:val="pt-BR" w:eastAsia="zh-CN" w:bidi="hi-IN"/>
        </w:rPr>
        <w:t>3</w:t>
      </w:r>
      <w:r>
        <w:rPr>
          <w:rFonts w:hint="default" w:ascii="Calibri" w:hAnsi="Calibri" w:cs="Lucida Sans"/>
          <w:color w:val="000000"/>
          <w:kern w:val="0"/>
          <w:sz w:val="24"/>
          <w:szCs w:val="24"/>
          <w:lang w:val="pt-BR" w:eastAsia="zh-CN" w:bidi="hi-IN"/>
        </w:rPr>
        <w:t>5</w:t>
      </w:r>
      <w:r>
        <w:rPr>
          <w:rFonts w:ascii="Calibri" w:hAnsi="Calibri"/>
          <w:color w:val="000000"/>
        </w:rPr>
        <w:t xml:space="preserve"> – A equipe técnica poderá solicitar a apresentação de amostras do produto, quando julgar necessário, para análise técnica do material ofertado conforme Formulário de Análise de Qualidade Técnica – FAT (Anexo III). </w:t>
      </w:r>
    </w:p>
    <w:p>
      <w:pPr>
        <w:pStyle w:val="2"/>
        <w:spacing w:before="1" w:after="0"/>
        <w:ind w:left="142" w:right="259" w:firstLine="0"/>
        <w:jc w:val="both"/>
        <w:rPr>
          <w:color w:val="000000"/>
        </w:rPr>
      </w:pPr>
      <w:r>
        <w:rPr>
          <w:rFonts w:ascii="Calibri" w:hAnsi="Calibri" w:eastAsia="NSimSun" w:cs="Lucida Sans"/>
          <w:color w:val="000000"/>
          <w:kern w:val="0"/>
          <w:sz w:val="24"/>
          <w:szCs w:val="24"/>
          <w:lang w:val="pt-BR" w:eastAsia="zh-CN" w:bidi="hi-IN"/>
        </w:rPr>
        <w:t>9</w:t>
      </w:r>
      <w:r>
        <w:rPr>
          <w:rFonts w:ascii="Calibri" w:hAnsi="Calibri"/>
          <w:color w:val="000000"/>
        </w:rPr>
        <w:t>.</w:t>
      </w:r>
      <w:r>
        <w:rPr>
          <w:rFonts w:ascii="Calibri" w:hAnsi="Calibri" w:eastAsia="NSimSun" w:cs="Lucida Sans"/>
          <w:color w:val="000000"/>
          <w:kern w:val="0"/>
          <w:sz w:val="24"/>
          <w:szCs w:val="24"/>
          <w:lang w:val="pt-BR" w:eastAsia="zh-CN" w:bidi="hi-IN"/>
        </w:rPr>
        <w:t>3</w:t>
      </w:r>
      <w:r>
        <w:rPr>
          <w:rFonts w:hint="default" w:ascii="Calibri" w:hAnsi="Calibri" w:cs="Lucida Sans"/>
          <w:color w:val="000000"/>
          <w:kern w:val="0"/>
          <w:sz w:val="24"/>
          <w:szCs w:val="24"/>
          <w:lang w:val="pt-BR" w:eastAsia="zh-CN" w:bidi="hi-IN"/>
        </w:rPr>
        <w:t>5</w:t>
      </w:r>
      <w:r>
        <w:rPr>
          <w:rFonts w:ascii="Calibri" w:hAnsi="Calibri"/>
          <w:color w:val="000000"/>
        </w:rPr>
        <w:t>.1 – A(s) amostra(s), quando solicitadas, deverá(ão) ser entregues diretamente no Protocolo da SES – Rua Esteves Júnior, nº 160 (térreo) - Centro, Florianópolis/SC – CEP 88015-130, endereçadas à DPGC (4º andar) – Florianópolis – SC, das 13 às 18:30 horas, dentro do prazo estabelecido, após o recebimento do comunicado;</w:t>
      </w:r>
    </w:p>
    <w:p>
      <w:pPr>
        <w:pStyle w:val="2"/>
        <w:spacing w:before="1" w:after="0"/>
        <w:ind w:left="142" w:right="259" w:firstLine="0"/>
        <w:jc w:val="both"/>
        <w:rPr>
          <w:color w:val="000000"/>
        </w:rPr>
      </w:pPr>
      <w:r>
        <w:rPr>
          <w:rFonts w:ascii="Calibri" w:hAnsi="Calibri" w:eastAsia="NSimSun" w:cs="Lucida Sans"/>
          <w:color w:val="000000"/>
          <w:kern w:val="0"/>
          <w:sz w:val="24"/>
          <w:szCs w:val="24"/>
          <w:lang w:val="pt-BR" w:eastAsia="zh-CN" w:bidi="hi-IN"/>
        </w:rPr>
        <w:t>9</w:t>
      </w:r>
      <w:r>
        <w:rPr>
          <w:rFonts w:ascii="Calibri" w:hAnsi="Calibri"/>
          <w:color w:val="000000"/>
        </w:rPr>
        <w:t>.</w:t>
      </w:r>
      <w:r>
        <w:rPr>
          <w:rFonts w:ascii="Calibri" w:hAnsi="Calibri" w:eastAsia="NSimSun" w:cs="Lucida Sans"/>
          <w:color w:val="000000"/>
          <w:kern w:val="0"/>
          <w:sz w:val="24"/>
          <w:szCs w:val="24"/>
          <w:lang w:val="pt-BR" w:eastAsia="zh-CN" w:bidi="hi-IN"/>
        </w:rPr>
        <w:t>3</w:t>
      </w:r>
      <w:r>
        <w:rPr>
          <w:rFonts w:hint="default" w:ascii="Calibri" w:hAnsi="Calibri" w:cs="Lucida Sans"/>
          <w:color w:val="000000"/>
          <w:kern w:val="0"/>
          <w:sz w:val="24"/>
          <w:szCs w:val="24"/>
          <w:lang w:val="pt-BR" w:eastAsia="zh-CN" w:bidi="hi-IN"/>
        </w:rPr>
        <w:t>5</w:t>
      </w:r>
      <w:r>
        <w:rPr>
          <w:rFonts w:ascii="Calibri" w:hAnsi="Calibri"/>
          <w:color w:val="000000"/>
        </w:rPr>
        <w:t>.2 – As avaliações das amostras seguirão a Portaria 973, de 21 de setembro de 2022, desta Secretaria de Estado da Saúde e alterações posteriores;</w:t>
      </w:r>
    </w:p>
    <w:p>
      <w:pPr>
        <w:pStyle w:val="2"/>
        <w:spacing w:before="1" w:after="0"/>
        <w:ind w:left="142" w:right="259" w:firstLine="0"/>
        <w:jc w:val="both"/>
        <w:rPr>
          <w:color w:val="000000"/>
        </w:rPr>
      </w:pPr>
      <w:r>
        <w:rPr>
          <w:rFonts w:ascii="Calibri" w:hAnsi="Calibri"/>
          <w:color w:val="000000"/>
        </w:rPr>
        <w:t>9.3</w:t>
      </w:r>
      <w:r>
        <w:rPr>
          <w:rFonts w:hint="default" w:ascii="Calibri" w:hAnsi="Calibri"/>
          <w:color w:val="000000"/>
          <w:lang w:val="pt-BR"/>
        </w:rPr>
        <w:t>5</w:t>
      </w:r>
      <w:r>
        <w:rPr>
          <w:rFonts w:ascii="Calibri" w:hAnsi="Calibri"/>
          <w:color w:val="000000"/>
        </w:rPr>
        <w:t xml:space="preserve">.3 – O prazo para envio de amostras, caso solicitadas, é de 05 (cinco) dias. Em situações excepcionais, poderá a empresa realizar pedido de prorrogação deste prazo </w:t>
      </w:r>
      <w:r>
        <w:rPr>
          <w:rFonts w:ascii="Calibri" w:hAnsi="Calibri" w:eastAsia="NSimSun" w:cs="Lucida Sans"/>
          <w:color w:val="000000"/>
          <w:kern w:val="0"/>
          <w:sz w:val="24"/>
          <w:szCs w:val="24"/>
          <w:lang w:val="pt-BR" w:eastAsia="zh-CN" w:bidi="hi-IN"/>
        </w:rPr>
        <w:t>de</w:t>
      </w:r>
      <w:r>
        <w:rPr>
          <w:rFonts w:ascii="Calibri" w:hAnsi="Calibri"/>
          <w:color w:val="000000"/>
        </w:rPr>
        <w:t xml:space="preserve"> entrega por igual período. A solicitação, devidamente justificada, deverá ser encaminhada para o e-mail pregaoeletronico@saude.sc.gov.br, bem como realizada dentro do prazo inicial para a entrega das amostras.</w:t>
      </w:r>
    </w:p>
    <w:p>
      <w:pPr>
        <w:pStyle w:val="2"/>
        <w:spacing w:before="1" w:after="0"/>
        <w:ind w:left="142" w:right="259" w:firstLine="0"/>
        <w:jc w:val="both"/>
        <w:rPr>
          <w:color w:val="000000"/>
        </w:rPr>
      </w:pPr>
      <w:r>
        <w:rPr>
          <w:rFonts w:ascii="Calibri" w:hAnsi="Calibri" w:eastAsia="NSimSun" w:cs="Lucida Sans"/>
          <w:color w:val="000000"/>
          <w:kern w:val="0"/>
          <w:sz w:val="24"/>
          <w:szCs w:val="24"/>
          <w:lang w:val="pt-BR" w:eastAsia="zh-CN" w:bidi="hi-IN"/>
        </w:rPr>
        <w:t>9.3</w:t>
      </w:r>
      <w:r>
        <w:rPr>
          <w:rFonts w:hint="default" w:ascii="Calibri" w:hAnsi="Calibri" w:cs="Lucida Sans"/>
          <w:color w:val="000000"/>
          <w:kern w:val="0"/>
          <w:sz w:val="24"/>
          <w:szCs w:val="24"/>
          <w:lang w:val="pt-BR" w:eastAsia="zh-CN" w:bidi="hi-IN"/>
        </w:rPr>
        <w:t>6</w:t>
      </w:r>
      <w:r>
        <w:rPr>
          <w:rFonts w:ascii="Calibri" w:hAnsi="Calibri"/>
          <w:color w:val="000000"/>
        </w:rPr>
        <w:t xml:space="preserve"> – Será desclassificada no item, a proposta da licitante vencedora que desatender ao subitem </w:t>
      </w:r>
      <w:r>
        <w:rPr>
          <w:rFonts w:ascii="Calibri" w:hAnsi="Calibri" w:eastAsia="NSimSun" w:cs="Lucida Sans"/>
          <w:color w:val="000000"/>
          <w:kern w:val="0"/>
          <w:sz w:val="24"/>
          <w:szCs w:val="24"/>
          <w:lang w:val="pt-BR" w:eastAsia="zh-CN" w:bidi="hi-IN"/>
        </w:rPr>
        <w:t>9</w:t>
      </w:r>
      <w:r>
        <w:rPr>
          <w:rFonts w:ascii="Calibri" w:hAnsi="Calibri"/>
          <w:color w:val="000000"/>
        </w:rPr>
        <w:t>.</w:t>
      </w:r>
      <w:r>
        <w:rPr>
          <w:rFonts w:ascii="Calibri" w:hAnsi="Calibri" w:eastAsia="NSimSun" w:cs="Lucida Sans"/>
          <w:color w:val="000000"/>
          <w:kern w:val="0"/>
          <w:sz w:val="24"/>
          <w:szCs w:val="24"/>
          <w:lang w:val="pt-BR" w:eastAsia="zh-CN" w:bidi="hi-IN"/>
        </w:rPr>
        <w:t>3</w:t>
      </w:r>
      <w:r>
        <w:rPr>
          <w:rFonts w:hint="default" w:ascii="Calibri" w:hAnsi="Calibri" w:cs="Lucida Sans"/>
          <w:color w:val="000000"/>
          <w:kern w:val="0"/>
          <w:sz w:val="24"/>
          <w:szCs w:val="24"/>
          <w:lang w:val="pt-BR" w:eastAsia="zh-CN" w:bidi="hi-IN"/>
        </w:rPr>
        <w:t>3</w:t>
      </w:r>
      <w:r>
        <w:rPr>
          <w:rFonts w:ascii="Calibri" w:hAnsi="Calibri"/>
          <w:color w:val="000000"/>
        </w:rPr>
        <w:t xml:space="preserve"> e/ou apresente amostra(s) fora das especificações técnicas previstas no Anexo I deste Edital, estando sujeita às penalidades previstas.</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10</w:t>
      </w:r>
      <w:r>
        <w:rPr>
          <w:rFonts w:ascii="Calibri" w:hAnsi="Calibri"/>
          <w:b/>
          <w:bCs/>
          <w:color w:val="000000"/>
          <w:sz w:val="24"/>
          <w:szCs w:val="24"/>
          <w:lang w:val="pt-BR"/>
        </w:rPr>
        <w:t xml:space="preserve"> </w:t>
      </w:r>
      <w:r>
        <w:rPr>
          <w:rFonts w:ascii="Calibri" w:hAnsi="Calibri"/>
          <w:b/>
          <w:bCs/>
          <w:color w:val="000000"/>
          <w:sz w:val="24"/>
          <w:szCs w:val="24"/>
        </w:rPr>
        <w:t>– DA FASE DE JULGAMENTO DA PROPOSTA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 xml:space="preserve">10.1 - Será considerada primeira classificada, a proposta que, obedecendo às condições, especificações e procedimentos estabelecidos em conformidade com este edital, apresentar o </w:t>
      </w:r>
      <w:r>
        <w:rPr>
          <w:rFonts w:ascii="Calibri" w:hAnsi="Calibri"/>
          <w:b/>
          <w:bCs/>
          <w:color w:val="000000"/>
          <w:sz w:val="24"/>
          <w:szCs w:val="24"/>
        </w:rPr>
        <w:t xml:space="preserve">“MENOR PREÇO POR </w:t>
      </w:r>
      <w:r>
        <w:rPr>
          <w:rFonts w:ascii="Calibri" w:hAnsi="Calibri" w:eastAsia="NSimSun" w:cs="Lucida Sans"/>
          <w:b/>
          <w:bCs/>
          <w:color w:val="000000"/>
          <w:kern w:val="0"/>
          <w:sz w:val="24"/>
          <w:szCs w:val="24"/>
          <w:lang w:val="pt-BR" w:eastAsia="zh-CN" w:bidi="hi-IN"/>
        </w:rPr>
        <w:t>ITEM</w:t>
      </w:r>
      <w:r>
        <w:rPr>
          <w:rFonts w:ascii="Calibri" w:hAnsi="Calibri"/>
          <w:b/>
          <w:bCs/>
          <w:color w:val="000000"/>
          <w:sz w:val="24"/>
          <w:szCs w:val="24"/>
        </w:rPr>
        <w:t>”.</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 xml:space="preserve">10.2 - Encerrada a etapa de negociação, o pregoeiro verificará se o licitante provisoriamente classificado em primeiro lugar atende às condições de participação no certame, conforme previsto no art. 14 da Lei nº 14.133/2021, legislação correlata e no item </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do edital, especialmente quanto à existência de sanção que impeça a participação no certame ou a futura contratação, mediante a consulta aos seguintes cadastros: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10.2.1 – Da existência de registros impeditivos da contratação no Cadastro Nacional de Empresas Inidôneas e Suspensas (CEIS) (http://www.portaltransparencia.gov.br/sancoes/ceis);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10.2.2 – Da existência de registros impeditivos da contratação no Cadastro Nacional de Condenações Cíveis por Ato de Improbidade Administrativa mantido pelo Conselho Nacional de Justiça (www.cnj.jus.br/improbidade_adm/consultar_requerido.php).</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10.2.3 –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10.2.4 – Caso conste na consulta de situação do licitante a existência de ocorrências, o licitante será convocado para manifestação previamente a uma eventual desclassificação.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10.3 - Se o licitante primeiro classificado, após a fase de negociação, quando solicitado, não apresentar documento adicional e/ou amostra, e, quando enviado, os mesmos não atenderem ao exigido no edital o licitante terá sua proposta desclassificada.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10.4 – Serão desclassificados as propostas que: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 xml:space="preserve">a) não obedecerem às especificações técnicas contidas no </w:t>
      </w:r>
      <w:r>
        <w:rPr>
          <w:rFonts w:ascii="Calibri" w:hAnsi="Calibri" w:eastAsia="NSimSun" w:cs="Lucida Sans"/>
          <w:b w:val="0"/>
          <w:bCs w:val="0"/>
          <w:color w:val="000000"/>
          <w:kern w:val="0"/>
          <w:sz w:val="24"/>
          <w:szCs w:val="24"/>
          <w:lang w:val="pt-BR" w:eastAsia="zh-CN" w:bidi="hi-IN"/>
        </w:rPr>
        <w:t>Edital</w:t>
      </w:r>
      <w:r>
        <w:rPr>
          <w:rFonts w:ascii="Calibri" w:hAnsi="Calibri"/>
          <w:b w:val="0"/>
          <w:bCs w:val="0"/>
          <w:color w:val="000000"/>
          <w:sz w:val="24"/>
          <w:szCs w:val="24"/>
        </w:rPr>
        <w:t>;</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b) contiverem vícios insanáveis;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c) não tiverem sua exequibilidade demonstrada, quando exigido pela administração;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d) apresentarem desconformidade com quaisquer outras exigências deste Edital ou seus anexos, desde que insanável.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10.5 – Não serão consideradas, para efeitos de julgamento, quaisquer vantagens não previstas no edital.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10.6 – Se houver indícios de inexequibilidade da proposta de preço, ou em caso da necessidade de esclarecimentos complementares, poderão ser efetuadas diligências, para que a empresa comprove a exequibilidade da proposta.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10.7</w:t>
      </w:r>
      <w:r>
        <w:rPr>
          <w:rFonts w:ascii="Calibri" w:hAnsi="Calibri"/>
          <w:b w:val="0"/>
          <w:bCs w:val="0"/>
          <w:color w:val="000000"/>
          <w:sz w:val="24"/>
          <w:szCs w:val="24"/>
          <w:lang w:val="pt-BR"/>
        </w:rPr>
        <w:t xml:space="preserve"> -</w:t>
      </w:r>
      <w:r>
        <w:rPr>
          <w:rFonts w:ascii="Calibri" w:hAnsi="Calibri"/>
          <w:b w:val="0"/>
          <w:bCs w:val="0"/>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11</w:t>
      </w:r>
      <w:r>
        <w:rPr>
          <w:rFonts w:ascii="Calibri" w:hAnsi="Calibri"/>
          <w:b/>
          <w:bCs/>
          <w:color w:val="000000"/>
          <w:sz w:val="24"/>
          <w:szCs w:val="24"/>
          <w:lang w:val="pt-BR"/>
        </w:rPr>
        <w:t xml:space="preserve"> </w:t>
      </w:r>
      <w:r>
        <w:rPr>
          <w:rFonts w:ascii="Calibri" w:hAnsi="Calibri"/>
          <w:b/>
          <w:bCs/>
          <w:color w:val="000000"/>
          <w:sz w:val="24"/>
          <w:szCs w:val="24"/>
        </w:rPr>
        <w:t>– DOS DOCUMENTOS DE HABILITAÇÃO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 xml:space="preserve"> – Certificado de Cadastro de Fornecedores – CCF:</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A habilitação dos licitantes será analisada por meio do Certificado de Cadastro de Fornecedores – CCF, emitido pela Diretoria de Gestão de Licitações e Contratos - DGLC, da Secretaria de Estado da Administração, pertinente ao grupo-classe objeto desta licitação, para verificação da regularidade nos documentos por ele abrangidos, devendo apresentar prazo de validade, no mínimo, até a data limite fixada para a abertura das propostas.</w:t>
      </w:r>
    </w:p>
    <w:p>
      <w:pPr>
        <w:pStyle w:val="2"/>
        <w:spacing w:before="1" w:after="0"/>
        <w:ind w:left="142" w:right="259" w:firstLine="0"/>
        <w:jc w:val="both"/>
        <w:rPr>
          <w:b w:val="0"/>
          <w:bCs w:val="0"/>
          <w:color w:val="000000"/>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w:t>
      </w:r>
      <w:r>
        <w:rPr>
          <w:rFonts w:ascii="Calibri" w:hAnsi="Calibri"/>
          <w:b w:val="0"/>
          <w:bCs w:val="0"/>
          <w:color w:val="000000"/>
          <w:sz w:val="24"/>
          <w:szCs w:val="24"/>
          <w:lang w:val="pt-BR"/>
        </w:rPr>
        <w:t xml:space="preserve">2 </w:t>
      </w:r>
      <w:r>
        <w:rPr>
          <w:rFonts w:ascii="Calibri" w:hAnsi="Calibri"/>
          <w:b w:val="0"/>
          <w:bCs w:val="0"/>
          <w:color w:val="000000"/>
          <w:sz w:val="24"/>
          <w:szCs w:val="24"/>
        </w:rPr>
        <w:t xml:space="preserve">– Os documentos exigidos para habilitação, que não estejam contemplados no CCF, deverão ser apresentados juntamente a proposta atualizada, por meio eletrônico, após convocação do pregoeiro no Sistema eletrônico via “Chat”, em </w:t>
      </w:r>
      <w:r>
        <w:rPr>
          <w:rFonts w:ascii="Calibri" w:hAnsi="Calibri" w:eastAsia="NSimSun" w:cs="Lucida Sans"/>
          <w:b w:val="0"/>
          <w:bCs w:val="0"/>
          <w:color w:val="000000"/>
          <w:kern w:val="0"/>
          <w:sz w:val="24"/>
          <w:szCs w:val="24"/>
          <w:lang w:val="pt-BR" w:eastAsia="zh-CN" w:bidi="hi-IN"/>
        </w:rPr>
        <w:t>prazo definido pelo mesmo</w:t>
      </w:r>
      <w:r>
        <w:rPr>
          <w:rFonts w:ascii="Calibri" w:hAnsi="Calibri"/>
          <w:b w:val="0"/>
          <w:bCs w:val="0"/>
          <w:color w:val="000000"/>
          <w:sz w:val="24"/>
          <w:szCs w:val="24"/>
        </w:rPr>
        <w:t>, inseridos como Anexos no Sistema eletrônico.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w:t>
      </w:r>
      <w:r>
        <w:rPr>
          <w:rFonts w:ascii="Calibri" w:hAnsi="Calibri"/>
          <w:b w:val="0"/>
          <w:bCs w:val="0"/>
          <w:color w:val="000000"/>
          <w:sz w:val="24"/>
          <w:szCs w:val="24"/>
          <w:lang w:val="pt-BR"/>
        </w:rPr>
        <w:t>3</w:t>
      </w:r>
      <w:r>
        <w:rPr>
          <w:rFonts w:ascii="Calibri" w:hAnsi="Calibri"/>
          <w:b w:val="0"/>
          <w:bCs w:val="0"/>
          <w:color w:val="000000"/>
          <w:sz w:val="24"/>
          <w:szCs w:val="24"/>
        </w:rPr>
        <w:t xml:space="preserve"> – O pregoeiro ou equipe de apoio, verificará, nos sítios oficiais de órgãos e entidades emissores de certidões, a autenticidade dos documentos solicitados e enviados, constituindo meio legal de prova.</w:t>
      </w: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11.2 – Da regularidade fiscal e trabalhista das microempresas e empresas de pequeno porte: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 xml:space="preserve"> – A regularidade fiscal e trabalhista das microempresas e empresas de pequeno porte que apresentem restrição (documento vencido) no Certificado de Cadastro de Fornecedores – CCF,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1</w:t>
      </w:r>
      <w:r>
        <w:rPr>
          <w:rFonts w:ascii="Calibri" w:hAnsi="Calibri"/>
          <w:b w:val="0"/>
          <w:bCs w:val="0"/>
          <w:color w:val="000000"/>
          <w:sz w:val="24"/>
          <w:szCs w:val="24"/>
        </w:rPr>
        <w:t>.1 –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2</w:t>
      </w:r>
      <w:r>
        <w:rPr>
          <w:rFonts w:ascii="Calibri" w:hAnsi="Calibri"/>
          <w:b w:val="0"/>
          <w:bCs w:val="0"/>
          <w:color w:val="000000"/>
          <w:sz w:val="24"/>
          <w:szCs w:val="24"/>
        </w:rPr>
        <w:t xml:space="preserve"> – Os comprovantes de regularidade fiscal e trabalhista exigidos deverão apresentar prazo de validade, no mínimo, até a data limite fixada para a abertura das propostas. Não constando a vigência, será considerado o prazo de 90 (noventa) dias da data da emissão.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3</w:t>
      </w:r>
      <w:r>
        <w:rPr>
          <w:rFonts w:ascii="Calibri" w:hAnsi="Calibri"/>
          <w:b w:val="0"/>
          <w:bCs w:val="0"/>
          <w:color w:val="000000"/>
          <w:sz w:val="24"/>
          <w:szCs w:val="24"/>
        </w:rPr>
        <w:t xml:space="preserve"> – A verificação posterior de que, nos termos da lei, o declarante não se enquadra como microempresa ou empresa de pequeno porte, caracterizará crime de fraude à licitação, sujeitando-se as sanções previstas no na Lei n.º 14.133/2021.</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w:t>
      </w:r>
      <w:r>
        <w:rPr>
          <w:rFonts w:ascii="Calibri" w:hAnsi="Calibri"/>
          <w:b w:val="0"/>
          <w:bCs w:val="0"/>
          <w:color w:val="000000"/>
          <w:sz w:val="24"/>
          <w:szCs w:val="24"/>
          <w:lang w:val="pt-BR"/>
        </w:rPr>
        <w:t xml:space="preserve">4 </w:t>
      </w:r>
      <w:r>
        <w:rPr>
          <w:rFonts w:ascii="Calibri" w:hAnsi="Calibri"/>
          <w:b w:val="0"/>
          <w:bCs w:val="0"/>
          <w:color w:val="000000"/>
          <w:sz w:val="24"/>
          <w:szCs w:val="24"/>
        </w:rPr>
        <w:t>– Os documentos quando solicitados por meio eletrônico, poderão ser inseridos como Anexos no Sistema eletrônico ou pelo endereço informado pelo pregoeiro.</w:t>
      </w:r>
    </w:p>
    <w:p>
      <w:pPr>
        <w:pStyle w:val="2"/>
        <w:spacing w:before="1" w:after="0"/>
        <w:ind w:left="142" w:right="259" w:firstLine="0"/>
        <w:jc w:val="both"/>
        <w:rPr>
          <w:b w:val="0"/>
          <w:bCs w:val="0"/>
          <w:color w:val="000000"/>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Todos documentos deverão ser apresentados na língua nacional do Brasil, ou original traduzido por tradutor oficial, juntamente a proposta atualizada, por meio eletrônico, em </w:t>
      </w:r>
      <w:r>
        <w:rPr>
          <w:rFonts w:ascii="Calibri" w:hAnsi="Calibri" w:eastAsia="NSimSun" w:cs="Lucida Sans"/>
          <w:b w:val="0"/>
          <w:bCs w:val="0"/>
          <w:color w:val="000000"/>
          <w:kern w:val="0"/>
          <w:sz w:val="24"/>
          <w:szCs w:val="24"/>
          <w:lang w:val="pt-BR" w:eastAsia="zh-CN" w:bidi="hi-IN"/>
        </w:rPr>
        <w:t xml:space="preserve">prazo definido pelo pregoeiro </w:t>
      </w:r>
      <w:r>
        <w:rPr>
          <w:rFonts w:ascii="Calibri" w:hAnsi="Calibri"/>
          <w:b w:val="0"/>
          <w:bCs w:val="0"/>
          <w:color w:val="000000"/>
          <w:sz w:val="24"/>
          <w:szCs w:val="24"/>
        </w:rPr>
        <w:t xml:space="preserve">após convocação do </w:t>
      </w:r>
      <w:r>
        <w:rPr>
          <w:rFonts w:ascii="Calibri" w:hAnsi="Calibri" w:eastAsia="NSimSun" w:cs="Lucida Sans"/>
          <w:b w:val="0"/>
          <w:bCs w:val="0"/>
          <w:color w:val="000000"/>
          <w:kern w:val="0"/>
          <w:sz w:val="24"/>
          <w:szCs w:val="24"/>
          <w:lang w:val="pt-BR" w:eastAsia="zh-CN" w:bidi="hi-IN"/>
        </w:rPr>
        <w:t>mesmo</w:t>
      </w:r>
      <w:r>
        <w:rPr>
          <w:rFonts w:ascii="Calibri" w:hAnsi="Calibri"/>
          <w:b w:val="0"/>
          <w:bCs w:val="0"/>
          <w:color w:val="000000"/>
          <w:sz w:val="24"/>
          <w:szCs w:val="24"/>
        </w:rPr>
        <w:t xml:space="preserve"> via “Chat”, inseridos como Anexos no Sistema eletrônico.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4</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Após o envio dos documentos, o pregoeiro verificará nos sítios oficiais de órgãos e entidades emissores de certidões, os documentos correspondentes, constituindo meio legal de prova.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5</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Quando permitida a participação de consórcio de empresas, a habilitação técnica, quando exigida, será feita por meio do somatório dos quantitativos de cada consorciado e, para efeito de habilitação econômico- financeira, quando exigida, será observado o somatório dos valores de cada consorciado.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5</w:t>
      </w:r>
      <w:r>
        <w:rPr>
          <w:rFonts w:ascii="Calibri" w:hAnsi="Calibri"/>
          <w:b w:val="0"/>
          <w:bCs w:val="0"/>
          <w:color w:val="000000"/>
          <w:sz w:val="24"/>
          <w:szCs w:val="24"/>
        </w:rPr>
        <w:t>.</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 xml:space="preserve"> - Os documentos exigidos para fins de habilitação poderão ser substituídos por registro cadastral emitido por órgão ou entidade pública, desde que o registro tenha sido feito em obediência ao disposto na Lei nº 14.133/2021.</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6</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Será verificado se o licitante apresentou declaração de que atende aos requisitos de habilitação, e o declarante responderá pela veracidade das informações prestadas, na forma da lei (art. 63, I, da Lei nº 14.133/2021).</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7</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Somente haverá a necessidade de comprovação do preenchimento de requisitos mediante apresentação dos documentos originais não-digitais quando houver dúvida em relação à integridade do documento digital ou quando a lei expressamente o exigir.</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8</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A verificação pelo pregoeiro, em sítios eletrônicos oficiais de órgãos e entidades emissores de certidões constitui meio legal de prova, para fins de habilitação.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9</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Após a entrega dos documentos para habilitação, não será permitida a substituição ou a apresentação de novos documentos, salvo em sede de diligência, para (Lei 14.133/21, art. 64, e IN 73/2022, art. 39, §4º):</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9</w:t>
      </w:r>
      <w:r>
        <w:rPr>
          <w:rFonts w:ascii="Calibri" w:hAnsi="Calibri"/>
          <w:b w:val="0"/>
          <w:bCs w:val="0"/>
          <w:color w:val="000000"/>
          <w:sz w:val="24"/>
          <w:szCs w:val="24"/>
        </w:rPr>
        <w:t>.1 - 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cs="Lucida Sans"/>
          <w:b w:val="0"/>
          <w:bCs w:val="0"/>
          <w:color w:val="000000"/>
          <w:kern w:val="0"/>
          <w:sz w:val="24"/>
          <w:szCs w:val="24"/>
          <w:lang w:val="pt-BR" w:eastAsia="zh-CN" w:bidi="hi-IN"/>
        </w:rPr>
        <w:t>10</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11.</w:t>
      </w:r>
      <w:r>
        <w:rPr>
          <w:rFonts w:ascii="Calibri" w:hAnsi="Calibri" w:eastAsia="NSimSun" w:cs="Lucida Sans"/>
          <w:b w:val="0"/>
          <w:bCs w:val="0"/>
          <w:color w:val="000000"/>
          <w:kern w:val="0"/>
          <w:sz w:val="24"/>
          <w:szCs w:val="24"/>
          <w:lang w:val="pt-BR" w:eastAsia="zh-CN" w:bidi="hi-IN"/>
        </w:rPr>
        <w:t>1</w:t>
      </w:r>
      <w:r>
        <w:rPr>
          <w:rFonts w:ascii="Calibri" w:hAnsi="Calibri" w:cs="Lucida Sans"/>
          <w:b w:val="0"/>
          <w:bCs w:val="0"/>
          <w:color w:val="000000"/>
          <w:kern w:val="0"/>
          <w:sz w:val="24"/>
          <w:szCs w:val="24"/>
          <w:lang w:val="pt-BR" w:eastAsia="zh-CN" w:bidi="hi-IN"/>
        </w:rPr>
        <w:t xml:space="preserve">1 </w:t>
      </w:r>
      <w:r>
        <w:rPr>
          <w:rFonts w:ascii="Calibri" w:hAnsi="Calibri" w:eastAsia="NSimSun" w:cs="Lucida Sans"/>
          <w:b w:val="0"/>
          <w:bCs w:val="0"/>
          <w:color w:val="000000"/>
          <w:kern w:val="0"/>
          <w:sz w:val="24"/>
          <w:szCs w:val="24"/>
          <w:lang w:val="pt-BR" w:eastAsia="zh-CN" w:bidi="hi-IN"/>
        </w:rPr>
        <w:t>-</w:t>
      </w:r>
      <w:r>
        <w:rPr>
          <w:rFonts w:ascii="Calibri" w:hAnsi="Calibri"/>
          <w:b w:val="0"/>
          <w:bCs w:val="0"/>
          <w:color w:val="000000"/>
          <w:sz w:val="24"/>
          <w:szCs w:val="24"/>
        </w:rPr>
        <w:t xml:space="preserve"> Na hipótese de o licitante não atender às exigências para habilitação, o pregoeiro examinará a proposta subsequente e assim sucessivamente, na ordem de classificação, até a apuração de uma proposta que atenda ao presente edital.</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12</w:t>
      </w:r>
      <w:r>
        <w:rPr>
          <w:rFonts w:ascii="Calibri" w:hAnsi="Calibri"/>
          <w:b/>
          <w:bCs/>
          <w:color w:val="000000"/>
          <w:sz w:val="24"/>
          <w:szCs w:val="24"/>
          <w:lang w:val="pt-BR"/>
        </w:rPr>
        <w:t xml:space="preserve"> </w:t>
      </w:r>
      <w:r>
        <w:rPr>
          <w:rFonts w:ascii="Calibri" w:hAnsi="Calibri"/>
          <w:b/>
          <w:bCs/>
          <w:color w:val="000000"/>
          <w:sz w:val="24"/>
          <w:szCs w:val="24"/>
        </w:rPr>
        <w:t>– DOS RECURSOS ADMINISTRATIVOS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 xml:space="preserve"> – Após a fase de habilitação, encerrados os itens/lotes e declarado o vencedor, qualquer licitante poderá manifestar sua intenção de recorrer contra decisões do Pregoeiro, de forma imediata e motivada, em campo próprio do Sistema, sendo-lhe concedido o prazo de 03 (três) dias </w:t>
      </w:r>
      <w:r>
        <w:rPr>
          <w:rFonts w:hint="default" w:ascii="Calibri" w:hAnsi="Calibri"/>
          <w:b w:val="0"/>
          <w:bCs w:val="0"/>
          <w:color w:val="000000"/>
          <w:sz w:val="24"/>
          <w:szCs w:val="24"/>
          <w:lang w:val="pt-BR"/>
        </w:rPr>
        <w:t xml:space="preserve">úteis </w:t>
      </w:r>
      <w:r>
        <w:rPr>
          <w:rFonts w:ascii="Calibri" w:hAnsi="Calibri"/>
          <w:b w:val="0"/>
          <w:bCs w:val="0"/>
          <w:color w:val="000000"/>
          <w:sz w:val="24"/>
          <w:szCs w:val="24"/>
        </w:rPr>
        <w:t>para a envio das razões do recurso, ficando os demais licitantes, desde logo, intimados a enviar contrarrazões em igual número de dias, que começarão a correr do término do prazo da recorrente, sendo-lhes assegurada vista dos autos.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12.1.1 – A  falta  de  manifestação  imediata  e  motivada  do  licitante  quanto  à  intenção  de recorrer,  nos  termos  do  subitem  12.1,  importará  na  decadência  desse  direito,  ficando  o pregoeiro autorizado encaminhar o processo devidamente instruído à autoridade superior para adjudicar o objeto ao licitante declarado vencedor.</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1</w:t>
      </w:r>
      <w:r>
        <w:rPr>
          <w:rFonts w:ascii="Calibri" w:hAnsi="Calibri"/>
          <w:b w:val="0"/>
          <w:bCs w:val="0"/>
          <w:color w:val="000000"/>
          <w:sz w:val="24"/>
          <w:szCs w:val="24"/>
        </w:rPr>
        <w:t>.2 – Para fins deste edital considera-se “imediata”, a manifestação realizada no prazo de 30 (trinta) minutos, contado a partir do encerramento da fase de habilitação.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 O acolhimento de recurso importará na invalidação apenas dos atos insuscetíveis de aproveitamento.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 xml:space="preserve"> – O Sistema permite, após salvar as informações iniciais e emitir o número de registro do recurso, inserir Anexos antes de fechar a janela.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.1 – Os recursos registrados no Sistema, constituem meio legal de prova, desde que devidamente assinados, não sendo obrigatório o encaminhamento do original.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4</w:t>
      </w:r>
      <w:r>
        <w:rPr>
          <w:rFonts w:ascii="Calibri" w:hAnsi="Calibri"/>
          <w:b w:val="0"/>
          <w:bCs w:val="0"/>
          <w:color w:val="000000"/>
          <w:sz w:val="24"/>
          <w:szCs w:val="24"/>
        </w:rPr>
        <w:t xml:space="preserve"> – Não serão conhecidos os recursos apresentados fora do prazo legal.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12.</w:t>
      </w:r>
      <w:r>
        <w:rPr>
          <w:rFonts w:ascii="Calibri" w:hAnsi="Calibri" w:eastAsia="NSimSun" w:cs="Lucida Sans"/>
          <w:b w:val="0"/>
          <w:bCs w:val="0"/>
          <w:color w:val="000000"/>
          <w:kern w:val="0"/>
          <w:sz w:val="24"/>
          <w:szCs w:val="24"/>
          <w:lang w:val="pt-BR" w:eastAsia="zh-CN" w:bidi="hi-IN"/>
        </w:rPr>
        <w:t>5</w:t>
      </w:r>
      <w:r>
        <w:rPr>
          <w:rFonts w:ascii="Calibri" w:hAnsi="Calibri"/>
          <w:b w:val="0"/>
          <w:bCs w:val="0"/>
          <w:color w:val="000000"/>
          <w:sz w:val="24"/>
          <w:szCs w:val="24"/>
        </w:rPr>
        <w:t xml:space="preserve"> – Decididos os recursos e constatada a regularidade dos atos praticados, a autoridade competente adjudicará o objeto e homologará o procedimento licitatório.</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13</w:t>
      </w:r>
      <w:r>
        <w:rPr>
          <w:rFonts w:ascii="Calibri" w:hAnsi="Calibri"/>
          <w:b/>
          <w:bCs/>
          <w:color w:val="000000"/>
          <w:sz w:val="24"/>
          <w:szCs w:val="24"/>
          <w:lang w:val="pt-BR"/>
        </w:rPr>
        <w:t xml:space="preserve"> </w:t>
      </w:r>
      <w:r>
        <w:rPr>
          <w:rFonts w:ascii="Calibri" w:hAnsi="Calibri"/>
          <w:b/>
          <w:bCs/>
          <w:color w:val="000000"/>
          <w:sz w:val="24"/>
          <w:szCs w:val="24"/>
        </w:rPr>
        <w:t>– DAS INFRAÇÕES ADMINISTRATIVAS E SANÇÕES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13.1 - Comete infração administrativa, nos termos da lei, o licitante que, com dolo ou culpa: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13.1.1 - deixar de entregar a documentação exigida para o certame ou não entregar qualquer documento que tenha sido solicitado pelo/a pregoeiro/a durante o certame;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13.1.2 - Salvo em decorrência de fato superveniente devidamente justificado, não mantiver a proposta em especial quando: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13.1.2.1 - não enviar a proposta adequada ao último lance ofertado ou após a negociação;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13.1.2.2 - recusar-se a enviar o detalhamento da proposta quando exigível;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13.1.2.3 - pedir para ser desclassificado quando encerrada a etapa competitiva; ou</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13.1.2.4 -  deixar de apresentar amostra;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13.1.2.5 -  apresentar proposta ou amostra em desacordo com as especificações do edital;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13.1.3 -  não celebrar o contrato ou não entregar a documentação exigida para a contratação, quando convocado dentro do prazo de validade de sua proposta;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13.1.3.1 -  recusar-se, sem justificativa, a assinar o contrato ou a ata de registro de preço, ou a aceitar ou retirar o instrumento equivalente no prazo estabelecido pela Administração;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13.1.4 -  apresentar declaração ou documentação falsa exigida para o certame ou prestar declaração falsa durante a licitação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13.1.5 -  fraudar a licitação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13.1.6 -  comportar-se de modo inidôneo ou cometer fraude de qualquer natureza, em especial quando: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13.1.6.1 -  agir em conluio ou em desconformidade com a lei;</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13.1.6.2 -  induzir deliberadamente a erro no julgamento;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13.1.6.3 -  apresentar amostra falsificada ou deteriorada;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13.1.7 -  praticar atos ilícitos com vistas a frustrar os objetivos da licitação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13.1.8 -  praticar ato lesivo previsto no art. 5º da Lei n.º 12.846, de 2013.</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lang w:val="pt-BR"/>
        </w:rPr>
        <w:t xml:space="preserve">13.2 - </w:t>
      </w:r>
      <w:r>
        <w:rPr>
          <w:rFonts w:ascii="Calibri" w:hAnsi="Calibri"/>
          <w:b w:val="0"/>
          <w:bCs w:val="0"/>
          <w:color w:val="000000"/>
          <w:sz w:val="24"/>
          <w:szCs w:val="24"/>
        </w:rPr>
        <w:t>Com fulcro na Lei nº 14.133, de 2021, a Administração poderá, garantida a prévia defesa, aplicar aos licitantes e/ou adjudicatários as seguintes sanções, sem prejuízo das responsabilidades civil e criminal: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13.2.1 -  advertência;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13.2.2 -  multa;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w:t>
      </w:r>
      <w:r>
        <w:rPr>
          <w:rFonts w:ascii="Calibri" w:hAnsi="Calibri"/>
          <w:b w:val="0"/>
          <w:bCs w:val="0"/>
          <w:color w:val="000000"/>
          <w:sz w:val="24"/>
          <w:szCs w:val="24"/>
          <w:lang w:val="pt-BR"/>
        </w:rPr>
        <w:t>2</w:t>
      </w:r>
      <w:r>
        <w:rPr>
          <w:rFonts w:ascii="Calibri" w:hAnsi="Calibri"/>
          <w:b w:val="0"/>
          <w:bCs w:val="0"/>
          <w:color w:val="000000"/>
          <w:sz w:val="24"/>
          <w:szCs w:val="24"/>
        </w:rPr>
        <w:t>.3 -  impedimento de licitar e contratar 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13.2.</w:t>
      </w:r>
      <w:r>
        <w:rPr>
          <w:rFonts w:ascii="Calibri" w:hAnsi="Calibri"/>
          <w:b w:val="0"/>
          <w:bCs w:val="0"/>
          <w:color w:val="000000"/>
          <w:sz w:val="24"/>
          <w:szCs w:val="24"/>
          <w:lang w:val="pt-BR"/>
        </w:rPr>
        <w:t>4</w:t>
      </w:r>
      <w:r>
        <w:rPr>
          <w:rFonts w:ascii="Calibri" w:hAnsi="Calibri"/>
          <w:b w:val="0"/>
          <w:bCs w:val="0"/>
          <w:color w:val="000000"/>
          <w:sz w:val="24"/>
          <w:szCs w:val="24"/>
        </w:rPr>
        <w:t xml:space="preserve"> -  declaração de inidoneidade para licitar ou contratar, enquanto perdurarem os motivos determinantes da punição ou até que seja promovida sua reabilitação perante a própria autoridade que aplicou a penalidade.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13.3 - Na aplicação das sanções serão considerados: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13.3.1 -  a natureza e a gravidade da infração cometida.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13.3.2 -  as peculiaridades do caso concreto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13.3.3 -  as circunstâncias agravantes ou atenuantes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13.3.4 -  os danos que dela provierem para a Administração Pública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13.3.5 -  a implantação ou o aperfeiçoamento de programa de integridade, conforme normas e orientações dos órgãos de controle.</w:t>
      </w:r>
    </w:p>
    <w:p>
      <w:pPr>
        <w:pStyle w:val="2"/>
        <w:spacing w:before="1" w:after="0"/>
        <w:ind w:left="142" w:right="259" w:firstLine="0"/>
        <w:jc w:val="both"/>
        <w:rPr>
          <w:color w:val="000000"/>
        </w:rPr>
      </w:pPr>
      <w:r>
        <w:rPr>
          <w:rFonts w:ascii="Calibri" w:hAnsi="Calibri"/>
          <w:b w:val="0"/>
          <w:bCs w:val="0"/>
          <w:color w:val="000000"/>
          <w:sz w:val="24"/>
          <w:szCs w:val="24"/>
        </w:rPr>
        <w:t xml:space="preserve">13.4 -  A multa será recolhida em percentual de 0,5% a 30% incidente sobre o valor do contrato licitado, recolhida no prazo máximo de </w:t>
      </w:r>
      <w:r>
        <w:rPr>
          <w:rFonts w:ascii="Calibri" w:hAnsi="Calibri" w:eastAsia="NSimSun" w:cs="Lucida Sans"/>
          <w:b w:val="0"/>
          <w:bCs w:val="0"/>
          <w:color w:val="000000"/>
          <w:kern w:val="0"/>
          <w:sz w:val="24"/>
          <w:szCs w:val="24"/>
          <w:lang w:val="pt-BR" w:eastAsia="zh-CN" w:bidi="hi-IN"/>
        </w:rPr>
        <w:t>30 (trinta) dias</w:t>
      </w:r>
      <w:r>
        <w:rPr>
          <w:rFonts w:ascii="Calibri" w:hAnsi="Calibri"/>
          <w:b w:val="0"/>
          <w:bCs w:val="0"/>
          <w:color w:val="000000"/>
          <w:sz w:val="24"/>
          <w:szCs w:val="24"/>
        </w:rPr>
        <w:t>, a contar da comunicação oficial.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13.4.1 -  Para as infrações previstas nos itens 13.1.1, 13.1.2 e 13.1.3, a multa será de 0,5% a 15% do valor do contrato licitado.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13.4.2 -  Para as infrações previstas nos itens 13.1.4, 13.1.5, 13.1.6, 13.1.7 e 13.1.8, a multa será de 15% a 30% do valor do contrato licitado.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13.5 -  As sanções de advertência, impedimento de licitar e contratar e declaração de inidoneidade para licitar ou contratar poderão ser aplicadas, cumulativamente ou não, à penalidade de multa.</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13.6 -  Na aplicação da sanção de multa será facultada a defesa do interessado no prazo de 15 (quinze) dias úteis, contado da data de sua intimação.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13.7 -  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13.8 -  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13.9 -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13.10 -  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13.13 -  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14 – DO REGISTRO DE PREÇOS</w:t>
      </w:r>
      <w:r>
        <w:rPr>
          <w:rFonts w:ascii="Calibri" w:hAnsi="Calibri"/>
          <w:b w:val="0"/>
          <w:bCs w:val="0"/>
          <w:color w:val="000000"/>
          <w:sz w:val="24"/>
          <w:szCs w:val="24"/>
        </w:rPr>
        <w:br w:type="textWrapping"/>
      </w:r>
      <w:r>
        <w:rPr>
          <w:rFonts w:ascii="Calibri" w:hAnsi="Calibri"/>
          <w:b w:val="0"/>
          <w:bCs w:val="0"/>
          <w:color w:val="000000"/>
          <w:sz w:val="24"/>
          <w:szCs w:val="24"/>
        </w:rPr>
        <w:t>14.1 – Os atos do presente processo serão publicados no Diário Oficial do Estado de Santa Catarina (DOE/SC), bem como no Portal de Compras e Licitações da SES (www.portaldecompras.sc.gov.br);</w:t>
      </w:r>
      <w:r>
        <w:rPr>
          <w:rFonts w:ascii="Calibri" w:hAnsi="Calibri"/>
          <w:b w:val="0"/>
          <w:bCs w:val="0"/>
          <w:color w:val="000000"/>
          <w:sz w:val="24"/>
          <w:szCs w:val="24"/>
        </w:rPr>
        <w:br w:type="textWrapping"/>
      </w:r>
      <w:r>
        <w:rPr>
          <w:rFonts w:ascii="Calibri" w:hAnsi="Calibri"/>
          <w:b w:val="0"/>
          <w:bCs w:val="0"/>
          <w:color w:val="000000"/>
          <w:sz w:val="24"/>
          <w:szCs w:val="24"/>
        </w:rPr>
        <w:t>14.2 – Os atos de homologação desta licitação serão de competência do Exmo. Sr. Secretário de Estado da Saúde ou às autoridades delegadas;</w:t>
      </w:r>
      <w:r>
        <w:rPr>
          <w:rFonts w:ascii="Calibri" w:hAnsi="Calibri"/>
          <w:b w:val="0"/>
          <w:bCs w:val="0"/>
          <w:color w:val="000000"/>
          <w:sz w:val="24"/>
          <w:szCs w:val="24"/>
        </w:rPr>
        <w:br w:type="textWrapping"/>
      </w:r>
      <w:r>
        <w:rPr>
          <w:rFonts w:ascii="Calibri" w:hAnsi="Calibri"/>
          <w:b w:val="0"/>
          <w:bCs w:val="0"/>
          <w:color w:val="000000"/>
          <w:sz w:val="24"/>
          <w:szCs w:val="24"/>
        </w:rPr>
        <w:t xml:space="preserve">14.3 – 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b w:val="0"/>
          <w:bCs w:val="0"/>
          <w:color w:val="000000"/>
          <w:sz w:val="24"/>
          <w:szCs w:val="24"/>
        </w:rPr>
        <w:t xml:space="preserve"> por igual período, na forma do artigo 84 </w:t>
      </w:r>
      <w:r>
        <w:rPr>
          <w:rFonts w:ascii="Calibri" w:hAnsi="Calibri" w:cs="Calibri"/>
          <w:b w:val="0"/>
          <w:bCs w:val="0"/>
          <w:color w:val="000000"/>
          <w:sz w:val="24"/>
          <w:szCs w:val="24"/>
        </w:rPr>
        <w:t>da Lei n° 14.133, de 2021.</w:t>
      </w:r>
      <w:r>
        <w:rPr>
          <w:rFonts w:ascii="Calibri" w:hAnsi="Calibri"/>
          <w:b w:val="0"/>
          <w:bCs w:val="0"/>
          <w:color w:val="000000"/>
          <w:sz w:val="24"/>
          <w:szCs w:val="24"/>
        </w:rPr>
        <w:br w:type="textWrapping"/>
      </w:r>
      <w:r>
        <w:rPr>
          <w:rFonts w:ascii="Calibri" w:hAnsi="Calibri"/>
          <w:b w:val="0"/>
          <w:bCs w:val="0"/>
          <w:color w:val="000000"/>
          <w:sz w:val="24"/>
          <w:szCs w:val="24"/>
        </w:rPr>
        <w:t>14.3.1 – Dentro do prazo de vigência do Registro de Preços, as licitantes que tiverem seus preços registrados ficarão obrigadas ao fornecimento, desde que obedecidas às condições deste Edital e da respectiva Ata de Registro de Preços;</w:t>
      </w:r>
    </w:p>
    <w:p>
      <w:pPr>
        <w:pStyle w:val="2"/>
        <w:spacing w:before="1" w:after="0"/>
        <w:ind w:left="142" w:right="259" w:firstLine="0"/>
        <w:jc w:val="both"/>
        <w:rPr>
          <w:rFonts w:ascii="Calibri" w:hAnsi="Calibri"/>
          <w:b/>
          <w:bCs/>
          <w:color w:val="000000"/>
          <w:sz w:val="24"/>
          <w:szCs w:val="24"/>
        </w:rPr>
      </w:pPr>
      <w:r>
        <w:rPr>
          <w:rFonts w:ascii="Calibri" w:hAnsi="Calibri"/>
          <w:b w:val="0"/>
          <w:bCs w:val="0"/>
          <w:color w:val="000000"/>
          <w:sz w:val="24"/>
          <w:szCs w:val="24"/>
        </w:rPr>
        <w:t>14.3.2 – Dentro do prazo da vigência da Ata de Registro de Preços, ou enquanto perdurar o saldo desta, A SES não participará de Ata de Registro de preços para os mesmos itens cujo os preços foram registrados neste instrumento, salvo na ocorrência de Ata que tenha registrado quantitativo inferior ao máximo previsto no edital, conforme art. 82, VIII, da Lei n.º 14.133/2021;</w:t>
      </w:r>
      <w:r>
        <w:rPr>
          <w:rFonts w:ascii="Calibri" w:hAnsi="Calibri"/>
          <w:b w:val="0"/>
          <w:bCs w:val="0"/>
          <w:color w:val="000000"/>
          <w:sz w:val="24"/>
          <w:szCs w:val="24"/>
        </w:rPr>
        <w:br w:type="textWrapping"/>
      </w:r>
      <w:r>
        <w:rPr>
          <w:rFonts w:ascii="Calibri" w:hAnsi="Calibri"/>
          <w:b w:val="0"/>
          <w:bCs w:val="0"/>
          <w:color w:val="000000"/>
          <w:sz w:val="24"/>
          <w:szCs w:val="24"/>
        </w:rPr>
        <w:t>14.4 – A SES convocará o licitante vencedor, por meio de notificação através de e-mail, para assinar a Ata de Registro de Preços no prazo de 05 (cinco) dias úteis, permitindo a prorrogação por igual período, desde que ocorra motivo justificado e aceito pela SES;</w:t>
      </w:r>
      <w:r>
        <w:rPr>
          <w:rFonts w:ascii="Calibri" w:hAnsi="Calibri"/>
          <w:b w:val="0"/>
          <w:bCs w:val="0"/>
          <w:color w:val="000000"/>
          <w:sz w:val="24"/>
          <w:szCs w:val="24"/>
        </w:rPr>
        <w:br w:type="textWrapping"/>
      </w:r>
      <w:r>
        <w:rPr>
          <w:rFonts w:ascii="Calibri" w:hAnsi="Calibri"/>
          <w:b w:val="0"/>
          <w:bCs w:val="0"/>
          <w:color w:val="000000"/>
          <w:sz w:val="24"/>
          <w:szCs w:val="24"/>
        </w:rPr>
        <w:t>14.4.1 – A Ata de Registro de Preços será assinada pelo órgão gerenciador e pelos fornecedores cujos preços forem registrados. E, depois de cumpridos os requisitos de publicidade, terão efeito de compromisso de fornecimento nas condições estabelecidas no presente instrumento licitatório;</w:t>
      </w:r>
      <w:r>
        <w:rPr>
          <w:rFonts w:ascii="Calibri" w:hAnsi="Calibri"/>
          <w:b w:val="0"/>
          <w:bCs w:val="0"/>
          <w:color w:val="000000"/>
          <w:sz w:val="24"/>
          <w:szCs w:val="24"/>
        </w:rPr>
        <w:br w:type="textWrapping"/>
      </w:r>
      <w:r>
        <w:rPr>
          <w:rFonts w:ascii="Calibri" w:hAnsi="Calibri"/>
          <w:b w:val="0"/>
          <w:bCs w:val="0"/>
          <w:color w:val="000000"/>
          <w:sz w:val="24"/>
          <w:szCs w:val="24"/>
        </w:rPr>
        <w:t>14.4.2 – A licitante que tiver seu preço registrado se obriga a manter, na assinatura da Ata de Registro de Preços e durante o prazo de vigência da mesma, todas as condições de habilitação exigidas no Capítulo VIII deste Edital;</w:t>
      </w:r>
      <w:r>
        <w:rPr>
          <w:rFonts w:ascii="Calibri" w:hAnsi="Calibri"/>
          <w:b w:val="0"/>
          <w:bCs w:val="0"/>
          <w:color w:val="000000"/>
          <w:sz w:val="24"/>
          <w:szCs w:val="24"/>
        </w:rPr>
        <w:br w:type="textWrapping"/>
      </w:r>
      <w:r>
        <w:rPr>
          <w:rFonts w:ascii="Calibri" w:hAnsi="Calibri"/>
          <w:b w:val="0"/>
          <w:bCs w:val="0"/>
          <w:color w:val="000000"/>
          <w:sz w:val="24"/>
          <w:szCs w:val="24"/>
        </w:rPr>
        <w:t>14.4.3 – No caso do fornecedor primeiro classificado, depois de convocado, não atender as condições de habilitação, não comparecer ou recusar-se a assinar a Ata de Registro de Preços, responderá na forma da legislação vigente, sem prejuízo das cominações a ele previstas neste Edital;</w:t>
      </w:r>
      <w:r>
        <w:rPr>
          <w:rFonts w:ascii="Calibri" w:hAnsi="Calibri"/>
          <w:b w:val="0"/>
          <w:bCs w:val="0"/>
          <w:color w:val="000000"/>
          <w:sz w:val="24"/>
          <w:szCs w:val="24"/>
        </w:rPr>
        <w:br w:type="textWrapping"/>
      </w:r>
      <w:r>
        <w:rPr>
          <w:rFonts w:ascii="Calibri" w:hAnsi="Calibri"/>
          <w:b w:val="0"/>
          <w:bCs w:val="0"/>
          <w:color w:val="000000"/>
          <w:sz w:val="24"/>
          <w:szCs w:val="24"/>
        </w:rPr>
        <w:t>14.5 – As aquisições obedecerão à conveniência e às necessidades da Secretaria de Estado da Saúde de Santa Catarina e será procedida pela emissão de Autorização de Fornecimento (AF) ou por documento equivalente;</w:t>
      </w:r>
      <w:r>
        <w:rPr>
          <w:rFonts w:ascii="Calibri" w:hAnsi="Calibri"/>
          <w:b w:val="0"/>
          <w:bCs w:val="0"/>
          <w:color w:val="000000"/>
          <w:sz w:val="24"/>
          <w:szCs w:val="24"/>
        </w:rPr>
        <w:br w:type="textWrapping"/>
      </w:r>
      <w:r>
        <w:rPr>
          <w:rFonts w:ascii="Calibri" w:hAnsi="Calibri"/>
          <w:b w:val="0"/>
          <w:bCs w:val="0"/>
          <w:color w:val="000000"/>
          <w:sz w:val="24"/>
          <w:szCs w:val="24"/>
        </w:rPr>
        <w:t>14.5.1 – A SES encaminhará ao detentor do preço registrado a Autorização de Fornecimento (AF), através de e-mail, devendo atender ao fornecimento no prazo e no local de entrega estabelecido;</w:t>
      </w:r>
      <w:r>
        <w:rPr>
          <w:rFonts w:ascii="Calibri" w:hAnsi="Calibri"/>
          <w:b w:val="0"/>
          <w:bCs w:val="0"/>
          <w:color w:val="000000"/>
          <w:sz w:val="24"/>
          <w:szCs w:val="24"/>
        </w:rPr>
        <w:br w:type="textWrapping"/>
      </w:r>
      <w:r>
        <w:rPr>
          <w:rFonts w:ascii="Calibri" w:hAnsi="Calibri"/>
          <w:b w:val="0"/>
          <w:bCs w:val="0"/>
          <w:color w:val="000000"/>
          <w:sz w:val="24"/>
          <w:szCs w:val="24"/>
        </w:rPr>
        <w:t>14.6 – A existência de preços registrados não obriga os órgãos: gerenciador e participantes deste Registro de Preços a efetivar as contratações que dele poderão advir, ficando-lhes facultada a adoção de outros meios para a contratação do fornecimento pretendido, respeitado a legislação relativa às licitações, sendo assegurado ao detentor do Preço Registrado a preferência em igualdade de condições;</w:t>
      </w:r>
      <w:r>
        <w:rPr>
          <w:rFonts w:ascii="Calibri" w:hAnsi="Calibri"/>
          <w:b w:val="0"/>
          <w:bCs w:val="0"/>
          <w:color w:val="000000"/>
          <w:sz w:val="24"/>
          <w:szCs w:val="24"/>
        </w:rPr>
        <w:br w:type="textWrapping"/>
      </w:r>
      <w:r>
        <w:rPr>
          <w:rFonts w:ascii="Calibri" w:hAnsi="Calibri"/>
          <w:b w:val="0"/>
          <w:bCs w:val="0"/>
          <w:color w:val="000000"/>
          <w:sz w:val="24"/>
          <w:szCs w:val="24"/>
        </w:rPr>
        <w:t>14.7 – O exercício de preferência previsto no item anterior dar-se-á caso os órgãos participantes deste Registro de Preços optem por contratar o fornecimento através de licitação específica e o preço encontrado for igual ou superior ao registrado.</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15. DA SUBCONTRATAÇÃO</w:t>
      </w:r>
    </w:p>
    <w:p>
      <w:pPr>
        <w:pStyle w:val="2"/>
        <w:spacing w:before="1" w:after="0"/>
        <w:ind w:left="142" w:right="259" w:firstLine="0"/>
        <w:jc w:val="both"/>
        <w:rPr>
          <w:b w:val="0"/>
          <w:bCs w:val="0"/>
          <w:color w:val="000000"/>
        </w:rPr>
      </w:pPr>
      <w:r>
        <w:rPr>
          <w:rFonts w:ascii="Calibri" w:hAnsi="Calibri"/>
          <w:b w:val="0"/>
          <w:bCs w:val="0"/>
          <w:color w:val="000000"/>
          <w:sz w:val="24"/>
          <w:szCs w:val="24"/>
        </w:rPr>
        <w:t>15.1 -  Não será admitida a subcontratação do objeto contratual.</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r>
        <w:rPr>
          <w:rFonts w:ascii="Calibri" w:hAnsi="Calibri"/>
          <w:b/>
          <w:bCs/>
          <w:color w:val="000000"/>
          <w:sz w:val="24"/>
          <w:szCs w:val="24"/>
        </w:rPr>
        <w:t>16. DOS RECURSOS ORÇAMENTÁRIOS</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16.1 - As despesas referentes à execução do Contrato correrão a conta da seguinte dotação orçamentária:</w:t>
      </w:r>
    </w:p>
    <w:tbl>
      <w:tblPr>
        <w:tblStyle w:val="13"/>
        <w:tblW w:w="9215" w:type="dxa"/>
        <w:tblInd w:w="155" w:type="dxa"/>
        <w:tblLayout w:type="fixed"/>
        <w:tblCellMar>
          <w:top w:w="0" w:type="dxa"/>
          <w:left w:w="5" w:type="dxa"/>
          <w:bottom w:w="0" w:type="dxa"/>
          <w:right w:w="5" w:type="dxa"/>
        </w:tblCellMar>
      </w:tblPr>
      <w:tblGrid>
        <w:gridCol w:w="2828"/>
        <w:gridCol w:w="3625"/>
        <w:gridCol w:w="2762"/>
      </w:tblGrid>
      <w:tr>
        <w:tblPrEx>
          <w:tblCellMar>
            <w:top w:w="0" w:type="dxa"/>
            <w:left w:w="5" w:type="dxa"/>
            <w:bottom w:w="0" w:type="dxa"/>
            <w:right w:w="5" w:type="dxa"/>
          </w:tblCellMar>
        </w:tblPrEx>
        <w:trPr>
          <w:trHeight w:val="244" w:hRule="atLeast"/>
        </w:trPr>
        <w:tc>
          <w:tcPr>
            <w:tcW w:w="2828" w:type="dxa"/>
            <w:tcBorders>
              <w:top w:val="single" w:color="000000" w:sz="4" w:space="0"/>
              <w:left w:val="single" w:color="000000" w:sz="4" w:space="0"/>
              <w:bottom w:val="single" w:color="000000" w:sz="4" w:space="0"/>
              <w:right w:val="single" w:color="000000" w:sz="4" w:space="0"/>
            </w:tcBorders>
          </w:tcPr>
          <w:p>
            <w:pPr>
              <w:pStyle w:val="674"/>
              <w:widowControl w:val="0"/>
              <w:spacing w:before="1" w:after="0" w:line="223" w:lineRule="exact"/>
              <w:ind w:left="821" w:right="0" w:firstLine="360"/>
              <w:jc w:val="both"/>
              <w:rPr>
                <w:rFonts w:ascii="Calibri" w:hAnsi="Calibri"/>
                <w:b/>
                <w:sz w:val="24"/>
                <w:szCs w:val="24"/>
              </w:rPr>
            </w:pPr>
            <w:r>
              <w:rPr>
                <w:rFonts w:ascii="Calibri" w:hAnsi="Calibri"/>
                <w:b/>
                <w:sz w:val="24"/>
                <w:szCs w:val="24"/>
              </w:rPr>
              <w:t>Subação</w:t>
            </w:r>
          </w:p>
        </w:tc>
        <w:tc>
          <w:tcPr>
            <w:tcW w:w="3625" w:type="dxa"/>
            <w:tcBorders>
              <w:top w:val="single" w:color="000000" w:sz="4" w:space="0"/>
              <w:left w:val="single" w:color="000000" w:sz="4" w:space="0"/>
              <w:bottom w:val="single" w:color="000000" w:sz="4" w:space="0"/>
              <w:right w:val="single" w:color="000000" w:sz="4" w:space="0"/>
            </w:tcBorders>
          </w:tcPr>
          <w:p>
            <w:pPr>
              <w:pStyle w:val="674"/>
              <w:widowControl w:val="0"/>
              <w:spacing w:before="1" w:after="0" w:line="223" w:lineRule="exact"/>
              <w:ind w:left="182" w:right="0" w:firstLine="0"/>
              <w:jc w:val="center"/>
              <w:rPr>
                <w:rFonts w:ascii="Calibri" w:hAnsi="Calibri"/>
                <w:b/>
                <w:sz w:val="24"/>
                <w:szCs w:val="24"/>
              </w:rPr>
            </w:pPr>
            <w:r>
              <w:rPr>
                <w:rFonts w:ascii="Calibri" w:hAnsi="Calibri"/>
                <w:b/>
                <w:sz w:val="24"/>
                <w:szCs w:val="24"/>
              </w:rPr>
              <w:t>Natureza</w:t>
            </w:r>
            <w:r>
              <w:rPr>
                <w:rFonts w:ascii="Calibri" w:hAnsi="Calibri"/>
                <w:b/>
                <w:spacing w:val="-8"/>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Despesa</w:t>
            </w:r>
          </w:p>
        </w:tc>
        <w:tc>
          <w:tcPr>
            <w:tcW w:w="2762" w:type="dxa"/>
            <w:tcBorders>
              <w:top w:val="single" w:color="000000" w:sz="4" w:space="0"/>
              <w:left w:val="single" w:color="000000" w:sz="4" w:space="0"/>
              <w:bottom w:val="single" w:color="000000" w:sz="4" w:space="0"/>
              <w:right w:val="single" w:color="000000" w:sz="4" w:space="0"/>
            </w:tcBorders>
          </w:tcPr>
          <w:p>
            <w:pPr>
              <w:pStyle w:val="674"/>
              <w:widowControl w:val="0"/>
              <w:spacing w:before="1" w:after="0" w:line="223" w:lineRule="exact"/>
              <w:ind w:left="442" w:right="0" w:firstLine="720"/>
              <w:jc w:val="both"/>
              <w:rPr>
                <w:rFonts w:ascii="Calibri" w:hAnsi="Calibri"/>
                <w:b/>
                <w:sz w:val="24"/>
                <w:szCs w:val="24"/>
              </w:rPr>
            </w:pPr>
            <w:r>
              <w:rPr>
                <w:rFonts w:ascii="Calibri" w:hAnsi="Calibri"/>
                <w:b/>
                <w:sz w:val="24"/>
                <w:szCs w:val="24"/>
              </w:rPr>
              <w:t>Fonte</w:t>
            </w:r>
          </w:p>
        </w:tc>
      </w:tr>
      <w:tr>
        <w:tblPrEx>
          <w:tblCellMar>
            <w:top w:w="0" w:type="dxa"/>
            <w:left w:w="5" w:type="dxa"/>
            <w:bottom w:w="0" w:type="dxa"/>
            <w:right w:w="5" w:type="dxa"/>
          </w:tblCellMar>
        </w:tblPrEx>
        <w:trPr>
          <w:trHeight w:val="276" w:hRule="atLeast"/>
        </w:trPr>
        <w:tc>
          <w:tcPr>
            <w:tcW w:w="2828" w:type="dxa"/>
            <w:tcBorders>
              <w:top w:val="single" w:color="000000" w:sz="4" w:space="0"/>
              <w:left w:val="single" w:color="000000" w:sz="4" w:space="0"/>
              <w:bottom w:val="single" w:color="000000" w:sz="4" w:space="0"/>
              <w:right w:val="single" w:color="000000" w:sz="4" w:space="0"/>
            </w:tcBorders>
          </w:tcPr>
          <w:p>
            <w:pPr>
              <w:pStyle w:val="674"/>
              <w:widowControl w:val="0"/>
              <w:jc w:val="center"/>
              <w:rPr>
                <w:rFonts w:ascii="Calibri" w:hAnsi="Calibri" w:eastAsia="Arial" w:cs="Arial"/>
                <w:b/>
                <w:bCs/>
                <w:color w:val="000000"/>
                <w:kern w:val="0"/>
                <w:sz w:val="24"/>
                <w:szCs w:val="24"/>
                <w:lang w:val="en-US" w:eastAsia="zh-CN" w:bidi="ar-SA"/>
              </w:rPr>
            </w:pPr>
            <w:r>
              <w:rPr>
                <w:rFonts w:ascii="Calibri" w:hAnsi="Calibri" w:eastAsia="Arial" w:cs="Arial"/>
                <w:b/>
                <w:bCs/>
                <w:color w:val="000000"/>
                <w:kern w:val="0"/>
                <w:sz w:val="24"/>
                <w:szCs w:val="24"/>
                <w:lang w:val="en-US" w:eastAsia="zh-CN" w:bidi="ar-SA"/>
              </w:rPr>
              <w:t>11254</w:t>
            </w:r>
          </w:p>
        </w:tc>
        <w:tc>
          <w:tcPr>
            <w:tcW w:w="3625" w:type="dxa"/>
            <w:tcBorders>
              <w:top w:val="single" w:color="000000" w:sz="4" w:space="0"/>
              <w:left w:val="single" w:color="000000" w:sz="4" w:space="0"/>
              <w:bottom w:val="single" w:color="000000" w:sz="4" w:space="0"/>
              <w:right w:val="single" w:color="000000" w:sz="4" w:space="0"/>
            </w:tcBorders>
          </w:tcPr>
          <w:p>
            <w:pPr>
              <w:pStyle w:val="674"/>
              <w:widowControl w:val="0"/>
              <w:jc w:val="center"/>
              <w:rPr>
                <w:rFonts w:ascii="Calibri" w:hAnsi="Calibri"/>
                <w:b/>
                <w:bCs/>
                <w:sz w:val="24"/>
                <w:szCs w:val="24"/>
              </w:rPr>
            </w:pPr>
            <w:r>
              <w:rPr>
                <w:rFonts w:ascii="Calibri" w:hAnsi="Calibri"/>
                <w:b/>
                <w:bCs/>
                <w:sz w:val="24"/>
                <w:szCs w:val="24"/>
              </w:rPr>
              <w:t>33.90.</w:t>
            </w:r>
            <w:r>
              <w:rPr>
                <w:rFonts w:ascii="Calibri" w:hAnsi="Calibri" w:eastAsia="Arial" w:cs="Arial"/>
                <w:b/>
                <w:bCs/>
                <w:color w:val="000000"/>
                <w:kern w:val="0"/>
                <w:sz w:val="24"/>
                <w:szCs w:val="24"/>
                <w:lang w:val="en-US" w:eastAsia="zh-CN" w:bidi="ar-SA"/>
              </w:rPr>
              <w:t>30</w:t>
            </w:r>
            <w:r>
              <w:rPr>
                <w:rFonts w:ascii="Calibri" w:hAnsi="Calibri"/>
                <w:b/>
                <w:bCs/>
                <w:sz w:val="24"/>
                <w:szCs w:val="24"/>
              </w:rPr>
              <w:t>.</w:t>
            </w:r>
            <w:r>
              <w:rPr>
                <w:rFonts w:ascii="Calibri" w:hAnsi="Calibri" w:eastAsia="Arial" w:cs="Arial"/>
                <w:b/>
                <w:bCs/>
                <w:color w:val="000000"/>
                <w:kern w:val="0"/>
                <w:sz w:val="24"/>
                <w:szCs w:val="24"/>
                <w:lang w:val="en-US" w:eastAsia="zh-CN" w:bidi="ar-SA"/>
              </w:rPr>
              <w:t>11</w:t>
            </w:r>
          </w:p>
        </w:tc>
        <w:tc>
          <w:tcPr>
            <w:tcW w:w="2762" w:type="dxa"/>
            <w:tcBorders>
              <w:top w:val="single" w:color="000000" w:sz="4" w:space="0"/>
              <w:left w:val="single" w:color="000000" w:sz="4" w:space="0"/>
              <w:bottom w:val="single" w:color="000000" w:sz="4" w:space="0"/>
              <w:right w:val="single" w:color="000000" w:sz="4" w:space="0"/>
            </w:tcBorders>
          </w:tcPr>
          <w:p>
            <w:pPr>
              <w:pStyle w:val="674"/>
              <w:widowControl w:val="0"/>
              <w:jc w:val="center"/>
              <w:rPr>
                <w:rFonts w:ascii="Calibri" w:hAnsi="Calibri"/>
                <w:b/>
                <w:bCs/>
                <w:sz w:val="24"/>
                <w:szCs w:val="24"/>
              </w:rPr>
            </w:pPr>
            <w:r>
              <w:rPr>
                <w:rFonts w:ascii="Calibri" w:hAnsi="Calibri"/>
                <w:b/>
                <w:bCs/>
                <w:sz w:val="24"/>
                <w:szCs w:val="24"/>
              </w:rPr>
              <w:t>1.</w:t>
            </w:r>
            <w:r>
              <w:rPr>
                <w:rFonts w:ascii="Calibri" w:hAnsi="Calibri" w:eastAsia="Arial" w:cs="Arial"/>
                <w:b/>
                <w:bCs/>
                <w:color w:val="000000"/>
                <w:kern w:val="0"/>
                <w:sz w:val="24"/>
                <w:szCs w:val="24"/>
                <w:lang w:val="en-US" w:eastAsia="zh-CN" w:bidi="ar-SA"/>
              </w:rPr>
              <w:t>600</w:t>
            </w:r>
            <w:r>
              <w:rPr>
                <w:rFonts w:ascii="Calibri" w:hAnsi="Calibri"/>
                <w:b/>
                <w:bCs/>
                <w:sz w:val="24"/>
                <w:szCs w:val="24"/>
              </w:rPr>
              <w:t>.</w:t>
            </w:r>
            <w:r>
              <w:rPr>
                <w:rFonts w:ascii="Calibri" w:hAnsi="Calibri" w:eastAsia="Arial" w:cs="Arial"/>
                <w:b/>
                <w:bCs/>
                <w:color w:val="000000"/>
                <w:kern w:val="0"/>
                <w:sz w:val="24"/>
                <w:szCs w:val="24"/>
                <w:lang w:val="en-US" w:eastAsia="zh-CN" w:bidi="ar-SA"/>
              </w:rPr>
              <w:t>223</w:t>
            </w:r>
            <w:r>
              <w:rPr>
                <w:rFonts w:ascii="Calibri" w:hAnsi="Calibri"/>
                <w:b/>
                <w:bCs/>
                <w:sz w:val="24"/>
                <w:szCs w:val="24"/>
              </w:rPr>
              <w:t>.</w:t>
            </w:r>
            <w:r>
              <w:rPr>
                <w:rFonts w:ascii="Calibri" w:hAnsi="Calibri" w:eastAsia="Arial" w:cs="Arial"/>
                <w:b/>
                <w:bCs/>
                <w:color w:val="000000"/>
                <w:kern w:val="0"/>
                <w:sz w:val="24"/>
                <w:szCs w:val="24"/>
                <w:lang w:val="en-US" w:eastAsia="zh-CN" w:bidi="ar-SA"/>
              </w:rPr>
              <w:t>057</w:t>
            </w:r>
          </w:p>
        </w:tc>
      </w:tr>
    </w:tbl>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b/>
          <w:bCs/>
          <w:color w:val="000000"/>
          <w:sz w:val="24"/>
          <w:szCs w:val="24"/>
        </w:rPr>
        <w:t>17 – DAS IMPUGNAÇÕES E DOS PEDIDOS DE ESCLARECIMENTO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17.1 -  Qualquer pessoa, até 03 (três) dias úteis antes da abertura da sessão, poderá impugnar o ato convocatório solicitar esclarecimento sobre os seus termos, exclusivamente por meio eletrônico via internet, nos endereços eletrônicos www.portaldecompras.sc.gov.br, quando optar por efetuar o download do edital como interessado ou e-lic.sc.gov.br, quando acessar o link do processo, selecionando painel de controle botão “Fórum”.</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17.1.</w:t>
      </w:r>
      <w:r>
        <w:rPr>
          <w:rFonts w:ascii="Calibri" w:hAnsi="Calibri"/>
          <w:b w:val="0"/>
          <w:bCs w:val="0"/>
          <w:color w:val="000000"/>
          <w:sz w:val="24"/>
          <w:szCs w:val="24"/>
          <w:lang w:val="pt-BR"/>
        </w:rPr>
        <w:t>1</w:t>
      </w:r>
      <w:r>
        <w:rPr>
          <w:rFonts w:ascii="Calibri" w:hAnsi="Calibri"/>
          <w:b w:val="0"/>
          <w:bCs w:val="0"/>
          <w:color w:val="000000"/>
          <w:sz w:val="24"/>
          <w:szCs w:val="24"/>
        </w:rPr>
        <w:t xml:space="preserve"> -  Fornecedores cadastrados podem optar ao efetuar o login, acessando o processo eletrônico, botão “Impugnação”.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17.2 -  O Sistema permite, após salvar as informações iniciais e emitir o número de registro da impugnação, inserir Anexos na aba correspondente.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17.2.1 -  As impugnações registradas no Sistema, com ou sem anexos, constituem meio legal de prova, não sendo obrigatório o encaminhamento do original.</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17.3 – Não serão aceitos quaisquer documentos senão pelo Sistema eletrônico.</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17.4 - A resposta à impugnação ou ao pedido de esclarecimento será divulgado em sítio eletrônico oficial no prazo de até 3 (três) dias úteis, limitado ao último dia útil anterior à data da abertura do certame.</w:t>
      </w:r>
    </w:p>
    <w:p>
      <w:pPr>
        <w:pStyle w:val="2"/>
        <w:spacing w:before="1" w:after="0"/>
        <w:ind w:left="142" w:right="259" w:firstLine="0"/>
        <w:jc w:val="both"/>
        <w:rPr>
          <w:rFonts w:ascii="Calibri" w:hAnsi="Calibri"/>
          <w:b w:val="0"/>
          <w:bCs w:val="0"/>
          <w:color w:val="000000"/>
          <w:sz w:val="24"/>
          <w:szCs w:val="24"/>
        </w:rPr>
      </w:pPr>
      <w:r>
        <w:rPr>
          <w:rFonts w:ascii="Calibri" w:hAnsi="Calibri"/>
          <w:b w:val="0"/>
          <w:bCs w:val="0"/>
          <w:color w:val="000000"/>
          <w:sz w:val="24"/>
          <w:szCs w:val="24"/>
        </w:rPr>
        <w:t>17.5 - As impugnações e pedidos de esclarecimentos não suspendem os prazos previstos no certame.</w:t>
      </w:r>
    </w:p>
    <w:p>
      <w:pPr>
        <w:pStyle w:val="2"/>
        <w:spacing w:before="1" w:after="0"/>
        <w:ind w:left="142" w:right="259" w:firstLine="0"/>
        <w:jc w:val="both"/>
        <w:rPr>
          <w:rFonts w:ascii="Calibri" w:hAnsi="Calibri"/>
          <w:b w:val="0"/>
          <w:bCs w:val="0"/>
          <w:color w:val="000000"/>
          <w:sz w:val="24"/>
          <w:szCs w:val="24"/>
        </w:rPr>
      </w:pPr>
    </w:p>
    <w:p>
      <w:pPr>
        <w:pStyle w:val="2"/>
        <w:bidi w:val="0"/>
        <w:spacing w:before="1" w:after="0"/>
        <w:ind w:left="142" w:right="259" w:firstLine="0"/>
        <w:jc w:val="both"/>
        <w:rPr>
          <w:b w:val="0"/>
          <w:bCs w:val="0"/>
        </w:rPr>
      </w:pPr>
      <w:r>
        <w:rPr>
          <w:rFonts w:ascii="Calibri" w:hAnsi="Calibri" w:eastAsia="NSimSun" w:cs="Calibri"/>
          <w:b/>
          <w:bCs/>
          <w:color w:val="000000"/>
          <w:kern w:val="0"/>
          <w:sz w:val="24"/>
          <w:szCs w:val="24"/>
          <w:lang w:val="pt-BR" w:eastAsia="zh-CN" w:bidi="hi-IN"/>
        </w:rPr>
        <w:t xml:space="preserve">18 </w:t>
      </w:r>
      <w:r>
        <w:rPr>
          <w:rFonts w:ascii="Calibri" w:hAnsi="Calibri" w:cs="Calibri"/>
          <w:b/>
          <w:bCs/>
          <w:color w:val="000000"/>
          <w:sz w:val="24"/>
          <w:szCs w:val="24"/>
        </w:rPr>
        <w:t xml:space="preserve"> – DO ATENDIMENTO A LEI 17.983 DE 19 DE AGOSTO DE 2020</w:t>
      </w:r>
      <w:r>
        <w:rPr>
          <w:rFonts w:ascii="Calibri" w:hAnsi="Calibri" w:cs="Calibri"/>
          <w:b w:val="0"/>
          <w:bCs w:val="0"/>
          <w:color w:val="000000"/>
          <w:sz w:val="24"/>
          <w:szCs w:val="24"/>
        </w:rPr>
        <w:br w:type="textWrapping"/>
      </w:r>
      <w:r>
        <w:rPr>
          <w:rFonts w:ascii="Calibri" w:hAnsi="Calibri" w:eastAsia="NSimSun" w:cs="Calibri"/>
          <w:b w:val="0"/>
          <w:bCs w:val="0"/>
          <w:color w:val="000000"/>
          <w:kern w:val="0"/>
          <w:sz w:val="24"/>
          <w:szCs w:val="24"/>
          <w:lang w:val="pt-BR" w:eastAsia="zh-CN" w:bidi="hi-IN"/>
        </w:rPr>
        <w:t>18</w:t>
      </w:r>
      <w:r>
        <w:rPr>
          <w:rFonts w:ascii="Calibri" w:hAnsi="Calibri" w:cs="Calibri"/>
          <w:b w:val="0"/>
          <w:bCs w:val="0"/>
          <w:color w:val="000000"/>
          <w:sz w:val="24"/>
          <w:szCs w:val="24"/>
        </w:rPr>
        <w:t>.1. 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color w:val="000000"/>
          <w:sz w:val="24"/>
          <w:szCs w:val="24"/>
        </w:rPr>
        <w:br w:type="textWrapping"/>
      </w:r>
      <w:r>
        <w:rPr>
          <w:rFonts w:ascii="Calibri" w:hAnsi="Calibri" w:eastAsia="NSimSun" w:cs="Calibri"/>
          <w:b w:val="0"/>
          <w:bCs w:val="0"/>
          <w:color w:val="000000"/>
          <w:kern w:val="0"/>
          <w:sz w:val="24"/>
          <w:szCs w:val="24"/>
          <w:lang w:val="pt-BR" w:eastAsia="zh-CN" w:bidi="hi-IN"/>
        </w:rPr>
        <w:t>18</w:t>
      </w:r>
      <w:r>
        <w:rPr>
          <w:rFonts w:ascii="Calibri" w:hAnsi="Calibri" w:cs="Calibri"/>
          <w:b w:val="0"/>
          <w:bCs w:val="0"/>
          <w:color w:val="000000"/>
          <w:sz w:val="24"/>
          <w:szCs w:val="24"/>
        </w:rPr>
        <w:t>.1.1. A publicação deverá ser no Portal da Transparência do órgão contratante, em local de fácil acesso, devendo constar:</w:t>
      </w:r>
      <w:r>
        <w:rPr>
          <w:rFonts w:ascii="Calibri" w:hAnsi="Calibri" w:cs="Calibri"/>
          <w:b w:val="0"/>
          <w:bCs w:val="0"/>
          <w:color w:val="000000"/>
          <w:sz w:val="24"/>
          <w:szCs w:val="24"/>
        </w:rPr>
        <w:br w:type="textWrapping"/>
      </w:r>
      <w:r>
        <w:rPr>
          <w:rFonts w:ascii="Calibri" w:hAnsi="Calibri" w:cs="Calibri"/>
          <w:b w:val="0"/>
          <w:bCs w:val="0"/>
          <w:color w:val="000000"/>
          <w:sz w:val="24"/>
          <w:szCs w:val="24"/>
        </w:rPr>
        <w:t>I - relação dos sócios-proprietários com o número de Cadastro de Pessoa Física (CPF);</w:t>
      </w:r>
      <w:r>
        <w:rPr>
          <w:rFonts w:ascii="Calibri" w:hAnsi="Calibri" w:cs="Calibri"/>
          <w:b w:val="0"/>
          <w:bCs w:val="0"/>
          <w:color w:val="000000"/>
          <w:sz w:val="24"/>
          <w:szCs w:val="24"/>
        </w:rPr>
        <w:br w:type="textWrapping"/>
      </w:r>
      <w:r>
        <w:rPr>
          <w:rFonts w:ascii="Calibri" w:hAnsi="Calibri" w:cs="Calibri"/>
          <w:b w:val="0"/>
          <w:bCs w:val="0"/>
          <w:color w:val="000000"/>
          <w:sz w:val="24"/>
          <w:szCs w:val="24"/>
        </w:rPr>
        <w:t>II - endereço da sede da empresa contratada, em conformidade com contrato social;</w:t>
      </w:r>
      <w:r>
        <w:rPr>
          <w:rFonts w:ascii="Calibri" w:hAnsi="Calibri" w:cs="Calibri"/>
          <w:b w:val="0"/>
          <w:bCs w:val="0"/>
          <w:color w:val="000000"/>
          <w:sz w:val="24"/>
          <w:szCs w:val="24"/>
        </w:rPr>
        <w:br w:type="textWrapping"/>
      </w:r>
      <w:r>
        <w:rPr>
          <w:rFonts w:ascii="Calibri" w:hAnsi="Calibri" w:cs="Calibri"/>
          <w:b w:val="0"/>
          <w:bCs w:val="0"/>
          <w:color w:val="000000"/>
          <w:sz w:val="24"/>
          <w:szCs w:val="24"/>
        </w:rPr>
        <w:t>III - foto da fachada da sede da empresa; e</w:t>
      </w:r>
      <w:r>
        <w:rPr>
          <w:rFonts w:ascii="Calibri" w:hAnsi="Calibri" w:cs="Calibri"/>
          <w:b w:val="0"/>
          <w:bCs w:val="0"/>
          <w:color w:val="000000"/>
          <w:sz w:val="24"/>
          <w:szCs w:val="24"/>
        </w:rPr>
        <w:br w:type="textWrapping"/>
      </w:r>
      <w:r>
        <w:rPr>
          <w:rFonts w:ascii="Calibri" w:hAnsi="Calibri" w:cs="Calibri"/>
          <w:b w:val="0"/>
          <w:bCs w:val="0"/>
          <w:color w:val="000000"/>
          <w:sz w:val="24"/>
          <w:szCs w:val="24"/>
        </w:rPr>
        <w:t>IV - extrato da minuta do contrato firmado entre Administração Pública e a empresa contratada.</w:t>
      </w:r>
    </w:p>
    <w:p>
      <w:pPr>
        <w:pStyle w:val="2"/>
        <w:bidi w:val="0"/>
        <w:spacing w:before="1" w:after="0"/>
        <w:ind w:left="142" w:right="259" w:firstLine="0"/>
        <w:jc w:val="both"/>
        <w:rPr>
          <w:b w:val="0"/>
          <w:bCs w:val="0"/>
        </w:rPr>
      </w:pPr>
    </w:p>
    <w:p>
      <w:pPr>
        <w:pStyle w:val="2"/>
        <w:bidi w:val="0"/>
        <w:spacing w:before="1" w:after="0"/>
        <w:ind w:left="142" w:right="259" w:firstLine="0"/>
        <w:jc w:val="both"/>
        <w:rPr>
          <w:rFonts w:ascii="Calibri" w:hAnsi="Calibri"/>
          <w:b/>
          <w:bCs/>
        </w:rPr>
      </w:pPr>
      <w:r>
        <w:rPr>
          <w:rFonts w:ascii="Calibri" w:hAnsi="Calibri" w:eastAsia="NSimSun" w:cs="Lucida Sans"/>
          <w:b/>
          <w:bCs/>
          <w:color w:val="000000"/>
          <w:kern w:val="0"/>
          <w:sz w:val="24"/>
          <w:szCs w:val="24"/>
          <w:lang w:val="pt-BR" w:eastAsia="zh-CN" w:bidi="hi-IN"/>
        </w:rPr>
        <w:t>19</w:t>
      </w:r>
      <w:r>
        <w:rPr>
          <w:rFonts w:ascii="Calibri" w:hAnsi="Calibri"/>
          <w:b/>
          <w:bCs/>
        </w:rPr>
        <w:t xml:space="preserve"> – DAS PRÁTICAS FRAUDULENTAS E DE CORRUPÇÃO</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19</w:t>
      </w:r>
      <w:r>
        <w:rPr>
          <w:rFonts w:ascii="Calibri" w:hAnsi="Calibri"/>
        </w:rPr>
        <w:t>.1 - As partes, por seus agentes públicos ou por seus sócios, acionistas, administradores e colaboradores:</w:t>
      </w:r>
    </w:p>
    <w:p>
      <w:pPr>
        <w:pStyle w:val="2"/>
        <w:bidi w:val="0"/>
        <w:spacing w:before="1" w:after="0"/>
        <w:ind w:left="142" w:right="259" w:firstLine="0"/>
        <w:jc w:val="both"/>
        <w:rPr>
          <w:rFonts w:ascii="Calibri" w:hAnsi="Calibri"/>
        </w:rPr>
      </w:pPr>
      <w:r>
        <w:rPr>
          <w:rFonts w:ascii="Calibri" w:hAnsi="Calibri"/>
        </w:rPr>
        <w:t>I – Declaram que têm conhecimento das normas previstas na legislação, entre as quais nas Leis n° 8.429/1992 e nº 12.846/2013, seus regulamentos e eventuais outras aplicáveis;</w:t>
      </w:r>
    </w:p>
    <w:p>
      <w:pPr>
        <w:pStyle w:val="2"/>
        <w:bidi w:val="0"/>
        <w:spacing w:before="1" w:after="0"/>
        <w:ind w:left="142" w:right="259" w:firstLine="0"/>
        <w:jc w:val="both"/>
        <w:rPr>
          <w:rFonts w:ascii="Calibri" w:hAnsi="Calibri"/>
        </w:rPr>
      </w:pPr>
      <w:r>
        <w:rPr>
          <w:rFonts w:ascii="Calibri" w:hAnsi="Calibri"/>
        </w:rPr>
        <w:t>II – Comprometem-se em não adotar práticas ou procedimentos que se enquadrem nas hipóteses previstas nas leis e regulamentos mencionados no inciso anterior e se comprometem em exigir o mesmo pelos terceiros por elas contratados;</w:t>
      </w:r>
    </w:p>
    <w:p>
      <w:pPr>
        <w:pStyle w:val="2"/>
        <w:bidi w:val="0"/>
        <w:spacing w:before="1" w:after="0"/>
        <w:ind w:left="142" w:right="259" w:firstLine="0"/>
        <w:jc w:val="both"/>
        <w:rPr>
          <w:rFonts w:ascii="Calibri" w:hAnsi="Calibri"/>
        </w:rPr>
      </w:pPr>
      <w:r>
        <w:rPr>
          <w:rFonts w:ascii="Calibri" w:hAnsi="Calibri"/>
        </w:rPr>
        <w:t>III – Comprometem-se em notificar à Controladoria-Geral do Estado qualquer irregularidade que tiverem conhecimento acerca da execução do contrato;</w:t>
      </w:r>
    </w:p>
    <w:p>
      <w:pPr>
        <w:pStyle w:val="2"/>
        <w:bidi w:val="0"/>
        <w:spacing w:before="1" w:after="0"/>
        <w:ind w:left="142" w:right="259" w:firstLine="0"/>
        <w:jc w:val="both"/>
        <w:rPr>
          <w:rFonts w:ascii="Calibri" w:hAnsi="Calibri"/>
        </w:rPr>
      </w:pPr>
      <w:r>
        <w:rPr>
          <w:rFonts w:ascii="Calibri" w:hAnsi="Calibri"/>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bidi w:val="0"/>
        <w:spacing w:before="1" w:after="0"/>
        <w:ind w:left="142" w:right="259" w:firstLine="0"/>
        <w:jc w:val="both"/>
        <w:rPr>
          <w:rFonts w:ascii="Calibri" w:hAnsi="Calibri"/>
        </w:rPr>
      </w:pPr>
    </w:p>
    <w:p>
      <w:pPr>
        <w:pStyle w:val="2"/>
        <w:bidi w:val="0"/>
        <w:spacing w:before="1" w:after="0"/>
        <w:ind w:left="142" w:right="259" w:firstLine="0"/>
        <w:jc w:val="both"/>
        <w:rPr>
          <w:rFonts w:ascii="Calibri" w:hAnsi="Calibri"/>
          <w:b/>
          <w:bCs/>
        </w:rPr>
      </w:pPr>
      <w:r>
        <w:rPr>
          <w:rFonts w:ascii="Calibri" w:hAnsi="Calibri" w:eastAsia="NSimSun" w:cs="Lucida Sans"/>
          <w:b/>
          <w:bCs/>
          <w:color w:val="000000"/>
          <w:kern w:val="0"/>
          <w:sz w:val="24"/>
          <w:szCs w:val="24"/>
          <w:lang w:val="pt-BR" w:eastAsia="zh-CN" w:bidi="hi-IN"/>
        </w:rPr>
        <w:t>20</w:t>
      </w:r>
      <w:r>
        <w:rPr>
          <w:rFonts w:ascii="Calibri" w:hAnsi="Calibri"/>
          <w:b/>
          <w:bCs/>
        </w:rPr>
        <w:t xml:space="preserve"> – DO ATENDIMENTO A LEI FEDERAL DE PROTEÇÃO DE DADOS</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.3 – A CONTRATADA somente poderá tratar dados pessoais dos usuários dos serviços contratados, nos limites e finalidades exclusivas do cumprimento de suas obrigações com base no presente contrato e jamais para qualquer outra finalidade.</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bidi w:val="0"/>
        <w:spacing w:before="1" w:after="0"/>
        <w:ind w:left="142" w:right="259" w:firstLine="0"/>
        <w:jc w:val="both"/>
        <w:rPr>
          <w:rFonts w:ascii="Calibri" w:hAnsi="Calibri"/>
        </w:rPr>
      </w:pPr>
      <w:r>
        <w:rPr>
          <w:rFonts w:ascii="Calibri" w:hAnsi="Calibri" w:eastAsia="NSimSun" w:cs="Lucida Sans"/>
          <w:color w:val="000000"/>
          <w:kern w:val="0"/>
          <w:sz w:val="24"/>
          <w:szCs w:val="24"/>
          <w:lang w:val="pt-BR" w:eastAsia="zh-CN" w:bidi="hi-IN"/>
        </w:rPr>
        <w:t>20</w:t>
      </w:r>
      <w:r>
        <w:rPr>
          <w:rFonts w:ascii="Calibri" w:hAnsi="Calibri"/>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bidi w:val="0"/>
        <w:spacing w:before="1" w:after="0"/>
        <w:ind w:left="142" w:right="259" w:firstLine="0"/>
        <w:jc w:val="both"/>
      </w:pPr>
      <w:r>
        <w:rPr>
          <w:rFonts w:ascii="Calibri" w:hAnsi="Calibri" w:eastAsia="NSimSun" w:cs="Lucida Sans"/>
          <w:color w:val="000000"/>
          <w:kern w:val="0"/>
          <w:sz w:val="24"/>
          <w:szCs w:val="24"/>
          <w:lang w:val="pt-BR" w:eastAsia="zh-CN" w:bidi="hi-IN"/>
        </w:rPr>
        <w:t>20</w:t>
      </w:r>
      <w:r>
        <w:rPr>
          <w:rFonts w:ascii="Calibri" w:hAnsi="Calibri"/>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bCs/>
          <w:color w:val="000000"/>
          <w:sz w:val="24"/>
          <w:szCs w:val="24"/>
        </w:rPr>
      </w:pPr>
      <w:r>
        <w:rPr>
          <w:rFonts w:ascii="Calibri" w:hAnsi="Calibri" w:eastAsia="NSimSun" w:cs="Lucida Sans"/>
          <w:b/>
          <w:bCs/>
          <w:color w:val="000000"/>
          <w:kern w:val="0"/>
          <w:sz w:val="24"/>
          <w:szCs w:val="24"/>
          <w:lang w:val="pt-BR" w:eastAsia="zh-CN" w:bidi="hi-IN"/>
        </w:rPr>
        <w:t>21</w:t>
      </w:r>
      <w:r>
        <w:rPr>
          <w:rFonts w:ascii="Calibri" w:hAnsi="Calibri"/>
          <w:b/>
          <w:bCs/>
          <w:color w:val="000000"/>
          <w:sz w:val="24"/>
          <w:szCs w:val="24"/>
        </w:rPr>
        <w:t>. – DAS DISPOSIÇÕES FINAIS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.1 – Cópias e vistas obedecerão aos seguintes procedimentos: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.1.1 – Cópia deste edital e seus anexos poderá ser obtida pelos interessados, no endereço eletrônico http://portaldecompras.sc.gov.br/.</w:t>
      </w:r>
    </w:p>
    <w:p>
      <w:pPr>
        <w:pStyle w:val="2"/>
        <w:spacing w:before="1" w:after="0"/>
        <w:ind w:left="142" w:right="259" w:firstLine="0"/>
        <w:jc w:val="both"/>
        <w:rPr>
          <w:color w:val="000000"/>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.1.2 – Vistas ao processo licitatório (inclusive aos orçamentos estimativos) poderão ser realizadas no endereço eletrônico http://www.sea.sc.gov.br/, por intermédio do link “SGP-e”, acessando o opção “Consulta de Processos” e informando o nº do processo SGPe xxxx xxx/202x.</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.2 – É facultado ao pregoeiro ou à autoridade superior, em qualquer fase desta licitação, promover diligência destinada a esclarecer ou complementar a instrução do processo.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.3 – As normas disciplinadoras da licitação serão sempre interpretadas em favor da ampliação da disputa entre os participantes, desde que não comprometam o interesse da Administração, a finalidade e a segurança da contratação.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 xml:space="preserve">.4 – A Secretaria de Estado da </w:t>
      </w:r>
      <w:r>
        <w:rPr>
          <w:rFonts w:ascii="Calibri" w:hAnsi="Calibri" w:eastAsia="NSimSun" w:cs="Lucida Sans"/>
          <w:b w:val="0"/>
          <w:bCs w:val="0"/>
          <w:color w:val="000000"/>
          <w:kern w:val="0"/>
          <w:sz w:val="24"/>
          <w:szCs w:val="24"/>
          <w:lang w:val="pt-BR" w:eastAsia="zh-CN" w:bidi="hi-IN"/>
        </w:rPr>
        <w:t>Saúde</w:t>
      </w:r>
      <w:r>
        <w:rPr>
          <w:rFonts w:ascii="Calibri" w:hAnsi="Calibri"/>
          <w:b w:val="0"/>
          <w:bCs w:val="0"/>
          <w:color w:val="000000"/>
          <w:sz w:val="24"/>
          <w:szCs w:val="24"/>
        </w:rPr>
        <w:t xml:space="preserve"> – </w:t>
      </w:r>
      <w:r>
        <w:rPr>
          <w:rFonts w:ascii="Calibri" w:hAnsi="Calibri" w:eastAsia="NSimSun" w:cs="Lucida Sans"/>
          <w:b w:val="0"/>
          <w:bCs w:val="0"/>
          <w:color w:val="000000"/>
          <w:kern w:val="0"/>
          <w:sz w:val="24"/>
          <w:szCs w:val="24"/>
          <w:lang w:val="pt-BR" w:eastAsia="zh-CN" w:bidi="hi-IN"/>
        </w:rPr>
        <w:t>SES</w:t>
      </w:r>
      <w:r>
        <w:rPr>
          <w:rFonts w:ascii="Calibri" w:hAnsi="Calibri"/>
          <w:b w:val="0"/>
          <w:bCs w:val="0"/>
          <w:color w:val="000000"/>
          <w:sz w:val="24"/>
          <w:szCs w:val="24"/>
        </w:rPr>
        <w:t xml:space="preserve">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 xml:space="preserve">.5 – O presente edital e seus anexos poderão ser alterados, pela Secretaria de Estado da </w:t>
      </w:r>
      <w:r>
        <w:rPr>
          <w:rFonts w:ascii="Calibri" w:hAnsi="Calibri" w:eastAsia="NSimSun" w:cs="Lucida Sans"/>
          <w:b w:val="0"/>
          <w:bCs w:val="0"/>
          <w:color w:val="000000"/>
          <w:kern w:val="0"/>
          <w:sz w:val="24"/>
          <w:szCs w:val="24"/>
          <w:lang w:val="pt-BR" w:eastAsia="zh-CN" w:bidi="hi-IN"/>
        </w:rPr>
        <w:t xml:space="preserve">Saúde </w:t>
      </w:r>
      <w:r>
        <w:rPr>
          <w:rFonts w:ascii="Calibri" w:hAnsi="Calibri"/>
          <w:b w:val="0"/>
          <w:bCs w:val="0"/>
          <w:color w:val="000000"/>
          <w:sz w:val="24"/>
          <w:szCs w:val="24"/>
        </w:rPr>
        <w:t xml:space="preserve">– </w:t>
      </w:r>
      <w:r>
        <w:rPr>
          <w:rFonts w:ascii="Calibri" w:hAnsi="Calibri" w:eastAsia="NSimSun" w:cs="Lucida Sans"/>
          <w:b w:val="0"/>
          <w:bCs w:val="0"/>
          <w:color w:val="000000"/>
          <w:kern w:val="0"/>
          <w:sz w:val="24"/>
          <w:szCs w:val="24"/>
          <w:lang w:val="pt-BR" w:eastAsia="zh-CN" w:bidi="hi-IN"/>
        </w:rPr>
        <w:t>SES</w:t>
      </w:r>
      <w:r>
        <w:rPr>
          <w:rFonts w:ascii="Calibri" w:hAnsi="Calibri"/>
          <w:b w:val="0"/>
          <w:bCs w:val="0"/>
          <w:color w:val="000000"/>
          <w:sz w:val="24"/>
          <w:szCs w:val="24"/>
        </w:rPr>
        <w:t>, antes de aberta a licitação, no interesse público, por sua iniciativa ou decorrente de provocação de terceiros, atendido o que estabelece a Lei Federal nº 14.133/2021, bem como adiar ou prorrogar o prazo para recebimento e/ou a abertura das Propostas Eletrônicas e Documentos Adicionais.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.5.1 – Caso ocorram alterações neste edital, as mesmas serão disponibilizadas no site http://portaldecompras.sc.gov.br/, e ainda, enviadas aos interessados registrados.</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.6 – 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da licitação.</w:t>
      </w:r>
    </w:p>
    <w:p>
      <w:pPr>
        <w:pStyle w:val="2"/>
        <w:spacing w:before="1" w:after="0"/>
        <w:ind w:left="142" w:right="259" w:firstLine="0"/>
        <w:jc w:val="both"/>
        <w:rPr>
          <w:rFonts w:ascii="Calibri" w:hAnsi="Calibri"/>
          <w:b w:val="0"/>
          <w:bCs w:val="0"/>
          <w:color w:val="000000"/>
          <w:sz w:val="24"/>
          <w:szCs w:val="24"/>
        </w:rPr>
      </w:pPr>
      <w:r>
        <w:rPr>
          <w:rFonts w:ascii="Calibri" w:hAnsi="Calibri" w:eastAsia="NSimSun" w:cs="Lucida Sans"/>
          <w:b w:val="0"/>
          <w:bCs w:val="0"/>
          <w:color w:val="000000"/>
          <w:kern w:val="0"/>
          <w:sz w:val="24"/>
          <w:szCs w:val="24"/>
          <w:lang w:val="pt-BR" w:eastAsia="zh-CN" w:bidi="hi-IN"/>
        </w:rPr>
        <w:t>21</w:t>
      </w:r>
      <w:r>
        <w:rPr>
          <w:rFonts w:ascii="Calibri" w:hAnsi="Calibri"/>
          <w:b w:val="0"/>
          <w:bCs w:val="0"/>
          <w:color w:val="000000"/>
          <w:sz w:val="24"/>
          <w:szCs w:val="24"/>
        </w:rPr>
        <w:t>.7 – Fica eleito o Foro da Comarca da Capital do Estado de Santa Catarina, com prevalência sobre qualquer outro, por mais privilegiado que seja, para apreciação judicial de quaisquer questões resultantes deste edital.</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snapToGrid w:val="0"/>
        <w:jc w:val="center"/>
        <w:rPr>
          <w:rFonts w:ascii="Calibri" w:hAnsi="Calibri" w:eastAsia="SimSun" w:cs="Calibri"/>
          <w:b/>
          <w:bCs/>
          <w:color w:val="000000"/>
          <w:kern w:val="2"/>
          <w:sz w:val="24"/>
          <w:szCs w:val="24"/>
          <w:lang w:val="pt-BR" w:eastAsia="zh-CN" w:bidi="ar-SA"/>
        </w:rPr>
      </w:pPr>
      <w:r>
        <w:rPr>
          <w:rFonts w:ascii="Calibri" w:hAnsi="Calibri" w:eastAsia="SimSun" w:cs="Calibri"/>
          <w:b/>
          <w:bCs/>
          <w:color w:val="000000"/>
          <w:kern w:val="2"/>
          <w:sz w:val="24"/>
          <w:szCs w:val="24"/>
          <w:lang w:val="pt-BR" w:eastAsia="zh-CN" w:bidi="ar-SA"/>
        </w:rPr>
        <w:t>Hanna Karine dos Santos Jacques Barcelos</w:t>
      </w:r>
    </w:p>
    <w:p>
      <w:pPr>
        <w:keepNext w:val="0"/>
        <w:keepLines w:val="0"/>
        <w:widowControl/>
        <w:snapToGrid w:val="0"/>
        <w:spacing w:before="0" w:beforeAutospacing="0" w:after="0" w:afterAutospacing="0" w:line="15" w:lineRule="atLeast"/>
        <w:ind w:left="0" w:right="0" w:firstLine="0"/>
        <w:jc w:val="center"/>
        <w:rPr>
          <w:rFonts w:ascii="Calibri" w:hAnsi="Calibri" w:cs="Calibri"/>
          <w:b/>
          <w:bCs/>
          <w:sz w:val="24"/>
          <w:szCs w:val="24"/>
        </w:rPr>
      </w:pPr>
      <w:r>
        <w:rPr>
          <w:rFonts w:ascii="Calibri" w:hAnsi="Calibri" w:eastAsia="sans-serif" w:cs="Calibri"/>
          <w:b/>
          <w:bCs/>
          <w:i w:val="0"/>
          <w:iCs w:val="0"/>
          <w:caps w:val="0"/>
          <w:smallCaps w:val="0"/>
          <w:color w:val="000000"/>
          <w:spacing w:val="0"/>
          <w:kern w:val="0"/>
          <w:sz w:val="24"/>
          <w:szCs w:val="24"/>
          <w:lang w:val="en-US" w:eastAsia="zh-CN" w:bidi="ar"/>
        </w:rPr>
        <w:t>Diretora de Licitações e Contratos</w:t>
      </w:r>
    </w:p>
    <w:p>
      <w:pPr>
        <w:pStyle w:val="2"/>
        <w:spacing w:before="1" w:after="0"/>
        <w:ind w:left="142" w:right="259" w:firstLine="0"/>
        <w:jc w:val="center"/>
        <w:rPr>
          <w:rFonts w:ascii="Calibri" w:hAnsi="Calibri"/>
          <w:b/>
          <w:bCs/>
        </w:rPr>
      </w:pPr>
      <w:r>
        <w:rPr>
          <w:rFonts w:ascii="Calibri" w:hAnsi="Calibri"/>
          <w:b/>
          <w:bCs/>
          <w:color w:val="000000"/>
          <w:sz w:val="24"/>
          <w:szCs w:val="24"/>
        </w:rPr>
        <w:t>(Assinado Digitalmente)</w:t>
      </w: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p>
    <w:p>
      <w:pPr>
        <w:pStyle w:val="2"/>
        <w:spacing w:before="1" w:after="0"/>
        <w:ind w:left="142" w:right="259" w:firstLine="0"/>
        <w:jc w:val="both"/>
        <w:rPr>
          <w:rFonts w:ascii="Calibri" w:hAnsi="Calibri"/>
          <w:b w:val="0"/>
          <w:bCs w:val="0"/>
          <w:color w:val="000000"/>
          <w:sz w:val="24"/>
          <w:szCs w:val="24"/>
        </w:rPr>
      </w:pPr>
      <w:r>
        <w:br w:type="page"/>
      </w:r>
    </w:p>
    <w:p>
      <w:pPr>
        <w:tabs>
          <w:tab w:val="left" w:pos="204"/>
          <w:tab w:val="left" w:pos="720"/>
        </w:tabs>
        <w:jc w:val="center"/>
        <w:rPr>
          <w:b/>
          <w:bCs/>
        </w:rPr>
      </w:pPr>
      <w:r>
        <w:rPr>
          <w:rFonts w:ascii="Calibri" w:hAnsi="Calibri" w:cs="Calibri"/>
          <w:b/>
          <w:bCs/>
          <w:sz w:val="24"/>
          <w:szCs w:val="24"/>
        </w:rPr>
        <w:t>ANEXO I</w:t>
      </w:r>
    </w:p>
    <w:p>
      <w:pPr>
        <w:tabs>
          <w:tab w:val="left" w:pos="204"/>
          <w:tab w:val="left" w:pos="720"/>
        </w:tabs>
        <w:jc w:val="center"/>
        <w:rPr>
          <w:b/>
          <w:bCs/>
        </w:rPr>
      </w:pPr>
      <w:r>
        <w:rPr>
          <w:rFonts w:ascii="Calibri" w:hAnsi="Calibri" w:cs="Calibri"/>
          <w:b/>
          <w:bCs/>
          <w:sz w:val="24"/>
          <w:szCs w:val="24"/>
        </w:rPr>
        <w:t xml:space="preserve">PREGÃO ELETRÔNICO Nº </w:t>
      </w:r>
      <w:r>
        <w:rPr>
          <w:rFonts w:ascii="Calibri" w:hAnsi="Calibri" w:cs="Calibri"/>
          <w:b/>
          <w:bCs/>
          <w:sz w:val="24"/>
          <w:szCs w:val="24"/>
          <w:lang w:val="pt-BR"/>
        </w:rPr>
        <w:t>1182/2023</w:t>
      </w:r>
    </w:p>
    <w:p>
      <w:pPr>
        <w:pStyle w:val="657"/>
        <w:tabs>
          <w:tab w:val="left" w:pos="142"/>
        </w:tabs>
        <w:suppressAutoHyphens/>
        <w:spacing w:before="1" w:after="0"/>
        <w:ind w:left="142" w:right="259" w:firstLine="0"/>
        <w:jc w:val="center"/>
        <w:rPr>
          <w:rFonts w:ascii="Calibri" w:hAnsi="Calibri" w:cs="Calibri"/>
          <w:bCs/>
          <w:sz w:val="24"/>
          <w:szCs w:val="24"/>
          <w:lang w:val="pt-PT"/>
        </w:rPr>
      </w:pPr>
      <w:r>
        <w:rPr>
          <w:rFonts w:ascii="Calibri" w:hAnsi="Calibri" w:cs="Calibri"/>
          <w:b/>
          <w:bCs/>
          <w:color w:val="000000"/>
          <w:sz w:val="24"/>
          <w:szCs w:val="24"/>
          <w:lang w:val="pt-PT"/>
        </w:rPr>
        <w:t>Quadro de Quantitativos e Especificações Mínimas do(s) Item(ns)</w:t>
      </w:r>
    </w:p>
    <w:p>
      <w:pPr>
        <w:tabs>
          <w:tab w:val="left" w:pos="142"/>
        </w:tabs>
        <w:suppressAutoHyphens/>
        <w:spacing w:before="1" w:after="0"/>
        <w:ind w:left="142" w:right="259" w:firstLine="0"/>
        <w:jc w:val="center"/>
        <w:rPr>
          <w:rFonts w:ascii="Calibri" w:hAnsi="Calibri" w:cs="Calibri"/>
          <w:lang w:val="pt-PT"/>
        </w:rPr>
      </w:pPr>
    </w:p>
    <w:tbl>
      <w:tblPr>
        <w:tblStyle w:val="13"/>
        <w:tblW w:w="9708" w:type="dxa"/>
        <w:jc w:val="center"/>
        <w:tblLayout w:type="fixed"/>
        <w:tblCellMar>
          <w:top w:w="15" w:type="dxa"/>
          <w:left w:w="15" w:type="dxa"/>
          <w:bottom w:w="15" w:type="dxa"/>
          <w:right w:w="15" w:type="dxa"/>
        </w:tblCellMar>
      </w:tblPr>
      <w:tblGrid>
        <w:gridCol w:w="594"/>
        <w:gridCol w:w="1067"/>
        <w:gridCol w:w="1500"/>
        <w:gridCol w:w="3453"/>
        <w:gridCol w:w="1727"/>
        <w:gridCol w:w="1367"/>
      </w:tblGrid>
      <w:tr>
        <w:trPr>
          <w:jc w:val="center"/>
        </w:trPr>
        <w:tc>
          <w:tcPr>
            <w:tcW w:w="594"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Item</w:t>
            </w:r>
          </w:p>
        </w:tc>
        <w:tc>
          <w:tcPr>
            <w:tcW w:w="1067"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rPr>
                <w:rStyle w:val="592"/>
                <w:rFonts w:ascii="Calibri" w:hAnsi="Calibri" w:eastAsia="SimSun" w:cs="Times New Roman"/>
                <w:kern w:val="0"/>
                <w:sz w:val="24"/>
                <w:szCs w:val="24"/>
                <w:lang w:val="pt-BR" w:eastAsia="zh-CN" w:bidi="hi-IN"/>
              </w:rPr>
            </w:pPr>
            <w:r>
              <w:rPr>
                <w:rStyle w:val="592"/>
                <w:rFonts w:ascii="Calibri" w:hAnsi="Calibri" w:eastAsia="SimSun" w:cs="Times New Roman"/>
                <w:kern w:val="0"/>
                <w:sz w:val="24"/>
                <w:szCs w:val="24"/>
                <w:lang w:val="pt-BR" w:eastAsia="zh-CN" w:bidi="hi-IN"/>
              </w:rPr>
              <w:t>Grupo/</w:t>
            </w:r>
          </w:p>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Classe</w:t>
            </w:r>
          </w:p>
        </w:tc>
        <w:tc>
          <w:tcPr>
            <w:tcW w:w="150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Código</w:t>
            </w:r>
          </w:p>
        </w:tc>
        <w:tc>
          <w:tcPr>
            <w:tcW w:w="3453" w:type="dxa"/>
            <w:tcBorders>
              <w:top w:val="single" w:color="000000" w:sz="4" w:space="0"/>
              <w:left w:val="single" w:color="000000" w:sz="4" w:space="0"/>
              <w:bottom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Descrição do Material</w:t>
            </w:r>
          </w:p>
        </w:tc>
        <w:tc>
          <w:tcPr>
            <w:tcW w:w="1727" w:type="dxa"/>
            <w:tcBorders>
              <w:top w:val="single" w:color="000000" w:sz="4" w:space="0"/>
              <w:left w:val="single" w:color="000000" w:sz="4" w:space="0"/>
              <w:bottom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UN</w:t>
            </w:r>
          </w:p>
        </w:tc>
        <w:tc>
          <w:tcPr>
            <w:tcW w:w="1367"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pPr>
            <w:r>
              <w:rPr>
                <w:rStyle w:val="592"/>
                <w:rFonts w:ascii="Calibri" w:hAnsi="Calibri" w:eastAsia="SimSun" w:cs="Times New Roman"/>
                <w:kern w:val="0"/>
                <w:sz w:val="24"/>
                <w:szCs w:val="24"/>
                <w:lang w:val="pt-BR" w:eastAsia="zh-CN" w:bidi="hi-IN"/>
              </w:rPr>
              <w:t>Total</w:t>
            </w:r>
          </w:p>
        </w:tc>
      </w:tr>
      <w:tr>
        <w:tblPrEx>
          <w:tblCellMar>
            <w:top w:w="15" w:type="dxa"/>
            <w:left w:w="15" w:type="dxa"/>
            <w:bottom w:w="15" w:type="dxa"/>
            <w:right w:w="15" w:type="dxa"/>
          </w:tblCellMar>
        </w:tblPrEx>
        <w:trPr>
          <w:trHeight w:val="255" w:hRule="atLeast"/>
          <w:jc w:val="center"/>
        </w:trPr>
        <w:tc>
          <w:tcPr>
            <w:tcW w:w="594"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w:t>
            </w:r>
          </w:p>
        </w:tc>
        <w:tc>
          <w:tcPr>
            <w:tcW w:w="1067"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6207</w:t>
            </w:r>
          </w:p>
        </w:tc>
        <w:tc>
          <w:tcPr>
            <w:tcW w:w="1500"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062537001</w:t>
            </w:r>
          </w:p>
        </w:tc>
        <w:tc>
          <w:tcPr>
            <w:tcW w:w="3453" w:type="dxa"/>
            <w:tcBorders>
              <w:top w:val="single" w:color="000000" w:sz="4" w:space="0"/>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Acetamida P.A</w:t>
            </w:r>
          </w:p>
        </w:tc>
        <w:tc>
          <w:tcPr>
            <w:tcW w:w="1727"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052680019</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d-melibiose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052680011</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d-salicina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052680003</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Dulcitol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052680016</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Maltose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052680017</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manitol ou Manita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7</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052680018</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manose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052680010</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Sacarose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9</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6211</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052680014</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Açúcar para laboratório Xilose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034649002</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Agar entérico hektoen (agar he), com a seguinte composição em gramas por litro: proteose peptona 12,0; extrato de levedura 3,0; lactose 12,0; sacarose 12,0; salicina 2,0; cloreto de sódio 5,0; tiossulfato de sódio 5,0; citrato férrico amoniacal 1,5; sais biliares ou ox-bile ou oxgall 9,0; fucsina ácida 0,1; azul de bromotimol 0,065; agar 14,0. Ph 7,5 +- 0,2.</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4.500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034649039</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Agar manitol gema de ovo polimixina (MYP) composição por litro: extrato de carne 1,0g; peptona 10,0g; manitol 10,0g; cloreto de sódio 10,0g; vermelho de fenol 0,025g; agar 12,0 a 15,0 g. ph 7,2 +/- 0,2.</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034665027</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Caldo dextrose azida composição por litro: extrato de carne 4,5g; triptona 7,5g; proteose peptona n.3 7,5g; glicose 7,5g; cloreto de sódio 7,5g; azida sódica 0,2g; ph 7,2 +/- 0,2.</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034665036</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Caldo tripticase soja ou caldo soja triptona.</w:t>
            </w:r>
            <w:r>
              <w:rPr>
                <w:rFonts w:ascii="Calibri" w:hAnsi="Calibri" w:eastAsia="SimSun" w:cs="Times New Roman"/>
                <w:kern w:val="0"/>
                <w:sz w:val="24"/>
                <w:szCs w:val="24"/>
                <w:lang w:val="pt-BR" w:eastAsia="zh-CN" w:bidi="hi-IN"/>
              </w:rPr>
              <w:br w:type="textWrapping"/>
            </w:r>
            <w:r>
              <w:rPr>
                <w:rFonts w:ascii="Calibri" w:hAnsi="Calibri" w:eastAsia="SimSun" w:cs="Times New Roman"/>
                <w:kern w:val="0"/>
                <w:sz w:val="24"/>
                <w:szCs w:val="24"/>
                <w:lang w:val="pt-BR" w:eastAsia="zh-CN" w:bidi="hi-IN"/>
              </w:rPr>
              <w:t>Composição por litro: Triptona 17,0g; Peptona de soja 3,0g; Cloreto de Sódio 5,0g; Fosfato dipotássico 2,5g; Glicose 2,5g; ph 7,3 +/- 0,2.</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3.000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14</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6215</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056367002</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EDTA P.A (sal dissódico)</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6215</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056367003</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edta tetrasodico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16</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6215</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036161004</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Fosfato de sódio monobásico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17</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6215</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058688002</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Hidrato de cefalexina ou cefalexina hidratada.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6116</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036536013</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Indicador de anaerobiose para uso em jarra.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tira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036218001</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Meio bacto-leptospira enrichment</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mililitro</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034649026</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Meio cta (cystine tryptic agar) - agar cistina triptica, com a seguinte composição em gramas por litro: triptona 20,0; l-cistina 0,5; cloreto de sódio 5,0; sulfito de sódio 0,5; agar 2,5; vermelho de fenol 0,017. ph 7,3 ± 0,2</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21</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6209</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046493004</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Sistema de geração de anaerobiose - uso em jarra de 2,5 litros</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envelope</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22</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6209</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046493005</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Sistema gerador de microaerofilia para uso em jarra 2,5 L</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envelope</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170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23</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6209</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052590009</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seletivo de antibióticos para isolamento de Campylobacter SPP contendo: Vancomicina 5,0mg + Polimixina b 1250 ui + Trimetoprin 2,5mg + Anfotericina b 1,0mg + Cefalotina 7,5mg</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frasco</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24</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6209</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052590007</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seletivo para agar M-CCDA. Cefoperazone 16 mg e anfotericina b 5 mg.</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frasco</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6209</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052590002</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seletivo para agar oxford. Fosfomicina 5 mg, cefotetan 1 mg, colistina sulfato 10 mg, cicloheximida 200 mg, acriflavine 2,5 mg.</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frasco</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26</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6209</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052590006</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seletivo para Bacillus Cereus. Sulfato de polimixina B-50.000 UI</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frasco</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27</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6207</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036293002</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Suplemento vx, caixa com 5 frascos com o suplemento liofilizado e 5 frascos de solução diluente (5 mL cada)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caixa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28</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6215</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053295001</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Tiossulfato de Sódio P.A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29</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034649094</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Agar sabouraud dextrose 2%, com a seguinte composição: caseína hidrolisada= 10 g, dextrose= 20 g, Agar= 20 g.</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4.000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30</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6207</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056430001</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Hemoglobina liofilizada de bovino.</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31</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074659005</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Peptona de soja</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grama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32</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034649105</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Agar sangue, base agar columbia com 5% de sangue desfibrinado de carneiro. Placas preparadas de 90mm de diâmetro. Certificado de qualidade do lote. Entrega programada conforme programação da unidade solicitante.</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peca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2.500</w:t>
            </w:r>
          </w:p>
        </w:tc>
      </w:tr>
      <w:tr>
        <w:tblPrEx>
          <w:tblCellMar>
            <w:top w:w="15" w:type="dxa"/>
            <w:left w:w="15" w:type="dxa"/>
            <w:bottom w:w="15" w:type="dxa"/>
            <w:right w:w="15" w:type="dxa"/>
          </w:tblCellMar>
        </w:tblPrEx>
        <w:trPr>
          <w:trHeight w:val="255" w:hRule="atLeast"/>
          <w:jc w:val="center"/>
        </w:trPr>
        <w:tc>
          <w:tcPr>
            <w:tcW w:w="594"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33</w:t>
            </w:r>
          </w:p>
        </w:tc>
        <w:tc>
          <w:tcPr>
            <w:tcW w:w="10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6213</w:t>
            </w:r>
          </w:p>
        </w:tc>
        <w:tc>
          <w:tcPr>
            <w:tcW w:w="1500"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034649106</w:t>
            </w:r>
          </w:p>
        </w:tc>
        <w:tc>
          <w:tcPr>
            <w:tcW w:w="3453"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Agar Mueller Hinton produzido em placa de petri de poliestireno cristal (plana) de 150 mm de diâmetro. A espessura do ágar deve ser de 4 mm na placa, conforme referência do CLSI. Deve vir com certificado de qualidade do lote. A entrega deve ser realizada conforme programação da unidade solicitante.</w:t>
            </w:r>
          </w:p>
        </w:tc>
        <w:tc>
          <w:tcPr>
            <w:tcW w:w="172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peca</w:t>
            </w:r>
          </w:p>
        </w:tc>
        <w:tc>
          <w:tcPr>
            <w:tcW w:w="136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4.000</w:t>
            </w:r>
          </w:p>
        </w:tc>
      </w:tr>
    </w:tbl>
    <w:p>
      <w:pPr>
        <w:spacing w:before="1" w:after="0"/>
        <w:ind w:right="259" w:firstLine="0"/>
        <w:jc w:val="both"/>
        <w:rPr>
          <w:rFonts w:eastAsia="NSimSun" w:cs="Lucida Sans"/>
          <w:kern w:val="0"/>
          <w:lang w:val="pt-BR" w:eastAsia="zh-CN" w:bidi="hi-IN"/>
        </w:rPr>
      </w:pPr>
    </w:p>
    <w:p>
      <w:pPr>
        <w:spacing w:before="1" w:after="0" w:line="0" w:lineRule="atLeast"/>
        <w:ind w:left="0" w:right="259" w:firstLine="0"/>
        <w:jc w:val="both"/>
        <w:rPr>
          <w:rFonts w:ascii="Calibri" w:hAnsi="Calibri" w:cs="Calibri"/>
          <w:b w:val="0"/>
          <w:bCs w:val="0"/>
          <w:color w:val="000000"/>
          <w:sz w:val="24"/>
          <w:szCs w:val="24"/>
        </w:rPr>
      </w:pPr>
      <w:r>
        <w:rPr>
          <w:rFonts w:ascii="Calibri" w:hAnsi="Calibri" w:cs="Calibri"/>
          <w:b w:val="0"/>
          <w:bCs w:val="0"/>
          <w:color w:val="000000"/>
          <w:sz w:val="24"/>
          <w:szCs w:val="24"/>
          <w:lang w:val="pt-PT"/>
        </w:rPr>
        <w:t>(1) As quantidades licitadas são estimativas, podendo a contratante requisitar quantidades maiores ou menores conforme a efetiva necessidade, respeitando-se os limites estabelecidos pela legislação.</w:t>
      </w:r>
    </w:p>
    <w:p>
      <w:pPr>
        <w:spacing w:before="1" w:after="0" w:line="0" w:lineRule="atLeast"/>
        <w:ind w:left="0" w:right="259" w:firstLine="0"/>
        <w:jc w:val="both"/>
        <w:rPr>
          <w:color w:val="000000"/>
        </w:rPr>
      </w:pPr>
      <w:r>
        <w:rPr>
          <w:rFonts w:ascii="Calibri" w:hAnsi="Calibri" w:cs="Calibri"/>
          <w:b w:val="0"/>
          <w:bCs w:val="0"/>
          <w:color w:val="000000"/>
          <w:sz w:val="24"/>
          <w:szCs w:val="24"/>
          <w:lang w:val="pt-PT"/>
        </w:rPr>
        <w:t>(2) As proponentes devem oferecer propostas prevendo o quantitativo total solicitado para cada item, sendo vetado o oferecimento de quantidades menores que o consumo estimado neste instrumento</w:t>
      </w:r>
    </w:p>
    <w:p>
      <w:pPr>
        <w:pStyle w:val="2"/>
        <w:spacing w:before="1" w:after="0" w:line="0" w:lineRule="atLeast"/>
        <w:ind w:left="0" w:right="259" w:firstLine="0"/>
        <w:jc w:val="both"/>
        <w:rPr>
          <w:rFonts w:ascii="Calibri" w:hAnsi="Calibri" w:cs="Calibri"/>
          <w:b w:val="0"/>
          <w:bCs w:val="0"/>
          <w:color w:val="000000"/>
          <w:sz w:val="24"/>
          <w:szCs w:val="24"/>
        </w:rPr>
      </w:pPr>
    </w:p>
    <w:p>
      <w:pPr>
        <w:tabs>
          <w:tab w:val="left" w:pos="0"/>
        </w:tabs>
        <w:jc w:val="both"/>
        <w:rPr>
          <w:rFonts w:ascii="Calibri" w:hAnsi="Calibri"/>
        </w:rPr>
      </w:pPr>
      <w:r>
        <w:rPr>
          <w:rFonts w:ascii="Calibri" w:hAnsi="Calibri" w:cs="Calibri"/>
          <w:b/>
          <w:bCs/>
          <w:sz w:val="24"/>
          <w:szCs w:val="24"/>
        </w:rPr>
        <w:t xml:space="preserve">1 – </w:t>
      </w:r>
      <w:r>
        <w:rPr>
          <w:rFonts w:ascii="Calibri" w:hAnsi="Calibri" w:cs="Calibri"/>
          <w:b/>
          <w:sz w:val="24"/>
          <w:szCs w:val="24"/>
        </w:rPr>
        <w:t>PRAZOS E CONDIÇÕES DE FORNECIMENTO</w:t>
      </w:r>
    </w:p>
    <w:p>
      <w:pPr>
        <w:jc w:val="both"/>
        <w:rPr>
          <w:rFonts w:ascii="Calibri" w:hAnsi="Calibri"/>
        </w:rPr>
      </w:pPr>
      <w:r>
        <w:rPr>
          <w:rFonts w:ascii="Calibri" w:hAnsi="Calibri" w:cs="Calibri"/>
          <w:b/>
          <w:sz w:val="24"/>
          <w:szCs w:val="24"/>
        </w:rPr>
        <w:t xml:space="preserve">1.1 – </w:t>
      </w:r>
      <w:r>
        <w:rPr>
          <w:rFonts w:ascii="Calibri" w:hAnsi="Calibri" w:cs="Calibri"/>
          <w:sz w:val="24"/>
          <w:szCs w:val="24"/>
        </w:rPr>
        <w:t>Prazo de entrega –</w:t>
      </w:r>
      <w:r>
        <w:rPr>
          <w:rFonts w:ascii="Calibri" w:hAnsi="Calibri" w:cs="Calibri"/>
          <w:b/>
          <w:sz w:val="24"/>
          <w:szCs w:val="24"/>
        </w:rPr>
        <w:t xml:space="preserve"> </w:t>
      </w:r>
      <w:r>
        <w:rPr>
          <w:rFonts w:ascii="Calibri" w:hAnsi="Calibri" w:cs="Calibri"/>
          <w:sz w:val="24"/>
          <w:szCs w:val="24"/>
        </w:rPr>
        <w:t xml:space="preserve">em até 20 dias após emissão da autorização de fornecimento e/ou assinatura do Contrato; </w:t>
      </w:r>
    </w:p>
    <w:p>
      <w:pPr>
        <w:tabs>
          <w:tab w:val="left" w:pos="10522"/>
        </w:tabs>
        <w:jc w:val="both"/>
        <w:rPr>
          <w:rFonts w:ascii="Calibri" w:hAnsi="Calibri"/>
        </w:rPr>
      </w:pPr>
      <w:r>
        <w:rPr>
          <w:rFonts w:ascii="Calibri" w:hAnsi="Calibri" w:cs="Calibri"/>
          <w:b/>
          <w:sz w:val="24"/>
          <w:szCs w:val="24"/>
        </w:rPr>
        <w:t xml:space="preserve">1.1.1 – </w:t>
      </w:r>
      <w:r>
        <w:rPr>
          <w:rFonts w:ascii="Calibri" w:hAnsi="Calibri" w:cs="Calibri"/>
          <w:sz w:val="24"/>
          <w:szCs w:val="24"/>
          <w:lang w:val="pt-PT"/>
        </w:rPr>
        <w:t>A licitante vencedora terá o prazo de 05 (cinco) dias úteis, a contar da data da convocação por e-mail ou similar, para assinatura da Ata/Contrato;</w:t>
      </w:r>
    </w:p>
    <w:p>
      <w:pPr>
        <w:tabs>
          <w:tab w:val="left" w:pos="2592"/>
          <w:tab w:val="left" w:pos="9072"/>
        </w:tabs>
        <w:jc w:val="both"/>
        <w:rPr>
          <w:rFonts w:ascii="Calibri" w:hAnsi="Calibri"/>
        </w:rPr>
      </w:pPr>
      <w:r>
        <w:rPr>
          <w:rFonts w:ascii="Calibri" w:hAnsi="Calibri" w:cs="Calibri"/>
          <w:b/>
          <w:sz w:val="24"/>
          <w:szCs w:val="24"/>
          <w:lang w:val="pt-PT"/>
        </w:rPr>
        <w:t>1</w:t>
      </w:r>
      <w:r>
        <w:rPr>
          <w:rFonts w:ascii="Calibri" w:hAnsi="Calibri" w:cs="Calibri"/>
          <w:b/>
          <w:sz w:val="24"/>
          <w:szCs w:val="24"/>
        </w:rPr>
        <w:t xml:space="preserve">.1.2 – </w:t>
      </w:r>
      <w:r>
        <w:rPr>
          <w:rFonts w:ascii="Calibri" w:hAnsi="Calibri" w:cs="Calibri"/>
          <w:sz w:val="24"/>
          <w:szCs w:val="24"/>
          <w:lang w:val="pt-PT"/>
        </w:rPr>
        <w:t xml:space="preserve">Após a entrega, a Comissão de Recebimento de Materiais terá 03 (três) dias úteis para examinar os materiais/produtos/bens entregues, exceto quando o aceite depender de laudo ou parecer técnico. Na conferência destes, caso haja </w:t>
      </w:r>
      <w:r>
        <w:rPr>
          <w:rFonts w:ascii="Calibri" w:hAnsi="Calibri" w:cs="Calibri"/>
          <w:sz w:val="24"/>
          <w:szCs w:val="24"/>
        </w:rPr>
        <w:t>diferença entre o produto solicitado e o entregue (especificação, quantidade, volume, etc.), o mesmo será devolvido com ônus para o fornecedor;</w:t>
      </w:r>
    </w:p>
    <w:p>
      <w:pPr>
        <w:pStyle w:val="676"/>
        <w:ind w:left="0" w:right="0" w:firstLine="0"/>
        <w:jc w:val="both"/>
        <w:rPr>
          <w:rFonts w:ascii="Calibri" w:hAnsi="Calibri"/>
        </w:rPr>
      </w:pPr>
      <w:r>
        <w:rPr>
          <w:rFonts w:ascii="Calibri" w:hAnsi="Calibri" w:cs="Calibri"/>
          <w:b/>
          <w:sz w:val="24"/>
          <w:szCs w:val="24"/>
        </w:rPr>
        <w:t xml:space="preserve">1.2 – </w:t>
      </w:r>
      <w:r>
        <w:rPr>
          <w:rFonts w:ascii="Calibri" w:hAnsi="Calibri" w:cs="Calibri"/>
          <w:sz w:val="24"/>
          <w:szCs w:val="24"/>
        </w:rPr>
        <w:t>A entrega do objeto desta licitação deverá ser efetuada no Laboratório Central de Saúde Pública (LACEN), na Rua Felipe Schmidt, nº 788 – Centro – Florianópolis – SC, nas quantidades constantes na Autorização de Fornecimento, correndo por conta da Contratada as despesas de embalagem, seguros, transporte, tributos, encargos trabalhistas e previdenciários decorrentes do fornecimento;</w:t>
      </w:r>
    </w:p>
    <w:p>
      <w:pPr>
        <w:tabs>
          <w:tab w:val="left" w:pos="204"/>
          <w:tab w:val="left" w:pos="457"/>
        </w:tabs>
        <w:jc w:val="both"/>
        <w:rPr>
          <w:rFonts w:ascii="Calibri" w:hAnsi="Calibri"/>
        </w:rPr>
      </w:pPr>
      <w:r>
        <w:rPr>
          <w:rFonts w:ascii="Calibri" w:hAnsi="Calibri" w:cs="Calibri"/>
          <w:b/>
          <w:sz w:val="24"/>
          <w:szCs w:val="24"/>
        </w:rPr>
        <w:t>1.3</w:t>
      </w:r>
      <w:r>
        <w:rPr>
          <w:rFonts w:ascii="Calibri" w:hAnsi="Calibri" w:cs="Calibri"/>
          <w:b/>
          <w:bCs/>
          <w:sz w:val="24"/>
          <w:szCs w:val="24"/>
        </w:rPr>
        <w:t xml:space="preserve"> – </w:t>
      </w:r>
      <w:r>
        <w:rPr>
          <w:rFonts w:ascii="Calibri" w:hAnsi="Calibri" w:cs="Calibri"/>
          <w:sz w:val="24"/>
          <w:szCs w:val="24"/>
        </w:rPr>
        <w:t>Todo produto cotado (material, equipamento, etc.), deverá ser entregue devidamente acondicionado, em temperatura adequada, embalado em caixa de madeira, papelão, isopor ou similar, que venha a garantir a integridade dos mesmos;</w:t>
      </w:r>
    </w:p>
    <w:p>
      <w:pPr>
        <w:tabs>
          <w:tab w:val="left" w:pos="2592"/>
          <w:tab w:val="left" w:pos="9072"/>
        </w:tabs>
        <w:jc w:val="both"/>
        <w:rPr>
          <w:rFonts w:ascii="Calibri" w:hAnsi="Calibri"/>
        </w:rPr>
      </w:pPr>
      <w:r>
        <w:rPr>
          <w:rFonts w:ascii="Calibri" w:hAnsi="Calibri" w:cs="Calibri"/>
          <w:b/>
          <w:sz w:val="24"/>
          <w:szCs w:val="24"/>
        </w:rPr>
        <w:t>1.3.1</w:t>
      </w:r>
      <w:r>
        <w:rPr>
          <w:rFonts w:ascii="Calibri" w:hAnsi="Calibri" w:cs="Calibri"/>
          <w:b/>
          <w:bCs/>
          <w:sz w:val="24"/>
          <w:szCs w:val="24"/>
        </w:rPr>
        <w:t xml:space="preserve"> – </w:t>
      </w:r>
      <w:r>
        <w:rPr>
          <w:rFonts w:ascii="Calibri" w:hAnsi="Calibri" w:cs="Calibri"/>
          <w:sz w:val="24"/>
          <w:szCs w:val="24"/>
          <w:lang w:val="pt-PT"/>
        </w:rPr>
        <w:t>O material deverá indicar na embalagem a razão social da Contratada, o número deste Pregão, o número da nota fiscal e o número da Autorização de Fornecimento/Contrato;</w:t>
      </w:r>
    </w:p>
    <w:p>
      <w:pPr>
        <w:tabs>
          <w:tab w:val="left" w:pos="2592"/>
          <w:tab w:val="left" w:pos="9072"/>
        </w:tabs>
        <w:jc w:val="both"/>
        <w:rPr>
          <w:rFonts w:ascii="Calibri" w:hAnsi="Calibri"/>
        </w:rPr>
      </w:pPr>
      <w:r>
        <w:rPr>
          <w:rFonts w:ascii="Calibri" w:hAnsi="Calibri" w:cs="Calibri"/>
          <w:b/>
          <w:sz w:val="24"/>
          <w:szCs w:val="24"/>
        </w:rPr>
        <w:t>1.4</w:t>
      </w:r>
      <w:r>
        <w:rPr>
          <w:rFonts w:ascii="Calibri" w:hAnsi="Calibri" w:cs="Calibri"/>
          <w:b/>
          <w:bCs/>
          <w:sz w:val="24"/>
          <w:szCs w:val="24"/>
        </w:rPr>
        <w:t xml:space="preserve"> –</w:t>
      </w:r>
      <w:r>
        <w:rPr>
          <w:rFonts w:ascii="Calibri" w:hAnsi="Calibri" w:cs="Calibri"/>
          <w:sz w:val="24"/>
          <w:szCs w:val="24"/>
        </w:rPr>
        <w:t xml:space="preserve"> Quando se tratar de conjuntos de diagnóstico (kits), o preço deve incluir todos os materiais necessários para sua execução, tais como os testes, as soluções de lavagem, tampões, cubetas, controles, calibradores, papel para impressão (não termo sensível), cartuchos de tinta para impressoras, pipetas, ponteiras entre outros;</w:t>
      </w:r>
    </w:p>
    <w:p>
      <w:pPr>
        <w:jc w:val="both"/>
        <w:rPr>
          <w:rFonts w:ascii="Calibri" w:hAnsi="Calibri"/>
        </w:rPr>
      </w:pPr>
      <w:r>
        <w:rPr>
          <w:rFonts w:ascii="Calibri" w:hAnsi="Calibri" w:cs="Calibri"/>
          <w:b/>
          <w:sz w:val="24"/>
          <w:szCs w:val="24"/>
        </w:rPr>
        <w:t>1.5 – Caso seja necessária a realização de uma avaliação</w:t>
      </w:r>
      <w:r>
        <w:rPr>
          <w:rFonts w:ascii="Calibri" w:hAnsi="Calibri" w:cs="Calibri"/>
          <w:sz w:val="24"/>
          <w:szCs w:val="24"/>
        </w:rPr>
        <w:t>, a contratada deverá instalar os equipamentos e fornecer os testes para serem avaliados pelo corpo técnico do LACEN em Florianópolis, bem como apresentar um cronograma de manutenção preventiva dos equipamentos. Para isso, a contratada terá o prazo de 20 dias corridos, sob pena de decair o direito a contratação;</w:t>
      </w:r>
    </w:p>
    <w:p>
      <w:pPr>
        <w:pStyle w:val="16"/>
        <w:ind w:left="0" w:right="-258" w:firstLine="0"/>
        <w:rPr>
          <w:rFonts w:ascii="Calibri" w:hAnsi="Calibri"/>
        </w:rPr>
      </w:pPr>
      <w:r>
        <w:rPr>
          <w:rFonts w:ascii="Calibri" w:hAnsi="Calibri" w:cs="Calibri"/>
          <w:b/>
          <w:bCs/>
          <w:sz w:val="24"/>
          <w:szCs w:val="24"/>
        </w:rPr>
        <w:t xml:space="preserve">1.5.1 – </w:t>
      </w:r>
      <w:r>
        <w:rPr>
          <w:rFonts w:ascii="Calibri" w:hAnsi="Calibri" w:cs="Calibri"/>
          <w:sz w:val="24"/>
          <w:szCs w:val="24"/>
        </w:rPr>
        <w:t xml:space="preserve">A avaliação dos </w:t>
      </w:r>
      <w:r>
        <w:rPr>
          <w:rFonts w:ascii="Calibri" w:hAnsi="Calibri" w:cs="Calibri"/>
          <w:b/>
          <w:sz w:val="24"/>
          <w:szCs w:val="24"/>
        </w:rPr>
        <w:t>testes e equipamentos</w:t>
      </w:r>
      <w:r>
        <w:rPr>
          <w:rFonts w:ascii="Calibri" w:hAnsi="Calibri" w:cs="Calibri"/>
          <w:sz w:val="24"/>
          <w:szCs w:val="24"/>
        </w:rPr>
        <w:t xml:space="preserve"> observará os seguintes parâmetros:</w:t>
      </w:r>
    </w:p>
    <w:p>
      <w:pPr>
        <w:jc w:val="both"/>
        <w:rPr>
          <w:rFonts w:ascii="Calibri" w:hAnsi="Calibri" w:cs="Calibri"/>
          <w:sz w:val="24"/>
          <w:szCs w:val="24"/>
        </w:rPr>
      </w:pPr>
      <w:r>
        <w:rPr>
          <w:rFonts w:ascii="Calibri" w:hAnsi="Calibri" w:cs="Calibri"/>
          <w:sz w:val="24"/>
          <w:szCs w:val="24"/>
        </w:rPr>
        <w:t>a) sensibilidade e especificidade dos testes;</w:t>
      </w:r>
    </w:p>
    <w:p>
      <w:pPr>
        <w:jc w:val="both"/>
        <w:rPr>
          <w:rFonts w:ascii="Calibri" w:hAnsi="Calibri" w:cs="Calibri"/>
          <w:sz w:val="24"/>
          <w:szCs w:val="24"/>
        </w:rPr>
      </w:pPr>
      <w:r>
        <w:rPr>
          <w:rFonts w:ascii="Calibri" w:hAnsi="Calibri" w:cs="Calibri"/>
          <w:sz w:val="24"/>
          <w:szCs w:val="24"/>
        </w:rPr>
        <w:t>b) tempo de execução da técnica;</w:t>
      </w:r>
    </w:p>
    <w:p>
      <w:pPr>
        <w:jc w:val="both"/>
        <w:rPr>
          <w:rFonts w:ascii="Calibri" w:hAnsi="Calibri" w:cs="Calibri"/>
          <w:sz w:val="24"/>
          <w:szCs w:val="24"/>
        </w:rPr>
      </w:pPr>
      <w:r>
        <w:rPr>
          <w:rFonts w:ascii="Calibri" w:hAnsi="Calibri" w:cs="Calibri"/>
          <w:sz w:val="24"/>
          <w:szCs w:val="24"/>
        </w:rPr>
        <w:t>c) tempo para liberação dos resultados;</w:t>
      </w:r>
    </w:p>
    <w:p>
      <w:pPr>
        <w:jc w:val="both"/>
        <w:rPr>
          <w:rFonts w:ascii="Calibri" w:hAnsi="Calibri" w:cs="Calibri"/>
          <w:sz w:val="24"/>
          <w:szCs w:val="24"/>
        </w:rPr>
      </w:pPr>
      <w:r>
        <w:rPr>
          <w:rFonts w:ascii="Calibri" w:hAnsi="Calibri" w:cs="Calibri"/>
          <w:sz w:val="24"/>
          <w:szCs w:val="24"/>
        </w:rPr>
        <w:t>d) reprodutibilidade dos ensaios, e</w:t>
      </w:r>
    </w:p>
    <w:p>
      <w:pPr>
        <w:jc w:val="both"/>
        <w:rPr>
          <w:rFonts w:ascii="Calibri" w:hAnsi="Calibri" w:cs="Calibri"/>
          <w:sz w:val="24"/>
          <w:szCs w:val="24"/>
        </w:rPr>
      </w:pPr>
      <w:r>
        <w:rPr>
          <w:rFonts w:ascii="Calibri" w:hAnsi="Calibri" w:cs="Calibri"/>
          <w:sz w:val="24"/>
          <w:szCs w:val="24"/>
        </w:rPr>
        <w:t>e) desempenho do equipamento.</w:t>
      </w:r>
    </w:p>
    <w:p>
      <w:pPr>
        <w:pStyle w:val="16"/>
        <w:tabs>
          <w:tab w:val="left" w:pos="9923"/>
          <w:tab w:val="left" w:pos="10348"/>
        </w:tabs>
        <w:rPr>
          <w:rFonts w:ascii="Calibri" w:hAnsi="Calibri"/>
        </w:rPr>
      </w:pPr>
      <w:r>
        <w:rPr>
          <w:rFonts w:ascii="Calibri" w:hAnsi="Calibri" w:cs="Calibri"/>
          <w:b/>
          <w:bCs/>
          <w:sz w:val="24"/>
          <w:szCs w:val="24"/>
        </w:rPr>
        <w:t xml:space="preserve">1.5.2 – </w:t>
      </w:r>
      <w:r>
        <w:rPr>
          <w:rFonts w:ascii="Calibri" w:hAnsi="Calibri" w:cs="Calibri"/>
          <w:bCs/>
          <w:sz w:val="24"/>
          <w:szCs w:val="24"/>
        </w:rPr>
        <w:t>Será reprovada a metodologia dos testes e ou equipamentos que não atenderem os parâmetros descritos no item 1.5.1. Um relatório será elaborado pelo corpo técnico do LACEN contendo a conclusão da avaliação;</w:t>
      </w:r>
    </w:p>
    <w:p>
      <w:pPr>
        <w:pStyle w:val="16"/>
        <w:tabs>
          <w:tab w:val="left" w:pos="9923"/>
          <w:tab w:val="left" w:pos="10065"/>
          <w:tab w:val="left" w:pos="10348"/>
          <w:tab w:val="left" w:pos="10632"/>
        </w:tabs>
        <w:rPr>
          <w:rFonts w:ascii="Calibri" w:hAnsi="Calibri"/>
        </w:rPr>
      </w:pPr>
      <w:r>
        <w:rPr>
          <w:rFonts w:ascii="Calibri" w:hAnsi="Calibri" w:cs="Calibri"/>
          <w:b/>
          <w:sz w:val="24"/>
          <w:szCs w:val="24"/>
        </w:rPr>
        <w:t>1</w:t>
      </w:r>
      <w:r>
        <w:rPr>
          <w:rFonts w:ascii="Calibri" w:hAnsi="Calibri" w:cs="Calibri"/>
          <w:b/>
          <w:sz w:val="24"/>
          <w:szCs w:val="24"/>
          <w:lang w:val="pt-PT"/>
        </w:rPr>
        <w:t xml:space="preserve">.6 </w:t>
      </w:r>
      <w:r>
        <w:rPr>
          <w:rFonts w:ascii="Calibri" w:hAnsi="Calibri" w:cs="Calibri"/>
          <w:b/>
          <w:bCs/>
          <w:sz w:val="24"/>
          <w:szCs w:val="24"/>
        </w:rPr>
        <w:t xml:space="preserve">– </w:t>
      </w:r>
      <w:r>
        <w:rPr>
          <w:rFonts w:ascii="Calibri" w:hAnsi="Calibri" w:cs="Calibri"/>
          <w:sz w:val="24"/>
          <w:szCs w:val="24"/>
          <w:lang w:val="pt-PT"/>
        </w:rPr>
        <w:t>A Contratante reserva-se o direito de a qualquer tempo, previamente ao aceite, ou durante o prazo de garantia do objeto ofertado e entregue, proceder a análise técnica e de qualidade do objeto, diretamente ou por intermédio de terceiros por ela escolhido. Se rejeitados, deverão ser substituídos em até 15 dias pela Contratada, sem qualquer ônus para a Contratante;</w:t>
      </w:r>
    </w:p>
    <w:p>
      <w:pPr>
        <w:ind w:left="0" w:right="-1" w:firstLine="0"/>
        <w:jc w:val="both"/>
        <w:rPr>
          <w:rFonts w:ascii="Calibri" w:hAnsi="Calibri"/>
        </w:rPr>
      </w:pPr>
      <w:r>
        <w:rPr>
          <w:rFonts w:ascii="Calibri" w:hAnsi="Calibri" w:cs="Calibri"/>
          <w:b/>
          <w:sz w:val="24"/>
          <w:szCs w:val="24"/>
          <w:lang w:val="pt-PT"/>
        </w:rPr>
        <w:t xml:space="preserve">1.7 </w:t>
      </w:r>
      <w:r>
        <w:rPr>
          <w:rFonts w:ascii="Calibri" w:hAnsi="Calibri" w:cs="Calibri"/>
          <w:b/>
          <w:bCs/>
          <w:sz w:val="24"/>
          <w:szCs w:val="24"/>
        </w:rPr>
        <w:t xml:space="preserve">– </w:t>
      </w:r>
      <w:r>
        <w:rPr>
          <w:rFonts w:ascii="Calibri" w:hAnsi="Calibri" w:cs="Calibri"/>
          <w:sz w:val="24"/>
          <w:szCs w:val="24"/>
          <w:lang w:val="pt-PT"/>
        </w:rPr>
        <w:t>A Contratada, mesmo não sendo a fabricante da matéria-prima empregada na fabricação de seu produto, responderá inteira e solidariamente pela qualidade e autenticidade deste. Deverá ainda ser obrigada a substituir o objeto desta licitação, no todo ou em parte, as suas expensas, nos casos em que se verificarem vícios, defeitos, incorreções, resultantes da fabricação ou transporte, constatado visualmente ou em laboratório, correndo estes custos por sua conta;</w:t>
      </w:r>
    </w:p>
    <w:p>
      <w:pPr>
        <w:ind w:left="0" w:right="-1" w:firstLine="0"/>
        <w:jc w:val="both"/>
        <w:rPr>
          <w:rFonts w:ascii="Calibri" w:hAnsi="Calibri"/>
        </w:rPr>
      </w:pPr>
      <w:r>
        <w:rPr>
          <w:rFonts w:ascii="Calibri" w:hAnsi="Calibri" w:cs="Calibri"/>
          <w:b/>
          <w:bCs/>
          <w:sz w:val="24"/>
          <w:szCs w:val="24"/>
          <w:lang w:val="pt-PT"/>
        </w:rPr>
        <w:t>1</w:t>
      </w:r>
      <w:r>
        <w:rPr>
          <w:rFonts w:ascii="Calibri" w:hAnsi="Calibri" w:cs="Calibri"/>
          <w:b/>
          <w:bCs/>
          <w:sz w:val="24"/>
          <w:szCs w:val="24"/>
        </w:rPr>
        <w:t xml:space="preserve">.8 – </w:t>
      </w:r>
      <w:r>
        <w:rPr>
          <w:rFonts w:ascii="Calibri" w:hAnsi="Calibri" w:cs="Calibri"/>
          <w:sz w:val="24"/>
          <w:szCs w:val="24"/>
          <w:lang w:val="pt-PT"/>
        </w:rPr>
        <w:t>O aceite do produto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Federal nº 8.078, de 11 de setembro de 1990 (Código de Defesa do Consumidor);</w:t>
      </w:r>
    </w:p>
    <w:p>
      <w:pPr>
        <w:ind w:left="0" w:right="-1" w:firstLine="0"/>
        <w:jc w:val="both"/>
        <w:rPr>
          <w:rFonts w:ascii="Calibri" w:hAnsi="Calibri"/>
        </w:rPr>
      </w:pPr>
      <w:r>
        <w:rPr>
          <w:rFonts w:ascii="Calibri" w:hAnsi="Calibri" w:cs="Calibri"/>
          <w:b/>
          <w:sz w:val="24"/>
          <w:szCs w:val="24"/>
          <w:lang w:val="pt-PT"/>
        </w:rPr>
        <w:t xml:space="preserve">1.9 </w:t>
      </w:r>
      <w:r>
        <w:rPr>
          <w:rFonts w:ascii="Calibri" w:hAnsi="Calibri" w:cs="Calibri"/>
          <w:b/>
          <w:bCs/>
          <w:sz w:val="24"/>
          <w:szCs w:val="24"/>
        </w:rPr>
        <w:t>–</w:t>
      </w:r>
      <w:r>
        <w:rPr>
          <w:rFonts w:ascii="Calibri" w:hAnsi="Calibri" w:cs="Calibri"/>
          <w:sz w:val="24"/>
          <w:szCs w:val="24"/>
          <w:lang w:val="pt-PT"/>
        </w:rPr>
        <w:t xml:space="preserve"> </w:t>
      </w:r>
      <w:r>
        <w:rPr>
          <w:rFonts w:ascii="Calibri" w:hAnsi="Calibri" w:cs="Calibri"/>
          <w:sz w:val="24"/>
          <w:szCs w:val="24"/>
        </w:rPr>
        <w:t>O objeto deverá estar de acordo com as especificações do edital;</w:t>
      </w:r>
    </w:p>
    <w:p>
      <w:pPr>
        <w:ind w:left="0" w:right="-1" w:firstLine="0"/>
        <w:jc w:val="both"/>
        <w:rPr>
          <w:rFonts w:ascii="Calibri" w:hAnsi="Calibri"/>
        </w:rPr>
      </w:pPr>
      <w:r>
        <w:rPr>
          <w:rFonts w:ascii="Calibri" w:hAnsi="Calibri" w:cs="Calibri"/>
          <w:b/>
          <w:sz w:val="24"/>
          <w:szCs w:val="24"/>
          <w:lang w:val="pt-BR"/>
        </w:rPr>
        <w:t xml:space="preserve">1.10 </w:t>
      </w:r>
      <w:r>
        <w:rPr>
          <w:rFonts w:ascii="Calibri" w:hAnsi="Calibri" w:cs="Calibri"/>
          <w:b/>
          <w:bCs/>
          <w:sz w:val="24"/>
          <w:szCs w:val="24"/>
        </w:rPr>
        <w:t>–</w:t>
      </w:r>
      <w:r>
        <w:rPr>
          <w:rFonts w:ascii="Calibri" w:hAnsi="Calibri" w:cs="Calibri"/>
          <w:b/>
          <w:bCs/>
          <w:sz w:val="24"/>
          <w:szCs w:val="24"/>
          <w:lang w:val="pt-BR"/>
        </w:rPr>
        <w:t xml:space="preserve"> </w:t>
      </w:r>
      <w:r>
        <w:rPr>
          <w:rFonts w:ascii="Calibri" w:hAnsi="Calibri" w:cs="Calibri"/>
          <w:b w:val="0"/>
          <w:bCs w:val="0"/>
          <w:sz w:val="24"/>
          <w:szCs w:val="24"/>
          <w:lang w:val="pt-BR"/>
        </w:rPr>
        <w:t>A entrega dos suprimentos deverá ser realizada conforme a demanda do LACEN.</w:t>
      </w:r>
    </w:p>
    <w:p>
      <w:pPr>
        <w:ind w:left="0" w:right="-1" w:firstLine="0"/>
        <w:jc w:val="both"/>
        <w:rPr>
          <w:rFonts w:ascii="Calibri" w:hAnsi="Calibri"/>
        </w:rPr>
      </w:pPr>
      <w:r>
        <w:rPr>
          <w:rFonts w:ascii="Calibri" w:hAnsi="Calibri" w:cs="Calibri"/>
          <w:b/>
          <w:sz w:val="24"/>
          <w:szCs w:val="24"/>
          <w:lang w:val="pt-PT"/>
        </w:rPr>
        <w:t>1.1</w:t>
      </w:r>
      <w:r>
        <w:rPr>
          <w:rFonts w:ascii="Calibri" w:hAnsi="Calibri" w:cs="Calibri"/>
          <w:b/>
          <w:sz w:val="24"/>
          <w:szCs w:val="24"/>
          <w:lang w:val="pt-BR"/>
        </w:rPr>
        <w:t>1</w:t>
      </w:r>
      <w:r>
        <w:rPr>
          <w:rFonts w:ascii="Calibri" w:hAnsi="Calibri" w:cs="Calibri"/>
          <w:sz w:val="24"/>
          <w:szCs w:val="24"/>
          <w:lang w:val="pt-PT"/>
        </w:rPr>
        <w:t xml:space="preserve"> </w:t>
      </w:r>
      <w:r>
        <w:rPr>
          <w:rFonts w:ascii="Calibri" w:hAnsi="Calibri" w:cs="Calibri"/>
          <w:b/>
          <w:bCs/>
          <w:sz w:val="24"/>
          <w:szCs w:val="24"/>
          <w:lang w:val="pt-PT"/>
        </w:rPr>
        <w:t>–</w:t>
      </w:r>
      <w:r>
        <w:rPr>
          <w:rFonts w:ascii="Calibri" w:hAnsi="Calibri" w:cs="Calibri"/>
          <w:sz w:val="24"/>
          <w:szCs w:val="24"/>
          <w:lang w:val="pt-PT"/>
        </w:rPr>
        <w:t xml:space="preserve"> </w:t>
      </w:r>
      <w:r>
        <w:rPr>
          <w:rFonts w:ascii="Calibri" w:hAnsi="Calibri" w:cs="Calibri"/>
          <w:sz w:val="24"/>
          <w:szCs w:val="24"/>
        </w:rPr>
        <w:t>O objeto deverá estar com no mínimo 75% do prazo de validade;</w:t>
      </w:r>
    </w:p>
    <w:p>
      <w:pPr>
        <w:ind w:left="0" w:right="-1" w:firstLine="0"/>
        <w:jc w:val="both"/>
        <w:rPr>
          <w:rFonts w:ascii="Calibri" w:hAnsi="Calibri"/>
        </w:rPr>
      </w:pPr>
      <w:r>
        <w:rPr>
          <w:rFonts w:ascii="Calibri" w:hAnsi="Calibri" w:cs="Calibri"/>
          <w:b/>
          <w:sz w:val="24"/>
          <w:szCs w:val="24"/>
        </w:rPr>
        <w:t>1.1</w:t>
      </w:r>
      <w:r>
        <w:rPr>
          <w:rFonts w:ascii="Calibri" w:hAnsi="Calibri" w:cs="Calibri"/>
          <w:b/>
          <w:sz w:val="24"/>
          <w:szCs w:val="24"/>
          <w:lang w:val="pt-BR"/>
        </w:rPr>
        <w:t>2</w:t>
      </w:r>
      <w:r>
        <w:rPr>
          <w:rFonts w:ascii="Calibri" w:hAnsi="Calibri" w:cs="Calibri"/>
          <w:sz w:val="24"/>
          <w:szCs w:val="24"/>
        </w:rPr>
        <w:t xml:space="preserve"> </w:t>
      </w:r>
      <w:r>
        <w:rPr>
          <w:rFonts w:ascii="Calibri" w:hAnsi="Calibri" w:cs="Calibri"/>
          <w:b/>
          <w:bCs/>
          <w:sz w:val="24"/>
          <w:szCs w:val="24"/>
        </w:rPr>
        <w:t xml:space="preserve">– </w:t>
      </w:r>
      <w:r>
        <w:rPr>
          <w:rFonts w:ascii="Calibri" w:hAnsi="Calibri" w:cs="Calibri"/>
          <w:sz w:val="24"/>
          <w:szCs w:val="24"/>
        </w:rPr>
        <w:t>A embalagem deverá estar íntegra, livre de impurezas e em perfeitas condições de utilização;</w:t>
      </w:r>
    </w:p>
    <w:p>
      <w:pPr>
        <w:ind w:left="0" w:right="-1" w:firstLine="0"/>
        <w:jc w:val="both"/>
        <w:rPr>
          <w:rFonts w:ascii="Calibri" w:hAnsi="Calibri"/>
        </w:rPr>
      </w:pPr>
      <w:r>
        <w:rPr>
          <w:rFonts w:ascii="Calibri" w:hAnsi="Calibri" w:cs="Calibri"/>
          <w:b/>
          <w:sz w:val="24"/>
          <w:szCs w:val="24"/>
        </w:rPr>
        <w:t>1.1</w:t>
      </w:r>
      <w:r>
        <w:rPr>
          <w:rFonts w:ascii="Calibri" w:hAnsi="Calibri" w:cs="Calibri"/>
          <w:b/>
          <w:sz w:val="24"/>
          <w:szCs w:val="24"/>
          <w:lang w:val="pt-BR"/>
        </w:rPr>
        <w:t>3</w:t>
      </w:r>
      <w:r>
        <w:rPr>
          <w:rFonts w:ascii="Calibri" w:hAnsi="Calibri" w:cs="Calibri"/>
          <w:sz w:val="24"/>
          <w:szCs w:val="24"/>
        </w:rPr>
        <w:t xml:space="preserve"> </w:t>
      </w:r>
      <w:r>
        <w:rPr>
          <w:rFonts w:ascii="Calibri" w:hAnsi="Calibri" w:cs="Calibri"/>
          <w:b/>
          <w:bCs/>
          <w:sz w:val="24"/>
          <w:szCs w:val="24"/>
        </w:rPr>
        <w:t>–</w:t>
      </w:r>
      <w:r>
        <w:rPr>
          <w:rFonts w:ascii="Calibri" w:hAnsi="Calibri" w:cs="Calibri"/>
          <w:sz w:val="24"/>
          <w:szCs w:val="24"/>
        </w:rPr>
        <w:t xml:space="preserve"> O objeto não será aceito caso não seja transportado e entregue de maneira correta, respeitando as recomendações do fabricante e autoridades sanitárias;</w:t>
      </w:r>
    </w:p>
    <w:p>
      <w:pPr>
        <w:ind w:left="0" w:right="-1" w:firstLine="0"/>
        <w:jc w:val="both"/>
        <w:rPr>
          <w:rFonts w:ascii="Calibri" w:hAnsi="Calibri"/>
        </w:rPr>
      </w:pPr>
      <w:r>
        <w:rPr>
          <w:rFonts w:ascii="Calibri" w:hAnsi="Calibri" w:cs="Calibri"/>
          <w:b/>
          <w:sz w:val="24"/>
          <w:szCs w:val="24"/>
        </w:rPr>
        <w:t>1.1</w:t>
      </w:r>
      <w:r>
        <w:rPr>
          <w:rFonts w:ascii="Calibri" w:hAnsi="Calibri" w:cs="Calibri"/>
          <w:b/>
          <w:sz w:val="24"/>
          <w:szCs w:val="24"/>
          <w:lang w:val="pt-BR"/>
        </w:rPr>
        <w:t>4</w:t>
      </w:r>
      <w:r>
        <w:rPr>
          <w:rFonts w:ascii="Calibri" w:hAnsi="Calibri" w:cs="Calibri"/>
          <w:sz w:val="24"/>
          <w:szCs w:val="24"/>
        </w:rPr>
        <w:t xml:space="preserve"> </w:t>
      </w:r>
      <w:r>
        <w:rPr>
          <w:rFonts w:ascii="Calibri" w:hAnsi="Calibri" w:cs="Calibri"/>
          <w:b/>
          <w:bCs/>
          <w:sz w:val="24"/>
          <w:szCs w:val="24"/>
        </w:rPr>
        <w:t>–</w:t>
      </w:r>
      <w:r>
        <w:rPr>
          <w:rFonts w:ascii="Calibri" w:hAnsi="Calibri" w:cs="Calibri"/>
          <w:sz w:val="24"/>
          <w:szCs w:val="24"/>
        </w:rPr>
        <w:t xml:space="preserve"> Obrigatória apresentação de certificados e demais documentos, quando exigidos.</w:t>
      </w:r>
    </w:p>
    <w:p>
      <w:pPr>
        <w:ind w:left="0" w:right="-1" w:firstLine="0"/>
        <w:jc w:val="both"/>
        <w:rPr>
          <w:rFonts w:ascii="Calibri" w:hAnsi="Calibri"/>
        </w:rPr>
      </w:pPr>
      <w:r>
        <w:rPr>
          <w:rFonts w:ascii="Calibri" w:hAnsi="Calibri" w:cs="Calibri"/>
          <w:b/>
          <w:sz w:val="24"/>
          <w:szCs w:val="24"/>
          <w:lang w:val="pt-PT"/>
        </w:rPr>
        <w:t>1.1</w:t>
      </w:r>
      <w:r>
        <w:rPr>
          <w:rFonts w:ascii="Calibri" w:hAnsi="Calibri" w:cs="Calibri"/>
          <w:b/>
          <w:sz w:val="24"/>
          <w:szCs w:val="24"/>
          <w:lang w:val="pt-BR"/>
        </w:rPr>
        <w:t>5</w:t>
      </w:r>
      <w:r>
        <w:rPr>
          <w:rFonts w:ascii="Calibri" w:hAnsi="Calibri" w:cs="Calibri"/>
          <w:sz w:val="24"/>
          <w:szCs w:val="24"/>
          <w:lang w:val="pt-PT"/>
        </w:rPr>
        <w:t xml:space="preserve"> </w:t>
      </w:r>
      <w:r>
        <w:rPr>
          <w:rFonts w:ascii="Calibri" w:hAnsi="Calibri" w:cs="Calibri"/>
          <w:b/>
          <w:bCs/>
          <w:sz w:val="24"/>
          <w:szCs w:val="24"/>
          <w:lang w:val="pt-PT"/>
        </w:rPr>
        <w:t>–</w:t>
      </w:r>
      <w:r>
        <w:rPr>
          <w:rFonts w:ascii="Calibri" w:hAnsi="Calibri" w:cs="Calibri"/>
          <w:sz w:val="24"/>
          <w:szCs w:val="24"/>
          <w:lang w:val="pt-PT"/>
        </w:rPr>
        <w:t xml:space="preserve"> Para os Itens controlados pelo Exército e ou Polícia Federal, o fornecedor precisa ter registro no órgão.</w:t>
      </w:r>
    </w:p>
    <w:p>
      <w:pPr>
        <w:jc w:val="both"/>
        <w:rPr>
          <w:rFonts w:ascii="Calibri" w:hAnsi="Calibri" w:cs="Calibri"/>
          <w:b/>
          <w:sz w:val="24"/>
          <w:szCs w:val="24"/>
          <w:lang w:val="pt-PT"/>
        </w:rPr>
      </w:pP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rPr>
      </w:pPr>
      <w:r>
        <w:rPr>
          <w:rFonts w:ascii="Calibri" w:hAnsi="Calibri" w:cs="Calibri"/>
          <w:b w:val="0"/>
          <w:bCs w:val="0"/>
          <w:sz w:val="24"/>
          <w:szCs w:val="24"/>
        </w:rPr>
        <w:t>Nota Técnica: Os materiais de consumo, reagentes, padrões analíticos, material de referência, kits, discos para antibiograma e meios de cultura desidratados e prontos para uso, devem ser entregues ao LACEN/SC, com 75% da validade do item. Quando for o caso, os itens devem vir acompanhados de certificado de análise do lote e FISPQ (Ficha de Informação de Segurança do Produto Químico) impressas e/ou virtual. Os meios de cultura deverão ser fornecidos com o certificado de análise do lote do meio de cultura pronto, após autoclavação, contendo: validade, características físico-químicas (cor, homogeneidade, dentre outros), pH final (estabilidade do tampão), acondicionamento ideal e controle de viabilidade do meio frente a microrganismos de referência incluindo seletividade e especificidade, quando for necessário. Nos rótulos dos meios de cultura prontos para uso, kits, discos para antibiograma e reagentes deverão conter data de fabricação, validade, número de lote e número do registro no Ministério da Saúde.</w:t>
      </w:r>
      <w:r>
        <w:rPr>
          <w:rFonts w:ascii="Calibri" w:hAnsi="Calibri" w:cs="Calibri"/>
          <w:b/>
          <w:sz w:val="24"/>
          <w:szCs w:val="24"/>
        </w:rPr>
        <w:br w:type="textWrapping"/>
      </w:r>
    </w:p>
    <w:p>
      <w:pPr>
        <w:pStyle w:val="2"/>
        <w:spacing w:before="1" w:after="0"/>
        <w:ind w:right="259" w:firstLine="0"/>
        <w:jc w:val="both"/>
        <w:rPr>
          <w:rFonts w:eastAsia="NSimSun" w:cs="Lucida Sans"/>
          <w:kern w:val="0"/>
          <w:lang w:val="pt-BR" w:eastAsia="zh-CN" w:bidi="hi-IN"/>
        </w:rPr>
      </w:pPr>
    </w:p>
    <w:p>
      <w:pPr>
        <w:pStyle w:val="3"/>
        <w:numPr>
          <w:ilvl w:val="0"/>
          <w:numId w:val="3"/>
        </w:numPr>
        <w:ind w:left="1319" w:right="1299" w:firstLine="0"/>
        <w:jc w:val="center"/>
        <w:rPr>
          <w:rFonts w:ascii="Calibri" w:hAnsi="Calibri"/>
          <w:sz w:val="24"/>
          <w:szCs w:val="24"/>
        </w:rPr>
      </w:pPr>
    </w:p>
    <w:p>
      <w:pPr>
        <w:pStyle w:val="3"/>
        <w:numPr>
          <w:ilvl w:val="0"/>
          <w:numId w:val="3"/>
        </w:numPr>
        <w:ind w:left="1319" w:right="1299" w:firstLine="0"/>
        <w:jc w:val="center"/>
        <w:rPr>
          <w:rFonts w:ascii="Calibri" w:hAnsi="Calibri"/>
          <w:sz w:val="24"/>
          <w:szCs w:val="24"/>
        </w:rPr>
      </w:pPr>
    </w:p>
    <w:p>
      <w:pPr>
        <w:pStyle w:val="3"/>
        <w:numPr>
          <w:ilvl w:val="0"/>
          <w:numId w:val="3"/>
        </w:numPr>
        <w:ind w:left="1319" w:right="1299" w:firstLine="0"/>
        <w:jc w:val="center"/>
        <w:rPr>
          <w:rFonts w:ascii="Calibri" w:hAnsi="Calibri"/>
          <w:sz w:val="24"/>
          <w:szCs w:val="24"/>
        </w:rPr>
      </w:pPr>
    </w:p>
    <w:p>
      <w:pPr>
        <w:pStyle w:val="3"/>
        <w:ind w:left="1319" w:right="1299" w:firstLine="0"/>
        <w:jc w:val="center"/>
        <w:rPr>
          <w:rFonts w:ascii="Calibri" w:hAnsi="Calibri"/>
          <w:sz w:val="24"/>
          <w:szCs w:val="24"/>
        </w:rPr>
      </w:pPr>
    </w:p>
    <w:p>
      <w:pPr>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2"/>
        <w:ind w:left="1319" w:right="1299" w:firstLine="0"/>
        <w:jc w:val="center"/>
        <w:rPr>
          <w:rFonts w:ascii="Calibri" w:hAnsi="Calibri"/>
          <w:sz w:val="24"/>
          <w:szCs w:val="24"/>
        </w:rPr>
      </w:pPr>
    </w:p>
    <w:p>
      <w:pPr>
        <w:pStyle w:val="3"/>
        <w:numPr>
          <w:ilvl w:val="0"/>
          <w:numId w:val="3"/>
        </w:numPr>
        <w:ind w:left="1319" w:right="1299" w:firstLine="0"/>
        <w:jc w:val="center"/>
        <w:rPr>
          <w:rFonts w:ascii="Calibri" w:hAnsi="Calibri"/>
          <w:sz w:val="24"/>
          <w:szCs w:val="24"/>
        </w:rPr>
      </w:pPr>
      <w:r>
        <w:rPr>
          <w:rFonts w:ascii="Calibri" w:hAnsi="Calibri"/>
          <w:sz w:val="24"/>
          <w:szCs w:val="24"/>
        </w:rPr>
        <w:t>ANEXO</w:t>
      </w:r>
      <w:r>
        <w:rPr>
          <w:rFonts w:ascii="Calibri" w:hAnsi="Calibri"/>
          <w:spacing w:val="-9"/>
          <w:sz w:val="24"/>
          <w:szCs w:val="24"/>
        </w:rPr>
        <w:t xml:space="preserve"> </w:t>
      </w:r>
      <w:r>
        <w:rPr>
          <w:rFonts w:ascii="Calibri" w:hAnsi="Calibri"/>
          <w:sz w:val="24"/>
          <w:szCs w:val="24"/>
        </w:rPr>
        <w:t>II</w:t>
      </w:r>
    </w:p>
    <w:p>
      <w:pPr>
        <w:spacing w:before="0" w:after="0"/>
        <w:ind w:left="1320" w:right="1299" w:firstLine="0"/>
        <w:jc w:val="center"/>
        <w:rPr>
          <w:rFonts w:ascii="Calibri" w:hAnsi="Calibri"/>
          <w:b w:val="0"/>
          <w:bCs w:val="0"/>
          <w:color w:val="000000"/>
          <w:sz w:val="24"/>
          <w:szCs w:val="24"/>
        </w:rPr>
      </w:pPr>
      <w:r>
        <w:rPr>
          <w:rFonts w:ascii="Calibri" w:hAnsi="Calibri" w:eastAsia="NSimSun" w:cs="Lucida Sans"/>
          <w:b/>
          <w:bCs w:val="0"/>
          <w:color w:val="000000"/>
          <w:spacing w:val="-1"/>
          <w:kern w:val="0"/>
          <w:sz w:val="24"/>
          <w:szCs w:val="24"/>
          <w:lang w:val="pt-BR" w:eastAsia="zh-CN" w:bidi="hi-IN"/>
        </w:rPr>
        <w:t>PREGÃO ELETRÔNICO</w:t>
      </w:r>
      <w:r>
        <w:rPr>
          <w:rFonts w:ascii="Calibri" w:hAnsi="Calibri" w:eastAsia="NSimSun" w:cs="Lucida Sans"/>
          <w:b/>
          <w:bCs w:val="0"/>
          <w:color w:val="000000"/>
          <w:spacing w:val="-3"/>
          <w:kern w:val="0"/>
          <w:sz w:val="24"/>
          <w:szCs w:val="24"/>
          <w:lang w:val="pt-BR" w:eastAsia="zh-CN" w:bidi="hi-IN"/>
        </w:rPr>
        <w:t xml:space="preserve"> </w:t>
      </w:r>
      <w:r>
        <w:rPr>
          <w:rFonts w:ascii="Calibri" w:hAnsi="Calibri" w:eastAsia="NSimSun" w:cs="Lucida Sans"/>
          <w:b/>
          <w:bCs w:val="0"/>
          <w:color w:val="000000"/>
          <w:spacing w:val="-1"/>
          <w:kern w:val="0"/>
          <w:sz w:val="24"/>
          <w:szCs w:val="24"/>
          <w:lang w:val="pt-BR" w:eastAsia="zh-CN" w:bidi="hi-IN"/>
        </w:rPr>
        <w:t>Nº</w:t>
      </w:r>
      <w:r>
        <w:rPr>
          <w:rFonts w:ascii="Calibri" w:hAnsi="Calibri" w:eastAsia="NSimSun" w:cs="Lucida Sans"/>
          <w:b/>
          <w:bCs w:val="0"/>
          <w:color w:val="000000"/>
          <w:spacing w:val="2"/>
          <w:kern w:val="0"/>
          <w:sz w:val="24"/>
          <w:szCs w:val="24"/>
          <w:lang w:val="pt-BR" w:eastAsia="zh-CN" w:bidi="hi-IN"/>
        </w:rPr>
        <w:t xml:space="preserve"> </w:t>
      </w:r>
      <w:r>
        <w:rPr>
          <w:rFonts w:ascii="Calibri" w:hAnsi="Calibri" w:eastAsia="NSimSun" w:cs="Calibri"/>
          <w:b/>
          <w:bCs/>
          <w:color w:val="000000"/>
          <w:spacing w:val="2"/>
          <w:kern w:val="0"/>
          <w:sz w:val="24"/>
          <w:szCs w:val="24"/>
          <w:lang w:val="pt-BR" w:eastAsia="zh-CN" w:bidi="hi-IN"/>
        </w:rPr>
        <w:t>1182/2023</w:t>
      </w:r>
      <w:r>
        <w:rPr>
          <w:rFonts w:ascii="Calibri" w:hAnsi="Calibri" w:eastAsia="NSimSun" w:cs="Lucida Sans"/>
          <w:b/>
          <w:bCs w:val="0"/>
          <w:color w:val="000000"/>
          <w:spacing w:val="-1"/>
          <w:kern w:val="0"/>
          <w:sz w:val="24"/>
          <w:szCs w:val="24"/>
          <w:lang w:val="pt-BR" w:eastAsia="zh-CN" w:bidi="hi-IN"/>
        </w:rPr>
        <w:t xml:space="preserve"> </w:t>
      </w:r>
    </w:p>
    <w:p>
      <w:pPr>
        <w:spacing w:before="0" w:after="0"/>
        <w:ind w:left="1320" w:right="1299" w:firstLine="0"/>
        <w:jc w:val="center"/>
        <w:rPr>
          <w:rFonts w:ascii="Calibri" w:hAnsi="Calibri"/>
          <w:b w:val="0"/>
          <w:bCs w:val="0"/>
          <w:color w:val="000000"/>
          <w:sz w:val="24"/>
          <w:szCs w:val="24"/>
        </w:rPr>
      </w:pPr>
      <w:r>
        <w:rPr>
          <w:rFonts w:ascii="Calibri" w:hAnsi="Calibri" w:eastAsia="NSimSun" w:cs="Lucida Sans"/>
          <w:b/>
          <w:bCs w:val="0"/>
          <w:color w:val="000000"/>
          <w:kern w:val="0"/>
          <w:sz w:val="24"/>
          <w:szCs w:val="24"/>
          <w:lang w:val="pt-BR" w:eastAsia="zh-CN" w:bidi="hi-IN"/>
        </w:rPr>
        <w:t>MODELO</w:t>
      </w:r>
      <w:r>
        <w:rPr>
          <w:rFonts w:ascii="Calibri" w:hAnsi="Calibri" w:eastAsia="NSimSun" w:cs="Lucida Sans"/>
          <w:b/>
          <w:bCs w:val="0"/>
          <w:color w:val="000000"/>
          <w:spacing w:val="-12"/>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9"/>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PROPOSTA</w:t>
      </w:r>
      <w:r>
        <w:rPr>
          <w:rFonts w:ascii="Calibri" w:hAnsi="Calibri" w:eastAsia="NSimSun" w:cs="Lucida Sans"/>
          <w:b/>
          <w:bCs w:val="0"/>
          <w:color w:val="000000"/>
          <w:spacing w:val="-11"/>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13"/>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PREÇOS</w:t>
      </w:r>
      <w:r>
        <w:rPr>
          <w:rFonts w:ascii="Calibri" w:hAnsi="Calibri" w:eastAsia="NSimSun" w:cs="Lucida Sans"/>
          <w:b/>
          <w:bCs w:val="0"/>
          <w:color w:val="000000"/>
          <w:spacing w:val="-10"/>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ELETRÔNICA</w:t>
      </w:r>
    </w:p>
    <w:p>
      <w:pPr>
        <w:pStyle w:val="2"/>
        <w:spacing w:before="0" w:after="0"/>
        <w:ind w:left="1320" w:right="1299" w:firstLine="0"/>
        <w:jc w:val="center"/>
        <w:rPr>
          <w:rFonts w:eastAsia="NSimSun" w:cs="Lucida Sans"/>
          <w:b/>
          <w:kern w:val="0"/>
          <w:lang w:val="pt-BR" w:eastAsia="zh-CN" w:bidi="hi-IN"/>
        </w:rPr>
      </w:pPr>
    </w:p>
    <w:p>
      <w:pPr>
        <w:pStyle w:val="2"/>
        <w:spacing w:before="0" w:after="0"/>
        <w:ind w:left="1320" w:right="1299" w:firstLine="0"/>
        <w:jc w:val="center"/>
        <w:rPr>
          <w:rFonts w:eastAsia="NSimSun" w:cs="Lucida Sans"/>
          <w:b/>
          <w:kern w:val="0"/>
          <w:lang w:val="pt-BR" w:eastAsia="zh-CN" w:bidi="hi-IN"/>
        </w:rPr>
      </w:pPr>
    </w:p>
    <w:p>
      <w:pPr>
        <w:pStyle w:val="2"/>
        <w:spacing w:before="0" w:after="0"/>
        <w:ind w:left="1320" w:right="1299" w:firstLine="0"/>
        <w:jc w:val="center"/>
        <w:rPr>
          <w:rFonts w:eastAsia="NSimSun" w:cs="Lucida Sans"/>
          <w:b/>
          <w:kern w:val="0"/>
          <w:lang w:val="pt-BR" w:eastAsia="zh-CN" w:bidi="hi-IN"/>
        </w:rPr>
      </w:pPr>
      <w:r>
        <w:rPr>
          <w:rFonts w:eastAsia="NSimSun" w:cs="Lucida Sans"/>
          <w:b/>
          <w:kern w:val="0"/>
          <w:lang w:val="pt-BR" w:eastAsia="zh-CN" w:bidi="hi-IN"/>
        </w:rPr>
        <w:drawing>
          <wp:anchor distT="0" distB="0" distL="0" distR="0" simplePos="0" relativeHeight="251659264" behindDoc="0" locked="0" layoutInCell="0" allowOverlap="1">
            <wp:simplePos x="0" y="0"/>
            <wp:positionH relativeFrom="page">
              <wp:posOffset>719455</wp:posOffset>
            </wp:positionH>
            <wp:positionV relativeFrom="paragraph">
              <wp:posOffset>171450</wp:posOffset>
            </wp:positionV>
            <wp:extent cx="6309995" cy="4883150"/>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a:picLocks noChangeAspect="1" noChangeArrowheads="1"/>
                    </pic:cNvPicPr>
                  </pic:nvPicPr>
                  <pic:blipFill>
                    <a:blip r:embed="rId8"/>
                    <a:stretch>
                      <a:fillRect/>
                    </a:stretch>
                  </pic:blipFill>
                  <pic:spPr>
                    <a:xfrm>
                      <a:off x="0" y="0"/>
                      <a:ext cx="6309995" cy="4883150"/>
                    </a:xfrm>
                    <a:prstGeom prst="rect">
                      <a:avLst/>
                    </a:prstGeom>
                  </pic:spPr>
                </pic:pic>
              </a:graphicData>
            </a:graphic>
          </wp:anchor>
        </w:drawing>
      </w:r>
    </w:p>
    <w:p>
      <w:pPr>
        <w:pStyle w:val="2"/>
        <w:spacing w:before="1" w:after="0"/>
        <w:ind w:left="142" w:right="259" w:firstLine="0"/>
        <w:jc w:val="both"/>
        <w:rPr>
          <w:rFonts w:eastAsia="NSimSun" w:cs="Lucida Sans"/>
          <w:kern w:val="0"/>
          <w:lang w:val="pt-BR" w:eastAsia="zh-CN" w:bidi="hi-IN"/>
        </w:rPr>
      </w:pPr>
    </w:p>
    <w:p>
      <w:pPr>
        <w:tabs>
          <w:tab w:val="left" w:pos="2552"/>
        </w:tabs>
        <w:jc w:val="both"/>
        <w:rPr>
          <w:rFonts w:ascii="Calibri" w:hAnsi="Calibri" w:cs="Calibri"/>
          <w:b w:val="0"/>
          <w:bCs w:val="0"/>
          <w:sz w:val="24"/>
          <w:szCs w:val="24"/>
        </w:rPr>
      </w:pPr>
      <w:r>
        <w:rPr>
          <w:rFonts w:ascii="Calibri" w:hAnsi="Calibri" w:cs="Calibri"/>
          <w:b w:val="0"/>
          <w:bCs w:val="0"/>
          <w:sz w:val="24"/>
          <w:szCs w:val="24"/>
        </w:rPr>
        <w:t>1 – Sob pena de desclassificação, deverá ser preenchido para cada item do objeto cotado, no campo correspondente:</w:t>
      </w:r>
    </w:p>
    <w:p>
      <w:pPr>
        <w:pStyle w:val="2"/>
        <w:tabs>
          <w:tab w:val="left" w:pos="2552"/>
        </w:tabs>
        <w:jc w:val="both"/>
        <w:rPr>
          <w:rFonts w:ascii="Calibri" w:hAnsi="Calibri" w:cs="Calibri"/>
          <w:b w:val="0"/>
          <w:bCs w:val="0"/>
          <w:sz w:val="24"/>
          <w:szCs w:val="24"/>
        </w:rPr>
      </w:pPr>
    </w:p>
    <w:p>
      <w:pPr>
        <w:pStyle w:val="2"/>
        <w:tabs>
          <w:tab w:val="left" w:pos="2552"/>
        </w:tabs>
        <w:jc w:val="both"/>
        <w:rPr>
          <w:rFonts w:ascii="Calibri" w:hAnsi="Calibri" w:cs="Calibri"/>
          <w:b w:val="0"/>
          <w:bCs w:val="0"/>
          <w:sz w:val="24"/>
          <w:szCs w:val="24"/>
        </w:rPr>
      </w:pPr>
      <w:r>
        <w:rPr>
          <w:rFonts w:ascii="Calibri" w:hAnsi="Calibri" w:cs="Calibri"/>
          <w:b w:val="0"/>
          <w:bCs w:val="0"/>
          <w:sz w:val="24"/>
          <w:szCs w:val="24"/>
        </w:rPr>
        <w:t>a) Preço unitário do item, expresso em reais;</w:t>
      </w:r>
    </w:p>
    <w:p>
      <w:pPr>
        <w:pStyle w:val="2"/>
        <w:tabs>
          <w:tab w:val="left" w:pos="2552"/>
        </w:tabs>
        <w:jc w:val="both"/>
        <w:rPr>
          <w:rFonts w:ascii="Calibri" w:hAnsi="Calibri" w:cs="Calibri"/>
          <w:b w:val="0"/>
          <w:bCs w:val="0"/>
          <w:sz w:val="24"/>
          <w:szCs w:val="24"/>
        </w:rPr>
      </w:pPr>
    </w:p>
    <w:p>
      <w:pPr>
        <w:pStyle w:val="2"/>
        <w:tabs>
          <w:tab w:val="left" w:pos="2552"/>
        </w:tabs>
        <w:jc w:val="both"/>
        <w:rPr>
          <w:rFonts w:ascii="Calibri" w:hAnsi="Calibri" w:cs="Calibri"/>
          <w:b w:val="0"/>
          <w:bCs w:val="0"/>
          <w:sz w:val="24"/>
          <w:szCs w:val="24"/>
        </w:rPr>
      </w:pPr>
      <w:r>
        <w:rPr>
          <w:rFonts w:ascii="Calibri" w:hAnsi="Calibri" w:cs="Calibri"/>
          <w:b w:val="0"/>
          <w:bCs w:val="0"/>
          <w:sz w:val="24"/>
          <w:szCs w:val="24"/>
        </w:rPr>
        <w:t>*Esta imagem (.jpeg) é meramente ilustrativa e poderá não contemplar todas as atualizações que possam ser implementadas no Sistema (updates), como layouts e campos informativos.</w:t>
      </w:r>
      <w:r>
        <w:br w:type="page"/>
      </w:r>
    </w:p>
    <w:p>
      <w:pPr>
        <w:jc w:val="center"/>
        <w:rPr>
          <w:rFonts w:ascii="Calibri" w:hAnsi="Calibri" w:cs="Calibri"/>
          <w:b/>
          <w:sz w:val="24"/>
          <w:szCs w:val="24"/>
        </w:rPr>
      </w:pPr>
      <w:r>
        <w:rPr>
          <w:rFonts w:ascii="Calibri" w:hAnsi="Calibri" w:cs="Calibri"/>
          <w:b/>
          <w:sz w:val="24"/>
          <w:szCs w:val="24"/>
        </w:rPr>
        <w:t>ANEXO III</w:t>
      </w:r>
    </w:p>
    <w:p>
      <w:pPr>
        <w:pStyle w:val="621"/>
        <w:jc w:val="center"/>
        <w:rPr>
          <w:rFonts w:ascii="Calibri" w:hAnsi="Calibri" w:eastAsia="SimSun" w:cs="Calibri"/>
          <w:b/>
          <w:bCs/>
          <w:shadow/>
          <w:color w:val="000000"/>
          <w:sz w:val="24"/>
          <w:szCs w:val="24"/>
          <w:lang w:val="pt-BR" w:eastAsia="zh-CN" w:bidi="ar-SA"/>
        </w:rPr>
      </w:pPr>
      <w:r>
        <w:rPr>
          <w:rFonts w:ascii="Calibri" w:hAnsi="Calibri" w:cs="Calibri"/>
          <w:b/>
          <w:bCs/>
          <w:sz w:val="24"/>
          <w:szCs w:val="24"/>
        </w:rPr>
        <w:t xml:space="preserve">PREGÃO ELETRÔNICO Nº </w:t>
      </w:r>
      <w:r>
        <w:rPr>
          <w:rFonts w:ascii="Calibri" w:hAnsi="Calibri" w:eastAsia="SimSun" w:cs="Calibri"/>
          <w:b/>
          <w:bCs/>
          <w:shadow/>
          <w:color w:val="000000"/>
          <w:kern w:val="0"/>
          <w:sz w:val="24"/>
          <w:szCs w:val="24"/>
          <w:lang w:val="pt-BR" w:eastAsia="zh-CN" w:bidi="ar-SA"/>
        </w:rPr>
        <w:t>1182/2023</w:t>
      </w:r>
    </w:p>
    <w:p>
      <w:pPr>
        <w:jc w:val="center"/>
        <w:rPr>
          <w:rFonts w:ascii="Calibri" w:hAnsi="Calibri" w:cs="Calibri"/>
          <w:b/>
          <w:sz w:val="24"/>
          <w:szCs w:val="24"/>
        </w:rPr>
      </w:pPr>
      <w:r>
        <w:rPr>
          <w:rFonts w:ascii="Calibri" w:hAnsi="Calibri" w:cs="Calibri"/>
          <w:b/>
          <w:sz w:val="24"/>
          <w:szCs w:val="24"/>
        </w:rPr>
        <w:t>MODELO DE FORMULÁRIO DE ANÁLISE DE QUALIDADE TÉCNICA</w:t>
      </w:r>
    </w:p>
    <w:p>
      <w:pPr>
        <w:pStyle w:val="2"/>
        <w:jc w:val="center"/>
        <w:rPr>
          <w:rFonts w:ascii="Calibri" w:hAnsi="Calibri" w:cs="Calibri"/>
          <w:b/>
          <w:sz w:val="24"/>
          <w:szCs w:val="24"/>
        </w:rPr>
      </w:pPr>
    </w:p>
    <w:tbl>
      <w:tblPr>
        <w:tblStyle w:val="13"/>
        <w:tblW w:w="5000" w:type="pct"/>
        <w:tblInd w:w="55" w:type="dxa"/>
        <w:tblLayout w:type="fixed"/>
        <w:tblCellMar>
          <w:top w:w="55" w:type="dxa"/>
          <w:left w:w="55" w:type="dxa"/>
          <w:bottom w:w="55" w:type="dxa"/>
          <w:right w:w="55" w:type="dxa"/>
        </w:tblCellMar>
      </w:tblPr>
      <w:tblGrid>
        <w:gridCol w:w="1859"/>
        <w:gridCol w:w="2979"/>
        <w:gridCol w:w="1068"/>
        <w:gridCol w:w="1349"/>
        <w:gridCol w:w="291"/>
        <w:gridCol w:w="670"/>
        <w:gridCol w:w="1532"/>
      </w:tblGrid>
      <w:tr>
        <w:tblPrEx>
          <w:tblCellMar>
            <w:top w:w="55" w:type="dxa"/>
            <w:left w:w="55" w:type="dxa"/>
            <w:bottom w:w="55" w:type="dxa"/>
            <w:right w:w="55" w:type="dxa"/>
          </w:tblCellMar>
        </w:tblPrEx>
        <w:tc>
          <w:tcPr>
            <w:tcW w:w="1838" w:type="dxa"/>
            <w:tcBorders>
              <w:top w:val="single" w:color="000000" w:sz="4" w:space="0"/>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INSTITUIÇÃO</w:t>
            </w:r>
          </w:p>
        </w:tc>
        <w:tc>
          <w:tcPr>
            <w:tcW w:w="2945" w:type="dxa"/>
            <w:tcBorders>
              <w:top w:val="single" w:color="000000" w:sz="4" w:space="0"/>
              <w:left w:val="single" w:color="000000" w:sz="4" w:space="0"/>
              <w:bottom w:val="single" w:color="000000" w:sz="4" w:space="0"/>
            </w:tcBorders>
          </w:tcPr>
          <w:p>
            <w:pPr>
              <w:pStyle w:val="644"/>
              <w:widowControl w:val="0"/>
              <w:snapToGrid w:val="0"/>
              <w:jc w:val="left"/>
              <w:rPr>
                <w:rFonts w:ascii="Calibri" w:hAnsi="Calibri" w:cs="Calibri"/>
                <w:sz w:val="18"/>
                <w:szCs w:val="18"/>
              </w:rPr>
            </w:pPr>
          </w:p>
        </w:tc>
        <w:tc>
          <w:tcPr>
            <w:tcW w:w="2390" w:type="dxa"/>
            <w:gridSpan w:val="2"/>
            <w:tcBorders>
              <w:top w:val="single" w:color="000000" w:sz="4" w:space="0"/>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SETOR</w:t>
            </w:r>
          </w:p>
        </w:tc>
        <w:tc>
          <w:tcPr>
            <w:tcW w:w="2465" w:type="dxa"/>
            <w:gridSpan w:val="3"/>
            <w:tcBorders>
              <w:top w:val="single" w:color="000000" w:sz="4" w:space="0"/>
              <w:left w:val="single" w:color="000000" w:sz="4" w:space="0"/>
              <w:bottom w:val="single" w:color="000000" w:sz="4" w:space="0"/>
              <w:right w:val="single" w:color="000000" w:sz="4" w:space="0"/>
            </w:tcBorders>
          </w:tcPr>
          <w:p>
            <w:pPr>
              <w:pStyle w:val="644"/>
              <w:widowControl w:val="0"/>
              <w:snapToGrid w:val="0"/>
              <w:jc w:val="left"/>
              <w:rPr>
                <w:rFonts w:ascii="Calibri" w:hAnsi="Calibri" w:cs="Calibri"/>
                <w:sz w:val="18"/>
                <w:szCs w:val="18"/>
              </w:rPr>
            </w:pPr>
          </w:p>
        </w:tc>
      </w:tr>
      <w:tr>
        <w:tblPrEx>
          <w:tblCellMar>
            <w:top w:w="55" w:type="dxa"/>
            <w:left w:w="55" w:type="dxa"/>
            <w:bottom w:w="55" w:type="dxa"/>
            <w:right w:w="55" w:type="dxa"/>
          </w:tblCellMar>
        </w:tblPrEx>
        <w:tc>
          <w:tcPr>
            <w:tcW w:w="1838" w:type="dxa"/>
            <w:tcBorders>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DATA ENTREGA</w:t>
            </w:r>
          </w:p>
        </w:tc>
        <w:tc>
          <w:tcPr>
            <w:tcW w:w="2945" w:type="dxa"/>
            <w:tcBorders>
              <w:left w:val="single" w:color="000000" w:sz="4" w:space="0"/>
              <w:bottom w:val="single" w:color="000000" w:sz="4" w:space="0"/>
            </w:tcBorders>
          </w:tcPr>
          <w:p>
            <w:pPr>
              <w:pStyle w:val="644"/>
              <w:widowControl w:val="0"/>
              <w:snapToGrid w:val="0"/>
              <w:jc w:val="left"/>
              <w:rPr>
                <w:rFonts w:ascii="Calibri" w:hAnsi="Calibri" w:cs="Calibri"/>
                <w:sz w:val="18"/>
                <w:szCs w:val="18"/>
              </w:rPr>
            </w:pPr>
          </w:p>
        </w:tc>
        <w:tc>
          <w:tcPr>
            <w:tcW w:w="2390" w:type="dxa"/>
            <w:gridSpan w:val="2"/>
            <w:tcBorders>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DATA RETORNO</w:t>
            </w:r>
          </w:p>
        </w:tc>
        <w:tc>
          <w:tcPr>
            <w:tcW w:w="2465" w:type="dxa"/>
            <w:gridSpan w:val="3"/>
            <w:tcBorders>
              <w:left w:val="single" w:color="000000" w:sz="4" w:space="0"/>
              <w:bottom w:val="single" w:color="000000" w:sz="4" w:space="0"/>
              <w:right w:val="single" w:color="000000" w:sz="4" w:space="0"/>
            </w:tcBorders>
          </w:tcPr>
          <w:p>
            <w:pPr>
              <w:pStyle w:val="644"/>
              <w:widowControl w:val="0"/>
              <w:snapToGrid w:val="0"/>
              <w:jc w:val="left"/>
              <w:rPr>
                <w:rFonts w:ascii="Calibri" w:hAnsi="Calibri" w:cs="Calibri"/>
                <w:sz w:val="18"/>
                <w:szCs w:val="18"/>
              </w:rPr>
            </w:pPr>
          </w:p>
        </w:tc>
      </w:tr>
      <w:tr>
        <w:tblPrEx>
          <w:tblCellMar>
            <w:top w:w="55" w:type="dxa"/>
            <w:left w:w="55" w:type="dxa"/>
            <w:bottom w:w="55" w:type="dxa"/>
            <w:right w:w="55" w:type="dxa"/>
          </w:tblCellMar>
        </w:tblPrEx>
        <w:tc>
          <w:tcPr>
            <w:tcW w:w="1838" w:type="dxa"/>
            <w:tcBorders>
              <w:top w:val="single" w:color="000000" w:sz="4" w:space="0"/>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PSES</w:t>
            </w:r>
          </w:p>
        </w:tc>
        <w:tc>
          <w:tcPr>
            <w:tcW w:w="2945" w:type="dxa"/>
            <w:tcBorders>
              <w:top w:val="single" w:color="000000" w:sz="4" w:space="0"/>
              <w:left w:val="single" w:color="000000" w:sz="4" w:space="0"/>
              <w:bottom w:val="single" w:color="000000" w:sz="4" w:space="0"/>
            </w:tcBorders>
          </w:tcPr>
          <w:p>
            <w:pPr>
              <w:pStyle w:val="644"/>
              <w:widowControl w:val="0"/>
              <w:snapToGrid w:val="0"/>
              <w:jc w:val="left"/>
              <w:rPr>
                <w:rFonts w:ascii="Calibri" w:hAnsi="Calibri" w:cs="Calibri"/>
                <w:sz w:val="18"/>
                <w:szCs w:val="18"/>
              </w:rPr>
            </w:pPr>
          </w:p>
        </w:tc>
        <w:tc>
          <w:tcPr>
            <w:tcW w:w="1056" w:type="dxa"/>
            <w:tcBorders>
              <w:top w:val="single" w:color="000000" w:sz="4" w:space="0"/>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EDITAL</w:t>
            </w:r>
          </w:p>
        </w:tc>
        <w:tc>
          <w:tcPr>
            <w:tcW w:w="1622" w:type="dxa"/>
            <w:gridSpan w:val="2"/>
            <w:tcBorders>
              <w:top w:val="single" w:color="000000" w:sz="4" w:space="0"/>
              <w:left w:val="single" w:color="000000" w:sz="4" w:space="0"/>
              <w:bottom w:val="single" w:color="000000" w:sz="4" w:space="0"/>
            </w:tcBorders>
          </w:tcPr>
          <w:p>
            <w:pPr>
              <w:pStyle w:val="644"/>
              <w:widowControl w:val="0"/>
              <w:snapToGrid w:val="0"/>
              <w:jc w:val="left"/>
              <w:rPr>
                <w:rFonts w:ascii="Calibri" w:hAnsi="Calibri" w:cs="Calibri"/>
                <w:sz w:val="18"/>
                <w:szCs w:val="18"/>
              </w:rPr>
            </w:pPr>
          </w:p>
        </w:tc>
        <w:tc>
          <w:tcPr>
            <w:tcW w:w="662" w:type="dxa"/>
            <w:tcBorders>
              <w:top w:val="single" w:color="000000" w:sz="4" w:space="0"/>
              <w:left w:val="single" w:color="000000" w:sz="4" w:space="0"/>
              <w:bottom w:val="single" w:color="000000" w:sz="4" w:space="0"/>
            </w:tcBorders>
          </w:tcPr>
          <w:p>
            <w:pPr>
              <w:pStyle w:val="644"/>
              <w:widowControl w:val="0"/>
              <w:jc w:val="center"/>
              <w:rPr>
                <w:rFonts w:ascii="Calibri" w:hAnsi="Calibri" w:cs="Calibri"/>
                <w:sz w:val="18"/>
                <w:szCs w:val="18"/>
              </w:rPr>
            </w:pPr>
            <w:r>
              <w:rPr>
                <w:rFonts w:ascii="Calibri" w:hAnsi="Calibri" w:cs="Calibri"/>
                <w:sz w:val="18"/>
                <w:szCs w:val="18"/>
              </w:rPr>
              <w:t>ITEM</w:t>
            </w:r>
          </w:p>
        </w:tc>
        <w:tc>
          <w:tcPr>
            <w:tcW w:w="1515" w:type="dxa"/>
            <w:tcBorders>
              <w:top w:val="single" w:color="000000" w:sz="4" w:space="0"/>
              <w:left w:val="single" w:color="000000" w:sz="4" w:space="0"/>
              <w:bottom w:val="single" w:color="000000" w:sz="4" w:space="0"/>
              <w:right w:val="single" w:color="000000" w:sz="4" w:space="0"/>
            </w:tcBorders>
          </w:tcPr>
          <w:p>
            <w:pPr>
              <w:pStyle w:val="644"/>
              <w:widowControl w:val="0"/>
              <w:snapToGrid w:val="0"/>
              <w:jc w:val="left"/>
              <w:rPr>
                <w:rFonts w:ascii="Calibri" w:hAnsi="Calibri" w:cs="Calibri"/>
                <w:sz w:val="18"/>
                <w:szCs w:val="18"/>
              </w:rPr>
            </w:pPr>
          </w:p>
        </w:tc>
      </w:tr>
    </w:tbl>
    <w:p>
      <w:pPr>
        <w:pStyle w:val="2"/>
        <w:jc w:val="left"/>
        <w:rPr>
          <w:rFonts w:ascii="Calibri" w:hAnsi="Calibri" w:cs="Calibri"/>
          <w:b/>
          <w:sz w:val="18"/>
          <w:szCs w:val="18"/>
        </w:rPr>
      </w:pPr>
    </w:p>
    <w:tbl>
      <w:tblPr>
        <w:tblStyle w:val="13"/>
        <w:tblW w:w="5000" w:type="pct"/>
        <w:tblInd w:w="55" w:type="dxa"/>
        <w:tblLayout w:type="fixed"/>
        <w:tblCellMar>
          <w:top w:w="55" w:type="dxa"/>
          <w:left w:w="55" w:type="dxa"/>
          <w:bottom w:w="55" w:type="dxa"/>
          <w:right w:w="55" w:type="dxa"/>
        </w:tblCellMar>
      </w:tblPr>
      <w:tblGrid>
        <w:gridCol w:w="1859"/>
        <w:gridCol w:w="2082"/>
        <w:gridCol w:w="1118"/>
        <w:gridCol w:w="1921"/>
        <w:gridCol w:w="1359"/>
        <w:gridCol w:w="1410"/>
      </w:tblGrid>
      <w:tr>
        <w:tblPrEx>
          <w:tblCellMar>
            <w:top w:w="55" w:type="dxa"/>
            <w:left w:w="55" w:type="dxa"/>
            <w:bottom w:w="55" w:type="dxa"/>
            <w:right w:w="55" w:type="dxa"/>
          </w:tblCellMar>
        </w:tblPrEx>
        <w:tc>
          <w:tcPr>
            <w:tcW w:w="1838" w:type="dxa"/>
            <w:tcBorders>
              <w:top w:val="single" w:color="000000" w:sz="4" w:space="0"/>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FORNECEDOR</w:t>
            </w:r>
          </w:p>
        </w:tc>
        <w:tc>
          <w:tcPr>
            <w:tcW w:w="7800" w:type="dxa"/>
            <w:gridSpan w:val="5"/>
            <w:tcBorders>
              <w:top w:val="single" w:color="000000" w:sz="4" w:space="0"/>
              <w:left w:val="single" w:color="000000" w:sz="4" w:space="0"/>
              <w:bottom w:val="single" w:color="000000" w:sz="4" w:space="0"/>
              <w:right w:val="single" w:color="000000" w:sz="4" w:space="0"/>
            </w:tcBorders>
          </w:tcPr>
          <w:p>
            <w:pPr>
              <w:pStyle w:val="644"/>
              <w:widowControl w:val="0"/>
              <w:snapToGrid w:val="0"/>
              <w:jc w:val="left"/>
              <w:rPr>
                <w:sz w:val="18"/>
                <w:szCs w:val="18"/>
              </w:rPr>
            </w:pPr>
          </w:p>
        </w:tc>
      </w:tr>
      <w:tr>
        <w:tblPrEx>
          <w:tblCellMar>
            <w:top w:w="55" w:type="dxa"/>
            <w:left w:w="55" w:type="dxa"/>
            <w:bottom w:w="55" w:type="dxa"/>
            <w:right w:w="55" w:type="dxa"/>
          </w:tblCellMar>
        </w:tblPrEx>
        <w:tc>
          <w:tcPr>
            <w:tcW w:w="1838" w:type="dxa"/>
            <w:tcBorders>
              <w:top w:val="single" w:color="000000" w:sz="4" w:space="0"/>
              <w:left w:val="single" w:color="000000" w:sz="4" w:space="0"/>
              <w:bottom w:val="single" w:color="000000" w:sz="4" w:space="0"/>
            </w:tcBorders>
            <w:vAlign w:val="center"/>
          </w:tcPr>
          <w:p>
            <w:pPr>
              <w:pStyle w:val="644"/>
              <w:widowControl w:val="0"/>
              <w:jc w:val="left"/>
              <w:rPr>
                <w:rFonts w:ascii="Calibri" w:hAnsi="Calibri" w:cs="Calibri"/>
                <w:sz w:val="18"/>
                <w:szCs w:val="18"/>
              </w:rPr>
            </w:pPr>
            <w:r>
              <w:rPr>
                <w:rFonts w:ascii="Calibri" w:hAnsi="Calibri" w:cs="Calibri"/>
                <w:sz w:val="18"/>
                <w:szCs w:val="18"/>
              </w:rPr>
              <w:t>FABRICANTE</w:t>
            </w:r>
          </w:p>
        </w:tc>
        <w:tc>
          <w:tcPr>
            <w:tcW w:w="2058" w:type="dxa"/>
            <w:tcBorders>
              <w:top w:val="single" w:color="000000" w:sz="4" w:space="0"/>
              <w:left w:val="single" w:color="000000" w:sz="4" w:space="0"/>
              <w:bottom w:val="single" w:color="000000" w:sz="4" w:space="0"/>
            </w:tcBorders>
            <w:vAlign w:val="center"/>
          </w:tcPr>
          <w:p>
            <w:pPr>
              <w:pStyle w:val="644"/>
              <w:widowControl w:val="0"/>
              <w:snapToGrid w:val="0"/>
              <w:jc w:val="left"/>
              <w:rPr>
                <w:rFonts w:ascii="Calibri" w:hAnsi="Calibri" w:cs="Calibri"/>
                <w:sz w:val="18"/>
                <w:szCs w:val="18"/>
              </w:rPr>
            </w:pPr>
          </w:p>
        </w:tc>
        <w:tc>
          <w:tcPr>
            <w:tcW w:w="1105" w:type="dxa"/>
            <w:tcBorders>
              <w:top w:val="single" w:color="000000" w:sz="4" w:space="0"/>
              <w:left w:val="single" w:color="000000" w:sz="4" w:space="0"/>
              <w:bottom w:val="single" w:color="000000" w:sz="4" w:space="0"/>
            </w:tcBorders>
            <w:vAlign w:val="center"/>
          </w:tcPr>
          <w:p>
            <w:pPr>
              <w:pStyle w:val="644"/>
              <w:widowControl w:val="0"/>
              <w:jc w:val="center"/>
              <w:rPr>
                <w:rFonts w:ascii="Calibri" w:hAnsi="Calibri" w:cs="Calibri"/>
                <w:sz w:val="18"/>
                <w:szCs w:val="18"/>
              </w:rPr>
            </w:pPr>
            <w:r>
              <w:rPr>
                <w:rFonts w:ascii="Calibri" w:hAnsi="Calibri" w:cs="Calibri"/>
                <w:sz w:val="18"/>
                <w:szCs w:val="18"/>
              </w:rPr>
              <w:t>MARCA</w:t>
            </w:r>
          </w:p>
        </w:tc>
        <w:tc>
          <w:tcPr>
            <w:tcW w:w="1899" w:type="dxa"/>
            <w:tcBorders>
              <w:top w:val="single" w:color="000000" w:sz="4" w:space="0"/>
              <w:left w:val="single" w:color="000000" w:sz="4" w:space="0"/>
              <w:bottom w:val="single" w:color="000000" w:sz="4" w:space="0"/>
            </w:tcBorders>
            <w:vAlign w:val="center"/>
          </w:tcPr>
          <w:p>
            <w:pPr>
              <w:pStyle w:val="644"/>
              <w:widowControl w:val="0"/>
              <w:snapToGrid w:val="0"/>
              <w:jc w:val="left"/>
              <w:rPr>
                <w:rFonts w:ascii="Calibri" w:hAnsi="Calibri" w:cs="Calibri"/>
                <w:sz w:val="18"/>
                <w:szCs w:val="18"/>
              </w:rPr>
            </w:pPr>
          </w:p>
        </w:tc>
        <w:tc>
          <w:tcPr>
            <w:tcW w:w="1344" w:type="dxa"/>
            <w:tcBorders>
              <w:top w:val="single" w:color="000000" w:sz="4" w:space="0"/>
              <w:left w:val="single" w:color="000000" w:sz="4" w:space="0"/>
              <w:bottom w:val="single" w:color="000000" w:sz="4" w:space="0"/>
            </w:tcBorders>
            <w:vAlign w:val="center"/>
          </w:tcPr>
          <w:p>
            <w:pPr>
              <w:pStyle w:val="644"/>
              <w:widowControl w:val="0"/>
              <w:jc w:val="center"/>
              <w:rPr>
                <w:rFonts w:ascii="Calibri" w:hAnsi="Calibri" w:cs="Calibri"/>
                <w:sz w:val="18"/>
                <w:szCs w:val="18"/>
              </w:rPr>
            </w:pPr>
            <w:r>
              <w:rPr>
                <w:rFonts w:ascii="Calibri" w:hAnsi="Calibri" w:cs="Calibri"/>
                <w:sz w:val="18"/>
                <w:szCs w:val="18"/>
              </w:rPr>
              <w:t>REFERÊNCIA</w:t>
            </w:r>
          </w:p>
        </w:tc>
        <w:tc>
          <w:tcPr>
            <w:tcW w:w="1394" w:type="dxa"/>
            <w:tcBorders>
              <w:top w:val="single" w:color="000000" w:sz="4" w:space="0"/>
              <w:left w:val="single" w:color="000000" w:sz="4" w:space="0"/>
              <w:bottom w:val="single" w:color="000000" w:sz="4" w:space="0"/>
              <w:right w:val="single" w:color="000000" w:sz="4" w:space="0"/>
            </w:tcBorders>
          </w:tcPr>
          <w:p>
            <w:pPr>
              <w:pStyle w:val="644"/>
              <w:widowControl w:val="0"/>
              <w:snapToGrid w:val="0"/>
              <w:jc w:val="left"/>
              <w:rPr>
                <w:sz w:val="18"/>
                <w:szCs w:val="18"/>
              </w:rPr>
            </w:pPr>
          </w:p>
        </w:tc>
      </w:tr>
    </w:tbl>
    <w:p>
      <w:pPr>
        <w:jc w:val="left"/>
        <w:rPr>
          <w:rFonts w:ascii="Calibri" w:hAnsi="Calibri" w:cs="Calibri"/>
          <w:b/>
          <w:sz w:val="18"/>
          <w:szCs w:val="18"/>
        </w:rPr>
      </w:pPr>
    </w:p>
    <w:tbl>
      <w:tblPr>
        <w:tblStyle w:val="13"/>
        <w:tblW w:w="5000" w:type="pct"/>
        <w:tblInd w:w="55" w:type="dxa"/>
        <w:tblLayout w:type="fixed"/>
        <w:tblCellMar>
          <w:top w:w="55" w:type="dxa"/>
          <w:left w:w="55" w:type="dxa"/>
          <w:bottom w:w="55" w:type="dxa"/>
          <w:right w:w="55" w:type="dxa"/>
        </w:tblCellMar>
      </w:tblPr>
      <w:tblGrid>
        <w:gridCol w:w="1626"/>
        <w:gridCol w:w="8123"/>
      </w:tblGrid>
      <w:tr>
        <w:tblPrEx>
          <w:tblCellMar>
            <w:top w:w="55" w:type="dxa"/>
            <w:left w:w="55" w:type="dxa"/>
            <w:bottom w:w="55" w:type="dxa"/>
            <w:right w:w="55" w:type="dxa"/>
          </w:tblCellMar>
        </w:tblPrEx>
        <w:tc>
          <w:tcPr>
            <w:tcW w:w="1607" w:type="dxa"/>
            <w:tcBorders>
              <w:top w:val="single" w:color="000000" w:sz="6" w:space="0"/>
              <w:left w:val="single" w:color="000000" w:sz="6" w:space="0"/>
              <w:bottom w:val="single" w:color="000000" w:sz="6" w:space="0"/>
            </w:tcBorders>
          </w:tcPr>
          <w:p>
            <w:pPr>
              <w:widowControl w:val="0"/>
              <w:tabs>
                <w:tab w:val="left" w:pos="-709"/>
              </w:tabs>
              <w:jc w:val="center"/>
              <w:rPr>
                <w:rFonts w:ascii="Calibri" w:hAnsi="Calibri" w:cs="Calibri"/>
                <w:b/>
                <w:sz w:val="18"/>
                <w:szCs w:val="18"/>
              </w:rPr>
            </w:pPr>
            <w:r>
              <w:rPr>
                <w:rFonts w:ascii="Calibri" w:hAnsi="Calibri" w:cs="Calibri"/>
                <w:b/>
                <w:sz w:val="18"/>
                <w:szCs w:val="18"/>
              </w:rPr>
              <w:t>CÓDIGO</w:t>
            </w:r>
          </w:p>
        </w:tc>
        <w:tc>
          <w:tcPr>
            <w:tcW w:w="8031" w:type="dxa"/>
            <w:tcBorders>
              <w:top w:val="single" w:color="000000" w:sz="6" w:space="0"/>
              <w:left w:val="single" w:color="000000" w:sz="6" w:space="0"/>
              <w:bottom w:val="single" w:color="000000" w:sz="6" w:space="0"/>
              <w:right w:val="single" w:color="000000" w:sz="6" w:space="0"/>
            </w:tcBorders>
          </w:tcPr>
          <w:p>
            <w:pPr>
              <w:widowControl w:val="0"/>
              <w:tabs>
                <w:tab w:val="left" w:pos="-709"/>
              </w:tabs>
              <w:jc w:val="center"/>
              <w:rPr>
                <w:rFonts w:ascii="Calibri" w:hAnsi="Calibri" w:cs="Calibri"/>
                <w:b/>
                <w:sz w:val="18"/>
                <w:szCs w:val="18"/>
              </w:rPr>
            </w:pPr>
            <w:r>
              <w:rPr>
                <w:rFonts w:ascii="Calibri" w:hAnsi="Calibri" w:cs="Calibri"/>
                <w:b/>
                <w:sz w:val="18"/>
                <w:szCs w:val="18"/>
              </w:rPr>
              <w:t>DESCRIÇÃO DO ITEM</w:t>
            </w:r>
          </w:p>
        </w:tc>
      </w:tr>
      <w:tr>
        <w:tblPrEx>
          <w:tblCellMar>
            <w:top w:w="55" w:type="dxa"/>
            <w:left w:w="55" w:type="dxa"/>
            <w:bottom w:w="55" w:type="dxa"/>
            <w:right w:w="55" w:type="dxa"/>
          </w:tblCellMar>
        </w:tblPrEx>
        <w:tc>
          <w:tcPr>
            <w:tcW w:w="1607" w:type="dxa"/>
            <w:tcBorders>
              <w:left w:val="single" w:color="000000" w:sz="6" w:space="0"/>
              <w:bottom w:val="single" w:color="000000" w:sz="6" w:space="0"/>
            </w:tcBorders>
          </w:tcPr>
          <w:p>
            <w:pPr>
              <w:pStyle w:val="644"/>
              <w:widowControl w:val="0"/>
              <w:snapToGrid w:val="0"/>
              <w:jc w:val="center"/>
              <w:rPr>
                <w:rFonts w:ascii="Calibri" w:hAnsi="Calibri" w:cs="Calibri"/>
                <w:sz w:val="18"/>
                <w:szCs w:val="18"/>
              </w:rPr>
            </w:pPr>
          </w:p>
        </w:tc>
        <w:tc>
          <w:tcPr>
            <w:tcW w:w="8031" w:type="dxa"/>
            <w:tcBorders>
              <w:left w:val="single" w:color="000000" w:sz="6" w:space="0"/>
              <w:bottom w:val="single" w:color="000000" w:sz="6" w:space="0"/>
              <w:right w:val="single" w:color="000000" w:sz="6" w:space="0"/>
            </w:tcBorders>
          </w:tcPr>
          <w:p>
            <w:pPr>
              <w:pStyle w:val="644"/>
              <w:widowControl w:val="0"/>
              <w:snapToGrid w:val="0"/>
              <w:jc w:val="center"/>
              <w:rPr>
                <w:rFonts w:ascii="Calibri" w:hAnsi="Calibri" w:cs="Calibri"/>
                <w:sz w:val="18"/>
                <w:szCs w:val="18"/>
              </w:rPr>
            </w:pPr>
          </w:p>
        </w:tc>
      </w:tr>
    </w:tbl>
    <w:p>
      <w:pPr>
        <w:widowControl/>
        <w:tabs>
          <w:tab w:val="left" w:pos="-709"/>
        </w:tabs>
        <w:suppressAutoHyphens/>
        <w:bidi w:val="0"/>
        <w:ind w:left="0" w:right="0" w:firstLine="0"/>
        <w:jc w:val="both"/>
        <w:rPr>
          <w:rFonts w:ascii="Calibri" w:hAnsi="Calibri" w:cs="Calibri"/>
          <w:sz w:val="18"/>
          <w:szCs w:val="18"/>
        </w:rPr>
      </w:pPr>
    </w:p>
    <w:p>
      <w:pPr>
        <w:widowControl/>
        <w:tabs>
          <w:tab w:val="left" w:pos="-709"/>
        </w:tabs>
        <w:suppressAutoHyphens/>
        <w:bidi w:val="0"/>
        <w:ind w:left="0" w:right="0" w:firstLine="0"/>
        <w:jc w:val="left"/>
        <w:rPr>
          <w:rFonts w:ascii="Calibri" w:hAnsi="Calibri" w:cs="Calibri"/>
          <w:b w:val="0"/>
          <w:bCs w:val="0"/>
          <w:sz w:val="18"/>
          <w:szCs w:val="18"/>
        </w:rPr>
      </w:pPr>
      <w:r>
        <w:rPr>
          <w:rFonts w:ascii="Calibri" w:hAnsi="Calibri" w:cs="Calibri"/>
          <w:b w:val="0"/>
          <w:bCs w:val="0"/>
          <w:sz w:val="18"/>
          <w:szCs w:val="18"/>
        </w:rPr>
        <w:t xml:space="preserve">Avalie os itens a seguir (assinale com um “X” o campo correspondente): </w:t>
      </w:r>
    </w:p>
    <w:p>
      <w:pPr>
        <w:widowControl/>
        <w:tabs>
          <w:tab w:val="left" w:pos="-709"/>
        </w:tabs>
        <w:suppressAutoHyphens/>
        <w:bidi w:val="0"/>
        <w:ind w:left="0" w:right="0" w:firstLine="0"/>
        <w:jc w:val="left"/>
        <w:rPr>
          <w:rFonts w:ascii="Calibri" w:hAnsi="Calibri" w:cs="Calibri"/>
          <w:b w:val="0"/>
          <w:bCs w:val="0"/>
          <w:sz w:val="18"/>
          <w:szCs w:val="18"/>
        </w:rPr>
      </w:pPr>
      <w:r>
        <w:rPr>
          <w:rFonts w:ascii="Calibri" w:hAnsi="Calibri" w:cs="Calibri"/>
          <w:b w:val="0"/>
          <w:bCs w:val="0"/>
          <w:sz w:val="18"/>
          <w:szCs w:val="18"/>
        </w:rPr>
        <w:t>ADEQUADO, INADEQUADO OU NÃO AVALIADO.</w:t>
      </w:r>
    </w:p>
    <w:p>
      <w:pPr>
        <w:tabs>
          <w:tab w:val="left" w:pos="-709"/>
        </w:tabs>
        <w:ind w:left="-1134" w:right="-567" w:firstLine="0"/>
        <w:rPr>
          <w:rFonts w:ascii="Calibri" w:hAnsi="Calibri" w:eastAsia="Calibri" w:cs="Calibri"/>
          <w:b/>
          <w:sz w:val="18"/>
          <w:szCs w:val="18"/>
        </w:rPr>
      </w:pPr>
      <w:r>
        <w:rPr>
          <w:rFonts w:ascii="Calibri" w:hAnsi="Calibri" w:eastAsia="Calibri" w:cs="Calibri"/>
          <w:b/>
          <w:sz w:val="18"/>
          <w:szCs w:val="18"/>
        </w:rPr>
        <w:t xml:space="preserve">                          </w:t>
      </w:r>
    </w:p>
    <w:tbl>
      <w:tblPr>
        <w:tblStyle w:val="13"/>
        <w:tblW w:w="5000" w:type="pct"/>
        <w:tblInd w:w="55" w:type="dxa"/>
        <w:tblLayout w:type="fixed"/>
        <w:tblCellMar>
          <w:top w:w="55" w:type="dxa"/>
          <w:left w:w="55" w:type="dxa"/>
          <w:bottom w:w="55" w:type="dxa"/>
          <w:right w:w="55" w:type="dxa"/>
        </w:tblCellMar>
      </w:tblPr>
      <w:tblGrid>
        <w:gridCol w:w="2452"/>
        <w:gridCol w:w="1663"/>
        <w:gridCol w:w="1554"/>
        <w:gridCol w:w="1892"/>
        <w:gridCol w:w="1985"/>
        <w:gridCol w:w="65"/>
        <w:gridCol w:w="59"/>
        <w:gridCol w:w="23"/>
      </w:tblGrid>
      <w:tr>
        <w:tc>
          <w:tcPr>
            <w:tcW w:w="2438" w:type="dxa"/>
            <w:tcBorders>
              <w:top w:val="single" w:color="000000" w:sz="6" w:space="0"/>
              <w:left w:val="single" w:color="000000" w:sz="6" w:space="0"/>
              <w:bottom w:val="single" w:color="000000" w:sz="6" w:space="0"/>
            </w:tcBorders>
            <w:vAlign w:val="center"/>
          </w:tcPr>
          <w:p>
            <w:pPr>
              <w:widowControl w:val="0"/>
              <w:tabs>
                <w:tab w:val="left" w:pos="-709"/>
              </w:tabs>
              <w:jc w:val="center"/>
              <w:rPr>
                <w:rFonts w:ascii="Calibri" w:hAnsi="Calibri" w:cs="Calibri"/>
                <w:b/>
                <w:sz w:val="18"/>
                <w:szCs w:val="18"/>
              </w:rPr>
            </w:pPr>
            <w:r>
              <w:rPr>
                <w:rFonts w:ascii="Calibri" w:hAnsi="Calibri" w:cs="Calibri"/>
                <w:b/>
                <w:sz w:val="18"/>
                <w:szCs w:val="18"/>
              </w:rPr>
              <w:t>PONTOS</w:t>
            </w:r>
          </w:p>
          <w:p>
            <w:pPr>
              <w:widowControl w:val="0"/>
              <w:tabs>
                <w:tab w:val="left" w:pos="-709"/>
              </w:tabs>
              <w:jc w:val="center"/>
              <w:rPr>
                <w:rFonts w:ascii="Calibri" w:hAnsi="Calibri" w:cs="Calibri"/>
                <w:b/>
                <w:sz w:val="18"/>
                <w:szCs w:val="18"/>
              </w:rPr>
            </w:pPr>
            <w:r>
              <w:rPr>
                <w:rFonts w:ascii="Calibri" w:hAnsi="Calibri" w:cs="Calibri"/>
                <w:b/>
                <w:sz w:val="18"/>
                <w:szCs w:val="18"/>
              </w:rPr>
              <w:t>AVALIADOS</w:t>
            </w:r>
          </w:p>
        </w:tc>
        <w:tc>
          <w:tcPr>
            <w:tcW w:w="1653" w:type="dxa"/>
            <w:tcBorders>
              <w:top w:val="single" w:color="000000" w:sz="6" w:space="0"/>
              <w:left w:val="single" w:color="000000" w:sz="6" w:space="0"/>
              <w:bottom w:val="single" w:color="000000" w:sz="6" w:space="0"/>
            </w:tcBorders>
            <w:vAlign w:val="center"/>
          </w:tcPr>
          <w:p>
            <w:pPr>
              <w:widowControl w:val="0"/>
              <w:tabs>
                <w:tab w:val="left" w:pos="-709"/>
              </w:tabs>
              <w:jc w:val="center"/>
              <w:rPr>
                <w:rFonts w:ascii="Calibri" w:hAnsi="Calibri" w:cs="Calibri"/>
                <w:b/>
                <w:sz w:val="18"/>
                <w:szCs w:val="18"/>
              </w:rPr>
            </w:pPr>
            <w:r>
              <w:rPr>
                <w:rFonts w:ascii="Calibri" w:hAnsi="Calibri" w:cs="Calibri"/>
                <w:b/>
                <w:sz w:val="18"/>
                <w:szCs w:val="18"/>
              </w:rPr>
              <w:t>ADEQUADO</w:t>
            </w:r>
          </w:p>
        </w:tc>
        <w:tc>
          <w:tcPr>
            <w:tcW w:w="1545" w:type="dxa"/>
            <w:tcBorders>
              <w:top w:val="single" w:color="000000" w:sz="6" w:space="0"/>
              <w:left w:val="single" w:color="000000" w:sz="6" w:space="0"/>
              <w:bottom w:val="single" w:color="000000" w:sz="6" w:space="0"/>
            </w:tcBorders>
            <w:vAlign w:val="center"/>
          </w:tcPr>
          <w:p>
            <w:pPr>
              <w:widowControl w:val="0"/>
              <w:tabs>
                <w:tab w:val="left" w:pos="-709"/>
              </w:tabs>
              <w:jc w:val="center"/>
              <w:rPr>
                <w:rFonts w:ascii="Calibri" w:hAnsi="Calibri" w:cs="Calibri"/>
                <w:b/>
                <w:sz w:val="18"/>
                <w:szCs w:val="18"/>
              </w:rPr>
            </w:pPr>
            <w:r>
              <w:rPr>
                <w:rFonts w:ascii="Calibri" w:hAnsi="Calibri" w:cs="Calibri"/>
                <w:b/>
                <w:sz w:val="18"/>
                <w:szCs w:val="18"/>
              </w:rPr>
              <w:t>INADEQUADO</w:t>
            </w:r>
          </w:p>
        </w:tc>
        <w:tc>
          <w:tcPr>
            <w:tcW w:w="1881" w:type="dxa"/>
            <w:tcBorders>
              <w:top w:val="single" w:color="000000" w:sz="6" w:space="0"/>
              <w:left w:val="single" w:color="000000" w:sz="6" w:space="0"/>
              <w:bottom w:val="single" w:color="000000" w:sz="6" w:space="0"/>
            </w:tcBorders>
            <w:vAlign w:val="center"/>
          </w:tcPr>
          <w:p>
            <w:pPr>
              <w:widowControl w:val="0"/>
              <w:tabs>
                <w:tab w:val="left" w:pos="-709"/>
              </w:tabs>
              <w:jc w:val="center"/>
              <w:rPr>
                <w:rFonts w:ascii="Calibri" w:hAnsi="Calibri" w:cs="Calibri"/>
                <w:b/>
                <w:sz w:val="18"/>
                <w:szCs w:val="18"/>
              </w:rPr>
            </w:pPr>
            <w:r>
              <w:rPr>
                <w:rFonts w:ascii="Calibri" w:hAnsi="Calibri" w:cs="Calibri"/>
                <w:b/>
                <w:sz w:val="18"/>
                <w:szCs w:val="18"/>
              </w:rPr>
              <w:t>SE INADEQUADO, INDICAR O MOTIVO</w:t>
            </w:r>
          </w:p>
        </w:tc>
        <w:tc>
          <w:tcPr>
            <w:tcW w:w="1974" w:type="dxa"/>
            <w:tcBorders>
              <w:top w:val="single" w:color="000000" w:sz="6" w:space="0"/>
              <w:left w:val="single" w:color="000000" w:sz="6" w:space="0"/>
              <w:bottom w:val="single" w:color="000000" w:sz="6" w:space="0"/>
              <w:right w:val="single" w:color="000000" w:sz="6" w:space="0"/>
            </w:tcBorders>
            <w:vAlign w:val="center"/>
          </w:tcPr>
          <w:p>
            <w:pPr>
              <w:widowControl w:val="0"/>
              <w:tabs>
                <w:tab w:val="left" w:pos="-709"/>
              </w:tabs>
              <w:jc w:val="center"/>
              <w:rPr>
                <w:rFonts w:ascii="Calibri" w:hAnsi="Calibri" w:cs="Calibri"/>
                <w:b/>
                <w:sz w:val="18"/>
                <w:szCs w:val="18"/>
              </w:rPr>
            </w:pPr>
            <w:r>
              <w:rPr>
                <w:rFonts w:ascii="Calibri" w:hAnsi="Calibri" w:cs="Calibri"/>
                <w:b/>
                <w:sz w:val="18"/>
                <w:szCs w:val="18"/>
              </w:rPr>
              <w:t>SE NÃO AVALIADO INDICAR O MOTIVO</w:t>
            </w:r>
          </w:p>
        </w:tc>
        <w:tc>
          <w:tcPr>
            <w:tcW w:w="124" w:type="dxa"/>
            <w:gridSpan w:val="2"/>
            <w:tcMar>
              <w:top w:w="0" w:type="dxa"/>
              <w:left w:w="0" w:type="dxa"/>
              <w:bottom w:w="0" w:type="dxa"/>
              <w:right w:w="0" w:type="dxa"/>
            </w:tcMar>
          </w:tcPr>
          <w:p>
            <w:pPr>
              <w:widowControl w:val="0"/>
              <w:snapToGrid w:val="0"/>
              <w:rPr>
                <w:rFonts w:ascii="Calibri" w:hAnsi="Calibri" w:cs="Calibri"/>
                <w:b w:val="0"/>
                <w:bCs w:val="0"/>
                <w:sz w:val="18"/>
                <w:szCs w:val="18"/>
              </w:rPr>
            </w:pPr>
          </w:p>
        </w:tc>
        <w:tc>
          <w:tcPr>
            <w:tcW w:w="23" w:type="dxa"/>
            <w:tcMar>
              <w:top w:w="0" w:type="dxa"/>
              <w:left w:w="0" w:type="dxa"/>
              <w:bottom w:w="0" w:type="dxa"/>
              <w:right w:w="0" w:type="dxa"/>
            </w:tcMar>
          </w:tcPr>
          <w:p>
            <w:pPr>
              <w:widowControl w:val="0"/>
              <w:snapToGrid w:val="0"/>
              <w:rPr>
                <w:rFonts w:ascii="Calibri" w:hAnsi="Calibri" w:cs="Calibri"/>
                <w:b w:val="0"/>
                <w:bCs w:val="0"/>
                <w:sz w:val="18"/>
                <w:szCs w:val="18"/>
              </w:rPr>
            </w:pPr>
          </w:p>
        </w:tc>
      </w:tr>
      <w:tr>
        <w:tblPrEx>
          <w:tblCellMar>
            <w:top w:w="55" w:type="dxa"/>
            <w:left w:w="55" w:type="dxa"/>
            <w:bottom w:w="55" w:type="dxa"/>
            <w:right w:w="55" w:type="dxa"/>
          </w:tblCellMar>
        </w:tblPrEx>
        <w:tc>
          <w:tcPr>
            <w:tcW w:w="2438" w:type="dxa"/>
            <w:tcBorders>
              <w:left w:val="single" w:color="000000" w:sz="6" w:space="0"/>
              <w:bottom w:val="single" w:color="000000" w:sz="6" w:space="0"/>
            </w:tcBorders>
          </w:tcPr>
          <w:p>
            <w:pPr>
              <w:widowControl w:val="0"/>
              <w:tabs>
                <w:tab w:val="left" w:pos="-709"/>
              </w:tabs>
              <w:rPr>
                <w:rFonts w:ascii="Calibri" w:hAnsi="Calibri" w:cs="Calibri"/>
                <w:b w:val="0"/>
                <w:bCs w:val="0"/>
                <w:sz w:val="18"/>
                <w:szCs w:val="18"/>
              </w:rPr>
            </w:pPr>
            <w:r>
              <w:rPr>
                <w:rFonts w:ascii="Calibri" w:hAnsi="Calibri" w:cs="Calibri"/>
                <w:b w:val="0"/>
                <w:bCs w:val="0"/>
                <w:sz w:val="18"/>
                <w:szCs w:val="18"/>
              </w:rPr>
              <w:t>Qualidade</w:t>
            </w:r>
          </w:p>
        </w:tc>
        <w:tc>
          <w:tcPr>
            <w:tcW w:w="1653"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545"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881" w:type="dxa"/>
            <w:vMerge w:val="restart"/>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974" w:type="dxa"/>
            <w:vMerge w:val="restart"/>
            <w:tcBorders>
              <w:left w:val="single" w:color="000000" w:sz="6" w:space="0"/>
              <w:bottom w:val="single" w:color="000000" w:sz="6" w:space="0"/>
              <w:right w:val="single" w:color="000000" w:sz="6" w:space="0"/>
            </w:tcBorders>
          </w:tcPr>
          <w:p>
            <w:pPr>
              <w:pStyle w:val="644"/>
              <w:widowControl w:val="0"/>
              <w:snapToGrid w:val="0"/>
              <w:rPr>
                <w:rFonts w:ascii="Calibri" w:hAnsi="Calibri" w:cs="Calibri"/>
                <w:sz w:val="18"/>
                <w:szCs w:val="18"/>
              </w:rPr>
            </w:pPr>
          </w:p>
        </w:tc>
        <w:tc>
          <w:tcPr>
            <w:tcW w:w="124" w:type="dxa"/>
            <w:gridSpan w:val="2"/>
            <w:tcMar>
              <w:top w:w="0" w:type="dxa"/>
              <w:left w:w="0" w:type="dxa"/>
              <w:bottom w:w="0" w:type="dxa"/>
              <w:right w:w="0" w:type="dxa"/>
            </w:tcMar>
          </w:tcPr>
          <w:p>
            <w:pPr>
              <w:widowControl w:val="0"/>
              <w:snapToGrid w:val="0"/>
              <w:rPr>
                <w:rFonts w:ascii="Calibri" w:hAnsi="Calibri" w:cs="Calibri"/>
                <w:b w:val="0"/>
                <w:bCs w:val="0"/>
                <w:sz w:val="18"/>
                <w:szCs w:val="18"/>
              </w:rPr>
            </w:pPr>
          </w:p>
        </w:tc>
        <w:tc>
          <w:tcPr>
            <w:tcW w:w="23" w:type="dxa"/>
            <w:tcMar>
              <w:top w:w="0" w:type="dxa"/>
              <w:left w:w="0" w:type="dxa"/>
              <w:bottom w:w="0" w:type="dxa"/>
              <w:right w:w="0" w:type="dxa"/>
            </w:tcMar>
          </w:tcPr>
          <w:p>
            <w:pPr>
              <w:widowControl w:val="0"/>
              <w:snapToGrid w:val="0"/>
              <w:rPr>
                <w:rFonts w:ascii="Calibri" w:hAnsi="Calibri" w:cs="Calibri"/>
                <w:b w:val="0"/>
                <w:bCs w:val="0"/>
                <w:sz w:val="18"/>
                <w:szCs w:val="18"/>
              </w:rPr>
            </w:pPr>
          </w:p>
        </w:tc>
      </w:tr>
      <w:tr>
        <w:tblPrEx>
          <w:tblCellMar>
            <w:top w:w="55" w:type="dxa"/>
            <w:left w:w="55" w:type="dxa"/>
            <w:bottom w:w="55" w:type="dxa"/>
            <w:right w:w="55" w:type="dxa"/>
          </w:tblCellMar>
        </w:tblPrEx>
        <w:tc>
          <w:tcPr>
            <w:tcW w:w="2438" w:type="dxa"/>
            <w:tcBorders>
              <w:left w:val="single" w:color="000000" w:sz="6" w:space="0"/>
              <w:bottom w:val="single" w:color="000000" w:sz="6" w:space="0"/>
            </w:tcBorders>
          </w:tcPr>
          <w:p>
            <w:pPr>
              <w:widowControl w:val="0"/>
              <w:tabs>
                <w:tab w:val="left" w:pos="-709"/>
              </w:tabs>
              <w:rPr>
                <w:rFonts w:ascii="Calibri" w:hAnsi="Calibri" w:cs="Calibri"/>
                <w:b w:val="0"/>
                <w:bCs w:val="0"/>
                <w:sz w:val="18"/>
                <w:szCs w:val="18"/>
              </w:rPr>
            </w:pPr>
            <w:r>
              <w:rPr>
                <w:rFonts w:ascii="Calibri" w:hAnsi="Calibri" w:cs="Calibri"/>
                <w:b w:val="0"/>
                <w:bCs w:val="0"/>
                <w:sz w:val="18"/>
                <w:szCs w:val="18"/>
              </w:rPr>
              <w:t>Funcionalidade</w:t>
            </w:r>
          </w:p>
        </w:tc>
        <w:tc>
          <w:tcPr>
            <w:tcW w:w="1653"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545"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881" w:type="dxa"/>
            <w:vMerge w:val="continue"/>
            <w:tcBorders>
              <w:left w:val="single" w:color="000000" w:sz="6" w:space="0"/>
              <w:bottom w:val="single" w:color="000000" w:sz="6" w:space="0"/>
            </w:tcBorders>
          </w:tcPr>
          <w:p>
            <w:pPr>
              <w:widowControl w:val="0"/>
              <w:snapToGrid w:val="0"/>
              <w:rPr>
                <w:rFonts w:ascii="Calibri" w:hAnsi="Calibri" w:cs="Calibri"/>
                <w:sz w:val="18"/>
                <w:szCs w:val="18"/>
              </w:rPr>
            </w:pPr>
          </w:p>
        </w:tc>
        <w:tc>
          <w:tcPr>
            <w:tcW w:w="1974" w:type="dxa"/>
            <w:vMerge w:val="continue"/>
            <w:tcBorders>
              <w:left w:val="single" w:color="000000" w:sz="6" w:space="0"/>
              <w:bottom w:val="single" w:color="000000" w:sz="6" w:space="0"/>
              <w:right w:val="single" w:color="000000" w:sz="6" w:space="0"/>
            </w:tcBorders>
          </w:tcPr>
          <w:p>
            <w:pPr>
              <w:widowControl w:val="0"/>
              <w:snapToGrid w:val="0"/>
              <w:rPr>
                <w:rFonts w:ascii="Calibri" w:hAnsi="Calibri" w:cs="Calibri"/>
                <w:sz w:val="18"/>
                <w:szCs w:val="18"/>
              </w:rPr>
            </w:pPr>
          </w:p>
        </w:tc>
        <w:tc>
          <w:tcPr>
            <w:tcW w:w="124" w:type="dxa"/>
            <w:gridSpan w:val="2"/>
            <w:tcMar>
              <w:top w:w="0" w:type="dxa"/>
              <w:left w:w="0" w:type="dxa"/>
              <w:bottom w:w="0" w:type="dxa"/>
              <w:right w:w="0" w:type="dxa"/>
            </w:tcMar>
          </w:tcPr>
          <w:p>
            <w:pPr>
              <w:widowControl w:val="0"/>
              <w:snapToGrid w:val="0"/>
              <w:rPr>
                <w:rFonts w:ascii="Calibri" w:hAnsi="Calibri" w:cs="Calibri"/>
                <w:b w:val="0"/>
                <w:bCs w:val="0"/>
                <w:sz w:val="18"/>
                <w:szCs w:val="18"/>
              </w:rPr>
            </w:pPr>
          </w:p>
        </w:tc>
        <w:tc>
          <w:tcPr>
            <w:tcW w:w="23" w:type="dxa"/>
            <w:tcMar>
              <w:top w:w="0" w:type="dxa"/>
              <w:left w:w="0" w:type="dxa"/>
              <w:bottom w:w="0" w:type="dxa"/>
              <w:right w:w="0" w:type="dxa"/>
            </w:tcMar>
          </w:tcPr>
          <w:p>
            <w:pPr>
              <w:widowControl w:val="0"/>
              <w:snapToGrid w:val="0"/>
              <w:rPr>
                <w:rFonts w:ascii="Calibri" w:hAnsi="Calibri" w:cs="Calibri"/>
                <w:b w:val="0"/>
                <w:bCs w:val="0"/>
                <w:sz w:val="18"/>
                <w:szCs w:val="18"/>
              </w:rPr>
            </w:pPr>
          </w:p>
        </w:tc>
      </w:tr>
      <w:tr>
        <w:tblPrEx>
          <w:tblCellMar>
            <w:top w:w="55" w:type="dxa"/>
            <w:left w:w="55" w:type="dxa"/>
            <w:bottom w:w="55" w:type="dxa"/>
            <w:right w:w="55" w:type="dxa"/>
          </w:tblCellMar>
        </w:tblPrEx>
        <w:tc>
          <w:tcPr>
            <w:tcW w:w="2438" w:type="dxa"/>
            <w:tcBorders>
              <w:left w:val="single" w:color="000000" w:sz="6" w:space="0"/>
              <w:bottom w:val="single" w:color="000000" w:sz="6" w:space="0"/>
            </w:tcBorders>
          </w:tcPr>
          <w:p>
            <w:pPr>
              <w:widowControl w:val="0"/>
              <w:tabs>
                <w:tab w:val="left" w:pos="-709"/>
              </w:tabs>
              <w:rPr>
                <w:rFonts w:ascii="Calibri" w:hAnsi="Calibri" w:cs="Calibri"/>
                <w:b w:val="0"/>
                <w:bCs w:val="0"/>
                <w:sz w:val="18"/>
                <w:szCs w:val="18"/>
              </w:rPr>
            </w:pPr>
            <w:r>
              <w:rPr>
                <w:rFonts w:ascii="Calibri" w:hAnsi="Calibri" w:cs="Calibri"/>
                <w:b w:val="0"/>
                <w:bCs w:val="0"/>
                <w:sz w:val="18"/>
                <w:szCs w:val="18"/>
              </w:rPr>
              <w:t>Aplicabilidade</w:t>
            </w:r>
          </w:p>
        </w:tc>
        <w:tc>
          <w:tcPr>
            <w:tcW w:w="1653"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545"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881" w:type="dxa"/>
            <w:vMerge w:val="continue"/>
            <w:tcBorders>
              <w:left w:val="single" w:color="000000" w:sz="6" w:space="0"/>
              <w:bottom w:val="single" w:color="000000" w:sz="6" w:space="0"/>
            </w:tcBorders>
          </w:tcPr>
          <w:p>
            <w:pPr>
              <w:widowControl w:val="0"/>
              <w:snapToGrid w:val="0"/>
              <w:rPr>
                <w:rFonts w:ascii="Calibri" w:hAnsi="Calibri" w:cs="Calibri"/>
                <w:sz w:val="18"/>
                <w:szCs w:val="18"/>
              </w:rPr>
            </w:pPr>
          </w:p>
        </w:tc>
        <w:tc>
          <w:tcPr>
            <w:tcW w:w="1974" w:type="dxa"/>
            <w:vMerge w:val="continue"/>
            <w:tcBorders>
              <w:left w:val="single" w:color="000000" w:sz="6" w:space="0"/>
              <w:bottom w:val="single" w:color="000000" w:sz="6" w:space="0"/>
              <w:right w:val="single" w:color="000000" w:sz="6" w:space="0"/>
            </w:tcBorders>
          </w:tcPr>
          <w:p>
            <w:pPr>
              <w:widowControl w:val="0"/>
              <w:snapToGrid w:val="0"/>
              <w:rPr>
                <w:rFonts w:ascii="Calibri" w:hAnsi="Calibri" w:cs="Calibri"/>
                <w:sz w:val="18"/>
                <w:szCs w:val="18"/>
              </w:rPr>
            </w:pPr>
          </w:p>
        </w:tc>
        <w:tc>
          <w:tcPr>
            <w:tcW w:w="124" w:type="dxa"/>
            <w:gridSpan w:val="2"/>
            <w:tcMar>
              <w:top w:w="0" w:type="dxa"/>
              <w:left w:w="0" w:type="dxa"/>
              <w:bottom w:w="0" w:type="dxa"/>
              <w:right w:w="0" w:type="dxa"/>
            </w:tcMar>
          </w:tcPr>
          <w:p>
            <w:pPr>
              <w:widowControl w:val="0"/>
              <w:snapToGrid w:val="0"/>
              <w:rPr>
                <w:rFonts w:ascii="Calibri" w:hAnsi="Calibri" w:cs="Calibri"/>
                <w:b w:val="0"/>
                <w:bCs w:val="0"/>
                <w:sz w:val="18"/>
                <w:szCs w:val="18"/>
              </w:rPr>
            </w:pPr>
          </w:p>
        </w:tc>
        <w:tc>
          <w:tcPr>
            <w:tcW w:w="23" w:type="dxa"/>
            <w:tcMar>
              <w:top w:w="0" w:type="dxa"/>
              <w:left w:w="0" w:type="dxa"/>
              <w:bottom w:w="0" w:type="dxa"/>
              <w:right w:w="0" w:type="dxa"/>
            </w:tcMar>
          </w:tcPr>
          <w:p>
            <w:pPr>
              <w:widowControl w:val="0"/>
              <w:snapToGrid w:val="0"/>
              <w:rPr>
                <w:rFonts w:ascii="Calibri" w:hAnsi="Calibri" w:cs="Calibri"/>
                <w:b w:val="0"/>
                <w:bCs w:val="0"/>
                <w:sz w:val="18"/>
                <w:szCs w:val="18"/>
              </w:rPr>
            </w:pPr>
          </w:p>
        </w:tc>
      </w:tr>
      <w:tr>
        <w:tblPrEx>
          <w:tblCellMar>
            <w:top w:w="55" w:type="dxa"/>
            <w:left w:w="55" w:type="dxa"/>
            <w:bottom w:w="55" w:type="dxa"/>
            <w:right w:w="55" w:type="dxa"/>
          </w:tblCellMar>
        </w:tblPrEx>
        <w:tc>
          <w:tcPr>
            <w:tcW w:w="2438" w:type="dxa"/>
            <w:tcBorders>
              <w:left w:val="single" w:color="000000" w:sz="6" w:space="0"/>
              <w:bottom w:val="single" w:color="000000" w:sz="6" w:space="0"/>
            </w:tcBorders>
          </w:tcPr>
          <w:p>
            <w:pPr>
              <w:widowControl w:val="0"/>
              <w:tabs>
                <w:tab w:val="left" w:pos="-709"/>
              </w:tabs>
              <w:rPr>
                <w:rFonts w:ascii="Calibri" w:hAnsi="Calibri" w:cs="Calibri"/>
                <w:b w:val="0"/>
                <w:bCs w:val="0"/>
                <w:sz w:val="18"/>
                <w:szCs w:val="18"/>
              </w:rPr>
            </w:pPr>
            <w:r>
              <w:rPr>
                <w:rFonts w:ascii="Calibri" w:hAnsi="Calibri" w:cs="Calibri"/>
                <w:b w:val="0"/>
                <w:bCs w:val="0"/>
                <w:sz w:val="18"/>
                <w:szCs w:val="18"/>
              </w:rPr>
              <w:t>Especificações Técnicas (conforme descritivo)</w:t>
            </w:r>
          </w:p>
        </w:tc>
        <w:tc>
          <w:tcPr>
            <w:tcW w:w="1653"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545" w:type="dxa"/>
            <w:tcBorders>
              <w:left w:val="single" w:color="000000" w:sz="6" w:space="0"/>
              <w:bottom w:val="single" w:color="000000" w:sz="6" w:space="0"/>
            </w:tcBorders>
          </w:tcPr>
          <w:p>
            <w:pPr>
              <w:pStyle w:val="644"/>
              <w:widowControl w:val="0"/>
              <w:snapToGrid w:val="0"/>
              <w:rPr>
                <w:rFonts w:ascii="Calibri" w:hAnsi="Calibri" w:cs="Calibri"/>
                <w:sz w:val="18"/>
                <w:szCs w:val="18"/>
              </w:rPr>
            </w:pPr>
          </w:p>
        </w:tc>
        <w:tc>
          <w:tcPr>
            <w:tcW w:w="1881" w:type="dxa"/>
            <w:vMerge w:val="continue"/>
            <w:tcBorders>
              <w:left w:val="single" w:color="000000" w:sz="6" w:space="0"/>
              <w:bottom w:val="single" w:color="000000" w:sz="6" w:space="0"/>
            </w:tcBorders>
          </w:tcPr>
          <w:p>
            <w:pPr>
              <w:widowControl w:val="0"/>
              <w:snapToGrid w:val="0"/>
              <w:rPr>
                <w:rFonts w:ascii="Calibri" w:hAnsi="Calibri" w:cs="Calibri"/>
                <w:sz w:val="18"/>
                <w:szCs w:val="18"/>
              </w:rPr>
            </w:pPr>
          </w:p>
        </w:tc>
        <w:tc>
          <w:tcPr>
            <w:tcW w:w="1974" w:type="dxa"/>
            <w:vMerge w:val="continue"/>
            <w:tcBorders>
              <w:left w:val="single" w:color="000000" w:sz="6" w:space="0"/>
              <w:bottom w:val="single" w:color="000000" w:sz="6" w:space="0"/>
              <w:right w:val="single" w:color="000000" w:sz="6" w:space="0"/>
            </w:tcBorders>
          </w:tcPr>
          <w:p>
            <w:pPr>
              <w:widowControl w:val="0"/>
              <w:snapToGrid w:val="0"/>
              <w:rPr>
                <w:rFonts w:ascii="Calibri" w:hAnsi="Calibri" w:cs="Calibri"/>
                <w:sz w:val="18"/>
                <w:szCs w:val="18"/>
              </w:rPr>
            </w:pPr>
          </w:p>
        </w:tc>
        <w:tc>
          <w:tcPr>
            <w:tcW w:w="124" w:type="dxa"/>
            <w:gridSpan w:val="2"/>
            <w:tcMar>
              <w:top w:w="0" w:type="dxa"/>
              <w:left w:w="0" w:type="dxa"/>
              <w:bottom w:w="0" w:type="dxa"/>
              <w:right w:w="0" w:type="dxa"/>
            </w:tcMar>
          </w:tcPr>
          <w:p>
            <w:pPr>
              <w:widowControl w:val="0"/>
              <w:snapToGrid w:val="0"/>
              <w:rPr>
                <w:rFonts w:ascii="Calibri" w:hAnsi="Calibri" w:cs="Calibri"/>
                <w:sz w:val="18"/>
                <w:szCs w:val="18"/>
              </w:rPr>
            </w:pPr>
          </w:p>
        </w:tc>
        <w:tc>
          <w:tcPr>
            <w:tcW w:w="23" w:type="dxa"/>
            <w:tcMar>
              <w:top w:w="0" w:type="dxa"/>
              <w:left w:w="0" w:type="dxa"/>
              <w:bottom w:w="0" w:type="dxa"/>
              <w:right w:w="0" w:type="dxa"/>
            </w:tcMar>
          </w:tcPr>
          <w:p>
            <w:pPr>
              <w:widowControl w:val="0"/>
              <w:snapToGrid w:val="0"/>
              <w:rPr>
                <w:rFonts w:ascii="Calibri" w:hAnsi="Calibri" w:cs="Calibri"/>
                <w:sz w:val="18"/>
                <w:szCs w:val="18"/>
              </w:rPr>
            </w:pPr>
          </w:p>
        </w:tc>
      </w:tr>
      <w:tr>
        <w:tblPrEx>
          <w:tblCellMar>
            <w:top w:w="55" w:type="dxa"/>
            <w:left w:w="55" w:type="dxa"/>
            <w:bottom w:w="55" w:type="dxa"/>
            <w:right w:w="55" w:type="dxa"/>
          </w:tblCellMar>
        </w:tblPrEx>
        <w:tc>
          <w:tcPr>
            <w:tcW w:w="2438" w:type="dxa"/>
            <w:tcBorders>
              <w:top w:val="single" w:color="000000" w:sz="4" w:space="0"/>
              <w:left w:val="single" w:color="000000" w:sz="4" w:space="0"/>
              <w:bottom w:val="single" w:color="000000" w:sz="4" w:space="0"/>
            </w:tcBorders>
          </w:tcPr>
          <w:p>
            <w:pPr>
              <w:pStyle w:val="644"/>
              <w:widowControl w:val="0"/>
              <w:jc w:val="left"/>
              <w:rPr>
                <w:rFonts w:ascii="Calibri" w:hAnsi="Calibri" w:cs="Calibri"/>
                <w:sz w:val="18"/>
                <w:szCs w:val="18"/>
              </w:rPr>
            </w:pPr>
            <w:r>
              <w:rPr>
                <w:rFonts w:ascii="Calibri" w:hAnsi="Calibri" w:cs="Calibri"/>
                <w:sz w:val="18"/>
                <w:szCs w:val="18"/>
              </w:rPr>
              <w:t>Observações</w:t>
            </w:r>
          </w:p>
        </w:tc>
        <w:tc>
          <w:tcPr>
            <w:tcW w:w="7118" w:type="dxa"/>
            <w:gridSpan w:val="5"/>
            <w:tcBorders>
              <w:top w:val="single" w:color="000000" w:sz="4" w:space="0"/>
              <w:left w:val="single" w:color="000000" w:sz="4" w:space="0"/>
              <w:bottom w:val="single" w:color="000000" w:sz="4" w:space="0"/>
              <w:right w:val="single" w:color="000000" w:sz="4" w:space="0"/>
            </w:tcBorders>
          </w:tcPr>
          <w:p>
            <w:pPr>
              <w:pStyle w:val="644"/>
              <w:widowControl w:val="0"/>
              <w:snapToGrid w:val="0"/>
              <w:jc w:val="center"/>
              <w:rPr>
                <w:rFonts w:ascii="Calibri" w:hAnsi="Calibri" w:cs="Calibri"/>
                <w:sz w:val="18"/>
                <w:szCs w:val="18"/>
              </w:rPr>
            </w:pPr>
          </w:p>
        </w:tc>
        <w:tc>
          <w:tcPr>
            <w:tcW w:w="82" w:type="dxa"/>
            <w:gridSpan w:val="2"/>
            <w:tcMar>
              <w:top w:w="0" w:type="dxa"/>
              <w:left w:w="0" w:type="dxa"/>
              <w:bottom w:w="0" w:type="dxa"/>
              <w:right w:w="0" w:type="dxa"/>
            </w:tcMar>
          </w:tcPr>
          <w:p>
            <w:pPr>
              <w:widowControl w:val="0"/>
              <w:snapToGrid w:val="0"/>
              <w:rPr>
                <w:rFonts w:ascii="Calibri" w:hAnsi="Calibri" w:cs="Calibri"/>
                <w:b/>
                <w:sz w:val="18"/>
                <w:szCs w:val="18"/>
              </w:rPr>
            </w:pPr>
          </w:p>
        </w:tc>
      </w:tr>
    </w:tbl>
    <w:p>
      <w:pPr>
        <w:tabs>
          <w:tab w:val="left" w:pos="-709"/>
        </w:tabs>
        <w:ind w:left="-1134" w:right="-567" w:firstLine="0"/>
        <w:jc w:val="center"/>
        <w:rPr>
          <w:rFonts w:ascii="Calibri" w:hAnsi="Calibri" w:cs="Calibri"/>
          <w:b/>
          <w:sz w:val="18"/>
          <w:szCs w:val="18"/>
        </w:rPr>
      </w:pPr>
    </w:p>
    <w:p>
      <w:pPr>
        <w:widowControl/>
        <w:tabs>
          <w:tab w:val="left" w:pos="-709"/>
        </w:tabs>
        <w:suppressAutoHyphens/>
        <w:bidi w:val="0"/>
        <w:ind w:left="0" w:right="0" w:firstLine="0"/>
        <w:jc w:val="both"/>
        <w:rPr>
          <w:rFonts w:ascii="Calibri" w:hAnsi="Calibri" w:cs="Calibri"/>
          <w:b w:val="0"/>
          <w:bCs w:val="0"/>
          <w:sz w:val="18"/>
          <w:szCs w:val="18"/>
        </w:rPr>
      </w:pPr>
    </w:p>
    <w:p>
      <w:pPr>
        <w:widowControl/>
        <w:tabs>
          <w:tab w:val="left" w:pos="-709"/>
        </w:tabs>
        <w:suppressAutoHyphens/>
        <w:bidi w:val="0"/>
        <w:ind w:left="0" w:right="0" w:firstLine="0"/>
        <w:jc w:val="both"/>
        <w:rPr>
          <w:rFonts w:ascii="Calibri" w:hAnsi="Calibri" w:cs="Calibri"/>
          <w:b w:val="0"/>
          <w:bCs w:val="0"/>
          <w:sz w:val="18"/>
          <w:szCs w:val="18"/>
        </w:rPr>
      </w:pPr>
      <w:r>
        <w:rPr>
          <w:rFonts w:ascii="Calibri" w:hAnsi="Calibri" w:cs="Calibri"/>
          <w:b w:val="0"/>
          <w:bCs w:val="0"/>
          <w:sz w:val="18"/>
          <w:szCs w:val="18"/>
        </w:rPr>
        <w:t xml:space="preserve">CONCLUSÃO DO TESTE REALIZADO: </w:t>
      </w:r>
    </w:p>
    <w:p>
      <w:pPr>
        <w:pStyle w:val="2"/>
        <w:widowControl/>
        <w:tabs>
          <w:tab w:val="left" w:pos="-709"/>
        </w:tabs>
        <w:suppressAutoHyphens/>
        <w:bidi w:val="0"/>
        <w:ind w:left="0" w:right="0" w:firstLine="0"/>
        <w:jc w:val="both"/>
        <w:rPr>
          <w:b w:val="0"/>
          <w:bCs w:val="0"/>
          <w:sz w:val="18"/>
          <w:szCs w:val="18"/>
        </w:rPr>
      </w:pPr>
    </w:p>
    <w:tbl>
      <w:tblPr>
        <w:tblStyle w:val="13"/>
        <w:tblW w:w="5000" w:type="pct"/>
        <w:tblInd w:w="55" w:type="dxa"/>
        <w:tblLayout w:type="fixed"/>
        <w:tblCellMar>
          <w:top w:w="55" w:type="dxa"/>
          <w:left w:w="55" w:type="dxa"/>
          <w:bottom w:w="55" w:type="dxa"/>
          <w:right w:w="55" w:type="dxa"/>
        </w:tblCellMar>
      </w:tblPr>
      <w:tblGrid>
        <w:gridCol w:w="9749"/>
      </w:tblGrid>
      <w:tr>
        <w:tc>
          <w:tcPr>
            <w:tcW w:w="9639" w:type="dxa"/>
            <w:tcBorders>
              <w:top w:val="single" w:color="000000" w:sz="4" w:space="0"/>
              <w:left w:val="single" w:color="000000" w:sz="4" w:space="0"/>
              <w:bottom w:val="single" w:color="000000" w:sz="4" w:space="0"/>
              <w:right w:val="single" w:color="000000" w:sz="4" w:space="0"/>
            </w:tcBorders>
          </w:tcPr>
          <w:p>
            <w:pPr>
              <w:pStyle w:val="644"/>
              <w:widowControl w:val="0"/>
              <w:jc w:val="both"/>
              <w:rPr>
                <w:rFonts w:ascii="Calibri" w:hAnsi="Calibri" w:cs="Calibri"/>
                <w:sz w:val="18"/>
                <w:szCs w:val="18"/>
              </w:rPr>
            </w:pPr>
            <w:r>
              <w:rPr>
                <w:rFonts w:ascii="Calibri" w:hAnsi="Calibri" w:cs="Calibri"/>
                <w:sz w:val="18"/>
                <w:szCs w:val="18"/>
              </w:rPr>
              <w:t>(   ) APROVADO                 (   ) REPROVADO</w:t>
            </w:r>
          </w:p>
        </w:tc>
      </w:tr>
      <w:tr>
        <w:tblPrEx>
          <w:tblCellMar>
            <w:top w:w="55" w:type="dxa"/>
            <w:left w:w="55" w:type="dxa"/>
            <w:bottom w:w="55" w:type="dxa"/>
            <w:right w:w="55" w:type="dxa"/>
          </w:tblCellMar>
        </w:tblPrEx>
        <w:tc>
          <w:tcPr>
            <w:tcW w:w="9639" w:type="dxa"/>
            <w:tcBorders>
              <w:left w:val="single" w:color="000000" w:sz="4" w:space="0"/>
              <w:bottom w:val="single" w:color="000000" w:sz="4" w:space="0"/>
              <w:right w:val="single" w:color="000000" w:sz="4" w:space="0"/>
            </w:tcBorders>
          </w:tcPr>
          <w:p>
            <w:pPr>
              <w:pStyle w:val="644"/>
              <w:widowControl w:val="0"/>
              <w:jc w:val="both"/>
              <w:rPr>
                <w:rFonts w:ascii="Calibri" w:hAnsi="Calibri" w:cs="Calibri"/>
                <w:sz w:val="18"/>
                <w:szCs w:val="18"/>
              </w:rPr>
            </w:pPr>
            <w:r>
              <w:rPr>
                <w:rFonts w:ascii="Calibri" w:hAnsi="Calibri" w:cs="Calibri"/>
                <w:sz w:val="18"/>
                <w:szCs w:val="18"/>
              </w:rPr>
              <w:t>(   ) NÃO AVALIADO – JUSTIFICAR:</w:t>
            </w:r>
          </w:p>
          <w:p>
            <w:pPr>
              <w:pStyle w:val="644"/>
              <w:widowControl w:val="0"/>
              <w:jc w:val="both"/>
              <w:rPr>
                <w:rFonts w:ascii="Calibri" w:hAnsi="Calibri" w:cs="Calibri"/>
                <w:sz w:val="18"/>
                <w:szCs w:val="18"/>
              </w:rPr>
            </w:pPr>
          </w:p>
          <w:p>
            <w:pPr>
              <w:pStyle w:val="644"/>
              <w:widowControl w:val="0"/>
              <w:jc w:val="both"/>
              <w:rPr>
                <w:rFonts w:ascii="Calibri" w:hAnsi="Calibri" w:cs="Calibri"/>
                <w:sz w:val="18"/>
                <w:szCs w:val="18"/>
              </w:rPr>
            </w:pPr>
          </w:p>
          <w:p>
            <w:pPr>
              <w:pStyle w:val="644"/>
              <w:widowControl w:val="0"/>
              <w:jc w:val="both"/>
              <w:rPr>
                <w:rFonts w:ascii="Calibri" w:hAnsi="Calibri" w:cs="Calibri"/>
                <w:sz w:val="18"/>
                <w:szCs w:val="18"/>
              </w:rPr>
            </w:pPr>
          </w:p>
        </w:tc>
      </w:tr>
    </w:tbl>
    <w:p>
      <w:pPr>
        <w:pStyle w:val="2"/>
        <w:widowControl/>
        <w:tabs>
          <w:tab w:val="left" w:pos="-709"/>
        </w:tabs>
        <w:suppressAutoHyphens/>
        <w:bidi w:val="0"/>
        <w:ind w:left="0" w:right="0" w:firstLine="0"/>
        <w:jc w:val="both"/>
        <w:rPr>
          <w:b w:val="0"/>
          <w:bCs w:val="0"/>
          <w:sz w:val="18"/>
          <w:szCs w:val="18"/>
        </w:rPr>
      </w:pPr>
    </w:p>
    <w:p>
      <w:pPr>
        <w:widowControl/>
        <w:tabs>
          <w:tab w:val="left" w:pos="-709"/>
        </w:tabs>
        <w:suppressAutoHyphens/>
        <w:bidi w:val="0"/>
        <w:ind w:left="0" w:right="0" w:firstLine="0"/>
        <w:jc w:val="both"/>
        <w:rPr>
          <w:rFonts w:ascii="Calibri" w:hAnsi="Calibri" w:cs="Calibri"/>
          <w:b/>
          <w:bCs w:val="0"/>
          <w:sz w:val="18"/>
          <w:szCs w:val="18"/>
        </w:rPr>
      </w:pPr>
    </w:p>
    <w:p>
      <w:pPr>
        <w:widowControl/>
        <w:tabs>
          <w:tab w:val="left" w:pos="-709"/>
        </w:tabs>
        <w:suppressAutoHyphens/>
        <w:bidi w:val="0"/>
        <w:ind w:left="0" w:right="0" w:firstLine="0"/>
        <w:jc w:val="left"/>
        <w:rPr>
          <w:rFonts w:ascii="Calibri" w:hAnsi="Calibri" w:cs="Calibri"/>
          <w:b w:val="0"/>
          <w:bCs w:val="0"/>
          <w:sz w:val="18"/>
          <w:szCs w:val="18"/>
        </w:rPr>
      </w:pPr>
    </w:p>
    <w:p>
      <w:pPr>
        <w:pStyle w:val="2"/>
        <w:jc w:val="left"/>
        <w:rPr>
          <w:rFonts w:ascii="Calibri" w:hAnsi="Calibri" w:cs="Calibri"/>
          <w:b w:val="0"/>
          <w:bCs w:val="0"/>
          <w:sz w:val="18"/>
          <w:szCs w:val="18"/>
        </w:rPr>
      </w:pPr>
      <w:r>
        <w:rPr>
          <w:rFonts w:ascii="Calibri" w:hAnsi="Calibri" w:cs="Calibri"/>
          <w:b w:val="0"/>
          <w:bCs w:val="0"/>
          <w:sz w:val="18"/>
          <w:szCs w:val="18"/>
        </w:rPr>
        <w:t>__________________,_____/______/_______.</w:t>
      </w:r>
    </w:p>
    <w:p>
      <w:pPr>
        <w:pStyle w:val="2"/>
        <w:jc w:val="left"/>
        <w:rPr>
          <w:rFonts w:ascii="Calibri" w:hAnsi="Calibri" w:cs="Calibri"/>
          <w:b w:val="0"/>
          <w:bCs w:val="0"/>
          <w:sz w:val="18"/>
          <w:szCs w:val="18"/>
        </w:rPr>
      </w:pPr>
    </w:p>
    <w:p>
      <w:pPr>
        <w:pStyle w:val="2"/>
        <w:jc w:val="left"/>
        <w:rPr>
          <w:color w:val="000000"/>
          <w:sz w:val="18"/>
          <w:szCs w:val="18"/>
        </w:rPr>
      </w:pPr>
      <w:r>
        <w:rPr>
          <w:rFonts w:ascii="Calibri" w:hAnsi="Calibri" w:cs="Calibri"/>
          <w:b w:val="0"/>
          <w:bCs w:val="0"/>
          <w:color w:val="000000"/>
          <w:sz w:val="18"/>
          <w:szCs w:val="18"/>
        </w:rPr>
        <w:t>RESPONSÁVEL PELO PARECER (assinado digitalmente):</w:t>
      </w:r>
    </w:p>
    <w:p>
      <w:pPr>
        <w:tabs>
          <w:tab w:val="left" w:pos="2552"/>
        </w:tabs>
        <w:jc w:val="left"/>
        <w:rPr>
          <w:color w:val="000000"/>
          <w:sz w:val="18"/>
          <w:szCs w:val="18"/>
        </w:rPr>
      </w:pPr>
      <w:r>
        <w:rPr>
          <w:rFonts w:ascii="Calibri" w:hAnsi="Calibri" w:eastAsia="Calibri" w:cs="Calibri"/>
          <w:b w:val="0"/>
          <w:bCs w:val="0"/>
          <w:color w:val="000000"/>
          <w:sz w:val="18"/>
          <w:szCs w:val="18"/>
        </w:rPr>
        <w:t xml:space="preserve"> </w:t>
      </w:r>
      <w:r>
        <w:rPr>
          <w:rFonts w:ascii="Calibri" w:hAnsi="Calibri" w:cs="Calibri"/>
          <w:b w:val="0"/>
          <w:bCs w:val="0"/>
          <w:color w:val="000000"/>
          <w:sz w:val="18"/>
          <w:szCs w:val="18"/>
        </w:rPr>
        <w:t>Após preenchido e assinado, encaminhar o formulário via SGP-e para SES/DPGC/NAENF</w:t>
      </w:r>
    </w:p>
    <w:p>
      <w:pPr>
        <w:bidi w:val="0"/>
        <w:jc w:val="center"/>
        <w:rPr>
          <w:rFonts w:ascii="Calibri" w:hAnsi="Calibri" w:cs="Calibri"/>
          <w:b/>
          <w:sz w:val="18"/>
          <w:szCs w:val="18"/>
          <w:lang w:val="pt-BR"/>
        </w:rPr>
      </w:pPr>
    </w:p>
    <w:p>
      <w:pPr>
        <w:bidi w:val="0"/>
        <w:jc w:val="center"/>
        <w:rPr>
          <w:rFonts w:ascii="Calibri" w:hAnsi="Calibri" w:cs="Calibri"/>
          <w:b/>
          <w:sz w:val="24"/>
          <w:szCs w:val="24"/>
          <w:lang w:val="pt-BR"/>
        </w:rPr>
      </w:pPr>
    </w:p>
    <w:p>
      <w:pPr>
        <w:bidi w:val="0"/>
        <w:jc w:val="center"/>
        <w:rPr>
          <w:rFonts w:ascii="Calibri" w:hAnsi="Calibri" w:cs="Calibri"/>
          <w:b/>
          <w:sz w:val="24"/>
          <w:szCs w:val="24"/>
          <w:lang w:val="pt-BR"/>
        </w:rPr>
      </w:pPr>
    </w:p>
    <w:p>
      <w:pPr>
        <w:bidi w:val="0"/>
        <w:jc w:val="center"/>
        <w:rPr>
          <w:rFonts w:ascii="Calibri" w:hAnsi="Calibri" w:cs="Calibri"/>
          <w:b/>
          <w:sz w:val="24"/>
          <w:szCs w:val="24"/>
          <w:lang w:val="pt-BR"/>
        </w:rPr>
      </w:pPr>
    </w:p>
    <w:p>
      <w:pPr>
        <w:pStyle w:val="2"/>
        <w:rPr>
          <w:rFonts w:ascii="Calibri" w:hAnsi="Calibri" w:cs="Calibri"/>
          <w:b/>
          <w:sz w:val="24"/>
          <w:szCs w:val="24"/>
          <w:lang w:val="pt-BR"/>
        </w:rPr>
      </w:pPr>
    </w:p>
    <w:p>
      <w:pPr>
        <w:pStyle w:val="2"/>
        <w:rPr>
          <w:rFonts w:ascii="Calibri" w:hAnsi="Calibri" w:cs="Calibri"/>
          <w:b/>
          <w:sz w:val="24"/>
          <w:szCs w:val="24"/>
          <w:lang w:val="pt-BR"/>
        </w:rPr>
      </w:pPr>
    </w:p>
    <w:p>
      <w:pPr>
        <w:pStyle w:val="2"/>
        <w:rPr>
          <w:rFonts w:ascii="Calibri" w:hAnsi="Calibri" w:cs="Calibri"/>
          <w:b/>
          <w:sz w:val="24"/>
          <w:szCs w:val="24"/>
          <w:lang w:val="pt-BR"/>
        </w:rPr>
      </w:pPr>
    </w:p>
    <w:p>
      <w:pPr>
        <w:pStyle w:val="2"/>
        <w:rPr>
          <w:rFonts w:ascii="Calibri" w:hAnsi="Calibri" w:cs="Calibri"/>
          <w:b/>
          <w:sz w:val="24"/>
          <w:szCs w:val="24"/>
          <w:lang w:val="pt-BR"/>
        </w:rPr>
      </w:pPr>
    </w:p>
    <w:p>
      <w:pPr>
        <w:pStyle w:val="2"/>
        <w:rPr>
          <w:rFonts w:ascii="Calibri" w:hAnsi="Calibri" w:cs="Calibri"/>
          <w:b/>
          <w:sz w:val="24"/>
          <w:szCs w:val="24"/>
          <w:lang w:val="pt-BR"/>
        </w:rPr>
      </w:pPr>
    </w:p>
    <w:p>
      <w:pPr>
        <w:bidi w:val="0"/>
        <w:jc w:val="center"/>
        <w:rPr>
          <w:rFonts w:ascii="Calibri" w:hAnsi="Calibri" w:cs="Calibri"/>
          <w:b/>
          <w:sz w:val="24"/>
          <w:szCs w:val="24"/>
          <w:lang w:val="pt-BR"/>
        </w:rPr>
      </w:pPr>
    </w:p>
    <w:p>
      <w:pPr>
        <w:bidi w:val="0"/>
        <w:jc w:val="center"/>
        <w:rPr>
          <w:rFonts w:ascii="Calibri" w:hAnsi="Calibri" w:cs="Calibri"/>
          <w:b/>
          <w:sz w:val="24"/>
          <w:szCs w:val="24"/>
          <w:lang w:val="pt-BR"/>
        </w:rPr>
      </w:pPr>
      <w:r>
        <w:rPr>
          <w:rFonts w:ascii="Calibri" w:hAnsi="Calibri" w:cs="Calibri"/>
          <w:b/>
          <w:sz w:val="24"/>
          <w:szCs w:val="24"/>
        </w:rPr>
        <w:t xml:space="preserve">ANEXO </w:t>
      </w:r>
      <w:r>
        <w:rPr>
          <w:rFonts w:ascii="Calibri" w:hAnsi="Calibri" w:cs="Calibri"/>
          <w:b/>
          <w:sz w:val="24"/>
          <w:szCs w:val="24"/>
          <w:lang w:val="pt-BR"/>
        </w:rPr>
        <w:t>IV</w:t>
      </w:r>
    </w:p>
    <w:p>
      <w:pPr>
        <w:pStyle w:val="621"/>
        <w:bidi w:val="0"/>
        <w:rPr>
          <w:rFonts w:ascii="Calibri" w:hAnsi="Calibri" w:eastAsia="SimSun" w:cs="Calibri"/>
          <w:b/>
          <w:bCs/>
          <w:shadow/>
          <w:color w:val="000000"/>
          <w:kern w:val="0"/>
          <w:sz w:val="24"/>
          <w:szCs w:val="24"/>
          <w:lang w:val="pt-BR" w:eastAsia="zh-CN" w:bidi="ar-SA"/>
        </w:rPr>
      </w:pPr>
      <w:r>
        <w:rPr>
          <w:rFonts w:ascii="Calibri" w:hAnsi="Calibri" w:cs="Calibri"/>
          <w:bCs/>
          <w:sz w:val="24"/>
          <w:szCs w:val="24"/>
        </w:rPr>
        <w:t xml:space="preserve">PREGÃO ELETRÔNICO Nº </w:t>
      </w:r>
      <w:r>
        <w:rPr>
          <w:rFonts w:ascii="Calibri" w:hAnsi="Calibri" w:eastAsia="SimSun" w:cs="Calibri"/>
          <w:b/>
          <w:bCs/>
          <w:shadow/>
          <w:color w:val="000000"/>
          <w:kern w:val="0"/>
          <w:sz w:val="24"/>
          <w:szCs w:val="24"/>
          <w:lang w:val="pt-BR" w:eastAsia="zh-CN" w:bidi="ar-SA"/>
        </w:rPr>
        <w:t>1182/2023</w:t>
      </w:r>
    </w:p>
    <w:p>
      <w:pPr>
        <w:pStyle w:val="3"/>
        <w:numPr>
          <w:ilvl w:val="0"/>
          <w:numId w:val="0"/>
        </w:numPr>
        <w:tabs>
          <w:tab w:val="left" w:pos="0"/>
          <w:tab w:val="left" w:pos="720"/>
          <w:tab w:val="left" w:pos="113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bidi w:val="0"/>
        <w:ind w:left="0" w:right="0" w:firstLine="0"/>
        <w:jc w:val="center"/>
        <w:rPr>
          <w:rFonts w:ascii="Calibri" w:hAnsi="Calibri" w:cs="Calibri"/>
          <w:bCs/>
          <w:sz w:val="24"/>
          <w:szCs w:val="24"/>
        </w:rPr>
      </w:pPr>
      <w:r>
        <w:rPr>
          <w:rFonts w:ascii="Calibri" w:hAnsi="Calibri" w:cs="Calibri"/>
          <w:bCs/>
          <w:sz w:val="24"/>
          <w:szCs w:val="24"/>
        </w:rPr>
        <w:t>MINUTA DA ATA DE REGISTRO DE PREÇOS</w:t>
      </w:r>
    </w:p>
    <w:p>
      <w:pPr>
        <w:bidi w:val="0"/>
        <w:jc w:val="left"/>
        <w:rPr>
          <w:rFonts w:ascii="Calibri" w:hAnsi="Calibri" w:cs="Calibri"/>
          <w:bCs/>
          <w:sz w:val="24"/>
          <w:szCs w:val="24"/>
        </w:rPr>
      </w:pPr>
    </w:p>
    <w:p>
      <w:pPr>
        <w:bidi w:val="0"/>
        <w:ind w:left="0" w:right="0" w:firstLine="1134"/>
        <w:jc w:val="both"/>
      </w:pPr>
      <w:r>
        <w:rPr>
          <w:rFonts w:ascii="Calibri" w:hAnsi="Calibri" w:cs="Calibri"/>
          <w:sz w:val="24"/>
          <w:szCs w:val="24"/>
        </w:rPr>
        <w:t xml:space="preserve">No Estado de Santa Catarina, através da Secretaria de Estado da Saúde/Fundo Estadual de Saúde, Órgão Gerenciador deste Registro de Preços, situada na Rua Esteves Júnior, nº 160, nesta Capital, inscrita no CNPJ sob o nº 80.673.411/0001-87, representado neste ato pelo (cargo) ____________, senhor(a) (nome) _______, pelo Gestor desta Ata, senhor(a) ___________, são registrados os preços da(s) empresa(s) ________(fornecedor) ______, estabelecida na Rua ______________________, inscrita no Cadastro de Pessoas Jurídicas sob o n° ______________, neste ato representado pelo(a) ______ (nome do representante) ____________, inscrito(a) no Cadastro de Pessoas Físicas sob o nº ____________, portador(a) do RG n° _________________, para eventual fornecimento de </w:t>
      </w:r>
      <w:r>
        <w:rPr>
          <w:rFonts w:ascii="Calibri" w:hAnsi="Calibri" w:eastAsia="SimSun" w:cs="Calibri"/>
          <w:b/>
          <w:bCs/>
          <w:color w:val="000000"/>
          <w:kern w:val="0"/>
          <w:sz w:val="24"/>
          <w:szCs w:val="24"/>
          <w:lang w:val="pt-BR" w:eastAsia="zh-CN" w:bidi="ar-SA"/>
        </w:rPr>
        <w:t>materiais de laboratório</w:t>
      </w:r>
      <w:r>
        <w:rPr>
          <w:rFonts w:ascii="Calibri" w:hAnsi="Calibri" w:cs="Calibri"/>
          <w:b/>
          <w:bCs/>
          <w:sz w:val="24"/>
          <w:szCs w:val="24"/>
        </w:rPr>
        <w:t xml:space="preserve"> </w:t>
      </w:r>
      <w:r>
        <w:rPr>
          <w:rFonts w:ascii="Calibri" w:hAnsi="Calibri" w:cs="Calibri"/>
          <w:b/>
          <w:sz w:val="24"/>
          <w:szCs w:val="24"/>
        </w:rPr>
        <w:t xml:space="preserve"> para o Laboratório Central de Saúde Pública (LACEN)</w:t>
      </w:r>
      <w:r>
        <w:rPr>
          <w:rFonts w:ascii="Calibri" w:hAnsi="Calibri" w:cs="Calibri"/>
          <w:sz w:val="24"/>
          <w:szCs w:val="24"/>
        </w:rPr>
        <w:t xml:space="preserve">, conforme especificado no quadro abaixo, resultante do </w:t>
      </w: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1182/2023</w:t>
      </w:r>
      <w:r>
        <w:rPr>
          <w:rFonts w:ascii="Calibri" w:hAnsi="Calibri" w:cs="Calibri"/>
          <w:sz w:val="24"/>
          <w:szCs w:val="24"/>
        </w:rPr>
        <w:t xml:space="preserve">, objeto do processo </w:t>
      </w:r>
      <w:r>
        <w:rPr>
          <w:rFonts w:ascii="Calibri" w:hAnsi="Calibri" w:cs="Calibri"/>
          <w:b/>
          <w:sz w:val="24"/>
          <w:szCs w:val="24"/>
        </w:rPr>
        <w:t xml:space="preserve">SES </w:t>
      </w:r>
      <w:r>
        <w:rPr>
          <w:rFonts w:ascii="Calibri" w:hAnsi="Calibri" w:eastAsia="SimSun" w:cs="Calibri"/>
          <w:b/>
          <w:color w:val="000000"/>
          <w:kern w:val="0"/>
          <w:sz w:val="24"/>
          <w:szCs w:val="24"/>
          <w:lang w:val="pt-BR" w:eastAsia="zh-CN" w:bidi="ar-SA"/>
        </w:rPr>
        <w:t>118525/2023</w:t>
      </w:r>
      <w:r>
        <w:rPr>
          <w:rFonts w:ascii="Calibri" w:hAnsi="Calibri" w:cs="Calibri"/>
          <w:sz w:val="24"/>
          <w:szCs w:val="24"/>
        </w:rPr>
        <w:t>. As condições a serem praticadas neste registro de preços são as constantes do instrumento convocatório respectivo e seus anexos, da proposta apresentada pelo(s) fornecedor(es), os quais integram esta ata, independentemente de transcrição. O presente registro de preços terá vigência de 01 (um) ano, contado a partir da data de assinatura desta Ata.</w:t>
      </w:r>
    </w:p>
    <w:p>
      <w:pPr>
        <w:pStyle w:val="2"/>
        <w:bidi w:val="0"/>
        <w:ind w:left="0" w:right="0" w:firstLine="1134"/>
        <w:jc w:val="both"/>
        <w:rPr>
          <w:rFonts w:ascii="Calibri" w:hAnsi="Calibri" w:cs="Calibri"/>
          <w:sz w:val="24"/>
          <w:szCs w:val="24"/>
        </w:rPr>
      </w:pPr>
    </w:p>
    <w:p>
      <w:pPr>
        <w:bidi w:val="0"/>
        <w:ind w:left="0" w:right="0" w:firstLine="0"/>
        <w:jc w:val="both"/>
        <w:rPr>
          <w:rFonts w:ascii="Calibri" w:hAnsi="Calibri" w:cs="Calibri"/>
          <w:b/>
          <w:sz w:val="24"/>
          <w:szCs w:val="24"/>
        </w:rPr>
      </w:pPr>
      <w:r>
        <w:rPr>
          <w:rFonts w:ascii="Calibri" w:hAnsi="Calibri" w:cs="Calibri"/>
          <w:b/>
          <w:sz w:val="24"/>
          <w:szCs w:val="24"/>
        </w:rPr>
        <w:t>CLÁUSULA PRIMEIRA – DA</w:t>
      </w:r>
      <w:r>
        <w:rPr>
          <w:rFonts w:ascii="Calibri" w:hAnsi="Calibri" w:eastAsia="SimSun" w:cs="Calibri"/>
          <w:b/>
          <w:color w:val="000000"/>
          <w:kern w:val="0"/>
          <w:sz w:val="24"/>
          <w:szCs w:val="24"/>
          <w:lang w:val="pt-BR" w:eastAsia="zh-CN" w:bidi="ar-SA"/>
        </w:rPr>
        <w:t>S CONDIÇÕES DE PAGAMENTO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1.1 – A Secretaria de Estado da Saúde efetuará o pagamento por intermédio do Banco do Brasil em 30 (trinta) dias após o recebimento e aceite dos serviços com a respectiva Nota Fiscal/Fatura ou documento legalmente equivalente, observado o cumprimento integral das disposições contidas neste edital;</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 – Quando couber, a contratada deverá emitir Nota Fiscal, para cada unidade hospitalar, por tipo, mensalmente ou de acordo com a frequência dos serviços/fornecimento;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1.2.1 – Caso o vencimento do prazo de pagamento da Nota Fiscal/Fatura ocorra fora do calendário semanal ou de expediente bancário, o pagamento será efetuado na próxima data do calendário, imediatamente posterior ao vencimento, não incidindo qualquer compensação financeira neste período.</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1.2.2 – O credor que não possuir conta corrente no Banco do Brasil poderá receber o pagamento em outras instituições, mediante crédito em conta corrente do favorecido, ficando, contudo, responsável pelo pagamento das tarifas bancárias derivadas da operação, conforme art. 9º, §4º do Decreto Estadual nº 1073/2017;</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1.3 – A Contratada deverá apresentar juntamente com cada Nota Fiscal, Certidão de Débito para com a Fazenda Estadual demonstrando sua regularidade;</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1.3.1 – A não apresentação destes documentos, implicará na suspensão do pagamento da fatura, até a apresentação, não incidindo neste caso, em hipótese alguma, qualquer acréscimo de valores;</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1.4 – A empresa deverá mencionar na respectiva Nota Fiscal/Fatura informações pertinentes sobre o produto/serviço, tais como: a MARCA sob o qual o mesmo é comercializado, Fabricante, Apresentação, País de Origem, o número Certificado de Registro do Produto junto ao Ministério da Saúde, o número do lote e o prazo de validade do produto. Além de mencionar o número do Contrato, o número da Licitação, do Processo SES e da Autorização de Fornecimento;</w:t>
      </w:r>
    </w:p>
    <w:p>
      <w:pPr>
        <w:pStyle w:val="2"/>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1.5 – </w:t>
      </w:r>
      <w:r>
        <w:rPr>
          <w:rFonts w:ascii="Calibri" w:hAnsi="Calibri" w:eastAsia="Calibri" w:cs="Arial"/>
          <w:b w:val="0"/>
          <w:bCs w:val="0"/>
          <w:color w:val="000000"/>
          <w:kern w:val="0"/>
          <w:sz w:val="24"/>
          <w:szCs w:val="24"/>
          <w:lang w:val="pt-BR" w:eastAsia="zh-CN" w:bidi="ar-SA"/>
        </w:rPr>
        <w:t>Vencido o prazo estabelecido e não efetuado o pagamento pela CONTRATANTE, sem que haja culpa da CONTRATADA, os valores serão corrigidos com base nos mesmos critérios adotados para a atualização das obrigações tributárias, em observância ao que dispõe o artigo</w:t>
      </w:r>
    </w:p>
    <w:p>
      <w:pPr>
        <w:pStyle w:val="2"/>
        <w:bidi w:val="0"/>
        <w:ind w:left="0" w:right="0" w:firstLine="0"/>
        <w:jc w:val="both"/>
        <w:rPr>
          <w:rFonts w:ascii="Calibri" w:hAnsi="Calibri" w:eastAsia="Calibri" w:cs="Arial"/>
          <w:b w:val="0"/>
          <w:bCs w:val="0"/>
          <w:sz w:val="24"/>
          <w:szCs w:val="24"/>
        </w:rPr>
      </w:pPr>
      <w:r>
        <w:rPr>
          <w:rFonts w:ascii="Calibri" w:hAnsi="Calibri" w:eastAsia="SimSun" w:cs="Calibri"/>
          <w:b w:val="0"/>
          <w:bCs w:val="0"/>
          <w:color w:val="000000"/>
          <w:kern w:val="0"/>
          <w:sz w:val="24"/>
          <w:szCs w:val="24"/>
          <w:lang w:val="pt-BR" w:eastAsia="zh-CN" w:bidi="ar-SA"/>
        </w:rPr>
        <w:t>117, da Constituição Estadual e artigo 92, inciso V, da Lei Federal nº 14.133, de 1 de abril de 2021.</w:t>
      </w:r>
    </w:p>
    <w:p>
      <w:pPr>
        <w:pStyle w:val="2"/>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1.6 – Da aplicação do Decreto n.º 129/SC/2023:</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 –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RFB nº 1.234, de 11 de janeiro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1.6.1.1 – As retenções serão efetuadas sobre qualquer forma de pagamento, inclusive os que forem antecipados por conta de fornecimento de bens ou de prestação de serviços, para entrega futura;</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1.6.1.2 – Não se sujeitam à retenção do IR na fonte os pagamentos realizados nas hipóteses estabelecidas no art. 4º da Instrução Normativa RFB nº 1.234,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1.6.1.3 – Os prestadores de serviço e fornecedores de bens deverão, a partir da data estabelecida no caput do art. 1º deste Decreto, emitir as notas fiscais, as faturas ou os recibos em observância às regras de retenção dispostas na Instrução Normativa RFB nº 1.234, de 2012;</w:t>
      </w:r>
    </w:p>
    <w:p>
      <w:pPr>
        <w:pStyle w:val="2"/>
        <w:bidi w:val="0"/>
        <w:ind w:left="0" w:right="0" w:firstLine="0"/>
        <w:jc w:val="both"/>
        <w:rPr>
          <w:b w:val="0"/>
          <w:bCs w:val="0"/>
        </w:rPr>
      </w:pPr>
      <w:r>
        <w:rPr>
          <w:rFonts w:ascii="Calibri" w:hAnsi="Calibri" w:eastAsia="SimSun" w:cs="Calibri"/>
          <w:b w:val="0"/>
          <w:bCs w:val="0"/>
          <w:color w:val="000000"/>
          <w:kern w:val="0"/>
          <w:sz w:val="24"/>
          <w:szCs w:val="24"/>
          <w:lang w:val="pt-BR" w:eastAsia="zh-CN" w:bidi="ar-SA"/>
        </w:rPr>
        <w:t>1.6.1.4 – Os documentos de cobrança em desacordo com o previsto não serão aceitos para fins de liquidação de despesa.</w:t>
      </w:r>
    </w:p>
    <w:p>
      <w:pPr>
        <w:pStyle w:val="2"/>
        <w:bidi w:val="0"/>
        <w:ind w:left="0" w:right="0" w:firstLine="0"/>
        <w:jc w:val="both"/>
        <w:rPr>
          <w:rFonts w:ascii="Calibri" w:hAnsi="Calibri" w:cs="Calibri"/>
          <w:b/>
          <w:sz w:val="24"/>
          <w:szCs w:val="24"/>
        </w:rPr>
      </w:pPr>
    </w:p>
    <w:p>
      <w:pPr>
        <w:bidi w:val="0"/>
        <w:ind w:left="0" w:right="0" w:firstLine="0"/>
        <w:jc w:val="both"/>
        <w:rPr>
          <w:rFonts w:ascii="Calibri" w:hAnsi="Calibri" w:cs="Calibri"/>
          <w:b/>
          <w:sz w:val="24"/>
          <w:szCs w:val="24"/>
        </w:rPr>
      </w:pPr>
      <w:r>
        <w:rPr>
          <w:rFonts w:ascii="Calibri" w:hAnsi="Calibri" w:eastAsia="SimSun" w:cs="Calibri"/>
          <w:b/>
          <w:color w:val="000000"/>
          <w:kern w:val="0"/>
          <w:sz w:val="24"/>
          <w:szCs w:val="24"/>
          <w:lang w:val="pt-BR" w:eastAsia="zh-CN" w:bidi="ar-SA"/>
        </w:rPr>
        <w:t>CLÁUSULA SEGUNDA – DA VIGÊNCIA</w:t>
      </w:r>
    </w:p>
    <w:p>
      <w:pPr>
        <w:pStyle w:val="2"/>
        <w:bidi w:val="0"/>
        <w:spacing w:before="1" w:after="0"/>
        <w:ind w:right="259" w:firstLine="0"/>
        <w:jc w:val="both"/>
        <w:rPr>
          <w:rFonts w:ascii="Calibri" w:hAnsi="Calibri"/>
          <w:b/>
          <w:bCs/>
          <w:color w:val="000000"/>
          <w:sz w:val="24"/>
          <w:szCs w:val="24"/>
        </w:rPr>
      </w:pPr>
      <w:r>
        <w:rPr>
          <w:rFonts w:ascii="Calibri" w:hAnsi="Calibri" w:eastAsia="SimSun" w:cs="Calibri"/>
          <w:b w:val="0"/>
          <w:bCs w:val="0"/>
          <w:color w:val="000000"/>
          <w:kern w:val="0"/>
          <w:sz w:val="24"/>
          <w:szCs w:val="24"/>
          <w:lang w:val="pt-BR" w:eastAsia="zh-CN" w:bidi="ar-SA"/>
        </w:rPr>
        <w:t xml:space="preserve">2.1 – 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eastAsia="SimSun" w:cs="Calibri"/>
          <w:b w:val="0"/>
          <w:bCs w:val="0"/>
          <w:color w:val="000000"/>
          <w:kern w:val="0"/>
          <w:sz w:val="24"/>
          <w:szCs w:val="24"/>
          <w:lang w:val="pt-BR" w:eastAsia="zh-CN" w:bidi="ar-SA"/>
        </w:rPr>
        <w:t xml:space="preserve"> por igual período, na forma do artigo 84 da Lei n° 14.133, de 2021.</w:t>
      </w:r>
    </w:p>
    <w:p>
      <w:pPr>
        <w:pStyle w:val="2"/>
        <w:bidi w:val="0"/>
        <w:ind w:left="0" w:right="0" w:firstLine="0"/>
        <w:jc w:val="both"/>
        <w:rPr>
          <w:rFonts w:ascii="Calibri" w:hAnsi="Calibri" w:cs="Calibri"/>
          <w:b/>
          <w:sz w:val="24"/>
          <w:szCs w:val="24"/>
        </w:rPr>
      </w:pPr>
    </w:p>
    <w:p>
      <w:pPr>
        <w:bidi w:val="0"/>
        <w:jc w:val="both"/>
        <w:rPr>
          <w:color w:val="000000"/>
        </w:rPr>
      </w:pPr>
      <w:r>
        <w:rPr>
          <w:rFonts w:ascii="Calibri" w:hAnsi="Calibri" w:cs="Calibri"/>
          <w:b/>
          <w:color w:val="000000"/>
          <w:sz w:val="24"/>
          <w:szCs w:val="24"/>
        </w:rPr>
        <w:t xml:space="preserve">CLÁUSULA </w:t>
      </w:r>
      <w:r>
        <w:rPr>
          <w:rFonts w:ascii="Calibri" w:hAnsi="Calibri" w:eastAsia="SimSun" w:cs="Calibri"/>
          <w:b/>
          <w:color w:val="000000"/>
          <w:kern w:val="0"/>
          <w:sz w:val="24"/>
          <w:szCs w:val="24"/>
          <w:lang w:val="pt-BR" w:eastAsia="zh-CN" w:bidi="ar-SA"/>
        </w:rPr>
        <w:t>TERCEIRA</w:t>
      </w:r>
      <w:r>
        <w:rPr>
          <w:rFonts w:ascii="Calibri" w:hAnsi="Calibri" w:cs="Calibri"/>
          <w:b/>
          <w:color w:val="000000"/>
          <w:sz w:val="24"/>
          <w:szCs w:val="24"/>
        </w:rPr>
        <w:t xml:space="preserve"> – DA GESTÃO E FISCALIZAÇÃO DA ATA DE REGISTRO DE PREÇOS</w:t>
      </w:r>
    </w:p>
    <w:p>
      <w:pPr>
        <w:bidi w:val="0"/>
        <w:jc w:val="both"/>
        <w:rPr>
          <w:color w:val="000000"/>
        </w:rPr>
      </w:pPr>
      <w:r>
        <w:rPr>
          <w:rFonts w:ascii="Calibri" w:hAnsi="Calibri" w:cs="Calibri"/>
          <w:color w:val="000000"/>
          <w:sz w:val="24"/>
          <w:szCs w:val="24"/>
        </w:rPr>
        <w:t>3.1</w:t>
      </w:r>
      <w:r>
        <w:rPr>
          <w:rFonts w:ascii="Calibri" w:hAnsi="Calibri" w:cs="Calibri"/>
          <w:color w:val="000000"/>
          <w:sz w:val="24"/>
          <w:szCs w:val="24"/>
          <w:lang w:val="pt-BR"/>
        </w:rPr>
        <w:t xml:space="preserve"> - </w:t>
      </w:r>
      <w:r>
        <w:rPr>
          <w:rFonts w:ascii="Calibri" w:hAnsi="Calibri" w:cs="Calibri"/>
          <w:color w:val="000000"/>
          <w:sz w:val="24"/>
          <w:szCs w:val="24"/>
        </w:rPr>
        <w:t>O objeto deverá ser executado fielmente pelas partes, de acordo com as cláusulas avençadas e as normas da Lei nº 14.133, de 2021, e cada parte responderá pelas consequências de sua inexecução total ou parcial.</w:t>
      </w:r>
    </w:p>
    <w:p>
      <w:pPr>
        <w:pStyle w:val="2"/>
        <w:bidi w:val="0"/>
        <w:jc w:val="both"/>
        <w:rPr>
          <w:color w:val="000000"/>
        </w:rPr>
      </w:pPr>
      <w:r>
        <w:rPr>
          <w:rFonts w:ascii="Calibri" w:hAnsi="Calibri" w:cs="Calibri"/>
          <w:color w:val="000000"/>
          <w:sz w:val="24"/>
          <w:szCs w:val="24"/>
        </w:rPr>
        <w:t>3.2</w:t>
      </w:r>
      <w:r>
        <w:rPr>
          <w:rFonts w:ascii="Calibri" w:hAnsi="Calibri" w:cs="Calibri"/>
          <w:color w:val="000000"/>
          <w:sz w:val="24"/>
          <w:szCs w:val="24"/>
          <w:lang w:val="pt-BR"/>
        </w:rPr>
        <w:t xml:space="preserve"> -</w:t>
      </w:r>
      <w:r>
        <w:rPr>
          <w:rFonts w:ascii="Calibri" w:hAnsi="Calibri" w:cs="Calibri"/>
          <w:color w:val="000000"/>
          <w:sz w:val="24"/>
          <w:szCs w:val="24"/>
        </w:rPr>
        <w:t xml:space="preserve"> Em caso de impedimento, ordem de paralisação ou suspensão do contrato, o cronograma de</w:t>
      </w:r>
    </w:p>
    <w:p>
      <w:pPr>
        <w:pStyle w:val="2"/>
        <w:bidi w:val="0"/>
        <w:jc w:val="both"/>
        <w:rPr>
          <w:color w:val="000000"/>
        </w:rPr>
      </w:pPr>
      <w:r>
        <w:rPr>
          <w:rFonts w:ascii="Calibri" w:hAnsi="Calibri" w:cs="Calibri"/>
          <w:color w:val="000000"/>
          <w:sz w:val="24"/>
          <w:szCs w:val="24"/>
        </w:rPr>
        <w:t>execução será prorrogado automaticamente pelo tempo correspondente, anotadas tais circunstâncias mediante simples apostila.</w:t>
      </w:r>
    </w:p>
    <w:p>
      <w:pPr>
        <w:pStyle w:val="2"/>
        <w:bidi w:val="0"/>
        <w:jc w:val="both"/>
        <w:rPr>
          <w:color w:val="000000"/>
        </w:rPr>
      </w:pPr>
      <w:r>
        <w:rPr>
          <w:rFonts w:ascii="Calibri" w:hAnsi="Calibri" w:cs="Calibri"/>
          <w:color w:val="000000"/>
          <w:sz w:val="24"/>
          <w:szCs w:val="24"/>
        </w:rPr>
        <w:t>3.3</w:t>
      </w:r>
      <w:r>
        <w:rPr>
          <w:rFonts w:ascii="Calibri" w:hAnsi="Calibri" w:cs="Calibri"/>
          <w:color w:val="000000"/>
          <w:sz w:val="24"/>
          <w:szCs w:val="24"/>
          <w:lang w:val="pt-BR"/>
        </w:rPr>
        <w:t xml:space="preserve"> -</w:t>
      </w:r>
      <w:r>
        <w:rPr>
          <w:rFonts w:ascii="Calibri" w:hAnsi="Calibri" w:cs="Calibri"/>
          <w:color w:val="000000"/>
          <w:sz w:val="24"/>
          <w:szCs w:val="24"/>
        </w:rPr>
        <w:t xml:space="preserve"> As comunicações entre o órgão ou entidade e a contratada devem ser realizadas por escrito sempre que o ato exigir tal formalidade, admitindo-se o uso de mensagem eletrônica para esse fim.</w:t>
      </w:r>
    </w:p>
    <w:p>
      <w:pPr>
        <w:pStyle w:val="2"/>
        <w:bidi w:val="0"/>
        <w:jc w:val="both"/>
        <w:rPr>
          <w:color w:val="000000"/>
        </w:rPr>
      </w:pPr>
      <w:r>
        <w:rPr>
          <w:rFonts w:ascii="Calibri" w:hAnsi="Calibri" w:cs="Calibri"/>
          <w:color w:val="000000"/>
          <w:sz w:val="24"/>
          <w:szCs w:val="24"/>
        </w:rPr>
        <w:t>3.4</w:t>
      </w:r>
      <w:r>
        <w:rPr>
          <w:rFonts w:ascii="Calibri" w:hAnsi="Calibri" w:cs="Calibri"/>
          <w:color w:val="000000"/>
          <w:sz w:val="24"/>
          <w:szCs w:val="24"/>
          <w:lang w:val="pt-BR"/>
        </w:rPr>
        <w:t xml:space="preserve"> -</w:t>
      </w:r>
      <w:r>
        <w:rPr>
          <w:rFonts w:ascii="Calibri" w:hAnsi="Calibri" w:cs="Calibri"/>
          <w:color w:val="000000"/>
          <w:sz w:val="24"/>
          <w:szCs w:val="24"/>
        </w:rPr>
        <w:t xml:space="preserve"> O órgão ou entidade poderá convocar representante da empresa para adoção de providências que devam ser cumpridas de imediato.</w:t>
      </w:r>
    </w:p>
    <w:p>
      <w:pPr>
        <w:pStyle w:val="2"/>
        <w:bidi w:val="0"/>
        <w:jc w:val="both"/>
        <w:rPr>
          <w:color w:val="000000"/>
        </w:rPr>
      </w:pPr>
      <w:r>
        <w:rPr>
          <w:rFonts w:ascii="Calibri" w:hAnsi="Calibri" w:cs="Calibri"/>
          <w:color w:val="000000"/>
          <w:sz w:val="24"/>
          <w:szCs w:val="24"/>
        </w:rPr>
        <w:t>3.5</w:t>
      </w:r>
      <w:r>
        <w:rPr>
          <w:rFonts w:ascii="Calibri" w:hAnsi="Calibri" w:cs="Calibri"/>
          <w:color w:val="000000"/>
          <w:sz w:val="24"/>
          <w:szCs w:val="24"/>
          <w:lang w:val="pt-BR"/>
        </w:rPr>
        <w:t xml:space="preserve"> -</w:t>
      </w:r>
      <w:r>
        <w:rPr>
          <w:rFonts w:ascii="Calibri" w:hAnsi="Calibri" w:cs="Calibri"/>
          <w:color w:val="000000"/>
          <w:sz w:val="24"/>
          <w:szCs w:val="24"/>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2"/>
        <w:bidi w:val="0"/>
        <w:jc w:val="both"/>
        <w:rPr>
          <w:color w:val="000000"/>
        </w:rPr>
      </w:pPr>
      <w:r>
        <w:rPr>
          <w:rFonts w:ascii="Calibri" w:hAnsi="Calibri" w:cs="Calibri"/>
          <w:color w:val="000000"/>
          <w:sz w:val="24"/>
          <w:szCs w:val="24"/>
        </w:rPr>
        <w:t>3.6</w:t>
      </w:r>
      <w:r>
        <w:rPr>
          <w:rFonts w:ascii="Calibri" w:hAnsi="Calibri" w:cs="Calibri"/>
          <w:color w:val="000000"/>
          <w:sz w:val="24"/>
          <w:szCs w:val="24"/>
          <w:lang w:val="pt-BR"/>
        </w:rPr>
        <w:t xml:space="preserve"> -</w:t>
      </w:r>
      <w:r>
        <w:rPr>
          <w:rFonts w:ascii="Calibri" w:hAnsi="Calibri" w:cs="Calibri"/>
          <w:color w:val="000000"/>
          <w:sz w:val="24"/>
          <w:szCs w:val="24"/>
        </w:rPr>
        <w:t xml:space="preserve"> A execução do objeto deverá ser acompanhada e fiscalizada pelo(s) fiscal(is) da Ata de Registro de Preços, ou pelos respectivos substitutos (Lei nº 14.133, de 2021, art. 117, caput).</w:t>
      </w:r>
    </w:p>
    <w:p>
      <w:pPr>
        <w:pStyle w:val="2"/>
        <w:bidi w:val="0"/>
        <w:jc w:val="both"/>
        <w:rPr>
          <w:color w:val="000000"/>
        </w:rPr>
      </w:pPr>
      <w:r>
        <w:rPr>
          <w:rFonts w:ascii="Calibri" w:hAnsi="Calibri" w:cs="Calibri"/>
          <w:color w:val="000000"/>
          <w:sz w:val="24"/>
          <w:szCs w:val="24"/>
        </w:rPr>
        <w:t>3.7</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acompanhará a execução do contrato, para que sejam cumpridas todas as condições estabelecidas, de modo a assegurar os melhores resultados para a Administração;</w:t>
      </w:r>
    </w:p>
    <w:p>
      <w:pPr>
        <w:pStyle w:val="2"/>
        <w:bidi w:val="0"/>
        <w:jc w:val="both"/>
        <w:rPr>
          <w:color w:val="000000"/>
        </w:rPr>
      </w:pPr>
      <w:r>
        <w:rPr>
          <w:rFonts w:ascii="Calibri" w:hAnsi="Calibri" w:cs="Calibri"/>
          <w:color w:val="000000"/>
          <w:sz w:val="24"/>
          <w:szCs w:val="24"/>
        </w:rPr>
        <w:t>3.7.1</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anotará no histórico de gerenciamento do contrato todas as ocorrências relacionadas à execução do objeto, com a descrição do que for necessário para a regularização das faltas ou dos defeitos observados. (Lei nº 14.133, de 2021, art. 117, §1º);</w:t>
      </w:r>
    </w:p>
    <w:p>
      <w:pPr>
        <w:pStyle w:val="2"/>
        <w:bidi w:val="0"/>
        <w:jc w:val="both"/>
        <w:rPr>
          <w:color w:val="000000"/>
        </w:rPr>
      </w:pPr>
      <w:r>
        <w:rPr>
          <w:rFonts w:ascii="Calibri" w:hAnsi="Calibri" w:cs="Calibri"/>
          <w:color w:val="000000"/>
          <w:sz w:val="24"/>
          <w:szCs w:val="24"/>
        </w:rPr>
        <w:t>3.7.2</w:t>
      </w:r>
      <w:r>
        <w:rPr>
          <w:rFonts w:ascii="Calibri" w:hAnsi="Calibri" w:cs="Calibri"/>
          <w:color w:val="000000"/>
          <w:sz w:val="24"/>
          <w:szCs w:val="24"/>
          <w:lang w:val="pt-BR"/>
        </w:rPr>
        <w:t xml:space="preserve"> -</w:t>
      </w:r>
      <w:r>
        <w:rPr>
          <w:rFonts w:ascii="Calibri" w:hAnsi="Calibri" w:cs="Calibri"/>
          <w:color w:val="000000"/>
          <w:sz w:val="24"/>
          <w:szCs w:val="24"/>
        </w:rPr>
        <w:t xml:space="preserve"> Identificada qualquer inexatidão ou irregularidade, o fiscal da Ata de Registro de Preços emitirá notificações para a correção da execução do objeto, determinando prazo para a correção;</w:t>
      </w:r>
    </w:p>
    <w:p>
      <w:pPr>
        <w:pStyle w:val="2"/>
        <w:bidi w:val="0"/>
        <w:jc w:val="both"/>
        <w:rPr>
          <w:color w:val="000000"/>
        </w:rPr>
      </w:pPr>
      <w:r>
        <w:rPr>
          <w:rFonts w:ascii="Calibri" w:hAnsi="Calibri" w:cs="Calibri"/>
          <w:color w:val="000000"/>
          <w:sz w:val="24"/>
          <w:szCs w:val="24"/>
        </w:rPr>
        <w:t>3.7.3</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informará ao gestor da mesma, em tempo hábil, a situação que demandar decisão ou adoção de medidas que ultrapassem sua competência, para que adote as medidas necessárias e saneadoras, se for o caso;</w:t>
      </w:r>
    </w:p>
    <w:p>
      <w:pPr>
        <w:pStyle w:val="2"/>
        <w:bidi w:val="0"/>
        <w:jc w:val="both"/>
        <w:rPr>
          <w:color w:val="000000"/>
        </w:rPr>
      </w:pPr>
      <w:r>
        <w:rPr>
          <w:rFonts w:ascii="Calibri" w:hAnsi="Calibri" w:cs="Calibri"/>
          <w:color w:val="000000"/>
          <w:sz w:val="24"/>
          <w:szCs w:val="24"/>
        </w:rPr>
        <w:t>3.7.4</w:t>
      </w:r>
      <w:r>
        <w:rPr>
          <w:rFonts w:ascii="Calibri" w:hAnsi="Calibri" w:cs="Calibri"/>
          <w:color w:val="000000"/>
          <w:sz w:val="24"/>
          <w:szCs w:val="24"/>
          <w:lang w:val="pt-BR"/>
        </w:rPr>
        <w:t xml:space="preserve"> -</w:t>
      </w:r>
      <w:r>
        <w:rPr>
          <w:rFonts w:ascii="Calibri" w:hAnsi="Calibri" w:cs="Calibri"/>
          <w:color w:val="000000"/>
          <w:sz w:val="24"/>
          <w:szCs w:val="24"/>
        </w:rPr>
        <w:t xml:space="preserve"> No caso de ocorrências que possam inviabilizar a execução do objeto nas datas aprazadas, o fiscal da Ata de Registro de Preços comunicará o fato imediatamente ao gestor da mesma;</w:t>
      </w:r>
    </w:p>
    <w:p>
      <w:pPr>
        <w:pStyle w:val="2"/>
        <w:bidi w:val="0"/>
        <w:jc w:val="both"/>
        <w:rPr>
          <w:color w:val="000000"/>
        </w:rPr>
      </w:pPr>
      <w:r>
        <w:rPr>
          <w:rFonts w:ascii="Calibri" w:hAnsi="Calibri" w:cs="Calibri"/>
          <w:color w:val="000000"/>
          <w:sz w:val="24"/>
          <w:szCs w:val="24"/>
        </w:rPr>
        <w:t>3.7.</w:t>
      </w:r>
      <w:r>
        <w:rPr>
          <w:rFonts w:ascii="Calibri" w:hAnsi="Calibri" w:cs="Calibri"/>
          <w:color w:val="000000"/>
          <w:sz w:val="24"/>
          <w:szCs w:val="24"/>
          <w:lang w:val="pt-BR"/>
        </w:rPr>
        <w:t>5 -</w:t>
      </w:r>
      <w:r>
        <w:rPr>
          <w:rFonts w:ascii="Calibri" w:hAnsi="Calibri" w:cs="Calibri"/>
          <w:color w:val="000000"/>
          <w:sz w:val="24"/>
          <w:szCs w:val="24"/>
        </w:rPr>
        <w:t xml:space="preserve"> O gestor da Ata de registro de Preços acompanhará os registros realizados pelos fiscais da mesma, de todas as ocorrências relacionadas à execução do objeto e as medidas adotadas, informando, se for o caso, à autoridade superior àquelas que ultrapassarem a sua competência.</w:t>
      </w:r>
    </w:p>
    <w:p>
      <w:pPr>
        <w:pStyle w:val="2"/>
        <w:bidi w:val="0"/>
        <w:jc w:val="both"/>
        <w:rPr>
          <w:color w:val="000000"/>
        </w:rPr>
      </w:pPr>
      <w:r>
        <w:rPr>
          <w:rFonts w:ascii="Calibri" w:hAnsi="Calibri" w:cs="Calibri"/>
          <w:color w:val="000000"/>
          <w:sz w:val="24"/>
          <w:szCs w:val="24"/>
        </w:rPr>
        <w:t>3.8</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verificará a manutenção das condições de habilitação da empresa detentora da mesma,</w:t>
      </w:r>
    </w:p>
    <w:p>
      <w:pPr>
        <w:pStyle w:val="2"/>
        <w:bidi w:val="0"/>
        <w:jc w:val="both"/>
        <w:rPr>
          <w:color w:val="000000"/>
        </w:rPr>
      </w:pPr>
      <w:r>
        <w:rPr>
          <w:rFonts w:ascii="Calibri" w:hAnsi="Calibri" w:cs="Calibri"/>
          <w:color w:val="000000"/>
          <w:sz w:val="24"/>
          <w:szCs w:val="24"/>
        </w:rPr>
        <w:t>acompanhará o empenho, o pagamento, as garantias, as glosas e a formalização de apostilamento e termos aditivos, solicitando quaisquer documentos comprobatórios pertinentes, caso necessário.</w:t>
      </w:r>
    </w:p>
    <w:p>
      <w:pPr>
        <w:pStyle w:val="2"/>
        <w:bidi w:val="0"/>
        <w:jc w:val="both"/>
        <w:rPr>
          <w:color w:val="000000"/>
        </w:rPr>
      </w:pPr>
      <w:r>
        <w:rPr>
          <w:rFonts w:ascii="Calibri" w:hAnsi="Calibri" w:cs="Calibri"/>
          <w:color w:val="000000"/>
          <w:sz w:val="24"/>
          <w:szCs w:val="24"/>
        </w:rPr>
        <w:t>3.8.1</w:t>
      </w:r>
      <w:r>
        <w:rPr>
          <w:rFonts w:ascii="Calibri" w:hAnsi="Calibri" w:cs="Calibri"/>
          <w:color w:val="000000"/>
          <w:sz w:val="24"/>
          <w:szCs w:val="24"/>
          <w:lang w:val="pt-BR"/>
        </w:rPr>
        <w:t xml:space="preserve"> -</w:t>
      </w:r>
      <w:r>
        <w:rPr>
          <w:rFonts w:ascii="Calibri" w:hAnsi="Calibri" w:cs="Calibri"/>
          <w:color w:val="000000"/>
          <w:sz w:val="24"/>
          <w:szCs w:val="24"/>
        </w:rPr>
        <w:t xml:space="preserve"> Caso ocorram descumprimento das obrigações definidas  em edital, o fiscal da Ata de Registro de Preços atuará tempestivamente na solução do problema, reportando ao gestor da mesma para que tome as providências cabíveis, quando ultrapassar a sua competência.</w:t>
      </w:r>
    </w:p>
    <w:p>
      <w:pPr>
        <w:pStyle w:val="2"/>
        <w:bidi w:val="0"/>
        <w:jc w:val="both"/>
        <w:rPr>
          <w:color w:val="000000"/>
        </w:rPr>
      </w:pPr>
      <w:r>
        <w:rPr>
          <w:rFonts w:ascii="Calibri" w:hAnsi="Calibri" w:cs="Calibri"/>
          <w:color w:val="000000"/>
          <w:sz w:val="24"/>
          <w:szCs w:val="24"/>
        </w:rPr>
        <w:t>3.9</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coordenará a atualização do processo de acompanhamento e fiscalização, contendo todos os registros formais da execução no histórico de gerenciamento do objeto, a exemplo da ordem de serviço, do registro de ocorrências, das alterações e das prorrogações da Ata, elaborando relatório com vistas à verificação da necessidade de adequações do Ata de Registro de Preços para fins de atendimento da finalidade da administração.</w:t>
      </w:r>
    </w:p>
    <w:p>
      <w:pPr>
        <w:pStyle w:val="2"/>
        <w:bidi w:val="0"/>
        <w:jc w:val="both"/>
        <w:rPr>
          <w:color w:val="000000"/>
        </w:rPr>
      </w:pPr>
      <w:r>
        <w:rPr>
          <w:rFonts w:ascii="Calibri" w:hAnsi="Calibri" w:cs="Calibri"/>
          <w:color w:val="000000"/>
          <w:sz w:val="24"/>
          <w:szCs w:val="24"/>
        </w:rPr>
        <w:t>3.9.1</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acompanhará a manutenção das condições de habilitação da empresa detentora da Ata, para fins de empenho de despesa e pagamento, e anotará os problemas que obstem o fluxo normal da liquidação e do pagamento da despesa no relatório de riscos eventuais.</w:t>
      </w:r>
    </w:p>
    <w:p>
      <w:pPr>
        <w:pStyle w:val="2"/>
        <w:bidi w:val="0"/>
        <w:jc w:val="both"/>
        <w:rPr>
          <w:color w:val="000000"/>
        </w:rPr>
      </w:pPr>
      <w:r>
        <w:rPr>
          <w:rFonts w:ascii="Calibri" w:hAnsi="Calibri" w:cs="Calibri"/>
          <w:color w:val="000000"/>
          <w:sz w:val="24"/>
          <w:szCs w:val="24"/>
        </w:rPr>
        <w:t>3.9.2</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emitirá documento comprobatório da avaliação realizada pelos fiscais quanto ao cumprimento de obrigações assumidas pela empresa detentora da Ata, com menção ao seu desempenho na execução do objeto, baseado nos indicadores objetivamente definidos e aferidos, e a eventuais penalidades aplicadas, devendo constar do cadastro de atesto de cumprimento de obrigações.</w:t>
      </w:r>
    </w:p>
    <w:p>
      <w:pPr>
        <w:pStyle w:val="2"/>
        <w:bidi w:val="0"/>
        <w:jc w:val="both"/>
        <w:rPr>
          <w:color w:val="000000"/>
        </w:rPr>
      </w:pPr>
      <w:r>
        <w:rPr>
          <w:rFonts w:ascii="Calibri" w:hAnsi="Calibri" w:cs="Calibri"/>
          <w:color w:val="000000"/>
          <w:sz w:val="24"/>
          <w:szCs w:val="24"/>
        </w:rPr>
        <w:t>3.9.3</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2"/>
        <w:bidi w:val="0"/>
        <w:jc w:val="both"/>
        <w:rPr>
          <w:color w:val="000000"/>
        </w:rPr>
      </w:pPr>
      <w:r>
        <w:rPr>
          <w:rFonts w:ascii="Calibri" w:hAnsi="Calibri" w:cs="Calibri"/>
          <w:color w:val="000000"/>
          <w:sz w:val="24"/>
          <w:szCs w:val="24"/>
        </w:rPr>
        <w:t>3.10</w:t>
      </w:r>
      <w:r>
        <w:rPr>
          <w:rFonts w:ascii="Calibri" w:hAnsi="Calibri" w:cs="Calibri"/>
          <w:color w:val="000000"/>
          <w:sz w:val="24"/>
          <w:szCs w:val="24"/>
          <w:lang w:val="pt-BR"/>
        </w:rPr>
        <w:t xml:space="preserve"> -</w:t>
      </w:r>
      <w:r>
        <w:rPr>
          <w:rFonts w:ascii="Calibri" w:hAnsi="Calibri" w:cs="Calibri"/>
          <w:color w:val="000000"/>
          <w:sz w:val="24"/>
          <w:szCs w:val="24"/>
        </w:rPr>
        <w:t xml:space="preserve"> O fiscal da Ata de Registro de Preços comunicará ao gestor da mesma, em tempo hábil, o término do da vigência da Ata sob sua responsabilidade, com vistas à tempestiva renovação ou prorrogação desta.</w:t>
      </w:r>
    </w:p>
    <w:p>
      <w:pPr>
        <w:pStyle w:val="2"/>
        <w:bidi w:val="0"/>
        <w:jc w:val="both"/>
        <w:rPr>
          <w:color w:val="000000"/>
        </w:rPr>
      </w:pPr>
      <w:r>
        <w:rPr>
          <w:rFonts w:ascii="Calibri" w:hAnsi="Calibri" w:cs="Calibri"/>
          <w:color w:val="000000"/>
          <w:sz w:val="24"/>
          <w:szCs w:val="24"/>
        </w:rPr>
        <w:t>3.11</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deverá elaborar relatório final com informações sobre a consecução dos objetivos que tenham justificado a contratação e eventuais condutas a serem adotadas para o aprimoramento das atividades da Administração.</w:t>
      </w:r>
    </w:p>
    <w:p>
      <w:pPr>
        <w:pStyle w:val="2"/>
        <w:bidi w:val="0"/>
        <w:jc w:val="both"/>
        <w:rPr>
          <w:color w:val="000000"/>
        </w:rPr>
      </w:pPr>
      <w:r>
        <w:rPr>
          <w:rFonts w:ascii="Calibri" w:hAnsi="Calibri" w:cs="Calibri"/>
          <w:color w:val="000000"/>
          <w:sz w:val="24"/>
          <w:szCs w:val="24"/>
        </w:rPr>
        <w:t>3.12</w:t>
      </w:r>
      <w:r>
        <w:rPr>
          <w:rFonts w:ascii="Calibri" w:hAnsi="Calibri" w:cs="Calibri"/>
          <w:color w:val="000000"/>
          <w:sz w:val="24"/>
          <w:szCs w:val="24"/>
          <w:lang w:val="pt-BR"/>
        </w:rPr>
        <w:t xml:space="preserve"> -</w:t>
      </w:r>
      <w:r>
        <w:rPr>
          <w:rFonts w:ascii="Calibri" w:hAnsi="Calibri" w:cs="Calibri"/>
          <w:color w:val="000000"/>
          <w:sz w:val="24"/>
          <w:szCs w:val="24"/>
        </w:rPr>
        <w:t xml:space="preserve"> O gestor da Ata de registro de Preços deverá enviar a documentação pertinente para a formalização dos procedimentos de liquidação e pagamento, no valor dimensionado pela fiscalização e gestão nos termos deste documento.</w:t>
      </w:r>
    </w:p>
    <w:p>
      <w:pPr>
        <w:pStyle w:val="2"/>
        <w:bidi w:val="0"/>
        <w:jc w:val="both"/>
        <w:rPr>
          <w:rFonts w:ascii="Calibri" w:hAnsi="Calibri" w:cs="Calibri"/>
          <w:sz w:val="24"/>
          <w:szCs w:val="24"/>
        </w:rPr>
      </w:pPr>
    </w:p>
    <w:p>
      <w:pPr>
        <w:pStyle w:val="2"/>
        <w:bidi w:val="0"/>
        <w:jc w:val="both"/>
        <w:rPr>
          <w:color w:val="000000"/>
        </w:rPr>
      </w:pPr>
      <w:r>
        <w:rPr>
          <w:rFonts w:ascii="Calibri" w:hAnsi="Calibri" w:eastAsia="Calibri" w:cs="Calibri"/>
          <w:b/>
          <w:bCs/>
          <w:color w:val="000000"/>
          <w:sz w:val="24"/>
          <w:szCs w:val="24"/>
        </w:rPr>
        <w:t>CL</w:t>
      </w:r>
      <w:r>
        <w:rPr>
          <w:rFonts w:ascii="Calibri" w:hAnsi="Calibri" w:eastAsia="Calibri" w:cs="Calibri"/>
          <w:b/>
          <w:bCs/>
        </w:rPr>
        <w:t>ÁUSULA QUARTA – ALTERAÇÃO OU ATUALIZAÇÃO DOS PREÇOS REGISTRADOS</w:t>
      </w:r>
    </w:p>
    <w:p>
      <w:pPr>
        <w:pStyle w:val="2"/>
        <w:jc w:val="both"/>
        <w:rPr>
          <w:color w:val="000000"/>
        </w:rPr>
      </w:pPr>
      <w:r>
        <w:rPr>
          <w:rFonts w:ascii="Calibri" w:hAnsi="Calibri" w:eastAsia="Calibri" w:cs="Calibri"/>
          <w:b w:val="0"/>
          <w:bCs w:val="0"/>
        </w:rPr>
        <w:t>4.1</w:t>
      </w:r>
      <w:r>
        <w:rPr>
          <w:rFonts w:ascii="Calibri" w:hAnsi="Calibri" w:eastAsia="Calibri" w:cs="Calibri"/>
          <w:b w:val="0"/>
          <w:bCs w:val="0"/>
          <w:lang w:val="pt-BR"/>
        </w:rPr>
        <w:t xml:space="preserve"> </w:t>
      </w:r>
      <w:r>
        <w:rPr>
          <w:rFonts w:ascii="Calibri" w:hAnsi="Calibri" w:eastAsia="Calibri" w:cs="Calibri"/>
          <w:b w:val="0"/>
          <w:bCs w:val="0"/>
        </w:rPr>
        <w:t>-  Os preços inicialmente registrados são fixos e irreajustáveis no prazo de um ano contado da data da entrega das propostas.</w:t>
      </w:r>
    </w:p>
    <w:p>
      <w:pPr>
        <w:pStyle w:val="2"/>
        <w:jc w:val="both"/>
        <w:rPr>
          <w:color w:val="000000"/>
        </w:rPr>
      </w:pPr>
      <w:r>
        <w:rPr>
          <w:rFonts w:ascii="Calibri" w:hAnsi="Calibri" w:eastAsia="Calibri" w:cs="Calibri"/>
          <w:b w:val="0"/>
          <w:bCs w:val="0"/>
        </w:rPr>
        <w:t>4.2 - Após o interregno de um ano, os preços registrados poderão ser reajustados de acordo com o IPCA/IBGE ou outro índice que vier a substituí-lo.</w:t>
      </w:r>
    </w:p>
    <w:p>
      <w:pPr>
        <w:pStyle w:val="2"/>
        <w:jc w:val="both"/>
        <w:rPr>
          <w:color w:val="000000"/>
        </w:rPr>
      </w:pPr>
      <w:r>
        <w:rPr>
          <w:rFonts w:ascii="Calibri" w:hAnsi="Calibri" w:eastAsia="Calibri" w:cs="Calibri"/>
          <w:b w:val="0"/>
          <w:bCs w:val="0"/>
        </w:rPr>
        <w:t>4.3 - Caso o(s) índice(s) estabelecido(s) para reajustamento venha(m) a ser extinto(s) ou de qualquer forma não possa(m) mais ser utilizado(s), será(ão) adotado(s), em substituição, o(s) que vier(em) a ser determinado(s) pela legislação então em vigor.</w:t>
      </w:r>
    </w:p>
    <w:p>
      <w:pPr>
        <w:pStyle w:val="2"/>
        <w:jc w:val="both"/>
        <w:rPr>
          <w:color w:val="000000"/>
        </w:rPr>
      </w:pPr>
      <w:r>
        <w:rPr>
          <w:rFonts w:ascii="Calibri" w:hAnsi="Calibri" w:eastAsia="Calibri" w:cs="Calibri"/>
          <w:b w:val="0"/>
          <w:bCs w:val="0"/>
        </w:rPr>
        <w:t>4.4 - Na ausência de previsão legal quanto ao índice substituto, as partes elegerão novo índice oficial, para reajustamento do preço do valor remanescente, por meio de termo aditivo.</w:t>
      </w:r>
    </w:p>
    <w:p>
      <w:pPr>
        <w:pStyle w:val="2"/>
        <w:jc w:val="both"/>
        <w:rPr>
          <w:color w:val="000000"/>
        </w:rPr>
      </w:pPr>
      <w:r>
        <w:rPr>
          <w:rFonts w:ascii="Calibri" w:hAnsi="Calibri" w:eastAsia="Calibri" w:cs="Calibri"/>
          <w:b w:val="0"/>
          <w:bCs w:val="0"/>
        </w:rPr>
        <w:t>4.5 - O reajuste será realizado por apostilamento.</w:t>
      </w:r>
    </w:p>
    <w:p>
      <w:pPr>
        <w:pStyle w:val="2"/>
        <w:jc w:val="both"/>
        <w:rPr>
          <w:color w:val="000000"/>
        </w:rPr>
      </w:pPr>
      <w:r>
        <w:rPr>
          <w:rFonts w:ascii="Calibri" w:hAnsi="Calibri" w:eastAsia="Calibri" w:cs="Calibri"/>
          <w:b w:val="0"/>
          <w:bCs w:val="0"/>
        </w:rPr>
        <w:t>4.6 – Em exceção a possibilidade prevista de reajuste prevista ao item 4.2, os preços registrados poderão ser alterados ou atualizados em decorrência de eventual redução dos preços praticados no mercado ou de fato que eleve o custo dos bens, das obras ou dos serviços registrados, nas seguintes situações:</w:t>
      </w:r>
    </w:p>
    <w:p>
      <w:pPr>
        <w:pStyle w:val="2"/>
        <w:jc w:val="both"/>
        <w:rPr>
          <w:color w:val="000000"/>
        </w:rPr>
      </w:pPr>
      <w:r>
        <w:rPr>
          <w:rFonts w:ascii="Calibri" w:hAnsi="Calibri" w:eastAsia="Calibri" w:cs="Calibri"/>
          <w:b w:val="0"/>
          <w:bCs w:val="0"/>
        </w:rPr>
        <w:t>4.6.1 -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bidi w:val="0"/>
        <w:jc w:val="both"/>
        <w:rPr>
          <w:color w:val="000000"/>
        </w:rPr>
      </w:pPr>
      <w:r>
        <w:rPr>
          <w:rFonts w:ascii="Calibri" w:hAnsi="Calibri" w:eastAsia="Calibri" w:cs="Calibri"/>
          <w:b w:val="0"/>
          <w:bCs w:val="0"/>
        </w:rPr>
        <w:t>4.6.2 - Em caso de criação, alteração ou extinção de quaisquer tributos ou encargos legais ou a superveniência de disposições legais, com comprovada repercussão sobre os preços registrados</w:t>
      </w:r>
      <w:r>
        <w:rPr>
          <w:rFonts w:ascii="Calibri" w:hAnsi="Calibri" w:eastAsia="Calibri" w:cs="Calibri"/>
          <w:b w:val="0"/>
          <w:bCs w:val="0"/>
          <w:lang w:val="pt-BR"/>
        </w:rPr>
        <w:t>.</w:t>
      </w:r>
      <w:r>
        <w:rPr>
          <w:rFonts w:ascii="Calibri" w:hAnsi="Calibri" w:eastAsia="Calibri" w:cs="Calibri"/>
          <w:b w:val="0"/>
          <w:bCs w:val="0"/>
        </w:rPr>
        <w:t xml:space="preserve"> </w:t>
      </w:r>
    </w:p>
    <w:p>
      <w:pPr>
        <w:pStyle w:val="2"/>
        <w:bidi w:val="0"/>
        <w:jc w:val="both"/>
        <w:rPr>
          <w:color w:val="000000"/>
        </w:rPr>
      </w:pPr>
    </w:p>
    <w:p>
      <w:pPr>
        <w:pStyle w:val="2"/>
        <w:bidi w:val="0"/>
        <w:jc w:val="both"/>
        <w:rPr>
          <w:color w:val="000000"/>
        </w:rPr>
      </w:pPr>
      <w:r>
        <w:rPr>
          <w:rFonts w:ascii="Calibri" w:hAnsi="Calibri" w:eastAsia="Calibri" w:cs="Calibri"/>
          <w:b/>
          <w:bCs/>
          <w:color w:val="000000"/>
          <w:sz w:val="24"/>
          <w:szCs w:val="24"/>
        </w:rPr>
        <w:t>CL</w:t>
      </w:r>
      <w:r>
        <w:rPr>
          <w:rFonts w:ascii="Calibri" w:hAnsi="Calibri" w:eastAsia="Calibri" w:cs="Calibri"/>
          <w:b/>
          <w:bCs/>
        </w:rPr>
        <w:t>ÁUSULA</w:t>
      </w:r>
      <w:r>
        <w:rPr>
          <w:rFonts w:ascii="Calibri" w:hAnsi="Calibri" w:cs="Calibri"/>
          <w:b/>
          <w:bCs/>
          <w:color w:val="000000"/>
          <w:sz w:val="24"/>
          <w:szCs w:val="24"/>
        </w:rPr>
        <w:t xml:space="preserve"> QUINTA -  DO CANCELAMENTO DO REGISTRO DO LICITANTE VENCEDOR E DOS PREÇOS REGISTRADOS</w:t>
      </w:r>
    </w:p>
    <w:p>
      <w:pPr>
        <w:pStyle w:val="2"/>
        <w:bidi w:val="0"/>
        <w:jc w:val="both"/>
        <w:rPr>
          <w:color w:val="000000"/>
        </w:rPr>
      </w:pPr>
      <w:r>
        <w:rPr>
          <w:rFonts w:ascii="Calibri" w:hAnsi="Calibri" w:cs="Calibri"/>
          <w:b w:val="0"/>
          <w:bCs w:val="0"/>
          <w:color w:val="000000"/>
          <w:sz w:val="24"/>
          <w:szCs w:val="24"/>
        </w:rPr>
        <w:t>5.1 - O registro do fornecedor será cancelado pelo gerenciador, quando o fornecedor:</w:t>
      </w:r>
    </w:p>
    <w:p>
      <w:pPr>
        <w:pStyle w:val="2"/>
        <w:bidi w:val="0"/>
        <w:jc w:val="both"/>
        <w:rPr>
          <w:color w:val="000000"/>
        </w:rPr>
      </w:pPr>
      <w:r>
        <w:rPr>
          <w:rFonts w:ascii="Calibri" w:hAnsi="Calibri" w:cs="Calibri"/>
          <w:b w:val="0"/>
          <w:bCs w:val="0"/>
          <w:color w:val="000000"/>
          <w:sz w:val="24"/>
          <w:szCs w:val="24"/>
        </w:rPr>
        <w:t>5.1.1 - Descumprir as condições da ata de registro de preços, sem motivo justificado;</w:t>
      </w:r>
    </w:p>
    <w:p>
      <w:pPr>
        <w:pStyle w:val="2"/>
        <w:bidi w:val="0"/>
        <w:jc w:val="both"/>
        <w:rPr>
          <w:color w:val="000000"/>
        </w:rPr>
      </w:pPr>
      <w:r>
        <w:rPr>
          <w:rFonts w:ascii="Calibri" w:hAnsi="Calibri" w:cs="Calibri"/>
          <w:b w:val="0"/>
          <w:bCs w:val="0"/>
          <w:color w:val="000000"/>
          <w:sz w:val="24"/>
          <w:szCs w:val="24"/>
        </w:rPr>
        <w:t>5.1.2 - Não retirar a nota de empenho, ou instrumento equivalente, no prazo estabelecido pela Administração sem justificativa razoável;</w:t>
      </w:r>
    </w:p>
    <w:p>
      <w:pPr>
        <w:pStyle w:val="2"/>
        <w:bidi w:val="0"/>
        <w:jc w:val="both"/>
        <w:rPr>
          <w:color w:val="000000"/>
        </w:rPr>
      </w:pPr>
      <w:r>
        <w:rPr>
          <w:rFonts w:ascii="Calibri" w:hAnsi="Calibri" w:cs="Calibri"/>
          <w:b w:val="0"/>
          <w:bCs w:val="0"/>
          <w:color w:val="000000"/>
          <w:sz w:val="24"/>
          <w:szCs w:val="24"/>
        </w:rPr>
        <w:t>5.1.3 - Não aceitar manter seu preço registrado, na hipótese prevista no artigo 27, § 2º, do Decreto nº 11.462, de 2023; ou</w:t>
      </w:r>
    </w:p>
    <w:p>
      <w:pPr>
        <w:pStyle w:val="2"/>
        <w:bidi w:val="0"/>
        <w:jc w:val="both"/>
        <w:rPr>
          <w:color w:val="000000"/>
        </w:rPr>
      </w:pPr>
      <w:r>
        <w:rPr>
          <w:rFonts w:ascii="Calibri" w:hAnsi="Calibri" w:cs="Calibri"/>
          <w:b w:val="0"/>
          <w:bCs w:val="0"/>
          <w:color w:val="000000"/>
          <w:sz w:val="24"/>
          <w:szCs w:val="24"/>
        </w:rPr>
        <w:t>5.1.4 -  Sofrer sanção prevista nos incisos III ou IV do caput do art. 156 da Lei nº 14.133, de 2021.</w:t>
      </w:r>
    </w:p>
    <w:p>
      <w:pPr>
        <w:pStyle w:val="2"/>
        <w:bidi w:val="0"/>
        <w:jc w:val="both"/>
        <w:rPr>
          <w:color w:val="000000"/>
        </w:rPr>
      </w:pPr>
      <w:r>
        <w:rPr>
          <w:rFonts w:ascii="Calibri" w:hAnsi="Calibri" w:cs="Calibri"/>
          <w:b w:val="0"/>
          <w:bCs w:val="0"/>
          <w:color w:val="000000"/>
          <w:sz w:val="24"/>
          <w:szCs w:val="24"/>
        </w:rPr>
        <w:t>5.1.4.1 -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2"/>
        <w:bidi w:val="0"/>
        <w:jc w:val="both"/>
        <w:rPr>
          <w:color w:val="000000"/>
        </w:rPr>
      </w:pPr>
      <w:r>
        <w:rPr>
          <w:rFonts w:ascii="Calibri" w:hAnsi="Calibri" w:cs="Calibri"/>
          <w:b w:val="0"/>
          <w:bCs w:val="0"/>
          <w:color w:val="000000"/>
          <w:sz w:val="24"/>
          <w:szCs w:val="24"/>
        </w:rPr>
        <w:t>5.2 - O cancelamento de registros nas hipóteses previstas no item 5.1 será formalizado por despacho do órgão ou da entidade gerenciadora, garantidos os princípios do contraditório e da ampla defesa.</w:t>
      </w:r>
    </w:p>
    <w:p>
      <w:pPr>
        <w:pStyle w:val="2"/>
        <w:bidi w:val="0"/>
        <w:jc w:val="both"/>
        <w:rPr>
          <w:color w:val="000000"/>
        </w:rPr>
      </w:pPr>
      <w:r>
        <w:rPr>
          <w:rFonts w:ascii="Calibri" w:hAnsi="Calibri" w:cs="Calibri"/>
          <w:b w:val="0"/>
          <w:bCs w:val="0"/>
          <w:color w:val="000000"/>
          <w:sz w:val="24"/>
          <w:szCs w:val="24"/>
        </w:rPr>
        <w:t>5.3 - Na hipótese de cancelamento do registro do fornecedor, o órgão ou a entidade gerenciadora poderá convocar os licitantes que compõem o cadastro de reserva, observada a ordem de classificação.</w:t>
      </w:r>
    </w:p>
    <w:p>
      <w:pPr>
        <w:pStyle w:val="2"/>
        <w:bidi w:val="0"/>
        <w:jc w:val="both"/>
        <w:rPr>
          <w:color w:val="000000"/>
        </w:rPr>
      </w:pPr>
      <w:r>
        <w:rPr>
          <w:rFonts w:ascii="Calibri" w:hAnsi="Calibri" w:cs="Calibri"/>
          <w:b w:val="0"/>
          <w:bCs w:val="0"/>
          <w:color w:val="000000"/>
          <w:sz w:val="24"/>
          <w:szCs w:val="24"/>
        </w:rPr>
        <w:t xml:space="preserve">5.4 - O cancelamento dos preços registrados poderá ser realizado pelo gerenciador, em determinada ata de registro de preços, total ou parcialmente, nas seguintes hipóteses, desde que devidamente comprovadas e justificadas: </w:t>
      </w:r>
    </w:p>
    <w:p>
      <w:pPr>
        <w:pStyle w:val="2"/>
        <w:bidi w:val="0"/>
        <w:jc w:val="both"/>
        <w:rPr>
          <w:color w:val="000000"/>
        </w:rPr>
      </w:pPr>
      <w:r>
        <w:rPr>
          <w:rFonts w:ascii="Calibri" w:hAnsi="Calibri" w:cs="Calibri"/>
          <w:b w:val="0"/>
          <w:bCs w:val="0"/>
          <w:color w:val="000000"/>
          <w:sz w:val="24"/>
          <w:szCs w:val="24"/>
        </w:rPr>
        <w:t>5.4.1 - Por razão de interesse público;</w:t>
      </w:r>
    </w:p>
    <w:p>
      <w:pPr>
        <w:pStyle w:val="2"/>
        <w:bidi w:val="0"/>
        <w:jc w:val="both"/>
        <w:rPr>
          <w:color w:val="000000"/>
        </w:rPr>
      </w:pPr>
      <w:r>
        <w:rPr>
          <w:rFonts w:ascii="Calibri" w:hAnsi="Calibri" w:cs="Calibri"/>
          <w:b w:val="0"/>
          <w:bCs w:val="0"/>
          <w:color w:val="000000"/>
          <w:sz w:val="24"/>
          <w:szCs w:val="24"/>
        </w:rPr>
        <w:t>5.4.2 - A pedido do fornecedor, decorrente de caso fortuito ou força maior; ou</w:t>
      </w:r>
    </w:p>
    <w:p>
      <w:pPr>
        <w:pStyle w:val="2"/>
        <w:bidi w:val="0"/>
        <w:jc w:val="both"/>
        <w:rPr>
          <w:color w:val="000000"/>
        </w:rPr>
      </w:pPr>
      <w:r>
        <w:rPr>
          <w:rFonts w:ascii="Calibri" w:hAnsi="Calibri" w:cs="Calibri"/>
          <w:b w:val="0"/>
          <w:bCs w:val="0"/>
          <w:color w:val="000000"/>
          <w:sz w:val="24"/>
          <w:szCs w:val="24"/>
        </w:rPr>
        <w:t xml:space="preserve">5.4.3 -  Se não houver êxito nas negociações, nas hipóteses em que o preço de mercado tornar-se superior ou inferior ao preço registrado, nos termos do artigos 26, § 3º e  27, § 4º, ambos do Decreto nº 11.462, de 2023. </w:t>
      </w:r>
    </w:p>
    <w:p>
      <w:pPr>
        <w:pStyle w:val="2"/>
        <w:bidi w:val="0"/>
        <w:jc w:val="both"/>
        <w:rPr>
          <w:rFonts w:ascii="Calibri" w:hAnsi="Calibri" w:cs="Calibri"/>
          <w:color w:val="000000"/>
          <w:sz w:val="24"/>
          <w:szCs w:val="24"/>
        </w:rPr>
      </w:pPr>
    </w:p>
    <w:p>
      <w:pPr>
        <w:bidi w:val="0"/>
        <w:jc w:val="both"/>
        <w:rPr>
          <w:rFonts w:ascii="Calibri" w:hAnsi="Calibri" w:cs="Calibri"/>
          <w:b/>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SEXTA</w:t>
      </w:r>
      <w:r>
        <w:rPr>
          <w:rFonts w:ascii="Calibri" w:hAnsi="Calibri" w:cs="Calibri"/>
          <w:b/>
          <w:sz w:val="24"/>
          <w:szCs w:val="24"/>
        </w:rPr>
        <w:t xml:space="preserve"> – DAS PRÁTICAS FRAUDULENTAS E DE CORRUPÇÃO</w:t>
      </w:r>
    </w:p>
    <w:p>
      <w:pPr>
        <w:bidi w:val="0"/>
        <w:jc w:val="both"/>
        <w:rPr>
          <w:rFonts w:ascii="Calibri" w:hAnsi="Calibri" w:cs="Calibri"/>
          <w:sz w:val="24"/>
          <w:szCs w:val="24"/>
        </w:rPr>
      </w:pPr>
      <w:r>
        <w:rPr>
          <w:rFonts w:ascii="Calibri" w:hAnsi="Calibri" w:eastAsia="SimSun" w:cs="Calibri"/>
          <w:color w:val="000000"/>
          <w:kern w:val="0"/>
          <w:sz w:val="24"/>
          <w:szCs w:val="24"/>
          <w:lang w:val="pt-BR" w:eastAsia="zh-CN" w:bidi="ar-SA"/>
        </w:rPr>
        <w:t>6</w:t>
      </w:r>
      <w:r>
        <w:rPr>
          <w:rFonts w:ascii="Calibri" w:hAnsi="Calibri" w:cs="Calibri"/>
          <w:sz w:val="24"/>
          <w:szCs w:val="24"/>
        </w:rPr>
        <w:t>.1</w:t>
      </w:r>
      <w:r>
        <w:rPr>
          <w:rFonts w:ascii="Calibri" w:hAnsi="Calibri" w:cs="Calibri"/>
          <w:sz w:val="24"/>
          <w:szCs w:val="24"/>
          <w:lang w:val="pt-BR"/>
        </w:rPr>
        <w:t xml:space="preserve"> -</w:t>
      </w:r>
      <w:r>
        <w:rPr>
          <w:rFonts w:ascii="Calibri" w:hAnsi="Calibri" w:cs="Calibri"/>
          <w:sz w:val="24"/>
          <w:szCs w:val="24"/>
        </w:rPr>
        <w:t xml:space="preserve"> As partes, por seus agentes públicos ou por seus sócios, acionistas, administradores e colaboradores:</w:t>
      </w:r>
    </w:p>
    <w:p>
      <w:pPr>
        <w:bidi w:val="0"/>
        <w:jc w:val="both"/>
        <w:rPr>
          <w:rFonts w:ascii="Calibri" w:hAnsi="Calibri" w:cs="Calibri"/>
          <w:sz w:val="24"/>
          <w:szCs w:val="24"/>
        </w:rPr>
      </w:pPr>
      <w:r>
        <w:rPr>
          <w:rFonts w:ascii="Calibri" w:hAnsi="Calibri" w:cs="Calibri"/>
          <w:sz w:val="24"/>
          <w:szCs w:val="24"/>
        </w:rPr>
        <w:t>I – Declaram que têm conhecimento das normas previstas na legislação, entre as quais nas Leis n° 8.429/1992 e nº 12.846/2013, seus regulamentos e eventuais outras aplicáveis;</w:t>
      </w:r>
    </w:p>
    <w:p>
      <w:pPr>
        <w:bidi w:val="0"/>
        <w:jc w:val="both"/>
        <w:rPr>
          <w:rFonts w:ascii="Calibri" w:hAnsi="Calibri" w:cs="Calibri"/>
          <w:sz w:val="24"/>
          <w:szCs w:val="24"/>
        </w:rPr>
      </w:pPr>
      <w:r>
        <w:rPr>
          <w:rFonts w:ascii="Calibri" w:hAnsi="Calibri" w:cs="Calibri"/>
          <w:sz w:val="24"/>
          <w:szCs w:val="24"/>
        </w:rPr>
        <w:t>II – Comprometem-se em não adotar práticas ou procedimentos que se enquadrem nas hipóteses previstas nas leis e regulamentos mencionados no inciso anterior e se comprometem em exigir o mesmo pelos terceiros por elas contratados;</w:t>
      </w:r>
    </w:p>
    <w:p>
      <w:pPr>
        <w:bidi w:val="0"/>
        <w:jc w:val="both"/>
        <w:rPr>
          <w:rFonts w:ascii="Calibri" w:hAnsi="Calibri" w:cs="Calibri"/>
          <w:sz w:val="24"/>
          <w:szCs w:val="24"/>
        </w:rPr>
      </w:pPr>
      <w:r>
        <w:rPr>
          <w:rFonts w:ascii="Calibri" w:hAnsi="Calibri" w:cs="Calibri"/>
          <w:sz w:val="24"/>
          <w:szCs w:val="24"/>
        </w:rPr>
        <w:t>III – Comprometem-se em notificar à Controladoria-Geral do Estado qualquer irregularidade que tiverem conhecimento acerca da execução do contrato;</w:t>
      </w:r>
    </w:p>
    <w:p>
      <w:pPr>
        <w:bidi w:val="0"/>
        <w:jc w:val="both"/>
        <w:rPr>
          <w:rFonts w:ascii="Calibri" w:hAnsi="Calibri" w:cs="Calibri"/>
          <w:sz w:val="24"/>
          <w:szCs w:val="24"/>
        </w:rPr>
      </w:pPr>
      <w:r>
        <w:rPr>
          <w:rFonts w:ascii="Calibri" w:hAnsi="Calibri" w:cs="Calibri"/>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bidi w:val="0"/>
        <w:jc w:val="both"/>
        <w:rPr>
          <w:rFonts w:ascii="Calibri" w:hAnsi="Calibri" w:cs="Calibri"/>
          <w:sz w:val="24"/>
          <w:szCs w:val="24"/>
        </w:rPr>
      </w:pPr>
    </w:p>
    <w:p>
      <w:pPr>
        <w:bidi w:val="0"/>
        <w:jc w:val="both"/>
        <w:rPr>
          <w:rFonts w:ascii="Calibri" w:hAnsi="Calibri" w:cs="Calibri"/>
          <w:b/>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SÉTIMA</w:t>
      </w:r>
      <w:r>
        <w:rPr>
          <w:rFonts w:ascii="Calibri" w:hAnsi="Calibri" w:cs="Calibri"/>
          <w:b/>
          <w:sz w:val="24"/>
          <w:szCs w:val="24"/>
        </w:rPr>
        <w:t xml:space="preserve"> – DO ATENDIMENTO A LEI FEDERAL DE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.3 – A CONTRATADA somente poderá tratar dados pessoais dos usuários dos serviços contratados, nos limites e finalidades exclusivas do cumprimento de suas obrigações com base no presente contrato e jamais para qualquer outra finalidade.</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bidi w:val="0"/>
        <w:jc w:val="both"/>
        <w:rPr>
          <w:b w:val="0"/>
          <w:bCs w:val="0"/>
        </w:rPr>
      </w:pPr>
      <w:r>
        <w:rPr>
          <w:rFonts w:ascii="Calibri" w:hAnsi="Calibri" w:eastAsia="NSimSun" w:cs="Calibri"/>
          <w:b w:val="0"/>
          <w:bCs w:val="0"/>
          <w:color w:val="000000"/>
          <w:kern w:val="0"/>
          <w:sz w:val="24"/>
          <w:szCs w:val="24"/>
          <w:lang w:val="pt-BR" w:eastAsia="zh-CN" w:bidi="hi-IN"/>
        </w:rPr>
        <w:t>7</w:t>
      </w:r>
      <w:r>
        <w:rPr>
          <w:rFonts w:ascii="Calibri" w:hAnsi="Calibri" w:cs="Calibri"/>
          <w:b w:val="0"/>
          <w:bCs w:val="0"/>
          <w:sz w:val="24"/>
          <w:szCs w:val="24"/>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bidi w:val="0"/>
        <w:jc w:val="both"/>
        <w:rPr>
          <w:b w:val="0"/>
          <w:bCs w:val="0"/>
        </w:rPr>
      </w:pPr>
      <w:r>
        <w:rPr>
          <w:rFonts w:ascii="Calibri" w:hAnsi="Calibri" w:cs="Calibri"/>
          <w:b/>
          <w:bCs/>
          <w:sz w:val="24"/>
          <w:szCs w:val="24"/>
        </w:rPr>
        <w:t xml:space="preserve">CLÁUSULA </w:t>
      </w:r>
      <w:r>
        <w:rPr>
          <w:rFonts w:ascii="Calibri" w:hAnsi="Calibri" w:eastAsia="NSimSun" w:cs="Calibri"/>
          <w:b/>
          <w:bCs/>
          <w:color w:val="000000"/>
          <w:kern w:val="0"/>
          <w:sz w:val="24"/>
          <w:szCs w:val="24"/>
          <w:lang w:val="pt-BR" w:eastAsia="zh-CN" w:bidi="hi-IN"/>
        </w:rPr>
        <w:t xml:space="preserve">OITAVA </w:t>
      </w:r>
      <w:r>
        <w:rPr>
          <w:rFonts w:ascii="Calibri" w:hAnsi="Calibri" w:cs="Calibri"/>
          <w:b/>
          <w:bCs/>
          <w:sz w:val="24"/>
          <w:szCs w:val="24"/>
        </w:rPr>
        <w:t xml:space="preserve"> – DO ATENDIMENTO A LEI 17.983 DE 19 DE AGOSTO DE 2020</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 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.1.1. A publicação deverá ser no Portal da Transparência do órgão contratante, em local de fácil acesso, devendo constar:</w:t>
      </w:r>
      <w:r>
        <w:rPr>
          <w:rFonts w:ascii="Calibri" w:hAnsi="Calibri" w:cs="Calibri"/>
          <w:b w:val="0"/>
          <w:bCs w:val="0"/>
          <w:sz w:val="24"/>
          <w:szCs w:val="24"/>
        </w:rPr>
        <w:br w:type="textWrapping"/>
      </w:r>
      <w:r>
        <w:rPr>
          <w:rFonts w:ascii="Calibri" w:hAnsi="Calibri" w:cs="Calibri"/>
          <w:b w:val="0"/>
          <w:bCs w:val="0"/>
          <w:sz w:val="24"/>
          <w:szCs w:val="24"/>
        </w:rPr>
        <w:t>I - relação dos sócios-proprietários com o número de Cadastro de Pessoa Física (CPF);</w:t>
      </w:r>
      <w:r>
        <w:rPr>
          <w:rFonts w:ascii="Calibri" w:hAnsi="Calibri" w:cs="Calibri"/>
          <w:b w:val="0"/>
          <w:bCs w:val="0"/>
          <w:sz w:val="24"/>
          <w:szCs w:val="24"/>
        </w:rPr>
        <w:br w:type="textWrapping"/>
      </w:r>
      <w:r>
        <w:rPr>
          <w:rFonts w:ascii="Calibri" w:hAnsi="Calibri" w:cs="Calibri"/>
          <w:b w:val="0"/>
          <w:bCs w:val="0"/>
          <w:sz w:val="24"/>
          <w:szCs w:val="24"/>
        </w:rPr>
        <w:t>II - endereço da sede da empresa contratada, em conformidade com contrato social;</w:t>
      </w:r>
      <w:r>
        <w:rPr>
          <w:rFonts w:ascii="Calibri" w:hAnsi="Calibri" w:cs="Calibri"/>
          <w:b w:val="0"/>
          <w:bCs w:val="0"/>
          <w:sz w:val="24"/>
          <w:szCs w:val="24"/>
        </w:rPr>
        <w:br w:type="textWrapping"/>
      </w:r>
      <w:r>
        <w:rPr>
          <w:rFonts w:ascii="Calibri" w:hAnsi="Calibri" w:cs="Calibri"/>
          <w:b w:val="0"/>
          <w:bCs w:val="0"/>
          <w:sz w:val="24"/>
          <w:szCs w:val="24"/>
        </w:rPr>
        <w:t>III - foto da fachada da sede da empresa; e</w:t>
      </w:r>
      <w:r>
        <w:rPr>
          <w:rFonts w:ascii="Calibri" w:hAnsi="Calibri" w:cs="Calibri"/>
          <w:b w:val="0"/>
          <w:bCs w:val="0"/>
          <w:sz w:val="24"/>
          <w:szCs w:val="24"/>
        </w:rPr>
        <w:br w:type="textWrapping"/>
      </w:r>
      <w:r>
        <w:rPr>
          <w:rFonts w:ascii="Calibri" w:hAnsi="Calibri" w:cs="Calibri"/>
          <w:b w:val="0"/>
          <w:bCs w:val="0"/>
          <w:sz w:val="24"/>
          <w:szCs w:val="24"/>
        </w:rPr>
        <w:t>IV - extrato da minuta do contrato firmado entre Administração Pública e a empresa contratada.</w:t>
      </w:r>
    </w:p>
    <w:p>
      <w:pPr>
        <w:pStyle w:val="2"/>
        <w:bidi w:val="0"/>
        <w:jc w:val="both"/>
        <w:rPr>
          <w:b w:val="0"/>
          <w:bCs w:val="0"/>
        </w:rPr>
      </w:pPr>
    </w:p>
    <w:p>
      <w:pPr>
        <w:pStyle w:val="16"/>
        <w:bidi w:val="0"/>
        <w:jc w:val="left"/>
        <w:rPr>
          <w:rFonts w:ascii="Calibri" w:hAnsi="Calibri" w:cs="Calibri"/>
          <w:sz w:val="24"/>
          <w:szCs w:val="24"/>
        </w:rPr>
      </w:pPr>
      <w:bookmarkStart w:id="1" w:name="_GoBack"/>
      <w:bookmarkEnd w:id="1"/>
      <w:r>
        <w:rPr>
          <w:rFonts w:ascii="Calibri" w:hAnsi="Calibri" w:cs="Calibri"/>
          <w:sz w:val="24"/>
          <w:szCs w:val="24"/>
        </w:rPr>
        <w:t>Itens constantes da Ata:</w:t>
      </w:r>
    </w:p>
    <w:tbl>
      <w:tblPr>
        <w:tblStyle w:val="13"/>
        <w:tblW w:w="9684" w:type="dxa"/>
        <w:tblInd w:w="108" w:type="dxa"/>
        <w:tblLayout w:type="fixed"/>
        <w:tblCellMar>
          <w:top w:w="0" w:type="dxa"/>
          <w:left w:w="108" w:type="dxa"/>
          <w:bottom w:w="0" w:type="dxa"/>
          <w:right w:w="108" w:type="dxa"/>
        </w:tblCellMar>
      </w:tblPr>
      <w:tblGrid>
        <w:gridCol w:w="830"/>
        <w:gridCol w:w="1438"/>
        <w:gridCol w:w="4764"/>
        <w:gridCol w:w="2652"/>
      </w:tblGrid>
      <w:tr>
        <w:trPr>
          <w:cantSplit/>
          <w:trHeight w:val="158" w:hRule="atLeast"/>
        </w:trPr>
        <w:tc>
          <w:tcPr>
            <w:tcW w:w="830" w:type="dxa"/>
            <w:tcBorders>
              <w:top w:val="single" w:color="000000" w:sz="4" w:space="0"/>
              <w:left w:val="single" w:color="000000" w:sz="4" w:space="0"/>
              <w:bottom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ITEM</w:t>
            </w:r>
          </w:p>
        </w:tc>
        <w:tc>
          <w:tcPr>
            <w:tcW w:w="1438" w:type="dxa"/>
            <w:tcBorders>
              <w:top w:val="single" w:color="000000" w:sz="4" w:space="0"/>
              <w:left w:val="single" w:color="000000" w:sz="4" w:space="0"/>
              <w:bottom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CÓDIGO</w:t>
            </w:r>
          </w:p>
        </w:tc>
        <w:tc>
          <w:tcPr>
            <w:tcW w:w="4764" w:type="dxa"/>
            <w:tcBorders>
              <w:top w:val="single" w:color="000000" w:sz="4" w:space="0"/>
              <w:left w:val="single" w:color="000000" w:sz="4" w:space="0"/>
              <w:bottom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DESCRIÇÃO/MARCA(S)/PAÍS DE ORIGEM</w:t>
            </w:r>
          </w:p>
        </w:tc>
        <w:tc>
          <w:tcPr>
            <w:tcW w:w="2652" w:type="dxa"/>
            <w:tcBorders>
              <w:top w:val="single" w:color="000000" w:sz="4" w:space="0"/>
              <w:left w:val="single" w:color="000000" w:sz="4" w:space="0"/>
              <w:bottom w:val="single" w:color="000000" w:sz="4" w:space="0"/>
              <w:right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VALOR UNITÁRIO</w:t>
            </w:r>
          </w:p>
        </w:tc>
      </w:tr>
      <w:tr>
        <w:tblPrEx>
          <w:tblCellMar>
            <w:top w:w="0" w:type="dxa"/>
            <w:left w:w="108" w:type="dxa"/>
            <w:bottom w:w="0" w:type="dxa"/>
            <w:right w:w="108" w:type="dxa"/>
          </w:tblCellMar>
        </w:tblPrEx>
        <w:tc>
          <w:tcPr>
            <w:tcW w:w="830" w:type="dxa"/>
            <w:tcBorders>
              <w:top w:val="single" w:color="000000" w:sz="4" w:space="0"/>
              <w:left w:val="single" w:color="000000" w:sz="4" w:space="0"/>
              <w:bottom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01</w:t>
            </w:r>
          </w:p>
        </w:tc>
        <w:tc>
          <w:tcPr>
            <w:tcW w:w="1438" w:type="dxa"/>
            <w:tcBorders>
              <w:top w:val="single" w:color="000000" w:sz="4" w:space="0"/>
              <w:left w:val="single" w:color="000000" w:sz="4" w:space="0"/>
              <w:bottom w:val="single" w:color="000000" w:sz="4" w:space="0"/>
            </w:tcBorders>
          </w:tcPr>
          <w:p>
            <w:pPr>
              <w:widowControl w:val="0"/>
              <w:bidi w:val="0"/>
              <w:snapToGrid w:val="0"/>
              <w:ind w:left="0" w:right="27" w:firstLine="0"/>
              <w:jc w:val="center"/>
              <w:rPr>
                <w:rFonts w:ascii="Calibri" w:hAnsi="Calibri" w:cs="Calibri"/>
                <w:sz w:val="24"/>
                <w:szCs w:val="24"/>
              </w:rPr>
            </w:pPr>
          </w:p>
        </w:tc>
        <w:tc>
          <w:tcPr>
            <w:tcW w:w="4764" w:type="dxa"/>
            <w:tcBorders>
              <w:top w:val="single" w:color="000000" w:sz="4" w:space="0"/>
              <w:left w:val="single" w:color="000000" w:sz="4" w:space="0"/>
              <w:bottom w:val="single" w:color="000000" w:sz="4" w:space="0"/>
            </w:tcBorders>
          </w:tcPr>
          <w:p>
            <w:pPr>
              <w:widowControl w:val="0"/>
              <w:bidi w:val="0"/>
              <w:snapToGrid w:val="0"/>
              <w:ind w:left="0" w:right="27" w:firstLine="0"/>
              <w:jc w:val="center"/>
              <w:rPr>
                <w:rFonts w:ascii="Calibri" w:hAnsi="Calibri" w:cs="Calibri"/>
                <w:sz w:val="24"/>
                <w:szCs w:val="24"/>
              </w:rPr>
            </w:pPr>
          </w:p>
        </w:tc>
        <w:tc>
          <w:tcPr>
            <w:tcW w:w="2652" w:type="dxa"/>
            <w:tcBorders>
              <w:top w:val="single" w:color="000000" w:sz="4" w:space="0"/>
              <w:left w:val="single" w:color="000000" w:sz="4" w:space="0"/>
              <w:bottom w:val="single" w:color="000000" w:sz="4" w:space="0"/>
              <w:right w:val="single" w:color="000000" w:sz="4" w:space="0"/>
            </w:tcBorders>
          </w:tcPr>
          <w:p>
            <w:pPr>
              <w:widowControl w:val="0"/>
              <w:bidi w:val="0"/>
              <w:snapToGrid w:val="0"/>
              <w:ind w:left="0" w:right="27" w:firstLine="0"/>
              <w:jc w:val="center"/>
              <w:rPr>
                <w:rFonts w:ascii="Calibri" w:hAnsi="Calibri" w:cs="Calibri"/>
                <w:sz w:val="24"/>
                <w:szCs w:val="24"/>
              </w:rPr>
            </w:pPr>
          </w:p>
        </w:tc>
      </w:tr>
    </w:tbl>
    <w:p>
      <w:pPr>
        <w:pStyle w:val="669"/>
        <w:bidi w:val="0"/>
        <w:ind w:left="0" w:right="27" w:firstLine="0"/>
        <w:rPr>
          <w:rFonts w:ascii="Calibri" w:hAnsi="Calibri" w:cs="Calibri"/>
          <w:sz w:val="24"/>
          <w:szCs w:val="24"/>
        </w:rPr>
      </w:pPr>
    </w:p>
    <w:p>
      <w:pPr>
        <w:pStyle w:val="669"/>
        <w:bidi w:val="0"/>
        <w:ind w:left="0" w:right="27" w:firstLine="0"/>
        <w:rPr>
          <w:rFonts w:ascii="Calibri" w:hAnsi="Calibri" w:cs="Calibri"/>
          <w:sz w:val="24"/>
          <w:szCs w:val="24"/>
        </w:rPr>
      </w:pPr>
      <w:r>
        <w:rPr>
          <w:rFonts w:ascii="Calibri" w:hAnsi="Calibri" w:cs="Calibri"/>
          <w:sz w:val="24"/>
          <w:szCs w:val="24"/>
        </w:rPr>
        <w:t>Fiscal da ATA de Registro de Preços:</w:t>
      </w:r>
    </w:p>
    <w:p>
      <w:pPr>
        <w:pStyle w:val="669"/>
        <w:bidi w:val="0"/>
        <w:ind w:left="0" w:right="27" w:firstLine="0"/>
        <w:rPr>
          <w:rFonts w:ascii="Calibri" w:hAnsi="Calibri" w:cs="Calibri"/>
          <w:sz w:val="24"/>
          <w:szCs w:val="24"/>
        </w:rPr>
      </w:pPr>
      <w:r>
        <w:rPr>
          <w:rFonts w:ascii="Calibri" w:hAnsi="Calibri" w:eastAsia="SimSun" w:cs="Calibri"/>
          <w:color w:val="000000"/>
          <w:kern w:val="0"/>
          <w:sz w:val="24"/>
          <w:szCs w:val="24"/>
          <w:lang w:val="pt-BR" w:eastAsia="zh-CN" w:bidi="ar-SA"/>
        </w:rPr>
        <w:t>LACEN</w:t>
      </w:r>
      <w:r>
        <w:rPr>
          <w:rFonts w:ascii="Calibri" w:hAnsi="Calibri" w:cs="Calibri"/>
          <w:sz w:val="24"/>
          <w:szCs w:val="24"/>
        </w:rPr>
        <w:t>: - Nome: - Matrícula:</w:t>
      </w:r>
    </w:p>
    <w:p>
      <w:pPr>
        <w:bidi w:val="0"/>
        <w:ind w:left="0" w:right="27" w:firstLine="0"/>
        <w:jc w:val="both"/>
        <w:rPr>
          <w:rFonts w:ascii="Calibri" w:hAnsi="Calibri" w:cs="Calibri"/>
          <w:sz w:val="24"/>
          <w:szCs w:val="24"/>
        </w:rPr>
      </w:pPr>
      <w:r>
        <w:rPr>
          <w:rFonts w:ascii="Calibri" w:hAnsi="Calibri" w:cs="Calibri"/>
          <w:sz w:val="24"/>
          <w:szCs w:val="24"/>
        </w:rPr>
        <w:t xml:space="preserve">Florianópolis, </w:t>
      </w:r>
    </w:p>
    <w:p>
      <w:pPr>
        <w:bidi w:val="0"/>
        <w:ind w:left="0" w:right="27" w:firstLine="0"/>
        <w:jc w:val="both"/>
        <w:rPr>
          <w:rFonts w:ascii="Calibri" w:hAnsi="Calibri" w:cs="Calibri"/>
          <w:sz w:val="24"/>
          <w:szCs w:val="24"/>
        </w:rPr>
      </w:pPr>
    </w:p>
    <w:tbl>
      <w:tblPr>
        <w:tblStyle w:val="13"/>
        <w:tblW w:w="9685" w:type="dxa"/>
        <w:tblInd w:w="108" w:type="dxa"/>
        <w:tblLayout w:type="fixed"/>
        <w:tblCellMar>
          <w:top w:w="0" w:type="dxa"/>
          <w:left w:w="108" w:type="dxa"/>
          <w:bottom w:w="0" w:type="dxa"/>
          <w:right w:w="108" w:type="dxa"/>
        </w:tblCellMar>
      </w:tblPr>
      <w:tblGrid>
        <w:gridCol w:w="4902"/>
        <w:gridCol w:w="4782"/>
      </w:tblGrid>
      <w:tr>
        <w:tblPrEx>
          <w:tblCellMar>
            <w:top w:w="0" w:type="dxa"/>
            <w:left w:w="108" w:type="dxa"/>
            <w:bottom w:w="0" w:type="dxa"/>
            <w:right w:w="108" w:type="dxa"/>
          </w:tblCellMar>
        </w:tblPrEx>
        <w:tc>
          <w:tcPr>
            <w:tcW w:w="4902" w:type="dxa"/>
            <w:tcBorders>
              <w:top w:val="single" w:color="000000" w:sz="4" w:space="0"/>
              <w:left w:val="single" w:color="000000" w:sz="4" w:space="0"/>
              <w:bottom w:val="single" w:color="000000" w:sz="4" w:space="0"/>
            </w:tcBorders>
          </w:tcPr>
          <w:p>
            <w:pPr>
              <w:widowControl w:val="0"/>
              <w:bidi w:val="0"/>
              <w:snapToGrid w:val="0"/>
              <w:ind w:left="0" w:right="27" w:firstLine="0"/>
              <w:jc w:val="both"/>
              <w:rPr>
                <w:rFonts w:ascii="Calibri" w:hAnsi="Calibri" w:cs="Calibri"/>
                <w:sz w:val="24"/>
                <w:szCs w:val="24"/>
              </w:rPr>
            </w:pPr>
          </w:p>
        </w:tc>
        <w:tc>
          <w:tcPr>
            <w:tcW w:w="4782" w:type="dxa"/>
            <w:tcBorders>
              <w:top w:val="single" w:color="000000" w:sz="4" w:space="0"/>
              <w:left w:val="single" w:color="000000" w:sz="4" w:space="0"/>
              <w:bottom w:val="single" w:color="000000" w:sz="4" w:space="0"/>
              <w:right w:val="single" w:color="000000" w:sz="4" w:space="0"/>
            </w:tcBorders>
          </w:tcPr>
          <w:p>
            <w:pPr>
              <w:widowControl w:val="0"/>
              <w:bidi w:val="0"/>
              <w:snapToGrid w:val="0"/>
              <w:ind w:left="0" w:right="27" w:firstLine="0"/>
              <w:jc w:val="both"/>
              <w:rPr>
                <w:rFonts w:ascii="Calibri" w:hAnsi="Calibri" w:cs="Calibri"/>
                <w:sz w:val="24"/>
                <w:szCs w:val="24"/>
              </w:rPr>
            </w:pPr>
          </w:p>
        </w:tc>
      </w:tr>
      <w:tr>
        <w:tblPrEx>
          <w:tblCellMar>
            <w:top w:w="0" w:type="dxa"/>
            <w:left w:w="108" w:type="dxa"/>
            <w:bottom w:w="0" w:type="dxa"/>
            <w:right w:w="108" w:type="dxa"/>
          </w:tblCellMar>
        </w:tblPrEx>
        <w:tc>
          <w:tcPr>
            <w:tcW w:w="4902" w:type="dxa"/>
            <w:tcBorders>
              <w:top w:val="single" w:color="000000" w:sz="4" w:space="0"/>
              <w:left w:val="single" w:color="000000" w:sz="4" w:space="0"/>
              <w:bottom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Órgão Gerenciador</w:t>
            </w:r>
          </w:p>
          <w:p>
            <w:pPr>
              <w:widowControl w:val="0"/>
              <w:bidi w:val="0"/>
              <w:ind w:left="0" w:right="27" w:firstLine="0"/>
              <w:jc w:val="center"/>
              <w:rPr>
                <w:rFonts w:ascii="Calibri" w:hAnsi="Calibri" w:cs="Calibri"/>
                <w:sz w:val="24"/>
                <w:szCs w:val="24"/>
              </w:rPr>
            </w:pPr>
            <w:r>
              <w:rPr>
                <w:rFonts w:ascii="Calibri" w:hAnsi="Calibri" w:cs="Calibri"/>
                <w:sz w:val="24"/>
                <w:szCs w:val="24"/>
              </w:rPr>
              <w:t>Fundo Estadual de Saúde/FES-SES</w:t>
            </w:r>
          </w:p>
        </w:tc>
        <w:tc>
          <w:tcPr>
            <w:tcW w:w="4782" w:type="dxa"/>
            <w:tcBorders>
              <w:top w:val="single" w:color="000000" w:sz="4" w:space="0"/>
              <w:left w:val="single" w:color="000000" w:sz="4" w:space="0"/>
              <w:bottom w:val="single" w:color="000000" w:sz="4" w:space="0"/>
              <w:right w:val="single" w:color="000000" w:sz="4" w:space="0"/>
            </w:tcBorders>
          </w:tcPr>
          <w:p>
            <w:pPr>
              <w:widowControl w:val="0"/>
              <w:bidi w:val="0"/>
              <w:ind w:left="0" w:right="27" w:firstLine="0"/>
              <w:jc w:val="center"/>
              <w:rPr>
                <w:rFonts w:ascii="Calibri" w:hAnsi="Calibri" w:cs="Calibri"/>
                <w:sz w:val="24"/>
                <w:szCs w:val="24"/>
              </w:rPr>
            </w:pPr>
            <w:r>
              <w:rPr>
                <w:rFonts w:ascii="Calibri" w:hAnsi="Calibri" w:cs="Calibri"/>
                <w:sz w:val="24"/>
                <w:szCs w:val="24"/>
              </w:rPr>
              <w:t>Empresa</w:t>
            </w:r>
          </w:p>
        </w:tc>
      </w:tr>
    </w:tbl>
    <w:p>
      <w:pPr>
        <w:tabs>
          <w:tab w:val="left" w:pos="2552"/>
        </w:tabs>
        <w:bidi w:val="0"/>
        <w:spacing w:before="1" w:after="0"/>
        <w:ind w:left="0" w:right="27" w:firstLine="0"/>
        <w:jc w:val="both"/>
        <w:rPr>
          <w:rFonts w:ascii="Calibri" w:hAnsi="Calibri" w:eastAsia="Calibri" w:cs="Calibri"/>
          <w:b/>
          <w:sz w:val="24"/>
          <w:szCs w:val="24"/>
        </w:rPr>
      </w:pPr>
    </w:p>
    <w:sectPr>
      <w:headerReference r:id="rId4" w:type="default"/>
      <w:footerReference r:id="rId5" w:type="default"/>
      <w:pgSz w:w="11906" w:h="16838"/>
      <w:pgMar w:top="1480" w:right="1127" w:bottom="640" w:left="1140" w:header="209" w:footer="446"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roman"/>
    <w:pitch w:val="default"/>
    <w:sig w:usb0="00000000" w:usb1="00000000" w:usb2="00000000" w:usb3="00000000" w:csb0="80000000" w:csb1="00000000"/>
  </w:font>
  <w:font w:name="Arial Rounded MT Bold">
    <w:panose1 w:val="020F0704030504030204"/>
    <w:charset w:val="00"/>
    <w:family w:val="roman"/>
    <w:pitch w:val="default"/>
    <w:sig w:usb0="00000003" w:usb1="00000000" w:usb2="00000000" w:usb3="00000000" w:csb0="20000001" w:csb1="00000000"/>
  </w:font>
  <w:font w:name="Garamond">
    <w:panose1 w:val="02020404030301010803"/>
    <w:charset w:val="00"/>
    <w:family w:val="roman"/>
    <w:pitch w:val="default"/>
    <w:sig w:usb0="00000287" w:usb1="00000000" w:usb2="00000000" w:usb3="00000000" w:csb0="0000009F" w:csb1="DFD70000"/>
  </w:font>
  <w:font w:name="Times New (W1);Times New Roman">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ArialMT;Times New Roman">
    <w:altName w:val="Liberation Mono"/>
    <w:panose1 w:val="00000000000000000000"/>
    <w:charset w:val="00"/>
    <w:family w:val="auto"/>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Tahoma">
    <w:panose1 w:val="020B0604030504040204"/>
    <w:charset w:val="00"/>
    <w:family w:val="roman"/>
    <w:pitch w:val="default"/>
    <w:sig w:usb0="E1002EFF" w:usb1="C000605B" w:usb2="00000029" w:usb3="00000000" w:csb0="200101FF" w:csb1="20280000"/>
  </w:font>
  <w:font w:name="NSimSun">
    <w:panose1 w:val="02010609030101010101"/>
    <w:charset w:val="86"/>
    <w:family w:val="auto"/>
    <w:pitch w:val="default"/>
    <w:sig w:usb0="00000283" w:usb1="288F0000" w:usb2="00000006" w:usb3="00000000" w:csb0="00040001" w:csb1="00000000"/>
  </w:font>
  <w:font w:name="Mangal;Linux Libertine G">
    <w:altName w:val="Liberation Mono"/>
    <w:panose1 w:val="00000000000000000000"/>
    <w:charset w:val="00"/>
    <w:family w:val="auto"/>
    <w:pitch w:val="default"/>
    <w:sig w:usb0="00000000" w:usb1="00000000" w:usb2="00000000" w:usb3="00000000" w:csb0="00000000" w:csb1="00000000"/>
  </w:font>
  <w:font w:name="Liberation Sans;Arial">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MS Mincho;Yu Gothic UI">
    <w:altName w:val="Liberation Mono"/>
    <w:panose1 w:val="00000000000000000000"/>
    <w:charset w:val="00"/>
    <w:family w:val="auto"/>
    <w:pitch w:val="default"/>
    <w:sig w:usb0="00000000" w:usb1="00000000" w:usb2="00000000" w:usb3="00000000" w:csb0="00000000" w:csb1="00000000"/>
  </w:font>
  <w:font w:name="Arial Unicode MS;Arial">
    <w:altName w:val="Arial"/>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sans-serif">
    <w:altName w:val="Liberation Mono"/>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Style w:val="41"/>
        <w:rFonts w:eastAsia="SimSun" w:cs="Times New Roman"/>
        <w:color w:val="000000"/>
        <w:kern w:val="0"/>
        <w:sz w:val="18"/>
        <w:szCs w:val="18"/>
        <w:u w:val="none"/>
        <w:lang w:val="pt-BR" w:eastAsia="zh-CN" w:bidi="ar-SA"/>
      </w:rPr>
      <w:t>EDITAL</w:t>
    </w:r>
    <w:r>
      <w:rPr>
        <w:rStyle w:val="41"/>
        <w:color w:val="000000"/>
        <w:sz w:val="18"/>
        <w:szCs w:val="18"/>
        <w:u w:val="none"/>
      </w:rPr>
      <w:t xml:space="preserve"> nº </w:t>
    </w:r>
    <w:r>
      <w:rPr>
        <w:rStyle w:val="41"/>
        <w:rFonts w:eastAsia="SimSun" w:cs="Times New Roman"/>
        <w:color w:val="000000"/>
        <w:kern w:val="0"/>
        <w:sz w:val="18"/>
        <w:szCs w:val="18"/>
        <w:u w:val="none"/>
        <w:lang w:val="pt-BR" w:eastAsia="zh-CN" w:bidi="ar-SA"/>
      </w:rPr>
      <w:t>1182/2023</w:t>
    </w:r>
    <w:r>
      <w:rPr>
        <w:rStyle w:val="41"/>
        <w:color w:val="000000"/>
        <w:sz w:val="18"/>
        <w:szCs w:val="18"/>
        <w:u w:val="none"/>
      </w:rPr>
      <w:t xml:space="preserve"> - SES </w:t>
    </w:r>
    <w:r>
      <w:rPr>
        <w:rStyle w:val="41"/>
        <w:rFonts w:eastAsia="SimSun" w:cs="Times New Roman"/>
        <w:color w:val="000000"/>
        <w:kern w:val="0"/>
        <w:sz w:val="18"/>
        <w:szCs w:val="18"/>
        <w:u w:val="none"/>
        <w:lang w:val="pt-BR" w:eastAsia="zh-CN" w:bidi="ar-SA"/>
      </w:rPr>
      <w:t>118525/2023</w:t>
    </w:r>
    <w:r>
      <w:rPr>
        <w:rStyle w:val="41"/>
        <w:color w:val="000000"/>
        <w:sz w:val="18"/>
        <w:szCs w:val="18"/>
        <w:u w:val="none"/>
      </w:rPr>
      <w:t xml:space="preserve"> </w:t>
    </w:r>
  </w:p>
  <w:p>
    <w:pPr>
      <w:pStyle w:val="19"/>
      <w:jc w:val="center"/>
      <w:rPr>
        <w:sz w:val="18"/>
        <w:szCs w:val="18"/>
      </w:rPr>
    </w:pPr>
    <w:r>
      <w:rPr>
        <w:sz w:val="18"/>
        <w:szCs w:val="18"/>
      </w:rPr>
      <w:t>Rua Esteves Júnior, 160 – 5º andar. Centro – Florianópolis / SC - 88.015-130</w:t>
    </w:r>
  </w:p>
  <w:p>
    <w:pPr>
      <w:pStyle w:val="19"/>
      <w:jc w:val="center"/>
    </w:pPr>
    <w:r>
      <w:rPr>
        <w:sz w:val="18"/>
        <w:szCs w:val="18"/>
      </w:rPr>
      <w:t>Telefone: 3664-</w:t>
    </w:r>
    <w:r>
      <w:rPr>
        <w:rFonts w:eastAsia="SimSun" w:cs="Times New Roman"/>
        <w:color w:val="000000"/>
        <w:kern w:val="0"/>
        <w:sz w:val="18"/>
        <w:szCs w:val="18"/>
        <w:lang w:val="pt-BR" w:eastAsia="zh-CN" w:bidi="ar-SA"/>
      </w:rPr>
      <w:t>8753</w:t>
    </w:r>
    <w:r>
      <w:rPr>
        <w:sz w:val="18"/>
        <w:szCs w:val="18"/>
      </w:rPr>
      <w:t xml:space="preserve">  - e-mail: </w:t>
    </w:r>
    <w:r>
      <w:rPr>
        <w:rStyle w:val="41"/>
        <w:rFonts w:eastAsia="SimSun" w:cs="Times New Roman"/>
        <w:color w:val="000000"/>
        <w:kern w:val="0"/>
        <w:sz w:val="18"/>
        <w:szCs w:val="18"/>
        <w:lang w:val="pt-BR" w:eastAsia="zh-CN" w:bidi="ar-SA"/>
      </w:rPr>
      <w:t>dlic</w:t>
    </w:r>
    <w:r>
      <w:fldChar w:fldCharType="begin"/>
    </w:r>
    <w:r>
      <w:instrText xml:space="preserve"> HYPERLINK "mailto:editais@saude.sc.gov.br" \h </w:instrText>
    </w:r>
    <w:r>
      <w:fldChar w:fldCharType="separate"/>
    </w:r>
    <w:r>
      <w:rPr>
        <w:rStyle w:val="41"/>
        <w:color w:val="000000"/>
        <w:sz w:val="18"/>
        <w:szCs w:val="18"/>
        <w:u w:val="none"/>
      </w:rPr>
      <w:t>@saude.sc.gov.br</w:t>
    </w:r>
    <w:r>
      <w:rPr>
        <w:rStyle w:val="41"/>
        <w:color w:val="000000"/>
        <w:sz w:val="18"/>
        <w:szCs w:val="18"/>
        <w:u w:val="none"/>
      </w:rPr>
      <w:fldChar w:fldCharType="end"/>
    </w:r>
  </w:p>
  <w:p>
    <w:pPr>
      <w:pStyle w:val="19"/>
      <w:jc w:val="center"/>
      <w:rPr>
        <w:rFonts w:ascii="Times New Roman" w:hAnsi="Times New Roman" w:eastAsia="SimSun" w:cs="Times New Roman"/>
        <w:color w:val="000000"/>
        <w:kern w:val="0"/>
        <w:sz w:val="18"/>
        <w:szCs w:val="18"/>
        <w:u w:val="none"/>
        <w:lang w:val="pt-BR" w:eastAsia="zh-CN" w:bidi="ar-SA"/>
      </w:rPr>
    </w:pPr>
    <w:r>
      <w:rPr>
        <w:rStyle w:val="41"/>
        <w:rFonts w:eastAsia="SimSun" w:cs="Times New Roman"/>
        <w:color w:val="000000"/>
        <w:kern w:val="0"/>
        <w:sz w:val="18"/>
        <w:szCs w:val="18"/>
        <w:lang w:val="pt-BR" w:eastAsia="zh-CN" w:bidi="ar-SA"/>
      </w:rPr>
      <w:t>VWF</w:t>
    </w:r>
  </w:p>
  <w:p>
    <w:pPr>
      <w:pStyle w:val="19"/>
      <w:jc w:val="center"/>
    </w:pPr>
    <w:r>
      <w:rPr>
        <w:sz w:val="18"/>
        <w:szCs w:val="18"/>
      </w:rPr>
      <w:t xml:space="preserve">Página </w:t>
    </w:r>
    <w:r>
      <w:rPr>
        <w:sz w:val="18"/>
        <w:szCs w:val="18"/>
      </w:rPr>
      <w:fldChar w:fldCharType="begin"/>
    </w:r>
    <w:r>
      <w:rPr>
        <w:sz w:val="18"/>
        <w:szCs w:val="18"/>
      </w:rPr>
      <w:instrText xml:space="preserve">PAGE</w:instrText>
    </w:r>
    <w:r>
      <w:rPr>
        <w:sz w:val="18"/>
        <w:szCs w:val="18"/>
      </w:rPr>
      <w:fldChar w:fldCharType="separate"/>
    </w:r>
    <w:r>
      <w:rPr>
        <w:sz w:val="18"/>
        <w:szCs w:val="18"/>
      </w:rPr>
      <w:t>29</w:t>
    </w:r>
    <w:r>
      <w:rPr>
        <w:sz w:val="18"/>
        <w:szCs w:val="18"/>
      </w:rPr>
      <w:fldChar w:fldCharType="end"/>
    </w:r>
    <w:r>
      <w:rPr>
        <w:sz w:val="18"/>
        <w:szCs w:val="18"/>
      </w:rPr>
      <w:t xml:space="preserve"> de </w:t>
    </w:r>
    <w:r>
      <w:rPr>
        <w:sz w:val="18"/>
        <w:szCs w:val="18"/>
      </w:rPr>
      <w:fldChar w:fldCharType="begin"/>
    </w:r>
    <w:r>
      <w:rPr>
        <w:sz w:val="18"/>
        <w:szCs w:val="18"/>
      </w:rPr>
      <w:instrText xml:space="preserve">NUMPAGES</w:instrText>
    </w:r>
    <w:r>
      <w:rPr>
        <w:sz w:val="18"/>
        <w:szCs w:val="18"/>
      </w:rPr>
      <w:fldChar w:fldCharType="separate"/>
    </w:r>
    <w:r>
      <w:rPr>
        <w:sz w:val="18"/>
        <w:szCs w:val="18"/>
      </w:rPr>
      <w:t>29</w:t>
    </w:r>
    <w:r>
      <w:rPr>
        <w:sz w:val="18"/>
        <w:szCs w:val="18"/>
      </w:rPr>
      <w:fldChar w:fldCharType="end"/>
    </w:r>
  </w:p>
  <w:p>
    <w:pPr>
      <w:pStyle w:val="19"/>
      <w:jc w:val="center"/>
    </w:pPr>
  </w:p>
  <w:p>
    <w:pPr>
      <w:pStyle w:val="19"/>
      <w:spacing w:line="0" w:lineRule="atLeast"/>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0" w:lineRule="atLeast"/>
      <w:rPr>
        <w:rFonts w:ascii="Calibri" w:hAnsi="Calibri" w:cs="Calibri"/>
        <w:sz w:val="24"/>
        <w:szCs w:val="24"/>
        <w:lang w:val="pt-BR"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668"/>
      <w:lvlText w:val=""/>
      <w:lvlJc w:val="left"/>
      <w:pPr>
        <w:tabs>
          <w:tab w:val="left" w:pos="0"/>
        </w:tabs>
        <w:ind w:left="360" w:hanging="36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BF205925"/>
    <w:multiLevelType w:val="multilevel"/>
    <w:tmpl w:val="BF205925"/>
    <w:lvl w:ilvl="0" w:tentative="0">
      <w:start w:val="1"/>
      <w:numFmt w:val="decimal"/>
      <w:pStyle w:val="656"/>
      <w:lvlText w:val="%1."/>
      <w:lvlJc w:val="left"/>
      <w:pPr>
        <w:tabs>
          <w:tab w:val="left" w:pos="0"/>
        </w:tabs>
        <w:ind w:left="720" w:hanging="360"/>
      </w:pPr>
      <w:rPr>
        <w:color w:val="000000"/>
        <w:sz w:val="24"/>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03D62ECE"/>
    <w:multiLevelType w:val="multilevel"/>
    <w:tmpl w:val="03D62ECE"/>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09"/>
  <w:autoHyphenation/>
  <w:footnotePr>
    <w:footnote w:id="0"/>
    <w:footnote w:id="1"/>
  </w:footnotePr>
  <w:compat>
    <w:noLeading/>
    <w:doNotExpandShiftReturn/>
    <w:compatSetting w:name="compatibilityMode" w:uri="http://schemas.microsoft.com/office/word" w:val="12"/>
  </w:compat>
  <w:rsids>
    <w:rsidRoot w:val="00000000"/>
    <w:rsid w:val="02C30093"/>
    <w:rsid w:val="1A83154F"/>
    <w:rsid w:val="48AD796F"/>
    <w:rsid w:val="649F439C"/>
    <w:rsid w:val="6A5A087B"/>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next w:val="2"/>
    <w:qFormat/>
    <w:uiPriority w:val="0"/>
    <w:pPr>
      <w:widowControl/>
      <w:suppressAutoHyphens/>
      <w:overflowPunct/>
      <w:bidi w:val="0"/>
      <w:spacing w:before="0" w:after="0"/>
      <w:jc w:val="left"/>
    </w:pPr>
    <w:rPr>
      <w:rFonts w:ascii="Times New Roman" w:hAnsi="Times New Roman" w:eastAsia="SimSun" w:cs="Times New Roman"/>
      <w:color w:val="000000"/>
      <w:kern w:val="0"/>
      <w:sz w:val="24"/>
      <w:szCs w:val="24"/>
      <w:lang w:val="pt-BR" w:eastAsia="zh-CN" w:bidi="ar-SA"/>
    </w:rPr>
  </w:style>
  <w:style w:type="paragraph" w:styleId="3">
    <w:name w:val="heading 1"/>
    <w:basedOn w:val="1"/>
    <w:next w:val="1"/>
    <w:qFormat/>
    <w:uiPriority w:val="0"/>
    <w:pPr>
      <w:widowControl w:val="0"/>
      <w:suppressAutoHyphens w:val="0"/>
      <w:spacing w:before="115" w:after="0"/>
      <w:ind w:left="1703" w:right="0" w:hanging="348"/>
      <w:outlineLvl w:val="0"/>
    </w:pPr>
    <w:rPr>
      <w:rFonts w:ascii="Arial" w:hAnsi="Arial" w:eastAsia="Arial" w:cs="Arial"/>
      <w:b/>
      <w:bCs/>
      <w:sz w:val="20"/>
      <w:szCs w:val="20"/>
      <w:lang w:val="en-US"/>
    </w:rPr>
  </w:style>
  <w:style w:type="paragraph" w:styleId="4">
    <w:name w:val="heading 2"/>
    <w:basedOn w:val="1"/>
    <w:next w:val="1"/>
    <w:qFormat/>
    <w:uiPriority w:val="0"/>
    <w:pPr>
      <w:widowControl w:val="0"/>
      <w:suppressAutoHyphens w:val="0"/>
      <w:ind w:left="168" w:right="0" w:firstLine="0"/>
      <w:outlineLvl w:val="1"/>
    </w:pPr>
    <w:rPr>
      <w:rFonts w:ascii="Arial" w:hAnsi="Arial" w:eastAsia="Arial" w:cs="Arial"/>
      <w:b/>
      <w:bCs/>
      <w:sz w:val="12"/>
      <w:szCs w:val="12"/>
      <w:lang w:val="pt-PT"/>
    </w:rPr>
  </w:style>
  <w:style w:type="paragraph" w:styleId="5">
    <w:name w:val="heading 3"/>
    <w:basedOn w:val="1"/>
    <w:next w:val="1"/>
    <w:qFormat/>
    <w:uiPriority w:val="0"/>
    <w:pPr>
      <w:keepNext/>
      <w:tabs>
        <w:tab w:val="left" w:pos="0"/>
      </w:tabs>
      <w:jc w:val="center"/>
      <w:outlineLvl w:val="2"/>
    </w:pPr>
    <w:rPr>
      <w:b/>
      <w:sz w:val="20"/>
      <w:szCs w:val="20"/>
    </w:rPr>
  </w:style>
  <w:style w:type="paragraph" w:styleId="6">
    <w:name w:val="heading 4"/>
    <w:basedOn w:val="1"/>
    <w:next w:val="1"/>
    <w:qFormat/>
    <w:uiPriority w:val="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3"/>
    </w:pPr>
    <w:rPr>
      <w:b/>
      <w:sz w:val="28"/>
      <w:szCs w:val="20"/>
    </w:rPr>
  </w:style>
  <w:style w:type="paragraph" w:styleId="7">
    <w:name w:val="heading 5"/>
    <w:basedOn w:val="1"/>
    <w:next w:val="1"/>
    <w:qFormat/>
    <w:uiPriority w:val="0"/>
    <w:pPr>
      <w:keepNext/>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4"/>
    </w:pPr>
    <w:rPr>
      <w:b/>
      <w:szCs w:val="20"/>
    </w:rPr>
  </w:style>
  <w:style w:type="paragraph" w:styleId="8">
    <w:name w:val="heading 6"/>
    <w:basedOn w:val="1"/>
    <w:next w:val="1"/>
    <w:qFormat/>
    <w:uiPriority w:val="0"/>
    <w:pPr>
      <w:keepNext/>
      <w:tabs>
        <w:tab w:val="left" w:pos="0"/>
      </w:tabs>
      <w:outlineLvl w:val="5"/>
    </w:pPr>
    <w:rPr>
      <w:b/>
      <w:bCs/>
      <w:sz w:val="20"/>
    </w:rPr>
  </w:style>
  <w:style w:type="paragraph" w:styleId="9">
    <w:name w:val="heading 7"/>
    <w:basedOn w:val="1"/>
    <w:next w:val="1"/>
    <w:qFormat/>
    <w:uiPriority w:val="0"/>
    <w:pPr>
      <w:keepNext/>
      <w:tabs>
        <w:tab w:val="left" w:pos="0"/>
      </w:tabs>
      <w:jc w:val="center"/>
      <w:outlineLvl w:val="6"/>
    </w:pPr>
    <w:rPr>
      <w:b/>
      <w:szCs w:val="20"/>
      <w:lang w:val="en-US"/>
    </w:rPr>
  </w:style>
  <w:style w:type="paragraph" w:styleId="10">
    <w:name w:val="heading 8"/>
    <w:basedOn w:val="1"/>
    <w:next w:val="1"/>
    <w:qFormat/>
    <w:uiPriority w:val="0"/>
    <w:pPr>
      <w:keepNext/>
      <w:tabs>
        <w:tab w:val="left" w:pos="0"/>
      </w:tabs>
      <w:jc w:val="center"/>
      <w:outlineLvl w:val="7"/>
    </w:pPr>
    <w:rPr>
      <w:b/>
      <w:bCs/>
      <w:sz w:val="22"/>
    </w:rPr>
  </w:style>
  <w:style w:type="paragraph" w:styleId="11">
    <w:name w:val="heading 9"/>
    <w:basedOn w:val="1"/>
    <w:next w:val="1"/>
    <w:qFormat/>
    <w:uiPriority w:val="0"/>
    <w:pPr>
      <w:keepNext/>
      <w:tabs>
        <w:tab w:val="left" w:pos="0"/>
      </w:tabs>
      <w:jc w:val="center"/>
      <w:outlineLvl w:val="8"/>
    </w:pPr>
    <w:rPr>
      <w:b/>
      <w:bCs/>
      <w:sz w:val="22"/>
      <w:szCs w:val="20"/>
    </w:rPr>
  </w:style>
  <w:style w:type="character" w:default="1" w:styleId="12">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LO-normal"/>
    <w:qFormat/>
    <w:uiPriority w:val="0"/>
    <w:pPr>
      <w:widowControl/>
      <w:suppressAutoHyphens/>
      <w:overflowPunct/>
      <w:bidi w:val="0"/>
      <w:spacing w:before="0" w:after="0"/>
      <w:jc w:val="left"/>
    </w:pPr>
    <w:rPr>
      <w:rFonts w:ascii="Times New Roman" w:hAnsi="Times New Roman" w:eastAsia="NSimSun" w:cs="Lucida Sans"/>
      <w:color w:val="000000"/>
      <w:kern w:val="0"/>
      <w:sz w:val="24"/>
      <w:szCs w:val="24"/>
      <w:lang w:val="pt-BR" w:eastAsia="zh-CN" w:bidi="hi-IN"/>
    </w:rPr>
  </w:style>
  <w:style w:type="character" w:styleId="14">
    <w:name w:val="Strong"/>
    <w:qFormat/>
    <w:uiPriority w:val="0"/>
    <w:rPr>
      <w:b/>
      <w:bCs/>
    </w:rPr>
  </w:style>
  <w:style w:type="paragraph" w:styleId="15">
    <w:name w:val="List"/>
    <w:basedOn w:val="1"/>
    <w:qFormat/>
    <w:uiPriority w:val="0"/>
    <w:pPr>
      <w:ind w:left="283" w:right="0" w:hanging="283"/>
    </w:pPr>
    <w:rPr>
      <w:szCs w:val="20"/>
    </w:rPr>
  </w:style>
  <w:style w:type="paragraph" w:styleId="16">
    <w:name w:val="Body Text"/>
    <w:basedOn w:val="1"/>
    <w:qFormat/>
    <w:uiPriority w:val="0"/>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Cs w:val="20"/>
    </w:rPr>
  </w:style>
  <w:style w:type="paragraph" w:styleId="17">
    <w:name w:val="Body Text 2"/>
    <w:basedOn w:val="1"/>
    <w:qFormat/>
    <w:uiPriority w:val="0"/>
    <w:pPr>
      <w:suppressAutoHyphens w:val="0"/>
      <w:ind w:left="0" w:right="0" w:firstLine="2835"/>
      <w:jc w:val="both"/>
    </w:pPr>
    <w:rPr>
      <w:szCs w:val="20"/>
    </w:rPr>
  </w:style>
  <w:style w:type="paragraph" w:styleId="18">
    <w:name w:val="header"/>
    <w:basedOn w:val="1"/>
    <w:qFormat/>
    <w:uiPriority w:val="0"/>
    <w:pPr>
      <w:tabs>
        <w:tab w:val="center" w:pos="4320"/>
        <w:tab w:val="right" w:pos="8640"/>
      </w:tabs>
    </w:pPr>
    <w:rPr>
      <w:rFonts w:ascii="Times New (W1);Times New Roman" w:hAnsi="Times New (W1);Times New Roman" w:cs="Times New (W1);Times New Roman"/>
      <w:sz w:val="20"/>
      <w:szCs w:val="20"/>
      <w:lang w:val="en-US"/>
    </w:rPr>
  </w:style>
  <w:style w:type="paragraph" w:styleId="19">
    <w:name w:val="footer"/>
    <w:basedOn w:val="1"/>
    <w:qFormat/>
    <w:uiPriority w:val="0"/>
    <w:pPr>
      <w:tabs>
        <w:tab w:val="center" w:pos="4419"/>
        <w:tab w:val="right" w:pos="8838"/>
      </w:tabs>
    </w:pPr>
  </w:style>
  <w:style w:type="paragraph" w:styleId="20">
    <w:name w:val="caption"/>
    <w:basedOn w:val="1"/>
    <w:next w:val="1"/>
    <w:qFormat/>
    <w:uiPriority w:val="0"/>
    <w:pPr>
      <w:suppressLineNumbers/>
      <w:spacing w:before="120" w:after="120"/>
    </w:pPr>
    <w:rPr>
      <w:rFonts w:cs="Mangal;Linux Libertine G"/>
      <w:i/>
      <w:iCs/>
      <w:sz w:val="24"/>
      <w:szCs w:val="24"/>
    </w:rPr>
  </w:style>
  <w:style w:type="paragraph" w:styleId="21">
    <w:name w:val="Body Text Indent 3"/>
    <w:basedOn w:val="1"/>
    <w:qFormat/>
    <w:uiPriority w:val="0"/>
    <w:pPr>
      <w:tabs>
        <w:tab w:val="left" w:pos="1247"/>
        <w:tab w:val="left" w:pos="1418"/>
      </w:tabs>
      <w:suppressAutoHyphens w:val="0"/>
      <w:overflowPunct w:val="0"/>
      <w:ind w:left="0" w:right="0" w:firstLine="567"/>
      <w:jc w:val="both"/>
    </w:pPr>
    <w:rPr>
      <w:szCs w:val="20"/>
    </w:rPr>
  </w:style>
  <w:style w:type="paragraph" w:styleId="22">
    <w:name w:val="Subtitle"/>
    <w:basedOn w:val="1"/>
    <w:next w:val="16"/>
    <w:qFormat/>
    <w:uiPriority w:val="0"/>
    <w:pPr>
      <w:shd w:val="clear" w:fill="E5E5E5"/>
      <w:jc w:val="center"/>
    </w:pPr>
    <w:rPr>
      <w:rFonts w:ascii="Garamond" w:hAnsi="Garamond" w:cs="Garamond"/>
      <w:b/>
      <w:shadow/>
    </w:rPr>
  </w:style>
  <w:style w:type="paragraph" w:styleId="23">
    <w:name w:val="footnote text"/>
    <w:basedOn w:val="1"/>
    <w:qFormat/>
    <w:uiPriority w:val="0"/>
    <w:rPr>
      <w:sz w:val="20"/>
      <w:szCs w:val="20"/>
      <w:lang w:val="en-US"/>
    </w:rPr>
  </w:style>
  <w:style w:type="paragraph" w:styleId="24">
    <w:name w:val="Body Text Indent"/>
    <w:basedOn w:val="1"/>
    <w:qFormat/>
    <w:uiPriority w:val="0"/>
    <w:pPr>
      <w:spacing w:before="0" w:after="120"/>
      <w:ind w:left="283" w:right="0" w:firstLine="0"/>
    </w:pPr>
    <w:rPr>
      <w:szCs w:val="20"/>
    </w:rPr>
  </w:style>
  <w:style w:type="character" w:customStyle="1" w:styleId="25">
    <w:name w:val="WW8Num1z0"/>
    <w:qFormat/>
    <w:uiPriority w:val="0"/>
  </w:style>
  <w:style w:type="character" w:customStyle="1" w:styleId="26">
    <w:name w:val="WW8Num1z1"/>
    <w:qFormat/>
    <w:uiPriority w:val="0"/>
  </w:style>
  <w:style w:type="character" w:customStyle="1" w:styleId="27">
    <w:name w:val="WW8Num1z2"/>
    <w:qFormat/>
    <w:uiPriority w:val="0"/>
  </w:style>
  <w:style w:type="character" w:customStyle="1" w:styleId="28">
    <w:name w:val="WW8Num1z3"/>
    <w:qFormat/>
    <w:uiPriority w:val="0"/>
  </w:style>
  <w:style w:type="character" w:customStyle="1" w:styleId="29">
    <w:name w:val="WW8Num1z4"/>
    <w:qFormat/>
    <w:uiPriority w:val="0"/>
  </w:style>
  <w:style w:type="character" w:customStyle="1" w:styleId="30">
    <w:name w:val="WW8Num1z5"/>
    <w:qFormat/>
    <w:uiPriority w:val="0"/>
  </w:style>
  <w:style w:type="character" w:customStyle="1" w:styleId="31">
    <w:name w:val="WW8Num1z6"/>
    <w:qFormat/>
    <w:uiPriority w:val="0"/>
  </w:style>
  <w:style w:type="character" w:customStyle="1" w:styleId="32">
    <w:name w:val="WW8Num1z7"/>
    <w:qFormat/>
    <w:uiPriority w:val="0"/>
  </w:style>
  <w:style w:type="character" w:customStyle="1" w:styleId="33">
    <w:name w:val="WW8Num1z8"/>
    <w:qFormat/>
    <w:uiPriority w:val="0"/>
  </w:style>
  <w:style w:type="character" w:customStyle="1" w:styleId="34">
    <w:name w:val="WW8Num2z0"/>
    <w:qFormat/>
    <w:uiPriority w:val="0"/>
    <w:rPr>
      <w:color w:val="000000"/>
      <w:sz w:val="24"/>
    </w:rPr>
  </w:style>
  <w:style w:type="character" w:customStyle="1" w:styleId="35">
    <w:name w:val="WW8Num3z0"/>
    <w:qFormat/>
    <w:uiPriority w:val="0"/>
    <w:rPr>
      <w:rFonts w:ascii="Wingdings" w:hAnsi="Wingdings" w:cs="Wingdings"/>
    </w:rPr>
  </w:style>
  <w:style w:type="character" w:customStyle="1" w:styleId="36">
    <w:name w:val="WW8Num4z0"/>
    <w:qFormat/>
    <w:uiPriority w:val="0"/>
    <w:rPr>
      <w:rFonts w:ascii="Arial" w:hAnsi="Arial" w:eastAsia="Arial" w:cs="Arial"/>
      <w:b/>
      <w:bCs/>
      <w:spacing w:val="-1"/>
      <w:w w:val="99"/>
      <w:sz w:val="20"/>
      <w:szCs w:val="20"/>
      <w:lang w:val="pt-PT" w:bidi="ar-SA"/>
    </w:rPr>
  </w:style>
  <w:style w:type="character" w:customStyle="1" w:styleId="37">
    <w:name w:val="WW8Num5z0"/>
    <w:qFormat/>
    <w:uiPriority w:val="0"/>
    <w:rPr>
      <w:rFonts w:ascii="Arial" w:hAnsi="Arial" w:eastAsia="Arial" w:cs="Arial"/>
      <w:b/>
      <w:bCs/>
      <w:spacing w:val="-1"/>
      <w:w w:val="99"/>
      <w:sz w:val="20"/>
      <w:szCs w:val="20"/>
      <w:lang w:val="pt-PT" w:bidi="ar-SA"/>
    </w:rPr>
  </w:style>
  <w:style w:type="character" w:customStyle="1" w:styleId="38">
    <w:name w:val="WW8Num6z0"/>
    <w:qFormat/>
    <w:uiPriority w:val="0"/>
    <w:rPr>
      <w:rFonts w:ascii="Arial" w:hAnsi="Arial" w:eastAsia="Arial" w:cs="Arial"/>
      <w:b/>
      <w:bCs/>
      <w:spacing w:val="-1"/>
      <w:w w:val="99"/>
      <w:sz w:val="20"/>
      <w:szCs w:val="20"/>
      <w:lang w:val="pt-PT" w:bidi="ar-SA"/>
    </w:rPr>
  </w:style>
  <w:style w:type="character" w:customStyle="1" w:styleId="39">
    <w:name w:val="Fonte parág. padrão122"/>
    <w:qFormat/>
    <w:uiPriority w:val="0"/>
  </w:style>
  <w:style w:type="character" w:customStyle="1" w:styleId="40">
    <w:name w:val="Link da internet visitado"/>
    <w:qFormat/>
    <w:uiPriority w:val="0"/>
    <w:rPr>
      <w:color w:val="800080"/>
      <w:u w:val="single"/>
    </w:rPr>
  </w:style>
  <w:style w:type="character" w:customStyle="1" w:styleId="41">
    <w:name w:val="Link da Internet"/>
    <w:qFormat/>
    <w:uiPriority w:val="0"/>
    <w:rPr>
      <w:color w:val="0000FF"/>
      <w:u w:val="single"/>
    </w:rPr>
  </w:style>
  <w:style w:type="character" w:customStyle="1" w:styleId="42">
    <w:name w:val="Número de página1"/>
    <w:qFormat/>
    <w:uiPriority w:val="0"/>
  </w:style>
  <w:style w:type="character" w:customStyle="1" w:styleId="43">
    <w:name w:val="Fonte parág. padrão121"/>
    <w:qFormat/>
    <w:uiPriority w:val="0"/>
  </w:style>
  <w:style w:type="character" w:customStyle="1" w:styleId="44">
    <w:name w:val="Fonte parág. padrão120"/>
    <w:qFormat/>
    <w:uiPriority w:val="0"/>
  </w:style>
  <w:style w:type="character" w:customStyle="1" w:styleId="45">
    <w:name w:val="Fonte parág. padrão119"/>
    <w:qFormat/>
    <w:uiPriority w:val="0"/>
  </w:style>
  <w:style w:type="character" w:customStyle="1" w:styleId="46">
    <w:name w:val="Fonte parág. padrão118"/>
    <w:qFormat/>
    <w:uiPriority w:val="0"/>
  </w:style>
  <w:style w:type="character" w:customStyle="1" w:styleId="47">
    <w:name w:val="Fonte parág. padrão117"/>
    <w:qFormat/>
    <w:uiPriority w:val="0"/>
  </w:style>
  <w:style w:type="character" w:customStyle="1" w:styleId="48">
    <w:name w:val="Fonte parág. padrão116"/>
    <w:qFormat/>
    <w:uiPriority w:val="0"/>
  </w:style>
  <w:style w:type="character" w:customStyle="1" w:styleId="49">
    <w:name w:val="Fonte parág. padrão115"/>
    <w:qFormat/>
    <w:uiPriority w:val="0"/>
  </w:style>
  <w:style w:type="character" w:customStyle="1" w:styleId="50">
    <w:name w:val="Fonte parág. padrão114"/>
    <w:qFormat/>
    <w:uiPriority w:val="0"/>
  </w:style>
  <w:style w:type="character" w:customStyle="1" w:styleId="51">
    <w:name w:val="Fonte parág. padrão113"/>
    <w:qFormat/>
    <w:uiPriority w:val="0"/>
  </w:style>
  <w:style w:type="character" w:customStyle="1" w:styleId="52">
    <w:name w:val="Fonte parág. padrão112"/>
    <w:qFormat/>
    <w:uiPriority w:val="0"/>
  </w:style>
  <w:style w:type="character" w:customStyle="1" w:styleId="53">
    <w:name w:val="Fonte parág. padrão111"/>
    <w:qFormat/>
    <w:uiPriority w:val="0"/>
  </w:style>
  <w:style w:type="character" w:customStyle="1" w:styleId="54">
    <w:name w:val="Fonte parág. padrão110"/>
    <w:qFormat/>
    <w:uiPriority w:val="0"/>
  </w:style>
  <w:style w:type="character" w:customStyle="1" w:styleId="55">
    <w:name w:val="Fonte parág. padrão19"/>
    <w:qFormat/>
    <w:uiPriority w:val="0"/>
  </w:style>
  <w:style w:type="character" w:customStyle="1" w:styleId="56">
    <w:name w:val="Fonte parág. padrão18"/>
    <w:qFormat/>
    <w:uiPriority w:val="0"/>
  </w:style>
  <w:style w:type="character" w:customStyle="1" w:styleId="57">
    <w:name w:val="Fonte parág. padrão17"/>
    <w:qFormat/>
    <w:uiPriority w:val="0"/>
  </w:style>
  <w:style w:type="character" w:customStyle="1" w:styleId="58">
    <w:name w:val="Fonte parág. padrão16"/>
    <w:qFormat/>
    <w:uiPriority w:val="0"/>
  </w:style>
  <w:style w:type="character" w:customStyle="1" w:styleId="59">
    <w:name w:val="Fonte parág. padrão15"/>
    <w:qFormat/>
    <w:uiPriority w:val="0"/>
  </w:style>
  <w:style w:type="character" w:customStyle="1" w:styleId="60">
    <w:name w:val="Fonte parág. padrão14"/>
    <w:qFormat/>
    <w:uiPriority w:val="0"/>
  </w:style>
  <w:style w:type="character" w:customStyle="1" w:styleId="61">
    <w:name w:val="Fonte parág. padrão13"/>
    <w:qFormat/>
    <w:uiPriority w:val="0"/>
  </w:style>
  <w:style w:type="character" w:customStyle="1" w:styleId="62">
    <w:name w:val="Fonte parág. padrão12"/>
    <w:qFormat/>
    <w:uiPriority w:val="0"/>
  </w:style>
  <w:style w:type="character" w:customStyle="1" w:styleId="63">
    <w:name w:val="Fonte parág. padrão4"/>
    <w:qFormat/>
    <w:uiPriority w:val="0"/>
  </w:style>
  <w:style w:type="character" w:customStyle="1" w:styleId="64">
    <w:name w:val="WW-Fonte parág. padrão111111111111111111"/>
    <w:qFormat/>
    <w:uiPriority w:val="0"/>
  </w:style>
  <w:style w:type="character" w:customStyle="1" w:styleId="65">
    <w:name w:val="Fonte parág. padrão11"/>
    <w:qFormat/>
    <w:uiPriority w:val="0"/>
  </w:style>
  <w:style w:type="character" w:customStyle="1" w:styleId="66">
    <w:name w:val="WW8Num2z1"/>
    <w:qFormat/>
    <w:uiPriority w:val="0"/>
  </w:style>
  <w:style w:type="character" w:customStyle="1" w:styleId="67">
    <w:name w:val="WW8Num2z2"/>
    <w:qFormat/>
    <w:uiPriority w:val="0"/>
  </w:style>
  <w:style w:type="character" w:customStyle="1" w:styleId="68">
    <w:name w:val="WW8Num2z3"/>
    <w:qFormat/>
    <w:uiPriority w:val="0"/>
  </w:style>
  <w:style w:type="character" w:customStyle="1" w:styleId="69">
    <w:name w:val="WW8Num2z4"/>
    <w:qFormat/>
    <w:uiPriority w:val="0"/>
  </w:style>
  <w:style w:type="character" w:customStyle="1" w:styleId="70">
    <w:name w:val="WW8Num2z5"/>
    <w:qFormat/>
    <w:uiPriority w:val="0"/>
  </w:style>
  <w:style w:type="character" w:customStyle="1" w:styleId="71">
    <w:name w:val="WW8Num2z6"/>
    <w:qFormat/>
    <w:uiPriority w:val="0"/>
  </w:style>
  <w:style w:type="character" w:customStyle="1" w:styleId="72">
    <w:name w:val="WW8Num2z7"/>
    <w:qFormat/>
    <w:uiPriority w:val="0"/>
  </w:style>
  <w:style w:type="character" w:customStyle="1" w:styleId="73">
    <w:name w:val="WW8Num2z8"/>
    <w:qFormat/>
    <w:uiPriority w:val="0"/>
  </w:style>
  <w:style w:type="character" w:customStyle="1" w:styleId="74">
    <w:name w:val="WW8Num7z0"/>
    <w:qFormat/>
    <w:uiPriority w:val="0"/>
    <w:rPr>
      <w:rFonts w:ascii="Arial" w:hAnsi="Arial" w:eastAsia="Arial" w:cs="Arial"/>
      <w:b/>
      <w:bCs/>
      <w:spacing w:val="-1"/>
      <w:w w:val="99"/>
      <w:sz w:val="20"/>
      <w:szCs w:val="20"/>
      <w:lang w:val="pt-PT" w:bidi="ar-SA"/>
    </w:rPr>
  </w:style>
  <w:style w:type="character" w:customStyle="1" w:styleId="75">
    <w:name w:val="WW8Num7z1"/>
    <w:qFormat/>
    <w:uiPriority w:val="0"/>
    <w:rPr>
      <w:lang w:val="pt-PT" w:bidi="ar-SA"/>
    </w:rPr>
  </w:style>
  <w:style w:type="character" w:customStyle="1" w:styleId="76">
    <w:name w:val="WW8Num8z0"/>
    <w:qFormat/>
    <w:uiPriority w:val="0"/>
    <w:rPr>
      <w:rFonts w:ascii="Arial" w:hAnsi="Arial" w:eastAsia="Arial" w:cs="Arial"/>
      <w:b/>
      <w:bCs/>
      <w:spacing w:val="-1"/>
      <w:w w:val="99"/>
      <w:sz w:val="20"/>
      <w:szCs w:val="20"/>
      <w:lang w:val="pt-PT" w:bidi="ar-SA"/>
    </w:rPr>
  </w:style>
  <w:style w:type="character" w:customStyle="1" w:styleId="77">
    <w:name w:val="WW8Num8z1"/>
    <w:qFormat/>
    <w:uiPriority w:val="0"/>
    <w:rPr>
      <w:lang w:val="pt-PT" w:bidi="ar-SA"/>
    </w:rPr>
  </w:style>
  <w:style w:type="character" w:customStyle="1" w:styleId="78">
    <w:name w:val="WW8Num9z0"/>
    <w:qFormat/>
    <w:uiPriority w:val="0"/>
    <w:rPr>
      <w:b/>
      <w:bCs/>
      <w:spacing w:val="-1"/>
      <w:w w:val="100"/>
    </w:rPr>
  </w:style>
  <w:style w:type="character" w:customStyle="1" w:styleId="79">
    <w:name w:val="WW8Num9z1"/>
    <w:qFormat/>
    <w:uiPriority w:val="0"/>
  </w:style>
  <w:style w:type="character" w:customStyle="1" w:styleId="80">
    <w:name w:val="WW8Num10z0"/>
    <w:qFormat/>
    <w:uiPriority w:val="0"/>
    <w:rPr>
      <w:rFonts w:ascii="Arial" w:hAnsi="Arial" w:eastAsia="Arial" w:cs="Arial"/>
      <w:b/>
      <w:bCs/>
      <w:spacing w:val="-1"/>
      <w:w w:val="99"/>
      <w:sz w:val="20"/>
      <w:szCs w:val="20"/>
      <w:lang w:val="pt-PT" w:bidi="ar-SA"/>
    </w:rPr>
  </w:style>
  <w:style w:type="character" w:customStyle="1" w:styleId="81">
    <w:name w:val="WW8Num10z1"/>
    <w:qFormat/>
    <w:uiPriority w:val="0"/>
    <w:rPr>
      <w:lang w:val="pt-PT" w:bidi="ar-SA"/>
    </w:rPr>
  </w:style>
  <w:style w:type="character" w:customStyle="1" w:styleId="82">
    <w:name w:val="WW8Num11z0"/>
    <w:qFormat/>
    <w:uiPriority w:val="0"/>
    <w:rPr>
      <w:rFonts w:ascii="Arial" w:hAnsi="Arial" w:eastAsia="Arial" w:cs="Arial"/>
      <w:b/>
      <w:bCs/>
      <w:spacing w:val="-1"/>
      <w:w w:val="100"/>
      <w:sz w:val="20"/>
      <w:szCs w:val="20"/>
    </w:rPr>
  </w:style>
  <w:style w:type="character" w:customStyle="1" w:styleId="83">
    <w:name w:val="WW8Num11z1"/>
    <w:qFormat/>
    <w:uiPriority w:val="0"/>
  </w:style>
  <w:style w:type="character" w:customStyle="1" w:styleId="84">
    <w:name w:val="WW8Num12z0"/>
    <w:qFormat/>
    <w:uiPriority w:val="0"/>
    <w:rPr>
      <w:rFonts w:ascii="Arial" w:hAnsi="Arial" w:eastAsia="Arial" w:cs="Arial"/>
      <w:b/>
      <w:bCs/>
      <w:spacing w:val="-1"/>
      <w:w w:val="100"/>
      <w:sz w:val="20"/>
      <w:szCs w:val="20"/>
    </w:rPr>
  </w:style>
  <w:style w:type="character" w:customStyle="1" w:styleId="85">
    <w:name w:val="WW8Num12z1"/>
    <w:qFormat/>
    <w:uiPriority w:val="0"/>
  </w:style>
  <w:style w:type="character" w:customStyle="1" w:styleId="86">
    <w:name w:val="Fonte parág. padrão3"/>
    <w:qFormat/>
    <w:uiPriority w:val="0"/>
  </w:style>
  <w:style w:type="character" w:customStyle="1" w:styleId="87">
    <w:name w:val="WW8Num4z1"/>
    <w:qFormat/>
    <w:uiPriority w:val="0"/>
  </w:style>
  <w:style w:type="character" w:customStyle="1" w:styleId="88">
    <w:name w:val="WW8Num4z2"/>
    <w:qFormat/>
    <w:uiPriority w:val="0"/>
  </w:style>
  <w:style w:type="character" w:customStyle="1" w:styleId="89">
    <w:name w:val="WW8Num4z3"/>
    <w:qFormat/>
    <w:uiPriority w:val="0"/>
  </w:style>
  <w:style w:type="character" w:customStyle="1" w:styleId="90">
    <w:name w:val="WW8Num4z4"/>
    <w:qFormat/>
    <w:uiPriority w:val="0"/>
  </w:style>
  <w:style w:type="character" w:customStyle="1" w:styleId="91">
    <w:name w:val="WW8Num4z5"/>
    <w:qFormat/>
    <w:uiPriority w:val="0"/>
  </w:style>
  <w:style w:type="character" w:customStyle="1" w:styleId="92">
    <w:name w:val="WW8Num4z6"/>
    <w:qFormat/>
    <w:uiPriority w:val="0"/>
  </w:style>
  <w:style w:type="character" w:customStyle="1" w:styleId="93">
    <w:name w:val="WW8Num4z7"/>
    <w:qFormat/>
    <w:uiPriority w:val="0"/>
  </w:style>
  <w:style w:type="character" w:customStyle="1" w:styleId="94">
    <w:name w:val="WW8Num4z8"/>
    <w:qFormat/>
    <w:uiPriority w:val="0"/>
  </w:style>
  <w:style w:type="character" w:customStyle="1" w:styleId="95">
    <w:name w:val="WW8Num5z1"/>
    <w:qFormat/>
    <w:uiPriority w:val="0"/>
  </w:style>
  <w:style w:type="character" w:customStyle="1" w:styleId="96">
    <w:name w:val="WW8Num5z2"/>
    <w:qFormat/>
    <w:uiPriority w:val="0"/>
  </w:style>
  <w:style w:type="character" w:customStyle="1" w:styleId="97">
    <w:name w:val="WW8Num5z3"/>
    <w:qFormat/>
    <w:uiPriority w:val="0"/>
  </w:style>
  <w:style w:type="character" w:customStyle="1" w:styleId="98">
    <w:name w:val="WW8Num5z4"/>
    <w:qFormat/>
    <w:uiPriority w:val="0"/>
  </w:style>
  <w:style w:type="character" w:customStyle="1" w:styleId="99">
    <w:name w:val="WW8Num5z5"/>
    <w:qFormat/>
    <w:uiPriority w:val="0"/>
  </w:style>
  <w:style w:type="character" w:customStyle="1" w:styleId="100">
    <w:name w:val="WW8Num5z6"/>
    <w:qFormat/>
    <w:uiPriority w:val="0"/>
  </w:style>
  <w:style w:type="character" w:customStyle="1" w:styleId="101">
    <w:name w:val="WW8Num5z7"/>
    <w:qFormat/>
    <w:uiPriority w:val="0"/>
  </w:style>
  <w:style w:type="character" w:customStyle="1" w:styleId="102">
    <w:name w:val="WW8Num5z8"/>
    <w:qFormat/>
    <w:uiPriority w:val="0"/>
  </w:style>
  <w:style w:type="character" w:customStyle="1" w:styleId="103">
    <w:name w:val="WW8Num8z2"/>
    <w:qFormat/>
    <w:uiPriority w:val="0"/>
  </w:style>
  <w:style w:type="character" w:customStyle="1" w:styleId="104">
    <w:name w:val="WW8Num8z3"/>
    <w:qFormat/>
    <w:uiPriority w:val="0"/>
  </w:style>
  <w:style w:type="character" w:customStyle="1" w:styleId="105">
    <w:name w:val="WW8Num8z4"/>
    <w:qFormat/>
    <w:uiPriority w:val="0"/>
  </w:style>
  <w:style w:type="character" w:customStyle="1" w:styleId="106">
    <w:name w:val="WW8Num8z5"/>
    <w:qFormat/>
    <w:uiPriority w:val="0"/>
  </w:style>
  <w:style w:type="character" w:customStyle="1" w:styleId="107">
    <w:name w:val="WW8Num8z6"/>
    <w:qFormat/>
    <w:uiPriority w:val="0"/>
  </w:style>
  <w:style w:type="character" w:customStyle="1" w:styleId="108">
    <w:name w:val="WW8Num8z7"/>
    <w:qFormat/>
    <w:uiPriority w:val="0"/>
  </w:style>
  <w:style w:type="character" w:customStyle="1" w:styleId="109">
    <w:name w:val="WW8Num8z8"/>
    <w:qFormat/>
    <w:uiPriority w:val="0"/>
  </w:style>
  <w:style w:type="character" w:customStyle="1" w:styleId="110">
    <w:name w:val="WW8Num9z2"/>
    <w:qFormat/>
    <w:uiPriority w:val="0"/>
  </w:style>
  <w:style w:type="character" w:customStyle="1" w:styleId="111">
    <w:name w:val="WW8Num9z3"/>
    <w:qFormat/>
    <w:uiPriority w:val="0"/>
  </w:style>
  <w:style w:type="character" w:customStyle="1" w:styleId="112">
    <w:name w:val="WW8Num9z4"/>
    <w:qFormat/>
    <w:uiPriority w:val="0"/>
  </w:style>
  <w:style w:type="character" w:customStyle="1" w:styleId="113">
    <w:name w:val="WW8Num9z5"/>
    <w:qFormat/>
    <w:uiPriority w:val="0"/>
  </w:style>
  <w:style w:type="character" w:customStyle="1" w:styleId="114">
    <w:name w:val="WW8Num9z6"/>
    <w:qFormat/>
    <w:uiPriority w:val="0"/>
  </w:style>
  <w:style w:type="character" w:customStyle="1" w:styleId="115">
    <w:name w:val="WW8Num9z7"/>
    <w:qFormat/>
    <w:uiPriority w:val="0"/>
  </w:style>
  <w:style w:type="character" w:customStyle="1" w:styleId="116">
    <w:name w:val="WW8Num9z8"/>
    <w:qFormat/>
    <w:uiPriority w:val="0"/>
  </w:style>
  <w:style w:type="character" w:customStyle="1" w:styleId="117">
    <w:name w:val="Fonte parág. padrão2"/>
    <w:qFormat/>
    <w:uiPriority w:val="0"/>
  </w:style>
  <w:style w:type="character" w:customStyle="1" w:styleId="118">
    <w:name w:val="WW8Num13z0"/>
    <w:qFormat/>
    <w:uiPriority w:val="0"/>
    <w:rPr>
      <w:rFonts w:ascii="Symbol" w:hAnsi="Symbol" w:cs="Symbol"/>
    </w:rPr>
  </w:style>
  <w:style w:type="character" w:customStyle="1" w:styleId="119">
    <w:name w:val="WW8Num13z1"/>
    <w:qFormat/>
    <w:uiPriority w:val="0"/>
    <w:rPr>
      <w:rFonts w:ascii="Courier New" w:hAnsi="Courier New" w:cs="Courier New"/>
    </w:rPr>
  </w:style>
  <w:style w:type="character" w:customStyle="1" w:styleId="120">
    <w:name w:val="WW8Num13z3"/>
    <w:qFormat/>
    <w:uiPriority w:val="0"/>
    <w:rPr>
      <w:rFonts w:ascii="Symbol" w:hAnsi="Symbol" w:cs="Times New Roman"/>
    </w:rPr>
  </w:style>
  <w:style w:type="character" w:customStyle="1" w:styleId="121">
    <w:name w:val="WW8Num14z0"/>
    <w:qFormat/>
    <w:uiPriority w:val="0"/>
    <w:rPr>
      <w:color w:val="000000"/>
      <w:sz w:val="24"/>
    </w:rPr>
  </w:style>
  <w:style w:type="character" w:customStyle="1" w:styleId="122">
    <w:name w:val="Fonte parág. padrão1"/>
    <w:qFormat/>
    <w:uiPriority w:val="0"/>
  </w:style>
  <w:style w:type="character" w:customStyle="1" w:styleId="123">
    <w:name w:val="Absatz-Standardschriftart"/>
    <w:qFormat/>
    <w:uiPriority w:val="0"/>
  </w:style>
  <w:style w:type="character" w:customStyle="1" w:styleId="124">
    <w:name w:val="WW-Fonte parág. padrão"/>
    <w:qFormat/>
    <w:uiPriority w:val="0"/>
  </w:style>
  <w:style w:type="character" w:customStyle="1" w:styleId="125">
    <w:name w:val="WW-Absatz-Standardschriftart"/>
    <w:qFormat/>
    <w:uiPriority w:val="0"/>
  </w:style>
  <w:style w:type="character" w:customStyle="1" w:styleId="126">
    <w:name w:val="WW-Absatz-Standardschriftart1"/>
    <w:qFormat/>
    <w:uiPriority w:val="0"/>
  </w:style>
  <w:style w:type="character" w:customStyle="1" w:styleId="127">
    <w:name w:val="WW-Fonte parág. padrão1"/>
    <w:qFormat/>
    <w:uiPriority w:val="0"/>
  </w:style>
  <w:style w:type="character" w:customStyle="1" w:styleId="128">
    <w:name w:val="WW-Absatz-Standardschriftart11"/>
    <w:qFormat/>
    <w:uiPriority w:val="0"/>
  </w:style>
  <w:style w:type="character" w:customStyle="1" w:styleId="129">
    <w:name w:val="WW-Absatz-Standardschriftart111"/>
    <w:qFormat/>
    <w:uiPriority w:val="0"/>
  </w:style>
  <w:style w:type="character" w:customStyle="1" w:styleId="130">
    <w:name w:val="WW-Fonte parág. padrão11"/>
    <w:qFormat/>
    <w:uiPriority w:val="0"/>
  </w:style>
  <w:style w:type="character" w:customStyle="1" w:styleId="131">
    <w:name w:val="WW-Fonte parág. padrão111"/>
    <w:qFormat/>
    <w:uiPriority w:val="0"/>
  </w:style>
  <w:style w:type="character" w:customStyle="1" w:styleId="132">
    <w:name w:val="WW-Fonte parág. padrão1111"/>
    <w:qFormat/>
    <w:uiPriority w:val="0"/>
  </w:style>
  <w:style w:type="character" w:customStyle="1" w:styleId="133">
    <w:name w:val="WW-Absatz-Standardschriftart1111"/>
    <w:qFormat/>
    <w:uiPriority w:val="0"/>
  </w:style>
  <w:style w:type="character" w:customStyle="1" w:styleId="134">
    <w:name w:val="WW-Absatz-Standardschriftart11111"/>
    <w:qFormat/>
    <w:uiPriority w:val="0"/>
  </w:style>
  <w:style w:type="character" w:customStyle="1" w:styleId="135">
    <w:name w:val="WW-Fonte parág. padrão11111"/>
    <w:qFormat/>
    <w:uiPriority w:val="0"/>
  </w:style>
  <w:style w:type="character" w:customStyle="1" w:styleId="136">
    <w:name w:val="WW-Absatz-Standardschriftart111111"/>
    <w:qFormat/>
    <w:uiPriority w:val="0"/>
  </w:style>
  <w:style w:type="character" w:customStyle="1" w:styleId="137">
    <w:name w:val="WW-Fonte parág. padrão111111"/>
    <w:qFormat/>
    <w:uiPriority w:val="0"/>
  </w:style>
  <w:style w:type="character" w:customStyle="1" w:styleId="138">
    <w:name w:val="WW-Absatz-Standardschriftart1111111"/>
    <w:qFormat/>
    <w:uiPriority w:val="0"/>
  </w:style>
  <w:style w:type="character" w:customStyle="1" w:styleId="139">
    <w:name w:val="WW-Fonte parág. padrão1111111"/>
    <w:qFormat/>
    <w:uiPriority w:val="0"/>
  </w:style>
  <w:style w:type="character" w:customStyle="1" w:styleId="140">
    <w:name w:val="WW-Absatz-Standardschriftart11111111"/>
    <w:qFormat/>
    <w:uiPriority w:val="0"/>
  </w:style>
  <w:style w:type="character" w:customStyle="1" w:styleId="141">
    <w:name w:val="WW-Absatz-Standardschriftart111111111"/>
    <w:qFormat/>
    <w:uiPriority w:val="0"/>
  </w:style>
  <w:style w:type="character" w:customStyle="1" w:styleId="142">
    <w:name w:val="WW-Absatz-Standardschriftart1111111111"/>
    <w:qFormat/>
    <w:uiPriority w:val="0"/>
  </w:style>
  <w:style w:type="character" w:customStyle="1" w:styleId="143">
    <w:name w:val="WW-Fonte parág. padrão11111111"/>
    <w:qFormat/>
    <w:uiPriority w:val="0"/>
  </w:style>
  <w:style w:type="character" w:customStyle="1" w:styleId="144">
    <w:name w:val="WW-Fonte parág. padrão111111111"/>
    <w:qFormat/>
    <w:uiPriority w:val="0"/>
  </w:style>
  <w:style w:type="character" w:customStyle="1" w:styleId="145">
    <w:name w:val="WW-Absatz-Standardschriftart11111111111"/>
    <w:qFormat/>
    <w:uiPriority w:val="0"/>
  </w:style>
  <w:style w:type="character" w:customStyle="1" w:styleId="146">
    <w:name w:val="WW-Fonte parág. padrão1111111111"/>
    <w:qFormat/>
    <w:uiPriority w:val="0"/>
  </w:style>
  <w:style w:type="character" w:customStyle="1" w:styleId="147">
    <w:name w:val="WW-Absatz-Standardschriftart111111111111"/>
    <w:qFormat/>
    <w:uiPriority w:val="0"/>
  </w:style>
  <w:style w:type="character" w:customStyle="1" w:styleId="148">
    <w:name w:val="WW-Absatz-Standardschriftart1111111111111"/>
    <w:qFormat/>
    <w:uiPriority w:val="0"/>
  </w:style>
  <w:style w:type="character" w:customStyle="1" w:styleId="149">
    <w:name w:val="WW-Absatz-Standardschriftart11111111111111"/>
    <w:qFormat/>
    <w:uiPriority w:val="0"/>
  </w:style>
  <w:style w:type="character" w:customStyle="1" w:styleId="150">
    <w:name w:val="WW-Absatz-Standardschriftart111111111111111"/>
    <w:qFormat/>
    <w:uiPriority w:val="0"/>
  </w:style>
  <w:style w:type="character" w:customStyle="1" w:styleId="151">
    <w:name w:val="WW-Absatz-Standardschriftart1111111111111111"/>
    <w:qFormat/>
    <w:uiPriority w:val="0"/>
  </w:style>
  <w:style w:type="character" w:customStyle="1" w:styleId="152">
    <w:name w:val="WW-Absatz-Standardschriftart11111111111111111"/>
    <w:qFormat/>
    <w:uiPriority w:val="0"/>
  </w:style>
  <w:style w:type="character" w:customStyle="1" w:styleId="153">
    <w:name w:val="WW-Absatz-Standardschriftart111111111111111111"/>
    <w:qFormat/>
    <w:uiPriority w:val="0"/>
  </w:style>
  <w:style w:type="character" w:customStyle="1" w:styleId="154">
    <w:name w:val="WW-Absatz-Standardschriftart1111111111111111111"/>
    <w:qFormat/>
    <w:uiPriority w:val="0"/>
  </w:style>
  <w:style w:type="character" w:customStyle="1" w:styleId="155">
    <w:name w:val="WW-Absatz-Standardschriftart11111111111111111111"/>
    <w:qFormat/>
    <w:uiPriority w:val="0"/>
  </w:style>
  <w:style w:type="character" w:customStyle="1" w:styleId="156">
    <w:name w:val="WW-Absatz-Standardschriftart111111111111111111111"/>
    <w:qFormat/>
    <w:uiPriority w:val="0"/>
  </w:style>
  <w:style w:type="character" w:customStyle="1" w:styleId="157">
    <w:name w:val="WW-Absatz-Standardschriftart1111111111111111111111"/>
    <w:qFormat/>
    <w:uiPriority w:val="0"/>
  </w:style>
  <w:style w:type="character" w:customStyle="1" w:styleId="158">
    <w:name w:val="WW-Absatz-Standardschriftart11111111111111111111111"/>
    <w:qFormat/>
    <w:uiPriority w:val="0"/>
  </w:style>
  <w:style w:type="character" w:customStyle="1" w:styleId="159">
    <w:name w:val="WW-Absatz-Standardschriftart111111111111111111111111"/>
    <w:qFormat/>
    <w:uiPriority w:val="0"/>
  </w:style>
  <w:style w:type="character" w:customStyle="1" w:styleId="160">
    <w:name w:val="WW8Num3z1"/>
    <w:qFormat/>
    <w:uiPriority w:val="0"/>
    <w:rPr>
      <w:rFonts w:ascii="Courier New" w:hAnsi="Courier New" w:cs="Courier New"/>
    </w:rPr>
  </w:style>
  <w:style w:type="character" w:customStyle="1" w:styleId="161">
    <w:name w:val="WW8Num3z2"/>
    <w:qFormat/>
    <w:uiPriority w:val="0"/>
    <w:rPr>
      <w:rFonts w:ascii="Wingdings" w:hAnsi="Wingdings" w:cs="Wingdings"/>
    </w:rPr>
  </w:style>
  <w:style w:type="character" w:customStyle="1" w:styleId="162">
    <w:name w:val="WW-Fonte parág. padrão11111111111"/>
    <w:qFormat/>
    <w:uiPriority w:val="0"/>
  </w:style>
  <w:style w:type="character" w:customStyle="1" w:styleId="163">
    <w:name w:val="WW-Fonte parág. padrão111111111111"/>
    <w:qFormat/>
    <w:uiPriority w:val="0"/>
  </w:style>
  <w:style w:type="character" w:customStyle="1" w:styleId="164">
    <w:name w:val="WW-Absatz-Standardschriftart1111111111111111111111111"/>
    <w:qFormat/>
    <w:uiPriority w:val="0"/>
  </w:style>
  <w:style w:type="character" w:customStyle="1" w:styleId="165">
    <w:name w:val="WW-Absatz-Standardschriftart11111111111111111111111111"/>
    <w:qFormat/>
    <w:uiPriority w:val="0"/>
  </w:style>
  <w:style w:type="character" w:customStyle="1" w:styleId="166">
    <w:name w:val="WW-Absatz-Standardschriftart111111111111111111111111111"/>
    <w:qFormat/>
    <w:uiPriority w:val="0"/>
  </w:style>
  <w:style w:type="character" w:customStyle="1" w:styleId="167">
    <w:name w:val="WW-Fonte parág. padrão1111111111111"/>
    <w:qFormat/>
    <w:uiPriority w:val="0"/>
  </w:style>
  <w:style w:type="character" w:customStyle="1" w:styleId="168">
    <w:name w:val="WW-Fonte parág. padrão11111111111111"/>
    <w:qFormat/>
    <w:uiPriority w:val="0"/>
  </w:style>
  <w:style w:type="character" w:customStyle="1" w:styleId="169">
    <w:name w:val="WW-Fonte parág. padrão111111111111111"/>
    <w:qFormat/>
    <w:uiPriority w:val="0"/>
  </w:style>
  <w:style w:type="character" w:customStyle="1" w:styleId="170">
    <w:name w:val="WW-Absatz-Standardschriftart1111111111111111111111111111"/>
    <w:qFormat/>
    <w:uiPriority w:val="0"/>
  </w:style>
  <w:style w:type="character" w:customStyle="1" w:styleId="171">
    <w:name w:val="WW-Absatz-Standardschriftart11111111111111111111111111111"/>
    <w:qFormat/>
    <w:uiPriority w:val="0"/>
  </w:style>
  <w:style w:type="character" w:customStyle="1" w:styleId="172">
    <w:name w:val="WW-Fonte parág. padrão1111111111111111"/>
    <w:qFormat/>
    <w:uiPriority w:val="0"/>
  </w:style>
  <w:style w:type="character" w:customStyle="1" w:styleId="173">
    <w:name w:val="WW-Absatz-Standardschriftart111111111111111111111111111111"/>
    <w:qFormat/>
    <w:uiPriority w:val="0"/>
  </w:style>
  <w:style w:type="character" w:customStyle="1" w:styleId="174">
    <w:name w:val="WW-Absatz-Standardschriftart1111111111111111111111111111111"/>
    <w:qFormat/>
    <w:uiPriority w:val="0"/>
  </w:style>
  <w:style w:type="character" w:customStyle="1" w:styleId="175">
    <w:name w:val="WW-Absatz-Standardschriftart11111111111111111111111111111111"/>
    <w:qFormat/>
    <w:uiPriority w:val="0"/>
  </w:style>
  <w:style w:type="character" w:customStyle="1" w:styleId="176">
    <w:name w:val="WW8Num13z2"/>
    <w:qFormat/>
    <w:uiPriority w:val="0"/>
    <w:rPr>
      <w:rFonts w:ascii="Wingdings" w:hAnsi="Wingdings" w:cs="Wingdings"/>
    </w:rPr>
  </w:style>
  <w:style w:type="character" w:customStyle="1" w:styleId="177">
    <w:name w:val="WW-Fonte parág. padrão11111111111111111"/>
    <w:qFormat/>
    <w:uiPriority w:val="0"/>
  </w:style>
  <w:style w:type="character" w:customStyle="1" w:styleId="178">
    <w:name w:val="WW-Absatz-Standardschriftart111111111111111111111111111111111"/>
    <w:qFormat/>
    <w:uiPriority w:val="0"/>
  </w:style>
  <w:style w:type="character" w:customStyle="1" w:styleId="179">
    <w:name w:val="WW-Absatz-Standardschriftart1111111111111111111111111111111111"/>
    <w:qFormat/>
    <w:uiPriority w:val="0"/>
  </w:style>
  <w:style w:type="character" w:customStyle="1" w:styleId="180">
    <w:name w:val="WW8Num15z0"/>
    <w:qFormat/>
    <w:uiPriority w:val="0"/>
    <w:rPr>
      <w:b/>
    </w:rPr>
  </w:style>
  <w:style w:type="character" w:customStyle="1" w:styleId="181">
    <w:name w:val="WW8Num16z0"/>
    <w:qFormat/>
    <w:uiPriority w:val="0"/>
    <w:rPr>
      <w:b/>
    </w:rPr>
  </w:style>
  <w:style w:type="character" w:customStyle="1" w:styleId="182">
    <w:name w:val="WW8Num17z0"/>
    <w:qFormat/>
    <w:uiPriority w:val="0"/>
    <w:rPr>
      <w:b/>
    </w:rPr>
  </w:style>
  <w:style w:type="character" w:customStyle="1" w:styleId="183">
    <w:name w:val="WW8Num21z0"/>
    <w:qFormat/>
    <w:uiPriority w:val="0"/>
    <w:rPr>
      <w:b/>
    </w:rPr>
  </w:style>
  <w:style w:type="character" w:customStyle="1" w:styleId="184">
    <w:name w:val="WW8Num23z0"/>
    <w:qFormat/>
    <w:uiPriority w:val="0"/>
    <w:rPr>
      <w:b/>
    </w:rPr>
  </w:style>
  <w:style w:type="character" w:customStyle="1" w:styleId="185">
    <w:name w:val="WW8Num28z0"/>
    <w:qFormat/>
    <w:uiPriority w:val="0"/>
    <w:rPr>
      <w:rFonts w:ascii="Times New Roman" w:hAnsi="Times New Roman" w:cs="Times New Roman"/>
    </w:rPr>
  </w:style>
  <w:style w:type="character" w:customStyle="1" w:styleId="186">
    <w:name w:val="WW8Num32z0"/>
    <w:qFormat/>
    <w:uiPriority w:val="0"/>
    <w:rPr>
      <w:rFonts w:ascii="Times New Roman" w:hAnsi="Times New Roman" w:cs="Times New Roman"/>
      <w:b/>
      <w:sz w:val="22"/>
    </w:rPr>
  </w:style>
  <w:style w:type="character" w:customStyle="1" w:styleId="187">
    <w:name w:val="WW8Num36z0"/>
    <w:qFormat/>
    <w:uiPriority w:val="0"/>
    <w:rPr>
      <w:b/>
    </w:rPr>
  </w:style>
  <w:style w:type="character" w:customStyle="1" w:styleId="188">
    <w:name w:val="WW8Num38z0"/>
    <w:qFormat/>
    <w:uiPriority w:val="0"/>
    <w:rPr>
      <w:b/>
    </w:rPr>
  </w:style>
  <w:style w:type="character" w:customStyle="1" w:styleId="189">
    <w:name w:val="WW8Num39z0"/>
    <w:qFormat/>
    <w:uiPriority w:val="0"/>
    <w:rPr>
      <w:b/>
    </w:rPr>
  </w:style>
  <w:style w:type="character" w:customStyle="1" w:styleId="190">
    <w:name w:val="WW8Num42z0"/>
    <w:qFormat/>
    <w:uiPriority w:val="0"/>
    <w:rPr>
      <w:b/>
    </w:rPr>
  </w:style>
  <w:style w:type="character" w:customStyle="1" w:styleId="191">
    <w:name w:val="WW8Num43z0"/>
    <w:qFormat/>
    <w:uiPriority w:val="0"/>
    <w:rPr>
      <w:rFonts w:ascii="Times New Roman" w:hAnsi="Times New Roman" w:cs="Times New Roman"/>
    </w:rPr>
  </w:style>
  <w:style w:type="character" w:customStyle="1" w:styleId="192">
    <w:name w:val="WW8Num48z0"/>
    <w:qFormat/>
    <w:uiPriority w:val="0"/>
    <w:rPr>
      <w:rFonts w:ascii="Arial Rounded MT Bold" w:hAnsi="Arial Rounded MT Bold" w:cs="Arial Rounded MT Bold"/>
    </w:rPr>
  </w:style>
  <w:style w:type="character" w:customStyle="1" w:styleId="193">
    <w:name w:val="WW8Num49z0"/>
    <w:qFormat/>
    <w:uiPriority w:val="0"/>
    <w:rPr>
      <w:rFonts w:ascii="Times New Roman" w:hAnsi="Times New Roman" w:cs="Times New Roman"/>
      <w:b/>
      <w:sz w:val="22"/>
    </w:rPr>
  </w:style>
  <w:style w:type="character" w:customStyle="1" w:styleId="194">
    <w:name w:val="WW8Num50z0"/>
    <w:qFormat/>
    <w:uiPriority w:val="0"/>
    <w:rPr>
      <w:b/>
    </w:rPr>
  </w:style>
  <w:style w:type="character" w:customStyle="1" w:styleId="195">
    <w:name w:val="WW8Num52z0"/>
    <w:qFormat/>
    <w:uiPriority w:val="0"/>
    <w:rPr>
      <w:b/>
    </w:rPr>
  </w:style>
  <w:style w:type="character" w:customStyle="1" w:styleId="196">
    <w:name w:val="WW8Num58z0"/>
    <w:qFormat/>
    <w:uiPriority w:val="0"/>
    <w:rPr>
      <w:b/>
    </w:rPr>
  </w:style>
  <w:style w:type="character" w:customStyle="1" w:styleId="197">
    <w:name w:val="WW8Num61z0"/>
    <w:qFormat/>
    <w:uiPriority w:val="0"/>
    <w:rPr>
      <w:rFonts w:ascii="Times New Roman" w:hAnsi="Times New Roman" w:cs="Times New Roman"/>
      <w:sz w:val="24"/>
      <w:u w:val="none"/>
    </w:rPr>
  </w:style>
  <w:style w:type="character" w:customStyle="1" w:styleId="198">
    <w:name w:val="WW8Num63z0"/>
    <w:qFormat/>
    <w:uiPriority w:val="0"/>
    <w:rPr>
      <w:rFonts w:ascii="Symbol" w:hAnsi="Symbol" w:cs="Symbol"/>
    </w:rPr>
  </w:style>
  <w:style w:type="character" w:customStyle="1" w:styleId="199">
    <w:name w:val="WW8Num70z0"/>
    <w:qFormat/>
    <w:uiPriority w:val="0"/>
    <w:rPr>
      <w:rFonts w:ascii="Times New Roman" w:hAnsi="Times New Roman" w:cs="Times New Roman"/>
      <w:b/>
      <w:sz w:val="24"/>
      <w:u w:val="none"/>
    </w:rPr>
  </w:style>
  <w:style w:type="character" w:customStyle="1" w:styleId="200">
    <w:name w:val="WW8Num74z0"/>
    <w:qFormat/>
    <w:uiPriority w:val="0"/>
    <w:rPr>
      <w:rFonts w:ascii="Times New Roman" w:hAnsi="Times New Roman" w:eastAsia="Times New Roman" w:cs="Times New Roman"/>
    </w:rPr>
  </w:style>
  <w:style w:type="character" w:customStyle="1" w:styleId="201">
    <w:name w:val="WW8Num74z1"/>
    <w:qFormat/>
    <w:uiPriority w:val="0"/>
    <w:rPr>
      <w:rFonts w:ascii="Courier New" w:hAnsi="Courier New" w:cs="Courier New"/>
    </w:rPr>
  </w:style>
  <w:style w:type="character" w:customStyle="1" w:styleId="202">
    <w:name w:val="WW8Num74z2"/>
    <w:qFormat/>
    <w:uiPriority w:val="0"/>
    <w:rPr>
      <w:rFonts w:ascii="Wingdings" w:hAnsi="Wingdings" w:cs="Wingdings"/>
    </w:rPr>
  </w:style>
  <w:style w:type="character" w:customStyle="1" w:styleId="203">
    <w:name w:val="WW8Num74z3"/>
    <w:qFormat/>
    <w:uiPriority w:val="0"/>
    <w:rPr>
      <w:rFonts w:ascii="Symbol" w:hAnsi="Symbol" w:cs="Symbol"/>
    </w:rPr>
  </w:style>
  <w:style w:type="character" w:customStyle="1" w:styleId="204">
    <w:name w:val="WW8Num75z1"/>
    <w:qFormat/>
    <w:uiPriority w:val="0"/>
    <w:rPr>
      <w:b/>
    </w:rPr>
  </w:style>
  <w:style w:type="character" w:customStyle="1" w:styleId="205">
    <w:name w:val="WW8Num77z0"/>
    <w:qFormat/>
    <w:uiPriority w:val="0"/>
    <w:rPr>
      <w:rFonts w:ascii="Times New Roman" w:hAnsi="Times New Roman" w:cs="Times New Roman"/>
      <w:b/>
      <w:sz w:val="22"/>
    </w:rPr>
  </w:style>
  <w:style w:type="character" w:customStyle="1" w:styleId="206">
    <w:name w:val="WW8Num79z0"/>
    <w:qFormat/>
    <w:uiPriority w:val="0"/>
    <w:rPr>
      <w:b/>
    </w:rPr>
  </w:style>
  <w:style w:type="character" w:customStyle="1" w:styleId="207">
    <w:name w:val="WW8Num81z0"/>
    <w:qFormat/>
    <w:uiPriority w:val="0"/>
    <w:rPr>
      <w:b/>
    </w:rPr>
  </w:style>
  <w:style w:type="character" w:customStyle="1" w:styleId="208">
    <w:name w:val="WW8Num82z0"/>
    <w:qFormat/>
    <w:uiPriority w:val="0"/>
    <w:rPr>
      <w:b/>
    </w:rPr>
  </w:style>
  <w:style w:type="character" w:customStyle="1" w:styleId="209">
    <w:name w:val="WW8Num83z0"/>
    <w:qFormat/>
    <w:uiPriority w:val="0"/>
    <w:rPr>
      <w:u w:val="single"/>
    </w:rPr>
  </w:style>
  <w:style w:type="character" w:customStyle="1" w:styleId="210">
    <w:name w:val="WW8Num83z1"/>
    <w:qFormat/>
    <w:uiPriority w:val="0"/>
    <w:rPr>
      <w:rFonts w:ascii="Times New Roman" w:hAnsi="Times New Roman" w:eastAsia="Times New Roman" w:cs="Times New Roman"/>
    </w:rPr>
  </w:style>
  <w:style w:type="character" w:customStyle="1" w:styleId="211">
    <w:name w:val="WW8Num84z0"/>
    <w:qFormat/>
    <w:uiPriority w:val="0"/>
    <w:rPr>
      <w:b/>
    </w:rPr>
  </w:style>
  <w:style w:type="character" w:customStyle="1" w:styleId="212">
    <w:name w:val="WW8Num85z0"/>
    <w:qFormat/>
    <w:uiPriority w:val="0"/>
    <w:rPr>
      <w:rFonts w:ascii="Times New Roman" w:hAnsi="Times New Roman" w:cs="Times New Roman"/>
      <w:b/>
      <w:sz w:val="22"/>
      <w:u w:val="none"/>
    </w:rPr>
  </w:style>
  <w:style w:type="character" w:customStyle="1" w:styleId="213">
    <w:name w:val="WW8Num86z0"/>
    <w:qFormat/>
    <w:uiPriority w:val="0"/>
    <w:rPr>
      <w:b/>
    </w:rPr>
  </w:style>
  <w:style w:type="character" w:customStyle="1" w:styleId="214">
    <w:name w:val="WW8Num88z0"/>
    <w:qFormat/>
    <w:uiPriority w:val="0"/>
    <w:rPr>
      <w:rFonts w:ascii="Symbol" w:hAnsi="Symbol" w:cs="Symbol"/>
    </w:rPr>
  </w:style>
  <w:style w:type="character" w:customStyle="1" w:styleId="215">
    <w:name w:val="WW8Num88z1"/>
    <w:qFormat/>
    <w:uiPriority w:val="0"/>
    <w:rPr>
      <w:rFonts w:ascii="Courier New" w:hAnsi="Courier New" w:cs="Courier New"/>
    </w:rPr>
  </w:style>
  <w:style w:type="character" w:customStyle="1" w:styleId="216">
    <w:name w:val="WW8Num88z2"/>
    <w:qFormat/>
    <w:uiPriority w:val="0"/>
    <w:rPr>
      <w:rFonts w:ascii="Wingdings" w:hAnsi="Wingdings" w:cs="Wingdings"/>
    </w:rPr>
  </w:style>
  <w:style w:type="character" w:customStyle="1" w:styleId="217">
    <w:name w:val="WW8Num89z0"/>
    <w:qFormat/>
    <w:uiPriority w:val="0"/>
    <w:rPr>
      <w:b/>
    </w:rPr>
  </w:style>
  <w:style w:type="character" w:customStyle="1" w:styleId="218">
    <w:name w:val="WW8Num92z0"/>
    <w:qFormat/>
    <w:uiPriority w:val="0"/>
    <w:rPr>
      <w:rFonts w:ascii="Times New Roman" w:hAnsi="Times New Roman" w:cs="Times New Roman"/>
      <w:b/>
      <w:sz w:val="18"/>
    </w:rPr>
  </w:style>
  <w:style w:type="character" w:customStyle="1" w:styleId="219">
    <w:name w:val="WW8Num93z0"/>
    <w:qFormat/>
    <w:uiPriority w:val="0"/>
    <w:rPr>
      <w:rFonts w:ascii="Symbol" w:hAnsi="Symbol" w:cs="Symbol"/>
    </w:rPr>
  </w:style>
  <w:style w:type="character" w:customStyle="1" w:styleId="220">
    <w:name w:val="WW8Num94z0"/>
    <w:qFormat/>
    <w:uiPriority w:val="0"/>
    <w:rPr>
      <w:rFonts w:ascii="Times New Roman" w:hAnsi="Times New Roman" w:cs="Times New Roman"/>
      <w:sz w:val="24"/>
      <w:u w:val="none"/>
    </w:rPr>
  </w:style>
  <w:style w:type="character" w:customStyle="1" w:styleId="221">
    <w:name w:val="WW8Num95z0"/>
    <w:qFormat/>
    <w:uiPriority w:val="0"/>
    <w:rPr>
      <w:b/>
    </w:rPr>
  </w:style>
  <w:style w:type="character" w:customStyle="1" w:styleId="222">
    <w:name w:val="WW8Num96z0"/>
    <w:qFormat/>
    <w:uiPriority w:val="0"/>
    <w:rPr>
      <w:b/>
    </w:rPr>
  </w:style>
  <w:style w:type="character" w:customStyle="1" w:styleId="223">
    <w:name w:val="WW8Num100z0"/>
    <w:qFormat/>
    <w:uiPriority w:val="0"/>
    <w:rPr>
      <w:rFonts w:ascii="Times New Roman" w:hAnsi="Times New Roman" w:eastAsia="Times New Roman" w:cs="Times New Roman"/>
    </w:rPr>
  </w:style>
  <w:style w:type="character" w:customStyle="1" w:styleId="224">
    <w:name w:val="WW8Num100z1"/>
    <w:qFormat/>
    <w:uiPriority w:val="0"/>
    <w:rPr>
      <w:rFonts w:ascii="Courier New" w:hAnsi="Courier New" w:cs="Courier New"/>
    </w:rPr>
  </w:style>
  <w:style w:type="character" w:customStyle="1" w:styleId="225">
    <w:name w:val="WW8Num100z2"/>
    <w:qFormat/>
    <w:uiPriority w:val="0"/>
    <w:rPr>
      <w:rFonts w:ascii="Wingdings" w:hAnsi="Wingdings" w:cs="Wingdings"/>
    </w:rPr>
  </w:style>
  <w:style w:type="character" w:customStyle="1" w:styleId="226">
    <w:name w:val="WW8Num100z3"/>
    <w:qFormat/>
    <w:uiPriority w:val="0"/>
    <w:rPr>
      <w:rFonts w:ascii="Symbol" w:hAnsi="Symbol" w:cs="Symbol"/>
    </w:rPr>
  </w:style>
  <w:style w:type="character" w:customStyle="1" w:styleId="227">
    <w:name w:val="WW8Num102z0"/>
    <w:qFormat/>
    <w:uiPriority w:val="0"/>
    <w:rPr>
      <w:b/>
    </w:rPr>
  </w:style>
  <w:style w:type="character" w:customStyle="1" w:styleId="228">
    <w:name w:val="WW8Num103z0"/>
    <w:qFormat/>
    <w:uiPriority w:val="0"/>
    <w:rPr>
      <w:rFonts w:ascii="Times New Roman" w:hAnsi="Times New Roman" w:cs="Times New Roman"/>
      <w:b/>
      <w:sz w:val="18"/>
    </w:rPr>
  </w:style>
  <w:style w:type="character" w:customStyle="1" w:styleId="229">
    <w:name w:val="WW8Num106z0"/>
    <w:qFormat/>
    <w:uiPriority w:val="0"/>
    <w:rPr>
      <w:rFonts w:ascii="Times New Roman" w:hAnsi="Times New Roman" w:cs="Times New Roman"/>
      <w:sz w:val="24"/>
    </w:rPr>
  </w:style>
  <w:style w:type="character" w:customStyle="1" w:styleId="230">
    <w:name w:val="WW8Num107z0"/>
    <w:qFormat/>
    <w:uiPriority w:val="0"/>
  </w:style>
  <w:style w:type="character" w:customStyle="1" w:styleId="231">
    <w:name w:val="WW8Num108z0"/>
    <w:qFormat/>
    <w:uiPriority w:val="0"/>
    <w:rPr>
      <w:b/>
    </w:rPr>
  </w:style>
  <w:style w:type="character" w:customStyle="1" w:styleId="232">
    <w:name w:val="WW8Num109z0"/>
    <w:qFormat/>
    <w:uiPriority w:val="0"/>
    <w:rPr>
      <w:b/>
    </w:rPr>
  </w:style>
  <w:style w:type="character" w:customStyle="1" w:styleId="233">
    <w:name w:val="WW8Num112z0"/>
    <w:qFormat/>
    <w:uiPriority w:val="0"/>
    <w:rPr>
      <w:b/>
    </w:rPr>
  </w:style>
  <w:style w:type="character" w:customStyle="1" w:styleId="234">
    <w:name w:val="WW8Num118z0"/>
    <w:qFormat/>
    <w:uiPriority w:val="0"/>
    <w:rPr>
      <w:b/>
    </w:rPr>
  </w:style>
  <w:style w:type="character" w:customStyle="1" w:styleId="235">
    <w:name w:val="WW8Num118z1"/>
    <w:qFormat/>
    <w:uiPriority w:val="0"/>
    <w:rPr>
      <w:rFonts w:ascii="Times New Roman" w:hAnsi="Times New Roman" w:cs="Times New Roman"/>
      <w:b/>
      <w:sz w:val="22"/>
    </w:rPr>
  </w:style>
  <w:style w:type="character" w:customStyle="1" w:styleId="236">
    <w:name w:val="WW8Num120z0"/>
    <w:qFormat/>
    <w:uiPriority w:val="0"/>
    <w:rPr>
      <w:rFonts w:ascii="Times New Roman" w:hAnsi="Times New Roman" w:cs="Times New Roman"/>
      <w:b/>
      <w:sz w:val="18"/>
    </w:rPr>
  </w:style>
  <w:style w:type="character" w:customStyle="1" w:styleId="237">
    <w:name w:val="WW8Num121z0"/>
    <w:qFormat/>
    <w:uiPriority w:val="0"/>
    <w:rPr>
      <w:b/>
    </w:rPr>
  </w:style>
  <w:style w:type="character" w:customStyle="1" w:styleId="238">
    <w:name w:val="WW8Num122z0"/>
    <w:qFormat/>
    <w:uiPriority w:val="0"/>
    <w:rPr>
      <w:rFonts w:ascii="Symbol" w:hAnsi="Symbol" w:cs="Symbol"/>
    </w:rPr>
  </w:style>
  <w:style w:type="character" w:customStyle="1" w:styleId="239">
    <w:name w:val="WW8Num128z0"/>
    <w:qFormat/>
    <w:uiPriority w:val="0"/>
    <w:rPr>
      <w:rFonts w:ascii="Symbol" w:hAnsi="Symbol" w:cs="Symbol"/>
    </w:rPr>
  </w:style>
  <w:style w:type="character" w:customStyle="1" w:styleId="240">
    <w:name w:val="WW8Num134z0"/>
    <w:qFormat/>
    <w:uiPriority w:val="0"/>
    <w:rPr>
      <w:rFonts w:ascii="Times New Roman" w:hAnsi="Times New Roman" w:cs="Times New Roman"/>
      <w:b/>
      <w:sz w:val="22"/>
    </w:rPr>
  </w:style>
  <w:style w:type="character" w:customStyle="1" w:styleId="241">
    <w:name w:val="WW8Num135z0"/>
    <w:qFormat/>
    <w:uiPriority w:val="0"/>
  </w:style>
  <w:style w:type="character" w:customStyle="1" w:styleId="242">
    <w:name w:val="WW8Num136z0"/>
    <w:qFormat/>
    <w:uiPriority w:val="0"/>
    <w:rPr>
      <w:b/>
    </w:rPr>
  </w:style>
  <w:style w:type="character" w:customStyle="1" w:styleId="243">
    <w:name w:val="WW8Num137z0"/>
    <w:qFormat/>
    <w:uiPriority w:val="0"/>
    <w:rPr>
      <w:rFonts w:ascii="Symbol" w:hAnsi="Symbol" w:cs="Symbol"/>
    </w:rPr>
  </w:style>
  <w:style w:type="character" w:customStyle="1" w:styleId="244">
    <w:name w:val="WW8Num140z0"/>
    <w:qFormat/>
    <w:uiPriority w:val="0"/>
    <w:rPr>
      <w:rFonts w:ascii="Symbol" w:hAnsi="Symbol" w:cs="Symbol"/>
    </w:rPr>
  </w:style>
  <w:style w:type="character" w:customStyle="1" w:styleId="245">
    <w:name w:val="WW8Num140z1"/>
    <w:qFormat/>
    <w:uiPriority w:val="0"/>
    <w:rPr>
      <w:rFonts w:ascii="Courier New" w:hAnsi="Courier New" w:cs="Courier New"/>
    </w:rPr>
  </w:style>
  <w:style w:type="character" w:customStyle="1" w:styleId="246">
    <w:name w:val="WW8Num140z2"/>
    <w:qFormat/>
    <w:uiPriority w:val="0"/>
    <w:rPr>
      <w:rFonts w:ascii="Wingdings" w:hAnsi="Wingdings" w:cs="Wingdings"/>
    </w:rPr>
  </w:style>
  <w:style w:type="character" w:customStyle="1" w:styleId="247">
    <w:name w:val="WW8Num142z0"/>
    <w:qFormat/>
    <w:uiPriority w:val="0"/>
    <w:rPr>
      <w:b/>
    </w:rPr>
  </w:style>
  <w:style w:type="character" w:customStyle="1" w:styleId="248">
    <w:name w:val="WW8Num145z1"/>
    <w:qFormat/>
    <w:uiPriority w:val="0"/>
    <w:rPr>
      <w:rFonts w:ascii="Courier New" w:hAnsi="Courier New" w:cs="Courier New"/>
    </w:rPr>
  </w:style>
  <w:style w:type="character" w:customStyle="1" w:styleId="249">
    <w:name w:val="WW8Num145z2"/>
    <w:qFormat/>
    <w:uiPriority w:val="0"/>
    <w:rPr>
      <w:rFonts w:ascii="Wingdings" w:hAnsi="Wingdings" w:cs="Wingdings"/>
    </w:rPr>
  </w:style>
  <w:style w:type="character" w:customStyle="1" w:styleId="250">
    <w:name w:val="WW8Num145z3"/>
    <w:qFormat/>
    <w:uiPriority w:val="0"/>
    <w:rPr>
      <w:rFonts w:ascii="Symbol" w:hAnsi="Symbol" w:cs="Symbol"/>
    </w:rPr>
  </w:style>
  <w:style w:type="character" w:customStyle="1" w:styleId="251">
    <w:name w:val="WW8Num149z0"/>
    <w:qFormat/>
    <w:uiPriority w:val="0"/>
    <w:rPr>
      <w:rFonts w:ascii="Times New Roman" w:hAnsi="Times New Roman" w:cs="Times New Roman"/>
      <w:b/>
      <w:sz w:val="18"/>
    </w:rPr>
  </w:style>
  <w:style w:type="character" w:customStyle="1" w:styleId="252">
    <w:name w:val="WW8Num151z0"/>
    <w:qFormat/>
    <w:uiPriority w:val="0"/>
    <w:rPr>
      <w:b/>
    </w:rPr>
  </w:style>
  <w:style w:type="character" w:customStyle="1" w:styleId="253">
    <w:name w:val="WW8Num160z0"/>
    <w:qFormat/>
    <w:uiPriority w:val="0"/>
    <w:rPr>
      <w:b/>
      <w:sz w:val="24"/>
    </w:rPr>
  </w:style>
  <w:style w:type="character" w:customStyle="1" w:styleId="254">
    <w:name w:val="WW8Num164z0"/>
    <w:qFormat/>
    <w:uiPriority w:val="0"/>
    <w:rPr>
      <w:b/>
    </w:rPr>
  </w:style>
  <w:style w:type="character" w:customStyle="1" w:styleId="255">
    <w:name w:val="WW8Num165z1"/>
    <w:qFormat/>
    <w:uiPriority w:val="0"/>
    <w:rPr>
      <w:b/>
    </w:rPr>
  </w:style>
  <w:style w:type="character" w:customStyle="1" w:styleId="256">
    <w:name w:val="WW8Num167z0"/>
    <w:qFormat/>
    <w:uiPriority w:val="0"/>
    <w:rPr>
      <w:b/>
    </w:rPr>
  </w:style>
  <w:style w:type="character" w:customStyle="1" w:styleId="257">
    <w:name w:val="WW8Num168z1"/>
    <w:qFormat/>
    <w:uiPriority w:val="0"/>
    <w:rPr>
      <w:rFonts w:ascii="Times New Roman" w:hAnsi="Times New Roman" w:cs="Times New Roman"/>
    </w:rPr>
  </w:style>
  <w:style w:type="character" w:customStyle="1" w:styleId="258">
    <w:name w:val="WW8Num169z0"/>
    <w:qFormat/>
    <w:uiPriority w:val="0"/>
    <w:rPr>
      <w:rFonts w:ascii="Times New Roman" w:hAnsi="Times New Roman" w:cs="Times New Roman"/>
      <w:b/>
      <w:sz w:val="22"/>
    </w:rPr>
  </w:style>
  <w:style w:type="character" w:customStyle="1" w:styleId="259">
    <w:name w:val="WW8Num173z0"/>
    <w:qFormat/>
    <w:uiPriority w:val="0"/>
    <w:rPr>
      <w:b/>
    </w:rPr>
  </w:style>
  <w:style w:type="character" w:customStyle="1" w:styleId="260">
    <w:name w:val="WW8Num176z0"/>
    <w:qFormat/>
    <w:uiPriority w:val="0"/>
    <w:rPr>
      <w:b/>
    </w:rPr>
  </w:style>
  <w:style w:type="character" w:customStyle="1" w:styleId="261">
    <w:name w:val="WW8Num177z0"/>
    <w:qFormat/>
    <w:uiPriority w:val="0"/>
    <w:rPr>
      <w:b/>
    </w:rPr>
  </w:style>
  <w:style w:type="character" w:customStyle="1" w:styleId="262">
    <w:name w:val="WW8Num177z1"/>
    <w:qFormat/>
    <w:uiPriority w:val="0"/>
    <w:rPr>
      <w:rFonts w:ascii="Times New Roman" w:hAnsi="Times New Roman" w:cs="Times New Roman"/>
      <w:b/>
      <w:sz w:val="22"/>
    </w:rPr>
  </w:style>
  <w:style w:type="character" w:customStyle="1" w:styleId="263">
    <w:name w:val="WW8Num178z0"/>
    <w:qFormat/>
    <w:uiPriority w:val="0"/>
    <w:rPr>
      <w:b/>
    </w:rPr>
  </w:style>
  <w:style w:type="character" w:customStyle="1" w:styleId="264">
    <w:name w:val="WW8Num181z0"/>
    <w:qFormat/>
    <w:uiPriority w:val="0"/>
    <w:rPr>
      <w:b/>
    </w:rPr>
  </w:style>
  <w:style w:type="character" w:customStyle="1" w:styleId="265">
    <w:name w:val="WW8Num183z0"/>
    <w:qFormat/>
    <w:uiPriority w:val="0"/>
    <w:rPr>
      <w:b/>
    </w:rPr>
  </w:style>
  <w:style w:type="character" w:customStyle="1" w:styleId="266">
    <w:name w:val="WW8Num187z0"/>
    <w:qFormat/>
    <w:uiPriority w:val="0"/>
    <w:rPr>
      <w:b/>
    </w:rPr>
  </w:style>
  <w:style w:type="character" w:customStyle="1" w:styleId="267">
    <w:name w:val="WW8Num188z0"/>
    <w:qFormat/>
    <w:uiPriority w:val="0"/>
    <w:rPr>
      <w:b/>
    </w:rPr>
  </w:style>
  <w:style w:type="character" w:customStyle="1" w:styleId="268">
    <w:name w:val="WW8Num193z0"/>
    <w:qFormat/>
    <w:uiPriority w:val="0"/>
    <w:rPr>
      <w:rFonts w:ascii="Wingdings" w:hAnsi="Wingdings" w:cs="Wingdings"/>
    </w:rPr>
  </w:style>
  <w:style w:type="character" w:customStyle="1" w:styleId="269">
    <w:name w:val="WW8Num202z0"/>
    <w:qFormat/>
    <w:uiPriority w:val="0"/>
    <w:rPr>
      <w:rFonts w:ascii="Wingdings" w:hAnsi="Wingdings" w:cs="Wingdings"/>
    </w:rPr>
  </w:style>
  <w:style w:type="character" w:customStyle="1" w:styleId="270">
    <w:name w:val="WW8Num203z0"/>
    <w:qFormat/>
    <w:uiPriority w:val="0"/>
    <w:rPr>
      <w:b/>
    </w:rPr>
  </w:style>
  <w:style w:type="character" w:customStyle="1" w:styleId="271">
    <w:name w:val="WW8Num203z1"/>
    <w:qFormat/>
    <w:uiPriority w:val="0"/>
    <w:rPr>
      <w:rFonts w:ascii="Times New Roman" w:hAnsi="Times New Roman" w:cs="Times New Roman"/>
      <w:b/>
      <w:sz w:val="22"/>
    </w:rPr>
  </w:style>
  <w:style w:type="character" w:customStyle="1" w:styleId="272">
    <w:name w:val="WW8Num204z0"/>
    <w:qFormat/>
    <w:uiPriority w:val="0"/>
    <w:rPr>
      <w:rFonts w:ascii="Wingdings" w:hAnsi="Wingdings" w:cs="Wingdings"/>
    </w:rPr>
  </w:style>
  <w:style w:type="character" w:customStyle="1" w:styleId="273">
    <w:name w:val="WW8Num204z1"/>
    <w:qFormat/>
    <w:uiPriority w:val="0"/>
    <w:rPr>
      <w:rFonts w:ascii="Courier New" w:hAnsi="Courier New" w:cs="Courier New"/>
    </w:rPr>
  </w:style>
  <w:style w:type="character" w:customStyle="1" w:styleId="274">
    <w:name w:val="WW8Num204z3"/>
    <w:qFormat/>
    <w:uiPriority w:val="0"/>
    <w:rPr>
      <w:rFonts w:ascii="Symbol" w:hAnsi="Symbol" w:cs="Symbol"/>
    </w:rPr>
  </w:style>
  <w:style w:type="character" w:customStyle="1" w:styleId="275">
    <w:name w:val="WW8Num207z0"/>
    <w:qFormat/>
    <w:uiPriority w:val="0"/>
    <w:rPr>
      <w:rFonts w:ascii="Symbol" w:hAnsi="Symbol" w:cs="Symbol"/>
    </w:rPr>
  </w:style>
  <w:style w:type="character" w:customStyle="1" w:styleId="276">
    <w:name w:val="WW8Num207z1"/>
    <w:qFormat/>
    <w:uiPriority w:val="0"/>
    <w:rPr>
      <w:rFonts w:ascii="Courier New" w:hAnsi="Courier New" w:cs="Courier New"/>
    </w:rPr>
  </w:style>
  <w:style w:type="character" w:customStyle="1" w:styleId="277">
    <w:name w:val="WW8Num207z2"/>
    <w:qFormat/>
    <w:uiPriority w:val="0"/>
    <w:rPr>
      <w:rFonts w:ascii="Wingdings" w:hAnsi="Wingdings" w:cs="Wingdings"/>
    </w:rPr>
  </w:style>
  <w:style w:type="character" w:customStyle="1" w:styleId="278">
    <w:name w:val="WW8Num209z0"/>
    <w:qFormat/>
    <w:uiPriority w:val="0"/>
    <w:rPr>
      <w:rFonts w:ascii="Times New Roman" w:hAnsi="Times New Roman" w:cs="Times New Roman"/>
      <w:b/>
      <w:sz w:val="22"/>
    </w:rPr>
  </w:style>
  <w:style w:type="character" w:customStyle="1" w:styleId="279">
    <w:name w:val="WW8Num210z0"/>
    <w:qFormat/>
    <w:uiPriority w:val="0"/>
    <w:rPr>
      <w:b/>
    </w:rPr>
  </w:style>
  <w:style w:type="character" w:customStyle="1" w:styleId="280">
    <w:name w:val="WW8Num213z0"/>
    <w:qFormat/>
    <w:uiPriority w:val="0"/>
    <w:rPr>
      <w:rFonts w:ascii="Courier New" w:hAnsi="Courier New" w:cs="Courier New"/>
    </w:rPr>
  </w:style>
  <w:style w:type="character" w:customStyle="1" w:styleId="281">
    <w:name w:val="WW8Num213z2"/>
    <w:qFormat/>
    <w:uiPriority w:val="0"/>
    <w:rPr>
      <w:rFonts w:ascii="Wingdings" w:hAnsi="Wingdings" w:cs="Wingdings"/>
    </w:rPr>
  </w:style>
  <w:style w:type="character" w:customStyle="1" w:styleId="282">
    <w:name w:val="WW8Num213z3"/>
    <w:qFormat/>
    <w:uiPriority w:val="0"/>
    <w:rPr>
      <w:rFonts w:ascii="Symbol" w:hAnsi="Symbol" w:cs="Symbol"/>
    </w:rPr>
  </w:style>
  <w:style w:type="character" w:customStyle="1" w:styleId="283">
    <w:name w:val="WW8Num221z1"/>
    <w:qFormat/>
    <w:uiPriority w:val="0"/>
    <w:rPr>
      <w:b/>
    </w:rPr>
  </w:style>
  <w:style w:type="character" w:customStyle="1" w:styleId="284">
    <w:name w:val="WW8Num223z0"/>
    <w:qFormat/>
    <w:uiPriority w:val="0"/>
    <w:rPr>
      <w:b/>
    </w:rPr>
  </w:style>
  <w:style w:type="character" w:customStyle="1" w:styleId="285">
    <w:name w:val="WW8Num225z0"/>
    <w:qFormat/>
    <w:uiPriority w:val="0"/>
    <w:rPr>
      <w:rFonts w:ascii="Symbol" w:hAnsi="Symbol" w:cs="Symbol"/>
    </w:rPr>
  </w:style>
  <w:style w:type="character" w:customStyle="1" w:styleId="286">
    <w:name w:val="WW8Num225z1"/>
    <w:qFormat/>
    <w:uiPriority w:val="0"/>
    <w:rPr>
      <w:rFonts w:ascii="Courier New" w:hAnsi="Courier New" w:cs="Courier New"/>
    </w:rPr>
  </w:style>
  <w:style w:type="character" w:customStyle="1" w:styleId="287">
    <w:name w:val="WW8Num225z2"/>
    <w:qFormat/>
    <w:uiPriority w:val="0"/>
    <w:rPr>
      <w:rFonts w:ascii="Wingdings" w:hAnsi="Wingdings" w:cs="Wingdings"/>
    </w:rPr>
  </w:style>
  <w:style w:type="character" w:customStyle="1" w:styleId="288">
    <w:name w:val="WW8Num227z0"/>
    <w:qFormat/>
    <w:uiPriority w:val="0"/>
    <w:rPr>
      <w:b/>
    </w:rPr>
  </w:style>
  <w:style w:type="character" w:customStyle="1" w:styleId="289">
    <w:name w:val="WW8Num229z0"/>
    <w:qFormat/>
    <w:uiPriority w:val="0"/>
    <w:rPr>
      <w:b/>
    </w:rPr>
  </w:style>
  <w:style w:type="character" w:customStyle="1" w:styleId="290">
    <w:name w:val="WW8Num230z1"/>
    <w:qFormat/>
    <w:uiPriority w:val="0"/>
    <w:rPr>
      <w:u w:val="none"/>
    </w:rPr>
  </w:style>
  <w:style w:type="character" w:customStyle="1" w:styleId="291">
    <w:name w:val="WW8Num233z0"/>
    <w:qFormat/>
    <w:uiPriority w:val="0"/>
    <w:rPr>
      <w:rFonts w:ascii="Times New Roman" w:hAnsi="Times New Roman" w:cs="Times New Roman"/>
      <w:b/>
      <w:sz w:val="24"/>
      <w:u w:val="none"/>
    </w:rPr>
  </w:style>
  <w:style w:type="character" w:customStyle="1" w:styleId="292">
    <w:name w:val="WW8Num238z0"/>
    <w:qFormat/>
    <w:uiPriority w:val="0"/>
    <w:rPr>
      <w:rFonts w:ascii="Times New Roman" w:hAnsi="Times New Roman" w:eastAsia="Times New Roman" w:cs="Times New Roman"/>
    </w:rPr>
  </w:style>
  <w:style w:type="character" w:customStyle="1" w:styleId="293">
    <w:name w:val="WW8Num238z1"/>
    <w:qFormat/>
    <w:uiPriority w:val="0"/>
    <w:rPr>
      <w:rFonts w:ascii="Courier New" w:hAnsi="Courier New" w:cs="Courier New"/>
    </w:rPr>
  </w:style>
  <w:style w:type="character" w:customStyle="1" w:styleId="294">
    <w:name w:val="WW8Num238z2"/>
    <w:qFormat/>
    <w:uiPriority w:val="0"/>
    <w:rPr>
      <w:rFonts w:ascii="Wingdings" w:hAnsi="Wingdings" w:cs="Wingdings"/>
    </w:rPr>
  </w:style>
  <w:style w:type="character" w:customStyle="1" w:styleId="295">
    <w:name w:val="WW8Num238z3"/>
    <w:qFormat/>
    <w:uiPriority w:val="0"/>
    <w:rPr>
      <w:rFonts w:ascii="Symbol" w:hAnsi="Symbol" w:cs="Symbol"/>
    </w:rPr>
  </w:style>
  <w:style w:type="character" w:customStyle="1" w:styleId="296">
    <w:name w:val="WW8Num240z0"/>
    <w:qFormat/>
    <w:uiPriority w:val="0"/>
    <w:rPr>
      <w:rFonts w:ascii="Symbol" w:hAnsi="Symbol" w:eastAsia="Times New Roman" w:cs="Times New Roman"/>
    </w:rPr>
  </w:style>
  <w:style w:type="character" w:customStyle="1" w:styleId="297">
    <w:name w:val="WW8Num240z1"/>
    <w:qFormat/>
    <w:uiPriority w:val="0"/>
    <w:rPr>
      <w:rFonts w:ascii="Courier New" w:hAnsi="Courier New" w:cs="Courier New"/>
    </w:rPr>
  </w:style>
  <w:style w:type="character" w:customStyle="1" w:styleId="298">
    <w:name w:val="WW8Num240z2"/>
    <w:qFormat/>
    <w:uiPriority w:val="0"/>
    <w:rPr>
      <w:rFonts w:ascii="Wingdings" w:hAnsi="Wingdings" w:cs="Wingdings"/>
    </w:rPr>
  </w:style>
  <w:style w:type="character" w:customStyle="1" w:styleId="299">
    <w:name w:val="WW8Num240z3"/>
    <w:qFormat/>
    <w:uiPriority w:val="0"/>
    <w:rPr>
      <w:rFonts w:ascii="Symbol" w:hAnsi="Symbol" w:cs="Symbol"/>
    </w:rPr>
  </w:style>
  <w:style w:type="character" w:customStyle="1" w:styleId="300">
    <w:name w:val="WW8Num241z0"/>
    <w:qFormat/>
    <w:uiPriority w:val="0"/>
    <w:rPr>
      <w:b/>
    </w:rPr>
  </w:style>
  <w:style w:type="character" w:customStyle="1" w:styleId="301">
    <w:name w:val="WW8Num242z0"/>
    <w:qFormat/>
    <w:uiPriority w:val="0"/>
    <w:rPr>
      <w:b/>
    </w:rPr>
  </w:style>
  <w:style w:type="character" w:customStyle="1" w:styleId="302">
    <w:name w:val="WW8Num243z0"/>
    <w:qFormat/>
    <w:uiPriority w:val="0"/>
    <w:rPr>
      <w:b/>
    </w:rPr>
  </w:style>
  <w:style w:type="character" w:customStyle="1" w:styleId="303">
    <w:name w:val="WW8Num244z0"/>
    <w:qFormat/>
    <w:uiPriority w:val="0"/>
    <w:rPr>
      <w:b/>
    </w:rPr>
  </w:style>
  <w:style w:type="character" w:customStyle="1" w:styleId="304">
    <w:name w:val="WW8Num246z0"/>
    <w:qFormat/>
    <w:uiPriority w:val="0"/>
    <w:rPr>
      <w:rFonts w:ascii="Symbol" w:hAnsi="Symbol" w:cs="Symbol"/>
    </w:rPr>
  </w:style>
  <w:style w:type="character" w:customStyle="1" w:styleId="305">
    <w:name w:val="WW8Num247z0"/>
    <w:qFormat/>
    <w:uiPriority w:val="0"/>
    <w:rPr>
      <w:b/>
    </w:rPr>
  </w:style>
  <w:style w:type="character" w:customStyle="1" w:styleId="306">
    <w:name w:val="WW8Num248z0"/>
    <w:qFormat/>
    <w:uiPriority w:val="0"/>
    <w:rPr>
      <w:b/>
    </w:rPr>
  </w:style>
  <w:style w:type="character" w:customStyle="1" w:styleId="307">
    <w:name w:val="WW8Num252z0"/>
    <w:qFormat/>
    <w:uiPriority w:val="0"/>
    <w:rPr>
      <w:b/>
    </w:rPr>
  </w:style>
  <w:style w:type="character" w:customStyle="1" w:styleId="308">
    <w:name w:val="WW8Num255z0"/>
    <w:qFormat/>
    <w:uiPriority w:val="0"/>
    <w:rPr>
      <w:b/>
    </w:rPr>
  </w:style>
  <w:style w:type="character" w:customStyle="1" w:styleId="309">
    <w:name w:val="WW8Num256z0"/>
    <w:qFormat/>
    <w:uiPriority w:val="0"/>
    <w:rPr>
      <w:b/>
    </w:rPr>
  </w:style>
  <w:style w:type="character" w:customStyle="1" w:styleId="310">
    <w:name w:val="WW8Num258z0"/>
    <w:qFormat/>
    <w:uiPriority w:val="0"/>
    <w:rPr>
      <w:b/>
    </w:rPr>
  </w:style>
  <w:style w:type="character" w:customStyle="1" w:styleId="311">
    <w:name w:val="WW8Num259z0"/>
    <w:qFormat/>
    <w:uiPriority w:val="0"/>
    <w:rPr>
      <w:b/>
    </w:rPr>
  </w:style>
  <w:style w:type="character" w:customStyle="1" w:styleId="312">
    <w:name w:val="WW8Num260z0"/>
    <w:qFormat/>
    <w:uiPriority w:val="0"/>
    <w:rPr>
      <w:rFonts w:ascii="Symbol" w:hAnsi="Symbol" w:cs="Symbol"/>
      <w:sz w:val="16"/>
    </w:rPr>
  </w:style>
  <w:style w:type="character" w:customStyle="1" w:styleId="313">
    <w:name w:val="WW8Num261z0"/>
    <w:qFormat/>
    <w:uiPriority w:val="0"/>
    <w:rPr>
      <w:b/>
    </w:rPr>
  </w:style>
  <w:style w:type="character" w:customStyle="1" w:styleId="314">
    <w:name w:val="WW8Num263z0"/>
    <w:qFormat/>
    <w:uiPriority w:val="0"/>
    <w:rPr>
      <w:b/>
    </w:rPr>
  </w:style>
  <w:style w:type="character" w:customStyle="1" w:styleId="315">
    <w:name w:val="WW8Num269z1"/>
    <w:qFormat/>
    <w:uiPriority w:val="0"/>
    <w:rPr>
      <w:b/>
    </w:rPr>
  </w:style>
  <w:style w:type="character" w:customStyle="1" w:styleId="316">
    <w:name w:val="WW8Num280z0"/>
    <w:qFormat/>
    <w:uiPriority w:val="0"/>
    <w:rPr>
      <w:rFonts w:ascii="Times New Roman" w:hAnsi="Times New Roman" w:cs="Times New Roman"/>
      <w:b/>
      <w:sz w:val="18"/>
    </w:rPr>
  </w:style>
  <w:style w:type="character" w:customStyle="1" w:styleId="317">
    <w:name w:val="WW8Num281z0"/>
    <w:qFormat/>
    <w:uiPriority w:val="0"/>
    <w:rPr>
      <w:b/>
    </w:rPr>
  </w:style>
  <w:style w:type="character" w:customStyle="1" w:styleId="318">
    <w:name w:val="WW8Num282z0"/>
    <w:qFormat/>
    <w:uiPriority w:val="0"/>
    <w:rPr>
      <w:b/>
    </w:rPr>
  </w:style>
  <w:style w:type="character" w:customStyle="1" w:styleId="319">
    <w:name w:val="WW8Num283z0"/>
    <w:qFormat/>
    <w:uiPriority w:val="0"/>
    <w:rPr>
      <w:b/>
    </w:rPr>
  </w:style>
  <w:style w:type="character" w:customStyle="1" w:styleId="320">
    <w:name w:val="WW8Num284z0"/>
    <w:qFormat/>
    <w:uiPriority w:val="0"/>
    <w:rPr>
      <w:rFonts w:ascii="Times New Roman" w:hAnsi="Times New Roman" w:cs="Times New Roman"/>
      <w:sz w:val="24"/>
    </w:rPr>
  </w:style>
  <w:style w:type="character" w:customStyle="1" w:styleId="321">
    <w:name w:val="WW8Num285z0"/>
    <w:qFormat/>
    <w:uiPriority w:val="0"/>
    <w:rPr>
      <w:b/>
    </w:rPr>
  </w:style>
  <w:style w:type="character" w:customStyle="1" w:styleId="322">
    <w:name w:val="WW8Num286z0"/>
    <w:qFormat/>
    <w:uiPriority w:val="0"/>
    <w:rPr>
      <w:b/>
    </w:rPr>
  </w:style>
  <w:style w:type="character" w:customStyle="1" w:styleId="323">
    <w:name w:val="WW8Num301z0"/>
    <w:qFormat/>
    <w:uiPriority w:val="0"/>
    <w:rPr>
      <w:b/>
    </w:rPr>
  </w:style>
  <w:style w:type="character" w:customStyle="1" w:styleId="324">
    <w:name w:val="WW8Num303z0"/>
    <w:qFormat/>
    <w:uiPriority w:val="0"/>
    <w:rPr>
      <w:rFonts w:ascii="Symbol" w:hAnsi="Symbol" w:cs="Symbol"/>
    </w:rPr>
  </w:style>
  <w:style w:type="character" w:customStyle="1" w:styleId="325">
    <w:name w:val="WW8Num309z0"/>
    <w:qFormat/>
    <w:uiPriority w:val="0"/>
    <w:rPr>
      <w:b/>
    </w:rPr>
  </w:style>
  <w:style w:type="character" w:customStyle="1" w:styleId="326">
    <w:name w:val="WW8Num309z1"/>
    <w:qFormat/>
    <w:uiPriority w:val="0"/>
    <w:rPr>
      <w:rFonts w:ascii="Courier New" w:hAnsi="Courier New" w:cs="Courier New"/>
    </w:rPr>
  </w:style>
  <w:style w:type="character" w:customStyle="1" w:styleId="327">
    <w:name w:val="WW8Num309z2"/>
    <w:qFormat/>
    <w:uiPriority w:val="0"/>
    <w:rPr>
      <w:rFonts w:ascii="Wingdings" w:hAnsi="Wingdings" w:cs="Wingdings"/>
    </w:rPr>
  </w:style>
  <w:style w:type="character" w:customStyle="1" w:styleId="328">
    <w:name w:val="WW8Num309z3"/>
    <w:qFormat/>
    <w:uiPriority w:val="0"/>
    <w:rPr>
      <w:rFonts w:ascii="Symbol" w:hAnsi="Symbol" w:cs="Symbol"/>
    </w:rPr>
  </w:style>
  <w:style w:type="character" w:customStyle="1" w:styleId="329">
    <w:name w:val="WW8Num313z0"/>
    <w:qFormat/>
    <w:uiPriority w:val="0"/>
    <w:rPr>
      <w:b/>
    </w:rPr>
  </w:style>
  <w:style w:type="character" w:customStyle="1" w:styleId="330">
    <w:name w:val="WW8Num317z0"/>
    <w:qFormat/>
    <w:uiPriority w:val="0"/>
    <w:rPr>
      <w:b/>
    </w:rPr>
  </w:style>
  <w:style w:type="character" w:customStyle="1" w:styleId="331">
    <w:name w:val="WW8Num320z0"/>
    <w:qFormat/>
    <w:uiPriority w:val="0"/>
    <w:rPr>
      <w:b/>
    </w:rPr>
  </w:style>
  <w:style w:type="character" w:customStyle="1" w:styleId="332">
    <w:name w:val="WW8Num320z1"/>
    <w:qFormat/>
    <w:uiPriority w:val="0"/>
    <w:rPr>
      <w:rFonts w:ascii="Times New Roman" w:hAnsi="Times New Roman" w:cs="Times New Roman"/>
      <w:b/>
      <w:sz w:val="22"/>
    </w:rPr>
  </w:style>
  <w:style w:type="character" w:customStyle="1" w:styleId="333">
    <w:name w:val="WW8Num321z0"/>
    <w:qFormat/>
    <w:uiPriority w:val="0"/>
    <w:rPr>
      <w:b/>
    </w:rPr>
  </w:style>
  <w:style w:type="character" w:customStyle="1" w:styleId="334">
    <w:name w:val="WW8Num321z1"/>
    <w:qFormat/>
    <w:uiPriority w:val="0"/>
    <w:rPr>
      <w:rFonts w:ascii="Times New Roman" w:hAnsi="Times New Roman" w:cs="Times New Roman"/>
      <w:b/>
      <w:sz w:val="22"/>
    </w:rPr>
  </w:style>
  <w:style w:type="character" w:customStyle="1" w:styleId="335">
    <w:name w:val="WW8Num324z0"/>
    <w:qFormat/>
    <w:uiPriority w:val="0"/>
    <w:rPr>
      <w:rFonts w:ascii="Times New Roman" w:hAnsi="Times New Roman" w:cs="Times New Roman"/>
      <w:b/>
      <w:sz w:val="18"/>
    </w:rPr>
  </w:style>
  <w:style w:type="character" w:customStyle="1" w:styleId="336">
    <w:name w:val="WW8Num325z0"/>
    <w:qFormat/>
    <w:uiPriority w:val="0"/>
    <w:rPr>
      <w:rFonts w:ascii="Symbol" w:hAnsi="Symbol" w:cs="Symbol"/>
    </w:rPr>
  </w:style>
  <w:style w:type="character" w:customStyle="1" w:styleId="337">
    <w:name w:val="WW8Num325z1"/>
    <w:qFormat/>
    <w:uiPriority w:val="0"/>
    <w:rPr>
      <w:rFonts w:ascii="Courier New" w:hAnsi="Courier New" w:cs="Courier New"/>
    </w:rPr>
  </w:style>
  <w:style w:type="character" w:customStyle="1" w:styleId="338">
    <w:name w:val="WW8Num325z2"/>
    <w:qFormat/>
    <w:uiPriority w:val="0"/>
    <w:rPr>
      <w:rFonts w:ascii="Wingdings" w:hAnsi="Wingdings" w:cs="Wingdings"/>
    </w:rPr>
  </w:style>
  <w:style w:type="character" w:customStyle="1" w:styleId="339">
    <w:name w:val="WW8Num326z0"/>
    <w:qFormat/>
    <w:uiPriority w:val="0"/>
    <w:rPr>
      <w:rFonts w:ascii="Times New Roman" w:hAnsi="Times New Roman" w:cs="Times New Roman"/>
      <w:b/>
      <w:sz w:val="24"/>
      <w:u w:val="none"/>
    </w:rPr>
  </w:style>
  <w:style w:type="character" w:customStyle="1" w:styleId="340">
    <w:name w:val="WW8Num327z2"/>
    <w:qFormat/>
    <w:uiPriority w:val="0"/>
    <w:rPr>
      <w:rFonts w:ascii="Times New Roman" w:hAnsi="Times New Roman" w:eastAsia="Times New Roman" w:cs="Times New Roman"/>
    </w:rPr>
  </w:style>
  <w:style w:type="character" w:customStyle="1" w:styleId="341">
    <w:name w:val="WW8Num328z0"/>
    <w:qFormat/>
    <w:uiPriority w:val="0"/>
    <w:rPr>
      <w:b/>
    </w:rPr>
  </w:style>
  <w:style w:type="character" w:customStyle="1" w:styleId="342">
    <w:name w:val="WW8Num334z0"/>
    <w:qFormat/>
    <w:uiPriority w:val="0"/>
    <w:rPr>
      <w:b/>
    </w:rPr>
  </w:style>
  <w:style w:type="character" w:customStyle="1" w:styleId="343">
    <w:name w:val="WW8Num336z0"/>
    <w:qFormat/>
    <w:uiPriority w:val="0"/>
    <w:rPr>
      <w:b/>
    </w:rPr>
  </w:style>
  <w:style w:type="character" w:customStyle="1" w:styleId="344">
    <w:name w:val="WW8Num337z0"/>
    <w:qFormat/>
    <w:uiPriority w:val="0"/>
    <w:rPr>
      <w:b/>
    </w:rPr>
  </w:style>
  <w:style w:type="character" w:customStyle="1" w:styleId="345">
    <w:name w:val="WW8Num339z0"/>
    <w:qFormat/>
    <w:uiPriority w:val="0"/>
    <w:rPr>
      <w:rFonts w:ascii="Symbol" w:hAnsi="Symbol" w:cs="Symbol"/>
    </w:rPr>
  </w:style>
  <w:style w:type="character" w:customStyle="1" w:styleId="346">
    <w:name w:val="WW8Num344z0"/>
    <w:qFormat/>
    <w:uiPriority w:val="0"/>
    <w:rPr>
      <w:rFonts w:ascii="Wingdings" w:hAnsi="Wingdings" w:cs="Wingdings"/>
    </w:rPr>
  </w:style>
  <w:style w:type="character" w:customStyle="1" w:styleId="347">
    <w:name w:val="WW8Num344z1"/>
    <w:qFormat/>
    <w:uiPriority w:val="0"/>
    <w:rPr>
      <w:rFonts w:ascii="Courier New" w:hAnsi="Courier New" w:cs="Courier New"/>
    </w:rPr>
  </w:style>
  <w:style w:type="character" w:customStyle="1" w:styleId="348">
    <w:name w:val="WW8Num344z3"/>
    <w:qFormat/>
    <w:uiPriority w:val="0"/>
    <w:rPr>
      <w:rFonts w:ascii="Symbol" w:hAnsi="Symbol" w:cs="Symbol"/>
    </w:rPr>
  </w:style>
  <w:style w:type="character" w:customStyle="1" w:styleId="349">
    <w:name w:val="WW8Num346z6"/>
    <w:qFormat/>
    <w:uiPriority w:val="0"/>
    <w:rPr>
      <w:rFonts w:ascii="Arial" w:hAnsi="Arial" w:cs="Arial"/>
      <w:b/>
      <w:caps/>
      <w:sz w:val="24"/>
    </w:rPr>
  </w:style>
  <w:style w:type="character" w:customStyle="1" w:styleId="350">
    <w:name w:val="WW8Num350z0"/>
    <w:qFormat/>
    <w:uiPriority w:val="0"/>
    <w:rPr>
      <w:rFonts w:ascii="Times New Roman" w:hAnsi="Times New Roman" w:cs="Times New Roman"/>
      <w:b/>
      <w:sz w:val="18"/>
    </w:rPr>
  </w:style>
  <w:style w:type="character" w:customStyle="1" w:styleId="351">
    <w:name w:val="WW8Num350z1"/>
    <w:qFormat/>
    <w:uiPriority w:val="0"/>
    <w:rPr>
      <w:b/>
    </w:rPr>
  </w:style>
  <w:style w:type="character" w:customStyle="1" w:styleId="352">
    <w:name w:val="WW8Num352z0"/>
    <w:qFormat/>
    <w:uiPriority w:val="0"/>
    <w:rPr>
      <w:rFonts w:ascii="Symbol" w:hAnsi="Symbol" w:cs="Symbol"/>
    </w:rPr>
  </w:style>
  <w:style w:type="character" w:customStyle="1" w:styleId="353">
    <w:name w:val="WW8Num354z0"/>
    <w:qFormat/>
    <w:uiPriority w:val="0"/>
    <w:rPr>
      <w:b/>
    </w:rPr>
  </w:style>
  <w:style w:type="character" w:customStyle="1" w:styleId="354">
    <w:name w:val="WW8Num356z0"/>
    <w:qFormat/>
    <w:uiPriority w:val="0"/>
    <w:rPr>
      <w:b/>
    </w:rPr>
  </w:style>
  <w:style w:type="character" w:customStyle="1" w:styleId="355">
    <w:name w:val="WW8Num356z1"/>
    <w:qFormat/>
    <w:uiPriority w:val="0"/>
    <w:rPr>
      <w:rFonts w:ascii="Times New Roman" w:hAnsi="Times New Roman" w:cs="Times New Roman"/>
      <w:b/>
      <w:sz w:val="22"/>
    </w:rPr>
  </w:style>
  <w:style w:type="character" w:customStyle="1" w:styleId="356">
    <w:name w:val="WW8Num358z0"/>
    <w:qFormat/>
    <w:uiPriority w:val="0"/>
  </w:style>
  <w:style w:type="character" w:customStyle="1" w:styleId="357">
    <w:name w:val="WW8Num362z0"/>
    <w:qFormat/>
    <w:uiPriority w:val="0"/>
    <w:rPr>
      <w:rFonts w:ascii="Times New Roman" w:hAnsi="Times New Roman" w:cs="Times New Roman"/>
      <w:b/>
      <w:sz w:val="22"/>
    </w:rPr>
  </w:style>
  <w:style w:type="character" w:customStyle="1" w:styleId="358">
    <w:name w:val="WW8Num363z0"/>
    <w:qFormat/>
    <w:uiPriority w:val="0"/>
    <w:rPr>
      <w:b/>
    </w:rPr>
  </w:style>
  <w:style w:type="character" w:customStyle="1" w:styleId="359">
    <w:name w:val="WW8Num365z0"/>
    <w:qFormat/>
    <w:uiPriority w:val="0"/>
    <w:rPr>
      <w:rFonts w:ascii="Symbol" w:hAnsi="Symbol" w:cs="Symbol"/>
    </w:rPr>
  </w:style>
  <w:style w:type="character" w:customStyle="1" w:styleId="360">
    <w:name w:val="WW8Num366z0"/>
    <w:qFormat/>
    <w:uiPriority w:val="0"/>
    <w:rPr>
      <w:b/>
    </w:rPr>
  </w:style>
  <w:style w:type="character" w:customStyle="1" w:styleId="361">
    <w:name w:val="WW8Num368z0"/>
    <w:qFormat/>
    <w:uiPriority w:val="0"/>
    <w:rPr>
      <w:b/>
    </w:rPr>
  </w:style>
  <w:style w:type="character" w:customStyle="1" w:styleId="362">
    <w:name w:val="WW8Num370z0"/>
    <w:qFormat/>
    <w:uiPriority w:val="0"/>
    <w:rPr>
      <w:b/>
    </w:rPr>
  </w:style>
  <w:style w:type="character" w:customStyle="1" w:styleId="363">
    <w:name w:val="WW8Num375z0"/>
    <w:qFormat/>
    <w:uiPriority w:val="0"/>
    <w:rPr>
      <w:rFonts w:ascii="Times New Roman" w:hAnsi="Times New Roman" w:cs="Times New Roman"/>
      <w:sz w:val="24"/>
      <w:u w:val="none"/>
    </w:rPr>
  </w:style>
  <w:style w:type="character" w:customStyle="1" w:styleId="364">
    <w:name w:val="WW8Num376z0"/>
    <w:qFormat/>
    <w:uiPriority w:val="0"/>
    <w:rPr>
      <w:rFonts w:ascii="Symbol" w:hAnsi="Symbol" w:cs="Symbol"/>
    </w:rPr>
  </w:style>
  <w:style w:type="character" w:customStyle="1" w:styleId="365">
    <w:name w:val="WW8Num378z0"/>
    <w:qFormat/>
    <w:uiPriority w:val="0"/>
    <w:rPr>
      <w:b/>
    </w:rPr>
  </w:style>
  <w:style w:type="character" w:customStyle="1" w:styleId="366">
    <w:name w:val="WW8Num380z0"/>
    <w:qFormat/>
    <w:uiPriority w:val="0"/>
    <w:rPr>
      <w:rFonts w:ascii="Times New Roman" w:hAnsi="Times New Roman" w:cs="Times New Roman"/>
    </w:rPr>
  </w:style>
  <w:style w:type="character" w:customStyle="1" w:styleId="367">
    <w:name w:val="WW8Num381z0"/>
    <w:qFormat/>
    <w:uiPriority w:val="0"/>
    <w:rPr>
      <w:rFonts w:ascii="Symbol" w:hAnsi="Symbol" w:cs="Symbol"/>
    </w:rPr>
  </w:style>
  <w:style w:type="character" w:customStyle="1" w:styleId="368">
    <w:name w:val="WW8Num383z0"/>
    <w:qFormat/>
    <w:uiPriority w:val="0"/>
    <w:rPr>
      <w:b/>
    </w:rPr>
  </w:style>
  <w:style w:type="character" w:customStyle="1" w:styleId="369">
    <w:name w:val="WW8Num387z0"/>
    <w:qFormat/>
    <w:uiPriority w:val="0"/>
    <w:rPr>
      <w:b/>
    </w:rPr>
  </w:style>
  <w:style w:type="character" w:customStyle="1" w:styleId="370">
    <w:name w:val="WW8Num388z0"/>
    <w:qFormat/>
    <w:uiPriority w:val="0"/>
    <w:rPr>
      <w:rFonts w:ascii="Times New Roman" w:hAnsi="Times New Roman" w:cs="Times New Roman"/>
      <w:b/>
      <w:sz w:val="18"/>
    </w:rPr>
  </w:style>
  <w:style w:type="character" w:customStyle="1" w:styleId="371">
    <w:name w:val="WW8Num389z0"/>
    <w:qFormat/>
    <w:uiPriority w:val="0"/>
    <w:rPr>
      <w:rFonts w:ascii="Times New Roman" w:hAnsi="Times New Roman" w:cs="Times New Roman"/>
    </w:rPr>
  </w:style>
  <w:style w:type="character" w:customStyle="1" w:styleId="372">
    <w:name w:val="WW8Num396z0"/>
    <w:qFormat/>
    <w:uiPriority w:val="0"/>
    <w:rPr>
      <w:rFonts w:ascii="Wingdings" w:hAnsi="Wingdings" w:cs="Wingdings"/>
    </w:rPr>
  </w:style>
  <w:style w:type="character" w:customStyle="1" w:styleId="373">
    <w:name w:val="WW8Num397z0"/>
    <w:qFormat/>
    <w:uiPriority w:val="0"/>
    <w:rPr>
      <w:rFonts w:ascii="Times New Roman" w:hAnsi="Times New Roman" w:cs="Times New Roman"/>
      <w:b/>
      <w:sz w:val="22"/>
    </w:rPr>
  </w:style>
  <w:style w:type="character" w:customStyle="1" w:styleId="374">
    <w:name w:val="WW8Num398z0"/>
    <w:qFormat/>
    <w:uiPriority w:val="0"/>
    <w:rPr>
      <w:b/>
    </w:rPr>
  </w:style>
  <w:style w:type="character" w:customStyle="1" w:styleId="375">
    <w:name w:val="WW8Num399z0"/>
    <w:qFormat/>
    <w:uiPriority w:val="0"/>
  </w:style>
  <w:style w:type="character" w:customStyle="1" w:styleId="376">
    <w:name w:val="WW8Num400z0"/>
    <w:qFormat/>
    <w:uiPriority w:val="0"/>
    <w:rPr>
      <w:b/>
    </w:rPr>
  </w:style>
  <w:style w:type="character" w:customStyle="1" w:styleId="377">
    <w:name w:val="WW8Num403z0"/>
    <w:qFormat/>
    <w:uiPriority w:val="0"/>
    <w:rPr>
      <w:sz w:val="24"/>
    </w:rPr>
  </w:style>
  <w:style w:type="character" w:customStyle="1" w:styleId="378">
    <w:name w:val="WW8Num404z0"/>
    <w:qFormat/>
    <w:uiPriority w:val="0"/>
    <w:rPr>
      <w:rFonts w:ascii="Symbol" w:hAnsi="Symbol" w:cs="Symbol"/>
    </w:rPr>
  </w:style>
  <w:style w:type="character" w:customStyle="1" w:styleId="379">
    <w:name w:val="WW8Num407z0"/>
    <w:qFormat/>
    <w:uiPriority w:val="0"/>
    <w:rPr>
      <w:rFonts w:ascii="Times New Roman" w:hAnsi="Times New Roman" w:cs="Times New Roman"/>
    </w:rPr>
  </w:style>
  <w:style w:type="character" w:customStyle="1" w:styleId="380">
    <w:name w:val="WW8Num411z0"/>
    <w:qFormat/>
    <w:uiPriority w:val="0"/>
    <w:rPr>
      <w:rFonts w:ascii="Wingdings" w:hAnsi="Wingdings" w:cs="Wingdings"/>
    </w:rPr>
  </w:style>
  <w:style w:type="character" w:customStyle="1" w:styleId="381">
    <w:name w:val="WW8Num411z1"/>
    <w:qFormat/>
    <w:uiPriority w:val="0"/>
    <w:rPr>
      <w:rFonts w:ascii="Courier New" w:hAnsi="Courier New" w:cs="Courier New"/>
    </w:rPr>
  </w:style>
  <w:style w:type="character" w:customStyle="1" w:styleId="382">
    <w:name w:val="WW8Num411z3"/>
    <w:qFormat/>
    <w:uiPriority w:val="0"/>
    <w:rPr>
      <w:rFonts w:ascii="Symbol" w:hAnsi="Symbol" w:cs="Symbol"/>
    </w:rPr>
  </w:style>
  <w:style w:type="character" w:customStyle="1" w:styleId="383">
    <w:name w:val="WW8Num412z0"/>
    <w:qFormat/>
    <w:uiPriority w:val="0"/>
    <w:rPr>
      <w:rFonts w:ascii="Times New Roman" w:hAnsi="Times New Roman" w:eastAsia="Times New Roman" w:cs="Times New Roman"/>
    </w:rPr>
  </w:style>
  <w:style w:type="character" w:customStyle="1" w:styleId="384">
    <w:name w:val="WW8Num412z1"/>
    <w:qFormat/>
    <w:uiPriority w:val="0"/>
    <w:rPr>
      <w:rFonts w:ascii="Courier New" w:hAnsi="Courier New" w:cs="Courier New"/>
    </w:rPr>
  </w:style>
  <w:style w:type="character" w:customStyle="1" w:styleId="385">
    <w:name w:val="WW8Num412z2"/>
    <w:qFormat/>
    <w:uiPriority w:val="0"/>
    <w:rPr>
      <w:rFonts w:ascii="Wingdings" w:hAnsi="Wingdings" w:cs="Wingdings"/>
    </w:rPr>
  </w:style>
  <w:style w:type="character" w:customStyle="1" w:styleId="386">
    <w:name w:val="WW8Num412z3"/>
    <w:qFormat/>
    <w:uiPriority w:val="0"/>
    <w:rPr>
      <w:rFonts w:ascii="Symbol" w:hAnsi="Symbol" w:cs="Symbol"/>
    </w:rPr>
  </w:style>
  <w:style w:type="character" w:customStyle="1" w:styleId="387">
    <w:name w:val="WW8Num415z1"/>
    <w:qFormat/>
    <w:uiPriority w:val="0"/>
    <w:rPr>
      <w:b/>
    </w:rPr>
  </w:style>
  <w:style w:type="character" w:customStyle="1" w:styleId="388">
    <w:name w:val="WW8Num418z0"/>
    <w:qFormat/>
    <w:uiPriority w:val="0"/>
    <w:rPr>
      <w:b/>
    </w:rPr>
  </w:style>
  <w:style w:type="character" w:customStyle="1" w:styleId="389">
    <w:name w:val="WW8Num420z0"/>
    <w:qFormat/>
    <w:uiPriority w:val="0"/>
    <w:rPr>
      <w:rFonts w:ascii="Times New Roman" w:hAnsi="Times New Roman" w:cs="Times New Roman"/>
    </w:rPr>
  </w:style>
  <w:style w:type="character" w:customStyle="1" w:styleId="390">
    <w:name w:val="WW8Num422z0"/>
    <w:qFormat/>
    <w:uiPriority w:val="0"/>
    <w:rPr>
      <w:b/>
    </w:rPr>
  </w:style>
  <w:style w:type="character" w:customStyle="1" w:styleId="391">
    <w:name w:val="WW8Num423z0"/>
    <w:qFormat/>
    <w:uiPriority w:val="0"/>
    <w:rPr>
      <w:b/>
    </w:rPr>
  </w:style>
  <w:style w:type="character" w:customStyle="1" w:styleId="392">
    <w:name w:val="WW8Num424z0"/>
    <w:qFormat/>
    <w:uiPriority w:val="0"/>
    <w:rPr>
      <w:rFonts w:ascii="Wingdings" w:hAnsi="Wingdings" w:cs="Wingdings"/>
    </w:rPr>
  </w:style>
  <w:style w:type="character" w:customStyle="1" w:styleId="393">
    <w:name w:val="WW8Num425z0"/>
    <w:qFormat/>
    <w:uiPriority w:val="0"/>
    <w:rPr>
      <w:rFonts w:ascii="Times New Roman" w:hAnsi="Times New Roman" w:cs="Times New Roman"/>
      <w:b/>
      <w:sz w:val="18"/>
    </w:rPr>
  </w:style>
  <w:style w:type="character" w:customStyle="1" w:styleId="394">
    <w:name w:val="WW8Num430z0"/>
    <w:qFormat/>
    <w:uiPriority w:val="0"/>
    <w:rPr>
      <w:rFonts w:ascii="Times New Roman" w:hAnsi="Times New Roman" w:cs="Times New Roman"/>
      <w:b/>
      <w:sz w:val="18"/>
    </w:rPr>
  </w:style>
  <w:style w:type="character" w:customStyle="1" w:styleId="395">
    <w:name w:val="WW8Num431z0"/>
    <w:qFormat/>
    <w:uiPriority w:val="0"/>
    <w:rPr>
      <w:rFonts w:ascii="Times New Roman" w:hAnsi="Times New Roman" w:cs="Times New Roman"/>
      <w:b/>
      <w:sz w:val="18"/>
    </w:rPr>
  </w:style>
  <w:style w:type="character" w:customStyle="1" w:styleId="396">
    <w:name w:val="WW8Num432z0"/>
    <w:qFormat/>
    <w:uiPriority w:val="0"/>
    <w:rPr>
      <w:rFonts w:ascii="Wingdings" w:hAnsi="Wingdings" w:cs="Wingdings"/>
    </w:rPr>
  </w:style>
  <w:style w:type="character" w:customStyle="1" w:styleId="397">
    <w:name w:val="WW8Num434z0"/>
    <w:qFormat/>
    <w:uiPriority w:val="0"/>
    <w:rPr>
      <w:b/>
    </w:rPr>
  </w:style>
  <w:style w:type="character" w:customStyle="1" w:styleId="398">
    <w:name w:val="WW8Num435z0"/>
    <w:qFormat/>
    <w:uiPriority w:val="0"/>
    <w:rPr>
      <w:b/>
    </w:rPr>
  </w:style>
  <w:style w:type="character" w:customStyle="1" w:styleId="399">
    <w:name w:val="WW8Num438z0"/>
    <w:qFormat/>
    <w:uiPriority w:val="0"/>
    <w:rPr>
      <w:rFonts w:ascii="Times New Roman" w:hAnsi="Times New Roman" w:eastAsia="Times New Roman" w:cs="Times New Roman"/>
    </w:rPr>
  </w:style>
  <w:style w:type="character" w:customStyle="1" w:styleId="400">
    <w:name w:val="WW8Num438z1"/>
    <w:qFormat/>
    <w:uiPriority w:val="0"/>
    <w:rPr>
      <w:rFonts w:ascii="Courier New" w:hAnsi="Courier New" w:cs="Courier New"/>
    </w:rPr>
  </w:style>
  <w:style w:type="character" w:customStyle="1" w:styleId="401">
    <w:name w:val="WW8Num438z2"/>
    <w:qFormat/>
    <w:uiPriority w:val="0"/>
    <w:rPr>
      <w:rFonts w:ascii="Wingdings" w:hAnsi="Wingdings" w:cs="Wingdings"/>
    </w:rPr>
  </w:style>
  <w:style w:type="character" w:customStyle="1" w:styleId="402">
    <w:name w:val="WW8Num438z3"/>
    <w:qFormat/>
    <w:uiPriority w:val="0"/>
    <w:rPr>
      <w:rFonts w:ascii="Symbol" w:hAnsi="Symbol" w:cs="Symbol"/>
    </w:rPr>
  </w:style>
  <w:style w:type="character" w:customStyle="1" w:styleId="403">
    <w:name w:val="WW8Num440z0"/>
    <w:qFormat/>
    <w:uiPriority w:val="0"/>
    <w:rPr>
      <w:rFonts w:ascii="Times New Roman" w:hAnsi="Times New Roman" w:cs="Times New Roman"/>
      <w:b/>
      <w:sz w:val="22"/>
    </w:rPr>
  </w:style>
  <w:style w:type="character" w:customStyle="1" w:styleId="404">
    <w:name w:val="WW8Num446z0"/>
    <w:qFormat/>
    <w:uiPriority w:val="0"/>
    <w:rPr>
      <w:b/>
    </w:rPr>
  </w:style>
  <w:style w:type="character" w:customStyle="1" w:styleId="405">
    <w:name w:val="WW8Num447z0"/>
    <w:qFormat/>
    <w:uiPriority w:val="0"/>
    <w:rPr>
      <w:b/>
    </w:rPr>
  </w:style>
  <w:style w:type="character" w:customStyle="1" w:styleId="406">
    <w:name w:val="WW8Num448z0"/>
    <w:qFormat/>
    <w:uiPriority w:val="0"/>
    <w:rPr>
      <w:b/>
    </w:rPr>
  </w:style>
  <w:style w:type="character" w:customStyle="1" w:styleId="407">
    <w:name w:val="WW8Num449z0"/>
    <w:qFormat/>
    <w:uiPriority w:val="0"/>
    <w:rPr>
      <w:b/>
    </w:rPr>
  </w:style>
  <w:style w:type="character" w:customStyle="1" w:styleId="408">
    <w:name w:val="WW8Num451z0"/>
    <w:qFormat/>
    <w:uiPriority w:val="0"/>
    <w:rPr>
      <w:rFonts w:ascii="Times New Roman" w:hAnsi="Times New Roman" w:cs="Times New Roman"/>
    </w:rPr>
  </w:style>
  <w:style w:type="character" w:customStyle="1" w:styleId="409">
    <w:name w:val="WW8Num455z0"/>
    <w:qFormat/>
    <w:uiPriority w:val="0"/>
    <w:rPr>
      <w:rFonts w:ascii="Times New Roman" w:hAnsi="Times New Roman" w:cs="Times New Roman"/>
      <w:b/>
      <w:sz w:val="22"/>
    </w:rPr>
  </w:style>
  <w:style w:type="character" w:customStyle="1" w:styleId="410">
    <w:name w:val="WW8Num456z0"/>
    <w:qFormat/>
    <w:uiPriority w:val="0"/>
    <w:rPr>
      <w:b/>
    </w:rPr>
  </w:style>
  <w:style w:type="character" w:customStyle="1" w:styleId="411">
    <w:name w:val="WW8Num460z0"/>
    <w:qFormat/>
    <w:uiPriority w:val="0"/>
    <w:rPr>
      <w:b/>
    </w:rPr>
  </w:style>
  <w:style w:type="character" w:customStyle="1" w:styleId="412">
    <w:name w:val="WW8Num463z0"/>
    <w:qFormat/>
    <w:uiPriority w:val="0"/>
    <w:rPr>
      <w:b/>
    </w:rPr>
  </w:style>
  <w:style w:type="character" w:customStyle="1" w:styleId="413">
    <w:name w:val="WW8Num464z0"/>
    <w:qFormat/>
    <w:uiPriority w:val="0"/>
    <w:rPr>
      <w:rFonts w:ascii="Times New Roman" w:hAnsi="Times New Roman" w:cs="Times New Roman"/>
      <w:b/>
      <w:sz w:val="18"/>
    </w:rPr>
  </w:style>
  <w:style w:type="character" w:customStyle="1" w:styleId="414">
    <w:name w:val="WW8Num466z0"/>
    <w:qFormat/>
    <w:uiPriority w:val="0"/>
    <w:rPr>
      <w:rFonts w:ascii="Times New Roman" w:hAnsi="Times New Roman" w:eastAsia="Times New Roman" w:cs="Times New Roman"/>
    </w:rPr>
  </w:style>
  <w:style w:type="character" w:customStyle="1" w:styleId="415">
    <w:name w:val="WW8Num466z1"/>
    <w:qFormat/>
    <w:uiPriority w:val="0"/>
    <w:rPr>
      <w:rFonts w:ascii="Courier New" w:hAnsi="Courier New" w:cs="Courier New"/>
    </w:rPr>
  </w:style>
  <w:style w:type="character" w:customStyle="1" w:styleId="416">
    <w:name w:val="WW8Num466z2"/>
    <w:qFormat/>
    <w:uiPriority w:val="0"/>
    <w:rPr>
      <w:rFonts w:ascii="Wingdings" w:hAnsi="Wingdings" w:cs="Wingdings"/>
    </w:rPr>
  </w:style>
  <w:style w:type="character" w:customStyle="1" w:styleId="417">
    <w:name w:val="WW8Num466z3"/>
    <w:qFormat/>
    <w:uiPriority w:val="0"/>
    <w:rPr>
      <w:rFonts w:ascii="Symbol" w:hAnsi="Symbol" w:cs="Symbol"/>
    </w:rPr>
  </w:style>
  <w:style w:type="character" w:customStyle="1" w:styleId="418">
    <w:name w:val="WW8Num471z0"/>
    <w:qFormat/>
    <w:uiPriority w:val="0"/>
    <w:rPr>
      <w:rFonts w:ascii="Wingdings" w:hAnsi="Wingdings" w:cs="Wingdings"/>
    </w:rPr>
  </w:style>
  <w:style w:type="character" w:customStyle="1" w:styleId="419">
    <w:name w:val="WW8Num471z1"/>
    <w:qFormat/>
    <w:uiPriority w:val="0"/>
    <w:rPr>
      <w:rFonts w:ascii="Courier New" w:hAnsi="Courier New" w:cs="Courier New"/>
    </w:rPr>
  </w:style>
  <w:style w:type="character" w:customStyle="1" w:styleId="420">
    <w:name w:val="WW8Num471z3"/>
    <w:qFormat/>
    <w:uiPriority w:val="0"/>
    <w:rPr>
      <w:rFonts w:ascii="Symbol" w:hAnsi="Symbol" w:cs="Symbol"/>
    </w:rPr>
  </w:style>
  <w:style w:type="character" w:customStyle="1" w:styleId="421">
    <w:name w:val="WW8Num475z1"/>
    <w:qFormat/>
    <w:uiPriority w:val="0"/>
    <w:rPr>
      <w:b/>
    </w:rPr>
  </w:style>
  <w:style w:type="character" w:customStyle="1" w:styleId="422">
    <w:name w:val="WW8Num476z0"/>
    <w:qFormat/>
    <w:uiPriority w:val="0"/>
    <w:rPr>
      <w:rFonts w:ascii="Times New Roman" w:hAnsi="Times New Roman" w:cs="Times New Roman"/>
      <w:b/>
      <w:sz w:val="18"/>
    </w:rPr>
  </w:style>
  <w:style w:type="character" w:customStyle="1" w:styleId="423">
    <w:name w:val="WW8Num479z0"/>
    <w:qFormat/>
    <w:uiPriority w:val="0"/>
    <w:rPr>
      <w:b/>
    </w:rPr>
  </w:style>
  <w:style w:type="character" w:customStyle="1" w:styleId="424">
    <w:name w:val="WW8Num483z0"/>
    <w:qFormat/>
    <w:uiPriority w:val="0"/>
    <w:rPr>
      <w:rFonts w:ascii="Symbol" w:hAnsi="Symbol" w:cs="Symbol"/>
    </w:rPr>
  </w:style>
  <w:style w:type="character" w:customStyle="1" w:styleId="425">
    <w:name w:val="WW8Num483z1"/>
    <w:qFormat/>
    <w:uiPriority w:val="0"/>
    <w:rPr>
      <w:rFonts w:ascii="Courier New" w:hAnsi="Courier New" w:cs="Courier New"/>
    </w:rPr>
  </w:style>
  <w:style w:type="character" w:customStyle="1" w:styleId="426">
    <w:name w:val="WW8Num483z2"/>
    <w:qFormat/>
    <w:uiPriority w:val="0"/>
    <w:rPr>
      <w:rFonts w:ascii="Wingdings" w:hAnsi="Wingdings" w:cs="Wingdings"/>
    </w:rPr>
  </w:style>
  <w:style w:type="character" w:customStyle="1" w:styleId="427">
    <w:name w:val="WW8Num484z0"/>
    <w:qFormat/>
    <w:uiPriority w:val="0"/>
    <w:rPr>
      <w:b/>
    </w:rPr>
  </w:style>
  <w:style w:type="character" w:customStyle="1" w:styleId="428">
    <w:name w:val="WW8Num485z0"/>
    <w:qFormat/>
    <w:uiPriority w:val="0"/>
    <w:rPr>
      <w:b/>
    </w:rPr>
  </w:style>
  <w:style w:type="character" w:customStyle="1" w:styleId="429">
    <w:name w:val="WW8Num488z0"/>
    <w:qFormat/>
    <w:uiPriority w:val="0"/>
    <w:rPr>
      <w:b/>
    </w:rPr>
  </w:style>
  <w:style w:type="character" w:customStyle="1" w:styleId="430">
    <w:name w:val="WW8Num492z0"/>
    <w:qFormat/>
    <w:uiPriority w:val="0"/>
    <w:rPr>
      <w:rFonts w:ascii="Symbol" w:hAnsi="Symbol" w:cs="Symbol"/>
    </w:rPr>
  </w:style>
  <w:style w:type="character" w:customStyle="1" w:styleId="431">
    <w:name w:val="WW8Num493z0"/>
    <w:qFormat/>
    <w:uiPriority w:val="0"/>
    <w:rPr>
      <w:b/>
    </w:rPr>
  </w:style>
  <w:style w:type="character" w:customStyle="1" w:styleId="432">
    <w:name w:val="WW8Num494z0"/>
    <w:qFormat/>
    <w:uiPriority w:val="0"/>
    <w:rPr>
      <w:rFonts w:ascii="Symbol" w:hAnsi="Symbol" w:cs="Symbol"/>
    </w:rPr>
  </w:style>
  <w:style w:type="character" w:customStyle="1" w:styleId="433">
    <w:name w:val="WW8Num499z0"/>
    <w:qFormat/>
    <w:uiPriority w:val="0"/>
    <w:rPr>
      <w:b/>
    </w:rPr>
  </w:style>
  <w:style w:type="character" w:customStyle="1" w:styleId="434">
    <w:name w:val="WW8Num500z0"/>
    <w:qFormat/>
    <w:uiPriority w:val="0"/>
    <w:rPr>
      <w:b/>
    </w:rPr>
  </w:style>
  <w:style w:type="character" w:customStyle="1" w:styleId="435">
    <w:name w:val="WW8Num508z0"/>
    <w:qFormat/>
    <w:uiPriority w:val="0"/>
    <w:rPr>
      <w:rFonts w:ascii="Symbol" w:hAnsi="Symbol" w:cs="Symbol"/>
    </w:rPr>
  </w:style>
  <w:style w:type="character" w:customStyle="1" w:styleId="436">
    <w:name w:val="WW8Num510z0"/>
    <w:qFormat/>
    <w:uiPriority w:val="0"/>
    <w:rPr>
      <w:rFonts w:ascii="Symbol" w:hAnsi="Symbol" w:cs="Symbol"/>
    </w:rPr>
  </w:style>
  <w:style w:type="character" w:customStyle="1" w:styleId="437">
    <w:name w:val="WW8Num510z1"/>
    <w:qFormat/>
    <w:uiPriority w:val="0"/>
    <w:rPr>
      <w:rFonts w:ascii="Courier New" w:hAnsi="Courier New" w:cs="Courier New"/>
    </w:rPr>
  </w:style>
  <w:style w:type="character" w:customStyle="1" w:styleId="438">
    <w:name w:val="WW8Num510z2"/>
    <w:qFormat/>
    <w:uiPriority w:val="0"/>
    <w:rPr>
      <w:rFonts w:ascii="Wingdings" w:hAnsi="Wingdings" w:cs="Wingdings"/>
    </w:rPr>
  </w:style>
  <w:style w:type="character" w:customStyle="1" w:styleId="439">
    <w:name w:val="WW8Num511z0"/>
    <w:qFormat/>
    <w:uiPriority w:val="0"/>
    <w:rPr>
      <w:b/>
    </w:rPr>
  </w:style>
  <w:style w:type="character" w:customStyle="1" w:styleId="440">
    <w:name w:val="WW8Num512z0"/>
    <w:qFormat/>
    <w:uiPriority w:val="0"/>
    <w:rPr>
      <w:b/>
    </w:rPr>
  </w:style>
  <w:style w:type="character" w:customStyle="1" w:styleId="441">
    <w:name w:val="WW8Num516z0"/>
    <w:qFormat/>
    <w:uiPriority w:val="0"/>
    <w:rPr>
      <w:b/>
    </w:rPr>
  </w:style>
  <w:style w:type="character" w:customStyle="1" w:styleId="442">
    <w:name w:val="WW8Num517z0"/>
    <w:qFormat/>
    <w:uiPriority w:val="0"/>
    <w:rPr>
      <w:b/>
    </w:rPr>
  </w:style>
  <w:style w:type="character" w:customStyle="1" w:styleId="443">
    <w:name w:val="WW8Num527z0"/>
    <w:qFormat/>
    <w:uiPriority w:val="0"/>
    <w:rPr>
      <w:b/>
    </w:rPr>
  </w:style>
  <w:style w:type="character" w:customStyle="1" w:styleId="444">
    <w:name w:val="WW8Num532z0"/>
    <w:qFormat/>
    <w:uiPriority w:val="0"/>
    <w:rPr>
      <w:b/>
    </w:rPr>
  </w:style>
  <w:style w:type="character" w:customStyle="1" w:styleId="445">
    <w:name w:val="WW8Num538z1"/>
    <w:qFormat/>
    <w:uiPriority w:val="0"/>
    <w:rPr>
      <w:b/>
    </w:rPr>
  </w:style>
  <w:style w:type="character" w:customStyle="1" w:styleId="446">
    <w:name w:val="WW8Num541z0"/>
    <w:qFormat/>
    <w:uiPriority w:val="0"/>
    <w:rPr>
      <w:rFonts w:ascii="Times New Roman" w:hAnsi="Times New Roman" w:cs="Times New Roman"/>
      <w:b/>
      <w:sz w:val="18"/>
    </w:rPr>
  </w:style>
  <w:style w:type="character" w:customStyle="1" w:styleId="447">
    <w:name w:val="WW8Num543z0"/>
    <w:qFormat/>
    <w:uiPriority w:val="0"/>
    <w:rPr>
      <w:rFonts w:ascii="Symbol" w:hAnsi="Symbol" w:cs="Symbol"/>
    </w:rPr>
  </w:style>
  <w:style w:type="character" w:customStyle="1" w:styleId="448">
    <w:name w:val="WW8Num546z0"/>
    <w:qFormat/>
    <w:uiPriority w:val="0"/>
    <w:rPr>
      <w:b/>
    </w:rPr>
  </w:style>
  <w:style w:type="character" w:customStyle="1" w:styleId="449">
    <w:name w:val="WW8Num548z0"/>
    <w:qFormat/>
    <w:uiPriority w:val="0"/>
    <w:rPr>
      <w:b/>
    </w:rPr>
  </w:style>
  <w:style w:type="character" w:customStyle="1" w:styleId="450">
    <w:name w:val="WW8Num549z0"/>
    <w:qFormat/>
    <w:uiPriority w:val="0"/>
    <w:rPr>
      <w:b/>
    </w:rPr>
  </w:style>
  <w:style w:type="character" w:customStyle="1" w:styleId="451">
    <w:name w:val="WW8Num550z0"/>
    <w:qFormat/>
    <w:uiPriority w:val="0"/>
    <w:rPr>
      <w:b/>
    </w:rPr>
  </w:style>
  <w:style w:type="character" w:customStyle="1" w:styleId="452">
    <w:name w:val="WW8Num551z0"/>
    <w:qFormat/>
    <w:uiPriority w:val="0"/>
    <w:rPr>
      <w:b/>
    </w:rPr>
  </w:style>
  <w:style w:type="character" w:customStyle="1" w:styleId="453">
    <w:name w:val="WW8Num552z0"/>
    <w:qFormat/>
    <w:uiPriority w:val="0"/>
    <w:rPr>
      <w:rFonts w:ascii="Wingdings" w:hAnsi="Wingdings" w:cs="Wingdings"/>
    </w:rPr>
  </w:style>
  <w:style w:type="character" w:customStyle="1" w:styleId="454">
    <w:name w:val="WW8Num552z1"/>
    <w:qFormat/>
    <w:uiPriority w:val="0"/>
    <w:rPr>
      <w:rFonts w:ascii="Courier New" w:hAnsi="Courier New" w:cs="Courier New"/>
    </w:rPr>
  </w:style>
  <w:style w:type="character" w:customStyle="1" w:styleId="455">
    <w:name w:val="WW8Num552z3"/>
    <w:qFormat/>
    <w:uiPriority w:val="0"/>
    <w:rPr>
      <w:rFonts w:ascii="Symbol" w:hAnsi="Symbol" w:cs="Symbol"/>
    </w:rPr>
  </w:style>
  <w:style w:type="character" w:customStyle="1" w:styleId="456">
    <w:name w:val="WW8Num555z0"/>
    <w:qFormat/>
    <w:uiPriority w:val="0"/>
    <w:rPr>
      <w:b/>
    </w:rPr>
  </w:style>
  <w:style w:type="character" w:customStyle="1" w:styleId="457">
    <w:name w:val="WW8Num556z0"/>
    <w:qFormat/>
    <w:uiPriority w:val="0"/>
    <w:rPr>
      <w:b/>
    </w:rPr>
  </w:style>
  <w:style w:type="character" w:customStyle="1" w:styleId="458">
    <w:name w:val="WW8Num560z0"/>
    <w:qFormat/>
    <w:uiPriority w:val="0"/>
    <w:rPr>
      <w:b/>
    </w:rPr>
  </w:style>
  <w:style w:type="character" w:customStyle="1" w:styleId="459">
    <w:name w:val="WW8Num561z0"/>
    <w:qFormat/>
    <w:uiPriority w:val="0"/>
    <w:rPr>
      <w:b/>
    </w:rPr>
  </w:style>
  <w:style w:type="character" w:customStyle="1" w:styleId="460">
    <w:name w:val="WW8Num564z0"/>
    <w:qFormat/>
    <w:uiPriority w:val="0"/>
    <w:rPr>
      <w:b/>
    </w:rPr>
  </w:style>
  <w:style w:type="character" w:customStyle="1" w:styleId="461">
    <w:name w:val="WW8Num574z0"/>
    <w:qFormat/>
    <w:uiPriority w:val="0"/>
    <w:rPr>
      <w:b/>
    </w:rPr>
  </w:style>
  <w:style w:type="character" w:customStyle="1" w:styleId="462">
    <w:name w:val="WW8Num575z0"/>
    <w:qFormat/>
    <w:uiPriority w:val="0"/>
    <w:rPr>
      <w:rFonts w:ascii="Wingdings" w:hAnsi="Wingdings" w:cs="Wingdings"/>
    </w:rPr>
  </w:style>
  <w:style w:type="character" w:customStyle="1" w:styleId="463">
    <w:name w:val="WW8Num575z1"/>
    <w:qFormat/>
    <w:uiPriority w:val="0"/>
    <w:rPr>
      <w:rFonts w:ascii="Courier New" w:hAnsi="Courier New" w:cs="Courier New"/>
    </w:rPr>
  </w:style>
  <w:style w:type="character" w:customStyle="1" w:styleId="464">
    <w:name w:val="WW8Num575z3"/>
    <w:qFormat/>
    <w:uiPriority w:val="0"/>
    <w:rPr>
      <w:rFonts w:ascii="Symbol" w:hAnsi="Symbol" w:cs="Symbol"/>
    </w:rPr>
  </w:style>
  <w:style w:type="character" w:customStyle="1" w:styleId="465">
    <w:name w:val="WW8Num577z0"/>
    <w:qFormat/>
    <w:uiPriority w:val="0"/>
    <w:rPr>
      <w:b/>
    </w:rPr>
  </w:style>
  <w:style w:type="character" w:customStyle="1" w:styleId="466">
    <w:name w:val="WW8Num583z0"/>
    <w:qFormat/>
    <w:uiPriority w:val="0"/>
    <w:rPr>
      <w:b/>
    </w:rPr>
  </w:style>
  <w:style w:type="character" w:customStyle="1" w:styleId="467">
    <w:name w:val="WW8Num591z0"/>
    <w:qFormat/>
    <w:uiPriority w:val="0"/>
    <w:rPr>
      <w:rFonts w:ascii="Times New Roman" w:hAnsi="Times New Roman" w:cs="Times New Roman"/>
      <w:b/>
      <w:sz w:val="22"/>
    </w:rPr>
  </w:style>
  <w:style w:type="character" w:customStyle="1" w:styleId="468">
    <w:name w:val="WW8Num594z0"/>
    <w:qFormat/>
    <w:uiPriority w:val="0"/>
    <w:rPr>
      <w:b/>
    </w:rPr>
  </w:style>
  <w:style w:type="character" w:customStyle="1" w:styleId="469">
    <w:name w:val="WW8Num595z0"/>
    <w:qFormat/>
    <w:uiPriority w:val="0"/>
    <w:rPr>
      <w:rFonts w:ascii="Symbol" w:hAnsi="Symbol" w:cs="Symbol"/>
    </w:rPr>
  </w:style>
  <w:style w:type="character" w:customStyle="1" w:styleId="470">
    <w:name w:val="WW8Num595z1"/>
    <w:qFormat/>
    <w:uiPriority w:val="0"/>
    <w:rPr>
      <w:rFonts w:ascii="Courier New" w:hAnsi="Courier New" w:cs="Courier New"/>
    </w:rPr>
  </w:style>
  <w:style w:type="character" w:customStyle="1" w:styleId="471">
    <w:name w:val="WW8Num595z2"/>
    <w:qFormat/>
    <w:uiPriority w:val="0"/>
    <w:rPr>
      <w:rFonts w:ascii="Wingdings" w:hAnsi="Wingdings" w:cs="Wingdings"/>
    </w:rPr>
  </w:style>
  <w:style w:type="character" w:customStyle="1" w:styleId="472">
    <w:name w:val="WW8Num596z0"/>
    <w:qFormat/>
    <w:uiPriority w:val="0"/>
    <w:rPr>
      <w:rFonts w:ascii="Times New Roman" w:hAnsi="Times New Roman" w:eastAsia="Times New Roman" w:cs="Times New Roman"/>
    </w:rPr>
  </w:style>
  <w:style w:type="character" w:customStyle="1" w:styleId="473">
    <w:name w:val="WW8Num596z1"/>
    <w:qFormat/>
    <w:uiPriority w:val="0"/>
    <w:rPr>
      <w:rFonts w:ascii="Courier New" w:hAnsi="Courier New" w:cs="Courier New"/>
    </w:rPr>
  </w:style>
  <w:style w:type="character" w:customStyle="1" w:styleId="474">
    <w:name w:val="WW8Num596z2"/>
    <w:qFormat/>
    <w:uiPriority w:val="0"/>
    <w:rPr>
      <w:rFonts w:ascii="Wingdings" w:hAnsi="Wingdings" w:cs="Wingdings"/>
    </w:rPr>
  </w:style>
  <w:style w:type="character" w:customStyle="1" w:styleId="475">
    <w:name w:val="WW8Num596z3"/>
    <w:qFormat/>
    <w:uiPriority w:val="0"/>
    <w:rPr>
      <w:rFonts w:ascii="Symbol" w:hAnsi="Symbol" w:cs="Symbol"/>
    </w:rPr>
  </w:style>
  <w:style w:type="character" w:customStyle="1" w:styleId="476">
    <w:name w:val="WW8Num600z0"/>
    <w:qFormat/>
    <w:uiPriority w:val="0"/>
    <w:rPr>
      <w:b/>
    </w:rPr>
  </w:style>
  <w:style w:type="character" w:customStyle="1" w:styleId="477">
    <w:name w:val="WW8Num607z0"/>
    <w:qFormat/>
    <w:uiPriority w:val="0"/>
    <w:rPr>
      <w:rFonts w:ascii="Times New Roman" w:hAnsi="Times New Roman" w:cs="Times New Roman"/>
      <w:b/>
      <w:sz w:val="18"/>
    </w:rPr>
  </w:style>
  <w:style w:type="character" w:customStyle="1" w:styleId="478">
    <w:name w:val="WW8Num610z0"/>
    <w:qFormat/>
    <w:uiPriority w:val="0"/>
    <w:rPr>
      <w:rFonts w:ascii="Times New Roman" w:hAnsi="Times New Roman" w:cs="Times New Roman"/>
      <w:b/>
      <w:sz w:val="18"/>
    </w:rPr>
  </w:style>
  <w:style w:type="character" w:customStyle="1" w:styleId="479">
    <w:name w:val="WW8Num611z0"/>
    <w:qFormat/>
    <w:uiPriority w:val="0"/>
    <w:rPr>
      <w:b/>
    </w:rPr>
  </w:style>
  <w:style w:type="character" w:customStyle="1" w:styleId="480">
    <w:name w:val="WW8Num615z0"/>
    <w:qFormat/>
    <w:uiPriority w:val="0"/>
  </w:style>
  <w:style w:type="character" w:customStyle="1" w:styleId="481">
    <w:name w:val="WW8Num621z0"/>
    <w:qFormat/>
    <w:uiPriority w:val="0"/>
    <w:rPr>
      <w:b/>
    </w:rPr>
  </w:style>
  <w:style w:type="character" w:customStyle="1" w:styleId="482">
    <w:name w:val="WW8Num622z0"/>
    <w:qFormat/>
    <w:uiPriority w:val="0"/>
    <w:rPr>
      <w:b/>
    </w:rPr>
  </w:style>
  <w:style w:type="character" w:customStyle="1" w:styleId="483">
    <w:name w:val="WW8Num625z0"/>
    <w:qFormat/>
    <w:uiPriority w:val="0"/>
    <w:rPr>
      <w:rFonts w:ascii="Times New Roman" w:hAnsi="Times New Roman" w:cs="Times New Roman"/>
      <w:b/>
      <w:sz w:val="18"/>
    </w:rPr>
  </w:style>
  <w:style w:type="character" w:customStyle="1" w:styleId="484">
    <w:name w:val="WW8Num627z0"/>
    <w:qFormat/>
    <w:uiPriority w:val="0"/>
    <w:rPr>
      <w:rFonts w:ascii="Symbol" w:hAnsi="Symbol" w:cs="Symbol"/>
    </w:rPr>
  </w:style>
  <w:style w:type="character" w:customStyle="1" w:styleId="485">
    <w:name w:val="WW8Num628z0"/>
    <w:qFormat/>
    <w:uiPriority w:val="0"/>
    <w:rPr>
      <w:rFonts w:ascii="Wingdings" w:hAnsi="Wingdings" w:cs="Wingdings"/>
    </w:rPr>
  </w:style>
  <w:style w:type="character" w:customStyle="1" w:styleId="486">
    <w:name w:val="WW8Num631z0"/>
    <w:qFormat/>
    <w:uiPriority w:val="0"/>
    <w:rPr>
      <w:b/>
    </w:rPr>
  </w:style>
  <w:style w:type="character" w:customStyle="1" w:styleId="487">
    <w:name w:val="WW8Num632z0"/>
    <w:qFormat/>
    <w:uiPriority w:val="0"/>
    <w:rPr>
      <w:b/>
    </w:rPr>
  </w:style>
  <w:style w:type="character" w:customStyle="1" w:styleId="488">
    <w:name w:val="WW8Num634z0"/>
    <w:qFormat/>
    <w:uiPriority w:val="0"/>
    <w:rPr>
      <w:b/>
    </w:rPr>
  </w:style>
  <w:style w:type="character" w:customStyle="1" w:styleId="489">
    <w:name w:val="WW8Num636z0"/>
    <w:qFormat/>
    <w:uiPriority w:val="0"/>
  </w:style>
  <w:style w:type="character" w:customStyle="1" w:styleId="490">
    <w:name w:val="WW8Num638z0"/>
    <w:qFormat/>
    <w:uiPriority w:val="0"/>
    <w:rPr>
      <w:b/>
    </w:rPr>
  </w:style>
  <w:style w:type="character" w:customStyle="1" w:styleId="491">
    <w:name w:val="WW8Num641z0"/>
    <w:qFormat/>
    <w:uiPriority w:val="0"/>
    <w:rPr>
      <w:b/>
    </w:rPr>
  </w:style>
  <w:style w:type="character" w:customStyle="1" w:styleId="492">
    <w:name w:val="WW8Num642z0"/>
    <w:qFormat/>
    <w:uiPriority w:val="0"/>
    <w:rPr>
      <w:b/>
    </w:rPr>
  </w:style>
  <w:style w:type="character" w:customStyle="1" w:styleId="493">
    <w:name w:val="WW8Num643z0"/>
    <w:qFormat/>
    <w:uiPriority w:val="0"/>
    <w:rPr>
      <w:rFonts w:ascii="Times New Roman" w:hAnsi="Times New Roman" w:cs="Times New Roman"/>
      <w:b/>
      <w:sz w:val="22"/>
    </w:rPr>
  </w:style>
  <w:style w:type="character" w:customStyle="1" w:styleId="494">
    <w:name w:val="WW8Num644z0"/>
    <w:qFormat/>
    <w:uiPriority w:val="0"/>
    <w:rPr>
      <w:rFonts w:ascii="Symbol" w:hAnsi="Symbol" w:cs="Symbol"/>
    </w:rPr>
  </w:style>
  <w:style w:type="character" w:customStyle="1" w:styleId="495">
    <w:name w:val="WW8Num645z0"/>
    <w:qFormat/>
    <w:uiPriority w:val="0"/>
    <w:rPr>
      <w:b/>
    </w:rPr>
  </w:style>
  <w:style w:type="character" w:customStyle="1" w:styleId="496">
    <w:name w:val="WW8Num647z0"/>
    <w:qFormat/>
    <w:uiPriority w:val="0"/>
    <w:rPr>
      <w:b/>
    </w:rPr>
  </w:style>
  <w:style w:type="character" w:customStyle="1" w:styleId="497">
    <w:name w:val="WW8Num649z0"/>
    <w:qFormat/>
    <w:uiPriority w:val="0"/>
    <w:rPr>
      <w:b/>
      <w:sz w:val="20"/>
    </w:rPr>
  </w:style>
  <w:style w:type="character" w:customStyle="1" w:styleId="498">
    <w:name w:val="WW8Num650z0"/>
    <w:qFormat/>
    <w:uiPriority w:val="0"/>
    <w:rPr>
      <w:b/>
    </w:rPr>
  </w:style>
  <w:style w:type="character" w:customStyle="1" w:styleId="499">
    <w:name w:val="WW8Num652z0"/>
    <w:qFormat/>
    <w:uiPriority w:val="0"/>
    <w:rPr>
      <w:rFonts w:ascii="Times New Roman" w:hAnsi="Times New Roman" w:cs="Times New Roman"/>
      <w:b/>
      <w:sz w:val="18"/>
    </w:rPr>
  </w:style>
  <w:style w:type="character" w:customStyle="1" w:styleId="500">
    <w:name w:val="WW8Num653z0"/>
    <w:qFormat/>
    <w:uiPriority w:val="0"/>
    <w:rPr>
      <w:rFonts w:ascii="Times New Roman" w:hAnsi="Times New Roman" w:cs="Times New Roman"/>
      <w:b/>
      <w:sz w:val="24"/>
      <w:u w:val="none"/>
    </w:rPr>
  </w:style>
  <w:style w:type="character" w:customStyle="1" w:styleId="501">
    <w:name w:val="WW8Num655z0"/>
    <w:qFormat/>
    <w:uiPriority w:val="0"/>
    <w:rPr>
      <w:b/>
    </w:rPr>
  </w:style>
  <w:style w:type="character" w:customStyle="1" w:styleId="502">
    <w:name w:val="WW8Num657z0"/>
    <w:qFormat/>
    <w:uiPriority w:val="0"/>
    <w:rPr>
      <w:rFonts w:ascii="Times New Roman" w:hAnsi="Times New Roman" w:cs="Times New Roman"/>
      <w:b/>
      <w:sz w:val="24"/>
      <w:u w:val="none"/>
    </w:rPr>
  </w:style>
  <w:style w:type="character" w:customStyle="1" w:styleId="503">
    <w:name w:val="WW8Num658z0"/>
    <w:qFormat/>
    <w:uiPriority w:val="0"/>
    <w:rPr>
      <w:rFonts w:ascii="Symbol" w:hAnsi="Symbol" w:cs="Symbol"/>
    </w:rPr>
  </w:style>
  <w:style w:type="character" w:customStyle="1" w:styleId="504">
    <w:name w:val="WW8Num659z0"/>
    <w:qFormat/>
    <w:uiPriority w:val="0"/>
    <w:rPr>
      <w:b/>
    </w:rPr>
  </w:style>
  <w:style w:type="character" w:customStyle="1" w:styleId="505">
    <w:name w:val="WW8Num660z0"/>
    <w:qFormat/>
    <w:uiPriority w:val="0"/>
    <w:rPr>
      <w:rFonts w:ascii="Wingdings" w:hAnsi="Wingdings" w:cs="Wingdings"/>
    </w:rPr>
  </w:style>
  <w:style w:type="character" w:customStyle="1" w:styleId="506">
    <w:name w:val="WW8Num660z1"/>
    <w:qFormat/>
    <w:uiPriority w:val="0"/>
    <w:rPr>
      <w:rFonts w:ascii="Courier New" w:hAnsi="Courier New" w:cs="Courier New"/>
    </w:rPr>
  </w:style>
  <w:style w:type="character" w:customStyle="1" w:styleId="507">
    <w:name w:val="WW8Num660z3"/>
    <w:qFormat/>
    <w:uiPriority w:val="0"/>
    <w:rPr>
      <w:rFonts w:ascii="Symbol" w:hAnsi="Symbol" w:cs="Symbol"/>
    </w:rPr>
  </w:style>
  <w:style w:type="character" w:customStyle="1" w:styleId="508">
    <w:name w:val="WW8Num663z0"/>
    <w:qFormat/>
    <w:uiPriority w:val="0"/>
    <w:rPr>
      <w:rFonts w:ascii="Symbol" w:hAnsi="Symbol" w:cs="Symbol"/>
    </w:rPr>
  </w:style>
  <w:style w:type="character" w:customStyle="1" w:styleId="509">
    <w:name w:val="WW8Num663z1"/>
    <w:qFormat/>
    <w:uiPriority w:val="0"/>
    <w:rPr>
      <w:rFonts w:ascii="Courier New" w:hAnsi="Courier New" w:cs="Courier New"/>
    </w:rPr>
  </w:style>
  <w:style w:type="character" w:customStyle="1" w:styleId="510">
    <w:name w:val="WW8Num663z2"/>
    <w:qFormat/>
    <w:uiPriority w:val="0"/>
    <w:rPr>
      <w:rFonts w:ascii="Wingdings" w:hAnsi="Wingdings" w:cs="Wingdings"/>
    </w:rPr>
  </w:style>
  <w:style w:type="character" w:customStyle="1" w:styleId="511">
    <w:name w:val="WW8Num667z0"/>
    <w:qFormat/>
    <w:uiPriority w:val="0"/>
    <w:rPr>
      <w:b/>
    </w:rPr>
  </w:style>
  <w:style w:type="character" w:customStyle="1" w:styleId="512">
    <w:name w:val="WW8Num669z0"/>
    <w:qFormat/>
    <w:uiPriority w:val="0"/>
    <w:rPr>
      <w:rFonts w:ascii="Symbol" w:hAnsi="Symbol" w:cs="Symbol"/>
    </w:rPr>
  </w:style>
  <w:style w:type="character" w:customStyle="1" w:styleId="513">
    <w:name w:val="WW8Num670z0"/>
    <w:qFormat/>
    <w:uiPriority w:val="0"/>
    <w:rPr>
      <w:b/>
    </w:rPr>
  </w:style>
  <w:style w:type="character" w:customStyle="1" w:styleId="514">
    <w:name w:val="WW8Num671z0"/>
    <w:qFormat/>
    <w:uiPriority w:val="0"/>
  </w:style>
  <w:style w:type="character" w:customStyle="1" w:styleId="515">
    <w:name w:val="WW8Num672z0"/>
    <w:qFormat/>
    <w:uiPriority w:val="0"/>
    <w:rPr>
      <w:rFonts w:ascii="Wingdings" w:hAnsi="Wingdings" w:cs="Wingdings"/>
    </w:rPr>
  </w:style>
  <w:style w:type="character" w:customStyle="1" w:styleId="516">
    <w:name w:val="WW8Num674z0"/>
    <w:qFormat/>
    <w:uiPriority w:val="0"/>
    <w:rPr>
      <w:rFonts w:ascii="Times New Roman" w:hAnsi="Times New Roman" w:cs="Times New Roman"/>
      <w:b/>
      <w:sz w:val="18"/>
    </w:rPr>
  </w:style>
  <w:style w:type="character" w:customStyle="1" w:styleId="517">
    <w:name w:val="WW8Num675z0"/>
    <w:qFormat/>
    <w:uiPriority w:val="0"/>
    <w:rPr>
      <w:rFonts w:ascii="Times New Roman" w:hAnsi="Times New Roman" w:cs="Times New Roman"/>
      <w:b/>
      <w:sz w:val="22"/>
    </w:rPr>
  </w:style>
  <w:style w:type="character" w:customStyle="1" w:styleId="518">
    <w:name w:val="WW8Num677z0"/>
    <w:qFormat/>
    <w:uiPriority w:val="0"/>
    <w:rPr>
      <w:b/>
    </w:rPr>
  </w:style>
  <w:style w:type="character" w:customStyle="1" w:styleId="519">
    <w:name w:val="WW8Num679z0"/>
    <w:qFormat/>
    <w:uiPriority w:val="0"/>
    <w:rPr>
      <w:rFonts w:ascii="Symbol" w:hAnsi="Symbol" w:cs="Symbol"/>
    </w:rPr>
  </w:style>
  <w:style w:type="character" w:customStyle="1" w:styleId="520">
    <w:name w:val="WW8Num681z0"/>
    <w:qFormat/>
    <w:uiPriority w:val="0"/>
    <w:rPr>
      <w:b/>
      <w:sz w:val="22"/>
    </w:rPr>
  </w:style>
  <w:style w:type="character" w:customStyle="1" w:styleId="521">
    <w:name w:val="WW8Num683z0"/>
    <w:qFormat/>
    <w:uiPriority w:val="0"/>
    <w:rPr>
      <w:rFonts w:ascii="Wingdings" w:hAnsi="Wingdings" w:cs="Wingdings"/>
    </w:rPr>
  </w:style>
  <w:style w:type="character" w:customStyle="1" w:styleId="522">
    <w:name w:val="WW8Num687z0"/>
    <w:qFormat/>
    <w:uiPriority w:val="0"/>
    <w:rPr>
      <w:b/>
    </w:rPr>
  </w:style>
  <w:style w:type="character" w:customStyle="1" w:styleId="523">
    <w:name w:val="WW8Num689z0"/>
    <w:qFormat/>
    <w:uiPriority w:val="0"/>
    <w:rPr>
      <w:b/>
    </w:rPr>
  </w:style>
  <w:style w:type="character" w:customStyle="1" w:styleId="524">
    <w:name w:val="WW8Num690z0"/>
    <w:qFormat/>
    <w:uiPriority w:val="0"/>
    <w:rPr>
      <w:b/>
      <w:u w:val="none"/>
    </w:rPr>
  </w:style>
  <w:style w:type="character" w:customStyle="1" w:styleId="525">
    <w:name w:val="WW8Num691z0"/>
    <w:qFormat/>
    <w:uiPriority w:val="0"/>
    <w:rPr>
      <w:b/>
    </w:rPr>
  </w:style>
  <w:style w:type="character" w:customStyle="1" w:styleId="526">
    <w:name w:val="WW8Num693z0"/>
    <w:qFormat/>
    <w:uiPriority w:val="0"/>
    <w:rPr>
      <w:b/>
    </w:rPr>
  </w:style>
  <w:style w:type="character" w:customStyle="1" w:styleId="527">
    <w:name w:val="WW8Num695z0"/>
    <w:qFormat/>
    <w:uiPriority w:val="0"/>
    <w:rPr>
      <w:b/>
    </w:rPr>
  </w:style>
  <w:style w:type="character" w:customStyle="1" w:styleId="528">
    <w:name w:val="WW8Num699z0"/>
    <w:qFormat/>
    <w:uiPriority w:val="0"/>
    <w:rPr>
      <w:rFonts w:ascii="Symbol" w:hAnsi="Symbol" w:cs="Symbol"/>
    </w:rPr>
  </w:style>
  <w:style w:type="character" w:customStyle="1" w:styleId="529">
    <w:name w:val="WW8Num701z0"/>
    <w:qFormat/>
    <w:uiPriority w:val="0"/>
    <w:rPr>
      <w:b/>
    </w:rPr>
  </w:style>
  <w:style w:type="character" w:customStyle="1" w:styleId="530">
    <w:name w:val="WW8Num702z0"/>
    <w:qFormat/>
    <w:uiPriority w:val="0"/>
    <w:rPr>
      <w:rFonts w:ascii="Symbol" w:hAnsi="Symbol" w:cs="Symbol"/>
    </w:rPr>
  </w:style>
  <w:style w:type="character" w:customStyle="1" w:styleId="531">
    <w:name w:val="WW8Num703z0"/>
    <w:qFormat/>
    <w:uiPriority w:val="0"/>
    <w:rPr>
      <w:b/>
    </w:rPr>
  </w:style>
  <w:style w:type="character" w:customStyle="1" w:styleId="532">
    <w:name w:val="WW8Num704z0"/>
    <w:qFormat/>
    <w:uiPriority w:val="0"/>
    <w:rPr>
      <w:rFonts w:ascii="Symbol" w:hAnsi="Symbol" w:cs="Symbol"/>
    </w:rPr>
  </w:style>
  <w:style w:type="character" w:customStyle="1" w:styleId="533">
    <w:name w:val="WW8Num705z0"/>
    <w:qFormat/>
    <w:uiPriority w:val="0"/>
    <w:rPr>
      <w:rFonts w:ascii="Symbol" w:hAnsi="Symbol" w:cs="Symbol"/>
    </w:rPr>
  </w:style>
  <w:style w:type="character" w:customStyle="1" w:styleId="534">
    <w:name w:val="WW8Num705z2"/>
    <w:qFormat/>
    <w:uiPriority w:val="0"/>
    <w:rPr>
      <w:rFonts w:ascii="Times New Roman" w:hAnsi="Times New Roman" w:eastAsia="Times New Roman" w:cs="Times New Roman"/>
    </w:rPr>
  </w:style>
  <w:style w:type="character" w:customStyle="1" w:styleId="535">
    <w:name w:val="WW8Num705z4"/>
    <w:qFormat/>
    <w:uiPriority w:val="0"/>
    <w:rPr>
      <w:rFonts w:ascii="Courier New" w:hAnsi="Courier New" w:cs="Courier New"/>
    </w:rPr>
  </w:style>
  <w:style w:type="character" w:customStyle="1" w:styleId="536">
    <w:name w:val="WW8Num705z5"/>
    <w:qFormat/>
    <w:uiPriority w:val="0"/>
    <w:rPr>
      <w:rFonts w:ascii="Wingdings" w:hAnsi="Wingdings" w:cs="Wingdings"/>
    </w:rPr>
  </w:style>
  <w:style w:type="character" w:customStyle="1" w:styleId="537">
    <w:name w:val="WW8Num707z0"/>
    <w:qFormat/>
    <w:uiPriority w:val="0"/>
    <w:rPr>
      <w:b/>
    </w:rPr>
  </w:style>
  <w:style w:type="character" w:customStyle="1" w:styleId="538">
    <w:name w:val="WW8Num709z0"/>
    <w:qFormat/>
    <w:uiPriority w:val="0"/>
    <w:rPr>
      <w:b/>
    </w:rPr>
  </w:style>
  <w:style w:type="character" w:customStyle="1" w:styleId="539">
    <w:name w:val="WW8Num711z0"/>
    <w:qFormat/>
    <w:uiPriority w:val="0"/>
    <w:rPr>
      <w:rFonts w:ascii="Times New Roman" w:hAnsi="Times New Roman" w:cs="Times New Roman"/>
      <w:b/>
      <w:sz w:val="22"/>
    </w:rPr>
  </w:style>
  <w:style w:type="character" w:customStyle="1" w:styleId="540">
    <w:name w:val="WW8Num717z0"/>
    <w:qFormat/>
    <w:uiPriority w:val="0"/>
    <w:rPr>
      <w:b/>
    </w:rPr>
  </w:style>
  <w:style w:type="character" w:customStyle="1" w:styleId="541">
    <w:name w:val="WW8Num725z0"/>
    <w:qFormat/>
    <w:uiPriority w:val="0"/>
    <w:rPr>
      <w:b/>
    </w:rPr>
  </w:style>
  <w:style w:type="character" w:customStyle="1" w:styleId="542">
    <w:name w:val="WW8Num729z0"/>
    <w:qFormat/>
    <w:uiPriority w:val="0"/>
    <w:rPr>
      <w:rFonts w:ascii="Times New Roman" w:hAnsi="Times New Roman" w:cs="Times New Roman"/>
      <w:b/>
      <w:sz w:val="18"/>
    </w:rPr>
  </w:style>
  <w:style w:type="character" w:customStyle="1" w:styleId="543">
    <w:name w:val="WW8Num730z0"/>
    <w:qFormat/>
    <w:uiPriority w:val="0"/>
    <w:rPr>
      <w:b/>
    </w:rPr>
  </w:style>
  <w:style w:type="character" w:customStyle="1" w:styleId="544">
    <w:name w:val="WW8Num734z0"/>
    <w:qFormat/>
    <w:uiPriority w:val="0"/>
    <w:rPr>
      <w:rFonts w:ascii="Symbol" w:hAnsi="Symbol" w:cs="Symbol"/>
    </w:rPr>
  </w:style>
  <w:style w:type="character" w:customStyle="1" w:styleId="545">
    <w:name w:val="WW8Num735z0"/>
    <w:qFormat/>
    <w:uiPriority w:val="0"/>
    <w:rPr>
      <w:b/>
    </w:rPr>
  </w:style>
  <w:style w:type="character" w:customStyle="1" w:styleId="546">
    <w:name w:val="WW8Num736z0"/>
    <w:qFormat/>
    <w:uiPriority w:val="0"/>
    <w:rPr>
      <w:rFonts w:ascii="Symbol" w:hAnsi="Symbol" w:cs="Symbol"/>
    </w:rPr>
  </w:style>
  <w:style w:type="character" w:customStyle="1" w:styleId="547">
    <w:name w:val="WW8Num739z0"/>
    <w:qFormat/>
    <w:uiPriority w:val="0"/>
    <w:rPr>
      <w:b/>
    </w:rPr>
  </w:style>
  <w:style w:type="character" w:customStyle="1" w:styleId="548">
    <w:name w:val="WW8Num740z1"/>
    <w:qFormat/>
    <w:uiPriority w:val="0"/>
    <w:rPr>
      <w:rFonts w:ascii="Times New Roman" w:hAnsi="Times New Roman" w:cs="Times New Roman"/>
      <w:b/>
      <w:sz w:val="22"/>
    </w:rPr>
  </w:style>
  <w:style w:type="character" w:customStyle="1" w:styleId="549">
    <w:name w:val="WW8Num742z0"/>
    <w:qFormat/>
    <w:uiPriority w:val="0"/>
    <w:rPr>
      <w:rFonts w:ascii="Times New Roman" w:hAnsi="Times New Roman" w:cs="Times New Roman"/>
      <w:b/>
      <w:sz w:val="22"/>
    </w:rPr>
  </w:style>
  <w:style w:type="character" w:customStyle="1" w:styleId="550">
    <w:name w:val="WW8Num743z0"/>
    <w:qFormat/>
    <w:uiPriority w:val="0"/>
    <w:rPr>
      <w:b/>
    </w:rPr>
  </w:style>
  <w:style w:type="character" w:customStyle="1" w:styleId="551">
    <w:name w:val="WW8Num744z0"/>
    <w:qFormat/>
    <w:uiPriority w:val="0"/>
    <w:rPr>
      <w:b/>
    </w:rPr>
  </w:style>
  <w:style w:type="character" w:customStyle="1" w:styleId="552">
    <w:name w:val="WW8Num746z0"/>
    <w:qFormat/>
    <w:uiPriority w:val="0"/>
    <w:rPr>
      <w:b/>
    </w:rPr>
  </w:style>
  <w:style w:type="character" w:customStyle="1" w:styleId="553">
    <w:name w:val="WW8Num748z0"/>
    <w:qFormat/>
    <w:uiPriority w:val="0"/>
    <w:rPr>
      <w:rFonts w:ascii="Wingdings" w:hAnsi="Wingdings" w:cs="Wingdings"/>
    </w:rPr>
  </w:style>
  <w:style w:type="character" w:customStyle="1" w:styleId="554">
    <w:name w:val="WW8Num750z0"/>
    <w:qFormat/>
    <w:uiPriority w:val="0"/>
    <w:rPr>
      <w:b/>
    </w:rPr>
  </w:style>
  <w:style w:type="character" w:customStyle="1" w:styleId="555">
    <w:name w:val="WW8Num752z1"/>
    <w:qFormat/>
    <w:uiPriority w:val="0"/>
    <w:rPr>
      <w:b/>
    </w:rPr>
  </w:style>
  <w:style w:type="character" w:customStyle="1" w:styleId="556">
    <w:name w:val="WW8Num754z0"/>
    <w:qFormat/>
    <w:uiPriority w:val="0"/>
    <w:rPr>
      <w:b/>
    </w:rPr>
  </w:style>
  <w:style w:type="character" w:customStyle="1" w:styleId="557">
    <w:name w:val="WW8Num756z0"/>
    <w:qFormat/>
    <w:uiPriority w:val="0"/>
    <w:rPr>
      <w:rFonts w:ascii="Symbol" w:hAnsi="Symbol" w:cs="Symbol"/>
    </w:rPr>
  </w:style>
  <w:style w:type="character" w:customStyle="1" w:styleId="558">
    <w:name w:val="WW8Num757z0"/>
    <w:qFormat/>
    <w:uiPriority w:val="0"/>
    <w:rPr>
      <w:b/>
    </w:rPr>
  </w:style>
  <w:style w:type="character" w:customStyle="1" w:styleId="559">
    <w:name w:val="WW8Num760z0"/>
    <w:qFormat/>
    <w:uiPriority w:val="0"/>
    <w:rPr>
      <w:b/>
    </w:rPr>
  </w:style>
  <w:style w:type="character" w:customStyle="1" w:styleId="560">
    <w:name w:val="WW8Num761z0"/>
    <w:qFormat/>
    <w:uiPriority w:val="0"/>
    <w:rPr>
      <w:b/>
    </w:rPr>
  </w:style>
  <w:style w:type="character" w:customStyle="1" w:styleId="561">
    <w:name w:val="WW8Num762z0"/>
    <w:qFormat/>
    <w:uiPriority w:val="0"/>
    <w:rPr>
      <w:b/>
    </w:rPr>
  </w:style>
  <w:style w:type="character" w:customStyle="1" w:styleId="562">
    <w:name w:val="WW8Num764z0"/>
    <w:qFormat/>
    <w:uiPriority w:val="0"/>
    <w:rPr>
      <w:b/>
    </w:rPr>
  </w:style>
  <w:style w:type="character" w:customStyle="1" w:styleId="563">
    <w:name w:val="WW8Num764z1"/>
    <w:qFormat/>
    <w:uiPriority w:val="0"/>
    <w:rPr>
      <w:rFonts w:ascii="Times New Roman" w:hAnsi="Times New Roman" w:cs="Times New Roman"/>
      <w:b/>
      <w:sz w:val="22"/>
    </w:rPr>
  </w:style>
  <w:style w:type="character" w:customStyle="1" w:styleId="564">
    <w:name w:val="WW8Num768z0"/>
    <w:qFormat/>
    <w:uiPriority w:val="0"/>
    <w:rPr>
      <w:sz w:val="24"/>
    </w:rPr>
  </w:style>
  <w:style w:type="character" w:customStyle="1" w:styleId="565">
    <w:name w:val="WW8Num771z0"/>
    <w:qFormat/>
    <w:uiPriority w:val="0"/>
    <w:rPr>
      <w:b/>
    </w:rPr>
  </w:style>
  <w:style w:type="character" w:customStyle="1" w:styleId="566">
    <w:name w:val="WW8Num772z0"/>
    <w:qFormat/>
    <w:uiPriority w:val="0"/>
    <w:rPr>
      <w:b/>
    </w:rPr>
  </w:style>
  <w:style w:type="character" w:customStyle="1" w:styleId="567">
    <w:name w:val="WW8Num777z1"/>
    <w:qFormat/>
    <w:uiPriority w:val="0"/>
    <w:rPr>
      <w:b/>
    </w:rPr>
  </w:style>
  <w:style w:type="character" w:customStyle="1" w:styleId="568">
    <w:name w:val="WW8Num778z0"/>
    <w:qFormat/>
    <w:uiPriority w:val="0"/>
    <w:rPr>
      <w:b/>
    </w:rPr>
  </w:style>
  <w:style w:type="character" w:customStyle="1" w:styleId="569">
    <w:name w:val="WW8Num780z0"/>
    <w:qFormat/>
    <w:uiPriority w:val="0"/>
    <w:rPr>
      <w:rFonts w:ascii="Symbol" w:hAnsi="Symbol" w:cs="Symbol"/>
    </w:rPr>
  </w:style>
  <w:style w:type="character" w:customStyle="1" w:styleId="570">
    <w:name w:val="WW8Num780z1"/>
    <w:qFormat/>
    <w:uiPriority w:val="0"/>
    <w:rPr>
      <w:rFonts w:ascii="Courier New" w:hAnsi="Courier New" w:cs="Courier New"/>
    </w:rPr>
  </w:style>
  <w:style w:type="character" w:customStyle="1" w:styleId="571">
    <w:name w:val="WW8Num780z2"/>
    <w:qFormat/>
    <w:uiPriority w:val="0"/>
    <w:rPr>
      <w:rFonts w:ascii="Wingdings" w:hAnsi="Wingdings" w:cs="Wingdings"/>
    </w:rPr>
  </w:style>
  <w:style w:type="character" w:customStyle="1" w:styleId="572">
    <w:name w:val="WW8Num783z0"/>
    <w:qFormat/>
    <w:uiPriority w:val="0"/>
    <w:rPr>
      <w:b/>
    </w:rPr>
  </w:style>
  <w:style w:type="character" w:customStyle="1" w:styleId="573">
    <w:name w:val="WW8Num784z0"/>
    <w:qFormat/>
    <w:uiPriority w:val="0"/>
    <w:rPr>
      <w:rFonts w:ascii="Times New Roman" w:hAnsi="Times New Roman" w:cs="Times New Roman"/>
      <w:b/>
      <w:sz w:val="24"/>
      <w:u w:val="none"/>
    </w:rPr>
  </w:style>
  <w:style w:type="character" w:customStyle="1" w:styleId="574">
    <w:name w:val="WW8Num785z0"/>
    <w:qFormat/>
    <w:uiPriority w:val="0"/>
    <w:rPr>
      <w:rFonts w:ascii="Symbol" w:hAnsi="Symbol" w:cs="Symbol"/>
    </w:rPr>
  </w:style>
  <w:style w:type="character" w:customStyle="1" w:styleId="575">
    <w:name w:val="WW8Num786z0"/>
    <w:qFormat/>
    <w:uiPriority w:val="0"/>
    <w:rPr>
      <w:b/>
    </w:rPr>
  </w:style>
  <w:style w:type="character" w:customStyle="1" w:styleId="576">
    <w:name w:val="WW8Num788z0"/>
    <w:qFormat/>
    <w:uiPriority w:val="0"/>
    <w:rPr>
      <w:rFonts w:ascii="Times New Roman" w:hAnsi="Times New Roman" w:cs="Times New Roman"/>
      <w:b/>
      <w:sz w:val="18"/>
    </w:rPr>
  </w:style>
  <w:style w:type="character" w:customStyle="1" w:styleId="577">
    <w:name w:val="WW8Num791z0"/>
    <w:qFormat/>
    <w:uiPriority w:val="0"/>
    <w:rPr>
      <w:b/>
    </w:rPr>
  </w:style>
  <w:style w:type="character" w:customStyle="1" w:styleId="578">
    <w:name w:val="WW8Num792z0"/>
    <w:qFormat/>
    <w:uiPriority w:val="0"/>
    <w:rPr>
      <w:rFonts w:ascii="Wingdings" w:hAnsi="Wingdings" w:cs="Wingdings"/>
    </w:rPr>
  </w:style>
  <w:style w:type="character" w:customStyle="1" w:styleId="579">
    <w:name w:val="WW8Num795z0"/>
    <w:qFormat/>
    <w:uiPriority w:val="0"/>
    <w:rPr>
      <w:b/>
    </w:rPr>
  </w:style>
  <w:style w:type="character" w:customStyle="1" w:styleId="580">
    <w:name w:val="WW8Num799z0"/>
    <w:qFormat/>
    <w:uiPriority w:val="0"/>
    <w:rPr>
      <w:b/>
    </w:rPr>
  </w:style>
  <w:style w:type="character" w:customStyle="1" w:styleId="581">
    <w:name w:val="Símbolos de numeração"/>
    <w:qFormat/>
    <w:uiPriority w:val="0"/>
  </w:style>
  <w:style w:type="character" w:customStyle="1" w:styleId="582">
    <w:name w:val="style111"/>
    <w:qFormat/>
    <w:uiPriority w:val="0"/>
    <w:rPr>
      <w:color w:val="FFFFFF"/>
    </w:rPr>
  </w:style>
  <w:style w:type="character" w:customStyle="1" w:styleId="583">
    <w:name w:val="apple-style-span"/>
    <w:qFormat/>
    <w:uiPriority w:val="0"/>
  </w:style>
  <w:style w:type="character" w:customStyle="1" w:styleId="584">
    <w:name w:val="Título 3 Char"/>
    <w:qFormat/>
    <w:uiPriority w:val="0"/>
    <w:rPr>
      <w:b/>
    </w:rPr>
  </w:style>
  <w:style w:type="character" w:customStyle="1" w:styleId="585">
    <w:name w:val="Título 4 Char"/>
    <w:qFormat/>
    <w:uiPriority w:val="0"/>
    <w:rPr>
      <w:b/>
      <w:sz w:val="28"/>
    </w:rPr>
  </w:style>
  <w:style w:type="character" w:customStyle="1" w:styleId="586">
    <w:name w:val="Título 1 Char"/>
    <w:qFormat/>
    <w:uiPriority w:val="0"/>
    <w:rPr>
      <w:b/>
      <w:sz w:val="24"/>
    </w:rPr>
  </w:style>
  <w:style w:type="character" w:customStyle="1" w:styleId="587">
    <w:name w:val="Título Char"/>
    <w:qFormat/>
    <w:uiPriority w:val="0"/>
    <w:rPr>
      <w:rFonts w:ascii="Garamond" w:hAnsi="Garamond" w:cs="Garamond"/>
      <w:b/>
      <w:shadow/>
      <w:sz w:val="28"/>
      <w:szCs w:val="24"/>
    </w:rPr>
  </w:style>
  <w:style w:type="character" w:customStyle="1" w:styleId="588">
    <w:name w:val="Cabeçalho Char"/>
    <w:qFormat/>
    <w:uiPriority w:val="0"/>
    <w:rPr>
      <w:rFonts w:ascii="Times New (W1);Times New Roman" w:hAnsi="Times New (W1);Times New Roman" w:cs="Times New (W1);Times New Roman"/>
      <w:lang w:val="en-US" w:eastAsia="zh-CN"/>
    </w:rPr>
  </w:style>
  <w:style w:type="character" w:customStyle="1" w:styleId="589">
    <w:name w:val="Corpo de texto 2 Char"/>
    <w:qFormat/>
    <w:uiPriority w:val="0"/>
    <w:rPr>
      <w:sz w:val="24"/>
      <w:szCs w:val="24"/>
      <w:lang w:eastAsia="zh-CN"/>
    </w:rPr>
  </w:style>
  <w:style w:type="character" w:customStyle="1" w:styleId="590">
    <w:name w:val="Corpo de texto Char"/>
    <w:qFormat/>
    <w:uiPriority w:val="0"/>
    <w:rPr>
      <w:sz w:val="24"/>
      <w:lang w:eastAsia="zh-CN"/>
    </w:rPr>
  </w:style>
  <w:style w:type="character" w:customStyle="1" w:styleId="591">
    <w:name w:val="fontstyle01"/>
    <w:basedOn w:val="56"/>
    <w:qFormat/>
    <w:uiPriority w:val="0"/>
    <w:rPr>
      <w:rFonts w:ascii="ArialMT;Times New Roman" w:hAnsi="ArialMT;Times New Roman" w:cs="ArialMT;Times New Roman"/>
      <w:color w:val="231F20"/>
      <w:sz w:val="16"/>
      <w:szCs w:val="16"/>
    </w:rPr>
  </w:style>
  <w:style w:type="character" w:customStyle="1" w:styleId="592">
    <w:name w:val="Ênfase forte"/>
    <w:qFormat/>
    <w:uiPriority w:val="0"/>
    <w:rPr>
      <w:b/>
      <w:bCs/>
    </w:rPr>
  </w:style>
  <w:style w:type="paragraph" w:customStyle="1" w:styleId="593">
    <w:name w:val="Título124"/>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4">
    <w:name w:val="Índice"/>
    <w:basedOn w:val="1"/>
    <w:qFormat/>
    <w:uiPriority w:val="0"/>
    <w:pPr>
      <w:suppressLineNumbers/>
    </w:pPr>
    <w:rPr>
      <w:rFonts w:cs="Tahoma"/>
    </w:rPr>
  </w:style>
  <w:style w:type="paragraph" w:customStyle="1" w:styleId="595">
    <w:name w:val="Cabeçalho e Rodapé"/>
    <w:basedOn w:val="1"/>
    <w:qFormat/>
    <w:uiPriority w:val="0"/>
    <w:pPr>
      <w:suppressLineNumbers/>
      <w:tabs>
        <w:tab w:val="center" w:pos="4819"/>
        <w:tab w:val="right" w:pos="9638"/>
      </w:tabs>
    </w:pPr>
  </w:style>
  <w:style w:type="paragraph" w:customStyle="1" w:styleId="596">
    <w:name w:val="Título123"/>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7">
    <w:name w:val="Título12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8">
    <w:name w:val="Título12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9">
    <w:name w:val="Título12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0">
    <w:name w:val="Título1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1">
    <w:name w:val="Título118"/>
    <w:basedOn w:val="1"/>
    <w:next w:val="16"/>
    <w:qFormat/>
    <w:uiPriority w:val="0"/>
    <w:pPr>
      <w:keepNext/>
      <w:spacing w:before="240" w:after="120"/>
    </w:pPr>
    <w:rPr>
      <w:rFonts w:ascii="Liberation Sans;Arial" w:hAnsi="Liberation Sans;Arial" w:eastAsia="Microsoft YaHei" w:cs="Arial"/>
      <w:sz w:val="28"/>
      <w:szCs w:val="28"/>
    </w:rPr>
  </w:style>
  <w:style w:type="paragraph" w:customStyle="1" w:styleId="602">
    <w:name w:val="Título1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3">
    <w:name w:val="Título1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4">
    <w:name w:val="Título1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5">
    <w:name w:val="Título1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6">
    <w:name w:val="Título1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7">
    <w:name w:val="Título1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8">
    <w:name w:val="Título1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9">
    <w:name w:val="Título11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0">
    <w:name w:val="Título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1">
    <w:name w:val="Título18"/>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2">
    <w:name w:val="Título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3">
    <w:name w:val="Título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4">
    <w:name w:val="Título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5">
    <w:name w:val="Título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6">
    <w:name w:val="Título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7">
    <w:name w:val="Título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8">
    <w:name w:val="Título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9">
    <w:name w:val="Título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20">
    <w:name w:val="Título3"/>
    <w:basedOn w:val="1"/>
    <w:next w:val="16"/>
    <w:qFormat/>
    <w:uiPriority w:val="0"/>
    <w:pPr>
      <w:keepNext/>
      <w:spacing w:before="240" w:after="120"/>
    </w:pPr>
    <w:rPr>
      <w:rFonts w:ascii="Liberation Sans;Arial" w:hAnsi="Liberation Sans;Arial" w:eastAsia="Microsoft YaHei" w:cs="Mangal;Linux Libertine G"/>
      <w:sz w:val="28"/>
      <w:szCs w:val="28"/>
    </w:rPr>
  </w:style>
  <w:style w:type="paragraph" w:customStyle="1" w:styleId="621">
    <w:name w:val="Título2"/>
    <w:basedOn w:val="1"/>
    <w:next w:val="22"/>
    <w:qFormat/>
    <w:uiPriority w:val="0"/>
    <w:pPr>
      <w:jc w:val="center"/>
    </w:pPr>
    <w:rPr>
      <w:rFonts w:ascii="Garamond" w:hAnsi="Garamond" w:cs="Garamond"/>
      <w:b/>
      <w:shadow/>
      <w:sz w:val="28"/>
    </w:rPr>
  </w:style>
  <w:style w:type="paragraph" w:customStyle="1" w:styleId="622">
    <w:name w:val="Título1"/>
    <w:basedOn w:val="1"/>
    <w:next w:val="16"/>
    <w:qFormat/>
    <w:uiPriority w:val="0"/>
    <w:pPr>
      <w:keepNext/>
      <w:spacing w:before="240" w:after="120"/>
    </w:pPr>
    <w:rPr>
      <w:rFonts w:ascii="Arial" w:hAnsi="Arial" w:eastAsia="Lucida Sans Unicode" w:cs="Mangal;Linux Libertine G"/>
      <w:sz w:val="28"/>
      <w:szCs w:val="28"/>
    </w:rPr>
  </w:style>
  <w:style w:type="paragraph" w:customStyle="1" w:styleId="623">
    <w:name w:val="Legenda2"/>
    <w:basedOn w:val="1"/>
    <w:qFormat/>
    <w:uiPriority w:val="0"/>
    <w:pPr>
      <w:suppressLineNumbers/>
      <w:spacing w:before="120" w:after="120"/>
    </w:pPr>
    <w:rPr>
      <w:rFonts w:cs="Tahoma"/>
      <w:i/>
      <w:iCs/>
      <w:sz w:val="20"/>
      <w:szCs w:val="20"/>
    </w:rPr>
  </w:style>
  <w:style w:type="paragraph" w:customStyle="1" w:styleId="624">
    <w:name w:val="Capítulo"/>
    <w:basedOn w:val="1"/>
    <w:next w:val="16"/>
    <w:qFormat/>
    <w:uiPriority w:val="0"/>
    <w:pPr>
      <w:keepNext/>
      <w:spacing w:before="240" w:after="120"/>
    </w:pPr>
    <w:rPr>
      <w:rFonts w:ascii="Arial" w:hAnsi="Arial" w:eastAsia="MS Mincho;Yu Gothic UI" w:cs="Tahoma"/>
      <w:sz w:val="28"/>
      <w:szCs w:val="28"/>
    </w:rPr>
  </w:style>
  <w:style w:type="paragraph" w:customStyle="1" w:styleId="625">
    <w:name w:val="WW-Título"/>
    <w:basedOn w:val="1"/>
    <w:next w:val="16"/>
    <w:qFormat/>
    <w:uiPriority w:val="0"/>
    <w:pPr>
      <w:keepNext/>
      <w:spacing w:before="240" w:after="120"/>
    </w:pPr>
    <w:rPr>
      <w:rFonts w:ascii="Arial" w:hAnsi="Arial" w:eastAsia="Lucida Sans Unicode" w:cs="Tahoma"/>
      <w:sz w:val="28"/>
      <w:szCs w:val="28"/>
    </w:rPr>
  </w:style>
  <w:style w:type="paragraph" w:customStyle="1" w:styleId="626">
    <w:name w:val="Título Principal"/>
    <w:basedOn w:val="1"/>
    <w:next w:val="16"/>
    <w:qFormat/>
    <w:uiPriority w:val="0"/>
    <w:pPr>
      <w:keepNext/>
      <w:spacing w:before="240" w:after="120"/>
    </w:pPr>
    <w:rPr>
      <w:rFonts w:ascii="Arial" w:hAnsi="Arial" w:eastAsia="MS Mincho;Yu Gothic UI" w:cs="Tahoma"/>
      <w:sz w:val="28"/>
      <w:szCs w:val="28"/>
    </w:rPr>
  </w:style>
  <w:style w:type="paragraph" w:customStyle="1" w:styleId="627">
    <w:name w:val="WW-Com marcadores 5"/>
    <w:basedOn w:val="1"/>
    <w:qFormat/>
    <w:uiPriority w:val="0"/>
    <w:pPr>
      <w:ind w:left="2694" w:right="0" w:hanging="219"/>
    </w:pPr>
    <w:rPr>
      <w:b/>
      <w:sz w:val="20"/>
      <w:szCs w:val="20"/>
      <w:lang w:val="en-US"/>
    </w:rPr>
  </w:style>
  <w:style w:type="paragraph" w:customStyle="1" w:styleId="628">
    <w:name w:val="WW-Lista 2"/>
    <w:basedOn w:val="1"/>
    <w:qFormat/>
    <w:uiPriority w:val="0"/>
    <w:pPr>
      <w:ind w:left="566" w:right="0" w:hanging="283"/>
    </w:pPr>
    <w:rPr>
      <w:szCs w:val="20"/>
    </w:rPr>
  </w:style>
  <w:style w:type="paragraph" w:customStyle="1" w:styleId="629">
    <w:name w:val="WW-Lista 3"/>
    <w:basedOn w:val="1"/>
    <w:qFormat/>
    <w:uiPriority w:val="0"/>
    <w:pPr>
      <w:ind w:left="849" w:right="0" w:hanging="283"/>
    </w:pPr>
    <w:rPr>
      <w:szCs w:val="20"/>
    </w:rPr>
  </w:style>
  <w:style w:type="paragraph" w:customStyle="1" w:styleId="630">
    <w:name w:val="WW-Lista 4"/>
    <w:basedOn w:val="1"/>
    <w:qFormat/>
    <w:uiPriority w:val="0"/>
    <w:pPr>
      <w:ind w:left="1132" w:right="0" w:hanging="283"/>
    </w:pPr>
    <w:rPr>
      <w:szCs w:val="20"/>
    </w:rPr>
  </w:style>
  <w:style w:type="paragraph" w:customStyle="1" w:styleId="631">
    <w:name w:val="WW-Lista 5"/>
    <w:basedOn w:val="1"/>
    <w:qFormat/>
    <w:uiPriority w:val="0"/>
    <w:pPr>
      <w:ind w:left="1415" w:right="0" w:hanging="283"/>
    </w:pPr>
    <w:rPr>
      <w:szCs w:val="20"/>
    </w:rPr>
  </w:style>
  <w:style w:type="paragraph" w:customStyle="1" w:styleId="632">
    <w:name w:val="WW-Lista de continuação 4"/>
    <w:basedOn w:val="1"/>
    <w:qFormat/>
    <w:uiPriority w:val="0"/>
    <w:pPr>
      <w:spacing w:before="0" w:after="120"/>
      <w:ind w:left="1132" w:right="0" w:firstLine="0"/>
    </w:pPr>
    <w:rPr>
      <w:szCs w:val="20"/>
    </w:rPr>
  </w:style>
  <w:style w:type="paragraph" w:customStyle="1" w:styleId="633">
    <w:name w:val="WW-Recuo de corpo de texto 3"/>
    <w:basedOn w:val="1"/>
    <w:qFormat/>
    <w:uiPriority w:val="0"/>
    <w:pPr>
      <w:ind w:left="0" w:right="1185" w:firstLine="284"/>
      <w:jc w:val="both"/>
    </w:pPr>
    <w:rPr>
      <w:szCs w:val="20"/>
    </w:rPr>
  </w:style>
  <w:style w:type="paragraph" w:customStyle="1" w:styleId="634">
    <w:name w:val="WW-Recuo de corpo de texto 2"/>
    <w:basedOn w:val="1"/>
    <w:qFormat/>
    <w:uiPriority w:val="0"/>
    <w:pPr>
      <w:ind w:left="0" w:right="0" w:hanging="2"/>
      <w:jc w:val="both"/>
    </w:pPr>
  </w:style>
  <w:style w:type="paragraph" w:customStyle="1" w:styleId="635">
    <w:name w:val="WW-Corpo de texto 2"/>
    <w:basedOn w:val="1"/>
    <w:qFormat/>
    <w:uiPriority w:val="0"/>
    <w:pPr>
      <w:jc w:val="both"/>
    </w:pPr>
    <w:rPr>
      <w:sz w:val="20"/>
    </w:rPr>
  </w:style>
  <w:style w:type="paragraph" w:customStyle="1" w:styleId="636">
    <w:name w:val="WW-Corpo de texto 3"/>
    <w:basedOn w:val="1"/>
    <w:qFormat/>
    <w:uiPriority w:val="0"/>
    <w:rPr>
      <w:sz w:val="20"/>
    </w:rPr>
  </w:style>
  <w:style w:type="paragraph" w:customStyle="1" w:styleId="637">
    <w:name w:val="WW-Normal (Web)"/>
    <w:basedOn w:val="1"/>
    <w:qFormat/>
    <w:uiPriority w:val="0"/>
    <w:pPr>
      <w:spacing w:before="280" w:after="280"/>
    </w:pPr>
    <w:rPr>
      <w:rFonts w:ascii="Arial Unicode MS;Arial" w:hAnsi="Arial Unicode MS;Arial" w:eastAsia="Arial Unicode MS;Arial" w:cs="Arial Unicode MS;Arial"/>
    </w:rPr>
  </w:style>
  <w:style w:type="paragraph" w:customStyle="1" w:styleId="638">
    <w:name w:val="_A303070"/>
    <w:qFormat/>
    <w:uiPriority w:val="0"/>
    <w:pPr>
      <w:widowControl w:val="0"/>
      <w:suppressAutoHyphens/>
      <w:overflowPunct/>
      <w:bidi w:val="0"/>
      <w:spacing w:before="0" w:after="0"/>
      <w:ind w:left="4176" w:right="576" w:firstLine="0"/>
      <w:jc w:val="both"/>
    </w:pPr>
    <w:rPr>
      <w:rFonts w:ascii="Times New Roman" w:hAnsi="Times New Roman" w:eastAsia="Arial" w:cs="Times New Roman"/>
      <w:color w:val="000000"/>
      <w:kern w:val="0"/>
      <w:sz w:val="24"/>
      <w:szCs w:val="24"/>
      <w:lang w:val="pt-BR" w:eastAsia="zh-CN" w:bidi="ar-SA"/>
    </w:rPr>
  </w:style>
  <w:style w:type="paragraph" w:customStyle="1" w:styleId="639">
    <w:name w:val="_A171070"/>
    <w:qFormat/>
    <w:uiPriority w:val="0"/>
    <w:pPr>
      <w:widowControl w:val="0"/>
      <w:suppressAutoHyphens/>
      <w:overflowPunct/>
      <w:bidi w:val="0"/>
      <w:spacing w:before="0" w:after="0"/>
      <w:ind w:left="1296" w:right="0" w:firstLine="1008"/>
      <w:jc w:val="both"/>
    </w:pPr>
    <w:rPr>
      <w:rFonts w:ascii="Times New Roman" w:hAnsi="Times New Roman" w:eastAsia="Arial" w:cs="Times New Roman"/>
      <w:color w:val="000000"/>
      <w:kern w:val="0"/>
      <w:sz w:val="24"/>
      <w:szCs w:val="24"/>
      <w:lang w:val="pt-BR" w:eastAsia="zh-CN" w:bidi="ar-SA"/>
    </w:rPr>
  </w:style>
  <w:style w:type="paragraph" w:customStyle="1" w:styleId="640">
    <w:name w:val="_A121070"/>
    <w:qFormat/>
    <w:uiPriority w:val="0"/>
    <w:pPr>
      <w:widowControl w:val="0"/>
      <w:suppressAutoHyphens/>
      <w:overflowPunct/>
      <w:bidi w:val="0"/>
      <w:spacing w:before="0" w:after="0"/>
      <w:ind w:left="1296" w:right="0" w:firstLine="288"/>
      <w:jc w:val="both"/>
    </w:pPr>
    <w:rPr>
      <w:rFonts w:ascii="Times New Roman" w:hAnsi="Times New Roman" w:eastAsia="Arial" w:cs="Times New Roman"/>
      <w:color w:val="000000"/>
      <w:kern w:val="0"/>
      <w:sz w:val="24"/>
      <w:szCs w:val="24"/>
      <w:lang w:val="pt-BR" w:eastAsia="zh-CN" w:bidi="ar-SA"/>
    </w:rPr>
  </w:style>
  <w:style w:type="paragraph" w:customStyle="1" w:styleId="641">
    <w:name w:val="Conteúdo da Tabela"/>
    <w:basedOn w:val="16"/>
    <w:qFormat/>
    <w:uiPriority w:val="0"/>
    <w:pPr>
      <w:suppressLineNumbers/>
    </w:pPr>
  </w:style>
  <w:style w:type="paragraph" w:customStyle="1" w:styleId="642">
    <w:name w:val="Título da Tabela"/>
    <w:basedOn w:val="641"/>
    <w:qFormat/>
    <w:uiPriority w:val="0"/>
    <w:pPr>
      <w:suppressLineNumbers/>
      <w:jc w:val="center"/>
    </w:pPr>
    <w:rPr>
      <w:b/>
      <w:bCs/>
      <w:i/>
      <w:iCs/>
    </w:rPr>
  </w:style>
  <w:style w:type="paragraph" w:customStyle="1" w:styleId="643">
    <w:name w:val="Conteúdo do quadro"/>
    <w:basedOn w:val="16"/>
    <w:qFormat/>
    <w:uiPriority w:val="0"/>
  </w:style>
  <w:style w:type="paragraph" w:customStyle="1" w:styleId="644">
    <w:name w:val="Conteúdo da tabela"/>
    <w:basedOn w:val="1"/>
    <w:qFormat/>
    <w:uiPriority w:val="0"/>
    <w:pPr>
      <w:suppressLineNumbers/>
    </w:pPr>
  </w:style>
  <w:style w:type="paragraph" w:customStyle="1" w:styleId="645">
    <w:name w:val="Título da tabela"/>
    <w:basedOn w:val="644"/>
    <w:qFormat/>
    <w:uiPriority w:val="0"/>
    <w:pPr>
      <w:suppressLineNumbers/>
      <w:jc w:val="center"/>
    </w:pPr>
    <w:rPr>
      <w:b/>
      <w:bCs/>
      <w:i/>
      <w:iCs/>
    </w:rPr>
  </w:style>
  <w:style w:type="paragraph" w:customStyle="1" w:styleId="646">
    <w:name w:val="Recuo de corpo de texto 21"/>
    <w:basedOn w:val="1"/>
    <w:qFormat/>
    <w:uiPriority w:val="0"/>
    <w:pPr>
      <w:ind w:left="0" w:right="0" w:firstLine="284"/>
    </w:pPr>
    <w:rPr>
      <w:sz w:val="22"/>
    </w:rPr>
  </w:style>
  <w:style w:type="paragraph" w:customStyle="1" w:styleId="647">
    <w:name w:val="Corpo de texto 22"/>
    <w:basedOn w:val="1"/>
    <w:qFormat/>
    <w:uiPriority w:val="0"/>
    <w:pPr>
      <w:jc w:val="both"/>
    </w:pPr>
    <w:rPr>
      <w:sz w:val="20"/>
    </w:rPr>
  </w:style>
  <w:style w:type="paragraph" w:customStyle="1" w:styleId="648">
    <w:name w:val="Recuo de corpo de texto 31"/>
    <w:basedOn w:val="1"/>
    <w:qFormat/>
    <w:uiPriority w:val="0"/>
    <w:pPr>
      <w:ind w:left="540" w:right="0" w:firstLine="0"/>
      <w:jc w:val="both"/>
    </w:pPr>
    <w:rPr>
      <w:sz w:val="40"/>
    </w:rPr>
  </w:style>
  <w:style w:type="paragraph" w:customStyle="1" w:styleId="649">
    <w:name w:val="Texto sem Formatação1"/>
    <w:basedOn w:val="1"/>
    <w:qFormat/>
    <w:uiPriority w:val="0"/>
    <w:pPr>
      <w:suppressAutoHyphens w:val="0"/>
    </w:pPr>
    <w:rPr>
      <w:rFonts w:ascii="Courier New" w:hAnsi="Courier New" w:cs="Courier New"/>
      <w:sz w:val="20"/>
      <w:szCs w:val="20"/>
    </w:rPr>
  </w:style>
  <w:style w:type="paragraph" w:customStyle="1" w:styleId="650">
    <w:name w:val="Mapa do Documento1"/>
    <w:basedOn w:val="1"/>
    <w:qFormat/>
    <w:uiPriority w:val="0"/>
    <w:pPr>
      <w:shd w:val="clear" w:fill="000080"/>
    </w:pPr>
    <w:rPr>
      <w:rFonts w:ascii="Tahoma" w:hAnsi="Tahoma" w:cs="Tahoma"/>
    </w:rPr>
  </w:style>
  <w:style w:type="paragraph" w:customStyle="1" w:styleId="651">
    <w:name w:val="Texto de balão1"/>
    <w:basedOn w:val="1"/>
    <w:qFormat/>
    <w:uiPriority w:val="0"/>
    <w:rPr>
      <w:rFonts w:ascii="Tahoma" w:hAnsi="Tahoma" w:cs="Tahoma"/>
      <w:sz w:val="16"/>
      <w:szCs w:val="16"/>
    </w:rPr>
  </w:style>
  <w:style w:type="paragraph" w:customStyle="1" w:styleId="652">
    <w:name w:val="Normal (Web)1"/>
    <w:basedOn w:val="1"/>
    <w:qFormat/>
    <w:uiPriority w:val="0"/>
    <w:pPr>
      <w:suppressAutoHyphens w:val="0"/>
      <w:spacing w:before="100" w:after="100"/>
    </w:pPr>
    <w:rPr>
      <w:rFonts w:ascii="Arial Unicode MS;Arial" w:hAnsi="Arial Unicode MS;Arial" w:eastAsia="Arial Unicode MS;Arial" w:cs="Arial Unicode MS;Arial"/>
      <w:color w:val="000000"/>
    </w:rPr>
  </w:style>
  <w:style w:type="paragraph" w:customStyle="1" w:styleId="653">
    <w:name w:val="Corpo de texto 32"/>
    <w:basedOn w:val="1"/>
    <w:qFormat/>
    <w:uiPriority w:val="0"/>
    <w:pPr>
      <w:jc w:val="both"/>
    </w:pPr>
    <w:rPr>
      <w:color w:val="0000FF"/>
      <w:szCs w:val="20"/>
    </w:rPr>
  </w:style>
  <w:style w:type="paragraph" w:customStyle="1" w:styleId="654">
    <w:name w:val="Esp SubTitulo 1 Char"/>
    <w:basedOn w:val="1"/>
    <w:qFormat/>
    <w:uiPriority w:val="0"/>
    <w:pPr>
      <w:suppressAutoHyphens w:val="0"/>
      <w:spacing w:before="360" w:after="200"/>
      <w:jc w:val="both"/>
    </w:pPr>
    <w:rPr>
      <w:rFonts w:ascii="Palatino Linotype" w:hAnsi="Palatino Linotype" w:cs="Palatino Linotype"/>
      <w:sz w:val="22"/>
      <w:szCs w:val="20"/>
    </w:rPr>
  </w:style>
  <w:style w:type="paragraph" w:customStyle="1" w:styleId="655">
    <w:name w:val="Corpo de texto 31"/>
    <w:basedOn w:val="1"/>
    <w:qFormat/>
    <w:uiPriority w:val="0"/>
    <w:pPr>
      <w:jc w:val="both"/>
    </w:pPr>
    <w:rPr>
      <w:color w:val="0000FF"/>
      <w:szCs w:val="20"/>
    </w:rPr>
  </w:style>
  <w:style w:type="paragraph" w:customStyle="1" w:styleId="656">
    <w:name w:val="TABELA"/>
    <w:basedOn w:val="1"/>
    <w:next w:val="1"/>
    <w:qFormat/>
    <w:uiPriority w:val="0"/>
    <w:pPr>
      <w:numPr>
        <w:ilvl w:val="0"/>
        <w:numId w:val="1"/>
      </w:numPr>
      <w:tabs>
        <w:tab w:val="left" w:pos="720"/>
      </w:tabs>
      <w:suppressAutoHyphens w:val="0"/>
      <w:ind w:left="0" w:right="0" w:firstLine="0"/>
      <w:jc w:val="center"/>
    </w:pPr>
    <w:rPr>
      <w:rFonts w:ascii="Arial" w:hAnsi="Arial" w:cs="Arial"/>
      <w:b/>
      <w:sz w:val="20"/>
      <w:szCs w:val="20"/>
    </w:rPr>
  </w:style>
  <w:style w:type="paragraph" w:customStyle="1" w:styleId="657">
    <w:name w:val="Legenda1"/>
    <w:basedOn w:val="1"/>
    <w:next w:val="1"/>
    <w:qFormat/>
    <w:uiPriority w:val="0"/>
    <w:pPr>
      <w:suppressAutoHyphens w:val="0"/>
      <w:jc w:val="center"/>
    </w:pPr>
    <w:rPr>
      <w:b/>
      <w:szCs w:val="20"/>
    </w:rPr>
  </w:style>
  <w:style w:type="paragraph" w:customStyle="1" w:styleId="658">
    <w:name w:val="WW-Corpo de texto 21"/>
    <w:basedOn w:val="1"/>
    <w:qFormat/>
    <w:uiPriority w:val="0"/>
    <w:pPr>
      <w:suppressAutoHyphens w:val="0"/>
      <w:jc w:val="center"/>
    </w:pPr>
    <w:rPr>
      <w:sz w:val="20"/>
      <w:szCs w:val="20"/>
    </w:rPr>
  </w:style>
  <w:style w:type="paragraph" w:customStyle="1" w:styleId="659">
    <w:name w:val="font5"/>
    <w:basedOn w:val="1"/>
    <w:qFormat/>
    <w:uiPriority w:val="0"/>
    <w:pPr>
      <w:suppressAutoHyphens w:val="0"/>
      <w:spacing w:before="100" w:after="100"/>
    </w:pPr>
    <w:rPr>
      <w:rFonts w:ascii="Arial" w:hAnsi="Arial" w:eastAsia="Arial Unicode MS;Arial" w:cs="Arial"/>
      <w:sz w:val="22"/>
      <w:szCs w:val="22"/>
    </w:rPr>
  </w:style>
  <w:style w:type="paragraph" w:customStyle="1" w:styleId="660">
    <w:name w:val="xl28"/>
    <w:basedOn w:val="1"/>
    <w:qFormat/>
    <w:uiPriority w:val="0"/>
    <w:pPr>
      <w:suppressAutoHyphens w:val="0"/>
      <w:spacing w:before="100" w:after="100"/>
      <w:jc w:val="center"/>
    </w:pPr>
    <w:rPr>
      <w:rFonts w:ascii="Arial Unicode MS;Arial" w:hAnsi="Arial Unicode MS;Arial" w:eastAsia="Arial Unicode MS;Arial" w:cs="Arial Unicode MS;Arial"/>
    </w:rPr>
  </w:style>
  <w:style w:type="paragraph" w:customStyle="1" w:styleId="661">
    <w:name w:val="_A200560"/>
    <w:qFormat/>
    <w:uiPriority w:val="0"/>
    <w:pPr>
      <w:widowControl w:val="0"/>
      <w:suppressAutoHyphens/>
      <w:overflowPunct/>
      <w:bidi w:val="0"/>
      <w:spacing w:before="0" w:after="0"/>
      <w:ind w:left="576" w:right="1440" w:firstLine="2160"/>
      <w:jc w:val="both"/>
    </w:pPr>
    <w:rPr>
      <w:rFonts w:ascii="Times New Roman" w:hAnsi="Times New Roman" w:eastAsia="Arial" w:cs="Times New Roman"/>
      <w:color w:val="000000"/>
      <w:kern w:val="2"/>
      <w:sz w:val="24"/>
      <w:szCs w:val="20"/>
      <w:lang w:val="pt-BR" w:eastAsia="zh-CN" w:bidi="ar-SA"/>
    </w:rPr>
  </w:style>
  <w:style w:type="paragraph" w:customStyle="1" w:styleId="662">
    <w:name w:val="Esp - Texto Char"/>
    <w:basedOn w:val="1"/>
    <w:qFormat/>
    <w:uiPriority w:val="0"/>
    <w:pPr>
      <w:suppressAutoHyphens w:val="0"/>
      <w:spacing w:before="200" w:after="200"/>
      <w:jc w:val="both"/>
    </w:pPr>
    <w:rPr>
      <w:rFonts w:ascii="Palatino Linotype" w:hAnsi="Palatino Linotype" w:cs="Palatino Linotype"/>
      <w:sz w:val="20"/>
      <w:szCs w:val="20"/>
    </w:rPr>
  </w:style>
  <w:style w:type="paragraph" w:customStyle="1" w:styleId="663">
    <w:name w:val="Corpo de texto 21"/>
    <w:basedOn w:val="1"/>
    <w:qFormat/>
    <w:uiPriority w:val="0"/>
    <w:pPr>
      <w:suppressAutoHyphens w:val="0"/>
    </w:pPr>
  </w:style>
  <w:style w:type="paragraph" w:customStyle="1" w:styleId="664">
    <w:name w:val="Conteúdo de tabela"/>
    <w:basedOn w:val="1"/>
    <w:qFormat/>
    <w:uiPriority w:val="0"/>
    <w:pPr>
      <w:suppressLineNumbers/>
    </w:pPr>
  </w:style>
  <w:style w:type="paragraph" w:customStyle="1" w:styleId="665">
    <w:name w:val="Título de tabela"/>
    <w:basedOn w:val="664"/>
    <w:qFormat/>
    <w:uiPriority w:val="0"/>
    <w:pPr>
      <w:suppressLineNumbers/>
      <w:jc w:val="center"/>
    </w:pPr>
    <w:rPr>
      <w:b/>
      <w:bCs/>
    </w:rPr>
  </w:style>
  <w:style w:type="paragraph" w:customStyle="1" w:styleId="666">
    <w:name w:val="Conteúdo de quadro"/>
    <w:basedOn w:val="16"/>
    <w:qFormat/>
    <w:uiPriority w:val="0"/>
  </w:style>
  <w:style w:type="paragraph" w:customStyle="1" w:styleId="667">
    <w:name w:val="Com marcadores 41"/>
    <w:basedOn w:val="1"/>
    <w:qFormat/>
    <w:uiPriority w:val="0"/>
    <w:pPr>
      <w:spacing w:before="0" w:after="0"/>
      <w:ind w:left="1132" w:right="0" w:hanging="283"/>
      <w:contextualSpacing/>
    </w:pPr>
  </w:style>
  <w:style w:type="paragraph" w:customStyle="1" w:styleId="668">
    <w:name w:val="Com marcadores 51"/>
    <w:basedOn w:val="1"/>
    <w:qFormat/>
    <w:uiPriority w:val="0"/>
    <w:pPr>
      <w:numPr>
        <w:ilvl w:val="0"/>
        <w:numId w:val="2"/>
      </w:numPr>
      <w:tabs>
        <w:tab w:val="left" w:pos="360"/>
        <w:tab w:val="left" w:pos="1560"/>
      </w:tabs>
      <w:suppressAutoHyphens w:val="0"/>
      <w:ind w:left="2694" w:right="0" w:hanging="219"/>
    </w:pPr>
    <w:rPr>
      <w:b/>
      <w:sz w:val="20"/>
      <w:szCs w:val="20"/>
      <w:lang w:val="en-US"/>
    </w:rPr>
  </w:style>
  <w:style w:type="paragraph" w:customStyle="1" w:styleId="669">
    <w:name w:val="Texto em bloco1"/>
    <w:basedOn w:val="1"/>
    <w:qFormat/>
    <w:uiPriority w:val="0"/>
    <w:pPr>
      <w:suppressAutoHyphens w:val="0"/>
      <w:ind w:left="426" w:right="27" w:hanging="426"/>
      <w:jc w:val="both"/>
    </w:pPr>
    <w:rPr>
      <w:rFonts w:ascii="Garamond" w:hAnsi="Garamond" w:cs="Garamond"/>
      <w:szCs w:val="20"/>
    </w:rPr>
  </w:style>
  <w:style w:type="paragraph" w:customStyle="1" w:styleId="670">
    <w:name w:val="Body Text 22"/>
    <w:basedOn w:val="1"/>
    <w:qFormat/>
    <w:uiPriority w:val="0"/>
    <w:pPr>
      <w:suppressAutoHyphens w:val="0"/>
      <w:ind w:left="0" w:right="0" w:firstLine="2835"/>
      <w:jc w:val="both"/>
    </w:pPr>
    <w:rPr>
      <w:szCs w:val="20"/>
      <w:lang w:eastAsia="zh-CN"/>
    </w:rPr>
  </w:style>
  <w:style w:type="paragraph" w:customStyle="1" w:styleId="671">
    <w:name w:val="Corpo de texto 23"/>
    <w:basedOn w:val="1"/>
    <w:qFormat/>
    <w:uiPriority w:val="0"/>
    <w:pPr>
      <w:spacing w:before="0" w:after="120" w:line="480" w:lineRule="auto"/>
    </w:pPr>
  </w:style>
  <w:style w:type="paragraph" w:customStyle="1" w:styleId="672">
    <w:name w:val="Texto em bloco2"/>
    <w:basedOn w:val="1"/>
    <w:qFormat/>
    <w:uiPriority w:val="0"/>
    <w:pPr>
      <w:suppressAutoHyphens w:val="0"/>
      <w:ind w:left="426" w:right="27" w:hanging="426"/>
      <w:jc w:val="both"/>
    </w:pPr>
    <w:rPr>
      <w:rFonts w:ascii="Garamond" w:hAnsi="Garamond" w:cs="Garamond"/>
      <w:szCs w:val="20"/>
    </w:rPr>
  </w:style>
  <w:style w:type="paragraph" w:customStyle="1" w:styleId="673">
    <w:name w:val="Parágrafo da Lista1"/>
    <w:basedOn w:val="1"/>
    <w:qFormat/>
    <w:uiPriority w:val="0"/>
    <w:pPr>
      <w:widowControl w:val="0"/>
      <w:suppressAutoHyphens w:val="0"/>
      <w:spacing w:before="115" w:after="0"/>
      <w:ind w:left="1703" w:right="0" w:hanging="348"/>
    </w:pPr>
    <w:rPr>
      <w:rFonts w:ascii="Arial" w:hAnsi="Arial" w:eastAsia="Arial" w:cs="Arial"/>
      <w:sz w:val="22"/>
      <w:szCs w:val="22"/>
      <w:lang w:val="en-US"/>
    </w:rPr>
  </w:style>
  <w:style w:type="paragraph" w:customStyle="1" w:styleId="674">
    <w:name w:val="Table Paragraph"/>
    <w:basedOn w:val="1"/>
    <w:qFormat/>
    <w:uiPriority w:val="0"/>
    <w:pPr>
      <w:widowControl w:val="0"/>
      <w:suppressAutoHyphens w:val="0"/>
    </w:pPr>
    <w:rPr>
      <w:rFonts w:ascii="Arial" w:hAnsi="Arial" w:eastAsia="Arial" w:cs="Arial"/>
      <w:sz w:val="22"/>
      <w:szCs w:val="22"/>
      <w:lang w:val="en-US"/>
    </w:rPr>
  </w:style>
  <w:style w:type="paragraph" w:customStyle="1" w:styleId="675">
    <w:name w:val="Normal1"/>
    <w:basedOn w:val="1"/>
    <w:qFormat/>
    <w:uiPriority w:val="0"/>
    <w:pPr>
      <w:widowControl w:val="0"/>
    </w:pPr>
    <w:rPr>
      <w:rFonts w:eastAsia="Lucida Sans Unicode"/>
      <w:kern w:val="2"/>
    </w:rPr>
  </w:style>
  <w:style w:type="paragraph" w:customStyle="1" w:styleId="676">
    <w:name w:val="Com marcadores 42"/>
    <w:basedOn w:val="1"/>
    <w:qFormat/>
    <w:uiPriority w:val="0"/>
    <w:pPr>
      <w:spacing w:before="0" w:after="0"/>
      <w:ind w:left="1132" w:right="0" w:hanging="283"/>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Serviços de reabilitação - CCR - PE</Template>
  <Pages>29</Pages>
  <Words>14417</Words>
  <Characters>80796</Characters>
  <Paragraphs>715</Paragraphs>
  <TotalTime>3</TotalTime>
  <ScaleCrop>false</ScaleCrop>
  <LinksUpToDate>false</LinksUpToDate>
  <CharactersWithSpaces>94974</CharactersWithSpaces>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2023-07-26T15:27:00Z</dcterms:created>
  <dc:creator>vieirafdh</dc:creator>
  <dc:description>06/07 - Primeiro edital na nova Lei</dc:description>
  <cp:lastModifiedBy>vieirafdh</cp:lastModifiedBy>
  <cp:lastPrinted>2023-08-03T14:19:00Z</cp:lastPrinted>
  <dcterms:modified xsi:type="dcterms:W3CDTF">2023-08-21T13:23:58Z</dcterms:modified>
  <dc:title>xxx-23 - Medicamentos - GEJUD - PE-RP</dc:title>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5ED1F4CCA25C42619B254DB8A42BB807</vt:lpwstr>
  </property>
  <property fmtid="{D5CDD505-2E9C-101B-9397-08002B2CF9AE}" pid="3" name="KSOProductBuildVer">
    <vt:lpwstr>1046-11.2.0.11537</vt:lpwstr>
  </property>
</Properties>
</file>