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4E7C" w:rsidRDefault="00DC4E7C">
      <w:pPr>
        <w:jc w:val="center"/>
        <w:rPr>
          <w:rFonts w:asciiTheme="minorHAnsi" w:hAnsiTheme="minorHAnsi" w:cstheme="minorHAnsi"/>
          <w:b/>
          <w:sz w:val="22"/>
          <w:u w:val="single" w:color="000000"/>
        </w:rPr>
      </w:pPr>
    </w:p>
    <w:p w:rsidR="00A041EA" w:rsidRDefault="00A041EA" w:rsidP="00A041EA">
      <w:pPr>
        <w:pStyle w:val="ParagraphStyle"/>
        <w:keepNext/>
        <w:keepLines/>
        <w:ind w:right="-30"/>
        <w:jc w:val="center"/>
        <w:outlineLvl w:val="0"/>
        <w:rPr>
          <w:rFonts w:ascii="Calibri" w:hAnsi="Calibri" w:cs="Calibri"/>
          <w:b/>
          <w:bCs/>
          <w:sz w:val="22"/>
          <w:szCs w:val="22"/>
          <w:u w:val="single" w:color="000000"/>
        </w:rPr>
      </w:pPr>
      <w:bookmarkStart w:id="0" w:name="OLE_LINK2"/>
      <w:bookmarkEnd w:id="0"/>
      <w:r>
        <w:rPr>
          <w:rFonts w:ascii="Calibri" w:hAnsi="Calibri" w:cs="Calibri"/>
          <w:b/>
          <w:bCs/>
          <w:sz w:val="22"/>
          <w:szCs w:val="22"/>
          <w:u w:val="single" w:color="000000"/>
        </w:rPr>
        <w:t>ESTUDO TÉCNICO PRELIMINAR – ETP</w:t>
      </w:r>
    </w:p>
    <w:p w:rsidR="00A041EA" w:rsidRDefault="00A041EA" w:rsidP="00A041EA">
      <w:pPr>
        <w:pStyle w:val="ParagraphStyle"/>
        <w:keepNext/>
        <w:keepLines/>
        <w:ind w:right="-30"/>
        <w:jc w:val="both"/>
        <w:rPr>
          <w:rFonts w:ascii="Calibri" w:hAnsi="Calibri" w:cs="Calibri"/>
          <w:b/>
          <w:bCs/>
          <w:sz w:val="22"/>
          <w:szCs w:val="22"/>
        </w:rPr>
      </w:pPr>
      <w:r>
        <w:rPr>
          <w:rFonts w:ascii="Calibri" w:hAnsi="Calibri" w:cs="Calibri"/>
          <w:b/>
          <w:bCs/>
          <w:sz w:val="22"/>
          <w:szCs w:val="22"/>
        </w:rPr>
        <w:t xml:space="preserve">    </w:t>
      </w:r>
    </w:p>
    <w:p w:rsidR="00A041EA" w:rsidRDefault="00A041EA" w:rsidP="00A041EA">
      <w:pPr>
        <w:pStyle w:val="ParagraphStyle"/>
        <w:keepNext/>
        <w:keepLines/>
        <w:ind w:right="-30"/>
        <w:jc w:val="both"/>
        <w:rPr>
          <w:rFonts w:ascii="Calibri" w:hAnsi="Calibri" w:cs="Calibri"/>
          <w:sz w:val="20"/>
          <w:szCs w:val="20"/>
        </w:rPr>
      </w:pPr>
    </w:p>
    <w:p w:rsidR="00A041EA" w:rsidRDefault="00A041EA" w:rsidP="00A041EA">
      <w:pPr>
        <w:pStyle w:val="ParagraphStyle"/>
        <w:keepNext/>
        <w:keepLines/>
        <w:ind w:right="-30"/>
        <w:jc w:val="both"/>
        <w:rPr>
          <w:rFonts w:ascii="Calibri" w:hAnsi="Calibri" w:cs="Calibri"/>
          <w:b/>
          <w:bCs/>
          <w:sz w:val="22"/>
          <w:szCs w:val="22"/>
        </w:rPr>
      </w:pPr>
      <w:r>
        <w:rPr>
          <w:rFonts w:ascii="Calibri" w:hAnsi="Calibri" w:cs="Calibri"/>
          <w:b/>
          <w:bCs/>
          <w:sz w:val="22"/>
          <w:szCs w:val="22"/>
        </w:rPr>
        <w:t>OBJETO: CONTRATAÇÃO DE EMPRESA ESPECIALIZADA EM PRESTAÇÃO DE SERVIÇOS DE MANUTENÇÃO PREVENTIVA E EMISSÃO DE CERTIFICAÇÃO DE CALIBRAÇÃO DOS APARELHOS COLORIMETRO E TURBIDIMETRO PERTENCENTES AO LABORATÓRIO DE ANALISES DE ÁGUA DO SAMAE DE JAPURÁ-PR</w:t>
      </w:r>
    </w:p>
    <w:p w:rsidR="00A041EA" w:rsidRDefault="00A041EA" w:rsidP="00A041EA">
      <w:pPr>
        <w:pStyle w:val="ParagraphStyle"/>
        <w:keepNext/>
        <w:keepLines/>
        <w:ind w:right="-30"/>
        <w:jc w:val="both"/>
        <w:rPr>
          <w:rFonts w:ascii="Calibri" w:hAnsi="Calibri" w:cs="Calibri"/>
          <w:sz w:val="20"/>
          <w:szCs w:val="20"/>
        </w:rPr>
      </w:pPr>
    </w:p>
    <w:p w:rsidR="00A041EA" w:rsidRDefault="00A041EA" w:rsidP="00A041EA">
      <w:pPr>
        <w:pStyle w:val="ParagraphStyle"/>
        <w:keepNext/>
        <w:keepLines/>
        <w:ind w:right="-30"/>
        <w:jc w:val="both"/>
        <w:rPr>
          <w:rFonts w:ascii="Calibri" w:hAnsi="Calibri" w:cs="Calibri"/>
          <w:b/>
          <w:bCs/>
          <w:sz w:val="22"/>
          <w:szCs w:val="22"/>
        </w:rPr>
      </w:pPr>
      <w:r>
        <w:rPr>
          <w:rFonts w:ascii="Calibri" w:hAnsi="Calibri" w:cs="Calibri"/>
          <w:b/>
          <w:bCs/>
          <w:sz w:val="22"/>
          <w:szCs w:val="22"/>
        </w:rPr>
        <w:t>1. INTRODUÇÃO</w:t>
      </w:r>
    </w:p>
    <w:p w:rsidR="00A041EA" w:rsidRDefault="00A041EA" w:rsidP="00A041EA">
      <w:pPr>
        <w:pStyle w:val="ParagraphStyle"/>
        <w:keepNext/>
        <w:keepLines/>
        <w:ind w:right="-30"/>
        <w:jc w:val="both"/>
        <w:rPr>
          <w:rFonts w:ascii="Calibri" w:hAnsi="Calibri" w:cs="Calibri"/>
          <w:sz w:val="22"/>
          <w:szCs w:val="22"/>
        </w:rPr>
      </w:pPr>
      <w:r>
        <w:rPr>
          <w:rFonts w:ascii="Calibri" w:hAnsi="Calibri" w:cs="Calibri"/>
          <w:sz w:val="22"/>
          <w:szCs w:val="22"/>
        </w:rPr>
        <w:t>As contratações governamentais produzem significativo impacto na atividade econômica, tendo em vista o volume de recursos envolvidos, os quais, em grande parte, são instrumentos de realização de políticas públicas. Neste sentido, um planejamento bem elaborado propicia contratações potencialmente mais eficientes, posto que a realização de estudos previamente delineados conduz ao conhecimento de novas modelagens/metodologias ofertadas pelo mercado, resultado na melhor qualidade do gasto e em uma gestão eficiente dos recursos públicos.</w:t>
      </w:r>
    </w:p>
    <w:p w:rsidR="00A041EA" w:rsidRDefault="00A041EA" w:rsidP="00A041EA">
      <w:pPr>
        <w:pStyle w:val="ParagraphStyle"/>
        <w:keepNext/>
        <w:keepLines/>
        <w:ind w:right="-30"/>
        <w:jc w:val="both"/>
        <w:rPr>
          <w:rFonts w:ascii="Calibri" w:hAnsi="Calibri" w:cs="Calibri"/>
          <w:sz w:val="20"/>
          <w:szCs w:val="20"/>
        </w:rPr>
      </w:pPr>
    </w:p>
    <w:p w:rsidR="00A041EA" w:rsidRDefault="00A041EA" w:rsidP="00A041EA">
      <w:pPr>
        <w:pStyle w:val="ParagraphStyle"/>
        <w:keepNext/>
        <w:keepLines/>
        <w:ind w:right="-30"/>
        <w:jc w:val="both"/>
        <w:rPr>
          <w:rFonts w:ascii="Calibri" w:hAnsi="Calibri" w:cs="Calibri"/>
          <w:sz w:val="22"/>
          <w:szCs w:val="22"/>
        </w:rPr>
      </w:pPr>
      <w:r>
        <w:rPr>
          <w:rFonts w:ascii="Calibri" w:hAnsi="Calibri" w:cs="Calibri"/>
          <w:sz w:val="22"/>
          <w:szCs w:val="22"/>
        </w:rPr>
        <w:t>Neste contexto, o presente documento apresenta os estudos técnicos preliminares que visam assegurar a viabilidade (técnica e econômica) da contratação pretendida e o levantamento dos elementos essenciais que servirão para compor Termo de Referência ou Projeto Básico.</w:t>
      </w:r>
    </w:p>
    <w:p w:rsidR="00A041EA" w:rsidRDefault="00A041EA" w:rsidP="00A041EA">
      <w:pPr>
        <w:pStyle w:val="ParagraphStyle"/>
        <w:keepNext/>
        <w:keepLines/>
        <w:ind w:right="-30"/>
        <w:jc w:val="both"/>
        <w:rPr>
          <w:rFonts w:ascii="Calibri" w:hAnsi="Calibri" w:cs="Calibri"/>
          <w:sz w:val="20"/>
          <w:szCs w:val="20"/>
        </w:rPr>
      </w:pPr>
    </w:p>
    <w:p w:rsidR="00A041EA" w:rsidRDefault="00A041EA" w:rsidP="00A041EA">
      <w:pPr>
        <w:pStyle w:val="ParagraphStyle"/>
        <w:keepNext/>
        <w:keepLines/>
        <w:ind w:right="-30"/>
        <w:jc w:val="both"/>
        <w:rPr>
          <w:rFonts w:ascii="Calibri" w:hAnsi="Calibri" w:cs="Calibri"/>
          <w:sz w:val="20"/>
          <w:szCs w:val="20"/>
        </w:rPr>
      </w:pPr>
      <w:r>
        <w:rPr>
          <w:rFonts w:ascii="Calibri" w:hAnsi="Calibri" w:cs="Calibri"/>
          <w:sz w:val="20"/>
          <w:szCs w:val="20"/>
        </w:rPr>
        <w:t>TRATA-SE ETP PARA CALIBRAÇAÕ DE APARELHOS DO LABORÁTORIO DO SAMAE</w:t>
      </w:r>
    </w:p>
    <w:p w:rsidR="00A041EA" w:rsidRDefault="00A041EA" w:rsidP="00A041EA">
      <w:pPr>
        <w:pStyle w:val="ParagraphStyle"/>
        <w:keepNext/>
        <w:keepLines/>
        <w:ind w:right="-30"/>
        <w:jc w:val="both"/>
        <w:rPr>
          <w:rFonts w:ascii="Calibri" w:hAnsi="Calibri" w:cs="Calibri"/>
          <w:sz w:val="20"/>
          <w:szCs w:val="20"/>
        </w:rPr>
      </w:pPr>
    </w:p>
    <w:p w:rsidR="00A041EA" w:rsidRDefault="00A041EA" w:rsidP="00A041EA">
      <w:pPr>
        <w:pStyle w:val="ParagraphStyle"/>
        <w:keepNext/>
        <w:keepLines/>
        <w:ind w:right="-30"/>
        <w:jc w:val="both"/>
        <w:rPr>
          <w:rFonts w:ascii="Calibri" w:hAnsi="Calibri" w:cs="Calibri"/>
          <w:sz w:val="22"/>
          <w:szCs w:val="22"/>
        </w:rPr>
      </w:pPr>
      <w:r>
        <w:rPr>
          <w:rFonts w:ascii="Calibri" w:hAnsi="Calibri" w:cs="Calibri"/>
          <w:sz w:val="22"/>
          <w:szCs w:val="22"/>
        </w:rPr>
        <w:t>Este estudo consiste na primeira etapa do planejamento de uma contratação, de modo a assegurar a viabilidade e embasar o termo de referência, conforme previsto na Lei 14.133/2021, art. 6°, inciso XX.</w:t>
      </w:r>
    </w:p>
    <w:p w:rsidR="00A041EA" w:rsidRDefault="00A041EA" w:rsidP="00A041EA">
      <w:pPr>
        <w:pStyle w:val="ParagraphStyle"/>
        <w:keepNext/>
        <w:keepLines/>
        <w:ind w:right="-30"/>
        <w:jc w:val="both"/>
        <w:rPr>
          <w:rFonts w:ascii="Calibri" w:hAnsi="Calibri" w:cs="Calibri"/>
          <w:sz w:val="20"/>
          <w:szCs w:val="20"/>
        </w:rPr>
      </w:pPr>
    </w:p>
    <w:p w:rsidR="00A041EA" w:rsidRDefault="00A041EA" w:rsidP="00A041EA">
      <w:pPr>
        <w:pStyle w:val="ParagraphStyle"/>
        <w:keepNext/>
        <w:keepLines/>
        <w:ind w:right="-30"/>
        <w:jc w:val="both"/>
        <w:rPr>
          <w:rFonts w:ascii="Calibri" w:hAnsi="Calibri" w:cs="Calibri"/>
          <w:b/>
          <w:bCs/>
          <w:sz w:val="22"/>
          <w:szCs w:val="22"/>
        </w:rPr>
      </w:pPr>
      <w:r>
        <w:rPr>
          <w:rFonts w:ascii="Calibri" w:hAnsi="Calibri" w:cs="Calibri"/>
          <w:b/>
          <w:bCs/>
          <w:sz w:val="22"/>
          <w:szCs w:val="22"/>
        </w:rPr>
        <w:t>2. NECESSIDADE/JUSTIFICATIVA DE CONTRATAÇÃO</w:t>
      </w:r>
    </w:p>
    <w:p w:rsidR="00A041EA" w:rsidRDefault="00A041EA" w:rsidP="00A041EA">
      <w:pPr>
        <w:pStyle w:val="ParagraphStyle"/>
        <w:spacing w:before="105" w:after="105" w:line="240" w:lineRule="exact"/>
        <w:jc w:val="both"/>
        <w:rPr>
          <w:rFonts w:ascii="Calibri" w:hAnsi="Calibri" w:cs="Calibri"/>
          <w:b/>
          <w:bCs/>
          <w:sz w:val="22"/>
          <w:szCs w:val="22"/>
        </w:rPr>
      </w:pPr>
      <w:r>
        <w:rPr>
          <w:rFonts w:ascii="Calibri" w:hAnsi="Calibri" w:cs="Calibri"/>
          <w:b/>
          <w:bCs/>
          <w:sz w:val="22"/>
          <w:szCs w:val="22"/>
        </w:rPr>
        <w:t>2.1 justificativa para a Contratação Direta</w:t>
      </w:r>
    </w:p>
    <w:p w:rsidR="00A041EA" w:rsidRDefault="00A041EA" w:rsidP="00A041EA">
      <w:pPr>
        <w:pStyle w:val="ParagraphStyle"/>
        <w:spacing w:before="105" w:after="105" w:line="240" w:lineRule="exact"/>
        <w:jc w:val="both"/>
        <w:rPr>
          <w:rFonts w:ascii="Calibri" w:hAnsi="Calibri" w:cs="Calibri"/>
          <w:sz w:val="22"/>
          <w:szCs w:val="22"/>
        </w:rPr>
      </w:pPr>
      <w:r>
        <w:rPr>
          <w:rFonts w:ascii="Calibri" w:hAnsi="Calibri" w:cs="Calibri"/>
          <w:sz w:val="22"/>
          <w:szCs w:val="22"/>
        </w:rPr>
        <w:t>2.1.1 com fundamento no artigo 74 da Lei nº 14.133/21, com suas alterações posteriores, e em conformidade com o parecer jurídico acostado aos autos, justifica-se a presente contratação direta para a prestação do serviço de calibração dos equipamentos descritos.</w:t>
      </w:r>
    </w:p>
    <w:p w:rsidR="00A041EA" w:rsidRDefault="00A041EA" w:rsidP="00A041EA">
      <w:pPr>
        <w:pStyle w:val="ParagraphStyle"/>
        <w:spacing w:before="105" w:after="105" w:line="240" w:lineRule="exact"/>
        <w:jc w:val="both"/>
        <w:outlineLvl w:val="2"/>
        <w:rPr>
          <w:rFonts w:ascii="Calibri" w:hAnsi="Calibri" w:cs="Calibri"/>
          <w:b/>
          <w:bCs/>
          <w:sz w:val="22"/>
          <w:szCs w:val="22"/>
        </w:rPr>
      </w:pPr>
      <w:r>
        <w:rPr>
          <w:rFonts w:ascii="Calibri" w:hAnsi="Calibri" w:cs="Calibri"/>
          <w:b/>
          <w:bCs/>
          <w:sz w:val="22"/>
          <w:szCs w:val="22"/>
        </w:rPr>
        <w:t>2.2 Base Legal</w:t>
      </w:r>
    </w:p>
    <w:p w:rsidR="00A041EA" w:rsidRDefault="00A041EA" w:rsidP="00A041EA">
      <w:pPr>
        <w:pStyle w:val="ParagraphStyle"/>
        <w:spacing w:before="105" w:after="105" w:line="240" w:lineRule="exact"/>
        <w:jc w:val="both"/>
        <w:rPr>
          <w:rFonts w:ascii="Calibri" w:hAnsi="Calibri" w:cs="Calibri"/>
          <w:sz w:val="22"/>
          <w:szCs w:val="22"/>
        </w:rPr>
      </w:pPr>
      <w:r>
        <w:rPr>
          <w:rFonts w:ascii="Calibri" w:hAnsi="Calibri" w:cs="Calibri"/>
          <w:sz w:val="22"/>
          <w:szCs w:val="22"/>
        </w:rPr>
        <w:t>O artigo 74 da referida lei dispõe sobre a inexigibilidade de licitação nos casos em que a competição se mostra inviável, especialmente quando se tratar de:</w:t>
      </w:r>
    </w:p>
    <w:p w:rsidR="00A041EA" w:rsidRDefault="00A041EA" w:rsidP="00A041EA">
      <w:pPr>
        <w:pStyle w:val="ParagraphStyle"/>
        <w:spacing w:before="105" w:after="105" w:line="240" w:lineRule="exact"/>
        <w:jc w:val="both"/>
        <w:rPr>
          <w:rFonts w:ascii="Calibri" w:hAnsi="Calibri" w:cs="Calibri"/>
          <w:sz w:val="22"/>
          <w:szCs w:val="22"/>
        </w:rPr>
      </w:pPr>
      <w:r>
        <w:rPr>
          <w:rFonts w:ascii="Calibri" w:hAnsi="Calibri" w:cs="Calibri"/>
          <w:b/>
          <w:bCs/>
          <w:sz w:val="22"/>
          <w:szCs w:val="22"/>
        </w:rPr>
        <w:t>I</w:t>
      </w:r>
      <w:r>
        <w:rPr>
          <w:rFonts w:ascii="Calibri" w:hAnsi="Calibri" w:cs="Calibri"/>
          <w:sz w:val="22"/>
          <w:szCs w:val="22"/>
        </w:rPr>
        <w:t xml:space="preserve"> – Aquisição de materiais, equipamentos ou gêneros, ou contratação de serviços que só possam ser fornecidos por produtor, empresa ou representante comercial exclusivos.</w:t>
      </w:r>
    </w:p>
    <w:p w:rsidR="00A041EA" w:rsidRDefault="00A041EA" w:rsidP="00A041EA">
      <w:pPr>
        <w:pStyle w:val="ParagraphStyle"/>
        <w:spacing w:before="105" w:after="105" w:line="240" w:lineRule="exact"/>
        <w:jc w:val="both"/>
        <w:outlineLvl w:val="2"/>
        <w:rPr>
          <w:rFonts w:ascii="Calibri" w:hAnsi="Calibri" w:cs="Calibri"/>
          <w:b/>
          <w:bCs/>
          <w:sz w:val="22"/>
          <w:szCs w:val="22"/>
        </w:rPr>
      </w:pPr>
      <w:r>
        <w:rPr>
          <w:rFonts w:ascii="Calibri" w:hAnsi="Calibri" w:cs="Calibri"/>
          <w:b/>
          <w:bCs/>
          <w:sz w:val="22"/>
          <w:szCs w:val="22"/>
        </w:rPr>
        <w:t>2.3 Da Necessidade da Calibração</w:t>
      </w:r>
    </w:p>
    <w:p w:rsidR="00A041EA" w:rsidRDefault="00A041EA" w:rsidP="00A041EA">
      <w:pPr>
        <w:pStyle w:val="ParagraphStyle"/>
        <w:spacing w:before="105" w:after="105" w:line="240" w:lineRule="exact"/>
        <w:jc w:val="both"/>
        <w:rPr>
          <w:rFonts w:ascii="Calibri" w:hAnsi="Calibri" w:cs="Calibri"/>
          <w:sz w:val="22"/>
          <w:szCs w:val="22"/>
        </w:rPr>
      </w:pPr>
      <w:r>
        <w:rPr>
          <w:rFonts w:ascii="Calibri" w:hAnsi="Calibri" w:cs="Calibri"/>
          <w:sz w:val="22"/>
          <w:szCs w:val="22"/>
        </w:rPr>
        <w:t>1.1 A calibração periódica dos turbidímetros e colorímetros é essencial para assegurar a exatidão das medições realizadas, garantindo a qualidade e confiabilidade dos resultados obtidos nos ensaios laboratoriais. Esse procedimento também é indispensável para o cumprimento das normas dos órgãos fiscalizadores, incluindo a Vigilância Sanitária.</w:t>
      </w:r>
    </w:p>
    <w:p w:rsidR="00A041EA" w:rsidRDefault="00A041EA" w:rsidP="00A041EA">
      <w:pPr>
        <w:pStyle w:val="ParagraphStyle"/>
        <w:spacing w:before="105" w:after="105" w:line="240" w:lineRule="exact"/>
        <w:jc w:val="both"/>
        <w:rPr>
          <w:rFonts w:ascii="Calibri" w:hAnsi="Calibri" w:cs="Calibri"/>
          <w:sz w:val="22"/>
          <w:szCs w:val="22"/>
        </w:rPr>
      </w:pPr>
      <w:r>
        <w:rPr>
          <w:rFonts w:ascii="Calibri" w:hAnsi="Calibri" w:cs="Calibri"/>
          <w:sz w:val="22"/>
          <w:szCs w:val="22"/>
        </w:rPr>
        <w:t>1.2 A emissão de certificados pelos equipamentos calibrados comprova a conformidade destes com os padrões estabelecidos pelos órgãos competentes, sendo a certificação exigida com prazo de validade de 12 meses a partir da data de sua emissão.</w:t>
      </w:r>
    </w:p>
    <w:p w:rsidR="00A041EA" w:rsidRDefault="00A041EA" w:rsidP="00A041EA">
      <w:pPr>
        <w:pStyle w:val="ParagraphStyle"/>
        <w:spacing w:before="105" w:after="105" w:line="240" w:lineRule="exact"/>
        <w:jc w:val="both"/>
        <w:outlineLvl w:val="2"/>
        <w:rPr>
          <w:rFonts w:ascii="Calibri" w:hAnsi="Calibri" w:cs="Calibri"/>
          <w:b/>
          <w:bCs/>
          <w:sz w:val="22"/>
          <w:szCs w:val="22"/>
        </w:rPr>
      </w:pPr>
      <w:r>
        <w:rPr>
          <w:rFonts w:ascii="Calibri" w:hAnsi="Calibri" w:cs="Calibri"/>
          <w:b/>
          <w:bCs/>
          <w:sz w:val="22"/>
          <w:szCs w:val="22"/>
        </w:rPr>
        <w:t>2.4 justificativa para a Contratação Direta</w:t>
      </w:r>
    </w:p>
    <w:p w:rsidR="00A041EA" w:rsidRDefault="00A041EA" w:rsidP="00A041EA">
      <w:pPr>
        <w:pStyle w:val="ParagraphStyle"/>
        <w:spacing w:before="105" w:after="105" w:line="240" w:lineRule="exact"/>
        <w:jc w:val="both"/>
        <w:rPr>
          <w:rFonts w:ascii="Calibri" w:hAnsi="Calibri" w:cs="Calibri"/>
          <w:sz w:val="22"/>
          <w:szCs w:val="22"/>
        </w:rPr>
      </w:pPr>
      <w:r>
        <w:rPr>
          <w:rFonts w:ascii="Calibri" w:hAnsi="Calibri" w:cs="Calibri"/>
          <w:sz w:val="22"/>
          <w:szCs w:val="22"/>
        </w:rPr>
        <w:t>1.3 A contratação de empresa especializada na calibração desses equipamentos é a solução mais adequada, uma vez que tal atividade exige conhecimentos técnicos específicos para sua correta execução.</w:t>
      </w:r>
    </w:p>
    <w:p w:rsidR="00A041EA" w:rsidRDefault="00A041EA" w:rsidP="00A041EA">
      <w:pPr>
        <w:pStyle w:val="ParagraphStyle"/>
        <w:spacing w:before="105" w:after="105" w:line="240" w:lineRule="exact"/>
        <w:jc w:val="both"/>
        <w:rPr>
          <w:rFonts w:ascii="Calibri" w:hAnsi="Calibri" w:cs="Calibri"/>
          <w:sz w:val="22"/>
          <w:szCs w:val="22"/>
        </w:rPr>
      </w:pPr>
      <w:r>
        <w:rPr>
          <w:rFonts w:ascii="Calibri" w:hAnsi="Calibri" w:cs="Calibri"/>
          <w:sz w:val="22"/>
          <w:szCs w:val="22"/>
        </w:rPr>
        <w:t>Adicionalmente, trata-se de um serviço prestado exclusivamente pelo próprio fabricante, sendo este o único fornecedor no mercado capaz de realizar a calibração dos modelos de aparelhos da marca adquirida. Dessa forma, a exclusividade do prestador caracteriza a inviabilidade da competição, legitimando a contratação direta nos termos da legislação vigente.</w:t>
      </w:r>
    </w:p>
    <w:p w:rsidR="008C4E82" w:rsidRDefault="008C4E82" w:rsidP="008C4E82">
      <w:pPr>
        <w:pStyle w:val="ParagraphStyle"/>
        <w:keepNext/>
        <w:keepLines/>
        <w:ind w:left="75"/>
        <w:jc w:val="both"/>
        <w:rPr>
          <w:rFonts w:ascii="Calibri" w:hAnsi="Calibri" w:cs="Calibri"/>
          <w:sz w:val="22"/>
          <w:szCs w:val="22"/>
          <w:lang w:val="pt-BR"/>
        </w:rPr>
      </w:pPr>
      <w:r>
        <w:rPr>
          <w:rFonts w:ascii="Calibri" w:hAnsi="Calibri" w:cs="Calibri"/>
          <w:sz w:val="22"/>
          <w:szCs w:val="22"/>
          <w:lang w:val="pt-BR"/>
        </w:rPr>
        <w:t xml:space="preserve"> 2.5Da exclusividade do serviço</w:t>
      </w:r>
    </w:p>
    <w:p w:rsidR="008C4E82" w:rsidRPr="008C4E82" w:rsidRDefault="008C4E82" w:rsidP="008C4E82">
      <w:pPr>
        <w:pStyle w:val="ParagraphStyle"/>
        <w:keepNext/>
        <w:keepLines/>
        <w:ind w:left="75"/>
        <w:jc w:val="both"/>
        <w:rPr>
          <w:rFonts w:ascii="Calibri" w:hAnsi="Calibri" w:cs="Calibri"/>
          <w:sz w:val="22"/>
          <w:szCs w:val="22"/>
          <w:lang w:val="pt-BR"/>
        </w:rPr>
      </w:pPr>
      <w:bookmarkStart w:id="1" w:name="_GoBack"/>
      <w:bookmarkEnd w:id="1"/>
      <w:r>
        <w:rPr>
          <w:rFonts w:ascii="Calibri" w:hAnsi="Calibri" w:cs="Calibri"/>
          <w:sz w:val="22"/>
          <w:szCs w:val="22"/>
          <w:lang w:val="pt-BR"/>
        </w:rPr>
        <w:t>Apresentação</w:t>
      </w:r>
      <w:r>
        <w:rPr>
          <w:rFonts w:ascii="Calibri" w:hAnsi="Calibri" w:cs="Calibri"/>
          <w:sz w:val="22"/>
          <w:szCs w:val="22"/>
          <w:lang w:val="pt-BR"/>
        </w:rPr>
        <w:t xml:space="preserve"> de documento que ateste a exclusividade dos serviços prestados “Certificado de Exclusividade de </w:t>
      </w:r>
      <w:r w:rsidRPr="008C4E82">
        <w:rPr>
          <w:rFonts w:ascii="Calibri" w:hAnsi="Calibri" w:cs="Calibri"/>
          <w:sz w:val="22"/>
          <w:szCs w:val="22"/>
          <w:lang w:val="pt-BR"/>
        </w:rPr>
        <w:t>6 de agosto de 2024</w:t>
      </w:r>
      <w:r>
        <w:rPr>
          <w:rFonts w:ascii="Calibri" w:hAnsi="Calibri" w:cs="Calibri"/>
          <w:sz w:val="22"/>
          <w:szCs w:val="22"/>
          <w:lang w:val="pt-BR"/>
        </w:rPr>
        <w:t xml:space="preserve">, </w:t>
      </w:r>
      <w:proofErr w:type="spellStart"/>
      <w:r w:rsidRPr="008C4E82">
        <w:rPr>
          <w:rFonts w:ascii="Calibri" w:hAnsi="Calibri" w:cs="Calibri"/>
          <w:sz w:val="22"/>
          <w:szCs w:val="22"/>
          <w:lang w:val="pt-BR"/>
        </w:rPr>
        <w:t>Hach</w:t>
      </w:r>
      <w:proofErr w:type="spellEnd"/>
      <w:r w:rsidRPr="008C4E82">
        <w:rPr>
          <w:rFonts w:ascii="Calibri" w:hAnsi="Calibri" w:cs="Calibri"/>
          <w:sz w:val="22"/>
          <w:szCs w:val="22"/>
          <w:lang w:val="pt-BR"/>
        </w:rPr>
        <w:t xml:space="preserve"> </w:t>
      </w:r>
      <w:proofErr w:type="spellStart"/>
      <w:r w:rsidRPr="008C4E82">
        <w:rPr>
          <w:rFonts w:ascii="Calibri" w:hAnsi="Calibri" w:cs="Calibri"/>
          <w:sz w:val="22"/>
          <w:szCs w:val="22"/>
          <w:lang w:val="pt-BR"/>
        </w:rPr>
        <w:t>Company</w:t>
      </w:r>
      <w:proofErr w:type="spellEnd"/>
      <w:r w:rsidRPr="008C4E82">
        <w:rPr>
          <w:rFonts w:ascii="Calibri" w:hAnsi="Calibri" w:cs="Calibri"/>
          <w:sz w:val="22"/>
          <w:szCs w:val="22"/>
          <w:lang w:val="pt-BR"/>
        </w:rPr>
        <w:t>, Número de Registro 42-0704420, localizada em 5600</w:t>
      </w:r>
    </w:p>
    <w:p w:rsidR="008C4E82" w:rsidRPr="008C4E82" w:rsidRDefault="008C4E82" w:rsidP="008C4E82">
      <w:pPr>
        <w:pStyle w:val="ParagraphStyle"/>
        <w:keepNext/>
        <w:keepLines/>
        <w:ind w:left="75"/>
        <w:jc w:val="both"/>
        <w:rPr>
          <w:rFonts w:ascii="Calibri" w:hAnsi="Calibri" w:cs="Calibri"/>
          <w:sz w:val="22"/>
          <w:szCs w:val="22"/>
          <w:lang w:val="pt-BR"/>
        </w:rPr>
      </w:pPr>
      <w:r w:rsidRPr="008C4E82">
        <w:rPr>
          <w:rFonts w:ascii="Calibri" w:hAnsi="Calibri" w:cs="Calibri"/>
          <w:sz w:val="22"/>
          <w:szCs w:val="22"/>
          <w:lang w:val="pt-BR"/>
        </w:rPr>
        <w:t xml:space="preserve">Lindbergh Drive, </w:t>
      </w:r>
      <w:proofErr w:type="spellStart"/>
      <w:r w:rsidRPr="008C4E82">
        <w:rPr>
          <w:rFonts w:ascii="Calibri" w:hAnsi="Calibri" w:cs="Calibri"/>
          <w:sz w:val="22"/>
          <w:szCs w:val="22"/>
          <w:lang w:val="pt-BR"/>
        </w:rPr>
        <w:t>Loveland</w:t>
      </w:r>
      <w:proofErr w:type="spellEnd"/>
      <w:r w:rsidRPr="008C4E82">
        <w:rPr>
          <w:rFonts w:ascii="Calibri" w:hAnsi="Calibri" w:cs="Calibri"/>
          <w:sz w:val="22"/>
          <w:szCs w:val="22"/>
          <w:lang w:val="pt-BR"/>
        </w:rPr>
        <w:t>, CO, 80539 USA, declara que não comercializa seus produtos diretamente e que o</w:t>
      </w:r>
      <w:r>
        <w:rPr>
          <w:rFonts w:ascii="Calibri" w:hAnsi="Calibri" w:cs="Calibri"/>
          <w:sz w:val="22"/>
          <w:szCs w:val="22"/>
          <w:lang w:val="pt-BR"/>
        </w:rPr>
        <w:t xml:space="preserve"> </w:t>
      </w:r>
      <w:r w:rsidRPr="008C4E82">
        <w:rPr>
          <w:rFonts w:ascii="Calibri" w:hAnsi="Calibri" w:cs="Calibri"/>
          <w:sz w:val="22"/>
          <w:szCs w:val="22"/>
          <w:lang w:val="pt-BR"/>
        </w:rPr>
        <w:t>comércio é realizado (exclusivamente no Brasil), por sua Subsidiária identificada abaixo:</w:t>
      </w:r>
    </w:p>
    <w:p w:rsidR="008C4E82" w:rsidRPr="008C4E82" w:rsidRDefault="008C4E82" w:rsidP="008C4E82">
      <w:pPr>
        <w:pStyle w:val="ParagraphStyle"/>
        <w:keepNext/>
        <w:keepLines/>
        <w:ind w:left="75"/>
        <w:jc w:val="both"/>
        <w:rPr>
          <w:rFonts w:ascii="Calibri" w:hAnsi="Calibri" w:cs="Calibri"/>
          <w:sz w:val="22"/>
          <w:szCs w:val="22"/>
          <w:lang w:val="pt-BR"/>
        </w:rPr>
      </w:pPr>
      <w:proofErr w:type="spellStart"/>
      <w:proofErr w:type="gramStart"/>
      <w:r w:rsidRPr="008C4E82">
        <w:rPr>
          <w:rFonts w:ascii="Calibri" w:hAnsi="Calibri" w:cs="Calibri"/>
          <w:sz w:val="22"/>
          <w:szCs w:val="22"/>
          <w:lang w:val="pt-BR"/>
        </w:rPr>
        <w:t>Hexis</w:t>
      </w:r>
      <w:proofErr w:type="spellEnd"/>
      <w:r w:rsidRPr="008C4E82">
        <w:rPr>
          <w:rFonts w:ascii="Calibri" w:hAnsi="Calibri" w:cs="Calibri"/>
          <w:sz w:val="22"/>
          <w:szCs w:val="22"/>
          <w:lang w:val="pt-BR"/>
        </w:rPr>
        <w:t xml:space="preserve"> Cientifica</w:t>
      </w:r>
      <w:proofErr w:type="gramEnd"/>
      <w:r w:rsidRPr="008C4E82">
        <w:rPr>
          <w:rFonts w:ascii="Calibri" w:hAnsi="Calibri" w:cs="Calibri"/>
          <w:sz w:val="22"/>
          <w:szCs w:val="22"/>
          <w:lang w:val="pt-BR"/>
        </w:rPr>
        <w:t xml:space="preserve"> LTDA</w:t>
      </w:r>
      <w:r>
        <w:rPr>
          <w:rFonts w:ascii="Calibri" w:hAnsi="Calibri" w:cs="Calibri"/>
          <w:sz w:val="22"/>
          <w:szCs w:val="22"/>
          <w:lang w:val="pt-BR"/>
        </w:rPr>
        <w:t xml:space="preserve"> </w:t>
      </w:r>
      <w:r w:rsidRPr="008C4E82">
        <w:rPr>
          <w:rFonts w:ascii="Calibri" w:hAnsi="Calibri" w:cs="Calibri"/>
          <w:sz w:val="22"/>
          <w:szCs w:val="22"/>
          <w:lang w:val="pt-BR"/>
        </w:rPr>
        <w:t>Av. Antonieta Piva Barranqueiros 385</w:t>
      </w:r>
      <w:r>
        <w:rPr>
          <w:rFonts w:ascii="Calibri" w:hAnsi="Calibri" w:cs="Calibri"/>
          <w:sz w:val="22"/>
          <w:szCs w:val="22"/>
          <w:lang w:val="pt-BR"/>
        </w:rPr>
        <w:t xml:space="preserve"> </w:t>
      </w:r>
      <w:r w:rsidRPr="008C4E82">
        <w:rPr>
          <w:rFonts w:ascii="Calibri" w:hAnsi="Calibri" w:cs="Calibri"/>
          <w:sz w:val="22"/>
          <w:szCs w:val="22"/>
          <w:lang w:val="pt-BR"/>
        </w:rPr>
        <w:t>Caixa Postal 2130</w:t>
      </w:r>
    </w:p>
    <w:p w:rsidR="008C4E82" w:rsidRPr="008C4E82" w:rsidRDefault="008C4E82" w:rsidP="008C4E82">
      <w:pPr>
        <w:pStyle w:val="ParagraphStyle"/>
        <w:keepNext/>
        <w:keepLines/>
        <w:ind w:left="75"/>
        <w:jc w:val="both"/>
        <w:rPr>
          <w:rFonts w:ascii="Calibri" w:hAnsi="Calibri" w:cs="Calibri"/>
          <w:sz w:val="22"/>
          <w:szCs w:val="22"/>
          <w:lang w:val="pt-BR"/>
        </w:rPr>
      </w:pPr>
      <w:r w:rsidRPr="008C4E82">
        <w:rPr>
          <w:rFonts w:ascii="Calibri" w:hAnsi="Calibri" w:cs="Calibri"/>
          <w:sz w:val="22"/>
          <w:szCs w:val="22"/>
          <w:lang w:val="pt-BR"/>
        </w:rPr>
        <w:t>Distrito Industrial</w:t>
      </w:r>
      <w:r>
        <w:rPr>
          <w:rFonts w:ascii="Calibri" w:hAnsi="Calibri" w:cs="Calibri"/>
          <w:sz w:val="22"/>
          <w:szCs w:val="22"/>
          <w:lang w:val="pt-BR"/>
        </w:rPr>
        <w:t xml:space="preserve"> </w:t>
      </w:r>
      <w:r w:rsidRPr="008C4E82">
        <w:rPr>
          <w:rFonts w:ascii="Calibri" w:hAnsi="Calibri" w:cs="Calibri"/>
          <w:sz w:val="22"/>
          <w:szCs w:val="22"/>
          <w:lang w:val="pt-BR"/>
        </w:rPr>
        <w:t>Jundiaí, SP, 13209-990</w:t>
      </w:r>
      <w:r>
        <w:rPr>
          <w:rFonts w:ascii="Calibri" w:hAnsi="Calibri" w:cs="Calibri"/>
          <w:sz w:val="22"/>
          <w:szCs w:val="22"/>
          <w:lang w:val="pt-BR"/>
        </w:rPr>
        <w:t xml:space="preserve">, </w:t>
      </w:r>
      <w:r w:rsidRPr="008C4E82">
        <w:rPr>
          <w:rFonts w:ascii="Calibri" w:hAnsi="Calibri" w:cs="Calibri"/>
          <w:sz w:val="22"/>
          <w:szCs w:val="22"/>
          <w:lang w:val="pt-BR"/>
        </w:rPr>
        <w:t>Brasil</w:t>
      </w:r>
    </w:p>
    <w:p w:rsidR="008C4E82" w:rsidRDefault="008C4E82" w:rsidP="00A041EA">
      <w:pPr>
        <w:pStyle w:val="ParagraphStyle"/>
        <w:spacing w:before="105" w:after="105" w:line="240" w:lineRule="exact"/>
        <w:jc w:val="both"/>
        <w:rPr>
          <w:rFonts w:ascii="Calibri" w:hAnsi="Calibri" w:cs="Calibri"/>
          <w:sz w:val="22"/>
          <w:szCs w:val="22"/>
        </w:rPr>
      </w:pPr>
    </w:p>
    <w:p w:rsidR="00A041EA" w:rsidRDefault="00A041EA" w:rsidP="00A041EA">
      <w:pPr>
        <w:pStyle w:val="ParagraphStyle"/>
        <w:keepNext/>
        <w:keepLines/>
        <w:ind w:right="-30"/>
        <w:jc w:val="both"/>
        <w:rPr>
          <w:rFonts w:ascii="Calibri" w:hAnsi="Calibri" w:cs="Calibri"/>
          <w:sz w:val="20"/>
          <w:szCs w:val="20"/>
        </w:rPr>
      </w:pPr>
    </w:p>
    <w:p w:rsidR="00A041EA" w:rsidRDefault="00A041EA" w:rsidP="00A041EA">
      <w:pPr>
        <w:pStyle w:val="ParagraphStyle"/>
        <w:keepNext/>
        <w:keepLines/>
        <w:ind w:right="-30"/>
        <w:jc w:val="both"/>
        <w:rPr>
          <w:rFonts w:ascii="Calibri" w:hAnsi="Calibri" w:cs="Calibri"/>
          <w:b/>
          <w:bCs/>
          <w:sz w:val="22"/>
          <w:szCs w:val="22"/>
        </w:rPr>
      </w:pPr>
      <w:r>
        <w:rPr>
          <w:rFonts w:ascii="Calibri" w:hAnsi="Calibri" w:cs="Calibri"/>
          <w:b/>
          <w:bCs/>
          <w:sz w:val="22"/>
          <w:szCs w:val="22"/>
        </w:rPr>
        <w:t>3. ALINHAMENTO ENTRE A CONTRATAÇÃO E O PLANO DE CONTRATAÇÕES ANUAL- 2025</w:t>
      </w:r>
    </w:p>
    <w:p w:rsidR="00A041EA" w:rsidRDefault="00A041EA" w:rsidP="00A041EA">
      <w:pPr>
        <w:pStyle w:val="ParagraphStyle"/>
        <w:keepNext/>
        <w:keepLines/>
        <w:tabs>
          <w:tab w:val="left" w:pos="2730"/>
        </w:tabs>
        <w:ind w:right="-30"/>
        <w:rPr>
          <w:rFonts w:ascii="Calibri" w:hAnsi="Calibri" w:cs="Calibri"/>
          <w:sz w:val="22"/>
          <w:szCs w:val="22"/>
        </w:rPr>
      </w:pPr>
      <w:r>
        <w:rPr>
          <w:rFonts w:ascii="Calibri" w:hAnsi="Calibri" w:cs="Calibri"/>
          <w:sz w:val="22"/>
          <w:szCs w:val="22"/>
        </w:rPr>
        <w:t>A necessidade da presente contratação encontra-se respaldada no Plano de Contratações Anual da SAMAE de Japurá.</w:t>
      </w:r>
    </w:p>
    <w:p w:rsidR="00A041EA" w:rsidRDefault="00A041EA" w:rsidP="00A041EA">
      <w:pPr>
        <w:pStyle w:val="ParagraphStyle"/>
        <w:keepNext/>
        <w:keepLines/>
        <w:tabs>
          <w:tab w:val="left" w:pos="2730"/>
        </w:tabs>
        <w:ind w:right="-30"/>
        <w:rPr>
          <w:rFonts w:ascii="Calibri" w:hAnsi="Calibri" w:cs="Calibri"/>
          <w:sz w:val="20"/>
          <w:szCs w:val="20"/>
        </w:rPr>
      </w:pPr>
    </w:p>
    <w:p w:rsidR="00A041EA" w:rsidRDefault="00A041EA" w:rsidP="00A041EA">
      <w:pPr>
        <w:pStyle w:val="ParagraphStyle"/>
        <w:keepNext/>
        <w:keepLines/>
        <w:tabs>
          <w:tab w:val="left" w:pos="2730"/>
        </w:tabs>
        <w:ind w:right="-30"/>
        <w:rPr>
          <w:rFonts w:ascii="Calibri" w:hAnsi="Calibri" w:cs="Calibri"/>
          <w:b/>
          <w:bCs/>
          <w:sz w:val="22"/>
          <w:szCs w:val="22"/>
        </w:rPr>
      </w:pPr>
      <w:r>
        <w:rPr>
          <w:rFonts w:ascii="Calibri" w:hAnsi="Calibri" w:cs="Calibri"/>
          <w:b/>
          <w:bCs/>
          <w:sz w:val="22"/>
          <w:szCs w:val="22"/>
        </w:rPr>
        <w:t>4. REQUISITOS DA CONTRATAÇÃO</w:t>
      </w:r>
    </w:p>
    <w:p w:rsidR="00A041EA" w:rsidRDefault="00A041EA" w:rsidP="00A041EA">
      <w:pPr>
        <w:pStyle w:val="ParagraphStyle"/>
        <w:keepNext/>
        <w:keepLines/>
        <w:rPr>
          <w:rFonts w:ascii="Calibri" w:hAnsi="Calibri" w:cs="Calibri"/>
          <w:sz w:val="20"/>
          <w:szCs w:val="20"/>
        </w:rPr>
      </w:pPr>
    </w:p>
    <w:p w:rsidR="00A041EA" w:rsidRDefault="00A041EA" w:rsidP="00A041EA">
      <w:pPr>
        <w:pStyle w:val="ParagraphStyle"/>
        <w:keepNext/>
        <w:keepLines/>
        <w:rPr>
          <w:rFonts w:ascii="Calibri" w:hAnsi="Calibri" w:cs="Calibri"/>
          <w:sz w:val="22"/>
          <w:szCs w:val="22"/>
        </w:rPr>
      </w:pPr>
      <w:r>
        <w:rPr>
          <w:rFonts w:ascii="Calibri" w:hAnsi="Calibri" w:cs="Calibri"/>
          <w:sz w:val="22"/>
          <w:szCs w:val="22"/>
        </w:rPr>
        <w:t>A contratação deverá observar os seguintes requisitos:</w:t>
      </w:r>
    </w:p>
    <w:p w:rsidR="00A041EA" w:rsidRDefault="00A041EA" w:rsidP="00A041EA">
      <w:pPr>
        <w:pStyle w:val="ParagraphStyle"/>
        <w:keepNext/>
        <w:keepLines/>
        <w:ind w:left="75"/>
        <w:rPr>
          <w:rFonts w:ascii="Calibri" w:hAnsi="Calibri" w:cs="Calibri"/>
          <w:b/>
          <w:bCs/>
          <w:sz w:val="22"/>
          <w:szCs w:val="22"/>
        </w:rPr>
      </w:pPr>
      <w:r>
        <w:rPr>
          <w:rFonts w:ascii="Calibri" w:hAnsi="Calibri" w:cs="Calibri"/>
          <w:sz w:val="22"/>
          <w:szCs w:val="22"/>
        </w:rPr>
        <w:t>1. O critério de julgamento a ser utilizado no presente certame será inexigibilidade de licitação</w:t>
      </w:r>
      <w:r>
        <w:rPr>
          <w:rFonts w:ascii="Calibri" w:hAnsi="Calibri" w:cs="Calibri"/>
          <w:b/>
          <w:bCs/>
          <w:sz w:val="22"/>
          <w:szCs w:val="22"/>
        </w:rPr>
        <w:t>;</w:t>
      </w:r>
    </w:p>
    <w:p w:rsidR="00A041EA" w:rsidRDefault="00A041EA" w:rsidP="00A041EA">
      <w:pPr>
        <w:pStyle w:val="ParagraphStyle"/>
        <w:keepNext/>
        <w:keepLines/>
        <w:ind w:left="75"/>
        <w:jc w:val="both"/>
        <w:rPr>
          <w:rFonts w:ascii="Calibri" w:hAnsi="Calibri" w:cs="Calibri"/>
          <w:sz w:val="22"/>
          <w:szCs w:val="22"/>
        </w:rPr>
      </w:pPr>
      <w:r>
        <w:rPr>
          <w:rFonts w:ascii="Calibri" w:hAnsi="Calibri" w:cs="Calibri"/>
          <w:sz w:val="22"/>
          <w:szCs w:val="22"/>
        </w:rPr>
        <w:t>2. Não serão aplicadas a indicação e/ou a vedação de marcas;</w:t>
      </w:r>
    </w:p>
    <w:p w:rsidR="00A041EA" w:rsidRDefault="00A041EA" w:rsidP="00A041EA">
      <w:pPr>
        <w:pStyle w:val="ParagraphStyle"/>
        <w:keepNext/>
        <w:keepLines/>
        <w:ind w:left="75"/>
        <w:jc w:val="both"/>
        <w:rPr>
          <w:rFonts w:ascii="Calibri" w:hAnsi="Calibri" w:cs="Calibri"/>
          <w:sz w:val="22"/>
          <w:szCs w:val="22"/>
        </w:rPr>
      </w:pPr>
      <w:r>
        <w:rPr>
          <w:rFonts w:ascii="Calibri" w:hAnsi="Calibri" w:cs="Calibri"/>
          <w:sz w:val="22"/>
          <w:szCs w:val="22"/>
        </w:rPr>
        <w:t>3. Não será admitida a subcontratação do objeto contratual;</w:t>
      </w:r>
    </w:p>
    <w:p w:rsidR="00A041EA" w:rsidRDefault="00A041EA" w:rsidP="00A041EA">
      <w:pPr>
        <w:pStyle w:val="ParagraphStyle"/>
        <w:keepNext/>
        <w:keepLines/>
        <w:ind w:left="75"/>
        <w:jc w:val="both"/>
        <w:rPr>
          <w:rFonts w:ascii="Calibri" w:hAnsi="Calibri" w:cs="Calibri"/>
          <w:sz w:val="22"/>
          <w:szCs w:val="22"/>
        </w:rPr>
      </w:pPr>
      <w:r>
        <w:rPr>
          <w:rFonts w:ascii="Calibri" w:hAnsi="Calibri" w:cs="Calibri"/>
          <w:sz w:val="22"/>
          <w:szCs w:val="22"/>
        </w:rPr>
        <w:t>4. Não haverá exigência da garantia da contratação dos arts. 96 e seguintes da Lei nº 14.133/21.</w:t>
      </w:r>
    </w:p>
    <w:p w:rsidR="008C4E82" w:rsidRPr="008C4E82" w:rsidRDefault="005F12C9" w:rsidP="008C4E82">
      <w:pPr>
        <w:pStyle w:val="ParagraphStyle"/>
        <w:keepNext/>
        <w:keepLines/>
        <w:ind w:left="75"/>
        <w:jc w:val="both"/>
        <w:rPr>
          <w:rFonts w:ascii="Calibri" w:hAnsi="Calibri" w:cs="Calibri"/>
          <w:sz w:val="22"/>
          <w:szCs w:val="22"/>
          <w:lang w:val="pt-BR"/>
        </w:rPr>
      </w:pPr>
      <w:r>
        <w:rPr>
          <w:rFonts w:ascii="Calibri" w:hAnsi="Calibri" w:cs="Calibri"/>
          <w:sz w:val="22"/>
          <w:szCs w:val="22"/>
          <w:lang w:val="pt-BR"/>
        </w:rPr>
        <w:t xml:space="preserve">5. apresentação de documento que ateste a exclusividade dos serviços prestados </w:t>
      </w:r>
      <w:r w:rsidR="008C4E82">
        <w:rPr>
          <w:rFonts w:ascii="Calibri" w:hAnsi="Calibri" w:cs="Calibri"/>
          <w:sz w:val="22"/>
          <w:szCs w:val="22"/>
          <w:lang w:val="pt-BR"/>
        </w:rPr>
        <w:t xml:space="preserve">“Certificado de Exclusividade de </w:t>
      </w:r>
      <w:r w:rsidR="008C4E82" w:rsidRPr="008C4E82">
        <w:rPr>
          <w:rFonts w:ascii="Calibri" w:hAnsi="Calibri" w:cs="Calibri"/>
          <w:sz w:val="22"/>
          <w:szCs w:val="22"/>
          <w:lang w:val="pt-BR"/>
        </w:rPr>
        <w:t>6 de agosto de 2024</w:t>
      </w:r>
      <w:r w:rsidR="008C4E82">
        <w:rPr>
          <w:rFonts w:ascii="Calibri" w:hAnsi="Calibri" w:cs="Calibri"/>
          <w:sz w:val="22"/>
          <w:szCs w:val="22"/>
          <w:lang w:val="pt-BR"/>
        </w:rPr>
        <w:t xml:space="preserve">, </w:t>
      </w:r>
      <w:proofErr w:type="spellStart"/>
      <w:r w:rsidR="008C4E82" w:rsidRPr="008C4E82">
        <w:rPr>
          <w:rFonts w:ascii="Calibri" w:hAnsi="Calibri" w:cs="Calibri"/>
          <w:sz w:val="22"/>
          <w:szCs w:val="22"/>
          <w:lang w:val="pt-BR"/>
        </w:rPr>
        <w:t>Hach</w:t>
      </w:r>
      <w:proofErr w:type="spellEnd"/>
      <w:r w:rsidR="008C4E82" w:rsidRPr="008C4E82">
        <w:rPr>
          <w:rFonts w:ascii="Calibri" w:hAnsi="Calibri" w:cs="Calibri"/>
          <w:sz w:val="22"/>
          <w:szCs w:val="22"/>
          <w:lang w:val="pt-BR"/>
        </w:rPr>
        <w:t xml:space="preserve"> </w:t>
      </w:r>
      <w:proofErr w:type="spellStart"/>
      <w:r w:rsidR="008C4E82" w:rsidRPr="008C4E82">
        <w:rPr>
          <w:rFonts w:ascii="Calibri" w:hAnsi="Calibri" w:cs="Calibri"/>
          <w:sz w:val="22"/>
          <w:szCs w:val="22"/>
          <w:lang w:val="pt-BR"/>
        </w:rPr>
        <w:t>Company</w:t>
      </w:r>
      <w:proofErr w:type="spellEnd"/>
      <w:r w:rsidR="008C4E82" w:rsidRPr="008C4E82">
        <w:rPr>
          <w:rFonts w:ascii="Calibri" w:hAnsi="Calibri" w:cs="Calibri"/>
          <w:sz w:val="22"/>
          <w:szCs w:val="22"/>
          <w:lang w:val="pt-BR"/>
        </w:rPr>
        <w:t>, Número de Registro 42-0704420, localizada em 5600</w:t>
      </w:r>
    </w:p>
    <w:p w:rsidR="008C4E82" w:rsidRPr="008C4E82" w:rsidRDefault="008C4E82" w:rsidP="008C4E82">
      <w:pPr>
        <w:pStyle w:val="ParagraphStyle"/>
        <w:keepNext/>
        <w:keepLines/>
        <w:ind w:left="75"/>
        <w:jc w:val="both"/>
        <w:rPr>
          <w:rFonts w:ascii="Calibri" w:hAnsi="Calibri" w:cs="Calibri"/>
          <w:sz w:val="22"/>
          <w:szCs w:val="22"/>
          <w:lang w:val="pt-BR"/>
        </w:rPr>
      </w:pPr>
      <w:r w:rsidRPr="008C4E82">
        <w:rPr>
          <w:rFonts w:ascii="Calibri" w:hAnsi="Calibri" w:cs="Calibri"/>
          <w:sz w:val="22"/>
          <w:szCs w:val="22"/>
          <w:lang w:val="pt-BR"/>
        </w:rPr>
        <w:t xml:space="preserve">Lindbergh Drive, </w:t>
      </w:r>
      <w:proofErr w:type="spellStart"/>
      <w:r w:rsidRPr="008C4E82">
        <w:rPr>
          <w:rFonts w:ascii="Calibri" w:hAnsi="Calibri" w:cs="Calibri"/>
          <w:sz w:val="22"/>
          <w:szCs w:val="22"/>
          <w:lang w:val="pt-BR"/>
        </w:rPr>
        <w:t>Loveland</w:t>
      </w:r>
      <w:proofErr w:type="spellEnd"/>
      <w:r w:rsidRPr="008C4E82">
        <w:rPr>
          <w:rFonts w:ascii="Calibri" w:hAnsi="Calibri" w:cs="Calibri"/>
          <w:sz w:val="22"/>
          <w:szCs w:val="22"/>
          <w:lang w:val="pt-BR"/>
        </w:rPr>
        <w:t>, CO, 80539 USA, declara que não comercializa seus produtos diretamente e que o</w:t>
      </w:r>
      <w:r>
        <w:rPr>
          <w:rFonts w:ascii="Calibri" w:hAnsi="Calibri" w:cs="Calibri"/>
          <w:sz w:val="22"/>
          <w:szCs w:val="22"/>
          <w:lang w:val="pt-BR"/>
        </w:rPr>
        <w:t xml:space="preserve"> </w:t>
      </w:r>
      <w:r w:rsidRPr="008C4E82">
        <w:rPr>
          <w:rFonts w:ascii="Calibri" w:hAnsi="Calibri" w:cs="Calibri"/>
          <w:sz w:val="22"/>
          <w:szCs w:val="22"/>
          <w:lang w:val="pt-BR"/>
        </w:rPr>
        <w:t>comércio é realizado (exclusivamente no Brasil), por sua Subsidiária identificada abaixo:</w:t>
      </w:r>
    </w:p>
    <w:p w:rsidR="008C4E82" w:rsidRPr="008C4E82" w:rsidRDefault="008C4E82" w:rsidP="008C4E82">
      <w:pPr>
        <w:pStyle w:val="ParagraphStyle"/>
        <w:keepNext/>
        <w:keepLines/>
        <w:ind w:left="75"/>
        <w:jc w:val="both"/>
        <w:rPr>
          <w:rFonts w:ascii="Calibri" w:hAnsi="Calibri" w:cs="Calibri"/>
          <w:sz w:val="22"/>
          <w:szCs w:val="22"/>
          <w:lang w:val="pt-BR"/>
        </w:rPr>
      </w:pPr>
      <w:proofErr w:type="spellStart"/>
      <w:proofErr w:type="gramStart"/>
      <w:r w:rsidRPr="008C4E82">
        <w:rPr>
          <w:rFonts w:ascii="Calibri" w:hAnsi="Calibri" w:cs="Calibri"/>
          <w:sz w:val="22"/>
          <w:szCs w:val="22"/>
          <w:lang w:val="pt-BR"/>
        </w:rPr>
        <w:t>Hexis</w:t>
      </w:r>
      <w:proofErr w:type="spellEnd"/>
      <w:r w:rsidRPr="008C4E82">
        <w:rPr>
          <w:rFonts w:ascii="Calibri" w:hAnsi="Calibri" w:cs="Calibri"/>
          <w:sz w:val="22"/>
          <w:szCs w:val="22"/>
          <w:lang w:val="pt-BR"/>
        </w:rPr>
        <w:t xml:space="preserve"> Cientifica</w:t>
      </w:r>
      <w:proofErr w:type="gramEnd"/>
      <w:r w:rsidRPr="008C4E82">
        <w:rPr>
          <w:rFonts w:ascii="Calibri" w:hAnsi="Calibri" w:cs="Calibri"/>
          <w:sz w:val="22"/>
          <w:szCs w:val="22"/>
          <w:lang w:val="pt-BR"/>
        </w:rPr>
        <w:t xml:space="preserve"> LTDA</w:t>
      </w:r>
      <w:r>
        <w:rPr>
          <w:rFonts w:ascii="Calibri" w:hAnsi="Calibri" w:cs="Calibri"/>
          <w:sz w:val="22"/>
          <w:szCs w:val="22"/>
          <w:lang w:val="pt-BR"/>
        </w:rPr>
        <w:t xml:space="preserve"> </w:t>
      </w:r>
      <w:r w:rsidRPr="008C4E82">
        <w:rPr>
          <w:rFonts w:ascii="Calibri" w:hAnsi="Calibri" w:cs="Calibri"/>
          <w:sz w:val="22"/>
          <w:szCs w:val="22"/>
          <w:lang w:val="pt-BR"/>
        </w:rPr>
        <w:t>Av. Antonieta Piva Barranqueiros 385</w:t>
      </w:r>
      <w:r>
        <w:rPr>
          <w:rFonts w:ascii="Calibri" w:hAnsi="Calibri" w:cs="Calibri"/>
          <w:sz w:val="22"/>
          <w:szCs w:val="22"/>
          <w:lang w:val="pt-BR"/>
        </w:rPr>
        <w:t xml:space="preserve"> </w:t>
      </w:r>
      <w:r w:rsidRPr="008C4E82">
        <w:rPr>
          <w:rFonts w:ascii="Calibri" w:hAnsi="Calibri" w:cs="Calibri"/>
          <w:sz w:val="22"/>
          <w:szCs w:val="22"/>
          <w:lang w:val="pt-BR"/>
        </w:rPr>
        <w:t>Caixa Postal 2130</w:t>
      </w:r>
    </w:p>
    <w:p w:rsidR="008C4E82" w:rsidRPr="008C4E82" w:rsidRDefault="008C4E82" w:rsidP="008C4E82">
      <w:pPr>
        <w:pStyle w:val="ParagraphStyle"/>
        <w:keepNext/>
        <w:keepLines/>
        <w:ind w:left="75"/>
        <w:jc w:val="both"/>
        <w:rPr>
          <w:rFonts w:ascii="Calibri" w:hAnsi="Calibri" w:cs="Calibri"/>
          <w:sz w:val="22"/>
          <w:szCs w:val="22"/>
          <w:lang w:val="pt-BR"/>
        </w:rPr>
      </w:pPr>
      <w:r w:rsidRPr="008C4E82">
        <w:rPr>
          <w:rFonts w:ascii="Calibri" w:hAnsi="Calibri" w:cs="Calibri"/>
          <w:sz w:val="22"/>
          <w:szCs w:val="22"/>
          <w:lang w:val="pt-BR"/>
        </w:rPr>
        <w:t>Distrito Industrial</w:t>
      </w:r>
      <w:r>
        <w:rPr>
          <w:rFonts w:ascii="Calibri" w:hAnsi="Calibri" w:cs="Calibri"/>
          <w:sz w:val="22"/>
          <w:szCs w:val="22"/>
          <w:lang w:val="pt-BR"/>
        </w:rPr>
        <w:t xml:space="preserve"> </w:t>
      </w:r>
      <w:r w:rsidRPr="008C4E82">
        <w:rPr>
          <w:rFonts w:ascii="Calibri" w:hAnsi="Calibri" w:cs="Calibri"/>
          <w:sz w:val="22"/>
          <w:szCs w:val="22"/>
          <w:lang w:val="pt-BR"/>
        </w:rPr>
        <w:t>Jundiaí, SP, 13209-990</w:t>
      </w:r>
      <w:r>
        <w:rPr>
          <w:rFonts w:ascii="Calibri" w:hAnsi="Calibri" w:cs="Calibri"/>
          <w:sz w:val="22"/>
          <w:szCs w:val="22"/>
          <w:lang w:val="pt-BR"/>
        </w:rPr>
        <w:t xml:space="preserve">, </w:t>
      </w:r>
      <w:r w:rsidRPr="008C4E82">
        <w:rPr>
          <w:rFonts w:ascii="Calibri" w:hAnsi="Calibri" w:cs="Calibri"/>
          <w:sz w:val="22"/>
          <w:szCs w:val="22"/>
          <w:lang w:val="pt-BR"/>
        </w:rPr>
        <w:t>Brasil</w:t>
      </w:r>
    </w:p>
    <w:p w:rsidR="00A041EA" w:rsidRDefault="00A041EA" w:rsidP="00A041EA">
      <w:pPr>
        <w:pStyle w:val="ParagraphStyle"/>
        <w:keepNext/>
        <w:keepLines/>
        <w:ind w:right="-30"/>
        <w:jc w:val="both"/>
        <w:rPr>
          <w:rFonts w:ascii="Calibri" w:hAnsi="Calibri" w:cs="Calibri"/>
          <w:sz w:val="20"/>
          <w:szCs w:val="20"/>
        </w:rPr>
      </w:pPr>
    </w:p>
    <w:p w:rsidR="00A041EA" w:rsidRDefault="00A041EA" w:rsidP="00A041EA">
      <w:pPr>
        <w:pStyle w:val="ParagraphStyle"/>
        <w:keepNext/>
        <w:keepLines/>
        <w:tabs>
          <w:tab w:val="left" w:pos="375"/>
        </w:tabs>
        <w:ind w:firstLine="30"/>
        <w:outlineLvl w:val="1"/>
        <w:rPr>
          <w:rFonts w:ascii="Calibri" w:hAnsi="Calibri" w:cs="Calibri"/>
          <w:b/>
          <w:bCs/>
          <w:sz w:val="22"/>
          <w:szCs w:val="22"/>
        </w:rPr>
      </w:pPr>
      <w:r>
        <w:rPr>
          <w:rFonts w:ascii="Calibri" w:hAnsi="Calibri" w:cs="Calibri"/>
          <w:b/>
          <w:bCs/>
          <w:sz w:val="22"/>
          <w:szCs w:val="22"/>
        </w:rPr>
        <w:t>5. RELAÇÃO ENTRE A DEMANDA PREVISTA E QUANTIDADES DE CADA ITEM</w:t>
      </w:r>
    </w:p>
    <w:p w:rsidR="00A041EA" w:rsidRDefault="00A041EA" w:rsidP="00A041EA">
      <w:pPr>
        <w:pStyle w:val="ParagraphStyle"/>
        <w:keepNext/>
        <w:keepLines/>
        <w:tabs>
          <w:tab w:val="left" w:pos="375"/>
        </w:tabs>
        <w:ind w:firstLine="30"/>
        <w:outlineLvl w:val="1"/>
        <w:rPr>
          <w:rFonts w:ascii="Calibri" w:hAnsi="Calibri" w:cs="Calibri"/>
          <w:sz w:val="20"/>
          <w:szCs w:val="20"/>
        </w:rPr>
      </w:pPr>
    </w:p>
    <w:tbl>
      <w:tblPr>
        <w:tblW w:w="4850" w:type="pct"/>
        <w:tblInd w:w="232" w:type="dxa"/>
        <w:tblLayout w:type="fixed"/>
        <w:tblCellMar>
          <w:top w:w="15" w:type="dxa"/>
          <w:left w:w="15" w:type="dxa"/>
          <w:bottom w:w="15" w:type="dxa"/>
          <w:right w:w="15" w:type="dxa"/>
        </w:tblCellMar>
        <w:tblLook w:val="0000" w:firstRow="0" w:lastRow="0" w:firstColumn="0" w:lastColumn="0" w:noHBand="0" w:noVBand="0"/>
      </w:tblPr>
      <w:tblGrid>
        <w:gridCol w:w="477"/>
        <w:gridCol w:w="694"/>
        <w:gridCol w:w="5393"/>
        <w:gridCol w:w="709"/>
        <w:gridCol w:w="567"/>
        <w:gridCol w:w="639"/>
        <w:gridCol w:w="848"/>
      </w:tblGrid>
      <w:tr w:rsidR="00A041EA" w:rsidRPr="00C331EA" w:rsidTr="00C331EA">
        <w:tc>
          <w:tcPr>
            <w:tcW w:w="9327" w:type="dxa"/>
            <w:gridSpan w:val="7"/>
            <w:tcBorders>
              <w:top w:val="single" w:sz="6" w:space="0" w:color="000000"/>
              <w:left w:val="single" w:sz="6" w:space="0" w:color="000000"/>
              <w:bottom w:val="single" w:sz="6" w:space="0" w:color="000000"/>
              <w:right w:val="single" w:sz="6" w:space="0" w:color="000000"/>
            </w:tcBorders>
            <w:shd w:val="clear" w:color="auto" w:fill="FFFFFF"/>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Lote: 1 - Lote 001</w:t>
            </w:r>
          </w:p>
        </w:tc>
      </w:tr>
      <w:tr w:rsidR="00A041EA" w:rsidRPr="00C331EA" w:rsidTr="00C331EA">
        <w:tblPrEx>
          <w:tblCellSpacing w:w="-8" w:type="nil"/>
        </w:tblPrEx>
        <w:trPr>
          <w:tblCellSpacing w:w="-8" w:type="nil"/>
        </w:trPr>
        <w:tc>
          <w:tcPr>
            <w:tcW w:w="477" w:type="dxa"/>
            <w:tcBorders>
              <w:top w:val="single" w:sz="6" w:space="0" w:color="000000"/>
              <w:left w:val="single" w:sz="6" w:space="0" w:color="000000"/>
              <w:bottom w:val="single" w:sz="6" w:space="0" w:color="000000"/>
              <w:right w:val="single" w:sz="6" w:space="0" w:color="000000"/>
            </w:tcBorders>
            <w:shd w:val="clear" w:color="auto" w:fill="C0C0C0"/>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Item</w:t>
            </w:r>
          </w:p>
        </w:tc>
        <w:tc>
          <w:tcPr>
            <w:tcW w:w="694" w:type="dxa"/>
            <w:tcBorders>
              <w:top w:val="single" w:sz="6" w:space="0" w:color="000000"/>
              <w:left w:val="single" w:sz="6" w:space="0" w:color="000000"/>
              <w:bottom w:val="single" w:sz="6" w:space="0" w:color="000000"/>
              <w:right w:val="single" w:sz="6" w:space="0" w:color="000000"/>
            </w:tcBorders>
            <w:shd w:val="clear" w:color="auto" w:fill="C0C0C0"/>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 xml:space="preserve">Código </w:t>
            </w:r>
          </w:p>
        </w:tc>
        <w:tc>
          <w:tcPr>
            <w:tcW w:w="5393" w:type="dxa"/>
            <w:tcBorders>
              <w:top w:val="single" w:sz="6" w:space="0" w:color="000000"/>
              <w:left w:val="single" w:sz="6" w:space="0" w:color="000000"/>
              <w:bottom w:val="single" w:sz="6" w:space="0" w:color="000000"/>
              <w:right w:val="single" w:sz="6" w:space="0" w:color="000000"/>
            </w:tcBorders>
            <w:shd w:val="clear" w:color="auto" w:fill="C0C0C0"/>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Nome do serviço</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Qtde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Unid</w:t>
            </w:r>
          </w:p>
        </w:tc>
        <w:tc>
          <w:tcPr>
            <w:tcW w:w="639" w:type="dxa"/>
            <w:tcBorders>
              <w:top w:val="single" w:sz="6" w:space="0" w:color="000000"/>
              <w:left w:val="single" w:sz="6" w:space="0" w:color="000000"/>
              <w:bottom w:val="single" w:sz="6" w:space="0" w:color="000000"/>
              <w:right w:val="single" w:sz="6" w:space="0" w:color="000000"/>
            </w:tcBorders>
            <w:shd w:val="clear" w:color="auto" w:fill="C0C0C0"/>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 xml:space="preserve">Preço </w:t>
            </w:r>
            <w:r w:rsidR="005F12C9" w:rsidRPr="00C331EA">
              <w:rPr>
                <w:rFonts w:ascii="Calibri" w:hAnsi="Calibri" w:cs="Calibri"/>
                <w:sz w:val="16"/>
                <w:szCs w:val="16"/>
              </w:rPr>
              <w:t>máx.</w:t>
            </w:r>
          </w:p>
        </w:tc>
        <w:tc>
          <w:tcPr>
            <w:tcW w:w="848" w:type="dxa"/>
            <w:tcBorders>
              <w:top w:val="single" w:sz="6" w:space="0" w:color="000000"/>
              <w:left w:val="single" w:sz="6" w:space="0" w:color="000000"/>
              <w:bottom w:val="single" w:sz="6" w:space="0" w:color="000000"/>
              <w:right w:val="single" w:sz="6" w:space="0" w:color="000000"/>
            </w:tcBorders>
            <w:shd w:val="clear" w:color="auto" w:fill="C0C0C0"/>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 xml:space="preserve">Preço </w:t>
            </w:r>
            <w:r w:rsidR="005F12C9" w:rsidRPr="00C331EA">
              <w:rPr>
                <w:rFonts w:ascii="Calibri" w:hAnsi="Calibri" w:cs="Calibri"/>
                <w:sz w:val="16"/>
                <w:szCs w:val="16"/>
              </w:rPr>
              <w:t>máx.</w:t>
            </w:r>
            <w:r w:rsidRPr="00C331EA">
              <w:rPr>
                <w:rFonts w:ascii="Calibri" w:hAnsi="Calibri" w:cs="Calibri"/>
                <w:sz w:val="16"/>
                <w:szCs w:val="16"/>
              </w:rPr>
              <w:t xml:space="preserve"> total</w:t>
            </w:r>
          </w:p>
        </w:tc>
      </w:tr>
      <w:tr w:rsidR="00A041EA" w:rsidRPr="00C331EA" w:rsidTr="00C331EA">
        <w:tblPrEx>
          <w:tblCellSpacing w:w="-8" w:type="nil"/>
        </w:tblPrEx>
        <w:trPr>
          <w:tblCellSpacing w:w="-8" w:type="nil"/>
        </w:trPr>
        <w:tc>
          <w:tcPr>
            <w:tcW w:w="477" w:type="dxa"/>
            <w:tcBorders>
              <w:top w:val="single" w:sz="6" w:space="0" w:color="000000"/>
              <w:left w:val="single" w:sz="6" w:space="0" w:color="000000"/>
              <w:bottom w:val="single" w:sz="6" w:space="0" w:color="000000"/>
              <w:right w:val="single" w:sz="6" w:space="0" w:color="000000"/>
            </w:tcBorders>
            <w:shd w:val="clear" w:color="auto" w:fill="FFFFFF"/>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1</w:t>
            </w:r>
          </w:p>
        </w:tc>
        <w:tc>
          <w:tcPr>
            <w:tcW w:w="694" w:type="dxa"/>
            <w:tcBorders>
              <w:top w:val="single" w:sz="6" w:space="0" w:color="000000"/>
              <w:left w:val="single" w:sz="6" w:space="0" w:color="000000"/>
              <w:bottom w:val="single" w:sz="6" w:space="0" w:color="000000"/>
              <w:right w:val="single" w:sz="6" w:space="0" w:color="000000"/>
            </w:tcBorders>
            <w:shd w:val="clear" w:color="auto" w:fill="FFFFFF"/>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24972</w:t>
            </w:r>
          </w:p>
        </w:tc>
        <w:tc>
          <w:tcPr>
            <w:tcW w:w="5393" w:type="dxa"/>
            <w:tcBorders>
              <w:top w:val="single" w:sz="6" w:space="0" w:color="000000"/>
              <w:left w:val="single" w:sz="6" w:space="0" w:color="000000"/>
              <w:bottom w:val="single" w:sz="6" w:space="0" w:color="000000"/>
              <w:right w:val="single" w:sz="6" w:space="0" w:color="000000"/>
            </w:tcBorders>
            <w:shd w:val="clear" w:color="auto" w:fill="FFFFFF"/>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 xml:space="preserve">CERT CALIBRACAO RASTREAVEL TURBIDIMETRO INTERNO EMISSÃO DE CERTIFICAÇÃO DE CALIBRAÇÃO RASTREÁVEL (NÃO ACREDITADO) POR MÉTODO COMPARATIVO CONFORME METODOLOGIA DE CALIBRAÇÃO MC-7.5-16 DE APARELHO LABORATÓRIO TURBIDIMETRO PORTÁTIL 2100Q, A CALIBRAÇÃO DOS TURBIDIMETROS  SÃO REALIZADAS NOS SEGUINTES PONTOS: 4 PONTOS: 1, 20, 100 E 800 NTU.  </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1,00</w:t>
            </w:r>
          </w:p>
        </w:tc>
        <w:tc>
          <w:tcPr>
            <w:tcW w:w="567" w:type="dxa"/>
            <w:tcBorders>
              <w:top w:val="single" w:sz="6" w:space="0" w:color="000000"/>
              <w:left w:val="single" w:sz="6" w:space="0" w:color="000000"/>
              <w:bottom w:val="single" w:sz="6" w:space="0" w:color="000000"/>
              <w:right w:val="single" w:sz="6" w:space="0" w:color="000000"/>
            </w:tcBorders>
            <w:shd w:val="clear" w:color="auto" w:fill="FFFFFF"/>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SERV</w:t>
            </w:r>
          </w:p>
        </w:tc>
        <w:tc>
          <w:tcPr>
            <w:tcW w:w="639" w:type="dxa"/>
            <w:tcBorders>
              <w:top w:val="single" w:sz="6" w:space="0" w:color="000000"/>
              <w:left w:val="single" w:sz="6" w:space="0" w:color="000000"/>
              <w:bottom w:val="single" w:sz="6" w:space="0" w:color="000000"/>
              <w:right w:val="single" w:sz="6" w:space="0" w:color="000000"/>
            </w:tcBorders>
            <w:shd w:val="clear" w:color="auto" w:fill="FFFFFF"/>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281,56</w:t>
            </w:r>
          </w:p>
        </w:tc>
        <w:tc>
          <w:tcPr>
            <w:tcW w:w="848" w:type="dxa"/>
            <w:tcBorders>
              <w:top w:val="single" w:sz="6" w:space="0" w:color="000000"/>
              <w:left w:val="single" w:sz="6" w:space="0" w:color="000000"/>
              <w:bottom w:val="single" w:sz="6" w:space="0" w:color="000000"/>
              <w:right w:val="single" w:sz="6" w:space="0" w:color="000000"/>
            </w:tcBorders>
            <w:shd w:val="clear" w:color="auto" w:fill="FFFFFF"/>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281,56</w:t>
            </w:r>
          </w:p>
        </w:tc>
      </w:tr>
      <w:tr w:rsidR="00A041EA" w:rsidRPr="00C331EA" w:rsidTr="00C331EA">
        <w:tblPrEx>
          <w:tblCellSpacing w:w="-8" w:type="nil"/>
        </w:tblPrEx>
        <w:trPr>
          <w:tblCellSpacing w:w="-8" w:type="nil"/>
        </w:trPr>
        <w:tc>
          <w:tcPr>
            <w:tcW w:w="8479" w:type="dxa"/>
            <w:gridSpan w:val="6"/>
            <w:tcBorders>
              <w:top w:val="single" w:sz="6" w:space="0" w:color="000000"/>
              <w:left w:val="single" w:sz="6" w:space="0" w:color="000000"/>
              <w:bottom w:val="single" w:sz="6" w:space="0" w:color="000000"/>
              <w:right w:val="single" w:sz="6" w:space="0" w:color="000000"/>
            </w:tcBorders>
            <w:shd w:val="clear" w:color="auto" w:fill="FFFFFF"/>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TOTAL</w:t>
            </w:r>
          </w:p>
        </w:tc>
        <w:tc>
          <w:tcPr>
            <w:tcW w:w="848" w:type="dxa"/>
            <w:tcBorders>
              <w:top w:val="single" w:sz="6" w:space="0" w:color="000000"/>
              <w:left w:val="single" w:sz="6" w:space="0" w:color="000000"/>
              <w:bottom w:val="single" w:sz="6" w:space="0" w:color="000000"/>
              <w:right w:val="single" w:sz="6" w:space="0" w:color="000000"/>
            </w:tcBorders>
            <w:shd w:val="clear" w:color="auto" w:fill="FFFFFF"/>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281,56</w:t>
            </w:r>
          </w:p>
        </w:tc>
      </w:tr>
      <w:tr w:rsidR="00A041EA" w:rsidRPr="00C331EA" w:rsidTr="00C331EA">
        <w:tblPrEx>
          <w:tblCellSpacing w:w="-8" w:type="nil"/>
        </w:tblPrEx>
        <w:trPr>
          <w:tblCellSpacing w:w="-8" w:type="nil"/>
        </w:trPr>
        <w:tc>
          <w:tcPr>
            <w:tcW w:w="9327" w:type="dxa"/>
            <w:gridSpan w:val="7"/>
            <w:tcBorders>
              <w:top w:val="single" w:sz="6" w:space="0" w:color="000000"/>
              <w:left w:val="single" w:sz="6" w:space="0" w:color="000000"/>
              <w:bottom w:val="single" w:sz="6" w:space="0" w:color="000000"/>
              <w:right w:val="single" w:sz="6" w:space="0" w:color="000000"/>
            </w:tcBorders>
            <w:shd w:val="clear" w:color="auto" w:fill="FFFFFF"/>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Lote: 2 - Lote 002</w:t>
            </w:r>
          </w:p>
        </w:tc>
      </w:tr>
      <w:tr w:rsidR="00A041EA" w:rsidRPr="00C331EA" w:rsidTr="00C331EA">
        <w:tblPrEx>
          <w:tblCellSpacing w:w="-8" w:type="nil"/>
        </w:tblPrEx>
        <w:trPr>
          <w:tblCellSpacing w:w="-8" w:type="nil"/>
        </w:trPr>
        <w:tc>
          <w:tcPr>
            <w:tcW w:w="477" w:type="dxa"/>
            <w:tcBorders>
              <w:top w:val="single" w:sz="6" w:space="0" w:color="000000"/>
              <w:left w:val="single" w:sz="6" w:space="0" w:color="000000"/>
              <w:bottom w:val="single" w:sz="6" w:space="0" w:color="000000"/>
              <w:right w:val="single" w:sz="6" w:space="0" w:color="000000"/>
            </w:tcBorders>
            <w:shd w:val="clear" w:color="auto" w:fill="C0C0C0"/>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Item</w:t>
            </w:r>
          </w:p>
        </w:tc>
        <w:tc>
          <w:tcPr>
            <w:tcW w:w="694" w:type="dxa"/>
            <w:tcBorders>
              <w:top w:val="single" w:sz="6" w:space="0" w:color="000000"/>
              <w:left w:val="single" w:sz="6" w:space="0" w:color="000000"/>
              <w:bottom w:val="single" w:sz="6" w:space="0" w:color="000000"/>
              <w:right w:val="single" w:sz="6" w:space="0" w:color="000000"/>
            </w:tcBorders>
            <w:shd w:val="clear" w:color="auto" w:fill="C0C0C0"/>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 xml:space="preserve">Código </w:t>
            </w:r>
          </w:p>
        </w:tc>
        <w:tc>
          <w:tcPr>
            <w:tcW w:w="5393" w:type="dxa"/>
            <w:tcBorders>
              <w:top w:val="single" w:sz="6" w:space="0" w:color="000000"/>
              <w:left w:val="single" w:sz="6" w:space="0" w:color="000000"/>
              <w:bottom w:val="single" w:sz="6" w:space="0" w:color="000000"/>
              <w:right w:val="single" w:sz="6" w:space="0" w:color="000000"/>
            </w:tcBorders>
            <w:shd w:val="clear" w:color="auto" w:fill="C0C0C0"/>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Nome do serviço</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Qtde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Unid</w:t>
            </w:r>
          </w:p>
        </w:tc>
        <w:tc>
          <w:tcPr>
            <w:tcW w:w="639" w:type="dxa"/>
            <w:tcBorders>
              <w:top w:val="single" w:sz="6" w:space="0" w:color="000000"/>
              <w:left w:val="single" w:sz="6" w:space="0" w:color="000000"/>
              <w:bottom w:val="single" w:sz="6" w:space="0" w:color="000000"/>
              <w:right w:val="single" w:sz="6" w:space="0" w:color="000000"/>
            </w:tcBorders>
            <w:shd w:val="clear" w:color="auto" w:fill="C0C0C0"/>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Preço máximo</w:t>
            </w:r>
          </w:p>
        </w:tc>
        <w:tc>
          <w:tcPr>
            <w:tcW w:w="848" w:type="dxa"/>
            <w:tcBorders>
              <w:top w:val="single" w:sz="6" w:space="0" w:color="000000"/>
              <w:left w:val="single" w:sz="6" w:space="0" w:color="000000"/>
              <w:bottom w:val="single" w:sz="6" w:space="0" w:color="000000"/>
              <w:right w:val="single" w:sz="6" w:space="0" w:color="000000"/>
            </w:tcBorders>
            <w:shd w:val="clear" w:color="auto" w:fill="C0C0C0"/>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 xml:space="preserve">Preço </w:t>
            </w:r>
            <w:proofErr w:type="spellStart"/>
            <w:r w:rsidRPr="00C331EA">
              <w:rPr>
                <w:rFonts w:ascii="Calibri" w:hAnsi="Calibri" w:cs="Calibri"/>
                <w:sz w:val="16"/>
                <w:szCs w:val="16"/>
              </w:rPr>
              <w:t>máx</w:t>
            </w:r>
            <w:proofErr w:type="spellEnd"/>
            <w:r w:rsidRPr="00C331EA">
              <w:rPr>
                <w:rFonts w:ascii="Calibri" w:hAnsi="Calibri" w:cs="Calibri"/>
                <w:sz w:val="16"/>
                <w:szCs w:val="16"/>
              </w:rPr>
              <w:t xml:space="preserve"> total</w:t>
            </w:r>
          </w:p>
        </w:tc>
      </w:tr>
      <w:tr w:rsidR="00A041EA" w:rsidRPr="00C331EA" w:rsidTr="00C331EA">
        <w:tblPrEx>
          <w:tblCellSpacing w:w="-8" w:type="nil"/>
        </w:tblPrEx>
        <w:trPr>
          <w:tblCellSpacing w:w="-8" w:type="nil"/>
        </w:trPr>
        <w:tc>
          <w:tcPr>
            <w:tcW w:w="477" w:type="dxa"/>
            <w:tcBorders>
              <w:top w:val="single" w:sz="6" w:space="0" w:color="000000"/>
              <w:left w:val="single" w:sz="6" w:space="0" w:color="000000"/>
              <w:bottom w:val="single" w:sz="6" w:space="0" w:color="000000"/>
              <w:right w:val="single" w:sz="6" w:space="0" w:color="000000"/>
            </w:tcBorders>
            <w:shd w:val="clear" w:color="auto" w:fill="FFFFFF"/>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1</w:t>
            </w:r>
          </w:p>
        </w:tc>
        <w:tc>
          <w:tcPr>
            <w:tcW w:w="694" w:type="dxa"/>
            <w:tcBorders>
              <w:top w:val="single" w:sz="6" w:space="0" w:color="000000"/>
              <w:left w:val="single" w:sz="6" w:space="0" w:color="000000"/>
              <w:bottom w:val="single" w:sz="6" w:space="0" w:color="000000"/>
              <w:right w:val="single" w:sz="6" w:space="0" w:color="000000"/>
            </w:tcBorders>
            <w:shd w:val="clear" w:color="auto" w:fill="FFFFFF"/>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24974</w:t>
            </w:r>
          </w:p>
        </w:tc>
        <w:tc>
          <w:tcPr>
            <w:tcW w:w="5393" w:type="dxa"/>
            <w:tcBorders>
              <w:top w:val="single" w:sz="6" w:space="0" w:color="000000"/>
              <w:left w:val="single" w:sz="6" w:space="0" w:color="000000"/>
              <w:bottom w:val="single" w:sz="6" w:space="0" w:color="000000"/>
              <w:right w:val="single" w:sz="6" w:space="0" w:color="000000"/>
            </w:tcBorders>
            <w:shd w:val="clear" w:color="auto" w:fill="FFFFFF"/>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 xml:space="preserve">CERTIFICAÇÃO CALIBRAÇÃO RASTREAVEL COLORÍMETRO DESCRIÇÃO DO SERVIÇO: EMISSÃO DE CERTIFICADO DE CALIBRAÇÃO RASTREÁVEL (NÃO ACREDITADO) POR MÉTODO COMPARATIVO CONFORME METODOLOGIA DE CALIBRAÇÃO MC-7.5.1-17. SERÁ EMITIDO O CERTIFICADO CONFORME DESCRITIVO ABAIXO:??CALIBRAÇÃO COLORÍMETRO DR 890 E DR 900 PONTOS DE CALIBRAÇÃO EM 4 COMPRIMENTOS DE ONDA: 420, 520, 560 E 610NM.??MÉTODO DE CALIBRAÇÃO EM POCKETS: O RESULTADO DA CALIBRAÇÃO É EMITIDO EM MG/L REALIZADO NAS DUAS (2) FAIXAS. PARA POCKETS??COM FAIXAS INDEPENDENTES SERÁ FEITO UM CERTIFICADO PARA CADA FAIXA, EXEMPLO: PARA O POCKET DE FERRO (HACH), UM??CERTIFICADO PARA MG/L E OUTRO PARA ABS; COLORÍMETRO DE COR (PTCO) CALIBRADO NOS PONTOS DE 10, 100 E 500 U??  </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1,00</w:t>
            </w:r>
          </w:p>
        </w:tc>
        <w:tc>
          <w:tcPr>
            <w:tcW w:w="567" w:type="dxa"/>
            <w:tcBorders>
              <w:top w:val="single" w:sz="6" w:space="0" w:color="000000"/>
              <w:left w:val="single" w:sz="6" w:space="0" w:color="000000"/>
              <w:bottom w:val="single" w:sz="6" w:space="0" w:color="000000"/>
              <w:right w:val="single" w:sz="6" w:space="0" w:color="000000"/>
            </w:tcBorders>
            <w:shd w:val="clear" w:color="auto" w:fill="FFFFFF"/>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SERV</w:t>
            </w:r>
          </w:p>
        </w:tc>
        <w:tc>
          <w:tcPr>
            <w:tcW w:w="639" w:type="dxa"/>
            <w:tcBorders>
              <w:top w:val="single" w:sz="6" w:space="0" w:color="000000"/>
              <w:left w:val="single" w:sz="6" w:space="0" w:color="000000"/>
              <w:bottom w:val="single" w:sz="6" w:space="0" w:color="000000"/>
              <w:right w:val="single" w:sz="6" w:space="0" w:color="000000"/>
            </w:tcBorders>
            <w:shd w:val="clear" w:color="auto" w:fill="FFFFFF"/>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330,26</w:t>
            </w:r>
          </w:p>
        </w:tc>
        <w:tc>
          <w:tcPr>
            <w:tcW w:w="848" w:type="dxa"/>
            <w:tcBorders>
              <w:top w:val="single" w:sz="6" w:space="0" w:color="000000"/>
              <w:left w:val="single" w:sz="6" w:space="0" w:color="000000"/>
              <w:bottom w:val="single" w:sz="6" w:space="0" w:color="000000"/>
              <w:right w:val="single" w:sz="6" w:space="0" w:color="000000"/>
            </w:tcBorders>
            <w:shd w:val="clear" w:color="auto" w:fill="FFFFFF"/>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330,26</w:t>
            </w:r>
          </w:p>
        </w:tc>
      </w:tr>
      <w:tr w:rsidR="00A041EA" w:rsidRPr="00C331EA" w:rsidTr="00C331EA">
        <w:tblPrEx>
          <w:tblCellSpacing w:w="-8" w:type="nil"/>
        </w:tblPrEx>
        <w:trPr>
          <w:tblCellSpacing w:w="-8" w:type="nil"/>
        </w:trPr>
        <w:tc>
          <w:tcPr>
            <w:tcW w:w="8479" w:type="dxa"/>
            <w:gridSpan w:val="6"/>
            <w:tcBorders>
              <w:top w:val="single" w:sz="6" w:space="0" w:color="000000"/>
              <w:left w:val="single" w:sz="6" w:space="0" w:color="000000"/>
              <w:bottom w:val="single" w:sz="6" w:space="0" w:color="000000"/>
              <w:right w:val="single" w:sz="6" w:space="0" w:color="000000"/>
            </w:tcBorders>
            <w:shd w:val="clear" w:color="auto" w:fill="FFFFFF"/>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TOTAL</w:t>
            </w:r>
          </w:p>
        </w:tc>
        <w:tc>
          <w:tcPr>
            <w:tcW w:w="848" w:type="dxa"/>
            <w:tcBorders>
              <w:top w:val="single" w:sz="6" w:space="0" w:color="000000"/>
              <w:left w:val="single" w:sz="6" w:space="0" w:color="000000"/>
              <w:bottom w:val="single" w:sz="6" w:space="0" w:color="000000"/>
              <w:right w:val="single" w:sz="6" w:space="0" w:color="000000"/>
            </w:tcBorders>
            <w:shd w:val="clear" w:color="auto" w:fill="FFFFFF"/>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330,26</w:t>
            </w:r>
          </w:p>
        </w:tc>
      </w:tr>
      <w:tr w:rsidR="00A041EA" w:rsidRPr="00C331EA" w:rsidTr="00C331EA">
        <w:tblPrEx>
          <w:tblCellSpacing w:w="-8" w:type="nil"/>
        </w:tblPrEx>
        <w:trPr>
          <w:tblCellSpacing w:w="-8" w:type="nil"/>
        </w:trPr>
        <w:tc>
          <w:tcPr>
            <w:tcW w:w="9327" w:type="dxa"/>
            <w:gridSpan w:val="7"/>
            <w:tcBorders>
              <w:top w:val="single" w:sz="6" w:space="0" w:color="000000"/>
              <w:left w:val="single" w:sz="6" w:space="0" w:color="000000"/>
              <w:bottom w:val="single" w:sz="6" w:space="0" w:color="000000"/>
              <w:right w:val="single" w:sz="6" w:space="0" w:color="000000"/>
            </w:tcBorders>
            <w:shd w:val="clear" w:color="auto" w:fill="FFFFFF"/>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Lote: 3 - Lote 003</w:t>
            </w:r>
          </w:p>
        </w:tc>
      </w:tr>
      <w:tr w:rsidR="00A041EA" w:rsidRPr="00C331EA" w:rsidTr="00C331EA">
        <w:tblPrEx>
          <w:tblCellSpacing w:w="-8" w:type="nil"/>
        </w:tblPrEx>
        <w:trPr>
          <w:tblCellSpacing w:w="-8" w:type="nil"/>
        </w:trPr>
        <w:tc>
          <w:tcPr>
            <w:tcW w:w="477" w:type="dxa"/>
            <w:tcBorders>
              <w:top w:val="single" w:sz="6" w:space="0" w:color="000000"/>
              <w:left w:val="single" w:sz="6" w:space="0" w:color="000000"/>
              <w:bottom w:val="single" w:sz="6" w:space="0" w:color="000000"/>
              <w:right w:val="single" w:sz="6" w:space="0" w:color="000000"/>
            </w:tcBorders>
            <w:shd w:val="clear" w:color="auto" w:fill="C0C0C0"/>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Item</w:t>
            </w:r>
          </w:p>
        </w:tc>
        <w:tc>
          <w:tcPr>
            <w:tcW w:w="694" w:type="dxa"/>
            <w:tcBorders>
              <w:top w:val="single" w:sz="6" w:space="0" w:color="000000"/>
              <w:left w:val="single" w:sz="6" w:space="0" w:color="000000"/>
              <w:bottom w:val="single" w:sz="6" w:space="0" w:color="000000"/>
              <w:right w:val="single" w:sz="6" w:space="0" w:color="000000"/>
            </w:tcBorders>
            <w:shd w:val="clear" w:color="auto" w:fill="C0C0C0"/>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 xml:space="preserve">Código </w:t>
            </w:r>
          </w:p>
        </w:tc>
        <w:tc>
          <w:tcPr>
            <w:tcW w:w="5393" w:type="dxa"/>
            <w:tcBorders>
              <w:top w:val="single" w:sz="6" w:space="0" w:color="000000"/>
              <w:left w:val="single" w:sz="6" w:space="0" w:color="000000"/>
              <w:bottom w:val="single" w:sz="6" w:space="0" w:color="000000"/>
              <w:right w:val="single" w:sz="6" w:space="0" w:color="000000"/>
            </w:tcBorders>
            <w:shd w:val="clear" w:color="auto" w:fill="C0C0C0"/>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Nome do serviço</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Qtde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Unid</w:t>
            </w:r>
          </w:p>
        </w:tc>
        <w:tc>
          <w:tcPr>
            <w:tcW w:w="639" w:type="dxa"/>
            <w:tcBorders>
              <w:top w:val="single" w:sz="6" w:space="0" w:color="000000"/>
              <w:left w:val="single" w:sz="6" w:space="0" w:color="000000"/>
              <w:bottom w:val="single" w:sz="6" w:space="0" w:color="000000"/>
              <w:right w:val="single" w:sz="6" w:space="0" w:color="000000"/>
            </w:tcBorders>
            <w:shd w:val="clear" w:color="auto" w:fill="C0C0C0"/>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Preço máximo</w:t>
            </w:r>
          </w:p>
        </w:tc>
        <w:tc>
          <w:tcPr>
            <w:tcW w:w="848" w:type="dxa"/>
            <w:tcBorders>
              <w:top w:val="single" w:sz="6" w:space="0" w:color="000000"/>
              <w:left w:val="single" w:sz="6" w:space="0" w:color="000000"/>
              <w:bottom w:val="single" w:sz="6" w:space="0" w:color="000000"/>
              <w:right w:val="single" w:sz="6" w:space="0" w:color="000000"/>
            </w:tcBorders>
            <w:shd w:val="clear" w:color="auto" w:fill="C0C0C0"/>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 xml:space="preserve">Preço </w:t>
            </w:r>
            <w:proofErr w:type="spellStart"/>
            <w:r w:rsidRPr="00C331EA">
              <w:rPr>
                <w:rFonts w:ascii="Calibri" w:hAnsi="Calibri" w:cs="Calibri"/>
                <w:sz w:val="16"/>
                <w:szCs w:val="16"/>
              </w:rPr>
              <w:t>máx</w:t>
            </w:r>
            <w:proofErr w:type="spellEnd"/>
            <w:r w:rsidRPr="00C331EA">
              <w:rPr>
                <w:rFonts w:ascii="Calibri" w:hAnsi="Calibri" w:cs="Calibri"/>
                <w:sz w:val="16"/>
                <w:szCs w:val="16"/>
              </w:rPr>
              <w:t xml:space="preserve"> total</w:t>
            </w:r>
          </w:p>
        </w:tc>
      </w:tr>
      <w:tr w:rsidR="00A041EA" w:rsidRPr="00C331EA" w:rsidTr="00C331EA">
        <w:tblPrEx>
          <w:tblCellSpacing w:w="-8" w:type="nil"/>
        </w:tblPrEx>
        <w:trPr>
          <w:tblCellSpacing w:w="-8" w:type="nil"/>
        </w:trPr>
        <w:tc>
          <w:tcPr>
            <w:tcW w:w="477" w:type="dxa"/>
            <w:tcBorders>
              <w:top w:val="single" w:sz="6" w:space="0" w:color="000000"/>
              <w:left w:val="single" w:sz="6" w:space="0" w:color="000000"/>
              <w:bottom w:val="single" w:sz="6" w:space="0" w:color="000000"/>
              <w:right w:val="single" w:sz="6" w:space="0" w:color="000000"/>
            </w:tcBorders>
            <w:shd w:val="clear" w:color="auto" w:fill="FFFFFF"/>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1</w:t>
            </w:r>
          </w:p>
        </w:tc>
        <w:tc>
          <w:tcPr>
            <w:tcW w:w="694" w:type="dxa"/>
            <w:tcBorders>
              <w:top w:val="single" w:sz="6" w:space="0" w:color="000000"/>
              <w:left w:val="single" w:sz="6" w:space="0" w:color="000000"/>
              <w:bottom w:val="single" w:sz="6" w:space="0" w:color="000000"/>
              <w:right w:val="single" w:sz="6" w:space="0" w:color="000000"/>
            </w:tcBorders>
            <w:shd w:val="clear" w:color="auto" w:fill="FFFFFF"/>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24975</w:t>
            </w:r>
          </w:p>
        </w:tc>
        <w:tc>
          <w:tcPr>
            <w:tcW w:w="5393" w:type="dxa"/>
            <w:tcBorders>
              <w:top w:val="single" w:sz="6" w:space="0" w:color="000000"/>
              <w:left w:val="single" w:sz="6" w:space="0" w:color="000000"/>
              <w:bottom w:val="single" w:sz="6" w:space="0" w:color="000000"/>
              <w:right w:val="single" w:sz="6" w:space="0" w:color="000000"/>
            </w:tcBorders>
            <w:shd w:val="clear" w:color="auto" w:fill="FFFFFF"/>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 xml:space="preserve">MANUTENÇÃO PREVENTIVA COLORIMETRO INTERNO DESCRIÇÃO DO SERVIÇO:  MANUTENÇÃO PREVENTIVA: GARANTIR A CONFIABILIDADE DAS ANALISES, REDUZIR O ENVELHECIMENTO PRECOCE DO EQUIPAMENTO, MANTER O ESTADO TÉCNICO OPERACIONAL DO EQUIPAMENTO, ATUAR ANTES DAS INTERVENÇÕES CORRETIVAS, EVITANDO CUSTOS ELEVADOS. A MANUTENÇÃO PREVENTIVA CONTEMPLA: LIMPEZA INTERNA E EXTERNA, VERIFICAÇÃO DO CONJUNTO ÓPTICO (LED, DETECTOR, SUPORTE DA CUBETA, FILTRO ÓPTICO E LENTES), PLACA ELETRONICA, SUPORTE DE PILHA, CARCAÇAS, AJUSTE DA CURVA DE CALIBRAÇÃO  </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1,00</w:t>
            </w:r>
          </w:p>
        </w:tc>
        <w:tc>
          <w:tcPr>
            <w:tcW w:w="567" w:type="dxa"/>
            <w:tcBorders>
              <w:top w:val="single" w:sz="6" w:space="0" w:color="000000"/>
              <w:left w:val="single" w:sz="6" w:space="0" w:color="000000"/>
              <w:bottom w:val="single" w:sz="6" w:space="0" w:color="000000"/>
              <w:right w:val="single" w:sz="6" w:space="0" w:color="000000"/>
            </w:tcBorders>
            <w:shd w:val="clear" w:color="auto" w:fill="FFFFFF"/>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SERV</w:t>
            </w:r>
          </w:p>
        </w:tc>
        <w:tc>
          <w:tcPr>
            <w:tcW w:w="639" w:type="dxa"/>
            <w:tcBorders>
              <w:top w:val="single" w:sz="6" w:space="0" w:color="000000"/>
              <w:left w:val="single" w:sz="6" w:space="0" w:color="000000"/>
              <w:bottom w:val="single" w:sz="6" w:space="0" w:color="000000"/>
              <w:right w:val="single" w:sz="6" w:space="0" w:color="000000"/>
            </w:tcBorders>
            <w:shd w:val="clear" w:color="auto" w:fill="FFFFFF"/>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486,58</w:t>
            </w:r>
          </w:p>
        </w:tc>
        <w:tc>
          <w:tcPr>
            <w:tcW w:w="848" w:type="dxa"/>
            <w:tcBorders>
              <w:top w:val="single" w:sz="6" w:space="0" w:color="000000"/>
              <w:left w:val="single" w:sz="6" w:space="0" w:color="000000"/>
              <w:bottom w:val="single" w:sz="6" w:space="0" w:color="000000"/>
              <w:right w:val="single" w:sz="6" w:space="0" w:color="000000"/>
            </w:tcBorders>
            <w:shd w:val="clear" w:color="auto" w:fill="FFFFFF"/>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486,58</w:t>
            </w:r>
          </w:p>
        </w:tc>
      </w:tr>
      <w:tr w:rsidR="00A041EA" w:rsidRPr="00C331EA" w:rsidTr="00C331EA">
        <w:tblPrEx>
          <w:tblCellSpacing w:w="-8" w:type="nil"/>
        </w:tblPrEx>
        <w:trPr>
          <w:tblCellSpacing w:w="-8" w:type="nil"/>
        </w:trPr>
        <w:tc>
          <w:tcPr>
            <w:tcW w:w="8479" w:type="dxa"/>
            <w:gridSpan w:val="6"/>
            <w:tcBorders>
              <w:top w:val="single" w:sz="6" w:space="0" w:color="000000"/>
              <w:left w:val="single" w:sz="6" w:space="0" w:color="000000"/>
              <w:bottom w:val="single" w:sz="6" w:space="0" w:color="000000"/>
              <w:right w:val="single" w:sz="6" w:space="0" w:color="000000"/>
            </w:tcBorders>
            <w:shd w:val="clear" w:color="auto" w:fill="FFFFFF"/>
          </w:tcPr>
          <w:p w:rsidR="00A041EA" w:rsidRPr="00C331EA" w:rsidRDefault="00A041EA">
            <w:pPr>
              <w:pStyle w:val="ParagraphStyle"/>
              <w:rPr>
                <w:rFonts w:ascii="Calibri" w:hAnsi="Calibri" w:cs="Calibri"/>
                <w:sz w:val="16"/>
                <w:szCs w:val="16"/>
              </w:rPr>
            </w:pPr>
          </w:p>
          <w:p w:rsidR="00A041EA" w:rsidRPr="00C331EA" w:rsidRDefault="00A041EA">
            <w:pPr>
              <w:pStyle w:val="ParagraphStyle"/>
              <w:rPr>
                <w:rFonts w:ascii="Calibri" w:hAnsi="Calibri" w:cs="Calibri"/>
                <w:sz w:val="16"/>
                <w:szCs w:val="16"/>
              </w:rPr>
            </w:pPr>
            <w:r w:rsidRPr="00C331EA">
              <w:rPr>
                <w:rFonts w:ascii="Calibri" w:hAnsi="Calibri" w:cs="Calibri"/>
                <w:sz w:val="16"/>
                <w:szCs w:val="16"/>
              </w:rPr>
              <w:t>TOTAL</w:t>
            </w:r>
          </w:p>
        </w:tc>
        <w:tc>
          <w:tcPr>
            <w:tcW w:w="848" w:type="dxa"/>
            <w:tcBorders>
              <w:top w:val="single" w:sz="6" w:space="0" w:color="000000"/>
              <w:left w:val="single" w:sz="6" w:space="0" w:color="000000"/>
              <w:bottom w:val="single" w:sz="6" w:space="0" w:color="000000"/>
              <w:right w:val="single" w:sz="6" w:space="0" w:color="000000"/>
            </w:tcBorders>
            <w:shd w:val="clear" w:color="auto" w:fill="FFFFFF"/>
          </w:tcPr>
          <w:p w:rsidR="00A041EA" w:rsidRPr="00C331EA" w:rsidRDefault="00A041EA">
            <w:pPr>
              <w:pStyle w:val="ParagraphStyle"/>
              <w:rPr>
                <w:rFonts w:ascii="Calibri" w:hAnsi="Calibri" w:cs="Calibri"/>
                <w:sz w:val="16"/>
                <w:szCs w:val="16"/>
              </w:rPr>
            </w:pPr>
          </w:p>
          <w:p w:rsidR="00A041EA" w:rsidRPr="00C331EA" w:rsidRDefault="00A041EA">
            <w:pPr>
              <w:pStyle w:val="ParagraphStyle"/>
              <w:rPr>
                <w:rFonts w:ascii="Calibri" w:hAnsi="Calibri" w:cs="Calibri"/>
                <w:sz w:val="16"/>
                <w:szCs w:val="16"/>
              </w:rPr>
            </w:pPr>
            <w:r w:rsidRPr="00C331EA">
              <w:rPr>
                <w:rFonts w:ascii="Calibri" w:hAnsi="Calibri" w:cs="Calibri"/>
                <w:sz w:val="16"/>
                <w:szCs w:val="16"/>
              </w:rPr>
              <w:t>486,58</w:t>
            </w:r>
          </w:p>
        </w:tc>
      </w:tr>
      <w:tr w:rsidR="00A041EA" w:rsidRPr="00C331EA" w:rsidTr="00C331EA">
        <w:tblPrEx>
          <w:tblCellSpacing w:w="-8" w:type="nil"/>
        </w:tblPrEx>
        <w:trPr>
          <w:tblCellSpacing w:w="-8" w:type="nil"/>
        </w:trPr>
        <w:tc>
          <w:tcPr>
            <w:tcW w:w="9327" w:type="dxa"/>
            <w:gridSpan w:val="7"/>
            <w:tcBorders>
              <w:top w:val="single" w:sz="6" w:space="0" w:color="000000"/>
              <w:left w:val="single" w:sz="6" w:space="0" w:color="000000"/>
              <w:bottom w:val="single" w:sz="6" w:space="0" w:color="000000"/>
              <w:right w:val="single" w:sz="6" w:space="0" w:color="000000"/>
            </w:tcBorders>
            <w:shd w:val="clear" w:color="auto" w:fill="FFFFFF"/>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Lote: 4 - Lote 004</w:t>
            </w:r>
          </w:p>
        </w:tc>
      </w:tr>
      <w:tr w:rsidR="00A041EA" w:rsidRPr="00C331EA" w:rsidTr="00C331EA">
        <w:tblPrEx>
          <w:tblCellSpacing w:w="-8" w:type="nil"/>
        </w:tblPrEx>
        <w:trPr>
          <w:tblCellSpacing w:w="-8" w:type="nil"/>
        </w:trPr>
        <w:tc>
          <w:tcPr>
            <w:tcW w:w="477" w:type="dxa"/>
            <w:tcBorders>
              <w:top w:val="single" w:sz="6" w:space="0" w:color="000000"/>
              <w:left w:val="single" w:sz="6" w:space="0" w:color="000000"/>
              <w:bottom w:val="single" w:sz="6" w:space="0" w:color="000000"/>
              <w:right w:val="single" w:sz="6" w:space="0" w:color="000000"/>
            </w:tcBorders>
            <w:shd w:val="clear" w:color="auto" w:fill="C0C0C0"/>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Item</w:t>
            </w:r>
          </w:p>
        </w:tc>
        <w:tc>
          <w:tcPr>
            <w:tcW w:w="694" w:type="dxa"/>
            <w:tcBorders>
              <w:top w:val="single" w:sz="6" w:space="0" w:color="000000"/>
              <w:left w:val="single" w:sz="6" w:space="0" w:color="000000"/>
              <w:bottom w:val="single" w:sz="6" w:space="0" w:color="000000"/>
              <w:right w:val="single" w:sz="6" w:space="0" w:color="000000"/>
            </w:tcBorders>
            <w:shd w:val="clear" w:color="auto" w:fill="C0C0C0"/>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 xml:space="preserve">Código </w:t>
            </w:r>
          </w:p>
        </w:tc>
        <w:tc>
          <w:tcPr>
            <w:tcW w:w="5393" w:type="dxa"/>
            <w:tcBorders>
              <w:top w:val="single" w:sz="6" w:space="0" w:color="000000"/>
              <w:left w:val="single" w:sz="6" w:space="0" w:color="000000"/>
              <w:bottom w:val="single" w:sz="6" w:space="0" w:color="000000"/>
              <w:right w:val="single" w:sz="6" w:space="0" w:color="000000"/>
            </w:tcBorders>
            <w:shd w:val="clear" w:color="auto" w:fill="C0C0C0"/>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Nome do serviço</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Qtde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Unid</w:t>
            </w:r>
          </w:p>
        </w:tc>
        <w:tc>
          <w:tcPr>
            <w:tcW w:w="639" w:type="dxa"/>
            <w:tcBorders>
              <w:top w:val="single" w:sz="6" w:space="0" w:color="000000"/>
              <w:left w:val="single" w:sz="6" w:space="0" w:color="000000"/>
              <w:bottom w:val="single" w:sz="6" w:space="0" w:color="000000"/>
              <w:right w:val="single" w:sz="6" w:space="0" w:color="000000"/>
            </w:tcBorders>
            <w:shd w:val="clear" w:color="auto" w:fill="C0C0C0"/>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Preço máximo</w:t>
            </w:r>
          </w:p>
        </w:tc>
        <w:tc>
          <w:tcPr>
            <w:tcW w:w="848" w:type="dxa"/>
            <w:tcBorders>
              <w:top w:val="single" w:sz="6" w:space="0" w:color="000000"/>
              <w:left w:val="single" w:sz="6" w:space="0" w:color="000000"/>
              <w:bottom w:val="single" w:sz="6" w:space="0" w:color="000000"/>
              <w:right w:val="single" w:sz="6" w:space="0" w:color="000000"/>
            </w:tcBorders>
            <w:shd w:val="clear" w:color="auto" w:fill="C0C0C0"/>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 xml:space="preserve">Preço </w:t>
            </w:r>
            <w:proofErr w:type="spellStart"/>
            <w:r w:rsidRPr="00C331EA">
              <w:rPr>
                <w:rFonts w:ascii="Calibri" w:hAnsi="Calibri" w:cs="Calibri"/>
                <w:sz w:val="16"/>
                <w:szCs w:val="16"/>
              </w:rPr>
              <w:t>máx</w:t>
            </w:r>
            <w:proofErr w:type="spellEnd"/>
            <w:r w:rsidRPr="00C331EA">
              <w:rPr>
                <w:rFonts w:ascii="Calibri" w:hAnsi="Calibri" w:cs="Calibri"/>
                <w:sz w:val="16"/>
                <w:szCs w:val="16"/>
              </w:rPr>
              <w:t xml:space="preserve"> total</w:t>
            </w:r>
          </w:p>
        </w:tc>
      </w:tr>
      <w:tr w:rsidR="00A041EA" w:rsidRPr="00C331EA" w:rsidTr="00C331EA">
        <w:tblPrEx>
          <w:tblCellSpacing w:w="-8" w:type="nil"/>
        </w:tblPrEx>
        <w:trPr>
          <w:tblCellSpacing w:w="-8" w:type="nil"/>
        </w:trPr>
        <w:tc>
          <w:tcPr>
            <w:tcW w:w="477" w:type="dxa"/>
            <w:tcBorders>
              <w:top w:val="single" w:sz="6" w:space="0" w:color="000000"/>
              <w:left w:val="single" w:sz="6" w:space="0" w:color="000000"/>
              <w:bottom w:val="single" w:sz="6" w:space="0" w:color="000000"/>
              <w:right w:val="single" w:sz="6" w:space="0" w:color="000000"/>
            </w:tcBorders>
            <w:shd w:val="clear" w:color="auto" w:fill="FFFFFF"/>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1</w:t>
            </w:r>
          </w:p>
        </w:tc>
        <w:tc>
          <w:tcPr>
            <w:tcW w:w="694" w:type="dxa"/>
            <w:tcBorders>
              <w:top w:val="single" w:sz="6" w:space="0" w:color="000000"/>
              <w:left w:val="single" w:sz="6" w:space="0" w:color="000000"/>
              <w:bottom w:val="single" w:sz="6" w:space="0" w:color="000000"/>
              <w:right w:val="single" w:sz="6" w:space="0" w:color="000000"/>
            </w:tcBorders>
            <w:shd w:val="clear" w:color="auto" w:fill="FFFFFF"/>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24973</w:t>
            </w:r>
          </w:p>
        </w:tc>
        <w:tc>
          <w:tcPr>
            <w:tcW w:w="5393" w:type="dxa"/>
            <w:tcBorders>
              <w:top w:val="single" w:sz="6" w:space="0" w:color="000000"/>
              <w:left w:val="single" w:sz="6" w:space="0" w:color="000000"/>
              <w:bottom w:val="single" w:sz="6" w:space="0" w:color="000000"/>
              <w:right w:val="single" w:sz="6" w:space="0" w:color="000000"/>
            </w:tcBorders>
            <w:shd w:val="clear" w:color="auto" w:fill="FFFFFF"/>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 xml:space="preserve">MANUTENÇÃO PREVENTIVA TURBIDIMETRO INTERNO: OBJETIVO DA MANUTENÇÃO PREVENTIVA: GARANTIR A CONFIABILIDADE DAS ANALISES, REDUZIR O ENVELHECIMENTO PRECOCE DO EQUIPAMENTO, MANTER O ESTADO TÉCNICO OPERACIONAL DO EQUIPAMENTO, ATUAR ANTES DAS INTERVENÇÕES CORRETIVAS, EVITANDO CUSTOS ELEVADOS. A MANUTENÇÃO PREVENTIVA CONTEMPLA: LIMPEZA INTERNA E EXTERNA, VERIFICAÇÃO DO CONJUNTO OPTICO (DETECTORES, FILTRO, LÂMPADA E LENTES), VERIFICAÇÃO DAS PARTES FÍSICAS </w:t>
            </w:r>
            <w:r w:rsidRPr="00C331EA">
              <w:rPr>
                <w:rFonts w:ascii="Calibri" w:hAnsi="Calibri" w:cs="Calibri"/>
                <w:sz w:val="16"/>
                <w:szCs w:val="16"/>
              </w:rPr>
              <w:lastRenderedPageBreak/>
              <w:t xml:space="preserve">(TECLADOS, CARCAÇAS E TAMPAS), TESTES DE DESEMPENHO, AJUSTE DA CURVA DE CALIBRAÇÃO, AJUSTE DOS GANHOS DOS DETECTORES E LEITURAS  </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lastRenderedPageBreak/>
              <w:t>1,00</w:t>
            </w:r>
          </w:p>
        </w:tc>
        <w:tc>
          <w:tcPr>
            <w:tcW w:w="567" w:type="dxa"/>
            <w:tcBorders>
              <w:top w:val="single" w:sz="6" w:space="0" w:color="000000"/>
              <w:left w:val="single" w:sz="6" w:space="0" w:color="000000"/>
              <w:bottom w:val="single" w:sz="6" w:space="0" w:color="000000"/>
              <w:right w:val="single" w:sz="6" w:space="0" w:color="000000"/>
            </w:tcBorders>
            <w:shd w:val="clear" w:color="auto" w:fill="FFFFFF"/>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SERV</w:t>
            </w:r>
          </w:p>
        </w:tc>
        <w:tc>
          <w:tcPr>
            <w:tcW w:w="639" w:type="dxa"/>
            <w:tcBorders>
              <w:top w:val="single" w:sz="6" w:space="0" w:color="000000"/>
              <w:left w:val="single" w:sz="6" w:space="0" w:color="000000"/>
              <w:bottom w:val="single" w:sz="6" w:space="0" w:color="000000"/>
              <w:right w:val="single" w:sz="6" w:space="0" w:color="000000"/>
            </w:tcBorders>
            <w:shd w:val="clear" w:color="auto" w:fill="FFFFFF"/>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560,81</w:t>
            </w:r>
          </w:p>
        </w:tc>
        <w:tc>
          <w:tcPr>
            <w:tcW w:w="848" w:type="dxa"/>
            <w:tcBorders>
              <w:top w:val="single" w:sz="6" w:space="0" w:color="000000"/>
              <w:left w:val="single" w:sz="6" w:space="0" w:color="000000"/>
              <w:bottom w:val="single" w:sz="6" w:space="0" w:color="000000"/>
              <w:right w:val="single" w:sz="6" w:space="0" w:color="000000"/>
            </w:tcBorders>
            <w:shd w:val="clear" w:color="auto" w:fill="FFFFFF"/>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560,81</w:t>
            </w:r>
          </w:p>
        </w:tc>
      </w:tr>
      <w:tr w:rsidR="00A041EA" w:rsidRPr="00C331EA" w:rsidTr="00C331EA">
        <w:tblPrEx>
          <w:tblCellSpacing w:w="-8" w:type="nil"/>
        </w:tblPrEx>
        <w:trPr>
          <w:tblCellSpacing w:w="-8" w:type="nil"/>
        </w:trPr>
        <w:tc>
          <w:tcPr>
            <w:tcW w:w="8479" w:type="dxa"/>
            <w:gridSpan w:val="6"/>
            <w:tcBorders>
              <w:top w:val="single" w:sz="6" w:space="0" w:color="000000"/>
              <w:left w:val="single" w:sz="6" w:space="0" w:color="000000"/>
              <w:bottom w:val="single" w:sz="6" w:space="0" w:color="000000"/>
              <w:right w:val="single" w:sz="6" w:space="0" w:color="000000"/>
            </w:tcBorders>
            <w:shd w:val="clear" w:color="auto" w:fill="FFFFFF"/>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TOTAL</w:t>
            </w:r>
          </w:p>
        </w:tc>
        <w:tc>
          <w:tcPr>
            <w:tcW w:w="848" w:type="dxa"/>
            <w:tcBorders>
              <w:top w:val="single" w:sz="6" w:space="0" w:color="000000"/>
              <w:left w:val="single" w:sz="6" w:space="0" w:color="000000"/>
              <w:bottom w:val="single" w:sz="6" w:space="0" w:color="000000"/>
              <w:right w:val="single" w:sz="6" w:space="0" w:color="000000"/>
            </w:tcBorders>
            <w:shd w:val="clear" w:color="auto" w:fill="FFFFFF"/>
          </w:tcPr>
          <w:p w:rsidR="00A041EA" w:rsidRPr="00C331EA" w:rsidRDefault="00A041EA">
            <w:pPr>
              <w:pStyle w:val="ParagraphStyle"/>
              <w:rPr>
                <w:rFonts w:ascii="Calibri" w:hAnsi="Calibri" w:cs="Calibri"/>
                <w:sz w:val="16"/>
                <w:szCs w:val="16"/>
              </w:rPr>
            </w:pPr>
            <w:r w:rsidRPr="00C331EA">
              <w:rPr>
                <w:rFonts w:ascii="Calibri" w:hAnsi="Calibri" w:cs="Calibri"/>
                <w:sz w:val="16"/>
                <w:szCs w:val="16"/>
              </w:rPr>
              <w:t>560,81</w:t>
            </w:r>
          </w:p>
        </w:tc>
      </w:tr>
    </w:tbl>
    <w:p w:rsidR="00A041EA" w:rsidRDefault="00A041EA" w:rsidP="00A041EA">
      <w:pPr>
        <w:pStyle w:val="ParagraphStyle"/>
        <w:ind w:left="225"/>
        <w:rPr>
          <w:rFonts w:ascii="Calibri" w:hAnsi="Calibri" w:cs="Calibri"/>
          <w:b/>
          <w:bCs/>
        </w:rPr>
      </w:pPr>
      <w:r>
        <w:rPr>
          <w:rFonts w:ascii="Calibri" w:hAnsi="Calibri" w:cs="Calibri"/>
          <w:b/>
          <w:bCs/>
        </w:rPr>
        <w:t xml:space="preserve"> </w:t>
      </w:r>
    </w:p>
    <w:p w:rsidR="00A041EA" w:rsidRDefault="00A041EA" w:rsidP="00A041EA">
      <w:pPr>
        <w:pStyle w:val="ParagraphStyle"/>
        <w:ind w:left="225"/>
        <w:jc w:val="both"/>
        <w:rPr>
          <w:rFonts w:ascii="Calibri" w:hAnsi="Calibri" w:cs="Calibri"/>
        </w:rPr>
      </w:pPr>
      <w:r>
        <w:rPr>
          <w:rFonts w:ascii="Calibri" w:hAnsi="Calibri" w:cs="Calibri"/>
        </w:rPr>
        <w:t>5.1 DAS QUANTIDADES</w:t>
      </w:r>
    </w:p>
    <w:p w:rsidR="00A041EA" w:rsidRDefault="00A041EA" w:rsidP="00A041EA">
      <w:pPr>
        <w:pStyle w:val="ParagraphStyle"/>
        <w:ind w:left="225"/>
        <w:jc w:val="both"/>
        <w:rPr>
          <w:rFonts w:ascii="Calibri" w:hAnsi="Calibri" w:cs="Calibri"/>
        </w:rPr>
      </w:pPr>
      <w:r>
        <w:rPr>
          <w:rFonts w:ascii="Calibri" w:hAnsi="Calibri" w:cs="Calibri"/>
        </w:rPr>
        <w:t>5.1As quantidades estimadas para a presente contratação são fundamentadas em registros das últimas aquisições, considerando a demanda recorrente de manutenção dos equipamentos e a necessidade de certificação da calibração para garantir sua conformidade com os padrões exigidos. Cada aparelho requer, além dos serviços de manutenção preventiva e corretiva, a certificação periódica da calibração, conforme estabelecido pelas normas dos órgãos fiscalizadores.</w:t>
      </w:r>
    </w:p>
    <w:p w:rsidR="00A041EA" w:rsidRDefault="00A041EA" w:rsidP="00A041EA">
      <w:pPr>
        <w:pStyle w:val="ParagraphStyle"/>
        <w:ind w:left="225"/>
        <w:jc w:val="both"/>
        <w:rPr>
          <w:rFonts w:ascii="Calibri" w:hAnsi="Calibri" w:cs="Calibri"/>
          <w:sz w:val="20"/>
          <w:szCs w:val="20"/>
        </w:rPr>
      </w:pPr>
    </w:p>
    <w:p w:rsidR="00A041EA" w:rsidRDefault="00A041EA" w:rsidP="00A041EA">
      <w:pPr>
        <w:pStyle w:val="ParagraphStyle"/>
        <w:ind w:left="225"/>
        <w:jc w:val="both"/>
        <w:rPr>
          <w:rFonts w:ascii="Calibri" w:hAnsi="Calibri" w:cs="Calibri"/>
        </w:rPr>
      </w:pPr>
      <w:r>
        <w:rPr>
          <w:rFonts w:ascii="Calibri" w:hAnsi="Calibri" w:cs="Calibri"/>
        </w:rPr>
        <w:t>5.2 do preço</w:t>
      </w:r>
    </w:p>
    <w:p w:rsidR="00A041EA" w:rsidRDefault="00A041EA" w:rsidP="00A041EA">
      <w:pPr>
        <w:pStyle w:val="ParagraphStyle"/>
        <w:ind w:left="225"/>
        <w:jc w:val="both"/>
        <w:rPr>
          <w:rFonts w:ascii="Calibri" w:hAnsi="Calibri" w:cs="Calibri"/>
        </w:rPr>
      </w:pPr>
      <w:r>
        <w:rPr>
          <w:rFonts w:ascii="Calibri" w:hAnsi="Calibri" w:cs="Calibri"/>
        </w:rPr>
        <w:t>5.2.1 Exclusividade do Prestador O serviço de calibração dos turbidímetros e colorímetros é prestado exclusivamente pelo fabricante dos equipamentos, sendo este o único fornecedor no mercado capaz de realizar a certificação conforme os padrões exigidos pelos órgãos reguladores. Dessa forma, não há possibilidade de comparação de preços com outros prestadores, dado que não existem concorrentes que ofereçam esse serviço específico.</w:t>
      </w:r>
    </w:p>
    <w:p w:rsidR="00A041EA" w:rsidRDefault="00A041EA" w:rsidP="00A041EA">
      <w:pPr>
        <w:pStyle w:val="ParagraphStyle"/>
        <w:ind w:left="225"/>
        <w:jc w:val="both"/>
        <w:rPr>
          <w:rFonts w:ascii="Calibri" w:hAnsi="Calibri" w:cs="Calibri"/>
          <w:sz w:val="20"/>
          <w:szCs w:val="20"/>
        </w:rPr>
      </w:pPr>
    </w:p>
    <w:p w:rsidR="00A041EA" w:rsidRDefault="00A041EA" w:rsidP="00A041EA">
      <w:pPr>
        <w:pStyle w:val="ParagraphStyle"/>
        <w:ind w:left="225"/>
        <w:jc w:val="both"/>
        <w:rPr>
          <w:rFonts w:ascii="Calibri" w:hAnsi="Calibri" w:cs="Calibri"/>
        </w:rPr>
      </w:pPr>
      <w:r>
        <w:rPr>
          <w:rFonts w:ascii="Calibri" w:hAnsi="Calibri" w:cs="Calibri"/>
        </w:rPr>
        <w:t>5.2.2 Referências de Contratações Anteriores O preço proposto baseia-se em valores praticados em contratações anteriores do mesmo serviço, garantindo coerência e proporcionalidade em relação a históricos de aquisição dentro da administração pública. Além disso, a necessidade de manutenção e certificação periódica dos equipamentos reforça a continuidade dos preços adotados, mantendo-os dentro de um padrão de mercado para este tipo de serviço especializado.</w:t>
      </w:r>
    </w:p>
    <w:p w:rsidR="00A041EA" w:rsidRDefault="00A041EA" w:rsidP="00A041EA">
      <w:pPr>
        <w:pStyle w:val="ParagraphStyle"/>
        <w:ind w:left="225"/>
        <w:jc w:val="both"/>
        <w:rPr>
          <w:rFonts w:ascii="Calibri" w:hAnsi="Calibri" w:cs="Calibri"/>
          <w:sz w:val="20"/>
          <w:szCs w:val="20"/>
        </w:rPr>
      </w:pPr>
    </w:p>
    <w:p w:rsidR="00A041EA" w:rsidRDefault="00A041EA" w:rsidP="00A041EA">
      <w:pPr>
        <w:pStyle w:val="ParagraphStyle"/>
        <w:ind w:left="225"/>
        <w:jc w:val="both"/>
        <w:rPr>
          <w:rFonts w:ascii="Calibri" w:hAnsi="Calibri" w:cs="Calibri"/>
        </w:rPr>
      </w:pPr>
      <w:r>
        <w:rPr>
          <w:rFonts w:ascii="Calibri" w:hAnsi="Calibri" w:cs="Calibri"/>
        </w:rPr>
        <w:t>5.2.3 Referências de Contratações Anteriores Os preços adotados foram comparados com contratações anteriores realizadas pela própria entidade, considerando os valores praticados nas últimas aquisições de serviços similares. Essa análise garante que os preços estejam alinhados com históricos de mercado e dentro dos parâmetros aceitáveis para este tipo de prestação.</w:t>
      </w:r>
    </w:p>
    <w:p w:rsidR="00A041EA" w:rsidRDefault="00A041EA" w:rsidP="00A041EA">
      <w:pPr>
        <w:pStyle w:val="ParagraphStyle"/>
        <w:ind w:left="225"/>
        <w:jc w:val="both"/>
        <w:rPr>
          <w:rFonts w:ascii="Calibri" w:hAnsi="Calibri" w:cs="Calibri"/>
          <w:sz w:val="20"/>
          <w:szCs w:val="20"/>
        </w:rPr>
      </w:pPr>
    </w:p>
    <w:p w:rsidR="00A041EA" w:rsidRDefault="00A041EA" w:rsidP="00A041EA">
      <w:pPr>
        <w:pStyle w:val="ParagraphStyle"/>
        <w:ind w:left="225"/>
        <w:jc w:val="both"/>
        <w:rPr>
          <w:rFonts w:ascii="Calibri" w:hAnsi="Calibri" w:cs="Calibri"/>
        </w:rPr>
      </w:pPr>
      <w:r>
        <w:rPr>
          <w:rFonts w:ascii="Calibri" w:hAnsi="Calibri" w:cs="Calibri"/>
        </w:rPr>
        <w:t>5.2.4Possíveis Variações no Valor O custo do serviço pode sofrer variações decorrentes da necessidade de substituição de peças e itens específicos dos equipamentos, o que influencia diretamente os valores finais da contratação. Essas variações são justificadas pela necessidade de manutenção periódica e da certificação de calibração, garantindo a conformidade dos aparelhos com as exigências normativas</w:t>
      </w:r>
    </w:p>
    <w:p w:rsidR="00A041EA" w:rsidRDefault="00A041EA" w:rsidP="00A041EA">
      <w:pPr>
        <w:pStyle w:val="ParagraphStyle"/>
        <w:ind w:left="225"/>
        <w:jc w:val="both"/>
        <w:rPr>
          <w:rFonts w:ascii="Calibri" w:hAnsi="Calibri" w:cs="Calibri"/>
          <w:sz w:val="20"/>
          <w:szCs w:val="20"/>
        </w:rPr>
      </w:pPr>
    </w:p>
    <w:p w:rsidR="00A041EA" w:rsidRDefault="00A041EA" w:rsidP="00A041EA">
      <w:pPr>
        <w:pStyle w:val="ParagraphStyle"/>
        <w:ind w:left="225"/>
        <w:rPr>
          <w:rFonts w:ascii="Calibri" w:hAnsi="Calibri" w:cs="Calibri"/>
          <w:sz w:val="22"/>
          <w:szCs w:val="22"/>
        </w:rPr>
      </w:pPr>
      <w:r>
        <w:rPr>
          <w:rFonts w:ascii="Calibri" w:hAnsi="Calibri" w:cs="Calibri"/>
          <w:sz w:val="22"/>
          <w:szCs w:val="22"/>
        </w:rPr>
        <w:t xml:space="preserve">5.3 O orçamento detalhado é obrigatório na fase interna da licitação para o objeto da presente licitação, como verificação de preços concorrentes no mercado e parâmetro para fixação de critérios de aceitabilidade de preços globais e unitário no edital a ser lançado. Nesse sentido, a pesquisa de preços prévia, foi devidamente realizada de acordo com os moldes da Instrução Normativa SEGES/ME n. 65/2021 que dispõe sobre o procedimento administrativo para a realização de pesquisa de preços para aquisição de bens e contratação de serviços em geral, no âmbito da administração pública federal direta, autárquica e fundacional. </w:t>
      </w:r>
    </w:p>
    <w:p w:rsidR="00A041EA" w:rsidRDefault="00A041EA" w:rsidP="00A041EA">
      <w:pPr>
        <w:pStyle w:val="ParagraphStyle"/>
        <w:ind w:left="225"/>
        <w:rPr>
          <w:rFonts w:ascii="Calibri" w:hAnsi="Calibri" w:cs="Calibri"/>
          <w:sz w:val="20"/>
          <w:szCs w:val="20"/>
        </w:rPr>
      </w:pPr>
    </w:p>
    <w:p w:rsidR="00A041EA" w:rsidRDefault="00A041EA" w:rsidP="00A041EA">
      <w:pPr>
        <w:pStyle w:val="ParagraphStyle"/>
        <w:ind w:left="225"/>
        <w:jc w:val="both"/>
        <w:rPr>
          <w:rFonts w:ascii="Calibri" w:hAnsi="Calibri" w:cs="Calibri"/>
          <w:sz w:val="22"/>
          <w:szCs w:val="22"/>
        </w:rPr>
      </w:pPr>
      <w:r>
        <w:rPr>
          <w:rFonts w:ascii="Calibri" w:hAnsi="Calibri" w:cs="Calibri"/>
          <w:sz w:val="22"/>
          <w:szCs w:val="22"/>
        </w:rPr>
        <w:t xml:space="preserve">5.4 Esta Entidade Pública adotou tais moldes na tentativa de tornar o procedimento licitatório em questão mais transparente, sem qualquer tipo de combinação de valores prévios entre possíveis fornecedores, evitando assim a possibilidade de conluio entre empresas, frustrando assim qualquer tipo de sobrepreço ao itens a serem licitados.  Não possuindo assim qualquer falha na metodologia utilizada por esta Administração para definição dos valores estimados, não se limitando a 03 (três) cotações de empresas. Pois adotou-se contratações já realizadas de outras Entidades Públicas Municipais, mediante verificação </w:t>
      </w:r>
      <w:r>
        <w:rPr>
          <w:rFonts w:ascii="Calibri" w:hAnsi="Calibri" w:cs="Calibri"/>
          <w:sz w:val="22"/>
          <w:szCs w:val="22"/>
        </w:rPr>
        <w:lastRenderedPageBreak/>
        <w:t>junto ao Portal Informações para Todos do Tribunal de Contas do Paraná e ainda Portais de Transparência de Municípios.</w:t>
      </w:r>
    </w:p>
    <w:p w:rsidR="00A041EA" w:rsidRDefault="00A041EA" w:rsidP="00A041EA">
      <w:pPr>
        <w:pStyle w:val="ParagraphStyle"/>
        <w:ind w:left="225"/>
        <w:rPr>
          <w:rFonts w:ascii="Calibri" w:hAnsi="Calibri" w:cs="Calibri"/>
          <w:sz w:val="20"/>
          <w:szCs w:val="20"/>
        </w:rPr>
      </w:pPr>
    </w:p>
    <w:p w:rsidR="00A041EA" w:rsidRDefault="00A041EA" w:rsidP="00A041EA">
      <w:pPr>
        <w:pStyle w:val="ParagraphStyle"/>
        <w:ind w:left="225"/>
        <w:jc w:val="both"/>
        <w:rPr>
          <w:rFonts w:ascii="Calibri" w:hAnsi="Calibri" w:cs="Calibri"/>
          <w:sz w:val="22"/>
          <w:szCs w:val="22"/>
        </w:rPr>
      </w:pPr>
      <w:r>
        <w:rPr>
          <w:rFonts w:ascii="Calibri" w:hAnsi="Calibri" w:cs="Calibri"/>
          <w:sz w:val="22"/>
          <w:szCs w:val="22"/>
        </w:rPr>
        <w:t>5.5 Os materiais/serviços deverão ser entregues/executados nos locais informados na Nota de Empenho ou Ordem de Serviço emitidas, acompanhada preferencialmente pelo Fiscal do Contrato ou por outro servidor designado para esse fim.</w:t>
      </w:r>
    </w:p>
    <w:p w:rsidR="00A041EA" w:rsidRDefault="00A041EA" w:rsidP="00A041EA">
      <w:pPr>
        <w:pStyle w:val="ParagraphStyle"/>
        <w:ind w:left="225"/>
        <w:jc w:val="both"/>
        <w:rPr>
          <w:rFonts w:ascii="Calibri" w:hAnsi="Calibri" w:cs="Calibri"/>
          <w:sz w:val="20"/>
          <w:szCs w:val="20"/>
        </w:rPr>
      </w:pPr>
    </w:p>
    <w:p w:rsidR="00A041EA" w:rsidRDefault="00A041EA" w:rsidP="00A041EA">
      <w:pPr>
        <w:pStyle w:val="ParagraphStyle"/>
        <w:ind w:left="225"/>
        <w:jc w:val="both"/>
        <w:rPr>
          <w:rFonts w:ascii="Calibri" w:hAnsi="Calibri" w:cs="Calibri"/>
          <w:b/>
          <w:bCs/>
          <w:sz w:val="22"/>
          <w:szCs w:val="22"/>
        </w:rPr>
      </w:pPr>
      <w:r>
        <w:rPr>
          <w:rFonts w:ascii="Calibri" w:hAnsi="Calibri" w:cs="Calibri"/>
          <w:b/>
          <w:bCs/>
          <w:sz w:val="22"/>
          <w:szCs w:val="22"/>
        </w:rPr>
        <w:t>6. PRAZO DE ENTREGA/EXECUÇÃO, VIGÊNCIA E VALOR MÁXIMO</w:t>
      </w:r>
    </w:p>
    <w:p w:rsidR="00A041EA" w:rsidRDefault="00A041EA" w:rsidP="00A041EA">
      <w:pPr>
        <w:pStyle w:val="ParagraphStyle"/>
        <w:ind w:left="225"/>
        <w:jc w:val="both"/>
        <w:rPr>
          <w:rFonts w:ascii="Calibri" w:hAnsi="Calibri" w:cs="Calibri"/>
          <w:sz w:val="20"/>
          <w:szCs w:val="20"/>
        </w:rPr>
      </w:pPr>
    </w:p>
    <w:p w:rsidR="00A041EA" w:rsidRDefault="00A041EA" w:rsidP="00A041EA">
      <w:pPr>
        <w:pStyle w:val="ParagraphStyle"/>
        <w:ind w:left="225"/>
        <w:jc w:val="both"/>
        <w:rPr>
          <w:rFonts w:ascii="Calibri" w:hAnsi="Calibri" w:cs="Calibri"/>
          <w:sz w:val="22"/>
          <w:szCs w:val="22"/>
        </w:rPr>
      </w:pPr>
      <w:r>
        <w:rPr>
          <w:rFonts w:ascii="Calibri" w:hAnsi="Calibri" w:cs="Calibri"/>
          <w:sz w:val="22"/>
          <w:szCs w:val="22"/>
        </w:rPr>
        <w:t xml:space="preserve">6.1 A entrega/serviços deverá ocorrer em até </w:t>
      </w:r>
      <w:r>
        <w:rPr>
          <w:rFonts w:ascii="Calibri" w:hAnsi="Calibri" w:cs="Calibri"/>
          <w:b/>
          <w:bCs/>
          <w:sz w:val="22"/>
          <w:szCs w:val="22"/>
        </w:rPr>
        <w:t>30 (TRINTA) dias úteis</w:t>
      </w:r>
      <w:r>
        <w:rPr>
          <w:rFonts w:ascii="Calibri" w:hAnsi="Calibri" w:cs="Calibri"/>
          <w:sz w:val="22"/>
          <w:szCs w:val="22"/>
        </w:rPr>
        <w:t>, a contar da solicitação do órgão competente, por conta e risco da empresa vencedora do certame licitatório, mediante requisição formalizada pelo Município, correndo por conta da licitante vencedora contratada as despesas de seguros, transportes, tributos, encargos trabalhistas e previdenciários decorrentes da execução do objeto da licitação.</w:t>
      </w:r>
    </w:p>
    <w:p w:rsidR="00A041EA" w:rsidRDefault="00A041EA" w:rsidP="00A041EA">
      <w:pPr>
        <w:pStyle w:val="ParagraphStyle"/>
        <w:keepNext/>
        <w:keepLines/>
        <w:ind w:right="-30"/>
        <w:jc w:val="both"/>
        <w:rPr>
          <w:rFonts w:ascii="Calibri" w:hAnsi="Calibri" w:cs="Calibri"/>
          <w:sz w:val="20"/>
          <w:szCs w:val="20"/>
        </w:rPr>
      </w:pPr>
    </w:p>
    <w:p w:rsidR="00A041EA" w:rsidRDefault="00A041EA" w:rsidP="00A041EA">
      <w:pPr>
        <w:pStyle w:val="ParagraphStyle"/>
        <w:keepNext/>
        <w:keepLines/>
        <w:ind w:right="-30"/>
        <w:jc w:val="both"/>
        <w:rPr>
          <w:rFonts w:ascii="Calibri" w:hAnsi="Calibri" w:cs="Calibri"/>
          <w:sz w:val="22"/>
          <w:szCs w:val="22"/>
        </w:rPr>
      </w:pPr>
      <w:r>
        <w:rPr>
          <w:rFonts w:ascii="Calibri" w:hAnsi="Calibri" w:cs="Calibri"/>
          <w:sz w:val="22"/>
          <w:szCs w:val="22"/>
        </w:rPr>
        <w:t xml:space="preserve">6.2 O prazo de vigência da contratação será de </w:t>
      </w:r>
      <w:r>
        <w:rPr>
          <w:rFonts w:ascii="Calibri" w:hAnsi="Calibri" w:cs="Calibri"/>
          <w:b/>
          <w:bCs/>
          <w:sz w:val="22"/>
          <w:szCs w:val="22"/>
        </w:rPr>
        <w:t>até 12 (DOZE) meses</w:t>
      </w:r>
      <w:r>
        <w:rPr>
          <w:rFonts w:ascii="Calibri" w:hAnsi="Calibri" w:cs="Calibri"/>
          <w:sz w:val="22"/>
          <w:szCs w:val="22"/>
        </w:rPr>
        <w:t>, contados da data indicada no instrumento contratual, na forma do artigo 105, da Lei n° 14.133/2021.</w:t>
      </w:r>
    </w:p>
    <w:p w:rsidR="00A041EA" w:rsidRDefault="00A041EA" w:rsidP="00A041EA">
      <w:pPr>
        <w:pStyle w:val="ParagraphStyle"/>
        <w:keepNext/>
        <w:keepLines/>
        <w:ind w:right="-30"/>
        <w:jc w:val="both"/>
        <w:rPr>
          <w:rFonts w:ascii="Calibri" w:hAnsi="Calibri" w:cs="Calibri"/>
          <w:sz w:val="20"/>
          <w:szCs w:val="20"/>
        </w:rPr>
      </w:pPr>
    </w:p>
    <w:p w:rsidR="00A041EA" w:rsidRDefault="00A041EA" w:rsidP="00A041EA">
      <w:pPr>
        <w:pStyle w:val="ParagraphStyle"/>
        <w:keepNext/>
        <w:keepLines/>
        <w:ind w:right="-30"/>
        <w:jc w:val="both"/>
        <w:rPr>
          <w:rFonts w:ascii="Calibri" w:hAnsi="Calibri" w:cs="Calibri"/>
          <w:sz w:val="22"/>
          <w:szCs w:val="22"/>
        </w:rPr>
      </w:pPr>
      <w:r>
        <w:rPr>
          <w:rFonts w:ascii="Calibri" w:hAnsi="Calibri" w:cs="Calibri"/>
          <w:sz w:val="22"/>
          <w:szCs w:val="22"/>
        </w:rPr>
        <w:t xml:space="preserve">6.3 O custo estimado total da contratação é de R$ </w:t>
      </w:r>
      <w:r>
        <w:rPr>
          <w:rFonts w:ascii="Calibri" w:hAnsi="Calibri" w:cs="Calibri"/>
          <w:b/>
          <w:bCs/>
          <w:sz w:val="22"/>
          <w:szCs w:val="22"/>
        </w:rPr>
        <w:t xml:space="preserve">1.659,21(Um Mil, Seiscentos e </w:t>
      </w:r>
      <w:proofErr w:type="spellStart"/>
      <w:r>
        <w:rPr>
          <w:rFonts w:ascii="Calibri" w:hAnsi="Calibri" w:cs="Calibri"/>
          <w:b/>
          <w:bCs/>
          <w:sz w:val="22"/>
          <w:szCs w:val="22"/>
        </w:rPr>
        <w:t>Cinqüenta</w:t>
      </w:r>
      <w:proofErr w:type="spellEnd"/>
      <w:r>
        <w:rPr>
          <w:rFonts w:ascii="Calibri" w:hAnsi="Calibri" w:cs="Calibri"/>
          <w:b/>
          <w:bCs/>
          <w:sz w:val="22"/>
          <w:szCs w:val="22"/>
        </w:rPr>
        <w:t xml:space="preserve"> e Nove Reais e Vinte e Um Centavos)</w:t>
      </w:r>
      <w:r>
        <w:rPr>
          <w:rFonts w:ascii="Calibri" w:hAnsi="Calibri" w:cs="Calibri"/>
          <w:sz w:val="22"/>
          <w:szCs w:val="22"/>
        </w:rPr>
        <w:t>, conforme custos unitários apostos na tabela acima.</w:t>
      </w:r>
    </w:p>
    <w:p w:rsidR="00A041EA" w:rsidRDefault="00A041EA" w:rsidP="00A041EA">
      <w:pPr>
        <w:pStyle w:val="ParagraphStyle"/>
        <w:keepNext/>
        <w:keepLines/>
        <w:ind w:right="-30"/>
        <w:jc w:val="both"/>
        <w:rPr>
          <w:rFonts w:ascii="Calibri" w:hAnsi="Calibri" w:cs="Calibri"/>
          <w:sz w:val="20"/>
          <w:szCs w:val="20"/>
        </w:rPr>
      </w:pPr>
    </w:p>
    <w:p w:rsidR="00A041EA" w:rsidRDefault="00A041EA" w:rsidP="00A041EA">
      <w:pPr>
        <w:pStyle w:val="ParagraphStyle"/>
        <w:keepNext/>
        <w:keepLines/>
        <w:ind w:right="-30"/>
        <w:jc w:val="both"/>
        <w:rPr>
          <w:rFonts w:ascii="Calibri" w:hAnsi="Calibri" w:cs="Calibri"/>
          <w:sz w:val="22"/>
          <w:szCs w:val="22"/>
        </w:rPr>
      </w:pPr>
      <w:r>
        <w:rPr>
          <w:rFonts w:ascii="Calibri" w:hAnsi="Calibri" w:cs="Calibri"/>
          <w:sz w:val="22"/>
          <w:szCs w:val="22"/>
        </w:rPr>
        <w:t>6.4 O objeto desta contratação não se enquadra como sendo de bem de luxo, conforme Decreto nº 10.818, de 2021.</w:t>
      </w:r>
    </w:p>
    <w:p w:rsidR="00A041EA" w:rsidRDefault="00A041EA" w:rsidP="00A041EA">
      <w:pPr>
        <w:pStyle w:val="ParagraphStyle"/>
        <w:keepNext/>
        <w:keepLines/>
        <w:ind w:right="-30"/>
        <w:jc w:val="both"/>
        <w:rPr>
          <w:rFonts w:ascii="Calibri" w:hAnsi="Calibri" w:cs="Calibri"/>
          <w:sz w:val="20"/>
          <w:szCs w:val="20"/>
        </w:rPr>
      </w:pPr>
    </w:p>
    <w:p w:rsidR="00A041EA" w:rsidRDefault="00A041EA" w:rsidP="00A041EA">
      <w:pPr>
        <w:pStyle w:val="ParagraphStyle"/>
        <w:keepNext/>
        <w:keepLines/>
        <w:ind w:right="-30"/>
        <w:jc w:val="both"/>
        <w:rPr>
          <w:rFonts w:ascii="Calibri" w:hAnsi="Calibri" w:cs="Calibri"/>
          <w:b/>
          <w:bCs/>
          <w:sz w:val="22"/>
          <w:szCs w:val="22"/>
        </w:rPr>
      </w:pPr>
      <w:r>
        <w:rPr>
          <w:rFonts w:ascii="Calibri" w:hAnsi="Calibri" w:cs="Calibri"/>
          <w:b/>
          <w:bCs/>
          <w:sz w:val="22"/>
          <w:szCs w:val="22"/>
        </w:rPr>
        <w:t>7. JUSTIFICATIVAS PARA O PARCELAMENTO OU NÃO DA SOLUÇÃO</w:t>
      </w:r>
    </w:p>
    <w:p w:rsidR="00A041EA" w:rsidRDefault="00A041EA" w:rsidP="00A041EA">
      <w:pPr>
        <w:pStyle w:val="ParagraphStyle"/>
        <w:jc w:val="both"/>
        <w:rPr>
          <w:rFonts w:ascii="Calibri" w:hAnsi="Calibri" w:cs="Calibri"/>
          <w:sz w:val="22"/>
          <w:szCs w:val="22"/>
        </w:rPr>
      </w:pPr>
      <w:r>
        <w:rPr>
          <w:rFonts w:ascii="Calibri" w:hAnsi="Calibri" w:cs="Calibri"/>
          <w:sz w:val="22"/>
          <w:szCs w:val="22"/>
        </w:rPr>
        <w:t xml:space="preserve">A aquisição/contratação é divisível, portanto há possibilidade de separá-lo(s) em cotas sem causar prejuízo a execução do contrato. Havendo um melhor aproveitamento do mercado e ampliação da competitividade. </w:t>
      </w:r>
    </w:p>
    <w:p w:rsidR="00A041EA" w:rsidRDefault="00A041EA" w:rsidP="00A041EA">
      <w:pPr>
        <w:pStyle w:val="ParagraphStyle"/>
        <w:jc w:val="both"/>
        <w:rPr>
          <w:rFonts w:ascii="Calibri" w:hAnsi="Calibri" w:cs="Calibri"/>
          <w:sz w:val="20"/>
          <w:szCs w:val="20"/>
        </w:rPr>
      </w:pPr>
    </w:p>
    <w:p w:rsidR="00A041EA" w:rsidRDefault="00A041EA" w:rsidP="00A041EA">
      <w:pPr>
        <w:pStyle w:val="ParagraphStyle"/>
        <w:jc w:val="both"/>
        <w:rPr>
          <w:rFonts w:ascii="Calibri" w:hAnsi="Calibri" w:cs="Calibri"/>
          <w:b/>
          <w:bCs/>
          <w:sz w:val="22"/>
          <w:szCs w:val="22"/>
        </w:rPr>
      </w:pPr>
      <w:r>
        <w:rPr>
          <w:rFonts w:ascii="Calibri" w:hAnsi="Calibri" w:cs="Calibri"/>
          <w:b/>
          <w:bCs/>
          <w:sz w:val="22"/>
          <w:szCs w:val="22"/>
        </w:rPr>
        <w:t xml:space="preserve">8. - RESULTADOS PRETENDIDOS </w:t>
      </w:r>
    </w:p>
    <w:p w:rsidR="00A041EA" w:rsidRDefault="00A041EA" w:rsidP="00A041EA">
      <w:pPr>
        <w:pStyle w:val="ParagraphStyle"/>
        <w:jc w:val="both"/>
        <w:rPr>
          <w:rFonts w:ascii="Calibri" w:hAnsi="Calibri" w:cs="Calibri"/>
          <w:sz w:val="22"/>
          <w:szCs w:val="22"/>
        </w:rPr>
      </w:pPr>
      <w:r>
        <w:rPr>
          <w:rFonts w:ascii="Calibri" w:hAnsi="Calibri" w:cs="Calibri"/>
          <w:sz w:val="22"/>
          <w:szCs w:val="22"/>
        </w:rPr>
        <w:t xml:space="preserve">A solução deverá permitir o alcance dos seguintes resultados: </w:t>
      </w:r>
    </w:p>
    <w:p w:rsidR="00A041EA" w:rsidRDefault="00A041EA" w:rsidP="00A041EA">
      <w:pPr>
        <w:pStyle w:val="ParagraphStyle"/>
        <w:jc w:val="both"/>
        <w:rPr>
          <w:rFonts w:ascii="Calibri" w:hAnsi="Calibri" w:cs="Calibri"/>
          <w:sz w:val="22"/>
          <w:szCs w:val="22"/>
        </w:rPr>
      </w:pPr>
      <w:r>
        <w:rPr>
          <w:rFonts w:ascii="Calibri" w:hAnsi="Calibri" w:cs="Calibri"/>
          <w:sz w:val="22"/>
          <w:szCs w:val="22"/>
        </w:rPr>
        <w:t>1) Cumprimento das Normas Regulamentares Atender às exigências dos órgãos competentes, como a Vigilância Sanitária, por meio da calibração periódica dos equipamentos e da emissão dos certificados de conformidade.</w:t>
      </w:r>
    </w:p>
    <w:p w:rsidR="00A041EA" w:rsidRDefault="00A041EA" w:rsidP="00A041EA">
      <w:pPr>
        <w:pStyle w:val="ParagraphStyle"/>
        <w:jc w:val="both"/>
        <w:rPr>
          <w:rFonts w:ascii="Calibri" w:hAnsi="Calibri" w:cs="Calibri"/>
          <w:sz w:val="22"/>
          <w:szCs w:val="22"/>
        </w:rPr>
      </w:pPr>
      <w:r>
        <w:rPr>
          <w:rFonts w:ascii="Calibri" w:hAnsi="Calibri" w:cs="Calibri"/>
          <w:sz w:val="22"/>
          <w:szCs w:val="22"/>
        </w:rPr>
        <w:t>2) Preservar a integridade dos processos laboratoriais, evitando inconsistências nas medições que possam comprometer análises técnicas e decisões baseadas em resultados obtidos.</w:t>
      </w:r>
    </w:p>
    <w:p w:rsidR="00A041EA" w:rsidRDefault="00A041EA" w:rsidP="00A041EA">
      <w:pPr>
        <w:pStyle w:val="ParagraphStyle"/>
        <w:jc w:val="both"/>
        <w:rPr>
          <w:rFonts w:ascii="Calibri" w:hAnsi="Calibri" w:cs="Calibri"/>
          <w:sz w:val="22"/>
          <w:szCs w:val="22"/>
        </w:rPr>
      </w:pPr>
      <w:r>
        <w:rPr>
          <w:rFonts w:ascii="Calibri" w:hAnsi="Calibri" w:cs="Calibri"/>
          <w:sz w:val="22"/>
          <w:szCs w:val="22"/>
        </w:rPr>
        <w:t xml:space="preserve">3) Evitar a realização de várias contratações referentes a um mesmo objeto, num  mesmo exercício financeiro, evitando o sobrepreço e a ineficácia da execução do contrato; </w:t>
      </w:r>
    </w:p>
    <w:p w:rsidR="00A041EA" w:rsidRDefault="00A041EA" w:rsidP="00A041EA">
      <w:pPr>
        <w:pStyle w:val="ParagraphStyle"/>
        <w:jc w:val="both"/>
        <w:rPr>
          <w:rFonts w:ascii="Calibri" w:hAnsi="Calibri" w:cs="Calibri"/>
          <w:sz w:val="20"/>
          <w:szCs w:val="20"/>
        </w:rPr>
      </w:pPr>
    </w:p>
    <w:p w:rsidR="00A041EA" w:rsidRDefault="00A041EA" w:rsidP="00A041EA">
      <w:pPr>
        <w:pStyle w:val="ParagraphStyle"/>
        <w:jc w:val="both"/>
        <w:rPr>
          <w:rFonts w:ascii="Calibri" w:hAnsi="Calibri" w:cs="Calibri"/>
          <w:b/>
          <w:bCs/>
          <w:sz w:val="22"/>
          <w:szCs w:val="22"/>
        </w:rPr>
      </w:pPr>
      <w:r>
        <w:rPr>
          <w:rFonts w:ascii="Calibri" w:hAnsi="Calibri" w:cs="Calibri"/>
          <w:b/>
          <w:bCs/>
          <w:sz w:val="22"/>
          <w:szCs w:val="22"/>
        </w:rPr>
        <w:t>9- PROVIDÊNCIAS PARA A ADEQUAÇÃO DO AMBIENTE DO ÓRGÃO</w:t>
      </w:r>
    </w:p>
    <w:p w:rsidR="00A041EA" w:rsidRDefault="00A041EA" w:rsidP="00A041EA">
      <w:pPr>
        <w:pStyle w:val="ParagraphStyle"/>
        <w:jc w:val="both"/>
        <w:rPr>
          <w:rFonts w:ascii="Calibri" w:hAnsi="Calibri" w:cs="Calibri"/>
          <w:b/>
          <w:bCs/>
          <w:sz w:val="22"/>
          <w:szCs w:val="22"/>
        </w:rPr>
      </w:pPr>
      <w:r>
        <w:rPr>
          <w:rFonts w:ascii="Calibri" w:hAnsi="Calibri" w:cs="Calibri"/>
          <w:b/>
          <w:bCs/>
          <w:sz w:val="22"/>
          <w:szCs w:val="22"/>
        </w:rPr>
        <w:t>Logística:</w:t>
      </w:r>
    </w:p>
    <w:p w:rsidR="00A041EA" w:rsidRDefault="00A041EA" w:rsidP="00A041EA">
      <w:pPr>
        <w:pStyle w:val="ParagraphStyle"/>
        <w:jc w:val="both"/>
        <w:rPr>
          <w:rFonts w:ascii="Calibri" w:hAnsi="Calibri" w:cs="Calibri"/>
          <w:sz w:val="22"/>
          <w:szCs w:val="22"/>
        </w:rPr>
      </w:pPr>
      <w:r>
        <w:rPr>
          <w:rFonts w:ascii="Calibri" w:hAnsi="Calibri" w:cs="Calibri"/>
          <w:sz w:val="22"/>
          <w:szCs w:val="22"/>
        </w:rPr>
        <w:t>Não há necessidade de adequação logística (fornecimento de materiais).</w:t>
      </w:r>
    </w:p>
    <w:p w:rsidR="00A041EA" w:rsidRDefault="00A041EA" w:rsidP="00A041EA">
      <w:pPr>
        <w:pStyle w:val="ParagraphStyle"/>
        <w:jc w:val="both"/>
        <w:rPr>
          <w:rFonts w:ascii="Calibri" w:hAnsi="Calibri" w:cs="Calibri"/>
          <w:b/>
          <w:bCs/>
          <w:sz w:val="22"/>
          <w:szCs w:val="22"/>
        </w:rPr>
      </w:pPr>
      <w:r>
        <w:rPr>
          <w:rFonts w:ascii="Calibri" w:hAnsi="Calibri" w:cs="Calibri"/>
          <w:b/>
          <w:bCs/>
          <w:sz w:val="22"/>
          <w:szCs w:val="22"/>
        </w:rPr>
        <w:t>Infraestrutura tecnológica:</w:t>
      </w:r>
    </w:p>
    <w:p w:rsidR="00A041EA" w:rsidRDefault="00A041EA" w:rsidP="00A041EA">
      <w:pPr>
        <w:pStyle w:val="ParagraphStyle"/>
        <w:jc w:val="both"/>
        <w:rPr>
          <w:rFonts w:ascii="Calibri" w:hAnsi="Calibri" w:cs="Calibri"/>
          <w:sz w:val="22"/>
          <w:szCs w:val="22"/>
        </w:rPr>
      </w:pPr>
      <w:r>
        <w:rPr>
          <w:rFonts w:ascii="Calibri" w:hAnsi="Calibri" w:cs="Calibri"/>
          <w:sz w:val="22"/>
          <w:szCs w:val="22"/>
        </w:rPr>
        <w:t>Não há necessidade de adequação na infraestrutura tecnológica.</w:t>
      </w:r>
    </w:p>
    <w:p w:rsidR="00A041EA" w:rsidRDefault="00A041EA" w:rsidP="00A041EA">
      <w:pPr>
        <w:pStyle w:val="ParagraphStyle"/>
        <w:jc w:val="both"/>
        <w:rPr>
          <w:rFonts w:ascii="Calibri" w:hAnsi="Calibri" w:cs="Calibri"/>
          <w:b/>
          <w:bCs/>
          <w:sz w:val="22"/>
          <w:szCs w:val="22"/>
        </w:rPr>
      </w:pPr>
      <w:r>
        <w:rPr>
          <w:rFonts w:ascii="Calibri" w:hAnsi="Calibri" w:cs="Calibri"/>
          <w:b/>
          <w:bCs/>
          <w:sz w:val="22"/>
          <w:szCs w:val="22"/>
        </w:rPr>
        <w:t>Infraestrutura elétrica:</w:t>
      </w:r>
    </w:p>
    <w:p w:rsidR="00A041EA" w:rsidRDefault="00A041EA" w:rsidP="00A041EA">
      <w:pPr>
        <w:pStyle w:val="ParagraphStyle"/>
        <w:jc w:val="both"/>
        <w:rPr>
          <w:rFonts w:ascii="Calibri" w:hAnsi="Calibri" w:cs="Calibri"/>
          <w:sz w:val="22"/>
          <w:szCs w:val="22"/>
        </w:rPr>
      </w:pPr>
      <w:r>
        <w:rPr>
          <w:rFonts w:ascii="Calibri" w:hAnsi="Calibri" w:cs="Calibri"/>
          <w:sz w:val="22"/>
          <w:szCs w:val="22"/>
        </w:rPr>
        <w:t>Não há necessidade de adequação na infraestrutura elétrica.</w:t>
      </w:r>
    </w:p>
    <w:p w:rsidR="00A041EA" w:rsidRDefault="00A041EA" w:rsidP="00A041EA">
      <w:pPr>
        <w:pStyle w:val="ParagraphStyle"/>
        <w:jc w:val="both"/>
        <w:rPr>
          <w:rFonts w:ascii="Calibri" w:hAnsi="Calibri" w:cs="Calibri"/>
          <w:b/>
          <w:bCs/>
          <w:sz w:val="22"/>
          <w:szCs w:val="22"/>
        </w:rPr>
      </w:pPr>
      <w:r>
        <w:rPr>
          <w:rFonts w:ascii="Calibri" w:hAnsi="Calibri" w:cs="Calibri"/>
          <w:b/>
          <w:bCs/>
          <w:sz w:val="22"/>
          <w:szCs w:val="22"/>
        </w:rPr>
        <w:t>Espaço físico:</w:t>
      </w:r>
    </w:p>
    <w:p w:rsidR="00A041EA" w:rsidRDefault="00A041EA" w:rsidP="00A041EA">
      <w:pPr>
        <w:pStyle w:val="ParagraphStyle"/>
        <w:jc w:val="both"/>
        <w:rPr>
          <w:rFonts w:ascii="Calibri" w:hAnsi="Calibri" w:cs="Calibri"/>
          <w:sz w:val="22"/>
          <w:szCs w:val="22"/>
        </w:rPr>
      </w:pPr>
      <w:r>
        <w:rPr>
          <w:rFonts w:ascii="Calibri" w:hAnsi="Calibri" w:cs="Calibri"/>
          <w:sz w:val="22"/>
          <w:szCs w:val="22"/>
        </w:rPr>
        <w:t>Não há necessidade de adequação no espaço físico.</w:t>
      </w:r>
    </w:p>
    <w:p w:rsidR="00A041EA" w:rsidRDefault="00A041EA" w:rsidP="00A041EA">
      <w:pPr>
        <w:pStyle w:val="ParagraphStyle"/>
        <w:jc w:val="both"/>
        <w:rPr>
          <w:rFonts w:ascii="Calibri" w:hAnsi="Calibri" w:cs="Calibri"/>
          <w:b/>
          <w:bCs/>
          <w:sz w:val="22"/>
          <w:szCs w:val="22"/>
        </w:rPr>
      </w:pPr>
      <w:r>
        <w:rPr>
          <w:rFonts w:ascii="Calibri" w:hAnsi="Calibri" w:cs="Calibri"/>
          <w:b/>
          <w:bCs/>
          <w:sz w:val="22"/>
          <w:szCs w:val="22"/>
        </w:rPr>
        <w:t>Mobiliário:</w:t>
      </w:r>
    </w:p>
    <w:p w:rsidR="00A041EA" w:rsidRDefault="00A041EA" w:rsidP="00A041EA">
      <w:pPr>
        <w:pStyle w:val="ParagraphStyle"/>
        <w:jc w:val="both"/>
        <w:rPr>
          <w:rFonts w:ascii="Calibri" w:hAnsi="Calibri" w:cs="Calibri"/>
          <w:sz w:val="22"/>
          <w:szCs w:val="22"/>
        </w:rPr>
      </w:pPr>
      <w:r>
        <w:rPr>
          <w:rFonts w:ascii="Calibri" w:hAnsi="Calibri" w:cs="Calibri"/>
          <w:sz w:val="22"/>
          <w:szCs w:val="22"/>
        </w:rPr>
        <w:t>Não há necessidade de adequação de mobiliário.</w:t>
      </w:r>
    </w:p>
    <w:p w:rsidR="00A041EA" w:rsidRDefault="00A041EA" w:rsidP="00A041EA">
      <w:pPr>
        <w:pStyle w:val="ParagraphStyle"/>
        <w:jc w:val="both"/>
        <w:rPr>
          <w:rFonts w:ascii="Calibri" w:hAnsi="Calibri" w:cs="Calibri"/>
          <w:b/>
          <w:bCs/>
          <w:sz w:val="22"/>
          <w:szCs w:val="22"/>
        </w:rPr>
      </w:pPr>
      <w:r>
        <w:rPr>
          <w:rFonts w:ascii="Calibri" w:hAnsi="Calibri" w:cs="Calibri"/>
          <w:b/>
          <w:bCs/>
          <w:sz w:val="22"/>
          <w:szCs w:val="22"/>
        </w:rPr>
        <w:t>Impacto ambiental:</w:t>
      </w:r>
    </w:p>
    <w:p w:rsidR="00A041EA" w:rsidRDefault="00A041EA" w:rsidP="00A041EA">
      <w:pPr>
        <w:pStyle w:val="ParagraphStyle"/>
        <w:jc w:val="both"/>
        <w:rPr>
          <w:rFonts w:ascii="Calibri" w:hAnsi="Calibri" w:cs="Calibri"/>
          <w:sz w:val="22"/>
          <w:szCs w:val="22"/>
        </w:rPr>
      </w:pPr>
      <w:r>
        <w:rPr>
          <w:rFonts w:ascii="Calibri" w:hAnsi="Calibri" w:cs="Calibri"/>
          <w:sz w:val="22"/>
          <w:szCs w:val="22"/>
        </w:rPr>
        <w:t>Não há efeitos ambientais de considerável relevância na contratação pretendida.</w:t>
      </w:r>
    </w:p>
    <w:p w:rsidR="00A041EA" w:rsidRDefault="00A041EA" w:rsidP="00A041EA">
      <w:pPr>
        <w:pStyle w:val="ParagraphStyle"/>
        <w:jc w:val="both"/>
        <w:rPr>
          <w:rFonts w:ascii="Calibri" w:hAnsi="Calibri" w:cs="Calibri"/>
          <w:sz w:val="20"/>
          <w:szCs w:val="20"/>
        </w:rPr>
      </w:pPr>
    </w:p>
    <w:p w:rsidR="00A041EA" w:rsidRDefault="00A041EA" w:rsidP="00A041EA">
      <w:pPr>
        <w:pStyle w:val="ParagraphStyle"/>
        <w:jc w:val="both"/>
        <w:rPr>
          <w:rFonts w:ascii="Calibri" w:hAnsi="Calibri" w:cs="Calibri"/>
          <w:b/>
          <w:bCs/>
          <w:sz w:val="22"/>
          <w:szCs w:val="22"/>
        </w:rPr>
      </w:pPr>
      <w:r>
        <w:rPr>
          <w:rFonts w:ascii="Calibri" w:hAnsi="Calibri" w:cs="Calibri"/>
          <w:b/>
          <w:bCs/>
          <w:w w:val="120"/>
          <w:sz w:val="22"/>
          <w:szCs w:val="22"/>
        </w:rPr>
        <w:t xml:space="preserve">10- </w:t>
      </w:r>
      <w:r>
        <w:rPr>
          <w:rFonts w:ascii="Calibri" w:hAnsi="Calibri" w:cs="Calibri"/>
          <w:b/>
          <w:bCs/>
          <w:sz w:val="22"/>
          <w:szCs w:val="22"/>
        </w:rPr>
        <w:t>CRITÉRIOS E PRÁTICAS DE ACESSIBILIDADE, SE CABÍVEL:</w:t>
      </w:r>
    </w:p>
    <w:p w:rsidR="00A041EA" w:rsidRDefault="00A041EA" w:rsidP="00A041EA">
      <w:pPr>
        <w:pStyle w:val="ParagraphStyle"/>
        <w:jc w:val="both"/>
        <w:rPr>
          <w:rFonts w:ascii="Calibri" w:hAnsi="Calibri" w:cs="Calibri"/>
          <w:w w:val="115"/>
          <w:sz w:val="22"/>
          <w:szCs w:val="22"/>
        </w:rPr>
      </w:pPr>
      <w:r>
        <w:rPr>
          <w:rFonts w:ascii="Calibri" w:hAnsi="Calibri" w:cs="Calibri"/>
          <w:w w:val="115"/>
          <w:sz w:val="22"/>
          <w:szCs w:val="22"/>
        </w:rPr>
        <w:lastRenderedPageBreak/>
        <w:t>Não se aplica.</w:t>
      </w:r>
    </w:p>
    <w:p w:rsidR="00A041EA" w:rsidRDefault="00A041EA" w:rsidP="00A041EA">
      <w:pPr>
        <w:pStyle w:val="ParagraphStyle"/>
        <w:jc w:val="both"/>
        <w:rPr>
          <w:rFonts w:ascii="Calibri" w:hAnsi="Calibri" w:cs="Calibri"/>
          <w:sz w:val="20"/>
          <w:szCs w:val="20"/>
        </w:rPr>
      </w:pPr>
    </w:p>
    <w:p w:rsidR="00A041EA" w:rsidRDefault="00A041EA" w:rsidP="00A041EA">
      <w:pPr>
        <w:pStyle w:val="ParagraphStyle"/>
        <w:jc w:val="both"/>
        <w:rPr>
          <w:rFonts w:ascii="Calibri" w:hAnsi="Calibri" w:cs="Calibri"/>
          <w:b/>
          <w:bCs/>
          <w:sz w:val="22"/>
          <w:szCs w:val="22"/>
        </w:rPr>
      </w:pPr>
      <w:r>
        <w:rPr>
          <w:rFonts w:ascii="Calibri" w:hAnsi="Calibri" w:cs="Calibri"/>
          <w:b/>
          <w:bCs/>
          <w:sz w:val="22"/>
          <w:szCs w:val="22"/>
        </w:rPr>
        <w:t>11– MAPA DE RISCO</w:t>
      </w:r>
    </w:p>
    <w:p w:rsidR="00A041EA" w:rsidRDefault="00A041EA" w:rsidP="00A041EA">
      <w:pPr>
        <w:pStyle w:val="ParagraphStyle"/>
        <w:jc w:val="both"/>
        <w:rPr>
          <w:rFonts w:ascii="Calibri" w:hAnsi="Calibri" w:cs="Calibri"/>
          <w:sz w:val="22"/>
          <w:szCs w:val="22"/>
        </w:rPr>
      </w:pPr>
      <w:r>
        <w:rPr>
          <w:rFonts w:ascii="Calibri" w:hAnsi="Calibri" w:cs="Calibri"/>
          <w:sz w:val="22"/>
          <w:szCs w:val="22"/>
        </w:rPr>
        <w:t>Em anexo.</w:t>
      </w:r>
    </w:p>
    <w:p w:rsidR="00A041EA" w:rsidRDefault="00A041EA" w:rsidP="00A041EA">
      <w:pPr>
        <w:pStyle w:val="ParagraphStyle"/>
        <w:jc w:val="both"/>
        <w:rPr>
          <w:rFonts w:ascii="Calibri" w:hAnsi="Calibri" w:cs="Calibri"/>
          <w:sz w:val="20"/>
          <w:szCs w:val="20"/>
        </w:rPr>
      </w:pPr>
    </w:p>
    <w:p w:rsidR="00A041EA" w:rsidRDefault="00A041EA" w:rsidP="00A041EA">
      <w:pPr>
        <w:pStyle w:val="ParagraphStyle"/>
        <w:jc w:val="both"/>
        <w:rPr>
          <w:rFonts w:ascii="Calibri" w:hAnsi="Calibri" w:cs="Calibri"/>
          <w:b/>
          <w:bCs/>
          <w:sz w:val="22"/>
          <w:szCs w:val="22"/>
        </w:rPr>
      </w:pPr>
      <w:r>
        <w:rPr>
          <w:rFonts w:ascii="Calibri" w:hAnsi="Calibri" w:cs="Calibri"/>
          <w:b/>
          <w:bCs/>
          <w:sz w:val="22"/>
          <w:szCs w:val="22"/>
        </w:rPr>
        <w:t>12 - CONTRATAÇÕES CORRELATAS E/OU INTERDEPENDENTES</w:t>
      </w:r>
    </w:p>
    <w:p w:rsidR="00A041EA" w:rsidRDefault="00A041EA" w:rsidP="00A041EA">
      <w:pPr>
        <w:pStyle w:val="ParagraphStyle"/>
        <w:jc w:val="both"/>
        <w:rPr>
          <w:rFonts w:ascii="Calibri" w:hAnsi="Calibri" w:cs="Calibri"/>
          <w:sz w:val="22"/>
          <w:szCs w:val="22"/>
        </w:rPr>
      </w:pPr>
      <w:r>
        <w:rPr>
          <w:rFonts w:ascii="Calibri" w:hAnsi="Calibri" w:cs="Calibri"/>
          <w:sz w:val="22"/>
          <w:szCs w:val="22"/>
        </w:rPr>
        <w:t>Não se verifica contratações correlatas nem interdependentes para a viabilidade e contratação desta demanda.</w:t>
      </w:r>
    </w:p>
    <w:p w:rsidR="00A041EA" w:rsidRDefault="00A041EA" w:rsidP="00A041EA">
      <w:pPr>
        <w:pStyle w:val="ParagraphStyle"/>
        <w:jc w:val="both"/>
        <w:rPr>
          <w:rFonts w:ascii="Calibri" w:hAnsi="Calibri" w:cs="Calibri"/>
          <w:sz w:val="20"/>
          <w:szCs w:val="20"/>
        </w:rPr>
      </w:pPr>
    </w:p>
    <w:p w:rsidR="00A041EA" w:rsidRDefault="00A041EA" w:rsidP="00A041EA">
      <w:pPr>
        <w:pStyle w:val="ParagraphStyle"/>
        <w:jc w:val="both"/>
        <w:rPr>
          <w:rFonts w:ascii="Calibri" w:hAnsi="Calibri" w:cs="Calibri"/>
          <w:b/>
          <w:bCs/>
          <w:sz w:val="22"/>
          <w:szCs w:val="22"/>
        </w:rPr>
      </w:pPr>
      <w:r>
        <w:rPr>
          <w:rFonts w:ascii="Calibri" w:hAnsi="Calibri" w:cs="Calibri"/>
          <w:b/>
          <w:bCs/>
          <w:sz w:val="22"/>
          <w:szCs w:val="22"/>
        </w:rPr>
        <w:t>13 - VIABILIDADE OU NÃO DA CONTRATAÇÃO</w:t>
      </w:r>
    </w:p>
    <w:p w:rsidR="00A041EA" w:rsidRDefault="00A041EA" w:rsidP="00A041EA">
      <w:pPr>
        <w:pStyle w:val="ParagraphStyle"/>
        <w:jc w:val="both"/>
        <w:rPr>
          <w:rFonts w:ascii="Calibri" w:hAnsi="Calibri" w:cs="Calibri"/>
          <w:sz w:val="22"/>
          <w:szCs w:val="22"/>
        </w:rPr>
      </w:pPr>
      <w:r>
        <w:rPr>
          <w:rFonts w:ascii="Calibri" w:hAnsi="Calibri" w:cs="Calibri"/>
          <w:sz w:val="22"/>
          <w:szCs w:val="22"/>
        </w:rPr>
        <w:t>Os estudos preliminares evidenciam que a contratação da solução ora descrita, mostra-se tecnicamente possível e fundamentadamente necessária.</w:t>
      </w:r>
    </w:p>
    <w:p w:rsidR="00A041EA" w:rsidRDefault="00A041EA" w:rsidP="00A041EA">
      <w:pPr>
        <w:pStyle w:val="ParagraphStyle"/>
        <w:jc w:val="both"/>
        <w:rPr>
          <w:rFonts w:ascii="Calibri" w:hAnsi="Calibri" w:cs="Calibri"/>
          <w:sz w:val="20"/>
          <w:szCs w:val="20"/>
        </w:rPr>
      </w:pPr>
    </w:p>
    <w:p w:rsidR="00A041EA" w:rsidRDefault="00A041EA" w:rsidP="00A041EA">
      <w:pPr>
        <w:pStyle w:val="ParagraphStyle"/>
        <w:jc w:val="both"/>
        <w:rPr>
          <w:rFonts w:ascii="Calibri" w:hAnsi="Calibri" w:cs="Calibri"/>
          <w:sz w:val="22"/>
          <w:szCs w:val="22"/>
        </w:rPr>
      </w:pPr>
      <w:r>
        <w:rPr>
          <w:rFonts w:ascii="Calibri" w:hAnsi="Calibri" w:cs="Calibri"/>
          <w:sz w:val="22"/>
          <w:szCs w:val="22"/>
        </w:rPr>
        <w:t>Diante do exposto, declara-se ser viável a contratação pretendida.</w:t>
      </w:r>
    </w:p>
    <w:p w:rsidR="00A041EA" w:rsidRDefault="00A041EA" w:rsidP="00A041EA">
      <w:pPr>
        <w:pStyle w:val="ParagraphStyle"/>
        <w:jc w:val="both"/>
        <w:rPr>
          <w:rFonts w:ascii="Calibri" w:hAnsi="Calibri" w:cs="Calibri"/>
          <w:sz w:val="20"/>
          <w:szCs w:val="20"/>
        </w:rPr>
      </w:pPr>
    </w:p>
    <w:p w:rsidR="00A041EA" w:rsidRDefault="00A041EA" w:rsidP="00A041EA">
      <w:pPr>
        <w:pStyle w:val="ParagraphStyle"/>
        <w:jc w:val="right"/>
        <w:rPr>
          <w:rFonts w:ascii="Calibri" w:hAnsi="Calibri" w:cs="Calibri"/>
          <w:sz w:val="22"/>
          <w:szCs w:val="22"/>
        </w:rPr>
      </w:pPr>
      <w:r>
        <w:rPr>
          <w:rFonts w:ascii="Calibri" w:hAnsi="Calibri" w:cs="Calibri"/>
          <w:sz w:val="22"/>
          <w:szCs w:val="22"/>
        </w:rPr>
        <w:t>Japurá-PR, 27 de maio de 2025</w:t>
      </w:r>
    </w:p>
    <w:p w:rsidR="00A041EA" w:rsidRDefault="00A041EA" w:rsidP="00A041EA">
      <w:pPr>
        <w:pStyle w:val="ParagraphStyle"/>
        <w:jc w:val="right"/>
        <w:rPr>
          <w:rFonts w:ascii="Calibri" w:hAnsi="Calibri" w:cs="Calibri"/>
          <w:sz w:val="20"/>
          <w:szCs w:val="20"/>
        </w:rPr>
      </w:pPr>
    </w:p>
    <w:p w:rsidR="00A041EA" w:rsidRDefault="00A041EA" w:rsidP="00A041EA">
      <w:pPr>
        <w:pStyle w:val="ParagraphStyle"/>
        <w:jc w:val="right"/>
        <w:rPr>
          <w:rFonts w:ascii="Calibri" w:hAnsi="Calibri" w:cs="Calibri"/>
          <w:sz w:val="20"/>
          <w:szCs w:val="20"/>
        </w:rPr>
      </w:pPr>
    </w:p>
    <w:p w:rsidR="00A041EA" w:rsidRDefault="00A041EA" w:rsidP="00A041EA">
      <w:pPr>
        <w:pStyle w:val="ParagraphStyle"/>
        <w:jc w:val="right"/>
        <w:rPr>
          <w:rFonts w:ascii="Calibri" w:hAnsi="Calibri" w:cs="Calibri"/>
          <w:sz w:val="20"/>
          <w:szCs w:val="20"/>
        </w:rPr>
      </w:pPr>
    </w:p>
    <w:p w:rsidR="00A041EA" w:rsidRDefault="00A041EA" w:rsidP="00A041EA">
      <w:pPr>
        <w:pStyle w:val="Centered"/>
        <w:rPr>
          <w:rFonts w:ascii="Calibri" w:hAnsi="Calibri" w:cs="Calibri"/>
          <w:sz w:val="20"/>
          <w:szCs w:val="20"/>
        </w:rPr>
      </w:pPr>
    </w:p>
    <w:p w:rsidR="00A041EA" w:rsidRDefault="00A041EA" w:rsidP="00A041EA">
      <w:pPr>
        <w:pStyle w:val="Centered"/>
        <w:rPr>
          <w:rFonts w:ascii="Calibri" w:hAnsi="Calibri" w:cs="Calibri"/>
          <w:i/>
          <w:iCs/>
          <w:sz w:val="22"/>
          <w:szCs w:val="22"/>
        </w:rPr>
      </w:pPr>
      <w:r>
        <w:rPr>
          <w:rFonts w:ascii="Calibri" w:hAnsi="Calibri" w:cs="Calibri"/>
          <w:i/>
          <w:iCs/>
          <w:sz w:val="22"/>
          <w:szCs w:val="22"/>
        </w:rPr>
        <w:t>MARCOS ROGÉRIO BOSSO</w:t>
      </w:r>
    </w:p>
    <w:p w:rsidR="00A041EA" w:rsidRDefault="00A041EA" w:rsidP="00A041EA">
      <w:pPr>
        <w:pStyle w:val="Centered"/>
        <w:rPr>
          <w:rFonts w:ascii="Calibri" w:hAnsi="Calibri" w:cs="Calibri"/>
          <w:i/>
          <w:iCs/>
          <w:sz w:val="22"/>
          <w:szCs w:val="22"/>
        </w:rPr>
      </w:pPr>
      <w:r>
        <w:rPr>
          <w:rFonts w:ascii="Calibri" w:hAnsi="Calibri" w:cs="Calibri"/>
          <w:i/>
          <w:iCs/>
          <w:sz w:val="22"/>
          <w:szCs w:val="22"/>
        </w:rPr>
        <w:t>SAMAE de Japurá-PR</w:t>
      </w:r>
    </w:p>
    <w:p w:rsidR="00A041EA" w:rsidRDefault="00A041EA" w:rsidP="00A041EA">
      <w:pPr>
        <w:pStyle w:val="ParagraphStyle"/>
        <w:jc w:val="right"/>
        <w:rPr>
          <w:rFonts w:ascii="Calibri" w:hAnsi="Calibri" w:cs="Calibri"/>
          <w:sz w:val="20"/>
          <w:szCs w:val="20"/>
        </w:rPr>
      </w:pPr>
    </w:p>
    <w:p w:rsidR="00A041EA" w:rsidRDefault="00A041EA" w:rsidP="00A041EA">
      <w:pPr>
        <w:pStyle w:val="ParagraphStyle"/>
        <w:rPr>
          <w:rFonts w:ascii="Calibri" w:hAnsi="Calibri" w:cs="Calibri"/>
          <w:sz w:val="22"/>
          <w:szCs w:val="22"/>
        </w:rPr>
      </w:pPr>
      <w:r>
        <w:rPr>
          <w:rFonts w:ascii="Calibri" w:hAnsi="Calibri" w:cs="Calibri"/>
          <w:sz w:val="22"/>
          <w:szCs w:val="22"/>
        </w:rPr>
        <w:t>De acordo:</w:t>
      </w:r>
    </w:p>
    <w:p w:rsidR="00A041EA" w:rsidRDefault="00A041EA" w:rsidP="00A041EA">
      <w:pPr>
        <w:pStyle w:val="ParagraphStyle"/>
        <w:jc w:val="right"/>
        <w:rPr>
          <w:rFonts w:ascii="Calibri" w:hAnsi="Calibri" w:cs="Calibri"/>
          <w:sz w:val="20"/>
          <w:szCs w:val="20"/>
        </w:rPr>
      </w:pPr>
    </w:p>
    <w:p w:rsidR="00A041EA" w:rsidRDefault="00A041EA" w:rsidP="00A041EA">
      <w:pPr>
        <w:pStyle w:val="ParagraphStyle"/>
        <w:jc w:val="right"/>
        <w:rPr>
          <w:rFonts w:ascii="Calibri" w:hAnsi="Calibri" w:cs="Calibri"/>
          <w:sz w:val="20"/>
          <w:szCs w:val="20"/>
        </w:rPr>
      </w:pPr>
    </w:p>
    <w:p w:rsidR="00A041EA" w:rsidRDefault="00A041EA" w:rsidP="00A041EA">
      <w:pPr>
        <w:pStyle w:val="ParagraphStyle"/>
        <w:jc w:val="right"/>
        <w:rPr>
          <w:rFonts w:ascii="Calibri" w:hAnsi="Calibri" w:cs="Calibri"/>
          <w:sz w:val="20"/>
          <w:szCs w:val="20"/>
        </w:rPr>
      </w:pPr>
    </w:p>
    <w:p w:rsidR="00A041EA" w:rsidRDefault="00A041EA" w:rsidP="00A041EA">
      <w:pPr>
        <w:pStyle w:val="Centered"/>
        <w:rPr>
          <w:rFonts w:ascii="Calibri" w:hAnsi="Calibri" w:cs="Calibri"/>
          <w:sz w:val="22"/>
          <w:szCs w:val="22"/>
        </w:rPr>
      </w:pPr>
      <w:r>
        <w:rPr>
          <w:rFonts w:ascii="Calibri" w:hAnsi="Calibri" w:cs="Calibri"/>
          <w:sz w:val="22"/>
          <w:szCs w:val="22"/>
        </w:rPr>
        <w:t>JULIANA DA SILVA ELISIÁRIO MEN</w:t>
      </w:r>
    </w:p>
    <w:p w:rsidR="00A041EA" w:rsidRDefault="00A041EA" w:rsidP="00A041EA">
      <w:pPr>
        <w:pStyle w:val="Centered"/>
        <w:rPr>
          <w:rFonts w:ascii="Calibri" w:hAnsi="Calibri" w:cs="Calibri"/>
          <w:sz w:val="22"/>
          <w:szCs w:val="22"/>
        </w:rPr>
      </w:pPr>
      <w:r>
        <w:rPr>
          <w:rFonts w:ascii="Calibri" w:hAnsi="Calibri" w:cs="Calibri"/>
          <w:sz w:val="22"/>
          <w:szCs w:val="22"/>
        </w:rPr>
        <w:t>Departamento de Licitações.</w:t>
      </w:r>
    </w:p>
    <w:p w:rsidR="00A041EA" w:rsidRDefault="00A041EA" w:rsidP="00A041EA">
      <w:pPr>
        <w:pStyle w:val="Centered"/>
        <w:rPr>
          <w:sz w:val="20"/>
          <w:szCs w:val="20"/>
        </w:rPr>
      </w:pPr>
    </w:p>
    <w:p w:rsidR="00A041EA" w:rsidRPr="00A041EA" w:rsidRDefault="00A041EA">
      <w:pPr>
        <w:jc w:val="center"/>
        <w:rPr>
          <w:rFonts w:asciiTheme="minorHAnsi" w:hAnsiTheme="minorHAnsi" w:cstheme="minorHAnsi"/>
        </w:rPr>
      </w:pPr>
    </w:p>
    <w:sectPr w:rsidR="00A041EA" w:rsidRPr="00A041EA">
      <w:headerReference w:type="default" r:id="rId6"/>
      <w:pgSz w:w="11899" w:h="16841"/>
      <w:pgMar w:top="283" w:right="1134" w:bottom="283" w:left="1134"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8C4E82">
      <w:r>
        <w:separator/>
      </w:r>
    </w:p>
  </w:endnote>
  <w:endnote w:type="continuationSeparator" w:id="0">
    <w:p w:rsidR="00000000" w:rsidRDefault="008C4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8C4E82">
      <w:r>
        <w:separator/>
      </w:r>
    </w:p>
  </w:footnote>
  <w:footnote w:type="continuationSeparator" w:id="0">
    <w:p w:rsidR="00000000" w:rsidRDefault="008C4E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4A0" w:firstRow="1" w:lastRow="0" w:firstColumn="1" w:lastColumn="0" w:noHBand="0" w:noVBand="1"/>
    </w:tblPr>
    <w:tblGrid>
      <w:gridCol w:w="1335"/>
      <w:gridCol w:w="8280"/>
    </w:tblGrid>
    <w:tr w:rsidR="00DC4E7C" w:rsidTr="00A041EA">
      <w:trPr>
        <w:trHeight w:val="1335"/>
        <w:jc w:val="center"/>
      </w:trPr>
      <w:tc>
        <w:tcPr>
          <w:tcW w:w="1335" w:type="dxa"/>
        </w:tcPr>
        <w:p w:rsidR="00DC4E7C" w:rsidRDefault="008C4E82">
          <w:pPr>
            <w:widowControl/>
          </w:pPr>
          <w:r>
            <w:rPr>
              <w:noProof/>
            </w:rPr>
            <w:drawing>
              <wp:inline distT="0" distB="0" distL="0" distR="0">
                <wp:extent cx="695325" cy="752475"/>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png"/>
                        <pic:cNvPicPr/>
                      </pic:nvPicPr>
                      <pic:blipFill>
                        <a:blip r:embed="rId1" cstate="print"/>
                        <a:stretch>
                          <a:fillRect/>
                        </a:stretch>
                      </pic:blipFill>
                      <pic:spPr>
                        <a:xfrm>
                          <a:off x="0" y="0"/>
                          <a:ext cx="695325" cy="752475"/>
                        </a:xfrm>
                        <a:prstGeom prst="rect">
                          <a:avLst/>
                        </a:prstGeom>
                      </pic:spPr>
                    </pic:pic>
                  </a:graphicData>
                </a:graphic>
              </wp:inline>
            </w:drawing>
          </w:r>
        </w:p>
      </w:tc>
      <w:tc>
        <w:tcPr>
          <w:tcW w:w="8280" w:type="dxa"/>
        </w:tcPr>
        <w:p w:rsidR="00DC4E7C" w:rsidRDefault="008C4E82">
          <w:pPr>
            <w:keepNext/>
            <w:widowControl/>
            <w:ind w:right="-45"/>
            <w:jc w:val="center"/>
            <w:outlineLvl w:val="1"/>
          </w:pPr>
          <w:r>
            <w:rPr>
              <w:rFonts w:ascii="Century Gothic" w:eastAsia="Century Gothic" w:hAnsi="Century Gothic" w:cs="Century Gothic"/>
              <w:b/>
              <w:sz w:val="24"/>
              <w:u w:val="single"/>
            </w:rPr>
            <w:t xml:space="preserve">SERVIÇO AUTÔNOMO </w:t>
          </w:r>
          <w:r>
            <w:rPr>
              <w:rFonts w:ascii="Century Gothic" w:eastAsia="Century Gothic" w:hAnsi="Century Gothic" w:cs="Century Gothic"/>
              <w:b/>
              <w:sz w:val="24"/>
              <w:u w:val="single"/>
            </w:rPr>
            <w:t>MUNICIPAL DE ÁGUA E ESGOTO - SAMAE</w:t>
          </w:r>
        </w:p>
        <w:p w:rsidR="00DC4E7C" w:rsidRDefault="008C4E82">
          <w:pPr>
            <w:widowControl/>
            <w:spacing w:line="254" w:lineRule="auto"/>
            <w:ind w:right="-45"/>
            <w:jc w:val="center"/>
          </w:pPr>
          <w:r>
            <w:rPr>
              <w:rFonts w:ascii="Century Gothic" w:eastAsia="Century Gothic" w:hAnsi="Century Gothic" w:cs="Century Gothic"/>
              <w:b/>
              <w:sz w:val="18"/>
            </w:rPr>
            <w:t>ASSOCIADO AO CONSÓRCIO PÚBLICO CISPAR</w:t>
          </w:r>
        </w:p>
        <w:p w:rsidR="00DC4E7C" w:rsidRDefault="008C4E82">
          <w:pPr>
            <w:widowControl/>
            <w:spacing w:line="254" w:lineRule="auto"/>
            <w:ind w:right="-45"/>
            <w:jc w:val="center"/>
          </w:pPr>
          <w:r>
            <w:rPr>
              <w:rFonts w:ascii="Century Gothic" w:eastAsia="Century Gothic" w:hAnsi="Century Gothic" w:cs="Century Gothic"/>
              <w:b/>
              <w:sz w:val="18"/>
            </w:rPr>
            <w:t>RUA SÃO JANUÁRIO, 124 - JARDIM MODELO - CEP: 87225-000 - FONE/FAX: (44) 3635-1751</w:t>
          </w:r>
        </w:p>
        <w:p w:rsidR="00DC4E7C" w:rsidRDefault="008C4E82">
          <w:pPr>
            <w:widowControl/>
            <w:spacing w:line="254" w:lineRule="auto"/>
            <w:ind w:right="-45"/>
          </w:pPr>
          <w:r>
            <w:rPr>
              <w:rFonts w:ascii="Century Gothic" w:eastAsia="Century Gothic" w:hAnsi="Century Gothic" w:cs="Century Gothic"/>
              <w:b/>
              <w:sz w:val="18"/>
            </w:rPr>
            <w:t xml:space="preserve">   CNPJ/MF: 80.909.658/0001-50 - E-MAIL: </w:t>
          </w:r>
          <w:r>
            <w:rPr>
              <w:rFonts w:ascii="Century Gothic" w:eastAsia="Century Gothic" w:hAnsi="Century Gothic" w:cs="Century Gothic"/>
              <w:b/>
              <w:sz w:val="22"/>
            </w:rPr>
            <w:t>samaejap@uol.com.br</w:t>
          </w:r>
        </w:p>
        <w:p w:rsidR="00DC4E7C" w:rsidRDefault="008C4E82">
          <w:pPr>
            <w:widowControl/>
            <w:spacing w:line="254" w:lineRule="auto"/>
            <w:ind w:right="-45"/>
            <w:jc w:val="center"/>
          </w:pPr>
          <w:r>
            <w:rPr>
              <w:rFonts w:ascii="Century Gothic" w:eastAsia="Century Gothic" w:hAnsi="Century Gothic" w:cs="Century Gothic"/>
              <w:b/>
              <w:sz w:val="18"/>
            </w:rPr>
            <w:t>JAPURÁ-PARANÁ</w:t>
          </w:r>
        </w:p>
      </w:tc>
    </w:tr>
  </w:tbl>
  <w:p w:rsidR="00DC4E7C" w:rsidRDefault="00DC4E7C" w:rsidP="00A041EA">
    <w:pPr>
      <w:widowControl/>
      <w:spacing w:after="165" w:line="254" w:lineRule="aut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E7C"/>
    <w:rsid w:val="005F12C9"/>
    <w:rsid w:val="008C4E82"/>
    <w:rsid w:val="00A041EA"/>
    <w:rsid w:val="00C331EA"/>
    <w:rsid w:val="00DC4E7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89133"/>
  <w15:docId w15:val="{5A25A97D-9EE7-43D4-A870-CD2DAF050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041EA"/>
    <w:pPr>
      <w:tabs>
        <w:tab w:val="center" w:pos="4252"/>
        <w:tab w:val="right" w:pos="8504"/>
      </w:tabs>
    </w:pPr>
  </w:style>
  <w:style w:type="character" w:customStyle="1" w:styleId="CabealhoChar">
    <w:name w:val="Cabeçalho Char"/>
    <w:basedOn w:val="Fontepargpadro"/>
    <w:link w:val="Cabealho"/>
    <w:uiPriority w:val="99"/>
    <w:rsid w:val="00A041EA"/>
  </w:style>
  <w:style w:type="paragraph" w:styleId="Rodap">
    <w:name w:val="footer"/>
    <w:basedOn w:val="Normal"/>
    <w:link w:val="RodapChar"/>
    <w:uiPriority w:val="99"/>
    <w:unhideWhenUsed/>
    <w:rsid w:val="00A041EA"/>
    <w:pPr>
      <w:tabs>
        <w:tab w:val="center" w:pos="4252"/>
        <w:tab w:val="right" w:pos="8504"/>
      </w:tabs>
    </w:pPr>
  </w:style>
  <w:style w:type="character" w:customStyle="1" w:styleId="RodapChar">
    <w:name w:val="Rodapé Char"/>
    <w:basedOn w:val="Fontepargpadro"/>
    <w:link w:val="Rodap"/>
    <w:uiPriority w:val="99"/>
    <w:rsid w:val="00A041EA"/>
  </w:style>
  <w:style w:type="paragraph" w:customStyle="1" w:styleId="ParagraphStyle">
    <w:name w:val="Paragraph Style"/>
    <w:rsid w:val="00A041EA"/>
    <w:pPr>
      <w:widowControl/>
      <w:autoSpaceDE w:val="0"/>
      <w:autoSpaceDN w:val="0"/>
      <w:adjustRightInd w:val="0"/>
    </w:pPr>
    <w:rPr>
      <w:sz w:val="24"/>
      <w:szCs w:val="24"/>
      <w:lang w:val="x-none"/>
    </w:rPr>
  </w:style>
  <w:style w:type="paragraph" w:customStyle="1" w:styleId="Centered">
    <w:name w:val="Centered"/>
    <w:uiPriority w:val="99"/>
    <w:rsid w:val="00A041EA"/>
    <w:pPr>
      <w:widowControl/>
      <w:autoSpaceDE w:val="0"/>
      <w:autoSpaceDN w:val="0"/>
      <w:adjustRightInd w:val="0"/>
      <w:jc w:val="center"/>
    </w:pPr>
    <w:rPr>
      <w:sz w:val="24"/>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5</Pages>
  <Words>2269</Words>
  <Characters>12256</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cp:lastPrinted>2025-05-27T14:16:00Z</cp:lastPrinted>
  <dcterms:created xsi:type="dcterms:W3CDTF">2025-05-27T13:58:00Z</dcterms:created>
  <dcterms:modified xsi:type="dcterms:W3CDTF">2025-05-27T14:24:00Z</dcterms:modified>
</cp:coreProperties>
</file>