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221" w:rsidRPr="001A7B35" w:rsidRDefault="001A7B35">
      <w:pPr>
        <w:keepNext/>
        <w:keepLines/>
        <w:ind w:right="-30"/>
        <w:jc w:val="center"/>
        <w:outlineLvl w:val="0"/>
      </w:pPr>
      <w:bookmarkStart w:id="0" w:name="OLE_LINK2"/>
      <w:bookmarkEnd w:id="0"/>
      <w:r w:rsidRPr="001A7B35">
        <w:rPr>
          <w:b/>
          <w:sz w:val="22"/>
          <w:u w:val="single" w:color="000000"/>
        </w:rPr>
        <w:t>ESTUDO TÉCNICO PRELIMINAR – ETP</w:t>
      </w: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 xml:space="preserve">    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OBJETO: DISPENSA DE LICITAÇÃO PARA AQUISIÇÃO DE CAIXA DE PROTEÇÃO HIDRÔMETRO ENTERRADA PISO PASSEIO PARA O SAMAE DE JAPURÁ/PR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1. INTRODUÇÃO</w:t>
      </w: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>As contratações governamentais produzem significativo impacto na atividade</w:t>
      </w:r>
      <w:r w:rsidRPr="001A7B35">
        <w:rPr>
          <w:sz w:val="22"/>
        </w:rPr>
        <w:t xml:space="preserve"> econômica, tendo em vista o volume de recursos envolvidos, os quais, em grande parte, são instrumentos de realização de políticas públicas. Neste sentido, um planejamento bem elaborado propicia contratações potencialmente mais eficientes, posto que a real</w:t>
      </w:r>
      <w:r w:rsidRPr="001A7B35">
        <w:rPr>
          <w:sz w:val="22"/>
        </w:rPr>
        <w:t>ização de estudos previamente delineados conduz ao conhecimento de novas modelagens/metodologias ofertadas pelo mercado, resultado na melhor qualidade do gasto e em uma gestão eficiente dos recursos públicos.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>Neste contexto, o presente documento apresenta</w:t>
      </w:r>
      <w:r w:rsidRPr="001A7B35">
        <w:rPr>
          <w:sz w:val="22"/>
        </w:rPr>
        <w:t xml:space="preserve"> os estudos técnicos preliminares que visam assegurar a viabilidade (técnica e econômica) da contratação pretendida e o levantamento dos elementos essenciais que servirão para compor Termo de Referência ou Projeto Básico.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 xml:space="preserve">Este estudo consiste na primeira </w:t>
      </w:r>
      <w:r w:rsidRPr="001A7B35">
        <w:rPr>
          <w:sz w:val="22"/>
        </w:rPr>
        <w:t>etapa do planejamento de uma contratação, de modo a assegurar a viabilidade e embasar o termo de referência, conforme previsto na Lei 14.133/2021, art. 6°, inciso XX.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2. NECESSIDADE/JUSTIFICATIVA DE CONTRATAÇÃO</w:t>
      </w:r>
    </w:p>
    <w:p w:rsidR="00B32221" w:rsidRPr="001A7B35" w:rsidRDefault="00B32221">
      <w:pPr>
        <w:keepNext/>
        <w:keepLines/>
        <w:ind w:right="-30"/>
      </w:pPr>
    </w:p>
    <w:p w:rsidR="00B32221" w:rsidRPr="001A7B35" w:rsidRDefault="00B24E1C">
      <w:pPr>
        <w:ind w:right="165"/>
        <w:jc w:val="both"/>
      </w:pPr>
      <w:proofErr w:type="gramStart"/>
      <w:r w:rsidRPr="001A7B35">
        <w:rPr>
          <w:rFonts w:ascii="Calibri" w:eastAsia="Calibri" w:hAnsi="Calibri" w:cs="Calibri"/>
          <w:sz w:val="22"/>
        </w:rPr>
        <w:t xml:space="preserve">2.1 </w:t>
      </w:r>
      <w:r w:rsidR="001A7B35" w:rsidRPr="001A7B35">
        <w:rPr>
          <w:rFonts w:ascii="Calibri" w:eastAsia="Calibri" w:hAnsi="Calibri" w:cs="Calibri"/>
          <w:sz w:val="22"/>
        </w:rPr>
        <w:t>Para</w:t>
      </w:r>
      <w:proofErr w:type="gramEnd"/>
      <w:r w:rsidR="001A7B35" w:rsidRPr="001A7B35">
        <w:rPr>
          <w:rFonts w:ascii="Calibri" w:eastAsia="Calibri" w:hAnsi="Calibri" w:cs="Calibri"/>
          <w:sz w:val="22"/>
        </w:rPr>
        <w:t xml:space="preserve"> justificar a dispensa de licitação par</w:t>
      </w:r>
      <w:r w:rsidR="001A7B35" w:rsidRPr="001A7B35">
        <w:rPr>
          <w:rFonts w:ascii="Calibri" w:eastAsia="Calibri" w:hAnsi="Calibri" w:cs="Calibri"/>
          <w:sz w:val="22"/>
        </w:rPr>
        <w:t>a a aquisição das caixas de proteção dos hidrômetros enterrados no passeio, considerando a transferência dos cavaletes dos quintais para as calçadas com o objetivo de facilitar o acesso aos serviços de leitura e a realização de cortes no fornecimento de ág</w:t>
      </w:r>
      <w:r w:rsidR="001A7B35" w:rsidRPr="001A7B35">
        <w:rPr>
          <w:rFonts w:ascii="Calibri" w:eastAsia="Calibri" w:hAnsi="Calibri" w:cs="Calibri"/>
          <w:sz w:val="22"/>
        </w:rPr>
        <w:t>ua devido à inadimplência de alguns usuários.</w:t>
      </w:r>
    </w:p>
    <w:p w:rsidR="00B32221" w:rsidRPr="001A7B35" w:rsidRDefault="00B32221">
      <w:pPr>
        <w:ind w:right="165"/>
        <w:jc w:val="both"/>
      </w:pPr>
    </w:p>
    <w:p w:rsidR="00B32221" w:rsidRPr="001A7B35" w:rsidRDefault="00B24E1C">
      <w:pPr>
        <w:ind w:right="165"/>
        <w:jc w:val="both"/>
      </w:pPr>
      <w:r w:rsidRPr="001A7B35">
        <w:rPr>
          <w:rFonts w:ascii="Calibri" w:eastAsia="Calibri" w:hAnsi="Calibri" w:cs="Calibri"/>
          <w:sz w:val="22"/>
        </w:rPr>
        <w:t xml:space="preserve">2.2 </w:t>
      </w:r>
      <w:r w:rsidR="001A7B35" w:rsidRPr="001A7B35">
        <w:rPr>
          <w:rFonts w:ascii="Calibri" w:eastAsia="Calibri" w:hAnsi="Calibri" w:cs="Calibri"/>
          <w:sz w:val="22"/>
        </w:rPr>
        <w:t>Viabilidade Técnica: Destaque a necessidade técnica das caixas de proteção para permitir a transferência dos cavaletes dos quintais para as calçadas, viabilizando a leitura dos hidrômetros e a execução dos cor</w:t>
      </w:r>
      <w:r w:rsidR="001A7B35" w:rsidRPr="001A7B35">
        <w:rPr>
          <w:rFonts w:ascii="Calibri" w:eastAsia="Calibri" w:hAnsi="Calibri" w:cs="Calibri"/>
          <w:sz w:val="22"/>
        </w:rPr>
        <w:t>tes necessários de forma eficiente e segura.</w:t>
      </w:r>
    </w:p>
    <w:p w:rsidR="00B32221" w:rsidRPr="001A7B35" w:rsidRDefault="00B32221">
      <w:pPr>
        <w:ind w:right="165"/>
        <w:jc w:val="both"/>
      </w:pPr>
    </w:p>
    <w:p w:rsidR="00B32221" w:rsidRPr="001A7B35" w:rsidRDefault="00B24E1C">
      <w:pPr>
        <w:ind w:right="165"/>
        <w:jc w:val="both"/>
      </w:pPr>
      <w:r w:rsidRPr="001A7B35">
        <w:rPr>
          <w:rFonts w:ascii="Calibri" w:eastAsia="Calibri" w:hAnsi="Calibri" w:cs="Calibri"/>
          <w:sz w:val="22"/>
        </w:rPr>
        <w:t xml:space="preserve">2.3 </w:t>
      </w:r>
      <w:r w:rsidR="001A7B35" w:rsidRPr="001A7B35">
        <w:rPr>
          <w:rFonts w:ascii="Calibri" w:eastAsia="Calibri" w:hAnsi="Calibri" w:cs="Calibri"/>
          <w:sz w:val="22"/>
        </w:rPr>
        <w:t xml:space="preserve">Regularização de Acesso: Reforce a importância de garantir o acesso adequado aos hidrômetros para leitura e manutenção, especialmente nos casos em que os imóveis não possuem instalações de cavalete acessíveis, </w:t>
      </w:r>
      <w:r w:rsidR="001A7B35" w:rsidRPr="001A7B35">
        <w:rPr>
          <w:rFonts w:ascii="Calibri" w:eastAsia="Calibri" w:hAnsi="Calibri" w:cs="Calibri"/>
          <w:sz w:val="22"/>
        </w:rPr>
        <w:t>visando assegurar a correta cobrança dos serviços de água prestados. Segurança e Eficiência E Destacar a importância da segurança dos funcionários do SAMAE ao evitar o acesso a locais privados e resguardar a integridade dos imóveis dos cidadãos, ao mesmo t</w:t>
      </w:r>
      <w:r w:rsidR="001A7B35" w:rsidRPr="001A7B35">
        <w:rPr>
          <w:rFonts w:ascii="Calibri" w:eastAsia="Calibri" w:hAnsi="Calibri" w:cs="Calibri"/>
          <w:sz w:val="22"/>
        </w:rPr>
        <w:t>empo em que otimiza a eficiência na realização dos serviços de leitura.</w:t>
      </w:r>
    </w:p>
    <w:p w:rsidR="00B32221" w:rsidRPr="001A7B35" w:rsidRDefault="00B32221">
      <w:pPr>
        <w:ind w:right="165"/>
        <w:jc w:val="both"/>
      </w:pPr>
    </w:p>
    <w:p w:rsidR="00B24E1C" w:rsidRPr="001A7B35" w:rsidRDefault="00B24E1C" w:rsidP="00B24E1C">
      <w:pPr>
        <w:ind w:right="165"/>
        <w:jc w:val="both"/>
      </w:pPr>
      <w:r w:rsidRPr="001A7B35">
        <w:rPr>
          <w:rFonts w:ascii="Calibri" w:eastAsia="Calibri" w:hAnsi="Calibri" w:cs="Calibri"/>
          <w:sz w:val="22"/>
        </w:rPr>
        <w:t xml:space="preserve">2.4 </w:t>
      </w:r>
      <w:r w:rsidR="001A7B35" w:rsidRPr="001A7B35">
        <w:rPr>
          <w:rFonts w:ascii="Calibri" w:eastAsia="Calibri" w:hAnsi="Calibri" w:cs="Calibri"/>
          <w:sz w:val="22"/>
        </w:rPr>
        <w:t>Interesse Público: Destacar que a medida busca atender ao interesse público ao facilitar o acesso para leitura dos hidrômetros, garantindo a cobrança justa e eficiente dos serviços de</w:t>
      </w:r>
      <w:r w:rsidR="001A7B35" w:rsidRPr="001A7B35">
        <w:rPr>
          <w:rFonts w:ascii="Calibri" w:eastAsia="Calibri" w:hAnsi="Calibri" w:cs="Calibri"/>
          <w:sz w:val="22"/>
        </w:rPr>
        <w:t xml:space="preserve"> água prestados pelo SAMAE.</w:t>
      </w:r>
    </w:p>
    <w:p w:rsidR="00B24E1C" w:rsidRPr="001A7B35" w:rsidRDefault="00B24E1C" w:rsidP="00B24E1C"/>
    <w:p w:rsidR="00B32221" w:rsidRPr="001A7B35" w:rsidRDefault="00B24E1C" w:rsidP="00B24E1C">
      <w:pPr>
        <w:tabs>
          <w:tab w:val="left" w:pos="407"/>
        </w:tabs>
      </w:pPr>
      <w:r w:rsidRPr="001A7B35">
        <w:t>N</w:t>
      </w:r>
      <w:r w:rsidR="001A7B35" w:rsidRPr="001A7B35">
        <w:rPr>
          <w:rFonts w:ascii="Calibri" w:eastAsia="Calibri" w:hAnsi="Calibri" w:cs="Calibri"/>
          <w:sz w:val="22"/>
        </w:rPr>
        <w:t>ecessidade de Ação Imediata: Justifique a dispensa de licitação com base na urgência de implementar as mudanças nos cavaletes e garantir o corte no fornecimento em casos de inadimplência, ressaltando a importância de agir pront</w:t>
      </w:r>
      <w:r w:rsidR="001A7B35" w:rsidRPr="001A7B35">
        <w:rPr>
          <w:rFonts w:ascii="Calibri" w:eastAsia="Calibri" w:hAnsi="Calibri" w:cs="Calibri"/>
          <w:sz w:val="22"/>
        </w:rPr>
        <w:t>amente para manter a regularidade no sistema de abastecimento de água.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3. ALINHAMENTO ENTRE A CONTRATAÇÃO E O PLANO DE CONTRATAÇÕES ANUAL- 2025</w:t>
      </w:r>
    </w:p>
    <w:p w:rsidR="00B32221" w:rsidRPr="001A7B35" w:rsidRDefault="001A7B35">
      <w:pPr>
        <w:keepNext/>
        <w:keepLines/>
        <w:tabs>
          <w:tab w:val="left" w:pos="2730"/>
        </w:tabs>
        <w:ind w:right="-30"/>
      </w:pPr>
      <w:r w:rsidRPr="001A7B35">
        <w:rPr>
          <w:sz w:val="22"/>
        </w:rPr>
        <w:t>A necessidade da presente contratação encontra-se respaldada no Plano de Contratações Anual da SAMAE.</w:t>
      </w:r>
    </w:p>
    <w:p w:rsidR="00B32221" w:rsidRPr="001A7B35" w:rsidRDefault="00B32221">
      <w:pPr>
        <w:keepNext/>
        <w:keepLines/>
        <w:tabs>
          <w:tab w:val="left" w:pos="2730"/>
        </w:tabs>
        <w:ind w:right="-30"/>
      </w:pPr>
    </w:p>
    <w:p w:rsidR="00B32221" w:rsidRPr="001A7B35" w:rsidRDefault="001A7B35">
      <w:pPr>
        <w:keepNext/>
        <w:keepLines/>
        <w:tabs>
          <w:tab w:val="left" w:pos="2730"/>
        </w:tabs>
        <w:ind w:right="-30"/>
      </w:pPr>
      <w:r w:rsidRPr="001A7B35">
        <w:rPr>
          <w:b/>
          <w:sz w:val="22"/>
        </w:rPr>
        <w:t xml:space="preserve">4. </w:t>
      </w:r>
      <w:r w:rsidRPr="001A7B35">
        <w:rPr>
          <w:b/>
          <w:sz w:val="22"/>
        </w:rPr>
        <w:t>REQUISITOS DA CONTRATAÇÃO</w:t>
      </w:r>
    </w:p>
    <w:p w:rsidR="00B32221" w:rsidRPr="001A7B35" w:rsidRDefault="00B32221">
      <w:pPr>
        <w:keepNext/>
        <w:keepLines/>
      </w:pPr>
    </w:p>
    <w:p w:rsidR="00B32221" w:rsidRPr="001A7B35" w:rsidRDefault="001A7B35">
      <w:pPr>
        <w:keepNext/>
        <w:keepLines/>
      </w:pPr>
      <w:r w:rsidRPr="001A7B35">
        <w:rPr>
          <w:sz w:val="22"/>
        </w:rPr>
        <w:t>A contratação deverá observar os seguintes requisitos:</w:t>
      </w:r>
    </w:p>
    <w:p w:rsidR="00B32221" w:rsidRPr="001A7B35" w:rsidRDefault="001A7B35">
      <w:pPr>
        <w:keepNext/>
        <w:keepLines/>
        <w:numPr>
          <w:ilvl w:val="1"/>
          <w:numId w:val="1"/>
        </w:numPr>
      </w:pPr>
      <w:r w:rsidRPr="001A7B35">
        <w:rPr>
          <w:sz w:val="22"/>
        </w:rPr>
        <w:t xml:space="preserve">O critério de julgamento a ser utilizado no presente certame será o </w:t>
      </w:r>
      <w:r w:rsidRPr="001A7B35">
        <w:rPr>
          <w:b/>
          <w:sz w:val="22"/>
        </w:rPr>
        <w:t>menor global</w:t>
      </w:r>
      <w:r w:rsidRPr="001A7B35">
        <w:rPr>
          <w:b/>
          <w:sz w:val="22"/>
        </w:rPr>
        <w:t>;</w:t>
      </w:r>
    </w:p>
    <w:p w:rsidR="00B32221" w:rsidRPr="001A7B35" w:rsidRDefault="001A7B35">
      <w:pPr>
        <w:keepNext/>
        <w:keepLines/>
        <w:numPr>
          <w:ilvl w:val="1"/>
          <w:numId w:val="1"/>
        </w:numPr>
      </w:pPr>
      <w:r w:rsidRPr="001A7B35">
        <w:rPr>
          <w:sz w:val="22"/>
        </w:rPr>
        <w:t xml:space="preserve">A contratação sera por Dispensa de licitação </w:t>
      </w:r>
    </w:p>
    <w:p w:rsidR="00B32221" w:rsidRPr="001A7B35" w:rsidRDefault="001A7B35">
      <w:r w:rsidRPr="001A7B35">
        <w:t>Da justificativa do processo de dispensa prese</w:t>
      </w:r>
      <w:r w:rsidRPr="001A7B35">
        <w:t>ncial</w:t>
      </w:r>
    </w:p>
    <w:p w:rsidR="00B32221" w:rsidRPr="001A7B35" w:rsidRDefault="001A7B35">
      <w:pPr>
        <w:widowControl/>
        <w:tabs>
          <w:tab w:val="left" w:pos="1380"/>
        </w:tabs>
        <w:spacing w:after="15" w:line="254" w:lineRule="auto"/>
        <w:ind w:right="225"/>
        <w:jc w:val="both"/>
      </w:pPr>
      <w:r w:rsidRPr="001A7B35">
        <w:rPr>
          <w:rFonts w:ascii="Calibri" w:eastAsia="Calibri" w:hAnsi="Calibri" w:cs="Calibri"/>
          <w:sz w:val="22"/>
        </w:rPr>
        <w:t>4.1A opção pela modalidade de processo de dispensa presencial é a possibilidade de se imprimir maior celeridade à contratação de bens e serviços comuns, sem prejuízo à competitividade. Dentre as alegações mais comuns indicadas como impeditivas para a</w:t>
      </w:r>
      <w:r w:rsidRPr="001A7B35">
        <w:rPr>
          <w:rFonts w:ascii="Calibri" w:eastAsia="Calibri" w:hAnsi="Calibri" w:cs="Calibri"/>
          <w:sz w:val="22"/>
        </w:rPr>
        <w:t xml:space="preserve"> utilização do processo de dispensa na modalidade presencial, pode se apontar: O processo de dispensa presencial permite inibir a apresentação de propostas insustentáveis que atrasariam os procedimentos da modalidade eletrônica e aumentariam seus custos.</w:t>
      </w:r>
    </w:p>
    <w:p w:rsidR="00B32221" w:rsidRPr="001A7B35" w:rsidRDefault="00B32221">
      <w:pPr>
        <w:widowControl/>
        <w:tabs>
          <w:tab w:val="left" w:pos="1380"/>
        </w:tabs>
        <w:spacing w:after="15" w:line="254" w:lineRule="auto"/>
        <w:ind w:right="225"/>
        <w:jc w:val="both"/>
      </w:pPr>
    </w:p>
    <w:p w:rsidR="00B32221" w:rsidRPr="001A7B35" w:rsidRDefault="001A7B35">
      <w:pPr>
        <w:widowControl/>
        <w:spacing w:after="15" w:line="254" w:lineRule="auto"/>
        <w:ind w:right="225"/>
        <w:jc w:val="both"/>
      </w:pPr>
      <w:r w:rsidRPr="001A7B35">
        <w:rPr>
          <w:rFonts w:ascii="Calibri" w:eastAsia="Calibri" w:hAnsi="Calibri" w:cs="Calibri"/>
          <w:sz w:val="22"/>
        </w:rPr>
        <w:t xml:space="preserve">4.3 A opção pela modalidade presencial não produz alteração no resultado final do certame. Considerando o § 2 </w:t>
      </w:r>
      <w:r w:rsidRPr="001A7B35">
        <w:rPr>
          <w:rFonts w:ascii="Calibri" w:eastAsia="Calibri" w:hAnsi="Calibri" w:cs="Calibri"/>
          <w:sz w:val="22"/>
          <w:vertAlign w:val="superscript"/>
        </w:rPr>
        <w:t xml:space="preserve">0 </w:t>
      </w:r>
      <w:r w:rsidRPr="001A7B35">
        <w:rPr>
          <w:rFonts w:ascii="Calibri" w:eastAsia="Calibri" w:hAnsi="Calibri" w:cs="Calibri"/>
          <w:sz w:val="22"/>
        </w:rPr>
        <w:t>do art. 17 da Lei 14.133/21, que dispõe que que as licitações serão realizadas preferencialmente sob a forma eletrônica, admitida a utilização d</w:t>
      </w:r>
      <w:r w:rsidRPr="001A7B35">
        <w:rPr>
          <w:rFonts w:ascii="Calibri" w:eastAsia="Calibri" w:hAnsi="Calibri" w:cs="Calibri"/>
          <w:sz w:val="22"/>
        </w:rPr>
        <w:t>a forma presencial desde que motivada, devendo a sessão pública ser registrada em ata.</w:t>
      </w:r>
    </w:p>
    <w:p w:rsidR="00B32221" w:rsidRPr="001A7B35" w:rsidRDefault="00B32221">
      <w:pPr>
        <w:widowControl/>
        <w:spacing w:after="30" w:line="254" w:lineRule="auto"/>
        <w:ind w:right="225"/>
        <w:jc w:val="both"/>
      </w:pPr>
    </w:p>
    <w:p w:rsidR="00B32221" w:rsidRPr="001A7B35" w:rsidRDefault="001A7B35">
      <w:pPr>
        <w:widowControl/>
        <w:spacing w:after="30" w:line="254" w:lineRule="auto"/>
        <w:ind w:right="225"/>
        <w:jc w:val="both"/>
      </w:pPr>
      <w:proofErr w:type="gramStart"/>
      <w:r w:rsidRPr="001A7B35">
        <w:rPr>
          <w:rFonts w:ascii="Calibri" w:eastAsia="Calibri" w:hAnsi="Calibri" w:cs="Calibri"/>
          <w:sz w:val="22"/>
        </w:rPr>
        <w:t>4.4  Conforme</w:t>
      </w:r>
      <w:proofErr w:type="gramEnd"/>
      <w:r w:rsidRPr="001A7B35">
        <w:rPr>
          <w:rFonts w:ascii="Calibri" w:eastAsia="Calibri" w:hAnsi="Calibri" w:cs="Calibri"/>
          <w:sz w:val="22"/>
        </w:rPr>
        <w:t xml:space="preserve"> estabelecido no Art. 64, caput da Lei 14.133/21, destinadas a esclarecer ou a complementar o procedimento licitatório com verificação imediata das condiçõ</w:t>
      </w:r>
      <w:r w:rsidRPr="001A7B35">
        <w:rPr>
          <w:rFonts w:ascii="Calibri" w:eastAsia="Calibri" w:hAnsi="Calibri" w:cs="Calibri"/>
          <w:sz w:val="22"/>
        </w:rPr>
        <w:t>es de habilitação.</w:t>
      </w:r>
    </w:p>
    <w:p w:rsidR="00B32221" w:rsidRPr="001A7B35" w:rsidRDefault="001A7B35">
      <w:pPr>
        <w:widowControl/>
        <w:spacing w:after="30" w:line="254" w:lineRule="auto"/>
        <w:ind w:right="225"/>
        <w:jc w:val="both"/>
      </w:pPr>
      <w:proofErr w:type="gramStart"/>
      <w:r w:rsidRPr="001A7B35">
        <w:rPr>
          <w:rFonts w:ascii="Calibri" w:eastAsia="Calibri" w:hAnsi="Calibri" w:cs="Calibri"/>
          <w:sz w:val="22"/>
        </w:rPr>
        <w:t>4.5  Da</w:t>
      </w:r>
      <w:proofErr w:type="gramEnd"/>
      <w:r w:rsidRPr="001A7B35">
        <w:rPr>
          <w:rFonts w:ascii="Calibri" w:eastAsia="Calibri" w:hAnsi="Calibri" w:cs="Calibri"/>
          <w:sz w:val="22"/>
        </w:rPr>
        <w:t xml:space="preserve"> mesma forma a verificação prevista no § 29 do Art. 59 da Lei 14.133/21, quanto a exequibilidade da proposta. De modo igual e com muito mais presteza é possível lidar com as manifestações recursais, </w:t>
      </w:r>
      <w:r w:rsidRPr="001A7B35">
        <w:rPr>
          <w:noProof/>
        </w:rPr>
        <w:drawing>
          <wp:inline distT="0" distB="0" distL="0" distR="0">
            <wp:extent cx="9525" cy="9525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7B35">
        <w:rPr>
          <w:rFonts w:ascii="Calibri" w:eastAsia="Calibri" w:hAnsi="Calibri" w:cs="Calibri"/>
          <w:sz w:val="22"/>
        </w:rPr>
        <w:t>proporcionando maior celeridad</w:t>
      </w:r>
      <w:r w:rsidRPr="001A7B35">
        <w:rPr>
          <w:rFonts w:ascii="Calibri" w:eastAsia="Calibri" w:hAnsi="Calibri" w:cs="Calibri"/>
          <w:sz w:val="22"/>
        </w:rPr>
        <w:t>e aos procedimentos, visto em regra, ocorrerem na própria sessão pública, sem prejuízo da competição de preços, também justificam a decisão da adoção do Processo de dispensa.</w:t>
      </w:r>
    </w:p>
    <w:p w:rsidR="00B32221" w:rsidRPr="001A7B35" w:rsidRDefault="00B32221">
      <w:pPr>
        <w:widowControl/>
        <w:spacing w:after="30" w:line="254" w:lineRule="auto"/>
        <w:ind w:right="225"/>
        <w:jc w:val="both"/>
      </w:pPr>
    </w:p>
    <w:p w:rsidR="00B32221" w:rsidRPr="001A7B35" w:rsidRDefault="001A7B35">
      <w:pPr>
        <w:widowControl/>
        <w:spacing w:after="15" w:line="254" w:lineRule="auto"/>
        <w:ind w:right="225"/>
        <w:jc w:val="both"/>
      </w:pPr>
      <w:proofErr w:type="gramStart"/>
      <w:r w:rsidRPr="001A7B35">
        <w:rPr>
          <w:rFonts w:ascii="Calibri" w:eastAsia="Calibri" w:hAnsi="Calibri" w:cs="Calibri"/>
          <w:sz w:val="22"/>
        </w:rPr>
        <w:t>4.6 Sendo</w:t>
      </w:r>
      <w:proofErr w:type="gramEnd"/>
      <w:r w:rsidRPr="001A7B35">
        <w:rPr>
          <w:rFonts w:ascii="Calibri" w:eastAsia="Calibri" w:hAnsi="Calibri" w:cs="Calibri"/>
          <w:sz w:val="22"/>
        </w:rPr>
        <w:t xml:space="preserve"> assim, a escolha do processo de dispensa Presencial é a que melhor se </w:t>
      </w:r>
      <w:r w:rsidRPr="001A7B35">
        <w:rPr>
          <w:rFonts w:ascii="Calibri" w:eastAsia="Calibri" w:hAnsi="Calibri" w:cs="Calibri"/>
          <w:sz w:val="22"/>
        </w:rPr>
        <w:t>adequa a contratação do objeto do certame, pois a Administração Pública tem o poder discricionário para decidir acerca da escolha da modalidade de licitação em detrimento da dispensa, de acordo com sua necessidade e conveniência, desde que motivada. Por fi</w:t>
      </w:r>
      <w:r w:rsidRPr="001A7B35">
        <w:rPr>
          <w:rFonts w:ascii="Calibri" w:eastAsia="Calibri" w:hAnsi="Calibri" w:cs="Calibri"/>
          <w:sz w:val="22"/>
        </w:rPr>
        <w:t>m, com a devida justificativa sobre o ponto de vista da celeridade, entretanto, sem prejudicar a escolha da proposta mais vantajosa, o processo de dispensa se configura como meio fundamental para aquisição de bens e serviços comuns pela Administração Públi</w:t>
      </w:r>
      <w:r w:rsidRPr="001A7B35">
        <w:rPr>
          <w:rFonts w:ascii="Calibri" w:eastAsia="Calibri" w:hAnsi="Calibri" w:cs="Calibri"/>
          <w:sz w:val="22"/>
        </w:rPr>
        <w:t>ca de forma mais célere e vantajosa em detrimento às outras formas elencadas na Lei 14.133/21.</w:t>
      </w:r>
    </w:p>
    <w:p w:rsidR="00B32221" w:rsidRPr="001A7B35" w:rsidRDefault="00B32221">
      <w:pPr>
        <w:widowControl/>
        <w:spacing w:after="15" w:line="254" w:lineRule="auto"/>
        <w:ind w:right="225"/>
        <w:jc w:val="both"/>
      </w:pPr>
    </w:p>
    <w:p w:rsidR="00B32221" w:rsidRPr="001A7B35" w:rsidRDefault="001A7B35">
      <w:pPr>
        <w:widowControl/>
        <w:spacing w:after="15" w:line="254" w:lineRule="auto"/>
        <w:ind w:right="225"/>
        <w:jc w:val="both"/>
      </w:pPr>
      <w:r w:rsidRPr="001A7B35">
        <w:rPr>
          <w:rFonts w:ascii="Calibri" w:eastAsia="Calibri" w:hAnsi="Calibri" w:cs="Calibri"/>
          <w:sz w:val="22"/>
        </w:rPr>
        <w:t xml:space="preserve">4.7  Finaliza-se destacando que, o processo de dispensa na forma presencial, além de mais prático, fácil, simples, direto e acessível, atinge o seu fim, e fim </w:t>
      </w:r>
      <w:r w:rsidRPr="001A7B35">
        <w:rPr>
          <w:rFonts w:ascii="Calibri" w:eastAsia="Calibri" w:hAnsi="Calibri" w:cs="Calibri"/>
          <w:sz w:val="22"/>
        </w:rPr>
        <w:t>único de toda licitação, qual seja garantir a observância do princípio constitucional da isonomia, permitindo a participação de quaisquer interessados que atendam aos requisitos exigidos, e a selecionar a proposta mais vantajosa para a Administração, media</w:t>
      </w:r>
      <w:r w:rsidRPr="001A7B35">
        <w:rPr>
          <w:rFonts w:ascii="Calibri" w:eastAsia="Calibri" w:hAnsi="Calibri" w:cs="Calibri"/>
          <w:sz w:val="22"/>
        </w:rPr>
        <w:t>nte sessão pública, além de ser eminentemente público e aberto, não resultando desta forma qualquer prejuízo para a Administração, optando-se, como aqui se faz, pela utilização da Dispensa Presencial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tabs>
          <w:tab w:val="left" w:pos="375"/>
        </w:tabs>
        <w:ind w:firstLine="30"/>
        <w:outlineLvl w:val="1"/>
      </w:pPr>
      <w:r w:rsidRPr="001A7B35">
        <w:rPr>
          <w:b/>
          <w:sz w:val="22"/>
        </w:rPr>
        <w:t>5. RELAÇÃO ENTRE A DEMANDA PREVISTA E QUANTIDADES DE CA</w:t>
      </w:r>
      <w:r w:rsidRPr="001A7B35">
        <w:rPr>
          <w:b/>
          <w:sz w:val="22"/>
        </w:rPr>
        <w:t>DA ITEM</w:t>
      </w:r>
    </w:p>
    <w:p w:rsidR="00B32221" w:rsidRPr="001A7B35" w:rsidRDefault="00B32221">
      <w:pPr>
        <w:keepNext/>
        <w:keepLines/>
        <w:tabs>
          <w:tab w:val="left" w:pos="375"/>
        </w:tabs>
        <w:ind w:firstLine="30"/>
        <w:outlineLvl w:val="1"/>
      </w:pPr>
    </w:p>
    <w:tbl>
      <w:tblPr>
        <w:tblW w:w="4850" w:type="pct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"/>
        <w:gridCol w:w="857"/>
        <w:gridCol w:w="4677"/>
        <w:gridCol w:w="701"/>
        <w:gridCol w:w="701"/>
        <w:gridCol w:w="857"/>
        <w:gridCol w:w="1154"/>
      </w:tblGrid>
      <w:tr w:rsidR="001A7B35" w:rsidRPr="001A7B35">
        <w:tc>
          <w:tcPr>
            <w:tcW w:w="907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Lote: 1 - Lote 001</w:t>
            </w:r>
          </w:p>
        </w:tc>
      </w:tr>
      <w:tr w:rsidR="001A7B35" w:rsidRPr="001A7B35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Item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Código do produto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Nome do produto/serviço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QTDE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Unid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Preço máximo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32221" w:rsidRPr="001A7B35" w:rsidRDefault="001A7B35">
            <w:r w:rsidRPr="001A7B35">
              <w:t>Preço máximo total</w:t>
            </w:r>
          </w:p>
        </w:tc>
      </w:tr>
      <w:tr w:rsidR="001A7B35" w:rsidRPr="001A7B35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23723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CAIXA PARA PROTEÇÃO DE 1 (UM) HIDRÔMETRO, PARA INSTALAÇÃO NO PASSEIO</w:t>
            </w:r>
            <w:proofErr w:type="gramStart"/>
            <w:r w:rsidRPr="001A7B35">
              <w:t xml:space="preserve">   (</w:t>
            </w:r>
            <w:proofErr w:type="gramEnd"/>
            <w:r w:rsidRPr="001A7B35">
              <w:t>PISO), COM FUROS PASSANTES DE DIÂMETRO 3/4” NAS EXTREMIDADES LATERAIS, COM TAMPA ARTICULADA ANTIDERRAPANTE E SISTEMA DE FECHAMENTO UTILIZANDO CHAVE DE MANOBRA, COM FURO NO FUNDO PARA E</w:t>
            </w:r>
            <w:r w:rsidRPr="001A7B35">
              <w:t xml:space="preserve">SCOAMENTO DE ÁGUA, FABRICADA EM POLIPROPILENO (PP) TIPO MONOBLOCO, SEM INSCRIÇÃO/LOGOTIPO NA TAMPA, COM AS SEGUINTES DIMENSÕES MÍNIMAS: COMPRIMENTO 470MM, LARGURA 250MM E ALTURA 175MM – MARCA DE REFERÊNCIA: DOAL PLASTIC E TAF.  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500,00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UNID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37,17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18.585,00</w:t>
            </w:r>
          </w:p>
        </w:tc>
      </w:tr>
      <w:tr w:rsidR="001A7B35" w:rsidRPr="001A7B35">
        <w:tc>
          <w:tcPr>
            <w:tcW w:w="79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TOTAL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32221" w:rsidRPr="001A7B35" w:rsidRDefault="001A7B35">
            <w:r w:rsidRPr="001A7B35">
              <w:t>18.585,00</w:t>
            </w:r>
          </w:p>
        </w:tc>
      </w:tr>
    </w:tbl>
    <w:p w:rsidR="00B32221" w:rsidRPr="001A7B35" w:rsidRDefault="00B32221"/>
    <w:p w:rsidR="00B32221" w:rsidRPr="001A7B35" w:rsidRDefault="001A7B35">
      <w:r w:rsidRPr="001A7B35">
        <w:rPr>
          <w:rFonts w:ascii="Calibri" w:eastAsia="Calibri" w:hAnsi="Calibri" w:cs="Calibri"/>
          <w:b/>
          <w:sz w:val="22"/>
        </w:rPr>
        <w:t>DO PREÇO</w:t>
      </w:r>
    </w:p>
    <w:p w:rsidR="00B32221" w:rsidRPr="001A7B35" w:rsidRDefault="001A7B35">
      <w:r w:rsidRPr="001A7B35">
        <w:rPr>
          <w:rFonts w:ascii="Calibri" w:eastAsia="Calibri" w:hAnsi="Calibri" w:cs="Calibri"/>
          <w:sz w:val="22"/>
        </w:rPr>
        <w:t xml:space="preserve">Os orçamentos foram solicitados por e-mail a partir do dia 16/05/2025. Foram recebidas as seguintes propostas: TAF em 17/06/2025, AC&amp;A Brasil em 17/06/2025, </w:t>
      </w:r>
      <w:proofErr w:type="spellStart"/>
      <w:r w:rsidRPr="001A7B35">
        <w:rPr>
          <w:rFonts w:ascii="Calibri" w:eastAsia="Calibri" w:hAnsi="Calibri" w:cs="Calibri"/>
          <w:sz w:val="22"/>
        </w:rPr>
        <w:t>Bhatel</w:t>
      </w:r>
      <w:proofErr w:type="spellEnd"/>
      <w:r w:rsidRPr="001A7B35">
        <w:rPr>
          <w:rFonts w:ascii="Calibri" w:eastAsia="Calibri" w:hAnsi="Calibri" w:cs="Calibri"/>
          <w:sz w:val="22"/>
        </w:rPr>
        <w:t xml:space="preserve"> no dia 24/06/2025 e </w:t>
      </w:r>
      <w:proofErr w:type="spellStart"/>
      <w:r w:rsidRPr="001A7B35">
        <w:rPr>
          <w:rFonts w:ascii="Calibri" w:eastAsia="Calibri" w:hAnsi="Calibri" w:cs="Calibri"/>
          <w:sz w:val="22"/>
        </w:rPr>
        <w:t>Doalplastic</w:t>
      </w:r>
      <w:proofErr w:type="spellEnd"/>
      <w:r w:rsidRPr="001A7B35">
        <w:rPr>
          <w:rFonts w:ascii="Calibri" w:eastAsia="Calibri" w:hAnsi="Calibri" w:cs="Calibri"/>
          <w:sz w:val="22"/>
        </w:rPr>
        <w:t xml:space="preserve"> em 17/06/2025. Foram realizadas</w:t>
      </w:r>
      <w:r w:rsidRPr="001A7B35">
        <w:rPr>
          <w:rFonts w:ascii="Calibri" w:eastAsia="Calibri" w:hAnsi="Calibri" w:cs="Calibri"/>
          <w:sz w:val="22"/>
        </w:rPr>
        <w:t xml:space="preserve"> pesquisas de preços nos seguintes meios: Portal Nacional de Contratações Públicas (PNCP), aplicativo Banco de Preços e aplicativo Nota Paraná, todas sem sucesso.</w:t>
      </w:r>
    </w:p>
    <w:p w:rsidR="00B32221" w:rsidRPr="001A7B35" w:rsidRDefault="00B32221">
      <w:pPr>
        <w:ind w:left="60"/>
        <w:jc w:val="both"/>
      </w:pPr>
    </w:p>
    <w:p w:rsidR="00B32221" w:rsidRPr="001A7B35" w:rsidRDefault="001A7B35">
      <w:pPr>
        <w:widowControl/>
        <w:spacing w:after="150"/>
        <w:ind w:right="30"/>
        <w:jc w:val="both"/>
      </w:pPr>
      <w:r w:rsidRPr="001A7B35">
        <w:rPr>
          <w:rFonts w:ascii="Calibri" w:eastAsia="Calibri" w:hAnsi="Calibri" w:cs="Calibri"/>
          <w:sz w:val="23"/>
        </w:rPr>
        <w:t>Após a realização de pesquisa de preços em conformidade com a IN Seges/ME nº 65/2021, certif</w:t>
      </w:r>
      <w:r w:rsidRPr="001A7B35">
        <w:rPr>
          <w:rFonts w:ascii="Calibri" w:eastAsia="Calibri" w:hAnsi="Calibri" w:cs="Calibri"/>
          <w:sz w:val="23"/>
        </w:rPr>
        <w:t>ica-se que o preço estimado para a presente contratação é compatível com os praticados no mercado</w:t>
      </w:r>
      <w:r w:rsidRPr="001A7B35">
        <w:rPr>
          <w:rFonts w:ascii="Calibri" w:eastAsia="Calibri" w:hAnsi="Calibri" w:cs="Calibri"/>
          <w:b/>
          <w:sz w:val="22"/>
        </w:rPr>
        <w:t>. Dentre os preços coletados para o processo de licitação, foi adotado o critério de menor valor apresentado como referência para a contratação.</w:t>
      </w:r>
    </w:p>
    <w:p w:rsidR="00B32221" w:rsidRPr="001A7B35" w:rsidRDefault="001A7B35">
      <w:pPr>
        <w:widowControl/>
        <w:spacing w:after="150"/>
        <w:ind w:right="30"/>
        <w:jc w:val="both"/>
      </w:pPr>
      <w:r w:rsidRPr="001A7B35">
        <w:rPr>
          <w:rFonts w:ascii="Calibri" w:eastAsia="Calibri" w:hAnsi="Calibri" w:cs="Calibri"/>
          <w:b/>
          <w:sz w:val="22"/>
        </w:rPr>
        <w:t>DAS QUANTIDADE</w:t>
      </w:r>
      <w:r w:rsidRPr="001A7B35">
        <w:rPr>
          <w:rFonts w:ascii="Calibri" w:eastAsia="Calibri" w:hAnsi="Calibri" w:cs="Calibri"/>
          <w:b/>
          <w:sz w:val="22"/>
        </w:rPr>
        <w:t>:</w:t>
      </w:r>
    </w:p>
    <w:p w:rsidR="00B32221" w:rsidRPr="001A7B35" w:rsidRDefault="001A7B35">
      <w:pPr>
        <w:widowControl/>
        <w:spacing w:after="150"/>
        <w:ind w:right="30"/>
        <w:jc w:val="both"/>
      </w:pPr>
      <w:r w:rsidRPr="001A7B35">
        <w:rPr>
          <w:rFonts w:ascii="Calibri" w:eastAsia="Calibri" w:hAnsi="Calibri" w:cs="Calibri"/>
          <w:b/>
          <w:sz w:val="22"/>
        </w:rPr>
        <w:t>Com o aumento significativo nas reformas e ampliações de residências no município, observou-se a necessidade de readequação das instalações hidráulicas, especialmente no que se refere à localização dos hidrômetros. Muitas residências antigas possuíam hid</w:t>
      </w:r>
      <w:r w:rsidRPr="001A7B35">
        <w:rPr>
          <w:rFonts w:ascii="Calibri" w:eastAsia="Calibri" w:hAnsi="Calibri" w:cs="Calibri"/>
          <w:b/>
          <w:sz w:val="22"/>
        </w:rPr>
        <w:t xml:space="preserve">rômetros instalados em locais de difícil acesso ou fora dos padrões atuais de segurança e leitura. A relocação dos hidrômetros para as calçadas, em caixas de proteção apropriadas, </w:t>
      </w:r>
      <w:r w:rsidR="00B24E1C" w:rsidRPr="001A7B35">
        <w:rPr>
          <w:rFonts w:ascii="Calibri" w:eastAsia="Calibri" w:hAnsi="Calibri" w:cs="Calibri"/>
          <w:b/>
          <w:sz w:val="22"/>
        </w:rPr>
        <w:t>garante: Maior</w:t>
      </w:r>
      <w:r w:rsidRPr="001A7B35">
        <w:rPr>
          <w:rFonts w:ascii="Calibri" w:eastAsia="Calibri" w:hAnsi="Calibri" w:cs="Calibri"/>
          <w:b/>
          <w:sz w:val="22"/>
        </w:rPr>
        <w:t xml:space="preserve"> facilidade de leitura e </w:t>
      </w:r>
      <w:r w:rsidR="00B24E1C" w:rsidRPr="001A7B35">
        <w:rPr>
          <w:rFonts w:ascii="Calibri" w:eastAsia="Calibri" w:hAnsi="Calibri" w:cs="Calibri"/>
          <w:b/>
          <w:sz w:val="22"/>
        </w:rPr>
        <w:t>manutenção; Redução</w:t>
      </w:r>
      <w:r w:rsidRPr="001A7B35">
        <w:rPr>
          <w:rFonts w:ascii="Calibri" w:eastAsia="Calibri" w:hAnsi="Calibri" w:cs="Calibri"/>
          <w:b/>
          <w:sz w:val="22"/>
        </w:rPr>
        <w:t xml:space="preserve"> de perdas e </w:t>
      </w:r>
      <w:r w:rsidR="00B24E1C" w:rsidRPr="001A7B35">
        <w:rPr>
          <w:rFonts w:ascii="Calibri" w:eastAsia="Calibri" w:hAnsi="Calibri" w:cs="Calibri"/>
          <w:b/>
          <w:sz w:val="22"/>
        </w:rPr>
        <w:t>fraudes; Adequação</w:t>
      </w:r>
      <w:r w:rsidRPr="001A7B35">
        <w:rPr>
          <w:rFonts w:ascii="Calibri" w:eastAsia="Calibri" w:hAnsi="Calibri" w:cs="Calibri"/>
          <w:b/>
          <w:sz w:val="22"/>
        </w:rPr>
        <w:t xml:space="preserve"> às normas técnicas e de segurança.</w:t>
      </w:r>
    </w:p>
    <w:p w:rsidR="00B32221" w:rsidRPr="001A7B35" w:rsidRDefault="001A7B35">
      <w:pPr>
        <w:widowControl/>
        <w:spacing w:after="150"/>
        <w:ind w:right="30"/>
        <w:jc w:val="both"/>
      </w:pPr>
      <w:r w:rsidRPr="001A7B35">
        <w:rPr>
          <w:rFonts w:ascii="Calibri" w:eastAsia="Calibri" w:hAnsi="Calibri" w:cs="Calibri"/>
          <w:b/>
          <w:sz w:val="22"/>
        </w:rPr>
        <w:t>O município de Japurá vem passando por um processo de expansão urbana, com a criação de novos loteamentos e bairros residenciais. Esse crescimento demanda a instalação de novas ligações de água, todas já projet</w:t>
      </w:r>
      <w:r w:rsidRPr="001A7B35">
        <w:rPr>
          <w:rFonts w:ascii="Calibri" w:eastAsia="Calibri" w:hAnsi="Calibri" w:cs="Calibri"/>
          <w:b/>
          <w:sz w:val="22"/>
        </w:rPr>
        <w:t>adas com hidrômetros em calçadas, conforme os padrões modernos de infraestrutura urbana. Para atender essa demanda, é imprescindível a aquisição de caixas de proteção resistentes, seguras e compatíveis com o modelo enterrado no piso passeio.</w:t>
      </w:r>
    </w:p>
    <w:p w:rsidR="00B32221" w:rsidRPr="001A7B35" w:rsidRDefault="001A7B35">
      <w:pPr>
        <w:ind w:left="60"/>
        <w:jc w:val="both"/>
      </w:pPr>
      <w:r w:rsidRPr="001A7B35">
        <w:rPr>
          <w:sz w:val="22"/>
        </w:rPr>
        <w:t>O orçamento de</w:t>
      </w:r>
      <w:r w:rsidRPr="001A7B35">
        <w:rPr>
          <w:sz w:val="22"/>
        </w:rPr>
        <w:t>talhado é obrigatório na fase interna da licitação para o objeto da presente licitação, como verificação de preços concorrentes no mercado e parâmetro para fixação de critérios de aceitabilidade de preços globais e unitário no edital a ser lançado. Nesse s</w:t>
      </w:r>
      <w:r w:rsidRPr="001A7B35">
        <w:rPr>
          <w:sz w:val="22"/>
        </w:rPr>
        <w:t>entido, a pesquisa de preços prévia, foi devidamente realizada de acordo com os moldes da Instrução Normativa SEGES/ME n. 65/2021 que dispõe sobre o procedimento administrativo para a realização de pesquisa de preços para aquisição de bens e contratação de</w:t>
      </w:r>
      <w:r w:rsidRPr="001A7B35">
        <w:rPr>
          <w:sz w:val="22"/>
        </w:rPr>
        <w:t xml:space="preserve"> serviços em geral, no âmbito da administração pública federal direta, autárquica e fundacional. </w:t>
      </w:r>
    </w:p>
    <w:p w:rsidR="00B32221" w:rsidRPr="001A7B35" w:rsidRDefault="00B32221">
      <w:pPr>
        <w:ind w:left="60"/>
        <w:jc w:val="both"/>
      </w:pPr>
    </w:p>
    <w:p w:rsidR="00B32221" w:rsidRPr="001A7B35" w:rsidRDefault="001A7B35">
      <w:pPr>
        <w:ind w:left="60"/>
        <w:jc w:val="both"/>
      </w:pPr>
      <w:r w:rsidRPr="001A7B35">
        <w:rPr>
          <w:sz w:val="22"/>
        </w:rPr>
        <w:t>Esta Entidade Pública adotou tais moldes na tentativa de tornar o procedimento licitatório em questão mais transparente, sem qualquer tipo de combinação de v</w:t>
      </w:r>
      <w:r w:rsidRPr="001A7B35">
        <w:rPr>
          <w:sz w:val="22"/>
        </w:rPr>
        <w:t>alores prévios entre possíveis fornecedores, evitando assim a possibilidade de conluio entre empresas, frustrando assim qualquer tipo de sobrepreço aos itens a serem licitados.  Não possuindo assim qualquer falha na metodologia utilizada por esta Administr</w:t>
      </w:r>
      <w:r w:rsidRPr="001A7B35">
        <w:rPr>
          <w:sz w:val="22"/>
        </w:rPr>
        <w:t>ação para definição dos valores estimados, não se limitando a 03 (três) cotações de empresas. Pois adotou-se contratações já realizadas de outras Entidades Públicas Municipais, mediante verificação junto ao Portal Informações para Todos do Tribunal de Cont</w:t>
      </w:r>
      <w:r w:rsidRPr="001A7B35">
        <w:rPr>
          <w:sz w:val="22"/>
        </w:rPr>
        <w:t>as do Paraná e ainda Portais de Transparência de Municípios.</w:t>
      </w:r>
    </w:p>
    <w:p w:rsidR="00B32221" w:rsidRPr="001A7B35" w:rsidRDefault="00B32221"/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>Os materiais/serviços deverão ser entregues/executados nos locais informados na Nota de Empenho ou Ordem de Serviço emitidas, acompanhada preferencialmente pelo Fiscal do Contrato ou por outro s</w:t>
      </w:r>
      <w:r w:rsidRPr="001A7B35">
        <w:rPr>
          <w:sz w:val="22"/>
        </w:rPr>
        <w:t>ervidor designado para esse fim.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6. PRAZO DE ENTREGA/EXECUÇÃO, VIGÊNCIA E VALOR MÁXIMO</w:t>
      </w: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 xml:space="preserve">A entrega deverá ocorrer em até </w:t>
      </w:r>
      <w:r w:rsidRPr="001A7B35">
        <w:rPr>
          <w:b/>
          <w:sz w:val="22"/>
        </w:rPr>
        <w:t>30 (trinta) dias úteis</w:t>
      </w:r>
      <w:r w:rsidRPr="001A7B35">
        <w:rPr>
          <w:sz w:val="22"/>
        </w:rPr>
        <w:t>, a contar da solicitação do órgão competente, por conta e risco da empresa vencedora do certame licitatório, medi</w:t>
      </w:r>
      <w:r w:rsidRPr="001A7B35">
        <w:rPr>
          <w:sz w:val="22"/>
        </w:rPr>
        <w:t>ante requisição formalizada pelo Município, correndo por conta da licitante vencedora contratada as despesas de seguros, transportes, tributos, encargos trabalhistas e previdenciários decorrentes da execução do objeto da licitação.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 xml:space="preserve">O prazo de vigência da </w:t>
      </w:r>
      <w:r w:rsidRPr="001A7B35">
        <w:rPr>
          <w:sz w:val="22"/>
        </w:rPr>
        <w:t xml:space="preserve">contratação será de </w:t>
      </w:r>
      <w:r w:rsidRPr="001A7B35">
        <w:rPr>
          <w:b/>
          <w:sz w:val="22"/>
        </w:rPr>
        <w:t xml:space="preserve">até </w:t>
      </w:r>
      <w:r w:rsidRPr="001A7B35">
        <w:rPr>
          <w:b/>
          <w:sz w:val="22"/>
        </w:rPr>
        <w:t>30 (trinta) dias úteis</w:t>
      </w:r>
      <w:r w:rsidRPr="001A7B35">
        <w:rPr>
          <w:sz w:val="22"/>
        </w:rPr>
        <w:t>, contados da data indicada no instrumento contratual, na forma do artigo 105, da Lei n° 14.133/2021.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>O custo estimado total da contratação é de</w:t>
      </w:r>
      <w:r w:rsidRPr="001A7B35">
        <w:rPr>
          <w:sz w:val="22"/>
        </w:rPr>
        <w:t xml:space="preserve"> </w:t>
      </w:r>
      <w:r w:rsidRPr="001A7B35">
        <w:rPr>
          <w:b/>
          <w:sz w:val="22"/>
        </w:rPr>
        <w:t xml:space="preserve">R$ 18.585,00 </w:t>
      </w:r>
      <w:proofErr w:type="gramStart"/>
      <w:r w:rsidRPr="001A7B35">
        <w:rPr>
          <w:b/>
          <w:sz w:val="22"/>
        </w:rPr>
        <w:t>( dezoito</w:t>
      </w:r>
      <w:proofErr w:type="gramEnd"/>
      <w:r w:rsidRPr="001A7B35">
        <w:rPr>
          <w:b/>
          <w:sz w:val="22"/>
        </w:rPr>
        <w:t xml:space="preserve"> mil quinhentos e oitenta e cinco mil reai</w:t>
      </w:r>
      <w:r w:rsidRPr="001A7B35">
        <w:rPr>
          <w:b/>
          <w:sz w:val="22"/>
        </w:rPr>
        <w:t>s)</w:t>
      </w:r>
      <w:r w:rsidRPr="001A7B35">
        <w:rPr>
          <w:sz w:val="22"/>
        </w:rPr>
        <w:t xml:space="preserve">, </w:t>
      </w:r>
      <w:r w:rsidRPr="001A7B35">
        <w:rPr>
          <w:sz w:val="22"/>
        </w:rPr>
        <w:t>conforme custos unitários apostos na tabela acima.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sz w:val="22"/>
        </w:rPr>
        <w:t>O objeto desta contratação não se enquadra como sendo de bem de luxo, conforme Decreto nº 10.818, de 2021.</w:t>
      </w:r>
    </w:p>
    <w:p w:rsidR="00B32221" w:rsidRPr="001A7B35" w:rsidRDefault="00B32221">
      <w:pPr>
        <w:keepNext/>
        <w:keepLines/>
        <w:ind w:right="-30"/>
        <w:jc w:val="both"/>
      </w:pPr>
    </w:p>
    <w:p w:rsidR="00B32221" w:rsidRPr="001A7B35" w:rsidRDefault="001A7B35">
      <w:pPr>
        <w:keepNext/>
        <w:keepLines/>
        <w:ind w:right="-30"/>
        <w:jc w:val="both"/>
      </w:pPr>
      <w:r w:rsidRPr="001A7B35">
        <w:rPr>
          <w:b/>
          <w:sz w:val="22"/>
        </w:rPr>
        <w:t>7. JUSTIFICATIVAS PARA O PARCELAMENTO OU NÃO DA SOLUÇÃO</w:t>
      </w:r>
    </w:p>
    <w:p w:rsidR="00B32221" w:rsidRPr="001A7B35" w:rsidRDefault="001A7B35">
      <w:pPr>
        <w:jc w:val="both"/>
      </w:pPr>
      <w:r w:rsidRPr="001A7B35">
        <w:rPr>
          <w:sz w:val="22"/>
        </w:rPr>
        <w:t>A aquisição/contratação é divisível,</w:t>
      </w:r>
      <w:r w:rsidRPr="001A7B35">
        <w:rPr>
          <w:sz w:val="22"/>
        </w:rPr>
        <w:t xml:space="preserve"> portanto há possibilidade de separá-</w:t>
      </w:r>
      <w:proofErr w:type="gramStart"/>
      <w:r w:rsidRPr="001A7B35">
        <w:rPr>
          <w:sz w:val="22"/>
        </w:rPr>
        <w:t>lo(</w:t>
      </w:r>
      <w:proofErr w:type="gramEnd"/>
      <w:r w:rsidRPr="001A7B35">
        <w:rPr>
          <w:sz w:val="22"/>
        </w:rPr>
        <w:t xml:space="preserve">s) em cotas sem causar prejuízo a execução do contrato. Havendo um melhor aproveitamento do mercado e ampliação da competitividade. 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 xml:space="preserve">8. - RESULTADOS PRETENDIDOS </w:t>
      </w:r>
    </w:p>
    <w:p w:rsidR="00B32221" w:rsidRPr="001A7B35" w:rsidRDefault="001A7B35">
      <w:pPr>
        <w:jc w:val="both"/>
      </w:pPr>
      <w:r w:rsidRPr="001A7B35">
        <w:rPr>
          <w:sz w:val="22"/>
        </w:rPr>
        <w:t xml:space="preserve">A solução deverá permitir o alcance dos seguintes resultados: </w:t>
      </w:r>
    </w:p>
    <w:p w:rsidR="00B32221" w:rsidRPr="001A7B35" w:rsidRDefault="001A7B35">
      <w:pPr>
        <w:jc w:val="both"/>
      </w:pPr>
      <w:proofErr w:type="gramStart"/>
      <w:r w:rsidRPr="001A7B35">
        <w:rPr>
          <w:sz w:val="22"/>
        </w:rPr>
        <w:t>1) Atender</w:t>
      </w:r>
      <w:proofErr w:type="gramEnd"/>
      <w:r w:rsidRPr="001A7B35">
        <w:rPr>
          <w:sz w:val="22"/>
        </w:rPr>
        <w:t xml:space="preserve"> com eficiência as constantes demandas da SAMAE com a prestação de serviços satisfatória e ainda atender as determinações dos órgãos fiscalizadores;</w:t>
      </w:r>
    </w:p>
    <w:p w:rsidR="00B32221" w:rsidRPr="001A7B35" w:rsidRDefault="001A7B35">
      <w:pPr>
        <w:jc w:val="both"/>
      </w:pPr>
      <w:r w:rsidRPr="001A7B35">
        <w:rPr>
          <w:sz w:val="22"/>
        </w:rPr>
        <w:t>2) Evitar a realização de várias c</w:t>
      </w:r>
      <w:r w:rsidRPr="001A7B35">
        <w:rPr>
          <w:sz w:val="22"/>
        </w:rPr>
        <w:t xml:space="preserve">ontratações referentes a um mesmo objeto, </w:t>
      </w:r>
      <w:proofErr w:type="gramStart"/>
      <w:r w:rsidRPr="001A7B35">
        <w:rPr>
          <w:sz w:val="22"/>
        </w:rPr>
        <w:t>num  mesmo</w:t>
      </w:r>
      <w:proofErr w:type="gramEnd"/>
      <w:r w:rsidRPr="001A7B35">
        <w:rPr>
          <w:sz w:val="22"/>
        </w:rPr>
        <w:t xml:space="preserve"> exercício financeiro, evitando o sobrepreço e a </w:t>
      </w:r>
      <w:proofErr w:type="spellStart"/>
      <w:r w:rsidRPr="001A7B35">
        <w:rPr>
          <w:sz w:val="22"/>
        </w:rPr>
        <w:t>ineficâcia</w:t>
      </w:r>
      <w:proofErr w:type="spellEnd"/>
      <w:r w:rsidRPr="001A7B35">
        <w:rPr>
          <w:sz w:val="22"/>
        </w:rPr>
        <w:t xml:space="preserve"> da execução do contrato; 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9- PROVIDÊNCIAS PARA A ADEQUAÇÃO DO AMBIENTE DO ÓRGÃO</w:t>
      </w:r>
    </w:p>
    <w:p w:rsidR="00B32221" w:rsidRPr="001A7B35" w:rsidRDefault="001A7B35">
      <w:pPr>
        <w:jc w:val="both"/>
      </w:pPr>
      <w:r w:rsidRPr="001A7B35">
        <w:rPr>
          <w:b/>
          <w:sz w:val="22"/>
        </w:rPr>
        <w:t>Logística: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necessidade de adequação logística (fornecime</w:t>
      </w:r>
      <w:r w:rsidRPr="001A7B35">
        <w:rPr>
          <w:sz w:val="22"/>
        </w:rPr>
        <w:t>nto de materiais).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Infraestrutura tecnológica: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necessidade de adequação na infraestrutura tecnológica.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Infraestrutura elétrica: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necessidade de adequação na infraestrutura elétrica.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Espaço físico: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necessidade de adequação no espaço f</w:t>
      </w:r>
      <w:r w:rsidRPr="001A7B35">
        <w:rPr>
          <w:sz w:val="22"/>
        </w:rPr>
        <w:t>ísico.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Mobiliário: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necessidade de adequação de mobiliário.</w:t>
      </w:r>
    </w:p>
    <w:p w:rsidR="00B32221" w:rsidRPr="001A7B35" w:rsidRDefault="00B32221">
      <w:pPr>
        <w:jc w:val="both"/>
      </w:pPr>
      <w:bookmarkStart w:id="1" w:name="_GoBack"/>
      <w:bookmarkEnd w:id="1"/>
    </w:p>
    <w:p w:rsidR="00B32221" w:rsidRPr="001A7B35" w:rsidRDefault="001A7B35">
      <w:pPr>
        <w:jc w:val="both"/>
      </w:pPr>
      <w:r w:rsidRPr="001A7B35">
        <w:rPr>
          <w:b/>
          <w:sz w:val="22"/>
        </w:rPr>
        <w:t>Impacto ambiental:</w:t>
      </w:r>
    </w:p>
    <w:p w:rsidR="00B32221" w:rsidRPr="001A7B35" w:rsidRDefault="001A7B35">
      <w:pPr>
        <w:jc w:val="both"/>
      </w:pPr>
      <w:r w:rsidRPr="001A7B35">
        <w:rPr>
          <w:sz w:val="22"/>
        </w:rPr>
        <w:t>Não há efeitos ambientais de considerável relevância na contratação pretendida.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w w:val="120"/>
          <w:sz w:val="22"/>
        </w:rPr>
        <w:t xml:space="preserve">10- </w:t>
      </w:r>
      <w:r w:rsidRPr="001A7B35">
        <w:rPr>
          <w:b/>
          <w:sz w:val="22"/>
        </w:rPr>
        <w:t>CRITÉRIOS E PRÁTICAS DE ACESSIBILIDADE, SE CABÍVEL:</w:t>
      </w:r>
    </w:p>
    <w:p w:rsidR="00B32221" w:rsidRPr="001A7B35" w:rsidRDefault="001A7B35">
      <w:pPr>
        <w:jc w:val="both"/>
      </w:pPr>
      <w:r w:rsidRPr="001A7B35">
        <w:rPr>
          <w:w w:val="115"/>
          <w:sz w:val="22"/>
        </w:rPr>
        <w:t>Não se aplica.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b/>
          <w:sz w:val="22"/>
        </w:rPr>
        <w:t>11 - CONTRATAÇÕE</w:t>
      </w:r>
      <w:r w:rsidRPr="001A7B35">
        <w:rPr>
          <w:b/>
          <w:sz w:val="22"/>
        </w:rPr>
        <w:t>S CORRELATAS E/OU INTERDEPENDENTES</w:t>
      </w:r>
    </w:p>
    <w:p w:rsidR="00B32221" w:rsidRPr="001A7B35" w:rsidRDefault="001A7B35">
      <w:pPr>
        <w:jc w:val="both"/>
      </w:pPr>
      <w:r w:rsidRPr="001A7B35">
        <w:rPr>
          <w:sz w:val="22"/>
        </w:rPr>
        <w:t>Não se verifica contratações correlatas nem interdependentes para a viabilidade e contratação desta demanda.</w:t>
      </w:r>
    </w:p>
    <w:p w:rsidR="00B32221" w:rsidRPr="001A7B35" w:rsidRDefault="001A7B35">
      <w:pPr>
        <w:jc w:val="both"/>
      </w:pPr>
      <w:r w:rsidRPr="001A7B35">
        <w:rPr>
          <w:b/>
          <w:sz w:val="22"/>
        </w:rPr>
        <w:t>12 - VIABILIDADE OU NÃO DA CONTRATAÇÃO</w:t>
      </w:r>
    </w:p>
    <w:p w:rsidR="00B32221" w:rsidRPr="001A7B35" w:rsidRDefault="001A7B35">
      <w:pPr>
        <w:jc w:val="both"/>
      </w:pPr>
      <w:r w:rsidRPr="001A7B35">
        <w:rPr>
          <w:sz w:val="22"/>
        </w:rPr>
        <w:t>Os estudos preliminares evidenciam que a contratação da solução ora descrita, mostra-se tecnicamente possível e fundamentadamente necessária.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both"/>
      </w:pPr>
      <w:r w:rsidRPr="001A7B35">
        <w:rPr>
          <w:sz w:val="22"/>
        </w:rPr>
        <w:t>Diante do exposto, declara-se ser viável a contratação pretendida.</w:t>
      </w:r>
    </w:p>
    <w:p w:rsidR="00B32221" w:rsidRPr="001A7B35" w:rsidRDefault="00B32221">
      <w:pPr>
        <w:jc w:val="both"/>
      </w:pPr>
    </w:p>
    <w:p w:rsidR="00B32221" w:rsidRPr="001A7B35" w:rsidRDefault="001A7B35">
      <w:pPr>
        <w:jc w:val="right"/>
      </w:pPr>
      <w:r w:rsidRPr="001A7B35">
        <w:rPr>
          <w:sz w:val="22"/>
        </w:rPr>
        <w:t>JAPURÁ-</w:t>
      </w:r>
      <w:r w:rsidR="009269F2" w:rsidRPr="001A7B35">
        <w:rPr>
          <w:sz w:val="22"/>
        </w:rPr>
        <w:t>PR,</w:t>
      </w:r>
      <w:r w:rsidRPr="001A7B35">
        <w:rPr>
          <w:sz w:val="22"/>
        </w:rPr>
        <w:t xml:space="preserve"> </w:t>
      </w:r>
      <w:r w:rsidRPr="001A7B35">
        <w:rPr>
          <w:sz w:val="22"/>
        </w:rPr>
        <w:t>03 de julho de 2025</w:t>
      </w:r>
      <w:r w:rsidRPr="001A7B35">
        <w:rPr>
          <w:sz w:val="22"/>
        </w:rPr>
        <w:t>.</w:t>
      </w:r>
    </w:p>
    <w:p w:rsidR="00B32221" w:rsidRPr="001A7B35" w:rsidRDefault="00B32221">
      <w:pPr>
        <w:jc w:val="right"/>
      </w:pPr>
    </w:p>
    <w:p w:rsidR="00B32221" w:rsidRPr="001A7B35" w:rsidRDefault="00B32221">
      <w:pPr>
        <w:jc w:val="right"/>
      </w:pPr>
    </w:p>
    <w:p w:rsidR="00B32221" w:rsidRPr="001A7B35" w:rsidRDefault="00B32221">
      <w:pPr>
        <w:jc w:val="right"/>
      </w:pPr>
    </w:p>
    <w:p w:rsidR="009269F2" w:rsidRPr="001A7B35" w:rsidRDefault="009269F2">
      <w:pPr>
        <w:jc w:val="right"/>
      </w:pPr>
    </w:p>
    <w:p w:rsidR="009269F2" w:rsidRPr="001A7B35" w:rsidRDefault="009269F2">
      <w:pPr>
        <w:jc w:val="right"/>
      </w:pPr>
    </w:p>
    <w:p w:rsidR="009269F2" w:rsidRPr="001A7B35" w:rsidRDefault="009269F2">
      <w:pPr>
        <w:jc w:val="right"/>
      </w:pPr>
    </w:p>
    <w:p w:rsidR="00B32221" w:rsidRPr="001A7B35" w:rsidRDefault="001A7B35">
      <w:pPr>
        <w:jc w:val="center"/>
      </w:pPr>
      <w:r w:rsidRPr="001A7B35">
        <w:rPr>
          <w:sz w:val="22"/>
        </w:rPr>
        <w:t>MARCOS RO</w:t>
      </w:r>
      <w:r w:rsidRPr="001A7B35">
        <w:rPr>
          <w:sz w:val="22"/>
        </w:rPr>
        <w:t>GÉRIO BOSSO</w:t>
      </w:r>
    </w:p>
    <w:p w:rsidR="00B32221" w:rsidRPr="001A7B35" w:rsidRDefault="001A7B35">
      <w:pPr>
        <w:jc w:val="center"/>
      </w:pPr>
      <w:r w:rsidRPr="001A7B35">
        <w:rPr>
          <w:i/>
          <w:sz w:val="22"/>
        </w:rPr>
        <w:t>SAMAE</w:t>
      </w:r>
    </w:p>
    <w:p w:rsidR="00B32221" w:rsidRPr="001A7B35" w:rsidRDefault="00B32221">
      <w:pPr>
        <w:jc w:val="right"/>
      </w:pPr>
    </w:p>
    <w:p w:rsidR="00B32221" w:rsidRPr="001A7B35" w:rsidRDefault="001A7B35">
      <w:r w:rsidRPr="001A7B35">
        <w:rPr>
          <w:sz w:val="22"/>
        </w:rPr>
        <w:t>De acordo:</w:t>
      </w:r>
    </w:p>
    <w:p w:rsidR="00B32221" w:rsidRPr="001A7B35" w:rsidRDefault="00B32221">
      <w:pPr>
        <w:jc w:val="right"/>
      </w:pPr>
    </w:p>
    <w:p w:rsidR="00B32221" w:rsidRPr="001A7B35" w:rsidRDefault="00B32221">
      <w:pPr>
        <w:jc w:val="right"/>
      </w:pPr>
    </w:p>
    <w:p w:rsidR="00B32221" w:rsidRPr="001A7B35" w:rsidRDefault="00B32221">
      <w:pPr>
        <w:jc w:val="right"/>
      </w:pPr>
    </w:p>
    <w:p w:rsidR="00B32221" w:rsidRPr="001A7B35" w:rsidRDefault="001A7B35">
      <w:pPr>
        <w:jc w:val="center"/>
      </w:pPr>
      <w:r w:rsidRPr="001A7B35">
        <w:rPr>
          <w:sz w:val="22"/>
        </w:rPr>
        <w:t>JULIANA DA SILVA ELISIÁRIO MEN</w:t>
      </w:r>
    </w:p>
    <w:p w:rsidR="00B32221" w:rsidRPr="001A7B35" w:rsidRDefault="001A7B35">
      <w:pPr>
        <w:jc w:val="center"/>
      </w:pPr>
      <w:r w:rsidRPr="001A7B35">
        <w:rPr>
          <w:sz w:val="22"/>
        </w:rPr>
        <w:t>Departamento de Licitações.</w:t>
      </w:r>
    </w:p>
    <w:p w:rsidR="00B32221" w:rsidRPr="001A7B35" w:rsidRDefault="00B32221">
      <w:pPr>
        <w:jc w:val="center"/>
      </w:pPr>
    </w:p>
    <w:sectPr w:rsidR="00B32221" w:rsidRPr="001A7B35" w:rsidSect="001A7B35">
      <w:headerReference w:type="default" r:id="rId8"/>
      <w:pgSz w:w="11899" w:h="16841"/>
      <w:pgMar w:top="1440" w:right="1080" w:bottom="1440" w:left="108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A7B35">
      <w:r>
        <w:separator/>
      </w:r>
    </w:p>
  </w:endnote>
  <w:endnote w:type="continuationSeparator" w:id="0">
    <w:p w:rsidR="00000000" w:rsidRDefault="001A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A7B35">
      <w:r>
        <w:separator/>
      </w:r>
    </w:p>
  </w:footnote>
  <w:footnote w:type="continuationSeparator" w:id="0">
    <w:p w:rsidR="00000000" w:rsidRDefault="001A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15" w:type="dxa"/>
      <w:jc w:val="center"/>
      <w:tblLayout w:type="fixed"/>
      <w:tblCellMar>
        <w:left w:w="105" w:type="dxa"/>
        <w:right w:w="105" w:type="dxa"/>
      </w:tblCellMar>
      <w:tblLook w:val="04A0" w:firstRow="1" w:lastRow="0" w:firstColumn="1" w:lastColumn="0" w:noHBand="0" w:noVBand="1"/>
    </w:tblPr>
    <w:tblGrid>
      <w:gridCol w:w="230"/>
      <w:gridCol w:w="9385"/>
    </w:tblGrid>
    <w:tr w:rsidR="00B32221">
      <w:trPr>
        <w:trHeight w:val="1410"/>
        <w:jc w:val="center"/>
      </w:trPr>
      <w:tc>
        <w:tcPr>
          <w:tcW w:w="210" w:type="dxa"/>
        </w:tcPr>
        <w:p w:rsidR="00B32221" w:rsidRDefault="00B32221" w:rsidP="001A7B35"/>
      </w:tc>
      <w:tc>
        <w:tcPr>
          <w:tcW w:w="9990" w:type="dxa"/>
        </w:tcPr>
        <w:p w:rsidR="00B32221" w:rsidRDefault="001A7B35">
          <w:pPr>
            <w:keepNext/>
            <w:widowControl/>
            <w:ind w:right="-45"/>
            <w:jc w:val="center"/>
            <w:outlineLvl w:val="1"/>
          </w:pPr>
          <w:r>
            <w:rPr>
              <w:noProof/>
            </w:rPr>
            <w:drawing>
              <wp:inline distT="0" distB="0" distL="0" distR="0">
                <wp:extent cx="5848350" cy="876300"/>
                <wp:effectExtent l="0" t="0" r="0" b="0"/>
                <wp:docPr id="7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4835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32221" w:rsidRDefault="00B32221" w:rsidP="001A7B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D76B11"/>
    <w:multiLevelType w:val="multilevel"/>
    <w:tmpl w:val="6D62B1A6"/>
    <w:lvl w:ilvl="0">
      <w:start w:val="4"/>
      <w:numFmt w:val="decimal"/>
      <w:lvlText w:val="%1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221"/>
    <w:rsid w:val="001A7B35"/>
    <w:rsid w:val="002C5763"/>
    <w:rsid w:val="009269F2"/>
    <w:rsid w:val="00B24E1C"/>
    <w:rsid w:val="00B32221"/>
    <w:rsid w:val="00CA4A38"/>
    <w:rsid w:val="00D9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BF2B6"/>
  <w15:docId w15:val="{973EE8EC-C02C-46AF-88B5-97D8615E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07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0791"/>
  </w:style>
  <w:style w:type="paragraph" w:styleId="Rodap">
    <w:name w:val="footer"/>
    <w:basedOn w:val="Normal"/>
    <w:link w:val="RodapChar"/>
    <w:uiPriority w:val="99"/>
    <w:unhideWhenUsed/>
    <w:rsid w:val="00D907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0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2016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2025-07-07T17:26:00Z</cp:lastPrinted>
  <dcterms:created xsi:type="dcterms:W3CDTF">2025-07-07T17:01:00Z</dcterms:created>
  <dcterms:modified xsi:type="dcterms:W3CDTF">2025-07-07T17:26:00Z</dcterms:modified>
</cp:coreProperties>
</file>