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outlineLvl w:val="0"/>
        <w:keepLines/>
        <w:keepNext/>
        <w:widowControl/>
        <w:ind w:right="1305"/>
        <w:tabs>
          <w:tab w:val="left" w:pos="795"/>
          <w:tab w:val="left" w:pos="4170"/>
          <w:tab w:val="left" w:pos="10755"/>
        </w:tabs>
      </w:pPr>
      <w:bookmarkStart w:id="0" w:name="MAPA_DE_RISCO"/>
      <w:bookmarkEnd w:id="0"/>
      <w:r>
        <w:rPr>
          <w:b/>
          <w:u w:val="single" w:color="000000"/>
          <w:sz w:val="22"/>
        </w:rPr>
        <w:t>MAPA DE RISCO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>O SERVIÇO AUTÕNOMO MUNICIPAL DE ÁGUA E ESGOTO - SAMAE de Japurá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sobrepreço e superfaturamento quando das execuções contratuais; prevenir e reprimir práticas corruptas, práticas fraudulentas, práticas colusivas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>
        <w:rPr>
          <w:sz w:val="22"/>
          <w:shd w:val="clear" w:color="auto" w:fill="FFFFFF"/>
        </w:rPr>
        <w:t>ões e as contratações, como, dentre outros.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Para a contratação foram encontrados os r</w:t>
      </w:r>
      <w:r>
        <w:rPr>
          <w:rFonts w:ascii="Times New Roman" w:hAnsi="Times New Roman" w:cs="Times New Roman" w:eastAsia="Times New Roman"/>
          <w:b/>
          <w:sz w:val="24"/>
        </w:rPr>
        <w:t>iscos ambientais como emissões de poluentes</w:t>
      </w:r>
      <w:r>
        <w:rPr>
          <w:rFonts w:ascii="Times New Roman" w:hAnsi="Times New Roman" w:cs="Times New Roman" w:eastAsia="Times New Roman"/>
          <w:sz w:val="24"/>
        </w:rPr>
        <w:t>: O uso de Diesel S10, apesar de possuir um baixo teor de enxofre, ainda emite gases poluentes que podem impactar negativamente o meio ambiente.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after="105" w:lineRule="exact" w:line="240"/>
      </w:pPr>
      <w:r>
        <w:rPr>
          <w:rFonts w:ascii="Times New Roman" w:hAnsi="Times New Roman" w:cs="Times New Roman" w:eastAsia="Times New Roman"/>
          <w:b/>
          <w:sz w:val="24"/>
        </w:rPr>
        <w:t>Derramamento de óleo diesel,</w:t>
      </w:r>
      <w:r>
        <w:rPr>
          <w:rFonts w:ascii="Times New Roman" w:hAnsi="Times New Roman" w:cs="Times New Roman" w:eastAsia="Times New Roman"/>
          <w:sz w:val="24"/>
        </w:rPr>
        <w:t xml:space="preserve"> vazamentos durante o transporte, armazenamento ou uso podem contaminar o solo.</w:t>
      </w:r>
    </w:p>
    <w:p>
      <w:r>
        <w:rPr>
          <w:rFonts w:ascii="Times New Roman" w:hAnsi="Times New Roman" w:cs="Times New Roman" w:eastAsia="Times New Roman"/>
          <w:b/>
          <w:sz w:val="24"/>
        </w:rPr>
        <w:t>Riscos operacionais</w:t>
      </w:r>
      <w:r>
        <w:rPr>
          <w:rFonts w:ascii="Times New Roman" w:hAnsi="Times New Roman" w:cs="Times New Roman" w:eastAsia="Times New Roman"/>
          <w:sz w:val="24"/>
        </w:rPr>
        <w:t xml:space="preserve"> a possibilidade de atrasos ou falhas no fornecimento de diesel s10 pode atrasar a perfuração dos poços artesianos.</w:t>
      </w:r>
    </w:p>
    <w:p>
      <w:r>
        <w:rPr>
          <w:rFonts w:ascii="Times New Roman" w:hAnsi="Times New Roman" w:cs="Times New Roman" w:eastAsia="Times New Roman"/>
          <w:sz w:val="24"/>
        </w:rPr>
        <w:t/>
      </w:r>
    </w:p>
    <w:p>
      <w:r>
        <w:rPr>
          <w:rFonts w:ascii="Times New Roman" w:hAnsi="Times New Roman" w:cs="Times New Roman" w:eastAsia="Times New Roman"/>
          <w:sz w:val="24"/>
        </w:rPr>
        <w:t>Os custos podem com a flutuação nos preços dos conbustiveis podem aumentar os costos.</w:t>
      </w:r>
    </w:p>
    <w:p>
      <w:pPr>
        <w:keepLines/>
        <w:keepNext/>
        <w:widowControl/>
        <w:tabs>
          <w:tab w:val="left" w:pos="10125"/>
        </w:tabs>
      </w:pPr>
      <w: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>
      <w:pPr>
        <w:jc w:val="both"/>
        <w:keepLines/>
        <w:keepNext/>
        <w:widowControl/>
        <w:tabs>
          <w:tab w:val="left" w:pos="10125"/>
        </w:tabs>
      </w:pPr>
      <w: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>
      <w:pPr>
        <w:keepLines/>
        <w:keepNext/>
        <w:widowControl/>
        <w:tabs>
          <w:tab w:val="left" w:pos="10125"/>
        </w:tabs>
      </w:pPr>
      <w: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b/>
          <w:sz w:val="22"/>
        </w:rPr>
        <w:t xml:space="preserve">OBJETO: </w:t>
      </w:r>
      <w:r>
        <w:rPr>
          <w:sz w:val="22"/>
        </w:rPr>
        <w:t>DISPENSA DE LICITAÇÃO PARA AQUISIÇÃO DE OLEO DIESEL S10 NECESSÁRIO PARA PERFURAÇÃO DOIS POÇOS ARTESIANOS, NA ESTRADA JAPURÁ E NA ESTRADA LAGOA DE CONVENIO FIRMADO ENTRE O MUNICIPIO DE JAPURÁ E IAT (INSTITUTO DE ÁGUA E TERRA) DO ESTADO DO PARANÁ.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/>
      </w:r>
    </w:p>
    <w:p>
      <w:r>
        <w:t/>
      </w:r>
    </w:p>
    <w:p>
      <w:pPr>
        <w:jc w:val="center"/>
        <w:keepLines/>
        <w:keepNext/>
        <w:widowControl/>
        <w:tabs>
          <w:tab w:val="left" w:pos="10125"/>
        </w:tabs>
      </w:pPr>
      <w:r>
        <w:rPr>
          <w:b/>
          <w:sz w:val="22"/>
        </w:rPr>
        <w:t>FASE DE PLANEJAMENTO</w:t>
      </w:r>
    </w:p>
    <w:p>
      <w:pPr>
        <w:jc w:val="center"/>
        <w:keepLines/>
        <w:keepNext/>
        <w:widowControl/>
        <w:tabs>
          <w:tab w:val="left" w:pos="10125"/>
        </w:tabs>
      </w:pPr>
      <w:r>
        <w:t/>
      </w:r>
    </w:p>
    <w:tbl>
      <w:tblPr>
        <w:tblW w:w="515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705"/>
        <w:gridCol w:w="540"/>
        <w:gridCol w:w="1485"/>
        <w:gridCol w:w="1590"/>
        <w:gridCol w:w="1200"/>
        <w:gridCol w:w="2475"/>
        <w:gridCol w:w="105"/>
        <w:gridCol w:w="1785"/>
      </w:tblGrid>
      <w:tr>
        <w:trPr>
          <w:trHeight w:val="360" w:hRule="atLeast"/>
        </w:trPr>
        <w:tc>
          <w:tcPr>
            <w:tcW w:w="5000" w:type="pct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widowControl/>
              <w:ind w:right="60"/>
            </w:pPr>
            <w:r>
              <w:rPr>
                <w:b/>
                <w:sz w:val="16"/>
              </w:rPr>
              <w:t>RISCO 01. AUSÊNCIA DE PRIORIZAÇÃO DAS AQUISIÇÕES QUE SE BASEIAM NAS AÇÕES ORGANIZACIONAIS MAIS RELEVANTES.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Pouco Provável</w:t>
            </w:r>
          </w:p>
        </w:tc>
        <w:tc>
          <w:tcPr>
            <w:tcW w:w="6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2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95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Baixo</w:t>
            </w:r>
          </w:p>
        </w:tc>
        <w:tc>
          <w:tcPr>
            <w:tcW w:w="6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2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Alto</w:t>
            </w:r>
          </w:p>
        </w:tc>
        <w:tc>
          <w:tcPr>
            <w:tcW w:w="95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65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65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7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7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  <w:tabs>
                <w:tab w:val="left" w:pos="960"/>
                <w:tab w:val="left" w:pos="2430"/>
              </w:tabs>
            </w:pPr>
            <w:r>
              <w:rPr>
                <w:sz w:val="16"/>
              </w:rPr>
              <w:t>DEFINIR METODOLOGIA DE PRIORIZAÇÃO DE  AQUISIÇÕES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rFonts w:ascii="Calibri" w:hAnsi="Calibri" w:cs="Calibri" w:eastAsia="Calibri"/>
                <w:sz w:val="16"/>
                <w:color w:val="FF0000"/>
              </w:rPr>
              <w:t>SETOR DEMANDANTE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7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8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7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  <w:tabs>
                <w:tab w:val="left" w:pos="720"/>
              </w:tabs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rFonts w:ascii="Calibri" w:hAnsi="Calibri" w:cs="Calibri" w:eastAsia="Calibri"/>
                <w:sz w:val="16"/>
                <w:color w:val="FF0000"/>
              </w:rPr>
              <w:t>SETOR DEMANDANTE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15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690"/>
        <w:gridCol w:w="555"/>
        <w:gridCol w:w="1485"/>
        <w:gridCol w:w="1590"/>
        <w:gridCol w:w="1290"/>
        <w:gridCol w:w="2490"/>
        <w:gridCol w:w="1785"/>
      </w:tblGrid>
      <w:tr>
        <w:trPr>
          <w:trHeight w:val="165" w:hRule="atLeast"/>
        </w:trPr>
        <w:tc>
          <w:tcPr>
            <w:tcW w:w="500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02.</w:t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ESTUDO TÉCNICO PRELIMINAR COM CONTEÚDO INSUFICIENTE PARA ATINGIR O OBJETIVO (MAL  ELABORADO)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Pouco Provável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2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(x) Baixo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2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Alto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6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6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7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55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7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39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7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165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7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7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widowControl/>
              <w:ind w:right="-30"/>
              <w:tabs>
                <w:tab w:val="left" w:pos="1620"/>
                <w:tab w:val="left" w:pos="3240"/>
              </w:tabs>
            </w:pPr>
            <w:r>
              <w:rPr>
                <w:sz w:val="16"/>
              </w:rPr>
              <w:t>REALIZAR ANÁLISE, CONFERÊNCIA E REVISÃO DOS ESTUDOS TÉCNICOS PRELIMINARES APRESENTADOS.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15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795"/>
        <w:gridCol w:w="465"/>
        <w:gridCol w:w="1485"/>
        <w:gridCol w:w="1590"/>
        <w:gridCol w:w="1290"/>
        <w:gridCol w:w="2475"/>
        <w:gridCol w:w="1785"/>
      </w:tblGrid>
      <w:tr>
        <w:trPr>
          <w:trHeight w:val="360" w:hRule="atLeast"/>
        </w:trPr>
        <w:tc>
          <w:tcPr>
            <w:tcW w:w="500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03. ELABORAÇÃO DE TERMO DE REFERÊNCIA INADEQUADO, QUE NÃO PERMITE A SELEÇÃO DA PROPOSTA MAIS VANTAJOSA (INCOMPLETO OU INCONSISTENTE).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(x)) Pouco Provável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2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(x)  Mto Baixo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2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Alto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6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3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6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DESPERDÍCIO DE RECURSOS PÚBLICOS, RESULTANDO NUMA MÁ CONTRATAÇÃO OU ATÉ MESMO INVIABILIZANDO-A.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31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widowControl/>
              <w:ind w:right="135"/>
            </w:pPr>
            <w:r>
              <w:rPr>
                <w:sz w:val="16"/>
              </w:rPr>
              <w:t>NOMEAÇÃO DE SERVIDORES  COM CONHECIMENTO TÉCNICO DO OBJETO, DA LEGISLAÇÃO ESPECÍFICA E DOS PROCEDIMENTOS DA CONTRATAÇÃO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28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widowControl/>
              <w:ind w:right="135"/>
            </w:pPr>
            <w:r>
              <w:rPr>
                <w:sz w:val="16"/>
              </w:rPr>
              <w:t>REMANEJAMENTO DO QUADRO DE PESSOAL DO ÓRGÃO, EVITANDO SOBRECARGA DE TRABALHO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widowControl/>
              <w:ind w:right="-30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SETOR DEMANDANTE</w:t>
            </w:r>
          </w:p>
        </w:tc>
      </w:tr>
      <w:tr>
        <w:trPr>
          <w:trHeight w:val="43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6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REALIZAR ANÁLISE, CONFERÊNCIA E REVISÃO DOS TERMOS DE REFERÊNCIA/ESTUDOS APRESENTADOS.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30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690"/>
        <w:gridCol w:w="675"/>
        <w:gridCol w:w="1365"/>
        <w:gridCol w:w="1470"/>
        <w:gridCol w:w="1860"/>
        <w:gridCol w:w="1575"/>
        <w:gridCol w:w="2040"/>
        <w:gridCol w:w="495"/>
      </w:tblGrid>
      <w:tr>
        <w:trPr>
          <w:trHeight w:val="285" w:hRule="atLeast"/>
        </w:trPr>
        <w:tc>
          <w:tcPr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widowControl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vMerge w:val="restart"/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pPr>
              <w:widowControl/>
            </w:pPr>
            <w:r>
              <w:t/>
            </w:r>
          </w:p>
        </w:tc>
      </w:tr>
      <w:tr>
        <w:trPr>
          <w:trHeight w:val="165" w:hRule="atLeast"/>
        </w:trPr>
        <w:tc>
          <w:tcPr>
            <w:tcW w:w="55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(x) Pouco Provável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  <w:tc>
          <w:tcPr>
            <w:vMerge/>
            <w:tcW w:w="250" w:type="pct"/>
            <w:tcBorders>
              <w:left w:val="nil"/>
              <w:top w:val="nil"/>
              <w:right w:val="nil"/>
              <w:bottom w:val="nil"/>
            </w:tcBorders>
          </w:tcPr>
          <w:p/>
        </w:tc>
      </w:tr>
      <w:tr>
        <w:trPr>
          <w:trHeight w:val="270" w:hRule="atLeast"/>
        </w:trPr>
        <w:tc>
          <w:tcPr>
            <w:tcW w:w="55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Baixo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Alto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45"/>
            </w:pPr>
            <w:r>
              <w:rPr>
                <w:b/>
                <w:sz w:val="16"/>
              </w:rPr>
              <w:t xml:space="preserve"> (    ) Muito Alto</w:t>
            </w:r>
          </w:p>
        </w:tc>
        <w:tc>
          <w:tcPr>
            <w:vMerge/>
            <w:tcW w:w="250" w:type="pct"/>
            <w:tcBorders>
              <w:left w:val="nil"/>
              <w:top w:val="nil"/>
              <w:right w:val="nil"/>
              <w:bottom w:val="nil"/>
            </w:tcBorders>
          </w:tcPr>
          <w:p/>
        </w:tc>
      </w:tr>
      <w:tr>
        <w:trPr>
          <w:trHeight w:val="15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2700" w:type="pct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rFonts w:ascii="Calibri" w:hAnsi="Calibri" w:cs="Calibri" w:eastAsia="Calibri"/>
                <w:sz w:val="16"/>
                <w:color w:val="FF0000"/>
              </w:rPr>
              <w:t>SETOR DEMANDANTE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05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rFonts w:ascii="Calibri" w:hAnsi="Calibri" w:cs="Calibri" w:eastAsia="Calibri"/>
                <w:sz w:val="16"/>
                <w:color w:val="FF0000"/>
              </w:rPr>
              <w:t>SETOR DEMANDANTE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4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PREVISÃO DE METODOLOGIA PARA A REALIZAÇÃO DE PESQUISA DE PREÇOS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DIRETOR DO SAMAE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25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3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sz w:val="16"/>
                <w:color w:val="FF0000"/>
              </w:rPr>
              <w:t>SETOR DEMANDANTE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645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rFonts w:ascii="Calibri" w:hAnsi="Calibri" w:cs="Calibri" w:eastAsia="Calibri"/>
                <w:sz w:val="16"/>
                <w:color w:val="FF0000"/>
              </w:rPr>
              <w:t>SETOR DEMANDANTE</w:t>
            </w:r>
          </w:p>
        </w:tc>
        <w:tc>
          <w:tcPr>
            <w:tcW w:w="250" w:type="pct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jc w:val="center"/>
        <w:widowControl/>
        <w:ind w:right="15"/>
        <w:spacing w:before="45"/>
      </w:pPr>
      <w:r>
        <w:rPr>
          <w:b/>
          <w:sz w:val="22"/>
        </w:rPr>
        <w:t xml:space="preserve"> ANÁLISE - SELEÇÃO DO FORNECEDOR</w:t>
      </w:r>
    </w:p>
    <w:tbl>
      <w:tblPr>
        <w:tblW w:w="515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795"/>
        <w:gridCol w:w="405"/>
        <w:gridCol w:w="1575"/>
        <w:gridCol w:w="1770"/>
        <w:gridCol w:w="3255"/>
        <w:gridCol w:w="2085"/>
      </w:tblGrid>
      <w:tr>
        <w:trPr>
          <w:trHeight w:val="285" w:hRule="atLeast"/>
        </w:trPr>
        <w:tc>
          <w:tcPr>
            <w:tcW w:w="50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Pouco Provável</w:t>
            </w:r>
          </w:p>
        </w:tc>
        <w:tc>
          <w:tcPr>
            <w:tcW w:w="1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(x)  Mto Baixo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55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NÃO OBTENÇÃO DO OBJETO CONTRATADO E DESCUMPRIMENTO, PELA CONTRATADA, DAS OBRIGAÇÕES PREVISTAS EM LEGISLAÇÃO ESPECÍFICA E NO CONTRATO.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450" w:type="pct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t/>
            </w:r>
          </w:p>
        </w:tc>
      </w:tr>
      <w:tr>
        <w:trPr>
          <w:trHeight w:val="34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450" w:type="pct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ANALISAR CRITERIOSAMENTE OS CRITÉRIOS DE QUALIFICAÇÃO ECONÔMICO-FINANCEIRA DA EMPRESA LICITANTE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37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450" w:type="pct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nil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31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450" w:type="pct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6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3450" w:type="pct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ANÁLISE CRITERIOSA DA QUALIFICAÇÃO ECONÔMICO- FINANCEIRA DA LICITANTE POR SERVIDOR COM CONHECIMENTO TÉCNICO EM CONTABILIDADE E EM BALANÇOS PATRIMINIAIS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AGENTE DE CONTRATAÇÃO / CONTABILIDADE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15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810"/>
        <w:gridCol w:w="465"/>
        <w:gridCol w:w="1305"/>
        <w:gridCol w:w="1905"/>
        <w:gridCol w:w="1410"/>
        <w:gridCol w:w="1890"/>
        <w:gridCol w:w="195"/>
        <w:gridCol w:w="1905"/>
      </w:tblGrid>
      <w:tr>
        <w:trPr>
          <w:trHeight w:val="465" w:hRule="atLeast"/>
        </w:trPr>
        <w:tc>
          <w:tcPr>
            <w:tcW w:w="5000" w:type="pct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02. QUESTIONAMENTOS NO CERTAME (RECURSOS, IMPUGNAÇÕES) E JUNTO A ÓRGÃOS EXTERNOS (PODER JUDICIÁRIO, TCU)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(x) Pouco Provável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10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(x) Mto Baixo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Alto</w:t>
            </w:r>
          </w:p>
        </w:tc>
        <w:tc>
          <w:tcPr>
            <w:tcW w:w="10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55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55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36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SETOR DEMANDANTE</w:t>
            </w:r>
          </w:p>
        </w:tc>
      </w:tr>
      <w:tr>
        <w:trPr>
          <w:trHeight w:val="6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35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CRIAR UM NÍVEL DE REVISÃO E SUPERVISÃO DOS EDITAIS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widowControl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15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705"/>
        <w:gridCol w:w="675"/>
        <w:gridCol w:w="1305"/>
        <w:gridCol w:w="2010"/>
        <w:gridCol w:w="1095"/>
        <w:gridCol w:w="2100"/>
        <w:gridCol w:w="1995"/>
      </w:tblGrid>
      <w:tr>
        <w:trPr>
          <w:trHeight w:val="285" w:hRule="atLeast"/>
        </w:trPr>
        <w:tc>
          <w:tcPr>
            <w:tcW w:w="500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Pouco Provável</w:t>
            </w:r>
          </w:p>
        </w:tc>
        <w:tc>
          <w:tcPr>
            <w:tcW w:w="5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6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(x) Baixo</w:t>
            </w:r>
          </w:p>
        </w:tc>
        <w:tc>
          <w:tcPr>
            <w:tcW w:w="5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Alto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Muito Alto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6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6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PREVISÃO DE LEVANTAMENTO DE MERCADO COMO UMAS DAS FASES DO ESTUDO TÉCNICO PRELIMINAR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SETOR DEMANDANTE</w:t>
            </w:r>
          </w:p>
        </w:tc>
      </w:tr>
      <w:tr>
        <w:trPr>
          <w:trHeight w:val="27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60" w:hRule="atLeast"/>
        </w:trP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ind w:right="15"/>
              <w:spacing w:before="45"/>
            </w:pPr>
            <w:r>
              <w:rPr>
                <w:sz w:val="16"/>
                <w:color w:val="FF0000"/>
              </w:rPr>
              <w:t>SETOR DEMANDANTE</w:t>
            </w:r>
            <w:r>
              <w:rPr>
                <w:sz w:val="16"/>
              </w:rPr>
              <w:t>/SETOR DE LICITAÇÕES</w:t>
            </w:r>
          </w:p>
        </w:tc>
      </w:tr>
    </w:tbl>
    <w:p>
      <w:r>
        <w:t/>
      </w:r>
    </w:p>
    <w:p>
      <w:pPr>
        <w:jc w:val="center"/>
        <w:widowControl/>
        <w:ind w:right="15"/>
        <w:spacing w:before="45"/>
      </w:pPr>
      <w:r>
        <w:rPr>
          <w:b/>
          <w:sz w:val="22"/>
        </w:rPr>
        <w:t>FASE DE CONTRATAÇÃO</w:t>
      </w:r>
    </w:p>
    <w:tbl>
      <w:tblPr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275"/>
        <w:gridCol w:w="1830"/>
        <w:gridCol w:w="1605"/>
        <w:gridCol w:w="1500"/>
        <w:gridCol w:w="1560"/>
        <w:gridCol w:w="1830"/>
      </w:tblGrid>
      <w:tr>
        <w:trPr>
          <w:trHeight w:val="285" w:hRule="atLeast"/>
        </w:trPr>
        <w:tc>
          <w:tcPr>
            <w:tcW w:w="96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  <w:shd w:val="clear" w:color="auto" w:fill="C0C0C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>
        <w:trPr>
          <w:trHeight w:val="270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x  )  Raro</w:t>
            </w:r>
          </w:p>
        </w:tc>
        <w:tc>
          <w:tcPr>
            <w:tcW w:w="16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Pouco Provável</w:t>
            </w:r>
          </w:p>
        </w:tc>
        <w:tc>
          <w:tcPr>
            <w:tcW w:w="15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5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10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x)  Mto Baixo</w:t>
            </w:r>
          </w:p>
        </w:tc>
        <w:tc>
          <w:tcPr>
            <w:tcW w:w="16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50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Médio</w:t>
            </w:r>
          </w:p>
        </w:tc>
        <w:tc>
          <w:tcPr>
            <w:tcW w:w="15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Alto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8325" w:type="dxa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75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8325" w:type="dxa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</w:pPr>
            <w:r>
              <w:rPr>
                <w:sz w:val="16"/>
              </w:rPr>
              <w:t>PROBLEMAS CONSTANTES NA EXECUÇÃO DO OBJETO, QUER POR FALTA, QUER POR EXCESSO DE CLÁUSULAS CONTRATUAIS.</w:t>
            </w:r>
          </w:p>
        </w:tc>
      </w:tr>
      <w:tr>
        <w:trPr>
          <w:trHeight w:val="270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6495" w:type="dxa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00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495" w:type="dxa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150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SETOR DE LICITAÇÕES</w:t>
            </w:r>
          </w:p>
        </w:tc>
      </w:tr>
      <w:tr>
        <w:trPr>
          <w:trHeight w:val="270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6495" w:type="dxa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495" w:type="dxa"/>
            <w:gridSpan w:val="4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CRIAR NÍVEL DE REVISÃO NOS PROCEDIMENTOS DE ELABORAÇÃO DE MINUTA CONTRATUAL E CONTRATO PROPRIAMENTE DITO.</w:t>
            </w:r>
          </w:p>
        </w:tc>
        <w:tc>
          <w:tcPr>
            <w:tcW w:w="18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690"/>
        <w:gridCol w:w="645"/>
        <w:gridCol w:w="1080"/>
        <w:gridCol w:w="1230"/>
        <w:gridCol w:w="1005"/>
        <w:gridCol w:w="2055"/>
        <w:gridCol w:w="2895"/>
      </w:tblGrid>
      <w:tr>
        <w:trPr>
          <w:trHeight w:val="285" w:hRule="atLeast"/>
        </w:trPr>
        <w:tc>
          <w:tcPr>
            <w:tcW w:w="500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>
        <w:trPr>
          <w:trHeight w:val="270" w:hRule="atLeast"/>
        </w:trPr>
        <w:tc>
          <w:tcPr>
            <w:tcW w:w="85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x) Pouco Provável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85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7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x ) Baixo</w:t>
            </w:r>
          </w:p>
        </w:tc>
        <w:tc>
          <w:tcPr>
            <w:tcW w:w="6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Alto</w:t>
            </w:r>
          </w:p>
        </w:tc>
        <w:tc>
          <w:tcPr>
            <w:tcW w:w="10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55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NÃO ACOMPANHAMENTO DE VÁRIOS ASPECTOS IMPORTANTES DA CONTRATAÇÃO OU RECEBIMENTO DE SERVIÇOS EM DESCONFORMIDADE COM ESPECIFICAÇÕES TÉCNICAS</w:t>
            </w:r>
          </w:p>
        </w:tc>
      </w:tr>
      <w:tr>
        <w:trPr>
          <w:trHeight w:val="270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1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35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DISTRIBUIÇÃO MAIS EQUITATIVA DE CONTRATOS A SEREM FISCALIZADOS ENTRE OS VÁRIOS SERVIDORES DO TRIBUNAL</w:t>
            </w:r>
          </w:p>
        </w:tc>
        <w:tc>
          <w:tcPr>
            <w:tcW w:w="1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GESTOR DE CONTRATOS</w:t>
            </w:r>
          </w:p>
        </w:tc>
      </w:tr>
      <w:tr>
        <w:trPr>
          <w:trHeight w:val="225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1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270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1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50" w:hRule="atLeast"/>
        </w:trPr>
        <w:tc>
          <w:tcPr>
            <w:tcW w:w="4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A INDICAÇÃO DO FISCAL DEVE RECAIR SOBRE SERVIDOR COM COMPETÊNCIAS E CAPACIDADE PARA FISCALIZAR O OBJETO.</w:t>
            </w:r>
          </w:p>
        </w:tc>
        <w:tc>
          <w:tcPr>
            <w:tcW w:w="1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SETOR DEMANDANTE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tbl>
      <w:tblPr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780"/>
        <w:gridCol w:w="645"/>
        <w:gridCol w:w="1545"/>
        <w:gridCol w:w="1635"/>
        <w:gridCol w:w="2010"/>
        <w:gridCol w:w="1155"/>
        <w:gridCol w:w="1830"/>
      </w:tblGrid>
      <w:tr>
        <w:trPr>
          <w:trHeight w:val="285" w:hRule="atLeast"/>
        </w:trPr>
        <w:tc>
          <w:tcPr>
            <w:tcW w:w="5000" w:type="pct"/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>
        <w:trPr>
          <w:trHeight w:val="270" w:hRule="atLeast"/>
        </w:trPr>
        <w:tc>
          <w:tcPr>
            <w:tcW w:w="7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8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x) Pouco Provável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6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700" w:type="pct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8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(  x )  Mto Baixo</w:t>
            </w:r>
          </w:p>
        </w:tc>
        <w:tc>
          <w:tcPr>
            <w:tcW w:w="8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0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6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 ) Alto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46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600" w:type="pct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2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A INDICAÇÃO DO FISCAL DEVE RECAIR SOBRE SERVIDOR COM COMPETÊNCIAS E CAPACIDADE PARA FISCALIZAR O OBJETO.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21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DIRETOR DO SAMAE</w:t>
            </w:r>
          </w:p>
        </w:tc>
      </w:tr>
      <w:tr>
        <w:trPr>
          <w:trHeight w:val="27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390" w:hRule="atLeast"/>
        </w:trPr>
        <w:tc>
          <w:tcPr>
            <w:tcW w:w="4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t/>
            </w:r>
          </w:p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600" w:type="pct"/>
            <w:gridSpan w:val="5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widowControl/>
              <w:ind w:right="-30"/>
            </w:pPr>
            <w:r>
              <w:rPr>
                <w:sz w:val="16"/>
              </w:rPr>
              <w:t>DISTRIBUIÇÃO MAIS EQUITATIVA DE CONTRATOS A SEREM FISCALIZADOS ENTRE OS SERVIDORES ENVOLVIDOS</w:t>
            </w:r>
          </w:p>
        </w:tc>
        <w:tc>
          <w:tcPr>
            <w:tcW w:w="9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widowControl/>
              <w:ind w:right="-30"/>
            </w:pPr>
            <w:r>
              <w:rPr>
                <w:sz w:val="16"/>
                <w:color w:val="FF0000"/>
              </w:rPr>
              <w:t>GESTOR DE CONTRATOS</w:t>
            </w:r>
          </w:p>
        </w:tc>
      </w:tr>
    </w:tbl>
    <w:p>
      <w:pPr>
        <w:keepLines/>
        <w:keepNext/>
        <w:widowControl/>
        <w:ind w:right="-30"/>
      </w:pPr>
      <w:r>
        <w:t/>
      </w:r>
    </w:p>
    <w:p>
      <w:pPr>
        <w:jc w:val="right"/>
        <w:keepLines/>
        <w:keepNext/>
        <w:widowControl/>
        <w:ind w:right="-30"/>
      </w:pPr>
      <w:r>
        <w:rPr>
          <w:sz w:val="22"/>
        </w:rPr>
        <w:t>Japurá-Pr, treze dias de fevereiro de 2025</w:t>
      </w:r>
    </w:p>
    <w:p>
      <w:pPr>
        <w:jc w:val="right"/>
        <w:keepLines/>
        <w:keepNext/>
        <w:widowControl/>
        <w:ind w:right="-30"/>
      </w:pPr>
      <w:r>
        <w:t/>
      </w:r>
    </w:p>
    <w:p>
      <w:pPr>
        <w:jc w:val="right"/>
        <w:keepLines/>
        <w:keepNext/>
        <w:widowControl/>
        <w:ind w:right="-30"/>
      </w:pPr>
      <w:r>
        <w:t/>
      </w:r>
    </w:p>
    <w:p>
      <w:pPr>
        <w:jc w:val="right"/>
        <w:keepLines/>
        <w:keepNext/>
        <w:widowControl/>
        <w:ind w:right="-30"/>
      </w:pPr>
      <w:r>
        <w:t/>
      </w:r>
    </w:p>
    <w:p>
      <w:pPr>
        <w:jc w:val="center"/>
        <w:keepLines/>
        <w:keepNext/>
        <w:widowControl/>
        <w:ind w:right="-30"/>
      </w:pPr>
      <w:r>
        <w:rPr>
          <w:i/>
          <w:sz w:val="22"/>
        </w:rPr>
        <w:t>MARCOS ROGÉRIO BOSSO</w:t>
      </w:r>
    </w:p>
    <w:sectPr>
      <w:headerReference w:type="default" r:id="rIdHF0"/>
      <w:footerReference w:type="default" r:id="rIdHF1"/>
      <w:pgSz w:w="11899" w:h="16841"/>
      <w:pgMar w:top="283" w:right="1134" w:bottom="283" w:left="113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Calibri">
    <w:charset w:val="00"/>
  </w:font>
  <w:font w:name="Times New Roman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outlineLvl w:val="0"/>
      <w:keepLines/>
      <w:keepNext/>
      <w:ind w:right="1305"/>
    </w:pPr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tbl>
    <w:tblPr>
      <w:tblW w:w="9615" w:type="dxa"/>
      <w:jc w:val="center"/>
      <w:tblLayout w:type="fixed"/>
      <w:tblCellMar>
        <w:top w:w="0" w:type="dxa"/>
        <w:left w:w="105" w:type="dxa"/>
        <w:bottom w:w="0" w:type="dxa"/>
        <w:right w:w="105" w:type="dxa"/>
      </w:tblCellMar>
      <w:tblInd w:w="15" w:type="dxa"/>
    </w:tblPr>
    <w:tblGrid>
      <w:gridCol w:w="210"/>
      <w:gridCol w:w="10005"/>
    </w:tblGrid>
    <w:tr>
      <w:trPr>
        <w:trHeight w:val="1410" w:hRule="atLeast"/>
      </w:trPr>
      <w:tc>
        <w:tcPr>
          <w:tcW w:w="210" w:type="dxa"/>
        </w:tcPr>
        <w:p>
          <w:pPr>
            <w:widowControl/>
          </w:pPr>
          <w:r>
            <w:rPr>
              <w:rFonts w:ascii="Calibri" w:hAnsi="Calibri" w:cs="Calibri" w:eastAsia="Calibri"/>
              <w:sz w:val="2"/>
            </w:rPr>
            <w:t/>
          </w:r>
        </w:p>
      </w:tc>
      <w:tc>
        <w:tcPr>
          <w:tcW w:w="10005" w:type="dxa"/>
        </w:tcPr>
        <w:p>
          <w:pPr>
            <w:jc w:val="center"/>
            <w:ind w:left="15"/>
          </w:pPr>
          <w:r>
            <w:drawing>
              <wp:inline distT="0" distB="0" distL="0" distR="0">
                <wp:extent cx="6191250" cy="87630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png"/>
                        <pic:cNvPicPr/>
                      </pic:nvPicPr>
                      <pic:blipFill>
                        <a:blip r:embed="p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widowControl/>
      <w:spacing w:after="165" w:lineRule="auto" w:line="252"/>
    </w:pPr>
    <w:r>
      <w:rPr>
        <w:rFonts w:ascii="Calibri" w:hAnsi="Calibri" w:cs="Calibri" w:eastAsia="Calibri"/>
        <w:sz w:val="22"/>
      </w:rP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