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1"/>
        <w:keepNext w:val="false"/>
        <w:keepLines w:val="false"/>
        <w:pageBreakBefore w:val="false"/>
        <w:widowControl/>
        <w:pBdr/>
        <w:shd w:val="clear" w:fill="auto"/>
        <w:spacing w:lineRule="auto" w:line="240" w:before="0" w:after="0"/>
        <w:ind w:left="0" w:right="0" w:hanging="0"/>
        <w:jc w:val="left"/>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PREFEITURA MUNICIPAL DE GRÃO PARÁ</w:t>
      </w:r>
    </w:p>
    <w:p>
      <w:pPr>
        <w:pStyle w:val="Normal1"/>
        <w:keepNext w:val="false"/>
        <w:keepLines w:val="false"/>
        <w:pageBreakBefore w:val="false"/>
        <w:widowControl/>
        <w:pBdr/>
        <w:shd w:val="clear" w:fill="auto"/>
        <w:spacing w:lineRule="auto" w:line="240" w:before="0" w:after="0"/>
        <w:ind w:left="0" w:right="0" w:hanging="0"/>
        <w:jc w:val="left"/>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singl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ESTADO DE SANTA CATARINA</w:t>
      </w:r>
    </w:p>
    <w:p>
      <w:pPr>
        <w:pStyle w:val="Normal1"/>
        <w:jc w:val="center"/>
        <w:rPr>
          <w:rFonts w:ascii="Times New Roman" w:hAnsi="Times New Roman" w:eastAsia="Times New Roman" w:cs="Times New Roman"/>
          <w:b/>
          <w:sz w:val="20"/>
          <w:szCs w:val="20"/>
          <w:u w:val="single"/>
        </w:rPr>
      </w:pPr>
      <w:r>
        <w:rPr>
          <w:rFonts w:eastAsia="Times New Roman" w:cs="Times New Roman" w:ascii="Times New Roman" w:hAnsi="Times New Roman"/>
          <w:b/>
          <w:sz w:val="20"/>
          <w:szCs w:val="20"/>
          <w:u w:val="single"/>
        </w:rPr>
      </w:r>
    </w:p>
    <w:p>
      <w:pPr>
        <w:pStyle w:val="Normal1"/>
        <w:jc w:val="center"/>
        <w:rPr>
          <w:rFonts w:ascii="Times New Roman" w:hAnsi="Times New Roman" w:eastAsia="Times New Roman" w:cs="Times New Roman"/>
          <w:b/>
          <w:sz w:val="20"/>
          <w:szCs w:val="20"/>
          <w:u w:val="single"/>
        </w:rPr>
      </w:pPr>
      <w:r>
        <w:rPr>
          <w:rFonts w:eastAsia="Times New Roman" w:cs="Times New Roman" w:ascii="Times New Roman" w:hAnsi="Times New Roman"/>
          <w:b/>
          <w:sz w:val="20"/>
          <w:szCs w:val="20"/>
          <w:u w:val="single"/>
        </w:rPr>
        <w:t>PROCESSO LICITATÓRIO N. 74/2023</w:t>
      </w:r>
    </w:p>
    <w:p>
      <w:pPr>
        <w:pStyle w:val="Normal1"/>
        <w:jc w:val="center"/>
        <w:rPr>
          <w:rFonts w:ascii="Times New Roman" w:hAnsi="Times New Roman" w:eastAsia="Times New Roman" w:cs="Times New Roman"/>
          <w:b/>
          <w:sz w:val="20"/>
          <w:szCs w:val="20"/>
          <w:u w:val="single"/>
        </w:rPr>
      </w:pPr>
      <w:r>
        <w:rPr>
          <w:rFonts w:eastAsia="Times New Roman" w:cs="Times New Roman" w:ascii="Times New Roman" w:hAnsi="Times New Roman"/>
          <w:b/>
          <w:sz w:val="20"/>
          <w:szCs w:val="20"/>
          <w:u w:val="single"/>
        </w:rPr>
        <w:t>EDITAL DE PREGÃO ELETRÔNICO N. 12/2023</w:t>
      </w:r>
    </w:p>
    <w:p>
      <w:pPr>
        <w:pStyle w:val="Normal1"/>
        <w:jc w:val="center"/>
        <w:rPr>
          <w:rFonts w:ascii="Times New Roman" w:hAnsi="Times New Roman" w:eastAsia="Times New Roman" w:cs="Times New Roman"/>
          <w:b/>
          <w:sz w:val="20"/>
          <w:szCs w:val="20"/>
          <w:u w:val="single"/>
        </w:rPr>
      </w:pPr>
      <w:r>
        <w:rPr>
          <w:rFonts w:eastAsia="Times New Roman" w:cs="Times New Roman" w:ascii="Times New Roman" w:hAnsi="Times New Roman"/>
          <w:b/>
          <w:sz w:val="20"/>
          <w:szCs w:val="20"/>
          <w:u w:val="single"/>
        </w:rPr>
      </w:r>
    </w:p>
    <w:p>
      <w:pPr>
        <w:pStyle w:val="Normal1"/>
        <w:jc w:val="center"/>
        <w:rPr>
          <w:rFonts w:ascii="Times New Roman" w:hAnsi="Times New Roman" w:eastAsia="Times New Roman" w:cs="Times New Roman"/>
          <w:b/>
          <w:sz w:val="20"/>
          <w:szCs w:val="20"/>
          <w:u w:val="single"/>
        </w:rPr>
      </w:pPr>
      <w:r>
        <w:rPr>
          <w:rFonts w:eastAsia="Times New Roman" w:cs="Times New Roman" w:ascii="Times New Roman" w:hAnsi="Times New Roman"/>
          <w:b/>
          <w:sz w:val="20"/>
          <w:szCs w:val="20"/>
          <w:u w:val="single"/>
        </w:rPr>
        <w:t>LICITAÇÃO COM ITENS EXCLUSIVOS PARA MICROEMPRESAS E EMPRESAS DE PEQUENO PORTE NOS TERMOS DO DECRETO MUNICIPAL Nº 20/2022</w:t>
      </w:r>
    </w:p>
    <w:p>
      <w:pPr>
        <w:pStyle w:val="Normal1"/>
        <w:jc w:val="both"/>
        <w:rPr>
          <w:rFonts w:ascii="Times New Roman" w:hAnsi="Times New Roman" w:eastAsia="Times New Roman" w:cs="Times New Roman"/>
          <w:b/>
          <w:sz w:val="20"/>
          <w:szCs w:val="20"/>
          <w:u w:val="single"/>
        </w:rPr>
      </w:pPr>
      <w:r>
        <w:rPr>
          <w:rFonts w:eastAsia="Times New Roman" w:cs="Times New Roman" w:ascii="Times New Roman" w:hAnsi="Times New Roman"/>
          <w:b/>
          <w:sz w:val="20"/>
          <w:szCs w:val="20"/>
          <w:u w:val="single"/>
        </w:rPr>
      </w:r>
    </w:p>
    <w:p>
      <w:pPr>
        <w:pStyle w:val="Normal1"/>
        <w:jc w:val="both"/>
        <w:rPr/>
      </w:pPr>
      <w:r>
        <w:rPr>
          <w:rFonts w:eastAsia="Times New Roman" w:cs="Times New Roman" w:ascii="Times New Roman" w:hAnsi="Times New Roman"/>
          <w:sz w:val="20"/>
          <w:szCs w:val="20"/>
        </w:rPr>
        <w:t xml:space="preserve">Torna-se público, para conhecimento dos interessados, que a Prefeitura Municipal de Grão-Pará, sediada na Rua Barão do Rio Branco, n. 187, Centro, Grão-Pará/SC, realizará licitação, na modalidade </w:t>
      </w:r>
      <w:r>
        <w:rPr>
          <w:rFonts w:eastAsia="Times New Roman" w:cs="Times New Roman" w:ascii="Times New Roman" w:hAnsi="Times New Roman"/>
          <w:b/>
          <w:sz w:val="20"/>
          <w:szCs w:val="20"/>
        </w:rPr>
        <w:t>PREGÃO/REGISTRO DE PREÇO</w:t>
      </w:r>
      <w:r>
        <w:rPr>
          <w:rFonts w:eastAsia="Times New Roman" w:cs="Times New Roman" w:ascii="Times New Roman" w:hAnsi="Times New Roman"/>
          <w:sz w:val="20"/>
          <w:szCs w:val="20"/>
        </w:rPr>
        <w:t xml:space="preserve">, na forma </w:t>
      </w:r>
      <w:r>
        <w:rPr>
          <w:rFonts w:eastAsia="Times New Roman" w:cs="Times New Roman" w:ascii="Times New Roman" w:hAnsi="Times New Roman"/>
          <w:b/>
          <w:sz w:val="20"/>
          <w:szCs w:val="20"/>
        </w:rPr>
        <w:t>ELETRÔNICA</w:t>
      </w:r>
      <w:r>
        <w:rPr>
          <w:rFonts w:eastAsia="Times New Roman" w:cs="Times New Roman" w:ascii="Times New Roman" w:hAnsi="Times New Roman"/>
          <w:sz w:val="20"/>
          <w:szCs w:val="20"/>
        </w:rPr>
        <w:t xml:space="preserve">, com critério de julgamento </w:t>
      </w:r>
      <w:r>
        <w:rPr>
          <w:rFonts w:eastAsia="Times New Roman" w:cs="Times New Roman" w:ascii="Times New Roman" w:hAnsi="Times New Roman"/>
          <w:b/>
          <w:i/>
          <w:sz w:val="20"/>
          <w:szCs w:val="20"/>
        </w:rPr>
        <w:t>menor preço por item</w:t>
      </w:r>
      <w:r>
        <w:rPr>
          <w:rFonts w:eastAsia="Times New Roman" w:cs="Times New Roman" w:ascii="Times New Roman" w:hAnsi="Times New Roman"/>
          <w:sz w:val="20"/>
          <w:szCs w:val="20"/>
        </w:rPr>
        <w:t xml:space="preserve">, nos termos da </w:t>
      </w:r>
      <w:r>
        <w:rPr>
          <w:rFonts w:eastAsia="Times New Roman" w:cs="Times New Roman" w:ascii="Times New Roman" w:hAnsi="Times New Roman"/>
          <w:b/>
          <w:sz w:val="20"/>
          <w:szCs w:val="20"/>
          <w:u w:val="single"/>
        </w:rPr>
        <w:t>Lei nº 14.133/2021</w:t>
      </w:r>
      <w:r>
        <w:rPr>
          <w:rFonts w:eastAsia="Times New Roman" w:cs="Times New Roman" w:ascii="Times New Roman" w:hAnsi="Times New Roman"/>
          <w:sz w:val="20"/>
          <w:szCs w:val="20"/>
        </w:rPr>
        <w:t xml:space="preserve">, do Decreto nº 10.024, de 20 de setembro de 2019, do Decreto  nº 7.746, de 05 de junho de 2012, do Decreto nº 7892, de 23 de janeiro e 2013,  da Instrução Normativa SLTI/MP nº 01, de 19 de janeiro de 2010, da Instrução Normativa SEGES/MP nº 03, de 26 de abril, de 2018, da Lei Complementar n° 123, de 14 de dezembro de 2006, da Lei nº 11.488, de 15 de junho de 2007, do Decreto n° 8.538, de 06 de outubro de 2015 e as exigências estabelecidas neste Edital. </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0" w:after="120"/>
        <w:ind w:left="0" w:right="-3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RECEBIMENTO DAS PROPOSTAS: Das 13:00 h do dia 12/05/2023 às 18:00 h do dia 24/05/2023.</w:t>
      </w:r>
    </w:p>
    <w:p>
      <w:pPr>
        <w:pStyle w:val="Normal1"/>
        <w:spacing w:lineRule="auto" w:line="240" w:before="0" w:after="120"/>
        <w:ind w:left="0" w:right="-3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LIMITE PARA IMPUGNAÇÃO AO EDITAL: ATÉ AS 18:00 horas do dia 22/05/2023.</w:t>
      </w:r>
    </w:p>
    <w:p>
      <w:pPr>
        <w:pStyle w:val="Normal1"/>
        <w:spacing w:lineRule="auto" w:line="240" w:before="0" w:after="120"/>
        <w:ind w:left="0" w:right="-3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INÍCIO DA SESSÃO PÚBLICA DO PREGÃO: às 14:00 horas do dia 25/05/2023.</w:t>
      </w:r>
    </w:p>
    <w:p>
      <w:pPr>
        <w:pStyle w:val="Normal1"/>
        <w:spacing w:lineRule="auto" w:line="240" w:before="0" w:after="120"/>
        <w:ind w:left="0" w:right="-3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REFERÊNCIA DE TEMPO: horário de Brasília (DF).</w:t>
      </w:r>
    </w:p>
    <w:p>
      <w:pPr>
        <w:pStyle w:val="Normal1"/>
        <w:rPr/>
      </w:pPr>
      <w:r>
        <w:rPr>
          <w:rFonts w:eastAsia="Times New Roman" w:cs="Times New Roman" w:ascii="Times New Roman" w:hAnsi="Times New Roman"/>
          <w:b/>
          <w:sz w:val="20"/>
          <w:szCs w:val="20"/>
        </w:rPr>
        <w:t xml:space="preserve">LOCAL: Portal: Bolsa de Licitações do Brasil – BLL </w:t>
      </w:r>
      <w:hyperlink r:id="rId2">
        <w:r>
          <w:rPr>
            <w:rFonts w:eastAsia="Times New Roman" w:cs="Times New Roman" w:ascii="Times New Roman" w:hAnsi="Times New Roman"/>
            <w:b/>
            <w:color w:val="000080"/>
            <w:sz w:val="20"/>
            <w:szCs w:val="20"/>
            <w:u w:val="single"/>
          </w:rPr>
          <w:t>www.bll.org.br</w:t>
        </w:r>
      </w:hyperlink>
    </w:p>
    <w:p>
      <w:pPr>
        <w:pStyle w:val="Normal1"/>
        <w:rPr/>
      </w:pPr>
      <w:r>
        <w:rPr/>
      </w:r>
    </w:p>
    <w:p>
      <w:pPr>
        <w:pStyle w:val="Normal1"/>
        <w:keepNext w:val="true"/>
        <w:keepLines/>
        <w:pageBreakBefore w:val="false"/>
        <w:widowControl/>
        <w:numPr>
          <w:ilvl w:val="0"/>
          <w:numId w:val="2"/>
        </w:numPr>
        <w:pBdr/>
        <w:shd w:val="clear" w:fill="auto"/>
        <w:tabs>
          <w:tab w:val="clear" w:pos="720"/>
          <w:tab w:val="left" w:pos="567" w:leader="none"/>
        </w:tabs>
        <w:spacing w:lineRule="auto" w:line="240" w:before="240" w:after="0"/>
        <w:ind w:left="360" w:right="0" w:hanging="360"/>
        <w:jc w:val="both"/>
        <w:rPr>
          <w:rFonts w:ascii="Times New Roman" w:hAnsi="Times New Roman" w:eastAsia="Times New Roman" w:cs="Times New Roman"/>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DO OBJETO</w:t>
      </w:r>
    </w:p>
    <w:p>
      <w:pPr>
        <w:pStyle w:val="Normal1"/>
        <w:numPr>
          <w:ilvl w:val="1"/>
          <w:numId w:val="2"/>
        </w:numPr>
        <w:tabs>
          <w:tab w:val="clear" w:pos="720"/>
          <w:tab w:val="left" w:pos="709" w:leader="none"/>
          <w:tab w:val="left" w:pos="1560" w:leader="none"/>
          <w:tab w:val="left" w:pos="1701" w:leader="none"/>
        </w:tabs>
        <w:ind w:left="425" w:right="0" w:hanging="0"/>
        <w:jc w:val="both"/>
        <w:rPr/>
      </w:pPr>
      <w:r>
        <w:rPr>
          <w:rFonts w:eastAsia="Times New Roman" w:cs="Times New Roman" w:ascii="Times New Roman" w:hAnsi="Times New Roman"/>
          <w:b/>
          <w:sz w:val="20"/>
          <w:szCs w:val="20"/>
        </w:rPr>
        <w:t>REGISTRO DE PREÇOS PARA EVENTUAL</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 xml:space="preserve">AQUISIÇÃO DE PRODUTOS ALIMENTÍCIOS PARA O SCFV, CEIS E ESCOLA MUNICIPAL DE GRÃO-PARÁ </w:t>
      </w:r>
      <w:r>
        <w:rPr>
          <w:rFonts w:eastAsia="Times New Roman" w:cs="Times New Roman" w:ascii="Times New Roman" w:hAnsi="Times New Roman"/>
          <w:sz w:val="20"/>
          <w:szCs w:val="20"/>
        </w:rPr>
        <w:t>conforme condições, quantidades e exigências estabelecidas neste Edital com as características descritas</w:t>
      </w:r>
      <w:r>
        <w:rPr>
          <w:rFonts w:eastAsia="Times New Roman" w:cs="Times New Roman" w:ascii="Times New Roman" w:hAnsi="Times New Roman"/>
          <w:b/>
          <w:sz w:val="20"/>
          <w:szCs w:val="20"/>
        </w:rPr>
        <w:t xml:space="preserve"> </w:t>
      </w:r>
      <w:r>
        <w:rPr>
          <w:rFonts w:eastAsia="Times New Roman" w:cs="Times New Roman" w:ascii="Times New Roman" w:hAnsi="Times New Roman"/>
          <w:sz w:val="20"/>
          <w:szCs w:val="20"/>
        </w:rPr>
        <w:t>no</w:t>
      </w:r>
      <w:r>
        <w:rPr>
          <w:rFonts w:eastAsia="Times New Roman" w:cs="Times New Roman" w:ascii="Times New Roman" w:hAnsi="Times New Roman"/>
          <w:b/>
          <w:sz w:val="20"/>
          <w:szCs w:val="20"/>
        </w:rPr>
        <w:t xml:space="preserve"> ANEXO I </w:t>
      </w:r>
      <w:r>
        <w:rPr>
          <w:rFonts w:eastAsia="Times New Roman" w:cs="Times New Roman" w:ascii="Times New Roman" w:hAnsi="Times New Roman"/>
          <w:sz w:val="20"/>
          <w:szCs w:val="20"/>
        </w:rPr>
        <w:t>deste edital</w:t>
      </w:r>
      <w:r>
        <w:rPr>
          <w:rFonts w:eastAsia="Times New Roman" w:cs="Times New Roman" w:ascii="Times New Roman" w:hAnsi="Times New Roman"/>
          <w:b/>
          <w:sz w:val="20"/>
          <w:szCs w:val="20"/>
        </w:rPr>
        <w:t>.</w:t>
      </w:r>
      <w:r>
        <w:rPr>
          <w:rFonts w:eastAsia="Times New Roman" w:cs="Times New Roman" w:ascii="Times New Roman" w:hAnsi="Times New Roman"/>
          <w:sz w:val="20"/>
          <w:szCs w:val="20"/>
        </w:rPr>
        <w:t xml:space="preserve"> </w:t>
      </w:r>
    </w:p>
    <w:p>
      <w:pPr>
        <w:pStyle w:val="Normal1"/>
        <w:keepNext w:val="true"/>
        <w:keepLines/>
        <w:pageBreakBefore w:val="false"/>
        <w:widowControl/>
        <w:numPr>
          <w:ilvl w:val="1"/>
          <w:numId w:val="2"/>
        </w:numPr>
        <w:pBdr/>
        <w:shd w:val="clear" w:fill="auto"/>
        <w:tabs>
          <w:tab w:val="clear" w:pos="720"/>
          <w:tab w:val="left" w:pos="567" w:leader="none"/>
        </w:tabs>
        <w:spacing w:lineRule="auto" w:line="240" w:before="240" w:after="0"/>
        <w:ind w:left="999" w:right="0" w:hanging="432"/>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critério de julgamento adotado será o menor preço do item, observadas as exigências contidas neste Edital e seus Anexos quanto às especificações do objeto.</w:t>
      </w:r>
    </w:p>
    <w:p>
      <w:pPr>
        <w:pStyle w:val="Normal1"/>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keepNext w:val="true"/>
        <w:keepLines/>
        <w:pageBreakBefore w:val="false"/>
        <w:widowControl/>
        <w:numPr>
          <w:ilvl w:val="0"/>
          <w:numId w:val="2"/>
        </w:numPr>
        <w:pBdr/>
        <w:shd w:val="clear" w:fill="auto"/>
        <w:tabs>
          <w:tab w:val="clear" w:pos="720"/>
          <w:tab w:val="left" w:pos="567" w:leader="none"/>
        </w:tabs>
        <w:spacing w:lineRule="auto" w:line="240" w:before="240" w:after="0"/>
        <w:ind w:left="360" w:right="0" w:hanging="360"/>
        <w:jc w:val="both"/>
        <w:rPr>
          <w:rFonts w:ascii="Times New Roman" w:hAnsi="Times New Roman" w:eastAsia="Times New Roman" w:cs="Times New Roman"/>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DOS RECURSOS ORÇAMENTÁRIOS</w:t>
      </w:r>
    </w:p>
    <w:p>
      <w:pPr>
        <w:pStyle w:val="Normal1"/>
        <w:numPr>
          <w:ilvl w:val="1"/>
          <w:numId w:val="2"/>
        </w:numPr>
        <w:spacing w:lineRule="auto" w:line="240" w:before="120" w:after="120"/>
        <w:ind w:left="425" w:right="0" w:hanging="0"/>
        <w:jc w:val="both"/>
        <w:rPr/>
      </w:pPr>
      <w:r>
        <w:rPr>
          <w:rFonts w:eastAsia="Times New Roman" w:cs="Times New Roman" w:ascii="Times New Roman" w:hAnsi="Times New Roman"/>
          <w:sz w:val="20"/>
          <w:szCs w:val="20"/>
        </w:rPr>
        <w:t>As despesas pertinentes do objeto do presente Edital correrão por conta da dotação orçamentária vigente do exercício de 2023.</w:t>
      </w:r>
    </w:p>
    <w:p>
      <w:pPr>
        <w:pStyle w:val="Normal1"/>
        <w:keepNext w:val="true"/>
        <w:keepLines/>
        <w:pageBreakBefore w:val="false"/>
        <w:widowControl/>
        <w:numPr>
          <w:ilvl w:val="0"/>
          <w:numId w:val="2"/>
        </w:numPr>
        <w:pBdr/>
        <w:shd w:val="clear" w:fill="auto"/>
        <w:tabs>
          <w:tab w:val="clear" w:pos="720"/>
          <w:tab w:val="left" w:pos="567" w:leader="none"/>
        </w:tabs>
        <w:spacing w:lineRule="auto" w:line="240" w:before="240" w:after="0"/>
        <w:ind w:left="360" w:right="0" w:hanging="360"/>
        <w:jc w:val="both"/>
        <w:rPr>
          <w:rFonts w:ascii="Times New Roman" w:hAnsi="Times New Roman" w:eastAsia="Times New Roman" w:cs="Times New Roman"/>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DO CREDENCIAMENTO</w:t>
      </w:r>
    </w:p>
    <w:p>
      <w:pPr>
        <w:pStyle w:val="Normal1"/>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3.2   </w:t>
        <w:tab/>
        <w:t>Poderão participar deste Pregão Eletrônico as empresas que apresentarem toda a documentação por ela exigida para respectivo cadastramento junto à Bolsa de Licitações e Leilões, bem como o Decreto Federal nº8.538/15, da seguinte forma:</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3.2.1 Itens exclusivos (com valores máximos estimados até R$ 80.000,00 (oitenta mil reais) – destinados exclusivamente à participação de Microempresa e Empresas de Pequeno Porte, consoante art.48, inciso I da Lei Complementar nº 123, de 14 de dezembro de 2006, e alterações posteriores e o Decreto nº 8.538, de 06 de outubro de 2015.</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3.3     É vedada a participação de empresa em forma de consórcios ou grupos de empresas.</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3.5   O licitante deverá estar credenciado, de forma direta ou através de empresas associadas à Bolsa de Licitações do Brasil, até no mínimo uma hora antes do horário fixado no edital para o recebimento das propostas. </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3.6    O cadastramento do licitante deverá ser requerido acompanhado dos seguintes documentos:</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a) Instrumento particular de mandato outorgando à operador devidamente credenciado junto à Bolsa, poderes específicos de sua representação no pregão, conforme modelo fornecido pela Bolsa de Licitações do Brasil (ANEXO 04)</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b) Declaração de seu pleno conhecimento, de aceitação e de atendimento às exigências de habilitação   previstas no Edital, conforme modelo fornecido pela Bolsa de Licitações do Brasil (ANEXO 04) e </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art.24 Parágrafo 5º.</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O custo de operacionalização e uso do sistema ficará a cargo do Licitante vencedor do certame, que pagará à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3.7 </w:t>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pPr>
        <w:pStyle w:val="Normal1"/>
        <w:rPr>
          <w:rFonts w:ascii="Times New Roman" w:hAnsi="Times New Roman" w:eastAsia="Times New Roman" w:cs="Times New Roman"/>
        </w:rPr>
      </w:pPr>
      <w:r>
        <w:rPr>
          <w:rFonts w:eastAsia="Times New Roman" w:cs="Times New Roman" w:ascii="Times New Roman" w:hAnsi="Times New Roman"/>
          <w:b/>
          <w:sz w:val="20"/>
          <w:szCs w:val="20"/>
        </w:rPr>
        <w:t>4.         REGULAMENTO OPERACIONAL DO CERTAME</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4.1   O certame será conduzido pelo Pregoeiro, com o auxílio da equipe de apoio, que terá, em especial, as seguintes atribuições:</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a) acompanhar os trabalhos da equipe de apoio;</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b) responder as questões formuladas pelos fornecedores, relativas ao certame;</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c) abrir as propostas de preços;</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d) analisar a aceitabilidade das propostas;</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e) desclassificar propostas indicando os motivos;</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f) conduzir os procedimentos relativos aos lances e à escolha da proposta do lance de menor preço;</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g) verificar a habilitação do proponente classificado em primeiro lugar;</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h) declarar o vencedor;</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i) receber, examinar e decidir sobre a pertinência dos recursos;</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j) elaborar a ata da sessão;</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k) encaminhar o processo à autoridade superior para homologar e autorizar a contratação;</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l) abrir processo administrativo para apuração de irregularidades visando a aplicação de penalidades previstas na legislação.</w:t>
      </w:r>
    </w:p>
    <w:p>
      <w:pPr>
        <w:pStyle w:val="Normal1"/>
        <w:rPr>
          <w:rFonts w:ascii="Times New Roman" w:hAnsi="Times New Roman" w:eastAsia="Times New Roman" w:cs="Times New Roman"/>
        </w:rPr>
      </w:pPr>
      <w:r>
        <w:rPr>
          <w:rFonts w:eastAsia="Times New Roman" w:cs="Times New Roman" w:ascii="Times New Roman" w:hAnsi="Times New Roman"/>
          <w:b/>
          <w:sz w:val="20"/>
          <w:szCs w:val="20"/>
        </w:rPr>
        <w:t>CREDENCIAMENTO NO SISTEMA LICITAÇÕES DA BOLSA DE LICITAÇÕES E LEILÕES:</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4.3 </w:t>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4.4 </w:t>
        <w:tab/>
        <w:t xml:space="preserve">O acesso do operador ao pregão, para efeito de encaminhamento de proposta de preço e lances sucessivos de preços, em nome do licitante, somente se dará mediante prévia definição de senha privativa.                                                                                           </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4.5 </w:t>
        <w:tab/>
        <w:t>A chave de identificação e a senha dos operadores poderão ser utilizadas em qualquer pregão eletrônico, salvo quando canceladas por solicitação do credenciado ou por iniciativa da BLL - Bolsa De Licitações do Brasil.</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4.6 </w:t>
        <w:tab/>
        <w:t>É de exclusiva responsabilidade do usuário o sigilo da senha, bem como seu uso em qualquer transação efetuada diretamente ou por seu representante, não cabendo à BLL - Bolsa de Licitações do Brasil a responsabilidade por eventuais danos decorrentes de uso indevido da senha, ainda que por terceiros.</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4.7 </w:t>
        <w:tab/>
        <w:t>O credenciamento do fornecedor e de seu representante legal junto ao sistema eletrônico implica a responsabilidade legal pelos atos praticados e a presunção de capacidade técnica para realização das transações inerentes ao pregão eletrônico.</w:t>
      </w:r>
    </w:p>
    <w:p>
      <w:pPr>
        <w:pStyle w:val="Normal1"/>
        <w:rPr>
          <w:rFonts w:ascii="Times New Roman" w:hAnsi="Times New Roman" w:eastAsia="Times New Roman" w:cs="Times New Roman"/>
        </w:rPr>
      </w:pPr>
      <w:r>
        <w:rPr>
          <w:rFonts w:eastAsia="Times New Roman" w:cs="Times New Roman" w:ascii="Times New Roman" w:hAnsi="Times New Roman"/>
          <w:b/>
          <w:sz w:val="20"/>
          <w:szCs w:val="20"/>
        </w:rPr>
        <w:t>PARTICIPAÇÃO:</w:t>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4.8  </w:t>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tab/>
      </w:r>
    </w:p>
    <w:p>
      <w:pPr>
        <w:pStyle w:val="Normal1"/>
        <w:rPr>
          <w:rFonts w:ascii="Times New Roman" w:hAnsi="Times New Roman" w:eastAsia="Times New Roman" w:cs="Times New Roman"/>
        </w:rPr>
      </w:pPr>
      <w:r>
        <w:rPr>
          <w:rFonts w:eastAsia="Times New Roman" w:cs="Times New Roman" w:ascii="Times New Roman" w:hAnsi="Times New Roman"/>
          <w:sz w:val="20"/>
          <w:szCs w:val="20"/>
        </w:rPr>
        <w:t xml:space="preserve">4.9  </w:t>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pPr>
        <w:pStyle w:val="Normal1"/>
        <w:spacing w:lineRule="auto" w:line="240" w:before="120" w:after="120"/>
        <w:jc w:val="both"/>
        <w:rPr>
          <w:rFonts w:ascii="Times New Roman" w:hAnsi="Times New Roman" w:eastAsia="Times New Roman" w:cs="Times New Roman"/>
        </w:rPr>
      </w:pPr>
      <w:r>
        <w:rPr>
          <w:rFonts w:eastAsia="Times New Roman" w:cs="Times New Roman" w:ascii="Times New Roman" w:hAnsi="Times New Roman"/>
          <w:sz w:val="20"/>
          <w:szCs w:val="20"/>
        </w:rPr>
        <w:t>4.10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1"/>
        <w:spacing w:lineRule="auto" w:line="240" w:before="120" w:after="120"/>
        <w:jc w:val="both"/>
        <w:rPr>
          <w:rFonts w:ascii="Times New Roman" w:hAnsi="Times New Roman" w:eastAsia="Times New Roman" w:cs="Times New Roman"/>
        </w:rPr>
      </w:pPr>
      <w:r>
        <w:rPr>
          <w:rFonts w:eastAsia="Times New Roman" w:cs="Times New Roman" w:ascii="Times New Roman" w:hAnsi="Times New Roman"/>
          <w:sz w:val="20"/>
          <w:szCs w:val="20"/>
        </w:rPr>
        <w:t>4.11 Poderão participar deste Pregão interessados cujo ramo de atividade seja compatível com o objeto desta licitação.</w:t>
      </w:r>
    </w:p>
    <w:p>
      <w:pPr>
        <w:pStyle w:val="Normal1"/>
        <w:keepNext w:val="false"/>
        <w:keepLines w:val="false"/>
        <w:pageBreakBefore w:val="false"/>
        <w:widowControl/>
        <w:numPr>
          <w:ilvl w:val="1"/>
          <w:numId w:val="1"/>
        </w:numPr>
        <w:pBdr/>
        <w:shd w:val="clear" w:fill="auto"/>
        <w:spacing w:lineRule="auto" w:line="276" w:before="120" w:after="120"/>
        <w:ind w:left="375" w:right="0" w:hanging="375"/>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br/>
      </w:r>
    </w:p>
    <w:p>
      <w:pPr>
        <w:pStyle w:val="Normal1"/>
        <w:numPr>
          <w:ilvl w:val="1"/>
          <w:numId w:val="1"/>
        </w:numPr>
        <w:spacing w:lineRule="auto" w:line="240" w:before="120" w:after="120"/>
        <w:ind w:left="375" w:hanging="375"/>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Não poderão participar desta licitação os interessados:</w:t>
      </w:r>
    </w:p>
    <w:p>
      <w:pPr>
        <w:pStyle w:val="Normal1"/>
        <w:numPr>
          <w:ilvl w:val="2"/>
          <w:numId w:val="1"/>
        </w:numPr>
        <w:tabs>
          <w:tab w:val="clear" w:pos="720"/>
          <w:tab w:val="left" w:pos="1440" w:leader="none"/>
        </w:tabs>
        <w:spacing w:lineRule="auto" w:line="240" w:before="120" w:after="120"/>
        <w:ind w:left="720"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proibidos de participar de licitações e celebrar contratos administrativos, na forma da legislação vigente;</w:t>
      </w:r>
    </w:p>
    <w:p>
      <w:pPr>
        <w:pStyle w:val="Normal1"/>
        <w:numPr>
          <w:ilvl w:val="2"/>
          <w:numId w:val="1"/>
        </w:numPr>
        <w:tabs>
          <w:tab w:val="clear" w:pos="720"/>
          <w:tab w:val="left" w:pos="1440" w:leader="none"/>
        </w:tabs>
        <w:spacing w:lineRule="auto" w:line="240" w:before="120" w:after="120"/>
        <w:ind w:left="720"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que não atendam às condições deste Edital e seu(s) anexo(s);</w:t>
      </w:r>
    </w:p>
    <w:p>
      <w:pPr>
        <w:pStyle w:val="Normal1"/>
        <w:numPr>
          <w:ilvl w:val="2"/>
          <w:numId w:val="1"/>
        </w:numPr>
        <w:tabs>
          <w:tab w:val="clear" w:pos="720"/>
          <w:tab w:val="left" w:pos="1440" w:leader="none"/>
        </w:tabs>
        <w:spacing w:lineRule="auto" w:line="240" w:before="120" w:after="120"/>
        <w:ind w:left="720"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estrangeiros que não tenham representação legal no Brasil com poderes expressos para receber citação e responder administrativa ou judicialmente;</w:t>
      </w:r>
    </w:p>
    <w:p>
      <w:pPr>
        <w:pStyle w:val="Normal1"/>
        <w:numPr>
          <w:ilvl w:val="2"/>
          <w:numId w:val="1"/>
        </w:numPr>
        <w:tabs>
          <w:tab w:val="clear" w:pos="720"/>
          <w:tab w:val="left" w:pos="1440" w:leader="none"/>
        </w:tabs>
        <w:spacing w:lineRule="auto" w:line="240" w:before="120" w:after="120"/>
        <w:ind w:left="720"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que se enquadrem nas vedações previstas na Lei nº 14.133, de 2021;</w:t>
      </w:r>
    </w:p>
    <w:p>
      <w:pPr>
        <w:pStyle w:val="Normal1"/>
        <w:numPr>
          <w:ilvl w:val="2"/>
          <w:numId w:val="1"/>
        </w:numPr>
        <w:tabs>
          <w:tab w:val="clear" w:pos="720"/>
          <w:tab w:val="left" w:pos="1440" w:leader="none"/>
        </w:tabs>
        <w:spacing w:lineRule="auto" w:line="240" w:before="120" w:after="120"/>
        <w:ind w:left="720"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que estejam sob falência, concurso de credores, concordata ou em processo de dissolução ou liquidação;</w:t>
      </w:r>
    </w:p>
    <w:p>
      <w:pPr>
        <w:pStyle w:val="Normal1"/>
        <w:numPr>
          <w:ilvl w:val="2"/>
          <w:numId w:val="1"/>
        </w:numPr>
        <w:tabs>
          <w:tab w:val="clear" w:pos="720"/>
          <w:tab w:val="left" w:pos="1440" w:leader="none"/>
        </w:tabs>
        <w:spacing w:lineRule="auto" w:line="240" w:before="120" w:after="120"/>
        <w:ind w:left="720"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Organizações da Sociedade Civil de Interesse Público - OSCIP, atuando nessa condição (Acórdão nº 746/2014-TCU-Plenário).</w:t>
      </w:r>
    </w:p>
    <w:p>
      <w:pPr>
        <w:pStyle w:val="Normal1"/>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4.14 </w:t>
        <w:tab/>
        <w:t xml:space="preserve">Qualquer dúvida em relação ao acesso no sistema operacional, poderá ser esclarecida ou através de uma empresa associada ou pelos telefones: Curitiba-PR (41) 3097-4600, ou através da Bolsa de Licitações do Brasil ou pelo e-mail </w:t>
      </w:r>
      <w:hyperlink r:id="rId3">
        <w:r>
          <w:rPr>
            <w:rFonts w:eastAsia="Times New Roman" w:cs="Times New Roman" w:ascii="Times New Roman" w:hAnsi="Times New Roman"/>
            <w:color w:val="000000"/>
            <w:sz w:val="20"/>
            <w:szCs w:val="20"/>
            <w:u w:val="single"/>
          </w:rPr>
          <w:t>contato@bll.org.br</w:t>
        </w:r>
      </w:hyperlink>
      <w:r>
        <w:rPr>
          <w:rFonts w:eastAsia="Times New Roman" w:cs="Times New Roman" w:ascii="Times New Roman" w:hAnsi="Times New Roman"/>
          <w:sz w:val="20"/>
          <w:szCs w:val="20"/>
        </w:rPr>
        <w:t>.</w:t>
      </w:r>
      <w:r>
        <w:rPr>
          <w:rFonts w:eastAsia="Times New Roman" w:cs="Times New Roman" w:ascii="Times New Roman" w:hAnsi="Times New Roman"/>
          <w:color w:val="FF0000"/>
          <w:sz w:val="20"/>
          <w:szCs w:val="20"/>
        </w:rPr>
        <w:t xml:space="preserve"> </w:t>
      </w:r>
    </w:p>
    <w:p>
      <w:pPr>
        <w:pStyle w:val="Normal1"/>
        <w:keepNext w:val="true"/>
        <w:keepLines/>
        <w:pageBreakBefore w:val="false"/>
        <w:widowControl/>
        <w:numPr>
          <w:ilvl w:val="0"/>
          <w:numId w:val="9"/>
        </w:numPr>
        <w:pBdr/>
        <w:shd w:val="clear" w:fill="auto"/>
        <w:tabs>
          <w:tab w:val="clear" w:pos="720"/>
          <w:tab w:val="left" w:pos="567" w:leader="none"/>
        </w:tabs>
        <w:spacing w:lineRule="auto" w:line="240" w:before="240" w:after="0"/>
        <w:ind w:left="360" w:right="0" w:hanging="360"/>
        <w:jc w:val="both"/>
        <w:rPr>
          <w:rFonts w:ascii="Times New Roman" w:hAnsi="Times New Roman" w:eastAsia="Times New Roman" w:cs="Times New Roman"/>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DA APRESENTAÇÃO DA PROPOSTA E DOS DOCUMENTOS DE HABILITAÇÃO</w:t>
      </w:r>
    </w:p>
    <w:p>
      <w:pPr>
        <w:pStyle w:val="Normal1"/>
        <w:numPr>
          <w:ilvl w:val="1"/>
          <w:numId w:val="2"/>
        </w:numPr>
        <w:spacing w:lineRule="auto" w:line="240" w:before="120" w:after="120"/>
        <w:ind w:left="999" w:hanging="432"/>
        <w:jc w:val="both"/>
        <w:rPr/>
      </w:pPr>
      <w:r>
        <w:rPr>
          <w:rFonts w:eastAsia="Times New Roman" w:cs="Times New Roman" w:ascii="Times New Roman" w:hAnsi="Times New Roman"/>
          <w:sz w:val="20"/>
          <w:szCs w:val="20"/>
        </w:rPr>
        <w:t xml:space="preserve">Os licitantes encaminharão, exclusivamente por meio do sistema, concomitantemente com os documentos de habilitação exigidos no edital, proposta com a descrição do objeto ofertado e o preço, até a data e o horário estabelecidos no edital, quando, então, encerrar-se-á automaticamente a etapa de envio dessa documentação. </w:t>
      </w:r>
    </w:p>
    <w:p>
      <w:pPr>
        <w:pStyle w:val="Normal1"/>
        <w:numPr>
          <w:ilvl w:val="1"/>
          <w:numId w:val="2"/>
        </w:numPr>
        <w:spacing w:lineRule="auto" w:line="240" w:before="120" w:after="120"/>
        <w:ind w:left="425" w:right="0" w:hanging="0"/>
        <w:jc w:val="both"/>
        <w:rPr/>
      </w:pPr>
      <w:r>
        <w:rPr>
          <w:rFonts w:eastAsia="Times New Roman" w:cs="Times New Roman" w:ascii="Times New Roman" w:hAnsi="Times New Roman"/>
          <w:sz w:val="20"/>
          <w:szCs w:val="20"/>
        </w:rPr>
        <w:t>O envio da proposta, acompanhada dos documentos de habilitação exigidos neste Edital, ocorrerá por meio de chave de acesso e senha.</w:t>
      </w:r>
    </w:p>
    <w:p>
      <w:pPr>
        <w:pStyle w:val="Normal1"/>
        <w:numPr>
          <w:ilvl w:val="1"/>
          <w:numId w:val="2"/>
        </w:numPr>
        <w:spacing w:lineRule="auto" w:line="240" w:before="120" w:after="120"/>
        <w:ind w:left="425" w:right="0" w:hanging="0"/>
        <w:jc w:val="both"/>
        <w:rPr/>
      </w:pPr>
      <w:r>
        <w:rPr>
          <w:rFonts w:eastAsia="Times New Roman" w:cs="Times New Roman" w:ascii="Times New Roman" w:hAnsi="Times New Roman"/>
          <w:sz w:val="20"/>
          <w:szCs w:val="20"/>
        </w:rPr>
        <w:t>As Microempresas e Empresas de Pequeno Porte deverão encaminhar a documentação de habilitação, ainda que haja alguma restrição de regularidade fiscal e trabalhista, nos termos do art. 43, § 1º da LC nº 123, de 2006.</w:t>
      </w:r>
    </w:p>
    <w:p>
      <w:pPr>
        <w:pStyle w:val="Normal1"/>
        <w:numPr>
          <w:ilvl w:val="1"/>
          <w:numId w:val="2"/>
        </w:numPr>
        <w:spacing w:lineRule="auto" w:line="240" w:before="120" w:after="120"/>
        <w:ind w:left="425" w:right="0" w:hanging="0"/>
        <w:jc w:val="both"/>
        <w:rPr/>
      </w:pPr>
      <w:r>
        <w:rPr>
          <w:rFonts w:eastAsia="Times New Roman" w:cs="Times New Roman" w:ascii="Times New Roman" w:hAnsi="Times New Roman"/>
          <w:sz w:val="20"/>
          <w:szCs w:val="2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pPr>
        <w:pStyle w:val="Normal1"/>
        <w:numPr>
          <w:ilvl w:val="1"/>
          <w:numId w:val="2"/>
        </w:numPr>
        <w:spacing w:lineRule="auto" w:line="240" w:before="120" w:after="120"/>
        <w:ind w:left="999" w:hanging="432"/>
        <w:jc w:val="both"/>
        <w:rPr/>
      </w:pPr>
      <w:r>
        <w:rPr>
          <w:rFonts w:eastAsia="Times New Roman" w:cs="Times New Roman" w:ascii="Times New Roman" w:hAnsi="Times New Roman"/>
          <w:sz w:val="20"/>
          <w:szCs w:val="20"/>
        </w:rPr>
        <w:t>Até a abertura da sessão pública, os licitantes poderão retirar ou substituir a proposta e os documentos de habilitação anteriormente inseridos no sistema;</w:t>
      </w:r>
    </w:p>
    <w:p>
      <w:pPr>
        <w:pStyle w:val="Normal1"/>
        <w:numPr>
          <w:ilvl w:val="1"/>
          <w:numId w:val="2"/>
        </w:numPr>
        <w:spacing w:lineRule="auto" w:line="240" w:before="120" w:after="120"/>
        <w:ind w:left="999" w:hanging="432"/>
        <w:jc w:val="both"/>
        <w:rPr/>
      </w:pPr>
      <w:r>
        <w:rPr>
          <w:rFonts w:eastAsia="Times New Roman" w:cs="Times New Roman" w:ascii="Times New Roman" w:hAnsi="Times New Roman"/>
          <w:sz w:val="20"/>
          <w:szCs w:val="20"/>
        </w:rPr>
        <w:t>Não será estabelecida, nessa etapa do certame, ordem de classificação entre as propostas apresentadas, o que somente ocorrerá após a realização dos procedimentos de negociação e julgamento da proposta.</w:t>
      </w:r>
    </w:p>
    <w:p>
      <w:pPr>
        <w:pStyle w:val="Normal1"/>
        <w:numPr>
          <w:ilvl w:val="1"/>
          <w:numId w:val="2"/>
        </w:numPr>
        <w:spacing w:lineRule="auto" w:line="240" w:before="120" w:after="120"/>
        <w:ind w:left="999" w:hanging="432"/>
        <w:jc w:val="both"/>
        <w:rPr/>
      </w:pPr>
      <w:r>
        <w:rPr>
          <w:rFonts w:eastAsia="Times New Roman" w:cs="Times New Roman" w:ascii="Times New Roman" w:hAnsi="Times New Roman"/>
          <w:sz w:val="20"/>
          <w:szCs w:val="20"/>
        </w:rPr>
        <w:t>Os documentos que compõem a proposta e a habilitação do licitante melhor classificado somente serão disponibilizados para avaliação do pregoeiro e para acesso público após o encerramento do envio de lances.</w:t>
      </w:r>
    </w:p>
    <w:p>
      <w:pPr>
        <w:pStyle w:val="Normal1"/>
        <w:keepNext w:val="true"/>
        <w:keepLines/>
        <w:pageBreakBefore w:val="false"/>
        <w:widowControl/>
        <w:numPr>
          <w:ilvl w:val="0"/>
          <w:numId w:val="2"/>
        </w:numPr>
        <w:pBdr/>
        <w:shd w:val="clear" w:fill="auto"/>
        <w:tabs>
          <w:tab w:val="clear" w:pos="720"/>
          <w:tab w:val="left" w:pos="567" w:leader="none"/>
        </w:tabs>
        <w:spacing w:lineRule="auto" w:line="240" w:before="240" w:after="0"/>
        <w:ind w:left="360" w:right="0" w:hanging="360"/>
        <w:jc w:val="both"/>
        <w:rPr>
          <w:rFonts w:ascii="Times New Roman" w:hAnsi="Times New Roman" w:eastAsia="Times New Roman" w:cs="Times New Roman"/>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DO PREENCHIMENTO DA PROPOSTA</w:t>
      </w:r>
    </w:p>
    <w:p>
      <w:pPr>
        <w:pStyle w:val="Normal1"/>
        <w:numPr>
          <w:ilvl w:val="1"/>
          <w:numId w:val="2"/>
        </w:numPr>
        <w:spacing w:lineRule="auto" w:line="240" w:before="120" w:after="120"/>
        <w:ind w:left="425" w:right="0" w:hanging="0"/>
        <w:jc w:val="both"/>
        <w:rPr/>
      </w:pPr>
      <w:r>
        <w:rPr>
          <w:rFonts w:eastAsia="Times New Roman" w:cs="Times New Roman" w:ascii="Times New Roman" w:hAnsi="Times New Roman"/>
          <w:sz w:val="20"/>
          <w:szCs w:val="20"/>
        </w:rPr>
        <w:t>O licitante deverá enviar sua proposta mediante o preenchimento, no sistema eletrônico, dos seguintes campos:</w:t>
      </w:r>
    </w:p>
    <w:p>
      <w:pPr>
        <w:pStyle w:val="Normal1"/>
        <w:numPr>
          <w:ilvl w:val="2"/>
          <w:numId w:val="2"/>
        </w:numPr>
        <w:tabs>
          <w:tab w:val="clear" w:pos="720"/>
          <w:tab w:val="left" w:pos="1440" w:leader="none"/>
        </w:tabs>
        <w:spacing w:lineRule="auto" w:line="240" w:before="120" w:after="120"/>
        <w:ind w:left="1134" w:right="0" w:hanging="0"/>
        <w:jc w:val="both"/>
        <w:rPr/>
      </w:pPr>
      <w:r>
        <w:rPr>
          <w:rFonts w:eastAsia="Times New Roman" w:cs="Times New Roman" w:ascii="Times New Roman" w:hAnsi="Times New Roman"/>
          <w:i/>
          <w:sz w:val="20"/>
          <w:szCs w:val="20"/>
        </w:rPr>
        <w:t>Valor unitário (com no máximo 2 casas decimais);</w:t>
      </w:r>
    </w:p>
    <w:p>
      <w:pPr>
        <w:pStyle w:val="Normal1"/>
        <w:numPr>
          <w:ilvl w:val="2"/>
          <w:numId w:val="2"/>
        </w:numPr>
        <w:tabs>
          <w:tab w:val="clear" w:pos="720"/>
          <w:tab w:val="left" w:pos="1440" w:leader="none"/>
        </w:tabs>
        <w:spacing w:lineRule="auto" w:line="240" w:before="120" w:after="120"/>
        <w:ind w:left="1134" w:right="0" w:hanging="0"/>
        <w:jc w:val="both"/>
        <w:rPr/>
      </w:pPr>
      <w:r>
        <w:rPr>
          <w:rFonts w:eastAsia="Times New Roman" w:cs="Times New Roman" w:ascii="Times New Roman" w:hAnsi="Times New Roman"/>
          <w:i/>
          <w:sz w:val="20"/>
          <w:szCs w:val="20"/>
        </w:rPr>
        <w:t>Marca;</w:t>
      </w:r>
    </w:p>
    <w:p>
      <w:pPr>
        <w:pStyle w:val="Normal1"/>
        <w:numPr>
          <w:ilvl w:val="2"/>
          <w:numId w:val="2"/>
        </w:numPr>
        <w:tabs>
          <w:tab w:val="clear" w:pos="720"/>
          <w:tab w:val="left" w:pos="1440" w:leader="none"/>
        </w:tabs>
        <w:spacing w:lineRule="auto" w:line="240" w:before="120" w:after="120"/>
        <w:ind w:left="1134" w:right="0" w:hanging="0"/>
        <w:jc w:val="both"/>
        <w:rPr/>
      </w:pPr>
      <w:r>
        <w:rPr>
          <w:rFonts w:eastAsia="Times New Roman" w:cs="Times New Roman" w:ascii="Times New Roman" w:hAnsi="Times New Roman"/>
          <w:i/>
          <w:sz w:val="20"/>
          <w:szCs w:val="20"/>
        </w:rPr>
        <w:t>Modelo;</w:t>
      </w:r>
    </w:p>
    <w:p>
      <w:pPr>
        <w:pStyle w:val="Normal1"/>
        <w:numPr>
          <w:ilvl w:val="2"/>
          <w:numId w:val="2"/>
        </w:numPr>
        <w:tabs>
          <w:tab w:val="clear" w:pos="720"/>
          <w:tab w:val="left" w:pos="1440" w:leader="none"/>
        </w:tabs>
        <w:spacing w:lineRule="auto" w:line="240" w:before="120" w:after="120"/>
        <w:ind w:left="1134" w:right="0" w:hanging="0"/>
        <w:jc w:val="both"/>
        <w:rPr/>
      </w:pPr>
      <w:r>
        <w:rPr>
          <w:rFonts w:eastAsia="Times New Roman" w:cs="Times New Roman" w:ascii="Times New Roman" w:hAnsi="Times New Roman"/>
          <w:sz w:val="20"/>
          <w:szCs w:val="20"/>
        </w:rPr>
        <w:t xml:space="preserve">Descrição detalhada do objeto, contendo as informações similares à especificação do Termo de Referência: indicando, no que for aplicável, </w:t>
      </w:r>
      <w:r>
        <w:rPr>
          <w:rFonts w:eastAsia="Times New Roman" w:cs="Times New Roman" w:ascii="Times New Roman" w:hAnsi="Times New Roman"/>
          <w:i/>
          <w:sz w:val="20"/>
          <w:szCs w:val="20"/>
        </w:rPr>
        <w:t xml:space="preserve">o modelo, prazo de validade ou de garantia, número do registro ou inscrição do bem no órgão competente, quando for o caso; </w:t>
      </w:r>
    </w:p>
    <w:p>
      <w:pPr>
        <w:pStyle w:val="Normal1"/>
        <w:keepNext w:val="false"/>
        <w:keepLines w:val="false"/>
        <w:pageBreakBefore w:val="false"/>
        <w:widowControl/>
        <w:numPr>
          <w:ilvl w:val="1"/>
          <w:numId w:val="2"/>
        </w:numPr>
        <w:pBdr/>
        <w:shd w:val="clear" w:fill="auto"/>
        <w:spacing w:lineRule="auto" w:line="276" w:before="120" w:after="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Todas as especificações do objeto contidas na proposta vinculam a Contratada.</w:t>
      </w:r>
    </w:p>
    <w:p>
      <w:pPr>
        <w:pStyle w:val="Normal1"/>
        <w:keepNext w:val="false"/>
        <w:keepLines w:val="false"/>
        <w:pageBreakBefore w:val="false"/>
        <w:widowControl/>
        <w:numPr>
          <w:ilvl w:val="1"/>
          <w:numId w:val="2"/>
        </w:numPr>
        <w:pBdr/>
        <w:shd w:val="clear" w:fill="auto"/>
        <w:spacing w:lineRule="auto" w:line="276" w:before="0" w:after="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Nos valores propostos estarão inclusos todos os custos operacionais, encargos previdenciários, trabalhistas, tributários, comerciais e quaisquer outros que incidam direta ou indiretamente no fornecimento dos bens.</w:t>
      </w:r>
    </w:p>
    <w:p>
      <w:pPr>
        <w:pStyle w:val="Normal1"/>
        <w:keepNext w:val="false"/>
        <w:keepLines w:val="false"/>
        <w:pageBreakBefore w:val="false"/>
        <w:widowControl/>
        <w:numPr>
          <w:ilvl w:val="1"/>
          <w:numId w:val="2"/>
        </w:numPr>
        <w:pBdr/>
        <w:shd w:val="clear" w:fill="auto"/>
        <w:spacing w:lineRule="auto" w:line="276" w:before="0" w:after="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ormal1"/>
        <w:keepNext w:val="false"/>
        <w:keepLines w:val="false"/>
        <w:pageBreakBefore w:val="false"/>
        <w:widowControl/>
        <w:numPr>
          <w:ilvl w:val="1"/>
          <w:numId w:val="2"/>
        </w:numPr>
        <w:pBdr/>
        <w:shd w:val="clear" w:fill="auto"/>
        <w:spacing w:lineRule="auto" w:line="276" w:before="0" w:after="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prazo de validade da proposta não será inferior a 60 (sessenta) dias</w:t>
      </w: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a contar da data de sua apresentação. </w:t>
      </w:r>
    </w:p>
    <w:p>
      <w:pPr>
        <w:pStyle w:val="Normal1"/>
        <w:keepNext w:val="false"/>
        <w:keepLines w:val="false"/>
        <w:pageBreakBefore w:val="false"/>
        <w:widowControl/>
        <w:numPr>
          <w:ilvl w:val="1"/>
          <w:numId w:val="2"/>
        </w:numPr>
        <w:pBdr/>
        <w:shd w:val="clear" w:fill="auto"/>
        <w:spacing w:lineRule="auto" w:line="276" w:before="0" w:after="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Poderão ser usadas 2 (duas) casas decimais.</w:t>
      </w:r>
    </w:p>
    <w:p>
      <w:pPr>
        <w:pStyle w:val="Normal1"/>
        <w:keepNext w:val="false"/>
        <w:keepLines w:val="false"/>
        <w:pageBreakBefore w:val="false"/>
        <w:widowControl/>
        <w:numPr>
          <w:ilvl w:val="1"/>
          <w:numId w:val="2"/>
        </w:numPr>
        <w:pBdr/>
        <w:shd w:val="clear" w:fill="auto"/>
        <w:spacing w:lineRule="auto" w:line="276" w:before="0" w:after="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licitante deverá declarar, para cada item, em campo próprio do sistema BLL, se o produto ofertado é manufaturado nacional beneficiado por um dos critérios de margem de preferência indicados no Termo de Referência.</w:t>
      </w:r>
    </w:p>
    <w:p>
      <w:pPr>
        <w:pStyle w:val="Normal1"/>
        <w:keepNext w:val="false"/>
        <w:keepLines w:val="false"/>
        <w:pageBreakBefore w:val="false"/>
        <w:widowControl/>
        <w:numPr>
          <w:ilvl w:val="1"/>
          <w:numId w:val="2"/>
        </w:numPr>
        <w:pBdr/>
        <w:shd w:val="clear" w:fill="auto"/>
        <w:spacing w:lineRule="auto" w:line="276" w:before="0" w:after="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Os licitantes devem respeitar os preços máximos estabelecidos nas normas de regência de contratações públicas federais, quando participarem de licitações públicas;</w:t>
      </w:r>
    </w:p>
    <w:p>
      <w:pPr>
        <w:pStyle w:val="Normal1"/>
        <w:keepNext w:val="false"/>
        <w:keepLines w:val="false"/>
        <w:pageBreakBefore w:val="false"/>
        <w:widowControl/>
        <w:numPr>
          <w:ilvl w:val="2"/>
          <w:numId w:val="2"/>
        </w:numPr>
        <w:pBdr/>
        <w:shd w:val="clear" w:fill="auto"/>
        <w:spacing w:lineRule="auto" w:line="276" w:before="0" w:after="120"/>
        <w:ind w:left="1922" w:right="0" w:hanging="504"/>
        <w:jc w:val="both"/>
        <w:rPr>
          <w:caps w:val="false"/>
          <w:smallCaps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pPr>
        <w:pStyle w:val="Normal1"/>
        <w:keepNext w:val="true"/>
        <w:keepLines/>
        <w:pageBreakBefore w:val="false"/>
        <w:widowControl/>
        <w:numPr>
          <w:ilvl w:val="0"/>
          <w:numId w:val="2"/>
        </w:numPr>
        <w:pBdr/>
        <w:shd w:val="clear" w:fill="auto"/>
        <w:tabs>
          <w:tab w:val="clear" w:pos="720"/>
          <w:tab w:val="left" w:pos="567" w:leader="none"/>
        </w:tabs>
        <w:spacing w:lineRule="auto" w:line="240" w:before="24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 xml:space="preserve">DA ABERTURA DA SESSÃO, CLASSIFICAÇÃO DAS PROPOSTAS E FORMULAÇÃO DE LANCES </w:t>
      </w:r>
    </w:p>
    <w:p>
      <w:pPr>
        <w:pStyle w:val="Normal1"/>
        <w:keepNext w:val="false"/>
        <w:keepLines w:val="false"/>
        <w:pageBreakBefore w:val="false"/>
        <w:widowControl/>
        <w:numPr>
          <w:ilvl w:val="1"/>
          <w:numId w:val="2"/>
        </w:numPr>
        <w:pBdr/>
        <w:shd w:val="clear" w:fill="auto"/>
        <w:spacing w:lineRule="auto" w:line="276" w:before="120" w:after="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abertura da presente licitação dar-se-á em sessão pública, por meio de sistema eletrônico, na data, horário e local indicados neste Edital.</w:t>
      </w:r>
    </w:p>
    <w:p>
      <w:pPr>
        <w:pStyle w:val="Normal1"/>
        <w:keepNext w:val="false"/>
        <w:keepLines w:val="false"/>
        <w:pageBreakBefore w:val="false"/>
        <w:widowControl/>
        <w:numPr>
          <w:ilvl w:val="1"/>
          <w:numId w:val="2"/>
        </w:numPr>
        <w:pBdr/>
        <w:shd w:val="clear" w:fill="auto"/>
        <w:spacing w:lineRule="auto" w:line="276" w:before="0" w:after="12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pPr>
        <w:pStyle w:val="Normal1"/>
        <w:numPr>
          <w:ilvl w:val="2"/>
          <w:numId w:val="2"/>
        </w:numPr>
        <w:tabs>
          <w:tab w:val="clear" w:pos="720"/>
          <w:tab w:val="left" w:pos="1440" w:leader="none"/>
        </w:tabs>
        <w:spacing w:lineRule="auto" w:line="240" w:before="120" w:after="120"/>
        <w:ind w:left="1134" w:right="0" w:hanging="0"/>
        <w:jc w:val="both"/>
        <w:rPr/>
      </w:pPr>
      <w:r>
        <w:rPr>
          <w:rFonts w:eastAsia="Times New Roman" w:cs="Times New Roman" w:ascii="Times New Roman" w:hAnsi="Times New Roman"/>
          <w:sz w:val="20"/>
          <w:szCs w:val="20"/>
        </w:rPr>
        <w:t>Também será desclassificada a proposta que identifique o licitante.</w:t>
      </w:r>
    </w:p>
    <w:p>
      <w:pPr>
        <w:pStyle w:val="Normal1"/>
        <w:numPr>
          <w:ilvl w:val="2"/>
          <w:numId w:val="2"/>
        </w:numPr>
        <w:tabs>
          <w:tab w:val="clear" w:pos="720"/>
          <w:tab w:val="left" w:pos="1440" w:leader="none"/>
        </w:tabs>
        <w:spacing w:lineRule="auto" w:line="240" w:before="120" w:after="120"/>
        <w:ind w:left="1134" w:right="0" w:hanging="0"/>
        <w:jc w:val="both"/>
        <w:rPr/>
      </w:pPr>
      <w:r>
        <w:rPr>
          <w:rFonts w:eastAsia="Times New Roman" w:cs="Times New Roman" w:ascii="Times New Roman" w:hAnsi="Times New Roman"/>
          <w:sz w:val="20"/>
          <w:szCs w:val="20"/>
        </w:rPr>
        <w:t>A desclassificação será sempre fundamentada e registrada no sistema, com acompanhamento em tempo real por todos os participantes.</w:t>
      </w:r>
    </w:p>
    <w:p>
      <w:pPr>
        <w:pStyle w:val="Normal1"/>
        <w:numPr>
          <w:ilvl w:val="2"/>
          <w:numId w:val="2"/>
        </w:numPr>
        <w:tabs>
          <w:tab w:val="clear" w:pos="720"/>
          <w:tab w:val="left" w:pos="1440" w:leader="none"/>
        </w:tabs>
        <w:spacing w:lineRule="auto" w:line="240" w:before="120" w:after="120"/>
        <w:ind w:left="1134" w:right="0" w:hanging="0"/>
        <w:jc w:val="both"/>
        <w:rPr/>
      </w:pPr>
      <w:r>
        <w:rPr>
          <w:rFonts w:eastAsia="Times New Roman" w:cs="Times New Roman" w:ascii="Times New Roman" w:hAnsi="Times New Roman"/>
          <w:sz w:val="20"/>
          <w:szCs w:val="20"/>
        </w:rPr>
        <w:t>A não desclassificação da proposta não impede o seu julgamento definitivo em sentido contrário, levado a efeito na fase de aceitação.</w:t>
      </w:r>
    </w:p>
    <w:p>
      <w:pPr>
        <w:pStyle w:val="Normal1"/>
        <w:keepNext w:val="false"/>
        <w:keepLines w:val="false"/>
        <w:pageBreakBefore w:val="false"/>
        <w:widowControl/>
        <w:numPr>
          <w:ilvl w:val="1"/>
          <w:numId w:val="2"/>
        </w:numPr>
        <w:pBdr/>
        <w:shd w:val="clear" w:fill="auto"/>
        <w:spacing w:lineRule="auto" w:line="276" w:before="120" w:after="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sistema ordenará automaticamente as propostas classificadas, sendo que somente estas participarão da fase de lances.</w:t>
      </w:r>
    </w:p>
    <w:p>
      <w:pPr>
        <w:pStyle w:val="Normal1"/>
        <w:keepNext w:val="false"/>
        <w:keepLines w:val="false"/>
        <w:pageBreakBefore w:val="false"/>
        <w:widowControl/>
        <w:numPr>
          <w:ilvl w:val="1"/>
          <w:numId w:val="2"/>
        </w:numPr>
        <w:pBdr/>
        <w:shd w:val="clear" w:fill="auto"/>
        <w:spacing w:lineRule="auto" w:line="276" w:before="0" w:after="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sistema disponibilizará campo próprio para troca de mensagens entre o Pregoeiro e os licitantes.</w:t>
      </w:r>
    </w:p>
    <w:p>
      <w:pPr>
        <w:pStyle w:val="Normal1"/>
        <w:keepNext w:val="false"/>
        <w:keepLines w:val="false"/>
        <w:pageBreakBefore w:val="false"/>
        <w:widowControl/>
        <w:numPr>
          <w:ilvl w:val="1"/>
          <w:numId w:val="2"/>
        </w:numPr>
        <w:pBdr/>
        <w:shd w:val="clear" w:fill="auto"/>
        <w:spacing w:lineRule="auto" w:line="276" w:before="0" w:after="12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Iniciada a etapa competitiva, os licitantes deverão encaminhar lances exclusivamente por meio do sistema eletrônico, sendo imediatamente informados do seu recebimento e do valor consignado no registro. </w:t>
      </w:r>
    </w:p>
    <w:p>
      <w:pPr>
        <w:pStyle w:val="Normal1"/>
        <w:numPr>
          <w:ilvl w:val="2"/>
          <w:numId w:val="2"/>
        </w:numPr>
        <w:tabs>
          <w:tab w:val="clear" w:pos="720"/>
          <w:tab w:val="left" w:pos="1440" w:leader="none"/>
        </w:tabs>
        <w:spacing w:lineRule="auto" w:line="240" w:before="120" w:after="120"/>
        <w:ind w:left="1134" w:right="0" w:hanging="0"/>
        <w:jc w:val="both"/>
        <w:rPr/>
      </w:pPr>
      <w:r>
        <w:rPr>
          <w:rFonts w:eastAsia="Times New Roman" w:cs="Times New Roman" w:ascii="Times New Roman" w:hAnsi="Times New Roman"/>
          <w:sz w:val="20"/>
          <w:szCs w:val="20"/>
        </w:rPr>
        <w:t xml:space="preserve">O lance deverá ser ofertado pelo valor </w:t>
      </w:r>
      <w:r>
        <w:rPr>
          <w:rFonts w:eastAsia="Times New Roman" w:cs="Times New Roman" w:ascii="Times New Roman" w:hAnsi="Times New Roman"/>
          <w:i/>
          <w:sz w:val="20"/>
          <w:szCs w:val="20"/>
        </w:rPr>
        <w:t>unitário do item.</w:t>
      </w:r>
    </w:p>
    <w:p>
      <w:pPr>
        <w:pStyle w:val="Normal1"/>
        <w:keepNext w:val="false"/>
        <w:keepLines w:val="false"/>
        <w:pageBreakBefore w:val="false"/>
        <w:widowControl/>
        <w:numPr>
          <w:ilvl w:val="1"/>
          <w:numId w:val="2"/>
        </w:numPr>
        <w:pBdr/>
        <w:shd w:val="clear" w:fill="auto"/>
        <w:spacing w:lineRule="auto" w:line="276" w:before="120" w:after="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Os licitantes poderão oferecer lances sucessivos, observando o horário fixado para abertura da sessão e as regras estabelecidas no Edital.</w:t>
      </w:r>
    </w:p>
    <w:p>
      <w:pPr>
        <w:pStyle w:val="Normal1"/>
        <w:keepNext w:val="false"/>
        <w:keepLines w:val="false"/>
        <w:pageBreakBefore w:val="false"/>
        <w:widowControl/>
        <w:numPr>
          <w:ilvl w:val="1"/>
          <w:numId w:val="2"/>
        </w:numPr>
        <w:pBdr/>
        <w:shd w:val="clear" w:fill="auto"/>
        <w:spacing w:lineRule="auto" w:line="276" w:before="0" w:after="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licitante somente poderá oferecer lance de valor inferior ao último por ele ofertado e registrado pelo sistema.</w:t>
      </w:r>
    </w:p>
    <w:p>
      <w:pPr>
        <w:pStyle w:val="Normal1"/>
        <w:keepNext w:val="false"/>
        <w:keepLines w:val="false"/>
        <w:pageBreakBefore w:val="false"/>
        <w:widowControl/>
        <w:numPr>
          <w:ilvl w:val="1"/>
          <w:numId w:val="2"/>
        </w:numPr>
        <w:pBdr/>
        <w:shd w:val="clear" w:fill="auto"/>
        <w:spacing w:lineRule="auto" w:line="276" w:before="0" w:after="0"/>
        <w:ind w:left="425" w:right="0" w:hanging="0"/>
        <w:jc w:val="both"/>
        <w:rPr>
          <w:caps w:val="false"/>
          <w:smallCaps w:val="false"/>
          <w:position w:val="0"/>
          <w:sz w:val="24"/>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O intervalo mínimo de diferença de valores ou percentuais entre os lances, que incidirá tanto em relação aos lances intermediários quanto em relação à proposta que cobrir a melhor oferta deverá ser de </w:t>
      </w:r>
      <w:r>
        <w:rPr>
          <w:rFonts w:eastAsia="Times New Roman" w:cs="Times New Roman" w:ascii="Times New Roman" w:hAnsi="Times New Roman"/>
          <w:b/>
          <w:i w:val="false"/>
          <w:caps w:val="false"/>
          <w:smallCaps w:val="false"/>
          <w:strike w:val="false"/>
          <w:dstrike w:val="false"/>
          <w:color w:val="000000"/>
          <w:position w:val="0"/>
          <w:sz w:val="20"/>
          <w:sz w:val="20"/>
          <w:szCs w:val="20"/>
          <w:u w:val="single"/>
          <w:shd w:fill="auto" w:val="clear"/>
          <w:vertAlign w:val="baseline"/>
        </w:rPr>
        <w:t>R$ 0,05 (CINCO CENTAVOS).</w:t>
      </w:r>
    </w:p>
    <w:p>
      <w:pPr>
        <w:pStyle w:val="Normal1"/>
        <w:numPr>
          <w:ilvl w:val="1"/>
          <w:numId w:val="10"/>
        </w:numPr>
        <w:spacing w:lineRule="auto" w:line="240" w:before="0" w:after="120"/>
        <w:ind w:left="1070" w:hanging="360"/>
        <w:jc w:val="both"/>
        <w:rPr>
          <w:rFonts w:ascii="Times New Roman" w:hAnsi="Times New Roman" w:eastAsia="Times New Roman" w:cs="Times New Roman"/>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O intervalo entre os lances enviados pelo mesmo licitante poderá variar conforme o pregão e objeto licitado, quando o pregoeiro definir uma margem de lance para esse lote. </w:t>
      </w:r>
      <w:r>
        <w:rPr>
          <w:rFonts w:eastAsia="Times New Roman" w:cs="Times New Roman" w:ascii="Times New Roman" w:hAnsi="Times New Roman"/>
          <w:sz w:val="20"/>
          <w:szCs w:val="20"/>
        </w:rPr>
        <w:t>Será adotado para o envio de lances no pregão eletrônico o modo de disputa “</w:t>
      </w:r>
      <w:r>
        <w:rPr>
          <w:rFonts w:eastAsia="Times New Roman" w:cs="Times New Roman" w:ascii="Times New Roman" w:hAnsi="Times New Roman"/>
          <w:b/>
          <w:sz w:val="20"/>
          <w:szCs w:val="20"/>
        </w:rPr>
        <w:t>aberto</w:t>
      </w:r>
      <w:r>
        <w:rPr>
          <w:rFonts w:eastAsia="Times New Roman" w:cs="Times New Roman" w:ascii="Times New Roman" w:hAnsi="Times New Roman"/>
          <w:sz w:val="20"/>
          <w:szCs w:val="20"/>
        </w:rPr>
        <w:t>”, em que os licitantes apresentarão lances públicos e sucessivos, com prorrogações.</w:t>
      </w:r>
    </w:p>
    <w:p>
      <w:pPr>
        <w:pStyle w:val="Normal1"/>
        <w:numPr>
          <w:ilvl w:val="1"/>
          <w:numId w:val="10"/>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A etapa de lances da sessão pública terá duração de dez minutos e, após isso, será prorrogada automaticamente pelo sistema quando houver lance ofertado nos últimos dois minutos do período de duração da sessão pública.</w:t>
      </w:r>
    </w:p>
    <w:p>
      <w:pPr>
        <w:pStyle w:val="Normal1"/>
        <w:numPr>
          <w:ilvl w:val="1"/>
          <w:numId w:val="10"/>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A prorrogação automática da etapa de lances, de que trata o item anterior, será de dois minutos e ocorrerá sucessivamente sempre que houver lances enviados nesse período de prorrogação, inclusive no caso de lances intermediários.</w:t>
      </w:r>
    </w:p>
    <w:p>
      <w:pPr>
        <w:pStyle w:val="Normal1"/>
        <w:numPr>
          <w:ilvl w:val="1"/>
          <w:numId w:val="10"/>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Não havendo novos lances na forma estabelecida nos itens anteriores, a sessão pública encerrar-se-á automaticamente.</w:t>
      </w:r>
    </w:p>
    <w:p>
      <w:pPr>
        <w:pStyle w:val="Normal1"/>
        <w:keepNext w:val="false"/>
        <w:keepLines w:val="false"/>
        <w:pageBreakBefore w:val="false"/>
        <w:widowControl/>
        <w:numPr>
          <w:ilvl w:val="1"/>
          <w:numId w:val="11"/>
        </w:numPr>
        <w:pBdr/>
        <w:shd w:val="clear" w:fill="auto"/>
        <w:spacing w:lineRule="auto" w:line="276" w:before="120" w:after="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Encerrada a fase competitiva sem que haja a prorrogação automática pelo sistema, poderá o pregoeiro, assessorado pela equipe de apoio, justificadamente, admitir o reinício da sessão pública de lances, em prol da consecução do melhor preço.</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p>
    <w:p>
      <w:pPr>
        <w:pStyle w:val="Normal1"/>
        <w:keepNext w:val="false"/>
        <w:keepLines w:val="false"/>
        <w:pageBreakBefore w:val="false"/>
        <w:widowControl/>
        <w:numPr>
          <w:ilvl w:val="1"/>
          <w:numId w:val="11"/>
        </w:numPr>
        <w:pBdr/>
        <w:shd w:val="clear" w:fill="auto"/>
        <w:spacing w:lineRule="auto" w:line="276" w:before="0" w:after="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Não serão aceitos dois ou mais lances de mesmo valor, prevalecendo aquele que for recebido e registrado em primeiro lugar. </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Durante o transcurso da sessão pública, os licitantes serão informados, em tempo real, do valor do menor lance registrado, vedada a identificação do licitante. </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No caso de desconexão com o Pregoeiro, no decorrer da etapa competitiva do Pregão, o sistema eletrônico poderá permanecer acessível aos licitantes para a recepção dos lances. </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pPr>
        <w:pStyle w:val="Normal1"/>
        <w:keepNext w:val="false"/>
        <w:keepLines w:val="false"/>
        <w:pageBreakBefore w:val="false"/>
        <w:widowControl/>
        <w:numPr>
          <w:ilvl w:val="1"/>
          <w:numId w:val="11"/>
        </w:numPr>
        <w:pBdr/>
        <w:shd w:val="clear" w:fill="auto"/>
        <w:spacing w:lineRule="auto" w:line="276" w:before="0" w:after="12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O Critério de julgamento adotado será o </w:t>
      </w:r>
      <w:r>
        <w:rPr>
          <w:rFonts w:eastAsia="Times New Roman" w:cs="Times New Roman" w:ascii="Times New Roman" w:hAnsi="Times New Roman"/>
          <w:b w:val="false"/>
          <w:i/>
          <w:caps w:val="false"/>
          <w:smallCaps w:val="false"/>
          <w:strike w:val="false"/>
          <w:dstrike w:val="false"/>
          <w:color w:val="000000"/>
          <w:position w:val="0"/>
          <w:sz w:val="20"/>
          <w:sz w:val="20"/>
          <w:szCs w:val="20"/>
          <w:u w:val="none"/>
          <w:shd w:fill="auto" w:val="clear"/>
          <w:vertAlign w:val="baseline"/>
        </w:rPr>
        <w:t>menor preço</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conforme definido neste Edital e seus anexos. </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Caso o licitante não apresente lances, concorrerá com o valor de sua proposta.</w:t>
      </w:r>
    </w:p>
    <w:p>
      <w:pPr>
        <w:pStyle w:val="Normal1"/>
        <w:keepNext w:val="false"/>
        <w:keepLines w:val="false"/>
        <w:pageBreakBefore w:val="false"/>
        <w:widowControl/>
        <w:numPr>
          <w:ilvl w:val="1"/>
          <w:numId w:val="11"/>
        </w:numPr>
        <w:pBdr/>
        <w:shd w:val="clear" w:fill="auto"/>
        <w:spacing w:lineRule="auto" w:line="276" w:before="12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Nessas condições, as propostas de microempresas e empresas de pequeno porte que se encontrarem na faixa de até 5% (cinco por cento) acima da melhor proposta ou melhor lance serão consideradas empatadas com a primeira colocada.</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Havendo eventual empate entre propostas ou lances, o critério de desempate será aquele previsto no art. 60º, da Lei nº 14.133 de 2021.</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Persistindo o empate, a proposta vencedora será sorteada pelo sistema eletrônico dentre as propostas empatadas. </w:t>
      </w:r>
    </w:p>
    <w:p>
      <w:pPr>
        <w:pStyle w:val="Normal1"/>
        <w:keepNext w:val="false"/>
        <w:keepLines w:val="false"/>
        <w:pageBreakBefore w:val="false"/>
        <w:widowControl/>
        <w:numPr>
          <w:ilvl w:val="1"/>
          <w:numId w:val="11"/>
        </w:numPr>
        <w:pBdr/>
        <w:shd w:val="clear" w:fill="auto"/>
        <w:tabs>
          <w:tab w:val="clear" w:pos="720"/>
          <w:tab w:val="left" w:pos="-12" w:leader="none"/>
        </w:tabs>
        <w:spacing w:lineRule="auto" w:line="276" w:before="0" w:after="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pPr>
        <w:pStyle w:val="Normal1"/>
        <w:keepNext w:val="false"/>
        <w:keepLines w:val="false"/>
        <w:pageBreakBefore w:val="false"/>
        <w:widowControl/>
        <w:numPr>
          <w:ilvl w:val="2"/>
          <w:numId w:val="11"/>
        </w:numPr>
        <w:pBdr/>
        <w:shd w:val="clear" w:fill="auto"/>
        <w:spacing w:lineRule="auto" w:line="276" w:before="0" w:after="0"/>
        <w:ind w:left="1712" w:right="0" w:hanging="720"/>
        <w:jc w:val="both"/>
        <w:rPr>
          <w:rFonts w:ascii="Times New Roman" w:hAnsi="Times New Roman" w:eastAsia="Times New Roman" w:cs="Times New Roman"/>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negociação será realizada por meio do sistema, podendo ser acompanhada pelos demais licitantes.</w:t>
      </w:r>
    </w:p>
    <w:p>
      <w:pPr>
        <w:pStyle w:val="Normal1"/>
        <w:keepNext w:val="false"/>
        <w:keepLines w:val="false"/>
        <w:pageBreakBefore w:val="false"/>
        <w:widowControl/>
        <w:numPr>
          <w:ilvl w:val="2"/>
          <w:numId w:val="11"/>
        </w:numPr>
        <w:pBdr/>
        <w:shd w:val="clear" w:fill="auto"/>
        <w:tabs>
          <w:tab w:val="clear" w:pos="720"/>
          <w:tab w:val="left" w:pos="-12" w:leader="none"/>
        </w:tabs>
        <w:spacing w:lineRule="auto" w:line="276" w:before="0" w:after="0"/>
        <w:ind w:left="1712" w:right="0" w:hanging="720"/>
        <w:jc w:val="both"/>
        <w:rPr>
          <w:rFonts w:ascii="Times New Roman" w:hAnsi="Times New Roman" w:eastAsia="Times New Roman" w:cs="Times New Roman"/>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O pregoeiro solicitará ao licitante melhor classificado que, no prazo de </w:t>
      </w:r>
      <w:r>
        <w:rPr>
          <w:rFonts w:eastAsia="Times New Roman" w:cs="Times New Roman" w:ascii="Times New Roman" w:hAnsi="Times New Roman"/>
          <w:b w:val="false"/>
          <w:i w:val="false"/>
          <w:caps w:val="false"/>
          <w:smallCaps w:val="false"/>
          <w:strike w:val="false"/>
          <w:dstrike w:val="false"/>
          <w:color w:val="FF0000"/>
          <w:position w:val="0"/>
          <w:sz w:val="20"/>
          <w:sz w:val="20"/>
          <w:szCs w:val="20"/>
          <w:u w:val="none"/>
          <w:shd w:fill="auto" w:val="clear"/>
          <w:vertAlign w:val="baseline"/>
        </w:rPr>
        <w:t>2 (duas)</w:t>
      </w:r>
      <w:r>
        <w:rPr>
          <w:rFonts w:eastAsia="Times New Roman" w:cs="Times New Roman" w:ascii="Times New Roman" w:hAnsi="Times New Roman"/>
          <w:b w:val="false"/>
          <w:i/>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horas, envie a proposta adequada ao último lance ofertado após a negociação realizada, acompanhada, se for o caso, dos documentos complementares, quando necessários à confirmação daqueles exigidos neste Edital e já apresentados. </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Após a negociação do preço, o Pregoeiro iniciará a fase de aceitação e julgamento da proposta.</w:t>
      </w:r>
    </w:p>
    <w:p>
      <w:pPr>
        <w:pStyle w:val="Normal1"/>
        <w:keepNext w:val="false"/>
        <w:keepLines w:val="false"/>
        <w:pageBreakBefore w:val="false"/>
        <w:widowControl/>
        <w:numPr>
          <w:ilvl w:val="1"/>
          <w:numId w:val="11"/>
        </w:numPr>
        <w:pBdr/>
        <w:shd w:val="clear" w:fill="auto"/>
        <w:spacing w:lineRule="auto" w:line="276" w:before="0" w:after="0"/>
        <w:ind w:left="425"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Fica estabelecida prioridade de contratação para as microempresas (ME) e empresas de pequeno porte (EPP) sediadas local ou regionalmente, até o limite de 10% (dez por cento) do melhor preço válido, em todos os procedimentos licitatórios em que houver empate entre os licitantes na forma descrito nos artigos 5º e 6º do Decreto Municipal nº 20/2022, de 15 de julho de 2022.</w:t>
      </w:r>
    </w:p>
    <w:p>
      <w:pPr>
        <w:pStyle w:val="Normal1"/>
        <w:keepNext w:val="false"/>
        <w:keepLines w:val="false"/>
        <w:pageBreakBefore w:val="false"/>
        <w:widowControl/>
        <w:pBdr/>
        <w:shd w:val="clear" w:fill="auto"/>
        <w:spacing w:lineRule="auto" w:line="276" w:before="0" w:after="120"/>
        <w:ind w:left="425" w:right="0" w:hanging="0"/>
        <w:jc w:val="both"/>
        <w:rPr>
          <w:rFonts w:ascii="Times New Roman" w:hAnsi="Times New Roman" w:eastAsia="Times New Roman" w:cs="Times New Roman"/>
          <w:b w:val="false"/>
          <w:i/>
          <w:i/>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caps w:val="false"/>
          <w:smallCaps w:val="false"/>
          <w:strike w:val="false"/>
          <w:dstrike w:val="false"/>
          <w:color w:val="000000"/>
          <w:position w:val="0"/>
          <w:sz w:val="20"/>
          <w:sz w:val="20"/>
          <w:szCs w:val="20"/>
          <w:u w:val="none"/>
          <w:shd w:fill="auto" w:val="clear"/>
          <w:vertAlign w:val="baseline"/>
        </w:rPr>
        <w:t xml:space="preserve"> </w:t>
      </w:r>
    </w:p>
    <w:p>
      <w:pPr>
        <w:pStyle w:val="Normal1"/>
        <w:keepNext w:val="true"/>
        <w:keepLines/>
        <w:pageBreakBefore w:val="false"/>
        <w:widowControl/>
        <w:numPr>
          <w:ilvl w:val="0"/>
          <w:numId w:val="11"/>
        </w:numPr>
        <w:pBdr/>
        <w:shd w:val="clear" w:fill="auto"/>
        <w:tabs>
          <w:tab w:val="clear" w:pos="720"/>
          <w:tab w:val="left" w:pos="567" w:leader="none"/>
        </w:tabs>
        <w:spacing w:lineRule="auto" w:line="240" w:before="240" w:after="0"/>
        <w:ind w:left="0" w:right="0" w:hanging="0"/>
        <w:jc w:val="both"/>
        <w:rPr>
          <w:rFonts w:ascii="Times New Roman" w:hAnsi="Times New Roman" w:eastAsia="Times New Roman" w:cs="Times New Roman"/>
          <w:b/>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DA ACEITABILIDADE DA PROPOSTA VENCEDORA.</w:t>
      </w:r>
    </w:p>
    <w:p>
      <w:pPr>
        <w:pStyle w:val="Normal1"/>
        <w:keepNext w:val="false"/>
        <w:keepLines w:val="false"/>
        <w:pageBreakBefore w:val="false"/>
        <w:widowControl/>
        <w:numPr>
          <w:ilvl w:val="1"/>
          <w:numId w:val="11"/>
        </w:numPr>
        <w:pBdr/>
        <w:shd w:val="clear" w:fill="auto"/>
        <w:spacing w:lineRule="auto" w:line="276" w:before="12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Será desclassificada a proposta ou o lance vencedor, apresentar preço final superior ao preço máximo fixado (Acórdão nº 1412/2021 -TCU - Plenário), ou que apresentar preço manifestamente inexequível.</w:t>
      </w:r>
    </w:p>
    <w:p>
      <w:pPr>
        <w:pStyle w:val="Normal1"/>
        <w:keepNext w:val="false"/>
        <w:keepLines w:val="false"/>
        <w:pageBreakBefore w:val="false"/>
        <w:widowControl/>
        <w:numPr>
          <w:ilvl w:val="2"/>
          <w:numId w:val="11"/>
        </w:numPr>
        <w:pBdr/>
        <w:shd w:val="clear" w:fill="auto"/>
        <w:spacing w:lineRule="auto" w:line="276" w:before="0" w:after="0"/>
        <w:ind w:left="1712" w:right="0" w:hanging="720"/>
        <w:jc w:val="both"/>
        <w:rPr>
          <w:rFonts w:ascii="Times New Roman" w:hAnsi="Times New Roman" w:eastAsia="Times New Roman" w:cs="Times New Roman"/>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eastAsia="Times New Roman" w:cs="Times New Roman" w:ascii="Times New Roman" w:hAnsi="Times New Roman"/>
          <w:b w:val="false"/>
          <w:i/>
          <w:caps w:val="false"/>
          <w:smallCaps w:val="false"/>
          <w:strike w:val="false"/>
          <w:dstrike w:val="false"/>
          <w:color w:val="FF0000"/>
          <w:position w:val="0"/>
          <w:sz w:val="20"/>
          <w:sz w:val="20"/>
          <w:szCs w:val="20"/>
          <w:u w:val="none"/>
          <w:shd w:fill="auto" w:val="clear"/>
          <w:vertAlign w:val="baseline"/>
        </w:rPr>
        <w:t> </w:t>
      </w:r>
    </w:p>
    <w:p>
      <w:pPr>
        <w:pStyle w:val="Normal1"/>
        <w:keepNext w:val="false"/>
        <w:keepLines w:val="false"/>
        <w:pageBreakBefore w:val="false"/>
        <w:widowControl/>
        <w:numPr>
          <w:ilvl w:val="1"/>
          <w:numId w:val="11"/>
        </w:numPr>
        <w:pBdr/>
        <w:shd w:val="clear" w:fill="auto"/>
        <w:spacing w:lineRule="auto" w:line="276" w:before="0" w:after="0"/>
        <w:ind w:left="1070" w:right="-15"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Qualquer interessado poderá requerer que se realizem diligências para aferir a exequibilidade e a legalidade das propostas, devendo apresentar as provas ou os indícios que fundamentam a suspeita;</w:t>
      </w:r>
    </w:p>
    <w:p>
      <w:pPr>
        <w:pStyle w:val="Normal1"/>
        <w:keepNext w:val="false"/>
        <w:keepLines w:val="false"/>
        <w:pageBreakBefore w:val="false"/>
        <w:widowControl/>
        <w:numPr>
          <w:ilvl w:val="1"/>
          <w:numId w:val="11"/>
        </w:numPr>
        <w:pBdr/>
        <w:shd w:val="clear" w:fill="auto"/>
        <w:spacing w:lineRule="auto" w:line="276" w:before="0" w:after="0"/>
        <w:ind w:left="1070" w:right="-15"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Normal1"/>
        <w:keepNext w:val="false"/>
        <w:keepLines w:val="false"/>
        <w:pageBreakBefore w:val="false"/>
        <w:widowControl/>
        <w:numPr>
          <w:ilvl w:val="1"/>
          <w:numId w:val="11"/>
        </w:numPr>
        <w:pBdr/>
        <w:shd w:val="clear" w:fill="auto"/>
        <w:spacing w:lineRule="auto" w:line="276" w:before="0" w:after="0"/>
        <w:ind w:left="1070" w:right="-15"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Pregoeiro poderá convocar o licitante para enviar documento digital complementar, por meio de funcionalidade disponível no sistema, no prazo de 24 (vinte e quatro) horas, sob pena de não aceitação da proposta.</w:t>
      </w:r>
    </w:p>
    <w:p>
      <w:pPr>
        <w:pStyle w:val="Normal1"/>
        <w:keepNext w:val="false"/>
        <w:keepLines w:val="false"/>
        <w:pageBreakBefore w:val="false"/>
        <w:widowControl/>
        <w:numPr>
          <w:ilvl w:val="1"/>
          <w:numId w:val="11"/>
        </w:numPr>
        <w:pBdr/>
        <w:shd w:val="clear" w:fill="auto"/>
        <w:spacing w:lineRule="auto" w:line="276" w:before="0" w:after="0"/>
        <w:ind w:left="1070" w:right="-15"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O prazo estabelecido poderá ser prorrogado pelo Pregoeiro por solicitação escrita e justificada do licitante, formulada antes de findo o prazo, e formalmente aceita pelo Pregoeiro. </w:t>
      </w:r>
    </w:p>
    <w:p>
      <w:pPr>
        <w:pStyle w:val="Normal1"/>
        <w:keepNext w:val="false"/>
        <w:keepLines w:val="false"/>
        <w:pageBreakBefore w:val="false"/>
        <w:widowControl/>
        <w:pBdr/>
        <w:shd w:val="clear" w:fill="auto"/>
        <w:spacing w:lineRule="auto" w:line="276" w:before="0" w:after="120"/>
        <w:ind w:left="992"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8.6.1</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Pr>
          <w:rFonts w:eastAsia="Times New Roman" w:cs="Times New Roman" w:ascii="Times New Roman" w:hAnsi="Times New Roman"/>
          <w:b w:val="false"/>
          <w:i w:val="false"/>
          <w:caps w:val="false"/>
          <w:smallCaps w:val="false"/>
          <w:strike/>
          <w:color w:val="000000"/>
          <w:position w:val="0"/>
          <w:sz w:val="20"/>
          <w:sz w:val="20"/>
          <w:szCs w:val="20"/>
          <w:u w:val="none"/>
          <w:shd w:fill="auto" w:val="clear"/>
          <w:vertAlign w:val="baseline"/>
        </w:rPr>
        <w:t>.</w:t>
      </w:r>
    </w:p>
    <w:p>
      <w:pPr>
        <w:pStyle w:val="Normal1"/>
        <w:numPr>
          <w:ilvl w:val="1"/>
          <w:numId w:val="11"/>
        </w:numPr>
        <w:tabs>
          <w:tab w:val="clear" w:pos="720"/>
          <w:tab w:val="left" w:pos="1440" w:leader="none"/>
        </w:tabs>
        <w:spacing w:lineRule="auto" w:line="240" w:before="120" w:after="120"/>
        <w:ind w:left="425" w:right="0" w:hanging="0"/>
        <w:jc w:val="both"/>
        <w:rPr>
          <w:rFonts w:ascii="Times New Roman" w:hAnsi="Times New Roman" w:eastAsia="Times New Roman" w:cs="Times New Roman"/>
        </w:rPr>
      </w:pPr>
      <w:r>
        <w:rPr>
          <w:rFonts w:eastAsia="Times New Roman" w:cs="Times New Roman" w:ascii="Times New Roman" w:hAnsi="Times New Roman"/>
          <w:sz w:val="20"/>
          <w:szCs w:val="20"/>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do(s) Decreto(s) n° 7.816, de 28/09/2012.</w:t>
      </w:r>
    </w:p>
    <w:p>
      <w:pPr>
        <w:pStyle w:val="Normal1"/>
        <w:numPr>
          <w:ilvl w:val="1"/>
          <w:numId w:val="11"/>
        </w:numPr>
        <w:tabs>
          <w:tab w:val="clear" w:pos="720"/>
          <w:tab w:val="left" w:pos="1440" w:leader="none"/>
        </w:tabs>
        <w:spacing w:lineRule="auto" w:line="240" w:before="120" w:after="120"/>
        <w:ind w:left="425" w:right="0" w:hanging="0"/>
        <w:jc w:val="both"/>
        <w:rPr>
          <w:rFonts w:ascii="Times New Roman" w:hAnsi="Times New Roman" w:eastAsia="Times New Roman" w:cs="Times New Roman"/>
        </w:rPr>
      </w:pPr>
      <w:r>
        <w:rPr>
          <w:rFonts w:eastAsia="Times New Roman" w:cs="Times New Roman" w:ascii="Times New Roman" w:hAnsi="Times New Roman"/>
          <w:sz w:val="20"/>
          <w:szCs w:val="20"/>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Nessa hipótese, bem como em caso de inabilitação do licitante, as propostas serão reclassificadas, para fins de nova aplicação da margem de preferência.</w:t>
      </w:r>
    </w:p>
    <w:p>
      <w:pPr>
        <w:pStyle w:val="Normal1"/>
        <w:keepNext w:val="false"/>
        <w:keepLines w:val="false"/>
        <w:pageBreakBefore w:val="false"/>
        <w:widowControl/>
        <w:numPr>
          <w:ilvl w:val="1"/>
          <w:numId w:val="11"/>
        </w:numPr>
        <w:pBdr/>
        <w:shd w:val="clear" w:fill="auto"/>
        <w:spacing w:lineRule="auto" w:line="276" w:before="12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 a proposta ou lance vencedor for desclassificado, o Pregoeiro examinará a proposta ou lance subsequente, e, assim sucessivamente, na ordem de classificação.</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Havendo necessidade, o Pregoeiro suspenderá a sessão, informando no “</w:t>
      </w:r>
      <w:r>
        <w:rPr>
          <w:rFonts w:eastAsia="Times New Roman" w:cs="Times New Roman" w:ascii="Times New Roman" w:hAnsi="Times New Roman"/>
          <w:b w:val="false"/>
          <w:i/>
          <w:caps w:val="false"/>
          <w:smallCaps w:val="false"/>
          <w:strike w:val="false"/>
          <w:dstrike w:val="false"/>
          <w:color w:val="000000"/>
          <w:position w:val="0"/>
          <w:sz w:val="20"/>
          <w:sz w:val="20"/>
          <w:szCs w:val="20"/>
          <w:u w:val="none"/>
          <w:shd w:fill="auto" w:val="clear"/>
          <w:vertAlign w:val="baseline"/>
        </w:rPr>
        <w:t>chat</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a nova data e horário para a sua continuidade.</w:t>
      </w:r>
    </w:p>
    <w:p>
      <w:pPr>
        <w:pStyle w:val="Normal1"/>
        <w:keepNext w:val="false"/>
        <w:keepLines w:val="false"/>
        <w:pageBreakBefore w:val="false"/>
        <w:widowControl/>
        <w:numPr>
          <w:ilvl w:val="1"/>
          <w:numId w:val="11"/>
        </w:numPr>
        <w:pBdr/>
        <w:shd w:val="clear" w:fill="auto"/>
        <w:spacing w:lineRule="auto" w:line="276" w:before="0" w:after="12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Pregoeiro poderá encaminhar, por meio do sistema eletrônico, contraproposta ao licitante que apresentou o lance mais vantajoso, com o fim de negociar a obtenção de melhor preço, vedada a negociação em condições diversas das previstas neste Edital.</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Também nas hipóteses em que o Pregoeiro não aceitar a proposta e passar à subsequente, poderá negociar com o licitante para que seja obtido preço melhor.</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negociação será realizada por meio do sistema, podendo ser acompanhada pelos demais licitantes.</w:t>
      </w:r>
    </w:p>
    <w:p>
      <w:pPr>
        <w:pStyle w:val="Normal1"/>
        <w:keepNext w:val="false"/>
        <w:keepLines w:val="false"/>
        <w:pageBreakBefore w:val="false"/>
        <w:widowControl/>
        <w:numPr>
          <w:ilvl w:val="1"/>
          <w:numId w:val="11"/>
        </w:numPr>
        <w:pBdr/>
        <w:shd w:val="clear" w:fill="auto"/>
        <w:spacing w:lineRule="auto" w:line="276" w:before="120" w:after="12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pPr>
        <w:pStyle w:val="Normal1"/>
        <w:numPr>
          <w:ilvl w:val="1"/>
          <w:numId w:val="11"/>
        </w:numPr>
        <w:spacing w:lineRule="auto" w:line="240" w:before="120" w:after="120"/>
        <w:ind w:left="1070" w:right="-15" w:hanging="360"/>
        <w:jc w:val="both"/>
        <w:rPr>
          <w:rFonts w:ascii="Times New Roman" w:hAnsi="Times New Roman" w:eastAsia="Times New Roman" w:cs="Times New Roman"/>
        </w:rPr>
      </w:pPr>
      <w:r>
        <w:rPr>
          <w:rFonts w:eastAsia="Times New Roman" w:cs="Times New Roman" w:ascii="Times New Roman" w:hAnsi="Times New Roman"/>
          <w:sz w:val="20"/>
          <w:szCs w:val="20"/>
        </w:rPr>
        <w:t>Encerrada a análise quanto à aceitação da proposta, o pregoeiro verificará a habilitação do licitante, observado o disposto neste Edital. </w:t>
      </w:r>
    </w:p>
    <w:p>
      <w:pPr>
        <w:pStyle w:val="Normal1"/>
        <w:keepNext w:val="true"/>
        <w:keepLines/>
        <w:pageBreakBefore w:val="false"/>
        <w:widowControl/>
        <w:numPr>
          <w:ilvl w:val="0"/>
          <w:numId w:val="11"/>
        </w:numPr>
        <w:pBdr/>
        <w:shd w:val="clear" w:fill="auto"/>
        <w:tabs>
          <w:tab w:val="clear" w:pos="720"/>
          <w:tab w:val="left" w:pos="567" w:leader="none"/>
        </w:tabs>
        <w:spacing w:lineRule="auto" w:line="240" w:before="240" w:after="0"/>
        <w:ind w:left="0" w:right="0" w:hanging="0"/>
        <w:jc w:val="both"/>
        <w:rPr>
          <w:rFonts w:ascii="Times New Roman" w:hAnsi="Times New Roman" w:eastAsia="Times New Roman" w:cs="Times New Roman"/>
          <w:b/>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 xml:space="preserve">DA HABILITAÇÃO  </w:t>
      </w:r>
    </w:p>
    <w:p>
      <w:pPr>
        <w:pStyle w:val="Normal1"/>
        <w:keepNext w:val="false"/>
        <w:keepLines w:val="false"/>
        <w:pageBreakBefore w:val="false"/>
        <w:widowControl/>
        <w:numPr>
          <w:ilvl w:val="1"/>
          <w:numId w:val="11"/>
        </w:numPr>
        <w:pBdr/>
        <w:shd w:val="clear" w:fill="auto"/>
        <w:spacing w:lineRule="auto" w:line="276" w:before="120" w:after="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pPr>
        <w:pStyle w:val="Normal1"/>
        <w:keepNext w:val="false"/>
        <w:keepLines w:val="false"/>
        <w:pageBreakBefore w:val="false"/>
        <w:widowControl/>
        <w:numPr>
          <w:ilvl w:val="2"/>
          <w:numId w:val="11"/>
        </w:numPr>
        <w:pBdr/>
        <w:shd w:val="clear" w:fill="auto"/>
        <w:spacing w:lineRule="auto" w:line="276" w:before="0" w:after="0"/>
        <w:ind w:left="1712" w:right="0" w:hanging="720"/>
        <w:jc w:val="both"/>
        <w:rPr>
          <w:rFonts w:ascii="Times New Roman" w:hAnsi="Times New Roman" w:eastAsia="Times New Roman" w:cs="Times New Roman"/>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Consulta Consolidada de Pessoa Jurídica do Tribunal de Contas da União (</w:t>
      </w:r>
      <w:hyperlink r:id="rId4">
        <w:r>
          <w:rPr>
            <w:rFonts w:eastAsia="Times New Roman" w:cs="Times New Roman" w:ascii="Times New Roman" w:hAnsi="Times New Roman"/>
            <w:b w:val="false"/>
            <w:i w:val="false"/>
            <w:caps w:val="false"/>
            <w:smallCaps w:val="false"/>
            <w:strike w:val="false"/>
            <w:dstrike w:val="false"/>
            <w:color w:val="000080"/>
            <w:position w:val="0"/>
            <w:sz w:val="20"/>
            <w:sz w:val="20"/>
            <w:szCs w:val="20"/>
            <w:u w:val="single"/>
            <w:shd w:fill="auto" w:val="clear"/>
            <w:vertAlign w:val="baseline"/>
          </w:rPr>
          <w:t>https://certidoes-apf.apps.tcu.gov.br/</w:t>
        </w:r>
      </w:hyperlink>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w:t>
      </w:r>
    </w:p>
    <w:p>
      <w:pPr>
        <w:pStyle w:val="Normal1"/>
        <w:keepNext w:val="false"/>
        <w:keepLines w:val="false"/>
        <w:pageBreakBefore w:val="false"/>
        <w:widowControl/>
        <w:numPr>
          <w:ilvl w:val="2"/>
          <w:numId w:val="11"/>
        </w:numPr>
        <w:pBdr/>
        <w:shd w:val="clear" w:fill="auto"/>
        <w:spacing w:lineRule="auto" w:line="276" w:before="0" w:after="0"/>
        <w:ind w:left="1134" w:right="0" w:hanging="0"/>
        <w:jc w:val="both"/>
        <w:rPr>
          <w:rFonts w:ascii="Times New Roman" w:hAnsi="Times New Roman" w:eastAsia="Times New Roman" w:cs="Times New Roman"/>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ormal1"/>
        <w:keepNext w:val="false"/>
        <w:keepLines w:val="false"/>
        <w:pageBreakBefore w:val="false"/>
        <w:widowControl/>
        <w:numPr>
          <w:ilvl w:val="3"/>
          <w:numId w:val="11"/>
        </w:numPr>
        <w:pBdr/>
        <w:shd w:val="clear" w:fill="auto"/>
        <w:spacing w:lineRule="auto" w:line="276" w:before="0" w:after="0"/>
        <w:ind w:left="2208" w:right="0" w:hanging="72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Caso conste na Consulta de Situação do Fornecedor a existência de Ocorrências Impeditivas Indiretas, o gestor diligenciará para verificar se houve fraude por parte das empresas apontadas no Relatório de Ocorrências Impeditivas Indiretas.</w:t>
      </w:r>
    </w:p>
    <w:p>
      <w:pPr>
        <w:pStyle w:val="Normal1"/>
        <w:keepNext w:val="false"/>
        <w:keepLines w:val="false"/>
        <w:pageBreakBefore w:val="false"/>
        <w:widowControl/>
        <w:numPr>
          <w:ilvl w:val="3"/>
          <w:numId w:val="11"/>
        </w:numPr>
        <w:pBdr/>
        <w:shd w:val="clear" w:fill="auto"/>
        <w:spacing w:lineRule="auto" w:line="276" w:before="0" w:after="0"/>
        <w:ind w:left="2208" w:right="0" w:hanging="72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tentativa de burla será verificada por meio dos vínculos societários, linhas de fornecimento similares, dentre outros.</w:t>
      </w:r>
    </w:p>
    <w:p>
      <w:pPr>
        <w:pStyle w:val="Normal1"/>
        <w:keepNext w:val="false"/>
        <w:keepLines w:val="false"/>
        <w:pageBreakBefore w:val="false"/>
        <w:widowControl/>
        <w:numPr>
          <w:ilvl w:val="3"/>
          <w:numId w:val="11"/>
        </w:numPr>
        <w:pBdr/>
        <w:shd w:val="clear" w:fill="auto"/>
        <w:spacing w:lineRule="auto" w:line="276" w:before="0" w:after="0"/>
        <w:ind w:left="2208" w:right="0" w:hanging="72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licitante será convocado para manifestação previamente à sua desclassificação.</w:t>
      </w:r>
    </w:p>
    <w:p>
      <w:pPr>
        <w:pStyle w:val="Normal1"/>
        <w:keepNext w:val="false"/>
        <w:keepLines w:val="false"/>
        <w:pageBreakBefore w:val="false"/>
        <w:widowControl/>
        <w:numPr>
          <w:ilvl w:val="2"/>
          <w:numId w:val="11"/>
        </w:numPr>
        <w:pBdr/>
        <w:shd w:val="clear" w:fill="auto"/>
        <w:spacing w:lineRule="auto" w:line="276" w:before="0" w:after="0"/>
        <w:ind w:left="1134" w:right="0" w:hanging="0"/>
        <w:jc w:val="both"/>
        <w:rPr>
          <w:rFonts w:ascii="Times New Roman" w:hAnsi="Times New Roman" w:eastAsia="Times New Roman" w:cs="Times New Roman"/>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Constatada a existência de sanção, o Pregoeiro reputará o licitante inabilitado, por falta de condição de participação.</w:t>
      </w:r>
    </w:p>
    <w:p>
      <w:pPr>
        <w:pStyle w:val="Normal1"/>
        <w:keepNext w:val="false"/>
        <w:keepLines w:val="false"/>
        <w:pageBreakBefore w:val="false"/>
        <w:widowControl/>
        <w:numPr>
          <w:ilvl w:val="2"/>
          <w:numId w:val="11"/>
        </w:numPr>
        <w:pBdr/>
        <w:shd w:val="clear" w:fill="auto"/>
        <w:spacing w:lineRule="auto" w:line="276" w:before="0" w:after="0"/>
        <w:ind w:left="1134" w:right="0" w:hanging="0"/>
        <w:jc w:val="both"/>
        <w:rPr>
          <w:rFonts w:ascii="Times New Roman" w:hAnsi="Times New Roman" w:eastAsia="Times New Roman" w:cs="Times New Roman"/>
          <w:i w:val="false"/>
          <w:i w:val="false"/>
          <w:caps w:val="false"/>
          <w:smallCaps w:val="false"/>
          <w:strike w:val="false"/>
          <w:dstrike w:val="false"/>
          <w:position w:val="0"/>
          <w:sz w:val="20"/>
          <w:sz w:val="20"/>
          <w:szCs w:val="20"/>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No caso de inabilitação, haverá nova verificação, pelo sistema, da eventual ocorrência do empate ficto, previsto nos arts. 44 e 45 da Lei Complementar nº 123, de 2006, seguindo-se a disciplina antes estabelecida para aceitação da proposta subsequente.</w:t>
      </w:r>
    </w:p>
    <w:p>
      <w:pPr>
        <w:pStyle w:val="Normal1"/>
        <w:keepNext w:val="false"/>
        <w:keepLines w:val="false"/>
        <w:pageBreakBefore w:val="false"/>
        <w:widowControl/>
        <w:pBdr/>
        <w:shd w:val="clear" w:fill="auto"/>
        <w:spacing w:lineRule="auto" w:line="276" w:before="0" w:after="120"/>
        <w:ind w:left="999"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highlight w:val="yellow"/>
          <w:u w:val="none"/>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highlight w:val="yellow"/>
          <w:u w:val="none"/>
          <w:vertAlign w:val="baseline"/>
        </w:rPr>
      </w:r>
    </w:p>
    <w:p>
      <w:pPr>
        <w:pStyle w:val="Normal1"/>
        <w:keepNext w:val="false"/>
        <w:keepLines w:val="false"/>
        <w:pageBreakBefore w:val="false"/>
        <w:widowControl/>
        <w:numPr>
          <w:ilvl w:val="1"/>
          <w:numId w:val="11"/>
        </w:numPr>
        <w:pBdr/>
        <w:shd w:val="clear" w:fill="FFFFFF"/>
        <w:spacing w:lineRule="auto" w:line="276" w:before="120" w:after="12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Havendo a necessidade de envio de documentos de habilitação complementares, necessários à confirmação daqueles exigidos neste Edital e já apresentados, o licitante será convocado a encaminhá-los, em formato digital, via e-mail, no prazo de 2 (duas)</w:t>
      </w:r>
      <w:r>
        <w:rPr>
          <w:rFonts w:eastAsia="Times New Roman" w:cs="Times New Roman" w:ascii="Times New Roman" w:hAnsi="Times New Roman"/>
          <w:b w:val="false"/>
          <w:i/>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horas, sob pena de inabilitação.</w:t>
      </w:r>
    </w:p>
    <w:p>
      <w:pPr>
        <w:pStyle w:val="Normal1"/>
        <w:keepNext w:val="false"/>
        <w:keepLines w:val="false"/>
        <w:pageBreakBefore w:val="false"/>
        <w:widowControl/>
        <w:numPr>
          <w:ilvl w:val="1"/>
          <w:numId w:val="11"/>
        </w:numPr>
        <w:pBdr/>
        <w:shd w:val="clear" w:fill="auto"/>
        <w:spacing w:lineRule="auto" w:line="276" w:before="120" w:after="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Não serão aceitos documentos de habilitação com indicação de CNPJ/CPF diferentes, salvo aqueles legalmente permitidos.</w:t>
      </w:r>
    </w:p>
    <w:p>
      <w:pPr>
        <w:pStyle w:val="Normal1"/>
        <w:keepNext w:val="false"/>
        <w:keepLines w:val="false"/>
        <w:pageBreakBefore w:val="false"/>
        <w:widowControl/>
        <w:numPr>
          <w:ilvl w:val="1"/>
          <w:numId w:val="11"/>
        </w:numPr>
        <w:pBdr/>
        <w:shd w:val="clear" w:fill="auto"/>
        <w:spacing w:lineRule="auto" w:line="276" w:before="0" w:after="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pStyle w:val="Normal1"/>
        <w:keepNext w:val="false"/>
        <w:keepLines w:val="false"/>
        <w:pageBreakBefore w:val="false"/>
        <w:widowControl/>
        <w:numPr>
          <w:ilvl w:val="2"/>
          <w:numId w:val="11"/>
        </w:numPr>
        <w:pBdr/>
        <w:shd w:val="clear" w:fill="auto"/>
        <w:spacing w:lineRule="auto" w:line="276" w:before="0" w:after="0"/>
        <w:ind w:left="1712" w:right="0" w:hanging="720"/>
        <w:jc w:val="both"/>
        <w:rPr>
          <w:rFonts w:ascii="Times New Roman" w:hAnsi="Times New Roman" w:eastAsia="Times New Roman" w:cs="Times New Roman"/>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aceitos registros de CNPJ de licitante matriz e filial com diferenças de números de documentos pertinentes ao CND e ao CRF/FGTS, quando for comprovada a centralização do recolhimento dessas contribuições.</w:t>
      </w:r>
    </w:p>
    <w:p>
      <w:pPr>
        <w:pStyle w:val="Normal1"/>
        <w:keepNext w:val="false"/>
        <w:keepLines w:val="false"/>
        <w:pageBreakBefore w:val="false"/>
        <w:widowControl/>
        <w:numPr>
          <w:ilvl w:val="1"/>
          <w:numId w:val="11"/>
        </w:numPr>
        <w:pBdr/>
        <w:shd w:val="clear" w:fill="auto"/>
        <w:spacing w:lineRule="auto" w:line="276" w:before="0" w:after="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Ressalvado o disposto no item 5.3, os licitantes deverão encaminhar, nos termos deste Edital, a documentação relacionada no </w:t>
      </w: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ANEXO II</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para fins de habilitação:</w:t>
      </w:r>
    </w:p>
    <w:p>
      <w:pPr>
        <w:pStyle w:val="Normal1"/>
        <w:keepNext w:val="false"/>
        <w:keepLines w:val="false"/>
        <w:pageBreakBefore w:val="false"/>
        <w:widowControl/>
        <w:pBdr/>
        <w:shd w:val="clear" w:fill="auto"/>
        <w:spacing w:lineRule="auto" w:line="276" w:before="0" w:after="0"/>
        <w:ind w:left="999"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pageBreakBefore w:val="false"/>
        <w:widowControl/>
        <w:numPr>
          <w:ilvl w:val="1"/>
          <w:numId w:val="11"/>
        </w:numPr>
        <w:pBdr/>
        <w:shd w:val="clear" w:fill="auto"/>
        <w:spacing w:lineRule="auto" w:line="276" w:before="0" w:after="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b/>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Havendo necessidade de analisar minuciosamente os documentos exigidos, o Pregoeiro suspenderá a sessão, informando no “chat” a nova data e horário para a continuidade da mesma.</w:t>
      </w:r>
    </w:p>
    <w:p>
      <w:pPr>
        <w:pStyle w:val="Normal1"/>
        <w:keepNext w:val="false"/>
        <w:keepLines w:val="false"/>
        <w:pageBreakBefore w:val="false"/>
        <w:widowControl/>
        <w:numPr>
          <w:ilvl w:val="1"/>
          <w:numId w:val="11"/>
        </w:numPr>
        <w:pBdr/>
        <w:shd w:val="clear" w:fill="auto"/>
        <w:spacing w:lineRule="auto" w:line="276" w:before="0" w:after="12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Será inabilitado o licitante que não comprovar sua habilitação, seja por não apresentar quaisquer dos documentos exigidos, ou apresentá-los em desacordo com o estabelecido neste Edital.</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 Constatado o atendimento às exigências de habilitação fixadas no Edital, o licitante será declarado vencedor.</w:t>
      </w:r>
    </w:p>
    <w:p>
      <w:pPr>
        <w:pStyle w:val="Normal1"/>
        <w:keepNext w:val="true"/>
        <w:keepLines/>
        <w:pageBreakBefore w:val="false"/>
        <w:widowControl/>
        <w:numPr>
          <w:ilvl w:val="0"/>
          <w:numId w:val="11"/>
        </w:numPr>
        <w:pBdr/>
        <w:shd w:val="clear" w:fill="auto"/>
        <w:tabs>
          <w:tab w:val="clear" w:pos="720"/>
          <w:tab w:val="left" w:pos="567" w:leader="none"/>
        </w:tabs>
        <w:spacing w:lineRule="auto" w:line="240" w:before="240" w:after="0"/>
        <w:ind w:left="0" w:right="0" w:hanging="0"/>
        <w:jc w:val="both"/>
        <w:rPr>
          <w:rFonts w:ascii="Times New Roman" w:hAnsi="Times New Roman" w:eastAsia="Times New Roman" w:cs="Times New Roman"/>
          <w:b/>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i/>
          <w:caps w:val="false"/>
          <w:smallCaps w:val="false"/>
          <w:strike w:val="false"/>
          <w:dstrike w:val="false"/>
          <w:color w:val="000000"/>
          <w:position w:val="0"/>
          <w:sz w:val="20"/>
          <w:sz w:val="20"/>
          <w:szCs w:val="20"/>
          <w:u w:val="none"/>
          <w:shd w:fill="auto" w:val="clear"/>
          <w:vertAlign w:val="baseline"/>
        </w:rPr>
        <w:t>DO ENCAMINHAMENTO DA PROPOSTA VENCEDORA</w:t>
      </w:r>
    </w:p>
    <w:p>
      <w:pPr>
        <w:pStyle w:val="Normal1"/>
        <w:keepNext w:val="false"/>
        <w:keepLines w:val="false"/>
        <w:pageBreakBefore w:val="false"/>
        <w:widowControl/>
        <w:numPr>
          <w:ilvl w:val="1"/>
          <w:numId w:val="11"/>
        </w:numPr>
        <w:pBdr/>
        <w:shd w:val="clear" w:fill="auto"/>
        <w:spacing w:lineRule="auto" w:line="276" w:before="120" w:after="12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proposta final do licitante declarado vencedor deverá ser encaminhada no prazo de 2 (duas.) horas, a contar da solicitação do Pregoeiro no sistema eletrônico e deverá:</w:t>
      </w:r>
    </w:p>
    <w:p>
      <w:pPr>
        <w:pStyle w:val="Normal1"/>
        <w:numPr>
          <w:ilvl w:val="2"/>
          <w:numId w:val="11"/>
        </w:numPr>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ser redigida em língua portuguesa, datilografada ou digitada, em uma via, sem emendas, rasuras, entrelinhas ou ressalvas, devendo a última folha ser assinada e as demais rubricadas pelo licitante ou seu representante legal.</w:t>
      </w:r>
    </w:p>
    <w:p>
      <w:pPr>
        <w:pStyle w:val="Normal1"/>
        <w:numPr>
          <w:ilvl w:val="2"/>
          <w:numId w:val="11"/>
        </w:numPr>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conter a indicação do banco, número da conta e agência do licitante vencedor, para fins de pagamento.</w:t>
      </w:r>
    </w:p>
    <w:p>
      <w:pPr>
        <w:pStyle w:val="Normal1"/>
        <w:keepNext w:val="false"/>
        <w:keepLines w:val="false"/>
        <w:pageBreakBefore w:val="false"/>
        <w:widowControl/>
        <w:numPr>
          <w:ilvl w:val="1"/>
          <w:numId w:val="11"/>
        </w:numPr>
        <w:pBdr/>
        <w:shd w:val="clear" w:fill="auto"/>
        <w:spacing w:lineRule="auto" w:line="276" w:before="120" w:after="12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proposta final deverá ser documentada nos autos e será levada em consideração no decorrer da execução do contrato e aplicação de eventual sanção à Contratada, se for o caso.</w:t>
      </w:r>
    </w:p>
    <w:p>
      <w:pPr>
        <w:pStyle w:val="Normal1"/>
        <w:numPr>
          <w:ilvl w:val="2"/>
          <w:numId w:val="11"/>
        </w:numPr>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Todas as especificações do objeto contidas na proposta, tais como marca, modelo, tipo, fabricante e procedência, vinculam a Contratada.</w:t>
      </w:r>
    </w:p>
    <w:p>
      <w:pPr>
        <w:pStyle w:val="Normal1"/>
        <w:keepNext w:val="false"/>
        <w:keepLines w:val="false"/>
        <w:pageBreakBefore w:val="false"/>
        <w:widowControl/>
        <w:numPr>
          <w:ilvl w:val="1"/>
          <w:numId w:val="11"/>
        </w:numPr>
        <w:pBdr/>
        <w:shd w:val="clear" w:fill="auto"/>
        <w:spacing w:lineRule="auto" w:line="276" w:before="120" w:after="12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Os preços deverão ser expressos em moeda corrente nacional, o valor unitário em algarismos e o valor global em algarismos e por extenso.</w:t>
      </w:r>
    </w:p>
    <w:p>
      <w:pPr>
        <w:pStyle w:val="Normal1"/>
        <w:numPr>
          <w:ilvl w:val="2"/>
          <w:numId w:val="11"/>
        </w:numPr>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Ocorrendo divergência entre os preços unitários e o preço global, prevalecerão os primeiros; no caso de divergência entre os valores numéricos e os valores expressos por extenso, prevalecerão estes últimos.</w:t>
      </w:r>
    </w:p>
    <w:p>
      <w:pPr>
        <w:pStyle w:val="Normal1"/>
        <w:keepNext w:val="false"/>
        <w:keepLines w:val="false"/>
        <w:pageBreakBefore w:val="false"/>
        <w:widowControl/>
        <w:numPr>
          <w:ilvl w:val="1"/>
          <w:numId w:val="11"/>
        </w:numPr>
        <w:pBdr/>
        <w:shd w:val="clear" w:fill="auto"/>
        <w:spacing w:lineRule="auto" w:line="276" w:before="120" w:after="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oferta deverá ser firme e precisa, limitada, rigorosamente, ao objeto deste Edital, sem conter alternativas de preço ou de qualquer outra condição que induza o julgamento a mais de um resultado, sob pena de desclassificação.</w:t>
      </w:r>
    </w:p>
    <w:p>
      <w:pPr>
        <w:pStyle w:val="Normal1"/>
        <w:keepNext w:val="false"/>
        <w:keepLines w:val="false"/>
        <w:pageBreakBefore w:val="false"/>
        <w:widowControl/>
        <w:numPr>
          <w:ilvl w:val="1"/>
          <w:numId w:val="11"/>
        </w:numPr>
        <w:pBdr/>
        <w:shd w:val="clear" w:fill="auto"/>
        <w:spacing w:lineRule="auto" w:line="276" w:before="0" w:after="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proposta deverá obedecer aos termos deste Edital e seus Anexos, não sendo considerada aquela que não corresponda às especificações ali contidas ou que estabeleça vínculo à proposta de outro licitante.</w:t>
      </w:r>
    </w:p>
    <w:p>
      <w:pPr>
        <w:pStyle w:val="Normal1"/>
        <w:keepNext w:val="false"/>
        <w:keepLines w:val="false"/>
        <w:pageBreakBefore w:val="false"/>
        <w:widowControl/>
        <w:pBdr/>
        <w:shd w:val="clear" w:fill="auto"/>
        <w:spacing w:lineRule="auto" w:line="276" w:before="0" w:after="0"/>
        <w:ind w:left="999"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pageBreakBefore w:val="false"/>
        <w:widowControl/>
        <w:numPr>
          <w:ilvl w:val="1"/>
          <w:numId w:val="11"/>
        </w:numPr>
        <w:pBdr/>
        <w:shd w:val="clear" w:fill="auto"/>
        <w:spacing w:lineRule="auto" w:line="276" w:before="0" w:after="12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As propostas que contenham a descrição do objeto, o valor e os documentos complementares estarão disponíveis na internet, após a homologação.</w:t>
      </w:r>
    </w:p>
    <w:p>
      <w:pPr>
        <w:pStyle w:val="Normal1"/>
        <w:keepNext w:val="true"/>
        <w:keepLines/>
        <w:pageBreakBefore w:val="false"/>
        <w:widowControl/>
        <w:numPr>
          <w:ilvl w:val="0"/>
          <w:numId w:val="11"/>
        </w:numPr>
        <w:pBdr/>
        <w:shd w:val="clear" w:fill="auto"/>
        <w:tabs>
          <w:tab w:val="clear" w:pos="720"/>
          <w:tab w:val="left" w:pos="567" w:leader="none"/>
        </w:tabs>
        <w:spacing w:lineRule="auto" w:line="240" w:before="240" w:after="0"/>
        <w:ind w:left="0" w:right="0" w:hanging="0"/>
        <w:jc w:val="both"/>
        <w:rPr>
          <w:rFonts w:ascii="Times New Roman" w:hAnsi="Times New Roman" w:eastAsia="Times New Roman" w:cs="Times New Roman"/>
          <w:b/>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DOS RECURSOS</w:t>
      </w:r>
    </w:p>
    <w:p>
      <w:pPr>
        <w:pStyle w:val="Normal1"/>
        <w:keepNext w:val="false"/>
        <w:keepLines w:val="false"/>
        <w:pageBreakBefore w:val="false"/>
        <w:widowControl/>
        <w:numPr>
          <w:ilvl w:val="1"/>
          <w:numId w:val="11"/>
        </w:numPr>
        <w:pBdr/>
        <w:shd w:val="clear" w:fill="auto"/>
        <w:spacing w:lineRule="auto" w:line="276" w:before="12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w:t>
      </w:r>
    </w:p>
    <w:p>
      <w:pPr>
        <w:pStyle w:val="Normal1"/>
        <w:keepNext w:val="false"/>
        <w:keepLines w:val="false"/>
        <w:pageBreakBefore w:val="false"/>
        <w:widowControl/>
        <w:numPr>
          <w:ilvl w:val="1"/>
          <w:numId w:val="11"/>
        </w:numPr>
        <w:pBdr/>
        <w:shd w:val="clear" w:fill="auto"/>
        <w:spacing w:lineRule="auto" w:line="276" w:before="0" w:after="12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Havendo quem se manifeste, caberá ao Pregoeiro verificar a tempestividade e a existência de motivação da intenção de recorrer, para decidir se admite ou não o recurso, fundamentadamente.</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Nesse momento o Pregoeiro não adentrará no mérito recursal, mas apenas verificará as condições de admissibilidade do recurso.</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falta de manifestação motivada do licitante quanto à intenção de recorrer importará a decadência desse direito.</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pPr>
        <w:pStyle w:val="Normal1"/>
        <w:keepNext w:val="false"/>
        <w:keepLines w:val="false"/>
        <w:pageBreakBefore w:val="false"/>
        <w:widowControl/>
        <w:numPr>
          <w:ilvl w:val="1"/>
          <w:numId w:val="11"/>
        </w:numPr>
        <w:pBdr/>
        <w:shd w:val="clear" w:fill="auto"/>
        <w:spacing w:lineRule="auto" w:line="276" w:before="12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O acolhimento do recurso invalida tão somente os atos insuscetíveis de aproveitamento. </w:t>
      </w:r>
    </w:p>
    <w:p>
      <w:pPr>
        <w:pStyle w:val="Normal1"/>
        <w:keepNext w:val="false"/>
        <w:keepLines w:val="false"/>
        <w:pageBreakBefore w:val="false"/>
        <w:widowControl/>
        <w:numPr>
          <w:ilvl w:val="1"/>
          <w:numId w:val="11"/>
        </w:numPr>
        <w:pBdr/>
        <w:shd w:val="clear" w:fill="auto"/>
        <w:spacing w:lineRule="auto" w:line="276" w:before="0" w:after="12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Os autos do processo permanecerão com vista franqueada aos interessados, no endereço constante neste Edital.</w:t>
      </w:r>
    </w:p>
    <w:p>
      <w:pPr>
        <w:pStyle w:val="Normal1"/>
        <w:keepNext w:val="true"/>
        <w:keepLines/>
        <w:pageBreakBefore w:val="false"/>
        <w:widowControl/>
        <w:numPr>
          <w:ilvl w:val="0"/>
          <w:numId w:val="11"/>
        </w:numPr>
        <w:pBdr/>
        <w:shd w:val="clear" w:fill="auto"/>
        <w:tabs>
          <w:tab w:val="clear" w:pos="720"/>
          <w:tab w:val="left" w:pos="567" w:leader="none"/>
        </w:tabs>
        <w:spacing w:lineRule="auto" w:line="240" w:before="240" w:after="0"/>
        <w:ind w:left="0" w:right="0" w:hanging="0"/>
        <w:jc w:val="both"/>
        <w:rPr>
          <w:rFonts w:ascii="Times New Roman" w:hAnsi="Times New Roman" w:eastAsia="Times New Roman" w:cs="Times New Roman"/>
          <w:b w:val="false"/>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DA REABERTURA DA SESSÃO PÚBLICA</w:t>
      </w:r>
    </w:p>
    <w:p>
      <w:pPr>
        <w:pStyle w:val="Normal1"/>
        <w:keepNext w:val="false"/>
        <w:keepLines w:val="false"/>
        <w:pageBreakBefore w:val="false"/>
        <w:widowControl/>
        <w:numPr>
          <w:ilvl w:val="1"/>
          <w:numId w:val="11"/>
        </w:numPr>
        <w:pBdr/>
        <w:shd w:val="clear" w:fill="auto"/>
        <w:tabs>
          <w:tab w:val="clear" w:pos="720"/>
          <w:tab w:val="left" w:pos="567" w:leader="none"/>
        </w:tabs>
        <w:spacing w:lineRule="auto" w:line="276" w:before="120" w:after="12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sessão pública poderá ser reaberta:</w:t>
      </w:r>
    </w:p>
    <w:p>
      <w:pPr>
        <w:pStyle w:val="Normal1"/>
        <w:keepNext w:val="false"/>
        <w:keepLines w:val="false"/>
        <w:pageBreakBefore w:val="false"/>
        <w:widowControl/>
        <w:numPr>
          <w:ilvl w:val="2"/>
          <w:numId w:val="11"/>
        </w:numPr>
        <w:pBdr/>
        <w:shd w:val="clear" w:fill="auto"/>
        <w:tabs>
          <w:tab w:val="clear" w:pos="720"/>
          <w:tab w:val="left" w:pos="567" w:leader="none"/>
        </w:tabs>
        <w:spacing w:lineRule="auto" w:line="276" w:before="120" w:after="120"/>
        <w:ind w:left="1134" w:right="0" w:hanging="0"/>
        <w:jc w:val="both"/>
        <w:rPr>
          <w:rFonts w:ascii="Times New Roman" w:hAnsi="Times New Roman" w:eastAsia="Times New Roman" w:cs="Times New Roman"/>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Nas hipóteses de provimento de recurso que leve à anulação de atos anteriores à realização da sessão pública precedente ou em que seja anulada a própria sessão pública, situação em que serão repetidos os atos anulados e os que dele dependam.</w:t>
      </w:r>
    </w:p>
    <w:p>
      <w:pPr>
        <w:pStyle w:val="Normal1"/>
        <w:keepNext w:val="false"/>
        <w:keepLines w:val="false"/>
        <w:pageBreakBefore w:val="false"/>
        <w:widowControl/>
        <w:numPr>
          <w:ilvl w:val="2"/>
          <w:numId w:val="11"/>
        </w:numPr>
        <w:pBdr/>
        <w:shd w:val="clear" w:fill="auto"/>
        <w:tabs>
          <w:tab w:val="clear" w:pos="720"/>
          <w:tab w:val="left" w:pos="567" w:leader="none"/>
        </w:tabs>
        <w:spacing w:lineRule="auto" w:line="276" w:before="120" w:after="120"/>
        <w:ind w:left="1134" w:right="0" w:hanging="0"/>
        <w:jc w:val="both"/>
        <w:rPr>
          <w:rFonts w:ascii="Times New Roman" w:hAnsi="Times New Roman" w:eastAsia="Times New Roman" w:cs="Times New Roman"/>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pPr>
        <w:pStyle w:val="Normal1"/>
        <w:keepNext w:val="false"/>
        <w:keepLines w:val="false"/>
        <w:pageBreakBefore w:val="false"/>
        <w:widowControl/>
        <w:numPr>
          <w:ilvl w:val="1"/>
          <w:numId w:val="11"/>
        </w:numPr>
        <w:pBdr/>
        <w:shd w:val="clear" w:fill="auto"/>
        <w:tabs>
          <w:tab w:val="clear" w:pos="720"/>
          <w:tab w:val="left" w:pos="567" w:leader="none"/>
        </w:tabs>
        <w:spacing w:lineRule="auto" w:line="276" w:before="120" w:after="12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Todos os licitantes remanescentes deverão ser convocados para acompanhar a sessão reaberta.</w:t>
      </w:r>
    </w:p>
    <w:p>
      <w:pPr>
        <w:pStyle w:val="Normal1"/>
        <w:keepNext w:val="false"/>
        <w:keepLines w:val="false"/>
        <w:pageBreakBefore w:val="false"/>
        <w:widowControl/>
        <w:numPr>
          <w:ilvl w:val="2"/>
          <w:numId w:val="11"/>
        </w:numPr>
        <w:pBdr/>
        <w:shd w:val="clear" w:fill="auto"/>
        <w:tabs>
          <w:tab w:val="clear" w:pos="720"/>
          <w:tab w:val="left" w:pos="567" w:leader="none"/>
        </w:tabs>
        <w:spacing w:lineRule="auto" w:line="276" w:before="120" w:after="120"/>
        <w:ind w:left="1134" w:right="0" w:hanging="0"/>
        <w:jc w:val="both"/>
        <w:rPr>
          <w:rFonts w:ascii="Times New Roman" w:hAnsi="Times New Roman" w:eastAsia="Times New Roman" w:cs="Times New Roman"/>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convocação se dará por meio do sistema eletrônico (“chat”), e-mail, ou, ainda, fac-símile, de acordo com a fase do procedimento licitatório.</w:t>
      </w:r>
    </w:p>
    <w:p>
      <w:pPr>
        <w:pStyle w:val="Normal1"/>
        <w:keepNext w:val="true"/>
        <w:keepLines/>
        <w:pageBreakBefore w:val="false"/>
        <w:widowControl/>
        <w:numPr>
          <w:ilvl w:val="0"/>
          <w:numId w:val="11"/>
        </w:numPr>
        <w:pBdr/>
        <w:shd w:val="clear" w:fill="auto"/>
        <w:tabs>
          <w:tab w:val="clear" w:pos="720"/>
          <w:tab w:val="left" w:pos="567" w:leader="none"/>
        </w:tabs>
        <w:spacing w:lineRule="auto" w:line="240" w:before="240" w:after="0"/>
        <w:ind w:left="0" w:right="0" w:hanging="0"/>
        <w:jc w:val="both"/>
        <w:rPr>
          <w:rFonts w:ascii="Times New Roman" w:hAnsi="Times New Roman" w:eastAsia="Times New Roman" w:cs="Times New Roman"/>
          <w:b/>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 xml:space="preserve">DA ADJUDICAÇÃO E HOMOLOGAÇÃO </w:t>
      </w:r>
    </w:p>
    <w:p>
      <w:pPr>
        <w:pStyle w:val="Normal1"/>
        <w:keepNext w:val="false"/>
        <w:keepLines w:val="false"/>
        <w:pageBreakBefore w:val="false"/>
        <w:widowControl/>
        <w:numPr>
          <w:ilvl w:val="1"/>
          <w:numId w:val="11"/>
        </w:numPr>
        <w:pBdr/>
        <w:shd w:val="clear" w:fill="auto"/>
        <w:spacing w:lineRule="auto" w:line="276" w:before="12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 objeto da licitação será adjudicado ao licitante declarado vencedor, por ato do Pregoeiro, caso não haja interposição de recurso, ou pela autoridade competente, após a regular decisão dos recursos apresentados.</w:t>
      </w:r>
    </w:p>
    <w:p>
      <w:pPr>
        <w:pStyle w:val="Normal1"/>
        <w:keepNext w:val="false"/>
        <w:keepLines w:val="false"/>
        <w:pageBreakBefore w:val="false"/>
        <w:widowControl/>
        <w:numPr>
          <w:ilvl w:val="1"/>
          <w:numId w:val="11"/>
        </w:numPr>
        <w:pBdr/>
        <w:shd w:val="clear" w:fill="auto"/>
        <w:spacing w:lineRule="auto" w:line="276" w:before="0" w:after="12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Após a fase recursal, constatada a regularidade dos atos praticados, a autoridade competente homologará o procedimento licitatório. </w:t>
      </w:r>
    </w:p>
    <w:p>
      <w:pPr>
        <w:pStyle w:val="Normal1"/>
        <w:keepNext w:val="false"/>
        <w:keepLines w:val="false"/>
        <w:pageBreakBefore w:val="false"/>
        <w:widowControl/>
        <w:numPr>
          <w:ilvl w:val="1"/>
          <w:numId w:val="11"/>
        </w:numPr>
        <w:pBdr/>
        <w:shd w:val="clear" w:fill="auto"/>
        <w:spacing w:lineRule="auto" w:line="276" w:before="120" w:after="12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 xml:space="preserve">DA GARANTIA DE EXECUÇÃO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Será exigida a prestação de garantia na presente contratação, conforme regras constantes do Termo de Referência.</w:t>
      </w:r>
    </w:p>
    <w:p>
      <w:pPr>
        <w:pStyle w:val="Normal1"/>
        <w:keepNext w:val="true"/>
        <w:keepLines/>
        <w:pageBreakBefore w:val="false"/>
        <w:widowControl/>
        <w:numPr>
          <w:ilvl w:val="0"/>
          <w:numId w:val="11"/>
        </w:numPr>
        <w:pBdr/>
        <w:shd w:val="clear" w:fill="auto"/>
        <w:tabs>
          <w:tab w:val="clear" w:pos="720"/>
          <w:tab w:val="left" w:pos="567" w:leader="none"/>
        </w:tabs>
        <w:spacing w:lineRule="auto" w:line="240" w:before="240" w:after="0"/>
        <w:ind w:left="360" w:right="0" w:hanging="360"/>
        <w:jc w:val="both"/>
        <w:rPr>
          <w:rFonts w:ascii="Times New Roman" w:hAnsi="Times New Roman" w:eastAsia="Times New Roman" w:cs="Times New Roman"/>
          <w:b/>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DA ATA DO REGISTRO DE PREÇOS</w:t>
      </w:r>
    </w:p>
    <w:p>
      <w:pPr>
        <w:pStyle w:val="Normal1"/>
        <w:rPr>
          <w:rFonts w:ascii="Times New Roman" w:hAnsi="Times New Roman" w:eastAsia="Times New Roman" w:cs="Times New Roman"/>
        </w:rPr>
      </w:pPr>
      <w:r>
        <w:rPr>
          <w:rFonts w:eastAsia="Times New Roman" w:cs="Times New Roman" w:ascii="Times New Roman" w:hAnsi="Times New Roman"/>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15.1. Decididos os recursos e constatada a regularidade dos atos praticados, a autoridade competente homologará o procedimento e determinará a convocação dos beneficiários para a assinatura da Ata de Registro de Preços, no prazo de 2(dois) dias úteis. </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15.2. A ata de registro de preços será formalizada, com observância das disposições do Decreto Municipal nº 14/2021, e será subscrita pela autoridade que assinou/rubricou o edital.</w:t>
      </w:r>
    </w:p>
    <w:p>
      <w:pPr>
        <w:pStyle w:val="Normal1"/>
        <w:tabs>
          <w:tab w:val="clear" w:pos="720"/>
          <w:tab w:val="left" w:pos="8640" w:leader="none"/>
        </w:tabs>
        <w:rPr>
          <w:rFonts w:ascii="Times New Roman" w:hAnsi="Times New Roman" w:eastAsia="Times New Roman" w:cs="Times New Roman"/>
          <w:sz w:val="20"/>
          <w:szCs w:val="20"/>
        </w:rPr>
      </w:pPr>
      <w:r>
        <w:rPr>
          <w:rFonts w:eastAsia="Times New Roman" w:cs="Times New Roman" w:ascii="Times New Roman" w:hAnsi="Times New Roman"/>
          <w:sz w:val="20"/>
          <w:szCs w:val="20"/>
        </w:rPr>
        <w:t>15.3. A licitante que convocada para assinar a ata deixar de fazê-lo no prazo fixado, dela será excluída.</w:t>
        <w:tab/>
      </w:r>
    </w:p>
    <w:p>
      <w:pPr>
        <w:pStyle w:val="Normal1"/>
        <w:rPr/>
      </w:pPr>
      <w:r>
        <w:rPr>
          <w:rFonts w:eastAsia="Times New Roman" w:cs="Times New Roman" w:ascii="Times New Roman" w:hAnsi="Times New Roman"/>
          <w:sz w:val="20"/>
          <w:szCs w:val="20"/>
        </w:rPr>
        <w:t>15.4. Colhidas as assinaturas, o Órgão Gerenciador providenciará a imediata publicação da ata e, se for o caso, do ato que promover a exclusão de que trata o subitem anterior.</w:t>
      </w:r>
    </w:p>
    <w:p>
      <w:pPr>
        <w:pStyle w:val="Normal1"/>
        <w:rPr>
          <w:rFonts w:ascii="Times New Roman" w:hAnsi="Times New Roman" w:eastAsia="Times New Roman" w:cs="Times New Roman"/>
          <w:sz w:val="20"/>
          <w:szCs w:val="20"/>
        </w:rPr>
      </w:pPr>
      <w:r>
        <w:rPr>
          <w:rFonts w:eastAsia="Times New Roman" w:cs="Times New Roman" w:ascii="Times New Roman" w:hAnsi="Times New Roman"/>
          <w:sz w:val="20"/>
          <w:szCs w:val="20"/>
        </w:rPr>
        <w:t>15.5. Este processo por se tratar de Pregão com Registro de Preço não está obrigado a consumir ou executar todas as quantidades mencionadas no ANEXO III do Edital, por se tratar de mera expectativa prevista de consumo/execução pelo Departamento solicitante, podendo ser superior ou inferior ao informado, conforme previsto no art. 3, inciso IV e art. 9, incisos II e III e art. 22, Parágrafos 3º e 4º do Decreto Federal nº 7.892 de 23 de janeiro de 2013.</w:t>
        <w:br/>
      </w:r>
    </w:p>
    <w:p>
      <w:pPr>
        <w:pStyle w:val="Normal1"/>
        <w:rPr/>
      </w:pPr>
      <w:r>
        <w:rPr>
          <w:rFonts w:eastAsia="Times New Roman" w:cs="Times New Roman" w:ascii="Times New Roman" w:hAnsi="Times New Roman"/>
          <w:sz w:val="20"/>
          <w:szCs w:val="20"/>
        </w:rPr>
        <w:t>15.6. As aquisições ou contratações adicionais a que se refere este artigo não poderão exceder, por órgão ou entidade, a cem por cento dos quantitativos dos itens do instrumento convocatório e registrados na ata de registro de preços para o órgão gerenciador e órgão participantes, conforme art. 22, parágrafo 3º do Decreto Federal nº 7.892 de 23/01/2013.</w:t>
        <w:br/>
      </w:r>
    </w:p>
    <w:p>
      <w:pPr>
        <w:pStyle w:val="Normal1"/>
        <w:rPr/>
      </w:pPr>
      <w:r>
        <w:rPr>
          <w:rFonts w:eastAsia="Times New Roman" w:cs="Times New Roman" w:ascii="Times New Roman" w:hAnsi="Times New Roman"/>
          <w:sz w:val="20"/>
          <w:szCs w:val="20"/>
        </w:rPr>
        <w:t>15.7. O prazo de validade do registro de preços será de 12 (doze) meses, contado a partir da data da assinatura da respectiva Ata.</w:t>
      </w:r>
    </w:p>
    <w:p>
      <w:pPr>
        <w:pStyle w:val="Normal1"/>
        <w:rPr/>
      </w:pPr>
      <w:r>
        <w:rPr>
          <w:rFonts w:eastAsia="Times New Roman" w:cs="Times New Roman" w:ascii="Times New Roman" w:hAnsi="Times New Roman"/>
          <w:sz w:val="20"/>
          <w:szCs w:val="20"/>
        </w:rPr>
        <w:t>15.8. O cancelamento do registro de preços ocorrerá nas hipóteses e condições estabelecidas no artigo 13 do Decreto Municipal nº 14/2021.</w:t>
        <w:br/>
      </w:r>
    </w:p>
    <w:p>
      <w:pPr>
        <w:pStyle w:val="Normal1"/>
        <w:keepNext w:val="false"/>
        <w:keepLines w:val="false"/>
        <w:pageBreakBefore w:val="false"/>
        <w:widowControl/>
        <w:pBdr/>
        <w:shd w:val="clear" w:fill="auto"/>
        <w:spacing w:lineRule="auto" w:line="276" w:before="120" w:after="120"/>
        <w:ind w:left="710" w:right="0" w:hanging="0"/>
        <w:jc w:val="both"/>
        <w:rPr>
          <w:rFonts w:ascii="Arial" w:hAnsi="Arial" w:eastAsia="Arial" w:cs="Arial"/>
          <w:b w:val="false"/>
          <w:i w:val="false"/>
          <w:i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DO REAJUSTAMENTO EM SENTIDO GERAL</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As regras acerca do reajustamento em sentido geral do valor contratual são as estabelecidas no Termo de Referência, anexo a este Edital.</w:t>
      </w:r>
    </w:p>
    <w:p>
      <w:pPr>
        <w:pStyle w:val="Normal1"/>
        <w:keepNext w:val="true"/>
        <w:keepLines/>
        <w:pageBreakBefore w:val="false"/>
        <w:widowControl/>
        <w:numPr>
          <w:ilvl w:val="0"/>
          <w:numId w:val="11"/>
        </w:numPr>
        <w:pBdr/>
        <w:shd w:val="clear" w:fill="auto"/>
        <w:tabs>
          <w:tab w:val="clear" w:pos="720"/>
          <w:tab w:val="left" w:pos="567" w:leader="none"/>
        </w:tabs>
        <w:spacing w:lineRule="auto" w:line="240" w:before="240" w:after="0"/>
        <w:ind w:left="0" w:right="0" w:hanging="0"/>
        <w:jc w:val="both"/>
        <w:rPr>
          <w:rFonts w:ascii="Times New Roman" w:hAnsi="Times New Roman" w:eastAsia="Times New Roman" w:cs="Times New Roman"/>
          <w:b/>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DO RECEBIMENTO DO OBJETO E DA FISCALIZAÇÃO</w:t>
      </w:r>
    </w:p>
    <w:p>
      <w:pPr>
        <w:pStyle w:val="Normal1"/>
        <w:keepNext w:val="false"/>
        <w:keepLines w:val="false"/>
        <w:pageBreakBefore w:val="false"/>
        <w:widowControl/>
        <w:pBdr/>
        <w:shd w:val="clear" w:fill="auto"/>
        <w:spacing w:lineRule="auto" w:line="276" w:before="120" w:after="120"/>
        <w:ind w:left="567"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Os critérios de recebimento e aceitação do objeto e de fiscalização estão previstos no Termo de Referência.</w:t>
      </w:r>
    </w:p>
    <w:p>
      <w:pPr>
        <w:pStyle w:val="Normal1"/>
        <w:keepNext w:val="true"/>
        <w:keepLines/>
        <w:pageBreakBefore w:val="false"/>
        <w:widowControl/>
        <w:numPr>
          <w:ilvl w:val="0"/>
          <w:numId w:val="11"/>
        </w:numPr>
        <w:pBdr/>
        <w:shd w:val="clear" w:fill="auto"/>
        <w:tabs>
          <w:tab w:val="clear" w:pos="720"/>
          <w:tab w:val="left" w:pos="567" w:leader="none"/>
        </w:tabs>
        <w:spacing w:lineRule="auto" w:line="240" w:before="240" w:after="0"/>
        <w:ind w:left="0" w:right="0" w:hanging="0"/>
        <w:jc w:val="both"/>
        <w:rPr>
          <w:rFonts w:ascii="Times New Roman" w:hAnsi="Times New Roman" w:eastAsia="Times New Roman" w:cs="Times New Roman"/>
          <w:b/>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DAS OBRIGAÇÕES DA CONTRATANTE E DA CONTRATADA</w:t>
      </w:r>
    </w:p>
    <w:p>
      <w:pPr>
        <w:pStyle w:val="Normal1"/>
        <w:keepNext w:val="false"/>
        <w:keepLines w:val="false"/>
        <w:pageBreakBefore w:val="false"/>
        <w:widowControl/>
        <w:pBdr/>
        <w:shd w:val="clear" w:fill="auto"/>
        <w:spacing w:lineRule="auto" w:line="276" w:before="120" w:after="120"/>
        <w:ind w:left="567"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As obrigações da Contratante e da Contratada são as estabelecidas no Termo de Referência.</w:t>
      </w: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 xml:space="preserve"> </w:t>
      </w:r>
    </w:p>
    <w:p>
      <w:pPr>
        <w:pStyle w:val="Normal1"/>
        <w:keepNext w:val="true"/>
        <w:keepLines/>
        <w:pageBreakBefore w:val="false"/>
        <w:widowControl/>
        <w:numPr>
          <w:ilvl w:val="0"/>
          <w:numId w:val="11"/>
        </w:numPr>
        <w:pBdr/>
        <w:shd w:val="clear" w:fill="auto"/>
        <w:tabs>
          <w:tab w:val="clear" w:pos="720"/>
          <w:tab w:val="left" w:pos="567" w:leader="none"/>
        </w:tabs>
        <w:spacing w:lineRule="auto" w:line="240" w:before="240" w:after="0"/>
        <w:ind w:left="0" w:right="0" w:hanging="0"/>
        <w:jc w:val="both"/>
        <w:rPr>
          <w:rFonts w:ascii="Times New Roman" w:hAnsi="Times New Roman" w:eastAsia="Times New Roman" w:cs="Times New Roman"/>
          <w:b/>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DO PAGAMENTO</w:t>
      </w:r>
    </w:p>
    <w:p>
      <w:pPr>
        <w:pStyle w:val="Normal1"/>
        <w:keepNext w:val="false"/>
        <w:keepLines w:val="false"/>
        <w:pageBreakBefore w:val="false"/>
        <w:widowControl/>
        <w:pBdr/>
        <w:shd w:val="clear" w:fill="auto"/>
        <w:spacing w:lineRule="auto" w:line="276" w:before="120" w:after="120"/>
        <w:ind w:left="0" w:right="0" w:firstLine="708"/>
        <w:jc w:val="both"/>
        <w:rPr>
          <w:rFonts w:ascii="Times New Roman" w:hAnsi="Times New Roman" w:eastAsia="Times New Roman" w:cs="Times New Roman"/>
          <w:b w:val="false"/>
          <w:i w:val="false"/>
          <w:i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As regras acerca do pagamento são as estabelecidas no Termo de Referência, anexo a este Edital.</w:t>
      </w:r>
    </w:p>
    <w:p>
      <w:pPr>
        <w:pStyle w:val="Normal1"/>
        <w:keepNext w:val="true"/>
        <w:keepLines/>
        <w:pageBreakBefore w:val="false"/>
        <w:widowControl/>
        <w:numPr>
          <w:ilvl w:val="0"/>
          <w:numId w:val="11"/>
        </w:numPr>
        <w:pBdr/>
        <w:shd w:val="clear" w:fill="auto"/>
        <w:tabs>
          <w:tab w:val="clear" w:pos="720"/>
          <w:tab w:val="left" w:pos="567" w:leader="none"/>
        </w:tabs>
        <w:spacing w:lineRule="auto" w:line="240" w:before="240" w:after="0"/>
        <w:ind w:left="0" w:right="0" w:hanging="0"/>
        <w:jc w:val="both"/>
        <w:rPr>
          <w:rFonts w:ascii="Times New Roman" w:hAnsi="Times New Roman" w:eastAsia="Times New Roman" w:cs="Times New Roman"/>
          <w:b/>
          <w:i w:val="false"/>
          <w:i w:val="false"/>
          <w:caps w:val="false"/>
          <w:smallCaps w:val="false"/>
          <w:strike w:val="false"/>
          <w:dstrike w:val="false"/>
          <w:position w:val="0"/>
          <w:sz w:val="20"/>
          <w:sz w:val="20"/>
          <w:szCs w:val="20"/>
          <w:highlight w:val="white"/>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DAS SANÇÕES ADMINISTRATIVAS.</w:t>
      </w:r>
    </w:p>
    <w:p>
      <w:pPr>
        <w:pStyle w:val="Normal1"/>
        <w:keepNext w:val="false"/>
        <w:keepLines w:val="false"/>
        <w:pageBreakBefore w:val="false"/>
        <w:widowControl/>
        <w:numPr>
          <w:ilvl w:val="1"/>
          <w:numId w:val="11"/>
        </w:numPr>
        <w:pBdr/>
        <w:shd w:val="clear" w:fill="auto"/>
        <w:spacing w:lineRule="auto" w:line="276" w:before="120" w:after="12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highlight w:val="white"/>
          <w:u w:val="none"/>
          <w:vertAlign w:val="baseline"/>
        </w:rPr>
        <w:t xml:space="preserve">Comete infração administrativa, nos termos da Lei nº 14.133, de 2021, o licitante/adjudicatário que: </w:t>
      </w:r>
    </w:p>
    <w:p>
      <w:pPr>
        <w:pStyle w:val="Normal1"/>
        <w:numPr>
          <w:ilvl w:val="2"/>
          <w:numId w:val="11"/>
        </w:numPr>
        <w:spacing w:lineRule="auto" w:line="240" w:before="120" w:after="120"/>
        <w:ind w:left="1712"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dar causa à inexecução parcial do contrato;</w:t>
      </w:r>
    </w:p>
    <w:p>
      <w:pPr>
        <w:pStyle w:val="Normal1"/>
        <w:numPr>
          <w:ilvl w:val="2"/>
          <w:numId w:val="11"/>
        </w:numPr>
        <w:spacing w:lineRule="auto" w:line="240" w:before="120" w:after="120"/>
        <w:ind w:left="1712"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dar causa à inexecução parcial do contrato que cause grave dano à Administração, ao funcionamento dos</w:t>
        <w:br/>
        <w:t>serviços públicos ou ao interesse coletivo;</w:t>
      </w:r>
    </w:p>
    <w:p>
      <w:pPr>
        <w:pStyle w:val="Normal1"/>
        <w:numPr>
          <w:ilvl w:val="2"/>
          <w:numId w:val="11"/>
        </w:numPr>
        <w:spacing w:lineRule="auto" w:line="240" w:before="120" w:after="120"/>
        <w:ind w:left="1712"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-dar causa à inexecução total do contrato;</w:t>
      </w:r>
    </w:p>
    <w:p>
      <w:pPr>
        <w:pStyle w:val="Normal1"/>
        <w:numPr>
          <w:ilvl w:val="2"/>
          <w:numId w:val="11"/>
        </w:numPr>
        <w:spacing w:lineRule="auto" w:line="240" w:before="120" w:after="120"/>
        <w:ind w:left="1712"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deixar de entregar a documentação exigida para o certame;</w:t>
      </w:r>
    </w:p>
    <w:p>
      <w:pPr>
        <w:pStyle w:val="Normal1"/>
        <w:numPr>
          <w:ilvl w:val="2"/>
          <w:numId w:val="11"/>
        </w:numPr>
        <w:spacing w:lineRule="auto" w:line="240" w:before="120" w:after="120"/>
        <w:ind w:left="1712"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não manter a proposta, salvo em decorrência de fato superveniente devidamente justificado;</w:t>
      </w:r>
    </w:p>
    <w:p>
      <w:pPr>
        <w:pStyle w:val="Normal1"/>
        <w:numPr>
          <w:ilvl w:val="2"/>
          <w:numId w:val="11"/>
        </w:numPr>
        <w:spacing w:lineRule="auto" w:line="240" w:before="120" w:after="120"/>
        <w:ind w:left="1712"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não celebrar o contrato ou não entregar a documentação exigida para a contratação, quando convocado</w:t>
        <w:br/>
        <w:t>dentro do prazo de validade de sua proposta;</w:t>
      </w:r>
    </w:p>
    <w:p>
      <w:pPr>
        <w:pStyle w:val="Normal1"/>
        <w:numPr>
          <w:ilvl w:val="2"/>
          <w:numId w:val="11"/>
        </w:numPr>
        <w:spacing w:lineRule="auto" w:line="240" w:before="120" w:after="120"/>
        <w:ind w:left="1712"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ensejar o retardamento da execução ou da entrega do objeto da licitação sem motivo justificado;</w:t>
      </w:r>
    </w:p>
    <w:p>
      <w:pPr>
        <w:pStyle w:val="Normal1"/>
        <w:numPr>
          <w:ilvl w:val="2"/>
          <w:numId w:val="11"/>
        </w:numPr>
        <w:spacing w:lineRule="auto" w:line="240" w:before="120" w:after="120"/>
        <w:ind w:left="1712"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apresentar declaração ou documentação falsa exigida para o certame ou prestar declaração falsa durante a licitação ou a execução do contrato;</w:t>
      </w:r>
    </w:p>
    <w:p>
      <w:pPr>
        <w:pStyle w:val="Normal1"/>
        <w:numPr>
          <w:ilvl w:val="2"/>
          <w:numId w:val="11"/>
        </w:numPr>
        <w:spacing w:lineRule="auto" w:line="240" w:before="120" w:after="120"/>
        <w:ind w:left="1712"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fraudar a licitação ou praticar ato fraudulento na execução do contrato;</w:t>
      </w:r>
    </w:p>
    <w:p>
      <w:pPr>
        <w:pStyle w:val="Normal1"/>
        <w:numPr>
          <w:ilvl w:val="2"/>
          <w:numId w:val="11"/>
        </w:numPr>
        <w:spacing w:lineRule="auto" w:line="240" w:before="120" w:after="120"/>
        <w:ind w:left="1712"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comportar-se de modo inidôneo ou cometer fraude de qualquer natureza;</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20.1.11 - praticar atos ilícitos com vistas a frustrar os objetivos da licitação;</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20.1.12 - praticar ato lesivo previsto no art. 5º da Lei nº 12.846, de 1º de agosto de 2013.</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Considera-se comportamento inidôneo, entre outros, a declaração falsa quanto às condições de participação, quanto ao enquadramento como ME/EPP ou o conluio entre os licitantes, em qualquer momento da licitação, mesmo após o encerramento da fase de lances.</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 Serão aplicadas ao responsável pelas infrações administrativas as seguintes sanções: advertência; multa; </w:t>
        <w:br/>
        <w:t>impedimento de licitar e contratar; declaração de inidoneidade para licitar ou contratar.</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Na aplicação das sanções serão considerados:</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20.4.1 - a natureza e a gravidade da infração cometida;</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20.4.2 - as peculiaridades do caso concreto;</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20.4.3 - as circunstâncias agravantes ou atenuantes;</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20.4.4 - os danos que dela provierem para a Administração Pública;</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20.4.5 - a implantação ou o aperfeiçoamento de programa de integridade, conforme normas e orientações dos</w:t>
        <w:br/>
        <w:t>órgãos de controle.</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20.5 -</w:t>
      </w:r>
      <w:r>
        <w:rPr>
          <w:rFonts w:eastAsia="Times New Roman" w:cs="Times New Roman" w:ascii="Times New Roman" w:hAnsi="Times New Roman"/>
          <w:sz w:val="20"/>
          <w:szCs w:val="20"/>
        </w:rPr>
        <w:t xml:space="preserve"> A sanção de advertência será aplicada exclusivamente pela infração administrativa prevista no inciso I do</w:t>
        <w:br/>
        <w:t>caput do art. 155 da Lei nº 14.133/2021, quando não se justificar a imposição de penalidade mais grave.</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20.6</w:t>
      </w:r>
      <w:r>
        <w:rPr>
          <w:rFonts w:eastAsia="Times New Roman" w:cs="Times New Roman" w:ascii="Times New Roman" w:hAnsi="Times New Roman"/>
          <w:sz w:val="20"/>
          <w:szCs w:val="20"/>
        </w:rPr>
        <w:t xml:space="preserve"> - A sanção prevista da multa,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20.7 -</w:t>
      </w:r>
      <w:r>
        <w:rPr>
          <w:rFonts w:eastAsia="Times New Roman" w:cs="Times New Roman" w:ascii="Times New Roman" w:hAnsi="Times New Roman"/>
          <w:sz w:val="20"/>
          <w:szCs w:val="20"/>
        </w:rPr>
        <w:t xml:space="preserve"> A sanção de impedimento de licitar e contratar, será aplicada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20.8 -</w:t>
      </w:r>
      <w:r>
        <w:rPr>
          <w:rFonts w:eastAsia="Times New Roman" w:cs="Times New Roman" w:ascii="Times New Roman" w:hAnsi="Times New Roman"/>
          <w:sz w:val="20"/>
          <w:szCs w:val="20"/>
        </w:rPr>
        <w:t xml:space="preserve"> A sanção de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20.9</w:t>
      </w:r>
      <w:r>
        <w:rPr>
          <w:rFonts w:eastAsia="Times New Roman" w:cs="Times New Roman" w:ascii="Times New Roman" w:hAnsi="Times New Roman"/>
          <w:sz w:val="20"/>
          <w:szCs w:val="20"/>
        </w:rPr>
        <w:t xml:space="preserve"> - As sanções de advertência, multa, impedimento de licitar e contratar, declaração de inidoneidade para licitar ou contratar, poderão ser aplicadas cumulativamente com a sanção de multa.</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20.10</w:t>
      </w:r>
      <w:r>
        <w:rPr>
          <w:rFonts w:eastAsia="Times New Roman" w:cs="Times New Roman" w:ascii="Times New Roman" w:hAnsi="Times New Roman"/>
          <w:sz w:val="20"/>
          <w:szCs w:val="20"/>
        </w:rPr>
        <w:t xml:space="preserve"> - Se a multa aplicada e as indenizações cabíveis forem superiores ao valor de pagamento eventualmente</w:t>
        <w:br/>
        <w:t>devido pela Administração ao contratado, além da perda desse valor, a diferença será descontada da garantia</w:t>
        <w:br/>
        <w:t>prestada ou será cobrada judicialmente.</w:t>
      </w:r>
    </w:p>
    <w:p>
      <w:pPr>
        <w:pStyle w:val="Normal1"/>
        <w:spacing w:lineRule="auto" w:line="240" w:before="120" w:after="120"/>
        <w:ind w:left="1070" w:right="0" w:hanging="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20.11</w:t>
      </w:r>
      <w:r>
        <w:rPr>
          <w:rFonts w:eastAsia="Times New Roman" w:cs="Times New Roman" w:ascii="Times New Roman" w:hAnsi="Times New Roman"/>
          <w:sz w:val="20"/>
          <w:szCs w:val="20"/>
        </w:rPr>
        <w:t xml:space="preserve"> - A aplicação das sanções advertência, multa, impedimento de licitar e contratar e declaração de inidoneidade para licitar ou contratar não exclui, em hipótese alguma, a obrigação de reparação integral do dano causado à Administração Pública.</w:t>
      </w:r>
    </w:p>
    <w:p>
      <w:pPr>
        <w:pStyle w:val="Normal1"/>
        <w:keepNext w:val="true"/>
        <w:keepLines/>
        <w:pageBreakBefore w:val="false"/>
        <w:widowControl/>
        <w:numPr>
          <w:ilvl w:val="0"/>
          <w:numId w:val="11"/>
        </w:numPr>
        <w:pBdr/>
        <w:shd w:val="clear" w:fill="auto"/>
        <w:tabs>
          <w:tab w:val="clear" w:pos="720"/>
          <w:tab w:val="left" w:pos="567" w:leader="none"/>
        </w:tabs>
        <w:spacing w:lineRule="auto" w:line="240" w:before="240" w:after="0"/>
        <w:ind w:left="0" w:right="0" w:hanging="0"/>
        <w:jc w:val="both"/>
        <w:rPr>
          <w:rFonts w:ascii="Times New Roman" w:hAnsi="Times New Roman" w:eastAsia="Times New Roman" w:cs="Times New Roman"/>
          <w:b/>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DA IMPUGNAÇÃO AO EDITAL E DO PEDIDO DE ESCLARECIMENTO</w:t>
      </w:r>
    </w:p>
    <w:p>
      <w:pPr>
        <w:pStyle w:val="Normal1"/>
        <w:keepNext w:val="false"/>
        <w:keepLines w:val="false"/>
        <w:pageBreakBefore w:val="false"/>
        <w:widowControl/>
        <w:numPr>
          <w:ilvl w:val="1"/>
          <w:numId w:val="11"/>
        </w:numPr>
        <w:pBdr/>
        <w:shd w:val="clear" w:fill="auto"/>
        <w:spacing w:lineRule="auto" w:line="276" w:before="120" w:after="0"/>
        <w:ind w:left="1070" w:right="0" w:hanging="36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Até 03 (três) dias úteis antes da data designada para a abertura da sessão pública, qualquer pessoa poderá impugnar este Edital.</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impugnação poderá ser realizada por forma eletrônica, pelo e-mail licitacoes@graopara.sc.gov.br, ou por petição dirigida ou protocolada no endereço Rua Barão do rio Branco, n. 187, Centro, Grão-Pará/SC</w:t>
      </w:r>
      <w:r>
        <w:rPr>
          <w:rFonts w:eastAsia="Times New Roman" w:cs="Times New Roman" w:ascii="Times New Roman" w:hAnsi="Times New Roman"/>
          <w:b w:val="false"/>
          <w:i w:val="false"/>
          <w:caps w:val="false"/>
          <w:smallCaps w:val="false"/>
          <w:strike w:val="false"/>
          <w:dstrike w:val="false"/>
          <w:color w:val="FF0000"/>
          <w:position w:val="0"/>
          <w:sz w:val="20"/>
          <w:sz w:val="20"/>
          <w:szCs w:val="20"/>
          <w:u w:val="none"/>
          <w:shd w:fill="auto" w:val="clear"/>
          <w:vertAlign w:val="baseline"/>
        </w:rPr>
        <w:t>,</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 setor de Licitações.</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Caberá ao Pregoeiro, auxiliado pelos responsáveis pela elaboração deste Edital e seus anexos, decidir sobre a impugnação no prazo de até dois dias úteis contados da data de recebimento da impugnação.</w:t>
      </w:r>
    </w:p>
    <w:p>
      <w:pPr>
        <w:pStyle w:val="Normal1"/>
        <w:keepNext w:val="false"/>
        <w:keepLines w:val="false"/>
        <w:pageBreakBefore w:val="false"/>
        <w:widowControl/>
        <w:numPr>
          <w:ilvl w:val="1"/>
          <w:numId w:val="11"/>
        </w:numPr>
        <w:pBdr/>
        <w:shd w:val="clear" w:fill="auto"/>
        <w:spacing w:lineRule="auto" w:line="276" w:before="0" w:after="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Acolhida a impugnação, será definida e publicada nova data para a realização do certame.</w:t>
      </w:r>
    </w:p>
    <w:p>
      <w:pPr>
        <w:pStyle w:val="Normal1"/>
        <w:keepNext w:val="false"/>
        <w:keepLines w:val="false"/>
        <w:pageBreakBefore w:val="false"/>
        <w:widowControl/>
        <w:numPr>
          <w:ilvl w:val="1"/>
          <w:numId w:val="11"/>
        </w:numPr>
        <w:pBdr/>
        <w:shd w:val="clear" w:fill="auto"/>
        <w:spacing w:lineRule="auto" w:line="276" w:before="0" w:after="12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O pregoeiro responderá aos pedidos de esclarecimentos no prazo de dois dias úteis, contado da data de recebimento do pedido, e poderá requisitar subsídios formais aos responsáveis pela elaboração do edital e dos anexos.</w:t>
      </w:r>
    </w:p>
    <w:p>
      <w:pPr>
        <w:pStyle w:val="Normal1"/>
        <w:keepNext w:val="false"/>
        <w:keepLines w:val="false"/>
        <w:pageBreakBefore w:val="false"/>
        <w:widowControl/>
        <w:numPr>
          <w:ilvl w:val="1"/>
          <w:numId w:val="11"/>
        </w:numPr>
        <w:pBdr/>
        <w:shd w:val="clear" w:fill="auto"/>
        <w:spacing w:lineRule="auto" w:line="276" w:before="120" w:after="120"/>
        <w:ind w:left="425" w:right="0" w:hanging="0"/>
        <w:jc w:val="both"/>
        <w:rPr>
          <w:rFonts w:ascii="Times New Roman" w:hAnsi="Times New Roman" w:eastAsia="Times New Roman" w:cs="Times New Roman"/>
          <w:caps w:val="false"/>
          <w:smallCaps w:val="false"/>
          <w:strike w:val="false"/>
          <w:dstrike w:val="false"/>
          <w:position w:val="0"/>
          <w:sz w:val="24"/>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As impugnações e pedidos de esclarecimentos não suspendem os prazos previstos no certame.</w:t>
      </w:r>
    </w:p>
    <w:p>
      <w:pPr>
        <w:pStyle w:val="Normal1"/>
        <w:numPr>
          <w:ilvl w:val="2"/>
          <w:numId w:val="11"/>
        </w:numPr>
        <w:spacing w:lineRule="auto" w:line="240" w:before="120" w:after="120"/>
        <w:ind w:left="1712"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concessão de efeito suspensivo à impugnação é medida excepcional e deverá ser motivada pelo pregoeiro, nos autos do processo de licitação.</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As respostas aos pedidos de esclarecimentos serão divulgadas pelo sistema e vincularão os participantes e a administração.</w:t>
      </w:r>
    </w:p>
    <w:p>
      <w:pPr>
        <w:pStyle w:val="Normal1"/>
        <w:keepNext w:val="true"/>
        <w:keepLines/>
        <w:pageBreakBefore w:val="false"/>
        <w:widowControl/>
        <w:numPr>
          <w:ilvl w:val="0"/>
          <w:numId w:val="11"/>
        </w:numPr>
        <w:pBdr/>
        <w:shd w:val="clear" w:fill="auto"/>
        <w:tabs>
          <w:tab w:val="clear" w:pos="720"/>
          <w:tab w:val="left" w:pos="567" w:leader="none"/>
        </w:tabs>
        <w:spacing w:lineRule="auto" w:line="240" w:before="240" w:after="0"/>
        <w:ind w:left="0" w:right="0" w:hanging="0"/>
        <w:jc w:val="both"/>
        <w:rPr>
          <w:rFonts w:ascii="Times New Roman" w:hAnsi="Times New Roman" w:eastAsia="Times New Roman" w:cs="Times New Roman"/>
          <w:b/>
          <w:i w:val="false"/>
          <w:i w:val="false"/>
          <w:caps w:val="false"/>
          <w:smallCaps w:val="false"/>
          <w:strike w:val="false"/>
          <w:dstrike w:val="false"/>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DAS DISPOSIÇÕES GERAIS</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Da sessão pública do Pregão divulgar-se-á Ata no sistema eletrônico.</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Todas as referências de tempo no Edital, no aviso e durante a sessão pública observarão o horário de Brasília – DF.</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A homologação do resultado desta licitação não implicará direito à contratação.</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Na contagem dos prazos estabelecidos neste Edital e seus Anexos, excluir-se-á o dia do início e incluir-se-á o do vencimento. Só se iniciam e vencem os prazos em dias de expediente na Administração.</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O desatendimento de exigências formais não essenciais não importará o afastamento do licitante, desde que seja possível o aproveitamento do ato, observados os princípios da isonomia e do interesse público.</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Em caso de divergência entre disposições deste Edital e de seus anexos ou demais peças que compõem o processo, prevalecerá as deste Edital.</w:t>
      </w:r>
    </w:p>
    <w:p>
      <w:pPr>
        <w:pStyle w:val="Normal1"/>
        <w:numPr>
          <w:ilvl w:val="1"/>
          <w:numId w:val="11"/>
        </w:numPr>
        <w:spacing w:lineRule="auto" w:line="240" w:before="120" w:after="120"/>
        <w:ind w:left="1070" w:hanging="360"/>
        <w:jc w:val="both"/>
        <w:rPr>
          <w:rFonts w:ascii="Times New Roman" w:hAnsi="Times New Roman" w:eastAsia="Times New Roman" w:cs="Times New Roman"/>
          <w:highlight w:val="white"/>
        </w:rPr>
      </w:pPr>
      <w:r>
        <w:rPr>
          <w:rFonts w:eastAsia="Times New Roman" w:cs="Times New Roman" w:ascii="Times New Roman" w:hAnsi="Times New Roman"/>
          <w:sz w:val="20"/>
          <w:szCs w:val="20"/>
        </w:rPr>
        <w:t>O Edital está disponibilizado, na íntegra, no endereço eletrônico WWW.BLL.ORG.BR, nos dias úteis, mesmo endereço e período no qual os autos do processo administrativo permanecerão com vista franqueada aos interessados.</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b/>
          <w:color w:val="333333"/>
          <w:sz w:val="20"/>
          <w:szCs w:val="20"/>
          <w:highlight w:val="white"/>
        </w:rPr>
        <w:t>O Município de Grão-Pará fará a retenção de Imposto de Renda, nos termos do Decreto 05/2023.</w:t>
      </w:r>
    </w:p>
    <w:p>
      <w:pPr>
        <w:pStyle w:val="Normal1"/>
        <w:numPr>
          <w:ilvl w:val="1"/>
          <w:numId w:val="11"/>
        </w:numPr>
        <w:spacing w:lineRule="auto" w:line="240" w:before="120" w:after="120"/>
        <w:ind w:left="1070" w:hanging="360"/>
        <w:jc w:val="both"/>
        <w:rPr>
          <w:rFonts w:ascii="Times New Roman" w:hAnsi="Times New Roman" w:eastAsia="Times New Roman" w:cs="Times New Roman"/>
        </w:rPr>
      </w:pPr>
      <w:r>
        <w:rPr>
          <w:rFonts w:eastAsia="Times New Roman" w:cs="Times New Roman" w:ascii="Times New Roman" w:hAnsi="Times New Roman"/>
          <w:sz w:val="20"/>
          <w:szCs w:val="20"/>
        </w:rPr>
        <w:t>Integram este Edital, para todos os fins e efeitos, os seguintes anexos:</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ANEXO I - Termo de Referência;</w:t>
      </w:r>
    </w:p>
    <w:p>
      <w:pPr>
        <w:pStyle w:val="Normal1"/>
        <w:numPr>
          <w:ilvl w:val="2"/>
          <w:numId w:val="11"/>
        </w:numPr>
        <w:spacing w:lineRule="auto" w:line="240" w:before="120" w:after="120"/>
        <w:ind w:left="1712" w:hanging="7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ANEXO II – Exigências para Habilitação;</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ANEXO III – Modelo de proposta;</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ANEXO IV – Termo de Adesão – BLL</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ANEXO V – Custo pela utilização do sistema;</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ANEXO VI – Declaração Inidoneidade</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ANEXO VII – Declaração Habilitação</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ANEXO VIII – Declaração menor de idade;</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ANEXO IX – Declaração ME/EPP</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ANEXO X – Declaração Responsabilidade</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ANEXO XI – Declaração Vínculo</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ANEXO XII – Ata de Registro de Preços</w:t>
      </w:r>
    </w:p>
    <w:p>
      <w:pPr>
        <w:pStyle w:val="Normal1"/>
        <w:numPr>
          <w:ilvl w:val="2"/>
          <w:numId w:val="11"/>
        </w:numPr>
        <w:tabs>
          <w:tab w:val="clear" w:pos="720"/>
          <w:tab w:val="left" w:pos="1440" w:leader="none"/>
        </w:tabs>
        <w:spacing w:lineRule="auto" w:line="240" w:before="120" w:after="120"/>
        <w:ind w:left="1134" w:right="0" w:hanging="0"/>
        <w:jc w:val="both"/>
        <w:rPr>
          <w:rFonts w:ascii="Times New Roman" w:hAnsi="Times New Roman" w:eastAsia="Times New Roman" w:cs="Times New Roman"/>
          <w:i/>
          <w:i/>
          <w:sz w:val="20"/>
          <w:szCs w:val="20"/>
        </w:rPr>
      </w:pPr>
      <w:r>
        <w:rPr>
          <w:rFonts w:eastAsia="Times New Roman" w:cs="Times New Roman" w:ascii="Times New Roman" w:hAnsi="Times New Roman"/>
          <w:sz w:val="20"/>
          <w:szCs w:val="20"/>
        </w:rPr>
        <w:t>ANEXO XIII – Minuta do Contrato</w:t>
      </w:r>
    </w:p>
    <w:p>
      <w:pPr>
        <w:pStyle w:val="Normal1"/>
        <w:tabs>
          <w:tab w:val="clear" w:pos="720"/>
          <w:tab w:val="left" w:pos="1440" w:leader="none"/>
        </w:tabs>
        <w:spacing w:lineRule="auto" w:line="240" w:before="120" w:after="120"/>
        <w:ind w:left="1134" w:right="0" w:hanging="0"/>
        <w:jc w:val="both"/>
        <w:rPr>
          <w:rFonts w:ascii="Times New Roman" w:hAnsi="Times New Roman" w:eastAsia="Times New Roman" w:cs="Times New Roman"/>
          <w:i/>
          <w:i/>
          <w:color w:val="FF0000"/>
          <w:sz w:val="20"/>
          <w:szCs w:val="20"/>
        </w:rPr>
      </w:pPr>
      <w:r>
        <w:rPr>
          <w:rFonts w:eastAsia="Times New Roman" w:cs="Times New Roman" w:ascii="Times New Roman" w:hAnsi="Times New Roman"/>
          <w:i/>
          <w:color w:val="FF0000"/>
          <w:sz w:val="20"/>
          <w:szCs w:val="20"/>
        </w:rPr>
      </w:r>
    </w:p>
    <w:p>
      <w:pPr>
        <w:pStyle w:val="Normal1"/>
        <w:spacing w:lineRule="auto" w:line="240" w:before="240" w:after="240"/>
        <w:ind w:left="360" w:right="-15" w:firstLine="709"/>
        <w:rPr>
          <w:rFonts w:ascii="Times New Roman" w:hAnsi="Times New Roman" w:eastAsia="Times New Roman" w:cs="Times New Roman"/>
          <w:i/>
          <w:i/>
          <w:color w:val="FF0000"/>
          <w:sz w:val="20"/>
          <w:szCs w:val="20"/>
        </w:rPr>
      </w:pPr>
      <w:r>
        <w:rPr>
          <w:rFonts w:eastAsia="Times New Roman" w:cs="Times New Roman" w:ascii="Times New Roman" w:hAnsi="Times New Roman"/>
          <w:sz w:val="20"/>
          <w:szCs w:val="20"/>
        </w:rPr>
        <w:t>Grão-Pará, 10 de maio de 2023.</w:t>
      </w:r>
    </w:p>
    <w:p>
      <w:pPr>
        <w:pStyle w:val="Normal1"/>
        <w:spacing w:lineRule="auto" w:line="240" w:before="240" w:after="240"/>
        <w:ind w:left="0" w:right="-15" w:firstLine="709"/>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40" w:after="240"/>
        <w:ind w:left="0" w:right="0" w:firstLine="709"/>
        <w:jc w:val="center"/>
        <w:rPr>
          <w:rFonts w:ascii="Times New Roman" w:hAnsi="Times New Roman" w:eastAsia="Times New Roman" w:cs="Times New Roman"/>
          <w:i/>
          <w:i/>
          <w:color w:val="FF0000"/>
          <w:sz w:val="20"/>
          <w:szCs w:val="20"/>
        </w:rPr>
      </w:pPr>
      <w:r>
        <w:rPr>
          <w:rFonts w:eastAsia="Times New Roman" w:cs="Times New Roman" w:ascii="Times New Roman" w:hAnsi="Times New Roman"/>
          <w:b/>
          <w:sz w:val="20"/>
          <w:szCs w:val="20"/>
        </w:rPr>
        <w:t>HELIO ALBERTON JUNIOR</w:t>
      </w:r>
    </w:p>
    <w:p>
      <w:pPr>
        <w:pStyle w:val="Normal1"/>
        <w:spacing w:lineRule="auto" w:line="240" w:before="240" w:after="240"/>
        <w:ind w:left="0" w:right="0" w:firstLine="709"/>
        <w:jc w:val="center"/>
        <w:rPr>
          <w:rFonts w:ascii="Times New Roman" w:hAnsi="Times New Roman" w:eastAsia="Times New Roman" w:cs="Times New Roman"/>
          <w:i/>
          <w:i/>
          <w:color w:val="FF0000"/>
          <w:sz w:val="20"/>
          <w:szCs w:val="20"/>
        </w:rPr>
      </w:pPr>
      <w:r>
        <w:rPr>
          <w:rFonts w:eastAsia="Times New Roman" w:cs="Times New Roman" w:ascii="Times New Roman" w:hAnsi="Times New Roman"/>
          <w:b/>
          <w:sz w:val="20"/>
          <w:szCs w:val="20"/>
        </w:rPr>
        <w:t>Prefeito Municipal</w:t>
      </w:r>
      <w:r>
        <w:br w:type="page"/>
      </w:r>
    </w:p>
    <w:p>
      <w:pPr>
        <w:pStyle w:val="Normal1"/>
        <w:spacing w:lineRule="auto" w:line="240" w:before="240" w:after="240"/>
        <w:ind w:left="0" w:right="0" w:firstLine="709"/>
        <w:jc w:val="center"/>
        <w:rPr>
          <w:rFonts w:ascii="Times New Roman" w:hAnsi="Times New Roman" w:eastAsia="Times New Roman" w:cs="Times New Roman"/>
          <w:i/>
          <w:i/>
          <w:color w:val="FF0000"/>
          <w:sz w:val="20"/>
          <w:szCs w:val="20"/>
        </w:rPr>
      </w:pPr>
      <w:r>
        <w:rPr>
          <w:rFonts w:eastAsia="Times New Roman" w:cs="Times New Roman" w:ascii="Times New Roman" w:hAnsi="Times New Roman"/>
          <w:b/>
          <w:sz w:val="20"/>
          <w:szCs w:val="20"/>
        </w:rPr>
        <w:t>ANEXO 01</w:t>
      </w:r>
    </w:p>
    <w:p>
      <w:pPr>
        <w:pStyle w:val="Normal1"/>
        <w:spacing w:lineRule="auto" w:line="240" w:before="280" w:after="280"/>
        <w:ind w:left="0" w:right="0" w:firstLine="708"/>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0" w:right="0" w:firstLine="708"/>
        <w:rPr>
          <w:rFonts w:ascii="Times New Roman" w:hAnsi="Times New Roman" w:eastAsia="Times New Roman" w:cs="Times New Roman"/>
          <w:i/>
          <w:i/>
          <w:color w:val="FF0000"/>
          <w:sz w:val="20"/>
          <w:szCs w:val="20"/>
        </w:rPr>
      </w:pPr>
      <w:r>
        <w:rPr>
          <w:rFonts w:eastAsia="Times New Roman" w:cs="Times New Roman" w:ascii="Times New Roman" w:hAnsi="Times New Roman"/>
          <w:b/>
          <w:sz w:val="20"/>
          <w:szCs w:val="20"/>
        </w:rPr>
        <w:t xml:space="preserve">PREGÃO ELETRONICO Nº 12/2023 </w:t>
      </w:r>
    </w:p>
    <w:p>
      <w:pPr>
        <w:pStyle w:val="Normal1"/>
        <w:spacing w:lineRule="auto" w:line="240" w:before="280" w:after="280"/>
        <w:ind w:left="0" w:right="0" w:firstLine="708"/>
        <w:rPr>
          <w:rFonts w:ascii="Times New Roman" w:hAnsi="Times New Roman" w:eastAsia="Times New Roman" w:cs="Times New Roman"/>
          <w:i/>
          <w:i/>
          <w:color w:val="FF0000"/>
          <w:sz w:val="20"/>
          <w:szCs w:val="20"/>
        </w:rPr>
      </w:pPr>
      <w:r>
        <w:rPr>
          <w:rFonts w:eastAsia="Times New Roman" w:cs="Times New Roman" w:ascii="Times New Roman" w:hAnsi="Times New Roman"/>
          <w:b/>
          <w:sz w:val="20"/>
          <w:szCs w:val="20"/>
        </w:rPr>
        <w:t>TERMO DE REFERÊNCIA DO OBJETO</w:t>
      </w:r>
    </w:p>
    <w:p>
      <w:pPr>
        <w:pStyle w:val="Normal1"/>
        <w:spacing w:lineRule="auto" w:line="240" w:before="280" w:after="280"/>
        <w:ind w:left="705" w:right="0" w:hanging="0"/>
        <w:rPr>
          <w:rFonts w:ascii="Times New Roman" w:hAnsi="Times New Roman" w:eastAsia="Times New Roman" w:cs="Times New Roman"/>
          <w:i/>
          <w:i/>
          <w:color w:val="FF0000"/>
          <w:sz w:val="20"/>
          <w:szCs w:val="20"/>
        </w:rPr>
      </w:pPr>
      <w:r>
        <w:rPr>
          <w:rFonts w:eastAsia="Times New Roman" w:cs="Times New Roman" w:ascii="Times New Roman" w:hAnsi="Times New Roman"/>
          <w:b/>
          <w:sz w:val="20"/>
          <w:szCs w:val="20"/>
        </w:rPr>
        <w:t xml:space="preserve">OBJETO: </w:t>
      </w:r>
      <w:r>
        <w:rPr>
          <w:rFonts w:eastAsia="Times New Roman" w:cs="Times New Roman" w:ascii="Times New Roman" w:hAnsi="Times New Roman"/>
          <w:sz w:val="20"/>
          <w:szCs w:val="20"/>
        </w:rPr>
        <w:t xml:space="preserve">O presente Pregão tem por objeto </w:t>
      </w:r>
      <w:r>
        <w:rPr>
          <w:rFonts w:eastAsia="Times New Roman" w:cs="Times New Roman" w:ascii="Times New Roman" w:hAnsi="Times New Roman"/>
          <w:b/>
          <w:sz w:val="20"/>
          <w:szCs w:val="20"/>
        </w:rPr>
        <w:t>REGISTRO DE PREÇOS PARA EVENTUAL</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 xml:space="preserve">AQUISIÇÃO DE PRODUTOS ALIMENTÍCIOS PARA O SCFV, CEIS E ESCOLA MUNICIPAL DE GRÃO-PARÁ, </w:t>
      </w:r>
      <w:r>
        <w:rPr>
          <w:rFonts w:eastAsia="Times New Roman" w:cs="Times New Roman" w:ascii="Times New Roman" w:hAnsi="Times New Roman"/>
          <w:sz w:val="20"/>
          <w:szCs w:val="20"/>
        </w:rPr>
        <w:t>conforme condições e especificações constantes no Edital e neste Termo de Referência.</w:t>
      </w:r>
    </w:p>
    <w:p>
      <w:pPr>
        <w:pStyle w:val="Normal1"/>
        <w:spacing w:lineRule="auto" w:line="240" w:before="280" w:after="280"/>
        <w:ind w:left="708" w:right="0" w:hanging="0"/>
        <w:rPr>
          <w:rFonts w:ascii="Times New Roman" w:hAnsi="Times New Roman" w:eastAsia="Times New Roman" w:cs="Times New Roman"/>
          <w:i/>
          <w:i/>
          <w:color w:val="FF0000"/>
          <w:sz w:val="20"/>
          <w:szCs w:val="20"/>
        </w:rPr>
      </w:pPr>
      <w:r>
        <w:rPr>
          <w:rFonts w:eastAsia="Times New Roman" w:cs="Times New Roman" w:ascii="Times New Roman" w:hAnsi="Times New Roman"/>
          <w:sz w:val="20"/>
          <w:szCs w:val="20"/>
        </w:rPr>
        <w:t>Em caso de divergência existente entre as especificações dos itens que compõem o objeto descrito no site da BLL e as especificações constantes deste Termo, prevalecerão as últimas.</w:t>
      </w:r>
    </w:p>
    <w:p>
      <w:pPr>
        <w:pStyle w:val="Normal1"/>
        <w:jc w:val="center"/>
        <w:rPr>
          <w:rFonts w:ascii="Times New Roman" w:hAnsi="Times New Roman" w:eastAsia="Times New Roman" w:cs="Times New Roman"/>
          <w:b/>
          <w:sz w:val="20"/>
          <w:szCs w:val="20"/>
          <w:u w:val="single"/>
        </w:rPr>
      </w:pPr>
      <w:r>
        <w:rPr>
          <w:rFonts w:eastAsia="Times New Roman" w:cs="Times New Roman" w:ascii="Times New Roman" w:hAnsi="Times New Roman"/>
          <w:b/>
          <w:sz w:val="20"/>
          <w:szCs w:val="20"/>
          <w:u w:val="single"/>
        </w:rPr>
        <w:t xml:space="preserve"> </w:t>
      </w:r>
      <w:r>
        <w:rPr>
          <w:rFonts w:eastAsia="Times New Roman" w:cs="Times New Roman" w:ascii="Times New Roman" w:hAnsi="Times New Roman"/>
          <w:b/>
          <w:sz w:val="20"/>
          <w:szCs w:val="20"/>
          <w:u w:val="single"/>
        </w:rPr>
        <w:t>ITENS EXCLUSIVOS PARA MICROEMPRESAS E EMPRESAS DE PEQUENO PORTE NOS TERMOS DO DECRETO MUNICIPAL Nº 20/2022</w:t>
      </w:r>
    </w:p>
    <w:p>
      <w:pPr>
        <w:pStyle w:val="Normal1"/>
        <w:keepNext w:val="false"/>
        <w:keepLines w:val="false"/>
        <w:pageBreakBefore w:val="false"/>
        <w:widowControl/>
        <w:pBdr/>
        <w:shd w:val="clear" w:fill="auto"/>
        <w:spacing w:lineRule="auto" w:line="240" w:before="0" w:after="0"/>
        <w:ind w:left="0" w:right="0" w:hanging="0"/>
        <w:jc w:val="both"/>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r>
    </w:p>
    <w:tbl>
      <w:tblPr>
        <w:tblStyle w:val="Table1"/>
        <w:tblW w:w="10348" w:type="dxa"/>
        <w:jc w:val="left"/>
        <w:tblInd w:w="110" w:type="dxa"/>
        <w:tblLayout w:type="fixed"/>
        <w:tblCellMar>
          <w:top w:w="0" w:type="dxa"/>
          <w:left w:w="108" w:type="dxa"/>
          <w:bottom w:w="0" w:type="dxa"/>
          <w:right w:w="108" w:type="dxa"/>
        </w:tblCellMar>
        <w:tblLook w:val="0000"/>
      </w:tblPr>
      <w:tblGrid>
        <w:gridCol w:w="849"/>
        <w:gridCol w:w="3405"/>
        <w:gridCol w:w="1274"/>
        <w:gridCol w:w="1276"/>
        <w:gridCol w:w="1703"/>
        <w:gridCol w:w="1840"/>
      </w:tblGrid>
      <w:tr>
        <w:trPr>
          <w:trHeight w:val="782"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50" w:hanging="0"/>
              <w:jc w:val="right"/>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ITEM</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181" w:right="1173" w:hanging="0"/>
              <w:jc w:val="center"/>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PRODUTO</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70" w:right="0" w:hanging="0"/>
              <w:jc w:val="left"/>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UNIDADE</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195" w:after="0"/>
              <w:ind w:left="426" w:right="0" w:hanging="262"/>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QUANTID ADE</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43" w:after="0"/>
              <w:ind w:left="657" w:right="0" w:hanging="96"/>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VALOR MÁX.</w:t>
            </w:r>
          </w:p>
          <w:p>
            <w:pPr>
              <w:pStyle w:val="Normal1"/>
              <w:keepNext w:val="false"/>
              <w:keepLines w:val="false"/>
              <w:widowControl w:val="false"/>
              <w:pBdr/>
              <w:shd w:val="clear" w:fill="auto"/>
              <w:spacing w:lineRule="auto" w:line="220" w:before="37" w:after="0"/>
              <w:ind w:left="340" w:right="0" w:hanging="0"/>
              <w:jc w:val="left"/>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UNITÁRIO</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139" w:after="0"/>
              <w:ind w:left="568" w:right="225" w:hanging="276"/>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VALOR MÁX. TOTAL</w:t>
            </w:r>
          </w:p>
        </w:tc>
      </w:tr>
      <w:tr>
        <w:trPr>
          <w:trHeight w:val="3940"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104"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31" w:after="0"/>
              <w:ind w:left="165" w:right="717"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ABÓBORA KABOTIÃ – MADURA SELECIONADA FRESCA, DE ÓTIMA QUALIDADE, COMPACTA, FIRME, COLORAÇÃO UNIFORME, AROMA, COR, TÍPICOS DA ESPÉCIE, EM PERFEITO ESTADO DE DESENVOLVIMENTO. NÃO</w:t>
            </w:r>
          </w:p>
          <w:p>
            <w:pPr>
              <w:pStyle w:val="Normal1"/>
              <w:keepNext w:val="false"/>
              <w:keepLines w:val="false"/>
              <w:widowControl w:val="false"/>
              <w:pBdr/>
              <w:shd w:val="clear" w:fill="auto"/>
              <w:spacing w:lineRule="auto" w:line="240" w:before="2"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PERMITIDOS DANOS QUE LHE ALTEREM A CONFORMAÇÃO E A APARÊNCIA. NECESSITA</w:t>
            </w:r>
          </w:p>
          <w:p>
            <w:pPr>
              <w:pStyle w:val="Normal1"/>
              <w:keepNext w:val="false"/>
              <w:keepLines w:val="false"/>
              <w:widowControl w:val="false"/>
              <w:pBdr/>
              <w:shd w:val="clear" w:fill="auto"/>
              <w:spacing w:lineRule="auto" w:line="240" w:before="0" w:after="0"/>
              <w:ind w:left="165" w:right="34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ISENTA DE SUJIDADES, PARASITAS, RACHADURAS, 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477"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380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93"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4,95</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599" w:right="432"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R$ 1.881,00</w:t>
            </w:r>
          </w:p>
        </w:tc>
      </w:tr>
      <w:tr>
        <w:trPr>
          <w:trHeight w:val="3936"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4"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2</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31" w:after="0"/>
              <w:ind w:left="165" w:right="717"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ABOBRINHA PAULISTA- MADURA SELECIONADA FRESCA, DE ÓTIMA QUALIDADE, COMPACTA, FIRME, COLORAÇÃO UNIFORME, AROMA, COR, TÍPICOS DA ESPÉCIE, EM PERFEITO ESTADO DE DESENVOLVIMENTO. NÃO</w:t>
            </w:r>
          </w:p>
          <w:p>
            <w:pPr>
              <w:pStyle w:val="Normal1"/>
              <w:keepNext w:val="false"/>
              <w:keepLines w:val="false"/>
              <w:widowControl w:val="false"/>
              <w:pBdr/>
              <w:shd w:val="clear" w:fill="auto"/>
              <w:spacing w:lineRule="auto" w:line="240" w:before="2"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PERMITIDOS DANOS QUE LHE ALTEREM A CONFORMAÇÃO E A APARÊNCIA. NECESSITA</w:t>
            </w:r>
          </w:p>
          <w:p>
            <w:pPr>
              <w:pStyle w:val="Normal1"/>
              <w:keepNext w:val="false"/>
              <w:keepLines w:val="false"/>
              <w:widowControl w:val="false"/>
              <w:pBdr/>
              <w:shd w:val="clear" w:fill="auto"/>
              <w:spacing w:lineRule="auto" w:line="240" w:before="0" w:after="0"/>
              <w:ind w:left="165" w:right="34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ISENTA DE SUJIDADES, PARASITAS, RACHADURAS, 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477"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450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93"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4,12</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99" w:right="432"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R$ 1.854,00</w:t>
            </w:r>
          </w:p>
        </w:tc>
      </w:tr>
      <w:tr>
        <w:trPr>
          <w:trHeight w:val="3392"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4"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44"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AIPIM PROCESSADO CONGELADO - TIPO BRANCO, DESCASCADO, COM ASPECTO UNIFORME NA COLORAÇÃO, FIRME E INTACTA, LIVRE DE FERTILIZANTES, SUJIDADES, PARASITAS E</w:t>
            </w:r>
          </w:p>
          <w:p>
            <w:pPr>
              <w:pStyle w:val="Normal1"/>
              <w:keepNext w:val="false"/>
              <w:keepLines w:val="false"/>
              <w:widowControl w:val="false"/>
              <w:pBdr/>
              <w:shd w:val="clear" w:fill="auto"/>
              <w:spacing w:lineRule="auto" w:line="228" w:before="1" w:after="0"/>
              <w:ind w:left="165" w:right="297"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LARVAS.EMBALADO EM SACO PLÁSTICO DE 1KG, ÍNTEGROS, SEM RASGOS E RESISTENTES – QUE CONTENHAM DATA DA EMBALAGEM E VALIDADE,</w:t>
            </w:r>
          </w:p>
          <w:p>
            <w:pPr>
              <w:pStyle w:val="Normal1"/>
              <w:keepNext w:val="false"/>
              <w:keepLines w:val="false"/>
              <w:widowControl w:val="false"/>
              <w:pBdr/>
              <w:shd w:val="clear" w:fill="auto"/>
              <w:spacing w:lineRule="auto" w:line="240" w:before="5" w:after="0"/>
              <w:ind w:left="165" w:right="615"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DEVIDAMENTE ROTULADO CONFORME LEGISLAÇÃO</w:t>
            </w:r>
          </w:p>
          <w:p>
            <w:pPr>
              <w:pStyle w:val="Normal1"/>
              <w:keepNext w:val="false"/>
              <w:keepLines w:val="false"/>
              <w:widowControl w:val="false"/>
              <w:pBdr/>
              <w:shd w:val="clear" w:fill="auto"/>
              <w:spacing w:lineRule="auto" w:line="220" w:before="4"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VIGENTE.</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477"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600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6"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7,60</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2"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R$ 4.560,00</w:t>
            </w:r>
          </w:p>
        </w:tc>
      </w:tr>
      <w:tr>
        <w:trPr>
          <w:trHeight w:val="2939"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62" w:after="0"/>
              <w:ind w:left="0" w:right="104"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4</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169" w:after="0"/>
              <w:ind w:left="165" w:right="293"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ALFACE - ALFACE - CRESPA, FRESCA, EXTRA, TAMANHO E COLORAÇÃO UNIFORME, DEVENDO SER BEM DESENVOLVIDA, FIRME E INTACTA, ISENTA DE ENFERMIDADES, LIVRE DE RESIDUOS DE FERTILIZANTES, LIVRE DE AGROTÓXICO, SEM DANOS FÍSICOS E MECANICOS, ACONDICIONADA EM SACOS PLÁSTICOS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62"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UNID</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62" w:after="0"/>
              <w:ind w:left="0" w:right="477"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450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42"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3,50</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2"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R$ 1.575,00</w:t>
            </w:r>
          </w:p>
        </w:tc>
      </w:tr>
      <w:tr>
        <w:trPr>
          <w:trHeight w:val="2829"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4"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5</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52" w:before="22" w:after="0"/>
              <w:ind w:left="165" w:right="706" w:hanging="26"/>
              <w:jc w:val="center"/>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ALHO - ALHO A GRANEL GRANDE, TIPO BRANCO. APARÊNCIA FRESCA E SÃ, COLHIDOS AO ATINGIREM</w:t>
            </w:r>
          </w:p>
          <w:p>
            <w:pPr>
              <w:pStyle w:val="Normal1"/>
              <w:keepNext w:val="false"/>
              <w:keepLines w:val="false"/>
              <w:widowControl w:val="false"/>
              <w:pBdr/>
              <w:shd w:val="clear" w:fill="auto"/>
              <w:spacing w:lineRule="auto" w:line="216"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GRAU DE EVOLUÇÃO</w:t>
            </w:r>
          </w:p>
          <w:p>
            <w:pPr>
              <w:pStyle w:val="Normal1"/>
              <w:keepNext w:val="false"/>
              <w:keepLines w:val="false"/>
              <w:widowControl w:val="false"/>
              <w:pBdr/>
              <w:shd w:val="clear" w:fill="auto"/>
              <w:spacing w:lineRule="auto" w:line="240" w:before="1" w:after="0"/>
              <w:ind w:left="165" w:right="437"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COMPLETO E PERFEITO ESTADO DE DESENVOLVIMENTO. ISENTO DE DANOS E DEFEITOS DE NATUREZA FÍSICA OU MECÂNICA, TERRA</w:t>
            </w:r>
          </w:p>
          <w:p>
            <w:pPr>
              <w:pStyle w:val="Normal1"/>
              <w:keepNext w:val="false"/>
              <w:keepLines w:val="false"/>
              <w:widowControl w:val="false"/>
              <w:pBdr/>
              <w:shd w:val="clear" w:fill="auto"/>
              <w:spacing w:lineRule="auto" w:line="22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ADERENTE, SUJIDADES.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477"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130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80" w:right="520"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33,36</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35"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R$ 4.336,80</w:t>
            </w:r>
          </w:p>
        </w:tc>
      </w:tr>
      <w:tr>
        <w:trPr>
          <w:trHeight w:val="3487"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8"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104"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6</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258"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AMEIXA – AMEIXA FRESCA, DE ÓTIMA QUALIDADE, COMPACTA, FIRME, COLORAÇÃO UNIFORME, AROMA, COR, TÍPICOS DA ESPÉCIE, EM PERFEITO ESTADO DE DESENVOLVIMENTO. NÃO SERÃO PERMITIDOS DANOS QUE LHE ALTEREM A CONFORMAÇÃO E A APARÊNCIA. NECESSITA ESTAR ISENTA DE SUJIDADES,</w:t>
            </w:r>
          </w:p>
          <w:p>
            <w:pPr>
              <w:pStyle w:val="Normal1"/>
              <w:keepNext w:val="false"/>
              <w:keepLines w:val="false"/>
              <w:widowControl w:val="false"/>
              <w:pBdr/>
              <w:shd w:val="clear" w:fill="auto"/>
              <w:spacing w:lineRule="auto" w:line="240" w:before="0" w:after="0"/>
              <w:ind w:left="165" w:right="602"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PARASITAS, RACHADURAS, 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8"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8"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477"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2"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5"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14,21</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9"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R$ 4.263,00</w:t>
            </w:r>
          </w:p>
        </w:tc>
      </w:tr>
      <w:tr>
        <w:trPr>
          <w:trHeight w:val="2337"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4"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7</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278"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BANANA BRANCA - BANANA - BRANCA, EM PENCAS, DE PRIMEIRA, TAMANHO E COLORACAO UNIFORMES, COM POLPA FIRME E INTACTA, DEVENDO SER BEM DESENVOLVIDA, SEM DANOS FISICOS E MECANICOS ORIUNDOS DO MANUSEIO E</w:t>
            </w:r>
          </w:p>
          <w:p>
            <w:pPr>
              <w:pStyle w:val="Normal1"/>
              <w:keepNext w:val="false"/>
              <w:keepLines w:val="false"/>
              <w:widowControl w:val="false"/>
              <w:pBdr/>
              <w:shd w:val="clear" w:fill="auto"/>
              <w:spacing w:lineRule="auto" w:line="220" w:before="2"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TRANSPORTE.</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1300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5,42</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67" w:after="0"/>
              <w:ind w:left="486"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R$ 7.046,00</w:t>
            </w:r>
          </w:p>
        </w:tc>
      </w:tr>
      <w:tr>
        <w:trPr>
          <w:trHeight w:val="3331"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1"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4"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8</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63" w:after="0"/>
              <w:ind w:left="165" w:right="335"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BANANA CATURRA - BANANA CATURRA GRANDE COM MÉDIO GRAU DE</w:t>
            </w:r>
          </w:p>
          <w:p>
            <w:pPr>
              <w:pStyle w:val="Normal1"/>
              <w:keepNext w:val="false"/>
              <w:keepLines w:val="false"/>
              <w:widowControl w:val="false"/>
              <w:pBdr/>
              <w:shd w:val="clear" w:fill="auto"/>
              <w:spacing w:lineRule="auto" w:line="240" w:before="0" w:after="0"/>
              <w:ind w:left="165" w:right="21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MATURAÇÃO, PROCEDENTE DE ESPÉCIE SADIA, FRESCA, NÃO ESTAR GOLPEADA E DANIFICADA POR QUAISQUER LESÕES DE ORIGEM FÍSICA, MECÂNICA OU BIOLÓGICA QUE AFETEM SUA APARÊNCIA.</w:t>
            </w:r>
          </w:p>
          <w:p>
            <w:pPr>
              <w:pStyle w:val="Normal1"/>
              <w:keepNext w:val="false"/>
              <w:keepLines w:val="false"/>
              <w:widowControl w:val="false"/>
              <w:pBdr/>
              <w:shd w:val="clear" w:fill="auto"/>
              <w:spacing w:lineRule="auto" w:line="240" w:before="36" w:after="0"/>
              <w:ind w:left="165" w:right="735"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ISENTA DE SUBSTÂNCIAS TERROSAS,</w:t>
            </w:r>
          </w:p>
          <w:p>
            <w:pPr>
              <w:pStyle w:val="Normal1"/>
              <w:keepNext w:val="false"/>
              <w:keepLines w:val="false"/>
              <w:widowControl w:val="false"/>
              <w:pBdr/>
              <w:shd w:val="clear" w:fill="auto"/>
              <w:spacing w:lineRule="auto" w:line="228" w:before="0" w:after="0"/>
              <w:ind w:left="165" w:right="914"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SUJIDADES, PARASITAS, ODORES ESTRANHOS.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1"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1"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5"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1100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5,16</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71"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R$ 5.676,00</w:t>
            </w:r>
          </w:p>
        </w:tc>
      </w:tr>
      <w:tr>
        <w:trPr>
          <w:trHeight w:val="3717"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6"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4"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9</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27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BATATA DOCE - BATATA DOCE GRAÚDA SELECIONADA, FRESCA, DE ÓTIMA QUALIDADE, COMPACTA, FIRME, COLORAÇÃO UNIFORME, AROMA, COR, TÍPICOS DA ESPÉCIE, EM PERFEITO ESTADO DE DESENVOLVIMENTO. NÃO SERÃO PERMITIDOS DANOS QUE LHE ALTEREM A CONFORMAÇÃO E A APARÊNCIA. NECESSITA ESTAR ISENTA DE SUJIDADES, PARASITAS, RACHADURAS,</w:t>
            </w:r>
          </w:p>
          <w:p>
            <w:pPr>
              <w:pStyle w:val="Normal1"/>
              <w:keepNext w:val="false"/>
              <w:keepLines w:val="false"/>
              <w:widowControl w:val="false"/>
              <w:pBdr/>
              <w:shd w:val="clear" w:fill="auto"/>
              <w:spacing w:lineRule="auto" w:line="220" w:before="2"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6"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6"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370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84"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4,67</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7"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99" w:right="432"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R$ 1.727,90</w:t>
            </w:r>
          </w:p>
        </w:tc>
      </w:tr>
      <w:tr>
        <w:trPr>
          <w:trHeight w:val="3943"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10</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0" w:after="0"/>
              <w:ind w:left="165" w:right="514"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BATATA INGLESA - BATATA INGLESA GRAÚDA SELECIONADA, FRESCA, DE ÓTIMA QUALIDADE, COMPACTA, FIRME, COLORAÇÃO UNIFORME, AROMA, COR, TÍPICOS DA ESPÉCIE, EM PERFEITO ESTADO DE DESENVOLVIMENTO. NÃO</w:t>
            </w:r>
          </w:p>
          <w:p>
            <w:pPr>
              <w:pStyle w:val="Normal1"/>
              <w:keepNext w:val="false"/>
              <w:keepLines w:val="false"/>
              <w:widowControl w:val="false"/>
              <w:pBdr/>
              <w:shd w:val="clear" w:fill="auto"/>
              <w:spacing w:lineRule="auto" w:line="240" w:before="0"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PERMITIDOS DANOS QUE LHE ALTEREM A CONFORMAÇÃO E A APARÊNCIA. NECESSITA</w:t>
            </w:r>
          </w:p>
          <w:p>
            <w:pPr>
              <w:pStyle w:val="Normal1"/>
              <w:keepNext w:val="false"/>
              <w:keepLines w:val="false"/>
              <w:widowControl w:val="false"/>
              <w:pBdr/>
              <w:shd w:val="clear" w:fill="auto"/>
              <w:spacing w:lineRule="auto" w:line="240" w:before="2"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ISENTA DE SUJIDADES,</w:t>
            </w:r>
          </w:p>
          <w:p>
            <w:pPr>
              <w:pStyle w:val="Normal1"/>
              <w:keepNext w:val="false"/>
              <w:keepLines w:val="false"/>
              <w:widowControl w:val="false"/>
              <w:pBdr/>
              <w:shd w:val="clear" w:fill="auto"/>
              <w:spacing w:lineRule="auto" w:line="228" w:before="0" w:after="0"/>
              <w:ind w:left="165" w:right="602"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PARASITAS, RACHADURAS, 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2000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7"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5,26</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7"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544" w:right="376" w:firstLine="355"/>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R$ 10.520,00</w:t>
            </w:r>
          </w:p>
        </w:tc>
      </w:tr>
      <w:tr>
        <w:trPr>
          <w:trHeight w:val="3717"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11</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64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BETERRABA – BETERRABA GRAÚDA SELECIONADA, FRESCA, DE ÓTIMA QUALIDADE, COMPACTA, FIRME, COLORAÇÃO UNIFORME, AROMA, COR, TÍPICOS DA ESPÉCIE, EM PERFEITO ESTADO DE DESENVOLVIMENTO. NÃO</w:t>
            </w:r>
          </w:p>
          <w:p>
            <w:pPr>
              <w:pStyle w:val="Normal1"/>
              <w:keepNext w:val="false"/>
              <w:keepLines w:val="false"/>
              <w:widowControl w:val="false"/>
              <w:pBdr/>
              <w:shd w:val="clear" w:fill="auto"/>
              <w:spacing w:lineRule="auto" w:line="240" w:before="2"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PERMITIDOS DANOS QUE LHE ALTEREM A CONFORMAÇÃO E A APARÊNCIA. NECESSITA</w:t>
            </w:r>
          </w:p>
          <w:p>
            <w:pPr>
              <w:pStyle w:val="Normal1"/>
              <w:keepNext w:val="false"/>
              <w:keepLines w:val="false"/>
              <w:widowControl w:val="false"/>
              <w:pBdr/>
              <w:shd w:val="clear" w:fill="auto"/>
              <w:spacing w:lineRule="auto" w:line="228" w:before="0" w:after="0"/>
              <w:ind w:left="165" w:right="34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ISENTA DE SUJIDADES, PARASITAS, RACHADURAS, 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700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79"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5,26</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2"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R$ 3.682,00</w:t>
            </w:r>
          </w:p>
        </w:tc>
      </w:tr>
      <w:tr>
        <w:trPr>
          <w:trHeight w:val="2822"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57" w:after="0"/>
              <w:ind w:left="0" w:right="101"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12</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49" w:after="0"/>
              <w:ind w:left="165" w:right="106"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BISCOITO CASEIRO- SEM RECHEIO ISENTO DE AÇÚCARES, EDULCORANTES, LACTOSE E GORDURAS TRANS, COM IDENTIFICAÇÃO DO PRODUTO, DOS INGREDIENTES, INFORMAÇÕES NUTRICIONAIS, MARCA DO FABRICANTE E INFORMAÇÕES DO MESMO, PRAZO DE VALIDADE, PESO</w:t>
            </w:r>
          </w:p>
          <w:p>
            <w:pPr>
              <w:pStyle w:val="Normal1"/>
              <w:keepNext w:val="false"/>
              <w:keepLines w:val="false"/>
              <w:widowControl w:val="false"/>
              <w:pBdr/>
              <w:shd w:val="clear" w:fill="auto"/>
              <w:spacing w:lineRule="auto" w:line="228" w:before="0" w:after="0"/>
              <w:ind w:left="165" w:right="327"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LÍQUIDO E ROTULAGEM DE ACORDO COM A LEGISLAÇÃO.</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57"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57"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900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39" w:after="0"/>
              <w:ind w:left="555"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48,81</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472" w:right="448" w:firstLine="328"/>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R$ 43.929,00</w:t>
            </w:r>
          </w:p>
        </w:tc>
      </w:tr>
      <w:tr>
        <w:trPr>
          <w:trHeight w:val="3715"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6"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13</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597"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BRÓCOLIS - BRÓCOLIS SELECIONADA, FRESCA, DE ÓTIMA QUALIDADE, COMPACTA, FIRME, COLORAÇÃO UNIFORME, AROMA, COR, TÍPICOS DA ESPÉCIE, EM PERFEITO ESTADO DE DESENVOLVIMENTO. NÃO</w:t>
            </w:r>
          </w:p>
          <w:p>
            <w:pPr>
              <w:pStyle w:val="Normal1"/>
              <w:keepNext w:val="false"/>
              <w:keepLines w:val="false"/>
              <w:widowControl w:val="false"/>
              <w:pBdr/>
              <w:shd w:val="clear" w:fill="auto"/>
              <w:spacing w:lineRule="auto" w:line="240" w:before="0"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PERMITIDOS DANOS QUE LHE ALTEREM A CONFORMAÇÃO E A APARÊNCIA. NECESSITA</w:t>
            </w:r>
          </w:p>
          <w:p>
            <w:pPr>
              <w:pStyle w:val="Normal1"/>
              <w:keepNext w:val="false"/>
              <w:keepLines w:val="false"/>
              <w:widowControl w:val="false"/>
              <w:pBdr/>
              <w:shd w:val="clear" w:fill="auto"/>
              <w:spacing w:lineRule="auto" w:line="240" w:before="1"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ISENTA DE SUJIDADES,</w:t>
            </w:r>
          </w:p>
          <w:p>
            <w:pPr>
              <w:pStyle w:val="Normal1"/>
              <w:keepNext w:val="false"/>
              <w:keepLines w:val="false"/>
              <w:widowControl w:val="false"/>
              <w:pBdr/>
              <w:shd w:val="clear" w:fill="auto"/>
              <w:spacing w:lineRule="auto" w:line="228" w:before="0" w:after="0"/>
              <w:ind w:left="165" w:right="602"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PARASITAS, RACHADURAS, 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6"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UNID.</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6"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350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84"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9,32</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7"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R$ 3.262,00</w:t>
            </w:r>
          </w:p>
        </w:tc>
      </w:tr>
      <w:tr>
        <w:trPr>
          <w:trHeight w:val="3904"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7"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94"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14</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16" w:before="0" w:after="0"/>
              <w:ind w:left="107"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CAQUI CARACTERISTICAS</w:t>
            </w:r>
          </w:p>
          <w:p>
            <w:pPr>
              <w:pStyle w:val="Normal1"/>
              <w:keepNext w:val="false"/>
              <w:keepLines w:val="false"/>
              <w:widowControl w:val="false"/>
              <w:pBdr/>
              <w:shd w:val="clear" w:fill="auto"/>
              <w:spacing w:lineRule="auto" w:line="276" w:before="36" w:after="0"/>
              <w:ind w:left="107" w:right="183"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TÉCNICAS: COM COLORAÇÃO ALARANJADA UNIFORME, FIRME, LIVRE DE RACHADURAS OU DANOS FÍSICOS, FRESCOS, LIMPO; ISENTO DE SUJIDADES, INSETOS, PARASITAS, LARVAS E CORPOS ESTRANHOS EXTERNA.NÃO DEVE APRESENTAR QUAISQUER LESÕES DE ORIGEM FÍSICA, MECÂNICA OU BIOLÓGICA. EMBALAGEM: ACONDICIONADO EM CAIXA PLASTICA</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488" w:right="482"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3"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350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07"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9,32</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88"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R$ 3.262,00</w:t>
            </w:r>
          </w:p>
        </w:tc>
      </w:tr>
      <w:tr>
        <w:trPr>
          <w:trHeight w:val="3297"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94"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15</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66" w:after="0"/>
              <w:ind w:left="165" w:right="558"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CEBOLA - CEBOLA BRANCA SELECIONADA FRESCA, DE ÓTIMA QUALIDADE, COMPACTA, FIRME, COLORAÇÃO UNIFORME, AROMA, COR, TÍPICOS DA ESPÉCIE, EM PERFEITO ESTADO DE DESENVOLVIMENTO. NÃO</w:t>
            </w:r>
          </w:p>
          <w:p>
            <w:pPr>
              <w:pStyle w:val="Normal1"/>
              <w:keepNext w:val="false"/>
              <w:keepLines w:val="false"/>
              <w:widowControl w:val="false"/>
              <w:pBdr/>
              <w:shd w:val="clear" w:fill="auto"/>
              <w:spacing w:lineRule="auto" w:line="240" w:before="0"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PERMITIDOS DANOS QUE LHE ALTEREM A CONFORMAÇÃO E A APARÊNCIA. NECESSITA</w:t>
            </w:r>
          </w:p>
          <w:p>
            <w:pPr>
              <w:pStyle w:val="Normal1"/>
              <w:keepNext w:val="false"/>
              <w:keepLines w:val="false"/>
              <w:widowControl w:val="false"/>
              <w:pBdr/>
              <w:shd w:val="clear" w:fill="auto"/>
              <w:spacing w:lineRule="auto" w:line="220" w:before="1"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ISENTA DE SUJIDADES,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477"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500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5,99</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75"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R$ 2.995,00</w:t>
            </w:r>
          </w:p>
        </w:tc>
      </w:tr>
      <w:tr>
        <w:trPr>
          <w:trHeight w:val="3715"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9"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16</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717"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CENOURA - CENOURA GRANDE SELECIONADA FRESCA, DE ÓTIMA QUALIDADE, COMPACTA, FIRME, COLORAÇÃO UNIFORME, AROMA, COR, TÍPICOS DA ESPÉCIE, EM PERFEITO ESTADO DE DESENVOLVIMENTO. NÃO</w:t>
            </w:r>
          </w:p>
          <w:p>
            <w:pPr>
              <w:pStyle w:val="Normal1"/>
              <w:keepNext w:val="false"/>
              <w:keepLines w:val="false"/>
              <w:widowControl w:val="false"/>
              <w:pBdr/>
              <w:shd w:val="clear" w:fill="auto"/>
              <w:spacing w:lineRule="auto" w:line="240" w:before="0"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PERMITIDOS DANOS QUE LHE ALTEREM A CONFORMAÇÃO E A APARÊNCIA. NECESSITA</w:t>
            </w:r>
          </w:p>
          <w:p>
            <w:pPr>
              <w:pStyle w:val="Normal1"/>
              <w:keepNext w:val="false"/>
              <w:keepLines w:val="false"/>
              <w:widowControl w:val="false"/>
              <w:pBdr/>
              <w:shd w:val="clear" w:fill="auto"/>
              <w:spacing w:lineRule="auto" w:line="240" w:before="2" w:after="0"/>
              <w:ind w:left="165" w:right="34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ISENTA DE SUJIDADES, PARASITAS, RACHADURAS,</w:t>
            </w:r>
          </w:p>
          <w:p>
            <w:pPr>
              <w:pStyle w:val="Normal1"/>
              <w:keepNext w:val="false"/>
              <w:keepLines w:val="false"/>
              <w:widowControl w:val="false"/>
              <w:pBdr/>
              <w:shd w:val="clear" w:fill="auto"/>
              <w:spacing w:lineRule="auto" w:line="22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9"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9"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477"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600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86"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6,67</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R$ 4.002,00</w:t>
            </w:r>
          </w:p>
        </w:tc>
      </w:tr>
      <w:tr>
        <w:trPr>
          <w:trHeight w:val="3717"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2"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17</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487"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CHUCHU - CHUCHU GRANDE SELECIONADO VERDE, FRESCO, DE ÓTIMA QUALIDADE, COMPACTO, FIRME, COLORAÇÃO UNIFORME, AROMA, COR, TÍPICOS DA ESPÉCIE, EM PERFEITO ESTADO DE DESENVOLVIMENTO. NÃO</w:t>
            </w:r>
          </w:p>
          <w:p>
            <w:pPr>
              <w:pStyle w:val="Normal1"/>
              <w:keepNext w:val="false"/>
              <w:keepLines w:val="false"/>
              <w:widowControl w:val="false"/>
              <w:pBdr/>
              <w:shd w:val="clear" w:fill="auto"/>
              <w:spacing w:lineRule="auto" w:line="240" w:before="2"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PERMITIDOS DANOS QUE LHE ALTEREM A CONFORMAÇÃO E A APARÊNCIA. NECESSITA</w:t>
            </w:r>
          </w:p>
          <w:p>
            <w:pPr>
              <w:pStyle w:val="Normal1"/>
              <w:keepNext w:val="false"/>
              <w:keepLines w:val="false"/>
              <w:widowControl w:val="false"/>
              <w:pBdr/>
              <w:shd w:val="clear" w:fill="auto"/>
              <w:spacing w:lineRule="auto" w:line="228" w:before="0" w:after="0"/>
              <w:ind w:left="165" w:right="34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ISENTO DE SUJIDADES, PARASITAS, RACHADURAS, 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477"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400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84"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5,26</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7"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R$ 2.104,00</w:t>
            </w:r>
          </w:p>
        </w:tc>
      </w:tr>
      <w:tr>
        <w:trPr>
          <w:trHeight w:val="3355"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7"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18</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124" w:after="0"/>
              <w:ind w:left="165" w:right="29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COUVE - COUVE - TIPO FOLHA, FRESCA, COM FOLHAS INTACTAS, DE PRIMEIRA, ÓTIMA QUALIDADE, TAMANHO E COLORACAO</w:t>
            </w:r>
          </w:p>
          <w:p>
            <w:pPr>
              <w:pStyle w:val="Normal1"/>
              <w:keepNext w:val="false"/>
              <w:keepLines w:val="false"/>
              <w:widowControl w:val="false"/>
              <w:pBdr/>
              <w:shd w:val="clear" w:fill="auto"/>
              <w:spacing w:lineRule="auto" w:line="240" w:before="0" w:after="0"/>
              <w:ind w:left="165" w:right="105"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UNIFORMES, DEVENDO SER BEM DESENVOLVIDA, FIRME E INTACTA, ISENTA DE ENFERMIDADES, MATERIAL TERROSO E UMIDADE</w:t>
            </w:r>
          </w:p>
          <w:p>
            <w:pPr>
              <w:pStyle w:val="Normal1"/>
              <w:keepNext w:val="false"/>
              <w:keepLines w:val="false"/>
              <w:widowControl w:val="false"/>
              <w:pBdr/>
              <w:shd w:val="clear" w:fill="auto"/>
              <w:spacing w:lineRule="auto" w:line="240" w:before="0" w:after="0"/>
              <w:ind w:left="165" w:right="22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EXTERNA ANORMAL, LIVRE DE RESIDUOS DE</w:t>
            </w:r>
          </w:p>
          <w:p>
            <w:pPr>
              <w:pStyle w:val="Normal1"/>
              <w:keepNext w:val="false"/>
              <w:keepLines w:val="false"/>
              <w:widowControl w:val="false"/>
              <w:pBdr/>
              <w:shd w:val="clear" w:fill="auto"/>
              <w:spacing w:lineRule="auto" w:line="228" w:before="0" w:after="0"/>
              <w:ind w:left="165" w:right="48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FERTILIZANTES, SUJIDADES, SEM PARASITAS E LARVAS,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64"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MAÇO</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64" w:after="0"/>
              <w:ind w:left="0" w:right="477"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310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44"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4,22</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599" w:right="432"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R$ 1.308,20</w:t>
            </w:r>
          </w:p>
        </w:tc>
      </w:tr>
      <w:tr>
        <w:trPr>
          <w:trHeight w:val="1152"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16"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SEM DANOS FISICOS E</w:t>
            </w:r>
          </w:p>
          <w:p>
            <w:pPr>
              <w:pStyle w:val="Normal1"/>
              <w:keepNext w:val="false"/>
              <w:keepLines w:val="false"/>
              <w:widowControl w:val="false"/>
              <w:pBdr/>
              <w:shd w:val="clear" w:fill="auto"/>
              <w:spacing w:lineRule="auto" w:line="240" w:before="0"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MECANICOS ORIUNDOS DE MANUSEIO E TRANSPORTE,</w:t>
            </w:r>
          </w:p>
          <w:p>
            <w:pPr>
              <w:pStyle w:val="Normal1"/>
              <w:keepNext w:val="false"/>
              <w:keepLines w:val="false"/>
              <w:widowControl w:val="false"/>
              <w:pBdr/>
              <w:shd w:val="clear" w:fill="auto"/>
              <w:spacing w:lineRule="auto" w:line="240" w:before="0" w:after="0"/>
              <w:ind w:left="165" w:right="54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ACONDICIONADA DE MODO APROPRIADO, EM MAÇOS.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tc>
      </w:tr>
      <w:tr>
        <w:trPr>
          <w:trHeight w:val="3715"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6"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19</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51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COUVE FLOR - COUVE FLOR SELECIONADA, FRESCA, DE ÓTIMA QUALIDADE, COMPACTA, FIRME, COLORAÇÃO UNIFORME, AROMA, COR, TÍPICOS DA ESPÉCIE, EM PERFEITO ESTADO DE DESENVOLVIMENTO. NÃO</w:t>
            </w:r>
          </w:p>
          <w:p>
            <w:pPr>
              <w:pStyle w:val="Normal1"/>
              <w:keepNext w:val="false"/>
              <w:keepLines w:val="false"/>
              <w:widowControl w:val="false"/>
              <w:pBdr/>
              <w:shd w:val="clear" w:fill="auto"/>
              <w:spacing w:lineRule="auto" w:line="240" w:before="0"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PERMITIDOS DANOS QUE LHE ALTEREM A CONFORMAÇÃO E A APARÊNCIA. NECESSITA</w:t>
            </w:r>
          </w:p>
          <w:p>
            <w:pPr>
              <w:pStyle w:val="Normal1"/>
              <w:keepNext w:val="false"/>
              <w:keepLines w:val="false"/>
              <w:widowControl w:val="false"/>
              <w:pBdr/>
              <w:shd w:val="clear" w:fill="auto"/>
              <w:spacing w:lineRule="auto" w:line="240" w:before="2" w:after="0"/>
              <w:ind w:left="165" w:right="34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ISENTA DE SUJIDADES, PARASITAS, RACHADURAS,</w:t>
            </w:r>
          </w:p>
          <w:p>
            <w:pPr>
              <w:pStyle w:val="Normal1"/>
              <w:keepNext w:val="false"/>
              <w:keepLines w:val="false"/>
              <w:widowControl w:val="false"/>
              <w:pBdr/>
              <w:shd w:val="clear" w:fill="auto"/>
              <w:spacing w:lineRule="auto" w:line="22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6"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UNID</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6"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400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83"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8,07</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7"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R$ 3.228,00</w:t>
            </w:r>
          </w:p>
        </w:tc>
      </w:tr>
      <w:tr>
        <w:trPr>
          <w:trHeight w:val="3468"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57" w:after="0"/>
              <w:ind w:left="0" w:right="101"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20</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04" w:before="55" w:after="0"/>
              <w:ind w:left="165" w:right="31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GOIABA VERMELHA - IN NATURA TAMANHO MÉDIO A GRANDE, FRESCA COR UNIFORME, SADIOS, LIVRE DE DANOS, RACHADURAS, PRAGAS E SUBSTÂNCIAS NOCIVAS À SAÚDE.</w:t>
            </w:r>
          </w:p>
          <w:p>
            <w:pPr>
              <w:pStyle w:val="Normal1"/>
              <w:keepNext w:val="false"/>
              <w:keepLines w:val="false"/>
              <w:widowControl w:val="false"/>
              <w:pBdr/>
              <w:shd w:val="clear" w:fill="auto"/>
              <w:spacing w:lineRule="auto" w:line="204" w:before="0" w:after="0"/>
              <w:ind w:left="165" w:right="87"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DEVENDO ESTAR BEM DESENVOLVIDAS E MADURAS, DEVENDO APRESENTAR 80 A 90% DE MATURAÇÃO. EMBALAGEM: EM SACOS PLÁSTICOS RESISTENTES, CONFORME QUANTIDADE SOLICITADA, APRESENTANDO NA EMBALAGEM ETIQUETA DE PESAGEM.</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57"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57"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350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39"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9,27</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527" w:right="504" w:firstLine="273"/>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R$ 3.244,50</w:t>
            </w:r>
          </w:p>
        </w:tc>
      </w:tr>
      <w:tr>
        <w:trPr>
          <w:trHeight w:val="3256"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2"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21</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23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LARANJA PÊRA – LARANJA PÊRA GRANDE COM MÉDIO GRAU DE MATURAÇÃO, PROCEDENTE DE ESPÉCIE SADIA, FRESCA, NÃO ESTAR GOLPEADA E DANIFICADA POR QUAISQUER LESÕES DE ORIGEM FÍSICA, MECÂNICA OU BIOLÓGICA QUE AFETEM SUA APARÊNCIA. ESTAR</w:t>
            </w:r>
          </w:p>
          <w:p>
            <w:pPr>
              <w:pStyle w:val="Normal1"/>
              <w:keepNext w:val="false"/>
              <w:keepLines w:val="false"/>
              <w:widowControl w:val="false"/>
              <w:pBdr/>
              <w:shd w:val="clear" w:fill="auto"/>
              <w:spacing w:lineRule="auto" w:line="240" w:before="3" w:after="0"/>
              <w:ind w:left="165" w:right="78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ISENTA DE SUBSTÂNCIAS TERROSAS, SUJIDADES, PARASITAS, ODORES</w:t>
            </w:r>
          </w:p>
          <w:p>
            <w:pPr>
              <w:pStyle w:val="Normal1"/>
              <w:keepNext w:val="false"/>
              <w:keepLines w:val="false"/>
              <w:widowControl w:val="false"/>
              <w:pBdr/>
              <w:shd w:val="clear" w:fill="auto"/>
              <w:spacing w:lineRule="auto" w:line="22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ESTRANHOS.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3500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5,31</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6"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44" w:right="376" w:firstLine="355"/>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R$ 18.585,00</w:t>
            </w:r>
          </w:p>
        </w:tc>
      </w:tr>
      <w:tr>
        <w:trPr>
          <w:trHeight w:val="2135"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8"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22</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247"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LIMÃO LARANJA: DE 1º QUALIDADE, LIVRE DE SUJIDADES, TAMANHO E COLORAÇÃO UNIFORME. TER A CASCA LEVEMENTE SOLTA DA POLPA, ALÉM DE CASCA E POLPA FIRME E INTACTA NA COR LARANJA-AVERMELHADO</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150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5,96</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6"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68"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R$ 894,00</w:t>
            </w:r>
          </w:p>
        </w:tc>
      </w:tr>
      <w:tr>
        <w:trPr>
          <w:trHeight w:val="3484"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23</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0" w:after="0"/>
              <w:ind w:left="165" w:right="286"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MAÇÃ NACIONAL - MAÇÃ NACIONAL FRESCA, DE ÓTIMA QUALIDADE, COMPACTA, FIRME, COLORAÇÃO UNIFORME, AROMA, COR, TÍPICOS DA ESPÉCIE, EM PERFEITO ESTADO DE DESENVOLVIMENTO. NÃO</w:t>
            </w:r>
          </w:p>
          <w:p>
            <w:pPr>
              <w:pStyle w:val="Normal1"/>
              <w:keepNext w:val="false"/>
              <w:keepLines w:val="false"/>
              <w:widowControl w:val="false"/>
              <w:pBdr/>
              <w:shd w:val="clear" w:fill="auto"/>
              <w:spacing w:lineRule="auto" w:line="240" w:before="1"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PERMITIDOS DANOS QUE LHE ALTEREM A CONFORMAÇÃO E A APARÊNCIA. NECESSITA</w:t>
            </w:r>
          </w:p>
          <w:p>
            <w:pPr>
              <w:pStyle w:val="Normal1"/>
              <w:keepNext w:val="false"/>
              <w:keepLines w:val="false"/>
              <w:widowControl w:val="false"/>
              <w:pBdr/>
              <w:shd w:val="clear" w:fill="auto"/>
              <w:spacing w:lineRule="auto" w:line="228" w:before="0" w:after="0"/>
              <w:ind w:left="165" w:right="33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ISENTA DE SUJIDADES, PARASITAS, RACHADURAS, 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5500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8"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555"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10,13</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9"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44" w:right="376" w:firstLine="355"/>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R$ 55.715,00</w:t>
            </w:r>
          </w:p>
        </w:tc>
      </w:tr>
      <w:tr>
        <w:trPr>
          <w:trHeight w:val="3945"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24</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165"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MAMÃO FORMOSA - MAMÃO FORMOSA SELECIONADO TIPO 1 FRESCO COM MÉDIO GRAU DE MATURAÇÃO, DE ÓTIMA QUALIDADE, COMPACTO, FIRME, COLORAÇÃO UNIFORME, AROMA, COR, TÍPICOS DA ESPÉCIE, EM PERFEITO ESTADO DE DESENVOLVIMENTO. NÃO</w:t>
            </w:r>
          </w:p>
          <w:p>
            <w:pPr>
              <w:pStyle w:val="Normal1"/>
              <w:keepNext w:val="false"/>
              <w:keepLines w:val="false"/>
              <w:widowControl w:val="false"/>
              <w:pBdr/>
              <w:shd w:val="clear" w:fill="auto"/>
              <w:spacing w:lineRule="auto" w:line="240" w:before="3"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PERMITIDOS DANOS QUE LHE ALTEREM A CONFORMAÇÃO E A APARÊNCIA. NECESSITA</w:t>
            </w:r>
          </w:p>
          <w:p>
            <w:pPr>
              <w:pStyle w:val="Normal1"/>
              <w:keepNext w:val="false"/>
              <w:keepLines w:val="false"/>
              <w:widowControl w:val="false"/>
              <w:pBdr/>
              <w:shd w:val="clear" w:fill="auto"/>
              <w:spacing w:lineRule="auto" w:line="228" w:before="0" w:after="0"/>
              <w:ind w:left="165" w:right="34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ISENTA DE SUJIDADES, PARASITAS, RACHADURAS, 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2"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2"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3750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7"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5"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13,88</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44" w:right="376" w:firstLine="355"/>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R$ 52.050,00</w:t>
            </w:r>
          </w:p>
        </w:tc>
      </w:tr>
      <w:tr>
        <w:trPr>
          <w:trHeight w:val="3732"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7"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94"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25</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76" w:before="0" w:after="0"/>
              <w:ind w:left="107" w:right="15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MARACUJÁ – MARACUJÁ AZEDO GRANDE COM MÉDIO GRAU DE MATURAÇÃO,</w:t>
            </w:r>
          </w:p>
          <w:p>
            <w:pPr>
              <w:pStyle w:val="Normal1"/>
              <w:keepNext w:val="false"/>
              <w:keepLines w:val="false"/>
              <w:widowControl w:val="false"/>
              <w:pBdr/>
              <w:shd w:val="clear" w:fill="auto"/>
              <w:spacing w:lineRule="auto" w:line="276" w:before="0" w:after="0"/>
              <w:ind w:left="107" w:right="19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PROCEDENTE DE ESPÉCIE SADIA, FRESCA, NÃO ESTAR GOLPEADA E DANIFICADA POR QUAISQUER LESÕES DE ORIGEM FÍSICA, MECÂNICA OU BIOLÓGICA QUE AFETEM SUA APARÊNCIA. ESTAR</w:t>
            </w:r>
          </w:p>
          <w:p>
            <w:pPr>
              <w:pStyle w:val="Normal1"/>
              <w:keepNext w:val="false"/>
              <w:keepLines w:val="false"/>
              <w:widowControl w:val="false"/>
              <w:pBdr/>
              <w:shd w:val="clear" w:fill="auto"/>
              <w:spacing w:lineRule="auto" w:line="276" w:before="0" w:after="0"/>
              <w:ind w:left="107" w:right="822"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ISENTA DE SUBSTÂNCIAS TERROSAS, SUJIDADES, PARASITAS, ODORES ESTRANHOS.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80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5"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11,13</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68"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R$ 890,40</w:t>
            </w:r>
          </w:p>
        </w:tc>
      </w:tr>
      <w:tr>
        <w:trPr>
          <w:trHeight w:val="2835"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9"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26</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39" w:after="0"/>
              <w:ind w:left="165" w:right="286"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MELANCIA - TAMANHO MÉDIO, FRESCA, COM COR, ODOR E SABOR PRÓPRIOS, BEM DESENVOLVIDAS, AUSÊNCIA DE SUJIDADES, PARASITAS E LARVAS, ISENTO DE SUBSTANCIAS TERROSAS E</w:t>
            </w:r>
          </w:p>
          <w:p>
            <w:pPr>
              <w:pStyle w:val="Normal1"/>
              <w:keepNext w:val="false"/>
              <w:keepLines w:val="false"/>
              <w:widowControl w:val="false"/>
              <w:pBdr/>
              <w:shd w:val="clear" w:fill="auto"/>
              <w:spacing w:lineRule="auto" w:line="230" w:before="3" w:after="0"/>
              <w:ind w:left="165" w:right="20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CORPOS ESTRANHOS, LIVRE DE RESÍDUOS DE</w:t>
            </w:r>
          </w:p>
          <w:p>
            <w:pPr>
              <w:pStyle w:val="Normal1"/>
              <w:keepNext w:val="false"/>
              <w:keepLines w:val="false"/>
              <w:widowControl w:val="false"/>
              <w:pBdr/>
              <w:shd w:val="clear" w:fill="auto"/>
              <w:spacing w:lineRule="auto" w:line="220" w:before="1"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FERTILIZANTES, NÃO DEVENDO ESTAR GOLPEADA OU DANIFICADA.</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9"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9"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1250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4,89</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69"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R$ 6.112,50</w:t>
            </w:r>
          </w:p>
        </w:tc>
      </w:tr>
      <w:tr>
        <w:trPr>
          <w:trHeight w:val="2599"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27</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0" w:after="0"/>
              <w:ind w:left="165" w:right="47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OVO DE GALINHA - OVOS DE GALINHA, VERMELHOS, CLASSE A, EMBALAGEM CONTENDO 12 UNIDADES, COM IDENTIFICAÇÃO DO</w:t>
            </w:r>
          </w:p>
          <w:p>
            <w:pPr>
              <w:pStyle w:val="Normal1"/>
              <w:keepNext w:val="false"/>
              <w:keepLines w:val="false"/>
              <w:widowControl w:val="false"/>
              <w:pBdr/>
              <w:shd w:val="clear" w:fill="auto"/>
              <w:spacing w:lineRule="auto" w:line="240" w:before="0"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PRODUTO, SELO DO SERVIÇO DE INSPEÇÃO E IDENTIFICAÇÃO DO FORNECEDOR, GRANDES, SAUDÁVEIS E EMBALADOS EM</w:t>
            </w:r>
          </w:p>
          <w:p>
            <w:pPr>
              <w:pStyle w:val="Normal1"/>
              <w:keepNext w:val="false"/>
              <w:keepLines w:val="false"/>
              <w:widowControl w:val="false"/>
              <w:pBdr/>
              <w:shd w:val="clear" w:fill="auto"/>
              <w:spacing w:lineRule="auto" w:line="240" w:before="29" w:after="0"/>
              <w:ind w:left="165" w:right="87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CAIXAS DE PAPELÃO OU PLÁSTICO</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DZ</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1300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8"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5"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10,50</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67" w:after="0"/>
              <w:ind w:left="472" w:right="448" w:firstLine="355"/>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R$ 13.650,00</w:t>
            </w:r>
          </w:p>
        </w:tc>
      </w:tr>
      <w:tr>
        <w:trPr>
          <w:trHeight w:val="3715"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28</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717"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PEPINO - PEPINO DO TIPO JAPONÊS, SELECIONADO FRESCO, DE ÓTIMA QUALIDADE, COMPACTO, FIRME, COLORAÇÃO UNIFORME, AROMA, COR, TÍPICOS DA ESPÉCIE, EM PERFEITO ESTADO DE DESENVOLVIMENTO. NÃO</w:t>
            </w:r>
          </w:p>
          <w:p>
            <w:pPr>
              <w:pStyle w:val="Normal1"/>
              <w:keepNext w:val="false"/>
              <w:keepLines w:val="false"/>
              <w:widowControl w:val="false"/>
              <w:pBdr/>
              <w:shd w:val="clear" w:fill="auto"/>
              <w:spacing w:lineRule="auto" w:line="240" w:before="0"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PERMITIDOS DANOS QUE LHE ALTEREM A CONFORMAÇÃO E A APARÊNCIA. NECESSITA</w:t>
            </w:r>
          </w:p>
          <w:p>
            <w:pPr>
              <w:pStyle w:val="Normal1"/>
              <w:keepNext w:val="false"/>
              <w:keepLines w:val="false"/>
              <w:widowControl w:val="false"/>
              <w:pBdr/>
              <w:shd w:val="clear" w:fill="auto"/>
              <w:spacing w:lineRule="auto" w:line="240" w:before="2" w:after="0"/>
              <w:ind w:left="165" w:right="34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ISENTA DE SUJIDADES, PARASITAS, RACHADURAS,</w:t>
            </w:r>
          </w:p>
          <w:p>
            <w:pPr>
              <w:pStyle w:val="Normal1"/>
              <w:keepNext w:val="false"/>
              <w:keepLines w:val="false"/>
              <w:widowControl w:val="false"/>
              <w:pBdr/>
              <w:shd w:val="clear" w:fill="auto"/>
              <w:spacing w:lineRule="auto" w:line="22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600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79"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5,94</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2"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R$ 3.564,00</w:t>
            </w:r>
          </w:p>
        </w:tc>
      </w:tr>
      <w:tr>
        <w:trPr>
          <w:trHeight w:val="3588"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29</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717"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PÊSSEGO - FRESCOS, DE ÓTIMA QUALIDADE, COMPACTO, FIRME, COLORAÇÃO UNIFORME, AROMA, COR, TÍPICOS DA ESPÉCIE, EM PERFEITO ESTADO DE DESENVOLVIMENTO. NÃO</w:t>
            </w:r>
          </w:p>
          <w:p>
            <w:pPr>
              <w:pStyle w:val="Normal1"/>
              <w:keepNext w:val="false"/>
              <w:keepLines w:val="false"/>
              <w:widowControl w:val="false"/>
              <w:pBdr/>
              <w:shd w:val="clear" w:fill="auto"/>
              <w:spacing w:lineRule="auto" w:line="240" w:before="2" w:after="0"/>
              <w:ind w:left="165" w:right="12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SERÃO PERMITIDOS DANOS QUE LHE ALTEREM A CONFORMAÇÃO E A APARÊNCIA. NECESSITA</w:t>
            </w:r>
          </w:p>
          <w:p>
            <w:pPr>
              <w:pStyle w:val="Normal1"/>
              <w:keepNext w:val="false"/>
              <w:keepLines w:val="false"/>
              <w:widowControl w:val="false"/>
              <w:pBdr/>
              <w:shd w:val="clear" w:fill="auto"/>
              <w:spacing w:lineRule="auto" w:line="228" w:before="0" w:after="0"/>
              <w:ind w:left="165" w:right="34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ESTAR ISENTO DE SUJIDADES, PARASITAS, RACHADURAS, 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600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8"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555"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14,32</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7"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R$ 8.592,00</w:t>
            </w:r>
          </w:p>
        </w:tc>
      </w:tr>
      <w:tr>
        <w:trPr>
          <w:trHeight w:val="3703"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94"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30</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16" w:before="0" w:after="0"/>
              <w:ind w:left="107"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PIMENTÃO - PIMENTÃO DO TIPO</w:t>
            </w:r>
          </w:p>
          <w:p>
            <w:pPr>
              <w:pStyle w:val="Normal1"/>
              <w:keepNext w:val="false"/>
              <w:keepLines w:val="false"/>
              <w:widowControl w:val="false"/>
              <w:pBdr/>
              <w:shd w:val="clear" w:fill="auto"/>
              <w:spacing w:lineRule="auto" w:line="276" w:before="34" w:after="0"/>
              <w:ind w:left="107" w:right="107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VERDE OU VERMELHO, SELECIONADO FRESCO, DE ÓTIMA QUALIDADE, FIRME, COLORAÇÃO</w:t>
            </w:r>
          </w:p>
          <w:p>
            <w:pPr>
              <w:pStyle w:val="Normal1"/>
              <w:keepNext w:val="false"/>
              <w:keepLines w:val="false"/>
              <w:widowControl w:val="false"/>
              <w:pBdr/>
              <w:shd w:val="clear" w:fill="auto"/>
              <w:spacing w:lineRule="auto" w:line="276" w:before="0" w:after="0"/>
              <w:ind w:left="107" w:right="17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UNIFORME, AROMA, COR, TÍPICOS DA ESPÉCIE, EM PERFEITO ESTADO DE DESENVOLVIMENTO. NÃO SERÃO PERMITIDOS DANOS QUE LHE ALTEREM A CONFORMAÇÃO E A</w:t>
            </w:r>
          </w:p>
          <w:p>
            <w:pPr>
              <w:pStyle w:val="Normal1"/>
              <w:keepNext w:val="false"/>
              <w:keepLines w:val="false"/>
              <w:widowControl w:val="false"/>
              <w:pBdr/>
              <w:shd w:val="clear" w:fill="auto"/>
              <w:spacing w:lineRule="auto" w:line="240" w:before="2" w:after="0"/>
              <w:ind w:left="107"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APARÊNCIA. NECESSITA ESTAR ISENTA DE SUJIDADES, PARASITAS, RACHADURAS, CORTES E PERFURAÇÕES.</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250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9"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5"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10,49</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7"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R$ 2.622,50</w:t>
            </w:r>
          </w:p>
        </w:tc>
      </w:tr>
      <w:tr>
        <w:trPr>
          <w:trHeight w:val="2836"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55"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31</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7" w:after="0"/>
              <w:ind w:left="165" w:right="214"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REPOLHO BRANCO - REPOLHO - BRANCO, FRESCO, DE PRIMEIRA QUALIDADE, TAMANHO E COLORACAO</w:t>
            </w:r>
          </w:p>
          <w:p>
            <w:pPr>
              <w:pStyle w:val="Normal1"/>
              <w:keepNext w:val="false"/>
              <w:keepLines w:val="false"/>
              <w:widowControl w:val="false"/>
              <w:pBdr/>
              <w:shd w:val="clear" w:fill="auto"/>
              <w:spacing w:lineRule="auto" w:line="240" w:before="0" w:after="0"/>
              <w:ind w:left="165" w:right="105"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UNIFORMES, DEVENDO SER BEM DESENVOLVIDO, ÓTIMA QUALIDADE, FIRME E</w:t>
            </w:r>
          </w:p>
          <w:p>
            <w:pPr>
              <w:pStyle w:val="Normal1"/>
              <w:keepNext w:val="false"/>
              <w:keepLines w:val="false"/>
              <w:widowControl w:val="false"/>
              <w:pBdr/>
              <w:shd w:val="clear" w:fill="auto"/>
              <w:spacing w:lineRule="auto" w:line="240" w:before="1" w:after="0"/>
              <w:ind w:left="165" w:right="351"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INTACTO, SEM LESOES DE ORIGEM FISICA OU MECANICA, ACONDICIONADO EM SACO PLASTICO.</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55"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UNID</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55"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700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37"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4,80</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9"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R$ 3.360,00</w:t>
            </w:r>
          </w:p>
        </w:tc>
      </w:tr>
      <w:tr>
        <w:trPr>
          <w:trHeight w:val="3900"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32</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3" w:after="0"/>
              <w:ind w:left="165" w:right="137"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TEMPERO VERDE- CEBOLINHA E SALSINHA- FRESCOS, COM COR, ODOR E SABOR</w:t>
            </w:r>
          </w:p>
          <w:p>
            <w:pPr>
              <w:pStyle w:val="Normal1"/>
              <w:keepNext w:val="false"/>
              <w:keepLines w:val="false"/>
              <w:widowControl w:val="false"/>
              <w:pBdr/>
              <w:shd w:val="clear" w:fill="auto"/>
              <w:spacing w:lineRule="auto" w:line="240" w:before="1" w:after="0"/>
              <w:ind w:left="165" w:right="132"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PROPRIOS, BEM DESENVOLVIDOS, AUSENCIA DE SUJIDADES, PARASITAS E LARVAS, ISENTO DE SUBSTANCIAS TERROSAS E CORPOS ESTRANHOS, LIVRE DE RESIDUOS DE</w:t>
            </w:r>
          </w:p>
          <w:p>
            <w:pPr>
              <w:pStyle w:val="Normal1"/>
              <w:keepNext w:val="false"/>
              <w:keepLines w:val="false"/>
              <w:widowControl w:val="false"/>
              <w:pBdr/>
              <w:shd w:val="clear" w:fill="auto"/>
              <w:spacing w:lineRule="auto" w:line="228" w:before="1"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FERTILIZANTES, NAO</w:t>
            </w:r>
          </w:p>
          <w:p>
            <w:pPr>
              <w:pStyle w:val="Normal1"/>
              <w:keepNext w:val="false"/>
              <w:keepLines w:val="false"/>
              <w:widowControl w:val="false"/>
              <w:pBdr/>
              <w:shd w:val="clear" w:fill="auto"/>
              <w:spacing w:lineRule="auto" w:line="240" w:before="0" w:after="0"/>
              <w:ind w:left="165" w:right="112"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DEVENDO ESTAR GOLPEADA OU DANIFICADO,</w:t>
            </w:r>
          </w:p>
          <w:p>
            <w:pPr>
              <w:pStyle w:val="Normal1"/>
              <w:keepNext w:val="false"/>
              <w:keepLines w:val="false"/>
              <w:widowControl w:val="false"/>
              <w:pBdr/>
              <w:shd w:val="clear" w:fill="auto"/>
              <w:spacing w:lineRule="auto" w:line="240" w:before="0" w:after="0"/>
              <w:ind w:left="165" w:right="592"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ACONDICIONADO EM SACO PLASTICO.</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MAÇO</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500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6"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3,99</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5"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R$ 1.995,00</w:t>
            </w:r>
          </w:p>
        </w:tc>
      </w:tr>
      <w:tr>
        <w:trPr>
          <w:trHeight w:val="3487"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33</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22" w:after="0"/>
              <w:ind w:left="165" w:right="256"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TOMATE - TOMATE - MADURO, BOA QUALIDADE, GRAUDO, DE POLPA FIRME E INTACTA, ISENTO DE ENFERMIDADES, MATERIAL TERROSO E UMIDADE EXTERNA ANORMAL, LIVRE DE RESIDUOS E FERTILIZANTES, SUJIDADES, PARASITAS E LARVAS, SEM LESOES DE ORIGEM FISICA OU MECANICA ORIUNDA DE MANUSEIO OU TRANSPORTE, ACONDICIONADO EM</w:t>
            </w:r>
          </w:p>
          <w:p>
            <w:pPr>
              <w:pStyle w:val="Normal1"/>
              <w:keepNext w:val="false"/>
              <w:keepLines w:val="false"/>
              <w:widowControl w:val="false"/>
              <w:pBdr/>
              <w:shd w:val="clear" w:fill="auto"/>
              <w:spacing w:lineRule="auto" w:line="220" w:before="2"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EMBALAGEM PLASTICA.</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3"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1700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8"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553"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8,16</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4"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472" w:right="448" w:firstLine="355"/>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R$ 13.872,00</w:t>
            </w:r>
          </w:p>
        </w:tc>
      </w:tr>
      <w:tr>
        <w:trPr>
          <w:trHeight w:val="3157" w:hRule="atLeast"/>
        </w:trPr>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57" w:after="0"/>
              <w:ind w:left="0" w:right="103" w:hanging="0"/>
              <w:jc w:val="righ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34</w:t>
            </w:r>
          </w:p>
        </w:tc>
        <w:tc>
          <w:tcPr>
            <w:tcW w:w="3405"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49" w:after="0"/>
              <w:ind w:left="165" w:right="286"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VAGEM - FRESCAS, COM COR, ODOR E SABOR PRÓPRIOS, BEM DESENVOLVIDAS, AUSÊNCIA DE SUJIDADES, PARASITAS E LARVAS, ISENTO DE SUBSTÂNCIAS TERROSAS E</w:t>
            </w:r>
          </w:p>
          <w:p>
            <w:pPr>
              <w:pStyle w:val="Normal1"/>
              <w:keepNext w:val="false"/>
              <w:keepLines w:val="false"/>
              <w:widowControl w:val="false"/>
              <w:pBdr/>
              <w:shd w:val="clear" w:fill="auto"/>
              <w:spacing w:lineRule="auto" w:line="240" w:before="0" w:after="0"/>
              <w:ind w:left="165" w:right="209"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CORPOS ESTRANHOS, LIVRE DE RESIDUOS DE</w:t>
            </w:r>
          </w:p>
          <w:p>
            <w:pPr>
              <w:pStyle w:val="Normal1"/>
              <w:keepNext w:val="false"/>
              <w:keepLines w:val="false"/>
              <w:widowControl w:val="false"/>
              <w:pBdr/>
              <w:shd w:val="clear" w:fill="auto"/>
              <w:spacing w:lineRule="auto" w:line="228" w:before="1"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FERTILIZANTES, NAO</w:t>
            </w:r>
          </w:p>
          <w:p>
            <w:pPr>
              <w:pStyle w:val="Normal1"/>
              <w:keepNext w:val="false"/>
              <w:keepLines w:val="false"/>
              <w:widowControl w:val="false"/>
              <w:pBdr/>
              <w:shd w:val="clear" w:fill="auto"/>
              <w:spacing w:lineRule="auto" w:line="228" w:before="0" w:after="0"/>
              <w:ind w:left="165" w:right="112"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DEVENDO ESTAR GOLPEADA OU DANIFICADO, ACONDICIONADO EM SACO PLÁSTICO.</w:t>
            </w:r>
          </w:p>
        </w:tc>
        <w:tc>
          <w:tcPr>
            <w:tcW w:w="1274"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57" w:after="0"/>
              <w:ind w:left="165"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KG</w:t>
            </w:r>
          </w:p>
        </w:tc>
        <w:tc>
          <w:tcPr>
            <w:tcW w:w="1276"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57" w:after="0"/>
              <w:ind w:left="394" w:right="386"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350</w:t>
            </w:r>
          </w:p>
        </w:tc>
        <w:tc>
          <w:tcPr>
            <w:tcW w:w="1703"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39" w:after="0"/>
              <w:ind w:left="555" w:right="545"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14,04</w:t>
            </w:r>
          </w:p>
        </w:tc>
        <w:tc>
          <w:tcPr>
            <w:tcW w:w="1840" w:type="dxa"/>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widowControl w:val="false"/>
              <w:pBdr/>
              <w:shd w:val="clear" w:fill="auto"/>
              <w:spacing w:lineRule="auto" w:line="240" w:before="1" w:after="0"/>
              <w:ind w:left="527" w:right="504" w:firstLine="300"/>
              <w:jc w:val="left"/>
              <w:rPr>
                <w:rFonts w:ascii="Times New Roman" w:hAnsi="Times New Roman" w:eastAsia="Times New Roman" w:cs="Times New Roman"/>
                <w:b w:val="false"/>
                <w:i w:val="false"/>
                <w:i w:val="false"/>
                <w:caps w:val="false"/>
                <w:smallCaps w:val="false"/>
                <w:strike w:val="false"/>
                <w:dstrike w:val="false"/>
                <w:color w:val="000000"/>
                <w:position w:val="0"/>
                <w:sz w:val="22"/>
                <w:sz w:val="22"/>
                <w:szCs w:val="22"/>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R$ 4.914,00</w:t>
            </w:r>
          </w:p>
        </w:tc>
      </w:tr>
      <w:tr>
        <w:trPr>
          <w:trHeight w:val="1128" w:hRule="atLeast"/>
        </w:trPr>
        <w:tc>
          <w:tcPr>
            <w:tcW w:w="6804" w:type="dxa"/>
            <w:gridSpan w:val="4"/>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center"/>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TOTAL MÁXIMO GLOBAL</w:t>
            </w:r>
          </w:p>
        </w:tc>
        <w:tc>
          <w:tcPr>
            <w:tcW w:w="354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40" w:before="0" w:after="0"/>
              <w:ind w:left="0" w:right="0" w:hanging="0"/>
              <w:jc w:val="center"/>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R$ 30</w:t>
            </w:r>
            <w:r>
              <w:rPr>
                <w:rFonts w:eastAsia="Times New Roman" w:cs="Times New Roman" w:ascii="Times New Roman" w:hAnsi="Times New Roman"/>
                <w:b/>
                <w:sz w:val="20"/>
                <w:szCs w:val="20"/>
              </w:rPr>
              <w:t>1.272,80</w:t>
            </w:r>
          </w:p>
        </w:tc>
      </w:tr>
    </w:tbl>
    <w:p>
      <w:pPr>
        <w:pStyle w:val="Normal1"/>
        <w:spacing w:lineRule="auto" w:line="240" w:before="280" w:after="280"/>
        <w:ind w:left="708" w:right="0" w:hanging="0"/>
        <w:jc w:val="both"/>
        <w:rPr>
          <w:rFonts w:ascii="Times New Roman" w:hAnsi="Times New Roman" w:eastAsia="Times New Roman" w:cs="Times New Roman"/>
          <w:i/>
          <w:i/>
          <w:color w:val="FF0000"/>
          <w:sz w:val="20"/>
          <w:szCs w:val="20"/>
        </w:rPr>
      </w:pPr>
      <w:r>
        <w:rPr>
          <w:rFonts w:eastAsia="Times New Roman" w:cs="Times New Roman" w:ascii="Times New Roman" w:hAnsi="Times New Roman"/>
          <w:b/>
          <w:sz w:val="20"/>
          <w:szCs w:val="20"/>
        </w:rPr>
        <w:t>Os produtos deverão ser entregues somente no local indicado na ORDEM DE FORNECIMENTO e obrigatoriamente acompanhada da cópia da Nota de Empenho, Ordem de Fornecimento e Declaração de responsabilidade (modelo anexo 10).</w:t>
      </w:r>
    </w:p>
    <w:p>
      <w:pPr>
        <w:pStyle w:val="Normal1"/>
        <w:numPr>
          <w:ilvl w:val="0"/>
          <w:numId w:val="8"/>
        </w:numPr>
        <w:tabs>
          <w:tab w:val="clear" w:pos="720"/>
          <w:tab w:val="left" w:pos="142" w:leader="none"/>
          <w:tab w:val="left" w:pos="284" w:leader="none"/>
          <w:tab w:val="left" w:pos="709" w:leader="none"/>
          <w:tab w:val="left" w:pos="993" w:leader="none"/>
        </w:tabs>
        <w:spacing w:lineRule="auto" w:line="240" w:before="0" w:after="0"/>
        <w:ind w:left="709" w:right="0"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 produto cotado deverá obedecer às normas padrões da ABNT, ANVISA, INMETRO e MS; ser de boa qualidade e atender eficazmente à finalidade que dele naturalmente se espera, conforme determina o Código de Defesa do Consumidor;</w:t>
      </w:r>
    </w:p>
    <w:p>
      <w:pPr>
        <w:pStyle w:val="Normal1"/>
        <w:numPr>
          <w:ilvl w:val="0"/>
          <w:numId w:val="8"/>
        </w:numPr>
        <w:tabs>
          <w:tab w:val="clear" w:pos="720"/>
          <w:tab w:val="left" w:pos="142" w:leader="none"/>
          <w:tab w:val="left" w:pos="284" w:leader="none"/>
          <w:tab w:val="left" w:pos="709" w:leader="none"/>
          <w:tab w:val="left" w:pos="993" w:leader="none"/>
        </w:tabs>
        <w:spacing w:lineRule="auto" w:line="240"/>
        <w:ind w:left="709" w:right="0"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Caso fiquem constatadas irregularidades em relação ao objeto, ou mesmo não se enquadrar nas exigências mínimas, resultará na não aceitação do objeto e imediata rescisão do contrato.</w:t>
      </w:r>
    </w:p>
    <w:p>
      <w:pPr>
        <w:pStyle w:val="Normal1"/>
        <w:numPr>
          <w:ilvl w:val="0"/>
          <w:numId w:val="8"/>
        </w:numPr>
        <w:tabs>
          <w:tab w:val="clear" w:pos="720"/>
          <w:tab w:val="left" w:pos="142" w:leader="none"/>
          <w:tab w:val="left" w:pos="284" w:leader="none"/>
          <w:tab w:val="left" w:pos="709" w:leader="none"/>
          <w:tab w:val="left" w:pos="993" w:leader="none"/>
        </w:tabs>
        <w:spacing w:lineRule="auto" w:line="240"/>
        <w:ind w:left="709" w:right="0"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 não cumprimento da obrigação, ocorrerá em penalidade, nos termos da Lei 14.133/2021, Lei Municipal 8.393/2005 e Decreto 1.990/2008.</w:t>
      </w:r>
    </w:p>
    <w:p>
      <w:pPr>
        <w:pStyle w:val="Normal1"/>
        <w:numPr>
          <w:ilvl w:val="0"/>
          <w:numId w:val="8"/>
        </w:numPr>
        <w:tabs>
          <w:tab w:val="clear" w:pos="720"/>
          <w:tab w:val="left" w:pos="142" w:leader="none"/>
          <w:tab w:val="left" w:pos="284" w:leader="none"/>
          <w:tab w:val="left" w:pos="709" w:leader="none"/>
          <w:tab w:val="left" w:pos="993" w:leader="none"/>
        </w:tabs>
        <w:spacing w:lineRule="auto" w:line="240" w:before="0" w:after="280"/>
        <w:ind w:left="709" w:right="0"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As condições estabelecidas no edital e seus anexos vinculam as partes, e nos casos em que se encontram presentes os requisitos da Lei 14.133/2021, há substituição do instrumento do contrato. </w:t>
      </w:r>
    </w:p>
    <w:p>
      <w:pPr>
        <w:pStyle w:val="Normal1"/>
        <w:tabs>
          <w:tab w:val="clear" w:pos="720"/>
          <w:tab w:val="left" w:pos="142" w:leader="none"/>
          <w:tab w:val="left" w:pos="284" w:leader="none"/>
          <w:tab w:val="left" w:pos="709" w:leader="none"/>
          <w:tab w:val="left" w:pos="993" w:leader="none"/>
        </w:tabs>
        <w:spacing w:lineRule="auto" w:line="240" w:before="0" w:after="280"/>
        <w:ind w:left="709" w:right="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CONDIÇÕES DE GARANTIA:</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Na(s) entrega(s) na(s) Unidade(s) Escolar(es) o(s) produto(s) será(ão) conferido(s) com base na Nota Fiscal, documento que conterá os itens, quantitativos totais, datas e prazos e locais de entrega de forma sintética;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Será(ão) recusado(s) todo ou parte o(s) produto(s) que estiver(em) em desacordo com o Termo de Referência ou que estiverem sem rótulo ou com rótulo rasurado;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No caso da recusa, a(s) CONTRATADA(S) deverá(ão), em um prazo de 2 (dois) dias úteis, realizar nova entrega com o(s) produto(s) de acordo com o presente Termo de Referência;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No caso de reincidência na mesma solicitação, a CONTRATANTE poderá, sem prejuízo à sanções previstas pelo descumprimento, alterar em todo ou em parte, as quantidades da solicitação de entrega;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A(s) CONTRATADA(S) será(ão) responsável(is) por seu(s) produto(s) até a data que expirar a validade do(s) mesmo(s), valendo para a resolução de qualquer dúvida, o Código de Defesa do Consumidor;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Após o recebimento e estando o(s) produto(s) dentro do prazo de validade, caso a CONTRATANTE identifique que o produto não corresponde as características técnicas determinadas para o item, poderá solicitar a substituição do(s) produto(s) à(s) CONTRATADA(S) através de comunicação formal, podendo ser por meio de correio eletrônico ou, na falta deste, comunicação impressa.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A(s) CONTRATADA(S) deverão realizar a substituição do produto em: a) 24 horas, a contar da data de formalização da ocorrência pela CONTRATANTE;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Será dado o prazo de 3 (três) dias corridos após a comunicação formal à(s) CONTRATADA(S) para retirada do(s) produto(s) deteriorado(s). Após este período o(s) produto(s) será(ão) devidamente descartado(s),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Nos casos onde a deterioração do(s) produto(s) trazer(em) risco(s) de contaminação a outro(s) item(ns) ou mesmo à saúde, o(s) item(ns) será(ão) descartado(s); sendo que a comprovação se dará por registros fotográficos e/ou pelas embalagens.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A(s) troca(s) deverá(ão) ser(em) realizada(s) e certificada(s) pela(s) unidade(s) que possui(em) a guarda do(s) produto(s) em documento próprio em que deve conter, no mínimo, as seguintes informações: a) Descrição do item; b) Quantidade substituída; c) Data da realização da substituição; d) Protocolo contendo o nome do responsável pelo recebimento; e) O comprovante da substituição deverá ser remetido para o Setor de Nutrição da Secretaria de Educação Municipal.</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PRAZO DE ENTREGA E FORMA DE ENTREGA:</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Prazo de entrega: em até 3 (três) dias úteis, respeitando a data informada na Solicitação de Fornecimento;</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Forma de entrega: Parcelada.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Especificações Técnicas; A(s) entrega(s) do(s) produto(s) deverá(ão) ser(em) realizada(s) no(s) local(is) indicado(s), conforme Solicitação de Fornecimento; a) A Solicitação de Fornecimento é o documento que conterá o(s) produto(s), quantitativos por unidade, datas e prazos de entrega de forma sintética;</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 xml:space="preserve">LOCAL DE ENTREGA E HORÁRIO DE ENTREGA: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Locais de entrega:</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CEI Aconchego 1 - Rua Jorge Lacerda, s/n, Bairro Centro, Grão-Pará.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CEI Aconchego 2 - Rua Ângelo Alberton Luiz, 372, Bairro Centro, Grão-Pará.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CEI Aconchego 3 - Rua Padre Vitório Pozzo, 618, Bairro Centro, Grão-Pará. C</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EI Rio Pequeno - SC/370, s/nº, Grão-Pará. CEI Aiurê - Estrada Geral Aiurê, s/nº, Grão-Pará.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CEI Tio Patinhas- Rua Barão do Rio Branco, Bairro Centro, Grão-Pará.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Escola Municipal Professor Gregório Wessler - Rua Leoberto Leal, 27, Bairro Centro, GrãoPará.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Serviço de Convivência e Fortalecimento de Vínculos (SCFV) – Rua Aderbal Ramos da Silva, s/n, Centro, Grão-Pará/SC – ponto de referência: ao lado do posto de saúde central.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Os pontos de entrega acima relacionados poderão sofrer alterações (inclusão e/ou exclusão), de acordo com a CONTRATANTE;</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HORÁRIOS DE ENTREGA:</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Segunda e Terça-feira, exceto feriados e pontos facultativos, das 7 horas e 30 minutos às 11 horas e 30 minutos.</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GESTOR DO CONTRATO:</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Secretaria de Educação Municipal e Secretaria Municipal da Família e Desenvolvimento Social.</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 xml:space="preserve">OBRIGAÇÕES DA CONTRATADA ESPECÍFICAS DO OBJETO: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Será de responsabilidade da(s) CONTRATADA(S) a(s) entrega(s) (transporte) do(s) produto(s) até o(s) local(is) indicado(s) dentro do(s) prazo(s) estabelecido(s) na Solicitação de Fornecimento pela CONTRATANTE;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É de responsabilidade da(s) CONTRATADA(S) ter, pelo menos, um acompanhante devidamente uniformizado (jaleco ou camiseta, boné, calça comprida e calçado fechado) identificados com o nome da CONTRATADA para o transporte do(s) produto(s) até a(s) Unidade(s);</w:t>
      </w:r>
    </w:p>
    <w:p>
      <w:pPr>
        <w:pStyle w:val="Normal1"/>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Entregar os produtos, no local indicado na Ordem de Serviço emitida pela Prefeitura Municipal de Grão-Pará/SC, </w:t>
      </w:r>
      <w:r>
        <w:rPr>
          <w:rFonts w:eastAsia="Times New Roman" w:cs="Times New Roman" w:ascii="Times New Roman" w:hAnsi="Times New Roman"/>
          <w:b/>
          <w:sz w:val="20"/>
          <w:szCs w:val="20"/>
        </w:rPr>
        <w:t>DENTRO DE, NO MÁXIMO, 03 (TRÊS) dias úteis</w:t>
      </w:r>
      <w:r>
        <w:rPr>
          <w:rFonts w:eastAsia="Times New Roman" w:cs="Times New Roman" w:ascii="Times New Roman" w:hAnsi="Times New Roman"/>
          <w:sz w:val="20"/>
          <w:szCs w:val="20"/>
        </w:rPr>
        <w:t>, conforme a necessidade do Município, dentro das especificações e marcas estipuladas contratualmente, após homologação e adjudicação da licitação e após a assinatura dos Contratos ou ATA;</w:t>
      </w:r>
    </w:p>
    <w:p>
      <w:pPr>
        <w:pStyle w:val="Normal1"/>
        <w:ind w:left="0" w:right="0" w:firstLine="708"/>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Emitir notas fiscais dos produtos a serem entregues;</w:t>
      </w:r>
    </w:p>
    <w:p>
      <w:pPr>
        <w:pStyle w:val="Normal1"/>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Destacar o valor do Imposto de Renda na nota fiscal para que o Município de Grão-Pará faça a retenção deste, nos termos do Decreto 05/2023, caso a contratada se enquadrar nas regras neste estabelecidas.</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 xml:space="preserve">CONDIÇÕES GERAIS (SE HOUVER):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A(s) entrega(s) deverá(ão) seguir todos os termos indicados na Solicitação de Fornecimento, em especial, a data máxima para a última entrega;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O Comprovante de Entrega do(s) Gênero(s) Alimentício(s) deverá ocorrer por meio de nota fiscal com a devida descrição dos produtos.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A Nutricionista da Secretaria de Educação poderá retirar amostra(s) do(s) produto(s) a ser(em) entregue(s) para "Análise Sensorial" e/ou Laboratorial em qualquer fase da execução do(s) Contrato(s) sendo os custos sob responsabilidade da(s) CONTRATADA(S) nos casos de: a) Quando houver a necessidade de comprovação da qualidade do(s) produto(s); b) Quando houver a suspeita de problema higiênico-sanitário.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Análise da(s) amostra(s) poderá(ão) ser solicitado(s) pelo Fundo Nacional de Desenvolvimento da Educação (FNDE), pela CONTRATANTE ou por órgão competente;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A análise laboratorial será realizada obedecendo a Resolução ANVISA nº 7, de 18 de fevereiro de 2011 e demais legislações específicas;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As análises deverão ocorrer preferencialmente em laboratório vinculado a uma instituição pública;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A(s) amostra(s) deverá(ão) estar devidamente acondicionada(s) de acordo com as características do(s) produto(s) e orientação do rótulo. Esta(s) deverá(ão) ser levada(s), em carro oficial da Prefeitura Municipal de Grão-Pará, por um servidor da Prefeitura Municipal de Grão-Pará até o laboratório para análise;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O(s) produto(s) deverá(ão) ser transportado(s) de acordo com as normas da Vigilância Sanitária e o veículo atender as exigências das normas para o transporte, conforme Decreto Estadual nº 31.455, de 20 de fevereiro de 1987 e Resolução RDC nº 216, de 15 de setembro de 2004;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Em caso de qualquer incidência e/ou suspeita de surto ou toxinfecção alimentar devido ao consumo de determinado alimento, será comunicado a Vigilância Sanitária para averiguação do(s) alimento(s) suspeitos e para comprovação se o(s) mesmo(s) está(ão) apto(s) para consumo;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Só serão admitidas a substituição de produto(s), após as devidas análises, no caso das hipóteses previstas no art. 17, do Decreto n°. 7.892/2013, na Lei n°10.520/2002, Lei n° 8.666/1993, Lei n° 14.133/2021 e Resolução n° 6, de 8 de maio de 2020 do FNDE.</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Será ainda necessária a apresentação para CONTRATANTE: a) Justificativa em papel timbrado da empresa CONTRATADA; b) 1 (uma) amostra do produto similar; c) Ficha Técnica do produto; d) Alvará Sanitário do Fabricante;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O pedido de substituição será analisado e poderá ser recusado nos casos em que: a) O item similar não atender requisitos do presente Termo de Referência; b) A justificativa não for considerada plausível. </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A solicitação de substituição em que trata o subitem 10.7, não poderá ser utilizada como causa ou justificativa para eventuais atrasos nas entregas sendo que somente serão protocoladas as solicitações realizadas com, no mínimo 10 (dez) dias corridos antes da entrega.</w:t>
      </w:r>
    </w:p>
    <w:p>
      <w:pPr>
        <w:pStyle w:val="Normal1"/>
        <w:keepNext w:val="false"/>
        <w:keepLines w:val="false"/>
        <w:pageBreakBefore w:val="false"/>
        <w:widowControl/>
        <w:pBdr/>
        <w:shd w:val="clear" w:fill="auto"/>
        <w:spacing w:lineRule="auto" w:line="240" w:before="0" w:after="0"/>
        <w:ind w:left="0" w:right="0" w:hanging="0"/>
        <w:jc w:val="both"/>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pageBreakBefore w:val="false"/>
        <w:widowControl/>
        <w:pBdr/>
        <w:shd w:val="clear" w:fill="auto"/>
        <w:spacing w:lineRule="auto" w:line="240" w:before="0" w:after="0"/>
        <w:ind w:left="0" w:right="0" w:hanging="0"/>
        <w:jc w:val="both"/>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pageBreakBefore w:val="false"/>
        <w:widowControl/>
        <w:pBdr/>
        <w:shd w:val="clear" w:fill="auto"/>
        <w:spacing w:lineRule="auto" w:line="240" w:before="0" w:after="0"/>
        <w:ind w:left="0" w:right="0" w:hanging="0"/>
        <w:jc w:val="both"/>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DAS OBRIGAÇÕES DA CONTRATANTE</w:t>
      </w:r>
    </w:p>
    <w:p>
      <w:pPr>
        <w:pStyle w:val="Normal1"/>
        <w:keepNext w:val="false"/>
        <w:keepLines w:val="false"/>
        <w:pageBreakBefore w:val="false"/>
        <w:widowControl/>
        <w:pBdr/>
        <w:shd w:val="clear" w:fill="auto"/>
        <w:spacing w:lineRule="auto" w:line="240" w:before="0" w:after="0"/>
        <w:ind w:left="0" w:right="0" w:hanging="0"/>
        <w:jc w:val="both"/>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r>
    </w:p>
    <w:p>
      <w:pPr>
        <w:pStyle w:val="Normal1"/>
        <w:numPr>
          <w:ilvl w:val="0"/>
          <w:numId w:val="3"/>
        </w:numPr>
        <w:spacing w:lineRule="auto" w:line="240" w:before="0" w:after="0"/>
        <w:ind w:left="1068"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Efetuar os pagamentos referentes dos produtos adquiridos e verificar se os mesmos encontram-se em conformidade com as especificações técnicas estipuladas contratualmente;</w:t>
      </w:r>
    </w:p>
    <w:p>
      <w:pPr>
        <w:pStyle w:val="Normal1"/>
        <w:spacing w:lineRule="auto" w:line="240" w:before="0" w:after="0"/>
        <w:ind w:left="106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numPr>
          <w:ilvl w:val="0"/>
          <w:numId w:val="3"/>
        </w:numPr>
        <w:spacing w:lineRule="auto" w:line="240" w:before="0" w:after="280"/>
        <w:ind w:left="1068"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Emitir ordem de compra à vendedora para entrega dos produtos licitados.</w:t>
      </w:r>
    </w:p>
    <w:p>
      <w:pPr>
        <w:pStyle w:val="Normal1"/>
        <w:numPr>
          <w:ilvl w:val="0"/>
          <w:numId w:val="3"/>
        </w:numPr>
        <w:spacing w:lineRule="auto" w:line="240" w:before="0" w:after="280"/>
        <w:ind w:left="1068"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Receber o objeto no prazo e condições estabelecidas no Edital e seus anexos; Verificar minuciosamente, no prazo fixado, a conformidade dos bens recebidos provisoriamente com as especificações constantes do Edital e da proposta, para fins de aceitação e recebimento definitivo;</w:t>
      </w:r>
    </w:p>
    <w:p>
      <w:pPr>
        <w:pStyle w:val="Normal1"/>
        <w:numPr>
          <w:ilvl w:val="0"/>
          <w:numId w:val="3"/>
        </w:numPr>
        <w:spacing w:lineRule="auto" w:line="240" w:before="0" w:after="280"/>
        <w:ind w:left="1068"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Comunicar à Contratada, por escrito, sobre imperfeições, falhas ou irregularidades verificadas no objeto fornecido, para que seja substituído, reparado ou corrigido; </w:t>
      </w:r>
    </w:p>
    <w:p>
      <w:pPr>
        <w:pStyle w:val="Normal1"/>
        <w:numPr>
          <w:ilvl w:val="0"/>
          <w:numId w:val="3"/>
        </w:numPr>
        <w:spacing w:lineRule="auto" w:line="240" w:before="0" w:after="280"/>
        <w:ind w:left="1068"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Acompanhar e fiscalizar o cumprimento das obrigações da Contratada; </w:t>
      </w:r>
    </w:p>
    <w:p>
      <w:pPr>
        <w:pStyle w:val="Normal1"/>
        <w:numPr>
          <w:ilvl w:val="0"/>
          <w:numId w:val="3"/>
        </w:numPr>
        <w:spacing w:lineRule="auto" w:line="240" w:before="0" w:after="280"/>
        <w:ind w:left="1068"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ormal1"/>
        <w:numPr>
          <w:ilvl w:val="0"/>
          <w:numId w:val="3"/>
        </w:numPr>
        <w:spacing w:lineRule="auto" w:line="240" w:before="280" w:after="280"/>
        <w:ind w:left="1068"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Notificar a(s) CONTRATADA(S) quanto a qualquer irregularidade(s) encontrada(s); </w:t>
      </w:r>
    </w:p>
    <w:p>
      <w:pPr>
        <w:pStyle w:val="Normal1"/>
        <w:numPr>
          <w:ilvl w:val="0"/>
          <w:numId w:val="3"/>
        </w:numPr>
        <w:spacing w:lineRule="auto" w:line="240" w:before="280" w:after="280"/>
        <w:ind w:left="1068"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Permitir acesso dos empregados da(s) CONTRATADA(S) às dependências das Unidades Escolares</w:t>
      </w:r>
    </w:p>
    <w:p>
      <w:pPr>
        <w:pStyle w:val="Normal1"/>
        <w:numPr>
          <w:ilvl w:val="0"/>
          <w:numId w:val="3"/>
        </w:numPr>
        <w:spacing w:lineRule="auto" w:line="240" w:before="280" w:after="280"/>
        <w:ind w:left="1068"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Prestar as informações e os esclarecimentos que venham a ser solicitadas pela(s) CONTRATADA(S), quando necessários ao fornecimento do(s) produto(s); </w:t>
      </w:r>
    </w:p>
    <w:p>
      <w:pPr>
        <w:pStyle w:val="Normal1"/>
        <w:numPr>
          <w:ilvl w:val="0"/>
          <w:numId w:val="3"/>
        </w:numPr>
        <w:spacing w:lineRule="auto" w:line="240" w:before="280" w:after="280"/>
        <w:ind w:left="1068"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Comunicar formalmente a(s) CONTRATADA(S), por meio de correio eletrônico ou, na falta deste, comunicação impressa, qualquer falha e/ou irregularidade no fornecimento do(s) produto(s), determinando o que for necessário à sua regularização; </w:t>
      </w:r>
    </w:p>
    <w:p>
      <w:pPr>
        <w:pStyle w:val="Normal1"/>
        <w:numPr>
          <w:ilvl w:val="0"/>
          <w:numId w:val="3"/>
        </w:numPr>
        <w:spacing w:lineRule="auto" w:line="240" w:before="280" w:after="280"/>
        <w:ind w:left="1068"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Aceitar/rejeitar, no todo ou em parte, o(s) produto(s) entregue(s) pela(s) CONTRATADA(S); </w:t>
      </w:r>
    </w:p>
    <w:p>
      <w:pPr>
        <w:pStyle w:val="Normal1"/>
        <w:numPr>
          <w:ilvl w:val="0"/>
          <w:numId w:val="3"/>
        </w:numPr>
        <w:spacing w:lineRule="auto" w:line="240" w:before="280" w:after="280"/>
        <w:ind w:left="1068"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Solicitação de Fornecimento será encaminhada à(s) CONTRATADA(S) com antecedência mínima de 03 (três) dias corridos da data final de entrega.</w:t>
      </w:r>
    </w:p>
    <w:p>
      <w:pPr>
        <w:pStyle w:val="Normal1"/>
        <w:spacing w:lineRule="auto" w:line="240" w:before="0" w:after="280"/>
        <w:ind w:left="1068" w:right="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keepNext w:val="false"/>
        <w:keepLines w:val="false"/>
        <w:pageBreakBefore w:val="false"/>
        <w:widowControl/>
        <w:pBdr/>
        <w:shd w:val="clear" w:fill="auto"/>
        <w:spacing w:lineRule="auto" w:line="240" w:before="0" w:after="0"/>
        <w:ind w:left="0"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DA JUSTIFICATIVA</w:t>
      </w:r>
    </w:p>
    <w:p>
      <w:pPr>
        <w:pStyle w:val="Normal1"/>
        <w:keepNext w:val="false"/>
        <w:keepLines w:val="false"/>
        <w:pageBreakBefore w:val="false"/>
        <w:widowControl/>
        <w:pBdr/>
        <w:shd w:val="clear" w:fill="auto"/>
        <w:spacing w:lineRule="auto" w:line="240" w:before="0" w:after="0"/>
        <w:ind w:left="0" w:right="0" w:hanging="0"/>
        <w:jc w:val="both"/>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pageBreakBefore w:val="false"/>
        <w:widowControl/>
        <w:pBdr/>
        <w:shd w:val="clear" w:fill="auto"/>
        <w:spacing w:lineRule="auto" w:line="240" w:before="0" w:after="0"/>
        <w:ind w:left="708"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Aquisição dos gêneros alimentícios do tipo hortifrutigranjeiros e Biscoitos s/ adição de açúcar, os quais necessários para atender as unidades escolar (CEIs, Escola municipal) e Serviço de Convivência e Fortalecimento de Vínculos(SCFV), a alimentação escolar contribuir para o crescimento e o desenvolvimento biopsicossocial, a aprendizagem, o rendimento escolar e a formação de práticas alimentares saudáveis dos alunos, por meio de ações de educação alimentar e nutricional e da oferta de refeições que cubram as suas necessidades nutricionais durante o período letivo.</w:t>
      </w:r>
    </w:p>
    <w:p>
      <w:pPr>
        <w:pStyle w:val="Normal1"/>
        <w:keepNext w:val="false"/>
        <w:keepLines w:val="false"/>
        <w:pageBreakBefore w:val="false"/>
        <w:widowControl/>
        <w:pBdr/>
        <w:shd w:val="clear" w:fill="auto"/>
        <w:spacing w:lineRule="auto" w:line="240" w:before="0" w:after="0"/>
        <w:ind w:left="708"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compra dos gêneros alimentícios se faz necessária para atender as unidades escolares e serviço de convivência e fortalecimento de vínculos (SCFV) em conformidade com o que determina o programa nacional de alimentação escolar (PNAE).</w:t>
      </w:r>
    </w:p>
    <w:p>
      <w:pPr>
        <w:pStyle w:val="Normal1"/>
        <w:keepNext w:val="false"/>
        <w:keepLines w:val="false"/>
        <w:pageBreakBefore w:val="false"/>
        <w:widowControl/>
        <w:pBdr/>
        <w:shd w:val="clear" w:fill="auto"/>
        <w:spacing w:lineRule="auto" w:line="240" w:before="0" w:after="0"/>
        <w:ind w:left="708"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Este processo de compras tem por objetivo a aquisição dos gêneros alimentícios do tipo hortifrutigranjeiros e Biscoitos s/ adição de açúcar, os quais necessários para atender as unidades escolar (CEIs, Escola municipal) e Serviço de Convivência e Fortalecimento de Vínculos(SCFV), conforme endereços especificados no Termo de Referência, no período de 12 meses. Os gêneros alimentícios são essenciais para prover as necessidades de alimentação escolar dos alunos matriculados no âmbito do Programa Nacional de Alimentação Escolar – PNAE visando atender a Lei nº11.947/2009. Entende-se por alimentação escolar todo alimento oferecido no ambiente escolar, independentemente de sua origem, durante o período letivo e visa contribuir para o crescimento e o desenvolvimento biopsicossocial, a aprendizagem, o rendimento escolar e a formação de práticas alimentares saudáveis dos alunos, por meio de ações de educação alimentar e nutricional e da oferta de refeições que cubram as suas necessidades nutricionais durante o período letivo. A oferta de alimentação de qualidade também facilita a permanência dos alunos nas instituições de ensino, diminuindo a evasão escolar e, consequentemente, melhorando o desempenho acadêmico. A alimentação escolar adequada é um dos fatores responsáveis pelo bom funcionamento do organismo e contribui para a redução na probabilidade do aparecimento de diversas doenças. A escola, também como espaço de formação, tem o dever de persistir na mudança dos hábitos alimentares dos estudantes. Uma boa alimentação visa fortalecer e ampliar as condições de aprendizado dos alunos e visa uma política social junto aquelas pessoas com necessidades ou vulnerabilidade social que frequentam as instituições, sendo, portanto, de grande utilidade para a manutenção das atividades já desenvolvidas pelos setores das Secretarias de Desenvolvimento Social e de Educação. Os produtos destinam-se a atender as necessidades das unidades escolar (CEIs, Escola municipal) e Serviço de Convivência e Fortalecimento de Vínculos(SCFV), funcionando todos os dias úteis da semana ou seja de segunda à sexta-feira.</w:t>
      </w:r>
    </w:p>
    <w:p>
      <w:pPr>
        <w:pStyle w:val="Normal1"/>
        <w:keepNext w:val="false"/>
        <w:keepLines w:val="false"/>
        <w:pageBreakBefore w:val="false"/>
        <w:widowControl/>
        <w:pBdr/>
        <w:shd w:val="clear" w:fill="auto"/>
        <w:spacing w:lineRule="auto" w:line="240" w:before="0" w:after="0"/>
        <w:ind w:left="708"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keepNext w:val="false"/>
        <w:keepLines w:val="false"/>
        <w:pageBreakBefore w:val="false"/>
        <w:widowControl/>
        <w:pBdr/>
        <w:shd w:val="clear" w:fill="auto"/>
        <w:spacing w:lineRule="auto" w:line="240" w:before="0" w:after="0"/>
        <w:ind w:left="708"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r>
    </w:p>
    <w:p>
      <w:pPr>
        <w:pStyle w:val="Normal1"/>
        <w:spacing w:lineRule="auto" w:line="240" w:before="240" w:after="240"/>
        <w:ind w:left="0" w:right="-15" w:firstLine="708"/>
        <w:rPr>
          <w:rFonts w:ascii="Times New Roman" w:hAnsi="Times New Roman" w:eastAsia="Times New Roman" w:cs="Times New Roman"/>
          <w:sz w:val="20"/>
          <w:szCs w:val="20"/>
        </w:rPr>
      </w:pPr>
      <w:r>
        <w:rPr>
          <w:rFonts w:eastAsia="Times New Roman" w:cs="Times New Roman" w:ascii="Times New Roman" w:hAnsi="Times New Roman"/>
          <w:sz w:val="20"/>
          <w:szCs w:val="20"/>
        </w:rPr>
        <w:t>Grão-Pará, 10 de maio de 2023.</w:t>
      </w:r>
    </w:p>
    <w:p>
      <w:pPr>
        <w:pStyle w:val="Normal1"/>
        <w:spacing w:lineRule="auto" w:line="240" w:before="240" w:after="240"/>
        <w:ind w:left="0" w:right="0" w:firstLine="709"/>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40" w:after="240"/>
        <w:ind w:left="0" w:right="0" w:firstLine="709"/>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40" w:after="240"/>
        <w:ind w:left="0" w:right="0" w:firstLine="709"/>
        <w:rPr>
          <w:rFonts w:ascii="Times New Roman" w:hAnsi="Times New Roman" w:eastAsia="Times New Roman" w:cs="Times New Roman"/>
          <w:sz w:val="20"/>
          <w:szCs w:val="20"/>
        </w:rPr>
      </w:pPr>
      <w:r>
        <w:rPr>
          <w:rFonts w:eastAsia="Times New Roman" w:cs="Times New Roman" w:ascii="Times New Roman" w:hAnsi="Times New Roman"/>
          <w:b/>
          <w:sz w:val="20"/>
          <w:szCs w:val="20"/>
        </w:rPr>
        <w:t>HELIO ALBERTON JUNIOR</w:t>
      </w:r>
    </w:p>
    <w:p>
      <w:pPr>
        <w:pStyle w:val="Normal1"/>
        <w:spacing w:lineRule="auto" w:line="240" w:before="280" w:after="280"/>
        <w:ind w:left="708" w:right="0" w:hanging="0"/>
        <w:rPr>
          <w:rFonts w:ascii="Times New Roman" w:hAnsi="Times New Roman" w:eastAsia="Times New Roman" w:cs="Times New Roman"/>
          <w:sz w:val="20"/>
          <w:szCs w:val="20"/>
        </w:rPr>
      </w:pPr>
      <w:r>
        <w:rPr>
          <w:rFonts w:eastAsia="Times New Roman" w:cs="Times New Roman" w:ascii="Times New Roman" w:hAnsi="Times New Roman"/>
          <w:b/>
          <w:sz w:val="20"/>
          <w:szCs w:val="20"/>
        </w:rPr>
        <w:t>Prefeito Municipal</w:t>
      </w:r>
      <w:r>
        <w:br w:type="page"/>
      </w:r>
    </w:p>
    <w:p>
      <w:pPr>
        <w:pStyle w:val="Normal1"/>
        <w:spacing w:lineRule="auto" w:line="240" w:before="280" w:after="280"/>
        <w:ind w:left="708" w:right="0" w:hanging="0"/>
        <w:rPr>
          <w:rFonts w:ascii="Times New Roman" w:hAnsi="Times New Roman" w:eastAsia="Times New Roman" w:cs="Times New Roman"/>
          <w:sz w:val="20"/>
          <w:szCs w:val="20"/>
        </w:rPr>
      </w:pPr>
      <w:r>
        <w:rPr>
          <w:rFonts w:eastAsia="Times New Roman" w:cs="Times New Roman" w:ascii="Times New Roman" w:hAnsi="Times New Roman"/>
          <w:b/>
          <w:sz w:val="20"/>
          <w:szCs w:val="20"/>
        </w:rPr>
        <w:t>ANEXO 02</w:t>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PREGÃO, NA FORMA ELETRÔNICA Nº 12/2023</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 xml:space="preserve">1.  </w:t>
        <w:tab/>
        <w:t>HABILITAÇÃO</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1.1</w:t>
        <w:tab/>
        <w:t>EXIGÊNCIAS PARA HABILITAÇÃO</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A empresa vencedora do Pregão deverá apresentar, imediatamente após o encerramento da disputa, os seguintes documentos comprobatórios de habilitação, sendo que tais documentos deverão ser </w:t>
      </w:r>
      <w:r>
        <w:rPr>
          <w:rFonts w:eastAsia="Times New Roman" w:cs="Times New Roman" w:ascii="Times New Roman" w:hAnsi="Times New Roman"/>
          <w:b/>
          <w:sz w:val="20"/>
          <w:szCs w:val="20"/>
        </w:rPr>
        <w:t>encaminhados pelo e-mail: licitacoes@graopara.sc.gov.br</w:t>
      </w:r>
      <w:r>
        <w:rPr>
          <w:rFonts w:eastAsia="Times New Roman" w:cs="Times New Roman" w:ascii="Times New Roman" w:hAnsi="Times New Roman"/>
          <w:sz w:val="20"/>
          <w:szCs w:val="20"/>
        </w:rPr>
        <w:t>,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licitação, para a Prefeitura Municipal de Grão-Pará, na Rua Barão do Rio Branco, n.187, Centro, Grão-Pará/SC, CEP: 88890-000, aos cuidados da Comissão de Licitação, observando o prazo de 05(cinco) dias úteis, contados a partir da data da realização do pregão.</w:t>
      </w:r>
    </w:p>
    <w:p>
      <w:pPr>
        <w:pStyle w:val="Normal1"/>
        <w:spacing w:lineRule="auto" w:line="240" w:before="280" w:after="280"/>
        <w:rPr>
          <w:rFonts w:ascii="Times New Roman" w:hAnsi="Times New Roman" w:eastAsia="Times New Roman" w:cs="Times New Roman"/>
          <w:sz w:val="20"/>
          <w:szCs w:val="20"/>
        </w:rPr>
      </w:pPr>
      <w:r>
        <w:rPr>
          <w:rFonts w:eastAsia="Times New Roman" w:cs="Times New Roman" w:ascii="Times New Roman" w:hAnsi="Times New Roman"/>
          <w:b/>
          <w:sz w:val="20"/>
          <w:szCs w:val="20"/>
        </w:rPr>
        <w:t xml:space="preserve">1.2   </w:t>
        <w:tab/>
        <w:t>DOCUMENTOS DE HABILITAÇÃO</w:t>
      </w:r>
    </w:p>
    <w:p>
      <w:pPr>
        <w:pStyle w:val="Normal1"/>
        <w:spacing w:lineRule="auto" w:line="240" w:before="280" w:after="280"/>
        <w:rPr>
          <w:rFonts w:ascii="Times New Roman" w:hAnsi="Times New Roman" w:eastAsia="Times New Roman" w:cs="Times New Roman"/>
          <w:sz w:val="20"/>
          <w:szCs w:val="20"/>
        </w:rPr>
      </w:pPr>
      <w:r>
        <w:rPr>
          <w:rFonts w:eastAsia="Times New Roman" w:cs="Times New Roman" w:ascii="Times New Roman" w:hAnsi="Times New Roman"/>
          <w:b/>
          <w:sz w:val="20"/>
          <w:szCs w:val="20"/>
        </w:rPr>
        <w:t xml:space="preserve">1.2.1 </w:t>
        <w:tab/>
        <w:t>Habilitação Jurídica</w:t>
      </w:r>
    </w:p>
    <w:p>
      <w:pPr>
        <w:pStyle w:val="Normal1"/>
        <w:tabs>
          <w:tab w:val="clear" w:pos="720"/>
          <w:tab w:val="left" w:pos="426" w:leader="none"/>
        </w:tabs>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a)  </w:t>
      </w:r>
      <w:r>
        <w:rPr>
          <w:rFonts w:eastAsia="Times New Roman" w:cs="Times New Roman" w:ascii="Times New Roman" w:hAnsi="Times New Roman"/>
          <w:b/>
          <w:sz w:val="20"/>
          <w:szCs w:val="20"/>
        </w:rPr>
        <w:t>Ato constitutivo, estatuto ou contrato social</w:t>
      </w:r>
      <w:r>
        <w:rPr>
          <w:rFonts w:eastAsia="Times New Roman" w:cs="Times New Roman" w:ascii="Times New Roman" w:hAnsi="Times New Roman"/>
          <w:sz w:val="20"/>
          <w:szCs w:val="20"/>
        </w:rPr>
        <w:t xml:space="preserve"> em vigor, devidamente registrado, em se tratando de sociedades comerciais e, no caso de sociedades por ações, acompanhado de documentos de eleição de seus administradores;</w:t>
      </w:r>
    </w:p>
    <w:p>
      <w:pPr>
        <w:pStyle w:val="Normal1"/>
        <w:tabs>
          <w:tab w:val="clear" w:pos="720"/>
          <w:tab w:val="left" w:pos="284" w:leader="none"/>
        </w:tabs>
        <w:spacing w:lineRule="auto" w:line="240" w:before="280" w:after="280"/>
        <w:ind w:left="709" w:right="0" w:hanging="709"/>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b/>
        <w:tab/>
        <w:t>b) Inscrição do Ato Constitutivo, no caso de sociedades civis, acompanhada de prova de diretoria em exercício.</w:t>
      </w:r>
    </w:p>
    <w:p>
      <w:pPr>
        <w:pStyle w:val="Normal1"/>
        <w:tabs>
          <w:tab w:val="clear" w:pos="720"/>
          <w:tab w:val="left" w:pos="284" w:leader="none"/>
        </w:tabs>
        <w:spacing w:lineRule="auto" w:line="240" w:before="280" w:after="280"/>
        <w:ind w:left="709" w:right="0" w:hanging="709"/>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b/>
        <w:tab/>
        <w:t>c) Cartão CNPJ;</w:t>
      </w:r>
    </w:p>
    <w:p>
      <w:pPr>
        <w:pStyle w:val="Normal1"/>
        <w:tabs>
          <w:tab w:val="clear" w:pos="720"/>
          <w:tab w:val="left" w:pos="284" w:leader="none"/>
        </w:tabs>
        <w:spacing w:lineRule="auto" w:line="240" w:before="280" w:after="280"/>
        <w:ind w:left="709" w:right="0" w:hanging="709"/>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b/>
        <w:tab/>
        <w:t>d) Certidão Simplificada da Junta Comercial emitida há menos de 90 (noventa) dias; (dispensado em caso de MEI).</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1.2.2.</w:t>
        <w:tab/>
        <w:t>Regularidade Fiscal</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a) </w:t>
      </w:r>
      <w:r>
        <w:rPr>
          <w:rFonts w:eastAsia="Times New Roman" w:cs="Times New Roman" w:ascii="Times New Roman" w:hAnsi="Times New Roman"/>
          <w:b/>
          <w:sz w:val="20"/>
          <w:szCs w:val="20"/>
        </w:rPr>
        <w:t>Prova de inscrição no Cadastro de Contribuintes Estadual ou Municipal</w:t>
      </w:r>
      <w:r>
        <w:rPr>
          <w:rFonts w:eastAsia="Times New Roman" w:cs="Times New Roman" w:ascii="Times New Roman" w:hAnsi="Times New Roman"/>
          <w:sz w:val="20"/>
          <w:szCs w:val="20"/>
        </w:rPr>
        <w:t>, relativo à sede do proponente, pertinente ao seu ramo de atividade e compatível com o objeto contratual;</w:t>
      </w:r>
    </w:p>
    <w:p>
      <w:pPr>
        <w:pStyle w:val="Normal1"/>
        <w:spacing w:lineRule="auto" w:line="240" w:before="280" w:after="280"/>
        <w:ind w:left="705"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b) Prova de regularidade para com a </w:t>
      </w:r>
      <w:r>
        <w:rPr>
          <w:rFonts w:eastAsia="Times New Roman" w:cs="Times New Roman" w:ascii="Times New Roman" w:hAnsi="Times New Roman"/>
          <w:b/>
          <w:sz w:val="20"/>
          <w:szCs w:val="20"/>
        </w:rPr>
        <w:t>Fazenda Federal</w:t>
      </w:r>
      <w:r>
        <w:rPr>
          <w:rFonts w:eastAsia="Times New Roman" w:cs="Times New Roman" w:ascii="Times New Roman" w:hAnsi="Times New Roman"/>
          <w:sz w:val="20"/>
          <w:szCs w:val="20"/>
        </w:rPr>
        <w:t>, compreendendo os tributos administrados pela Secretaria da Receita Federal;</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c) Prova de regularidade fiscal para com a </w:t>
      </w:r>
      <w:r>
        <w:rPr>
          <w:rFonts w:eastAsia="Times New Roman" w:cs="Times New Roman" w:ascii="Times New Roman" w:hAnsi="Times New Roman"/>
          <w:b/>
          <w:sz w:val="20"/>
          <w:szCs w:val="20"/>
        </w:rPr>
        <w:t>Fazenda Estadual</w:t>
      </w:r>
      <w:r>
        <w:rPr>
          <w:rFonts w:eastAsia="Times New Roman" w:cs="Times New Roman" w:ascii="Times New Roman" w:hAnsi="Times New Roman"/>
          <w:sz w:val="20"/>
          <w:szCs w:val="20"/>
        </w:rPr>
        <w:t xml:space="preserve"> do domicílio ou sede da licitante, expedida pelo órgão competente;</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d) Prova de regularidade fiscal para com a </w:t>
      </w:r>
      <w:r>
        <w:rPr>
          <w:rFonts w:eastAsia="Times New Roman" w:cs="Times New Roman" w:ascii="Times New Roman" w:hAnsi="Times New Roman"/>
          <w:b/>
          <w:sz w:val="20"/>
          <w:szCs w:val="20"/>
        </w:rPr>
        <w:t>Fazenda Municipal</w:t>
      </w:r>
      <w:r>
        <w:rPr>
          <w:rFonts w:eastAsia="Times New Roman" w:cs="Times New Roman" w:ascii="Times New Roman" w:hAnsi="Times New Roman"/>
          <w:sz w:val="20"/>
          <w:szCs w:val="20"/>
        </w:rPr>
        <w:t xml:space="preserve"> do domicílio ou sede da licitante, expedida pelo órgão competente;</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e) Certificado de Regularidade de Situação com o </w:t>
      </w:r>
      <w:r>
        <w:rPr>
          <w:rFonts w:eastAsia="Times New Roman" w:cs="Times New Roman" w:ascii="Times New Roman" w:hAnsi="Times New Roman"/>
          <w:b/>
          <w:sz w:val="20"/>
          <w:szCs w:val="20"/>
        </w:rPr>
        <w:t>FGTS;</w:t>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f) Alvará de Localização;</w:t>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g) Alvará Sanitário;</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 xml:space="preserve">h) </w:t>
      </w:r>
      <w:r>
        <w:rPr>
          <w:rFonts w:eastAsia="Times New Roman" w:cs="Times New Roman" w:ascii="Times New Roman" w:hAnsi="Times New Roman"/>
          <w:sz w:val="20"/>
          <w:szCs w:val="20"/>
        </w:rPr>
        <w:t>Certidão Negativa de Débitos Trabalhistas;</w:t>
      </w:r>
      <w:r>
        <w:rPr>
          <w:rFonts w:eastAsia="Times New Roman" w:cs="Times New Roman" w:ascii="Times New Roman" w:hAnsi="Times New Roman"/>
          <w:b/>
          <w:sz w:val="20"/>
          <w:szCs w:val="20"/>
        </w:rPr>
        <w:tab/>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tabs>
          <w:tab w:val="clear" w:pos="720"/>
          <w:tab w:val="left" w:pos="709" w:leader="none"/>
        </w:tabs>
        <w:spacing w:lineRule="auto" w:line="240" w:before="280" w:after="28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1.2.2.2. Declaração, assinada por representante legal da proponente, de que:</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a) Não foi declarada </w:t>
      </w:r>
      <w:r>
        <w:rPr>
          <w:rFonts w:eastAsia="Times New Roman" w:cs="Times New Roman" w:ascii="Times New Roman" w:hAnsi="Times New Roman"/>
          <w:b/>
          <w:sz w:val="20"/>
          <w:szCs w:val="20"/>
        </w:rPr>
        <w:t>inidônea</w:t>
      </w:r>
      <w:r>
        <w:rPr>
          <w:rFonts w:eastAsia="Times New Roman" w:cs="Times New Roman" w:ascii="Times New Roman" w:hAnsi="Times New Roman"/>
          <w:sz w:val="20"/>
          <w:szCs w:val="20"/>
        </w:rPr>
        <w:t xml:space="preserve"> para licitar por nenhum órgão federal, estadual ou municipal, conforme modelo do anexo 6;</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b) Não há </w:t>
      </w:r>
      <w:r>
        <w:rPr>
          <w:rFonts w:eastAsia="Times New Roman" w:cs="Times New Roman" w:ascii="Times New Roman" w:hAnsi="Times New Roman"/>
          <w:b/>
          <w:sz w:val="20"/>
          <w:szCs w:val="20"/>
        </w:rPr>
        <w:t xml:space="preserve">superveniência </w:t>
      </w:r>
      <w:r>
        <w:rPr>
          <w:rFonts w:eastAsia="Times New Roman" w:cs="Times New Roman" w:ascii="Times New Roman" w:hAnsi="Times New Roman"/>
          <w:sz w:val="20"/>
          <w:szCs w:val="20"/>
        </w:rPr>
        <w:t>de fato impeditivo para a habilitação da proponente, sob as penas cabíveis, nos termos   da Lei nº 14.133/2021, conforme modelo do Anexo 7;</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c) </w:t>
      </w:r>
      <w:r>
        <w:rPr>
          <w:rFonts w:eastAsia="Times New Roman" w:cs="Times New Roman" w:ascii="Times New Roman" w:hAnsi="Times New Roman"/>
          <w:b/>
          <w:sz w:val="20"/>
          <w:szCs w:val="20"/>
        </w:rPr>
        <w:t>A empresa atende ao</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disposto no Art. 7°,</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inciso XXXIII da Constituição Federal</w:t>
      </w:r>
      <w:r>
        <w:rPr>
          <w:rFonts w:eastAsia="Times New Roman" w:cs="Times New Roman" w:ascii="Times New Roman" w:hAnsi="Times New Roman"/>
          <w:sz w:val="20"/>
          <w:szCs w:val="20"/>
        </w:rPr>
        <w:t xml:space="preserve"> (Lei 9.854 de 27/10/99), conforme modelo do Anexo 8;</w:t>
      </w:r>
    </w:p>
    <w:p>
      <w:pPr>
        <w:pStyle w:val="Normal1"/>
        <w:spacing w:lineRule="auto" w:line="36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d) </w:t>
      </w:r>
      <w:r>
        <w:rPr>
          <w:rFonts w:eastAsia="Times New Roman" w:cs="Times New Roman" w:ascii="Times New Roman" w:hAnsi="Times New Roman"/>
          <w:b/>
          <w:sz w:val="20"/>
          <w:szCs w:val="20"/>
        </w:rPr>
        <w:t>Não integra em seu corpo social, nem no quadro funcional, empregado público ou membro comissionado de órgão direto ou indireto da Administração Municipal</w:t>
      </w:r>
      <w:r>
        <w:rPr>
          <w:rFonts w:eastAsia="Times New Roman" w:cs="Times New Roman" w:ascii="Times New Roman" w:hAnsi="Times New Roman"/>
          <w:sz w:val="20"/>
          <w:szCs w:val="20"/>
        </w:rPr>
        <w:t xml:space="preserve"> – Lei 14.133/2021 e Art. 8º, do Decreto Municipal nº 6615, conforme Anexo 11.  </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1.2.3.</w:t>
        <w:tab/>
        <w:t>Qualificação Econômico-Financeira</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a) </w:t>
      </w:r>
      <w:r>
        <w:rPr>
          <w:rFonts w:eastAsia="Times New Roman" w:cs="Times New Roman" w:ascii="Times New Roman" w:hAnsi="Times New Roman"/>
          <w:b/>
          <w:sz w:val="20"/>
          <w:szCs w:val="20"/>
        </w:rPr>
        <w:t xml:space="preserve">Certidão negativa falência e concordata </w:t>
      </w:r>
      <w:r>
        <w:rPr>
          <w:rFonts w:eastAsia="Times New Roman" w:cs="Times New Roman" w:ascii="Times New Roman" w:hAnsi="Times New Roman"/>
          <w:sz w:val="20"/>
          <w:szCs w:val="20"/>
        </w:rPr>
        <w:t>(emitida no e-Saj e acompanhada da certidão emitida no e-Proc ou UNIFICADA);</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numPr>
          <w:ilvl w:val="1"/>
          <w:numId w:val="7"/>
        </w:numPr>
        <w:spacing w:lineRule="auto" w:line="240" w:before="0" w:after="0"/>
        <w:ind w:left="709" w:right="0" w:hanging="709"/>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pPr>
        <w:pStyle w:val="Normal1"/>
        <w:numPr>
          <w:ilvl w:val="1"/>
          <w:numId w:val="7"/>
        </w:numPr>
        <w:spacing w:lineRule="auto" w:line="240" w:before="0" w:after="280"/>
        <w:ind w:left="709" w:right="0" w:hanging="709"/>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 Pregoeiro reserva-se o direito de solicitar das licitantes, em qualquer tempo, no curso da licitação, quaisquer esclarecimentos sobre documentos já entregues, fixando-lhes prazo para atendimento.</w:t>
      </w:r>
    </w:p>
    <w:p>
      <w:pPr>
        <w:pStyle w:val="Normal1"/>
        <w:spacing w:lineRule="auto" w:line="240" w:before="280" w:after="280"/>
        <w:ind w:left="705" w:right="0" w:hanging="705"/>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1.5.</w:t>
      </w:r>
      <w:r>
        <w:rPr>
          <w:rFonts w:eastAsia="Times New Roman" w:cs="Times New Roman" w:ascii="Times New Roman" w:hAnsi="Times New Roman"/>
          <w:sz w:val="20"/>
          <w:szCs w:val="20"/>
        </w:rPr>
        <w:t xml:space="preserve">  </w:t>
        <w:tab/>
        <w:t xml:space="preserve">A falta de quaisquer dos documentos exigidos no Edital implicará inabilitação da licitante, sendo vedada, sob qualquer pretexto, a concessão de prazo para complementação da documentação exigida para a habilitação. </w:t>
      </w:r>
    </w:p>
    <w:p>
      <w:pPr>
        <w:pStyle w:val="Normal1"/>
        <w:spacing w:lineRule="auto" w:line="240" w:before="280" w:after="280"/>
        <w:ind w:left="705" w:right="0" w:hanging="705"/>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1.6.</w:t>
      </w:r>
      <w:r>
        <w:rPr>
          <w:rFonts w:eastAsia="Times New Roman" w:cs="Times New Roman" w:ascii="Times New Roman" w:hAnsi="Times New Roman"/>
          <w:sz w:val="20"/>
          <w:szCs w:val="20"/>
        </w:rPr>
        <w:t xml:space="preserve"> </w:t>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pPr>
        <w:pStyle w:val="Normal1"/>
        <w:spacing w:lineRule="auto" w:line="240" w:before="280" w:after="280"/>
        <w:ind w:left="705" w:right="0" w:hanging="705"/>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1.7.</w:t>
        <w:tab/>
      </w:r>
      <w:r>
        <w:rPr>
          <w:rFonts w:eastAsia="Times New Roman" w:cs="Times New Roman" w:ascii="Times New Roman" w:hAnsi="Times New Roman"/>
          <w:sz w:val="20"/>
          <w:szCs w:val="20"/>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pPr>
        <w:pStyle w:val="Normal1"/>
        <w:spacing w:lineRule="auto" w:line="240" w:before="280" w:after="280"/>
        <w:ind w:left="705" w:right="0" w:hanging="705"/>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 xml:space="preserve">1.8. </w:t>
        <w:tab/>
        <w:t xml:space="preserve">Em se tratando de </w:t>
      </w:r>
      <w:r>
        <w:rPr>
          <w:rFonts w:eastAsia="Times New Roman" w:cs="Times New Roman" w:ascii="Times New Roman" w:hAnsi="Times New Roman"/>
          <w:b/>
          <w:sz w:val="20"/>
          <w:szCs w:val="20"/>
          <w:u w:val="single"/>
        </w:rPr>
        <w:t>microempresa ou empresa de pequeno porte</w:t>
      </w:r>
      <w:r>
        <w:rPr>
          <w:rFonts w:eastAsia="Times New Roman" w:cs="Times New Roman" w:ascii="Times New Roman" w:hAnsi="Times New Roman"/>
          <w:b/>
          <w:sz w:val="20"/>
          <w:szCs w:val="20"/>
        </w:rPr>
        <w:t>, havendo alguma restrição na comprovação da regularidade fiscal, será assegurado o prazo de 2 (dois) dias úteis, cujo termo inicial corresponderá ao momento em que a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pPr>
        <w:pStyle w:val="Normal1"/>
        <w:spacing w:lineRule="auto" w:line="240" w:before="280" w:after="280"/>
        <w:ind w:left="705" w:right="0" w:hanging="705"/>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 xml:space="preserve">1.9. </w:t>
        <w:tab/>
        <w:t>A não regularização da documentação implicará decadência do direito à Contratação, sem prejuízo das sanções previstas na Lei 14.133/2021, sendo facultado à Administração convocar os licitantes remanescentes, na ordem de classificação, para assinatura do contrato, ou revogar a licitação.</w:t>
      </w:r>
      <w:r>
        <w:br w:type="page"/>
      </w:r>
    </w:p>
    <w:p>
      <w:pPr>
        <w:pStyle w:val="Normal1"/>
        <w:spacing w:lineRule="auto" w:line="240" w:before="280" w:after="280"/>
        <w:ind w:left="705" w:right="0" w:hanging="705"/>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ANEXO 03</w:t>
      </w:r>
    </w:p>
    <w:p>
      <w:pPr>
        <w:pStyle w:val="Normal1"/>
        <w:spacing w:lineRule="auto" w:line="240" w:before="280" w:after="280"/>
        <w:ind w:left="0" w:right="0" w:firstLine="708"/>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PREGÃO, NA FORMA ELETRÔNICA Nº 12/2023</w:t>
      </w:r>
    </w:p>
    <w:p>
      <w:pPr>
        <w:pStyle w:val="Normal1"/>
        <w:spacing w:lineRule="auto" w:line="240" w:before="280" w:after="280"/>
        <w:ind w:left="0" w:right="0" w:firstLine="708"/>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MODELO DE PROPOSTA COMERCIAL FINAL (licitante vencedor)</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Apresentamos nossa proposta para prestação dos serviços objeto da presente licitação Pregão, na Forma Eletrônica </w:t>
      </w:r>
      <w:r>
        <w:rPr>
          <w:rFonts w:eastAsia="Times New Roman" w:cs="Times New Roman" w:ascii="Times New Roman" w:hAnsi="Times New Roman"/>
          <w:b/>
          <w:sz w:val="20"/>
          <w:szCs w:val="20"/>
        </w:rPr>
        <w:t xml:space="preserve">nº 12/2023 </w:t>
      </w:r>
      <w:r>
        <w:rPr>
          <w:rFonts w:eastAsia="Times New Roman" w:cs="Times New Roman" w:ascii="Times New Roman" w:hAnsi="Times New Roman"/>
          <w:sz w:val="20"/>
          <w:szCs w:val="20"/>
        </w:rPr>
        <w:t>acatando todas as estipulações consignadas no respectivo Edital e seus anexos.</w:t>
      </w:r>
    </w:p>
    <w:p>
      <w:pPr>
        <w:pStyle w:val="Normal1"/>
        <w:spacing w:lineRule="auto" w:line="240" w:before="280" w:after="280"/>
        <w:ind w:left="0" w:right="0" w:firstLine="708"/>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IDENTIFICAÇÃO DO CONCORRENTE:</w:t>
      </w:r>
    </w:p>
    <w:p>
      <w:pPr>
        <w:pStyle w:val="Normal1"/>
        <w:spacing w:lineRule="auto" w:line="240" w:before="280" w:after="28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ab/>
        <w:t>NOME DA EMPRESA:</w:t>
        <w:tab/>
        <w:tab/>
        <w:tab/>
        <w:tab/>
        <w:t>CNPJ e INSCRIÇÃO ESTADUAL:</w:t>
      </w:r>
    </w:p>
    <w:p>
      <w:pPr>
        <w:pStyle w:val="Normal1"/>
        <w:spacing w:lineRule="auto" w:line="240" w:before="280" w:after="28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ab/>
        <w:t>REPRESENTANTE e CARGO:</w:t>
        <w:tab/>
        <w:tab/>
        <w:tab/>
        <w:t xml:space="preserve">CARTEIRA DE IDENTIDADE e CPF: </w:t>
      </w:r>
    </w:p>
    <w:p>
      <w:pPr>
        <w:pStyle w:val="Normal1"/>
        <w:spacing w:lineRule="auto" w:line="240" w:before="280" w:after="28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ab/>
        <w:t>ENDEREÇO e TELEFONE:</w:t>
        <w:tab/>
        <w:tab/>
        <w:tab/>
        <w:t>AGÊNCIA e Nº DA CONTA BANCÁRIA</w:t>
      </w:r>
    </w:p>
    <w:p>
      <w:pPr>
        <w:pStyle w:val="Normal1"/>
        <w:spacing w:lineRule="auto" w:line="240" w:before="280" w:after="280"/>
        <w:ind w:left="0" w:right="0" w:firstLine="708"/>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PREÇO (READEQUADO AO LANCE VENCEDOR)</w:t>
      </w:r>
    </w:p>
    <w:p>
      <w:pPr>
        <w:pStyle w:val="Normal1"/>
        <w:spacing w:lineRule="auto" w:line="240" w:before="280" w:after="280"/>
        <w:ind w:left="0" w:right="0" w:firstLine="708"/>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Deverá ser cotado, preço unitário e total por item, de acordo com o Anexo 01 do Edital.</w:t>
      </w:r>
    </w:p>
    <w:p>
      <w:pPr>
        <w:pStyle w:val="Normal1"/>
        <w:spacing w:lineRule="auto" w:line="240" w:before="280" w:after="280"/>
        <w:ind w:left="0" w:right="0" w:firstLine="708"/>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PROPOSTA: R$ (Por extenso)</w:t>
      </w:r>
    </w:p>
    <w:p>
      <w:pPr>
        <w:pStyle w:val="Normal1"/>
        <w:widowControl w:val="false"/>
        <w:tabs>
          <w:tab w:val="clear" w:pos="720"/>
          <w:tab w:val="left" w:pos="567" w:leader="none"/>
        </w:tabs>
        <w:spacing w:lineRule="auto" w:line="240" w:before="280" w:after="28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ab/>
        <w:t xml:space="preserve">  CONDIÇÕES GERAIS</w:t>
      </w:r>
    </w:p>
    <w:p>
      <w:pPr>
        <w:pStyle w:val="Normal1"/>
        <w:widowControl w:val="false"/>
        <w:tabs>
          <w:tab w:val="clear" w:pos="720"/>
          <w:tab w:val="left" w:pos="567" w:leader="none"/>
        </w:tabs>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A proponente declara conhecer os termos do instrumento convocatório que rege a presente licitação.</w:t>
      </w:r>
    </w:p>
    <w:p>
      <w:pPr>
        <w:pStyle w:val="Normal1"/>
        <w:spacing w:lineRule="auto" w:line="240" w:before="280" w:after="280"/>
        <w:ind w:left="0" w:right="0" w:firstLine="708"/>
        <w:rPr>
          <w:rFonts w:ascii="Times New Roman" w:hAnsi="Times New Roman" w:eastAsia="Times New Roman" w:cs="Times New Roman"/>
          <w:b/>
          <w:sz w:val="20"/>
          <w:szCs w:val="20"/>
        </w:rPr>
      </w:pPr>
      <w:r>
        <w:rPr>
          <w:rFonts w:eastAsia="Times New Roman" w:cs="Times New Roman" w:ascii="Times New Roman" w:hAnsi="Times New Roman"/>
          <w:b/>
          <w:sz w:val="20"/>
          <w:szCs w:val="20"/>
        </w:rPr>
        <w:t>PRAZO DE GARANTIA</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 xml:space="preserve">A garantia deverá ser da seguinte forma: Para todos os </w:t>
      </w:r>
      <w:r>
        <w:rPr>
          <w:rFonts w:eastAsia="Times New Roman" w:cs="Times New Roman" w:ascii="Times New Roman" w:hAnsi="Times New Roman"/>
          <w:b/>
          <w:sz w:val="20"/>
          <w:szCs w:val="20"/>
        </w:rPr>
        <w:t>Itens</w:t>
      </w:r>
      <w:r>
        <w:rPr>
          <w:rFonts w:eastAsia="Times New Roman" w:cs="Times New Roman" w:ascii="Times New Roman" w:hAnsi="Times New Roman"/>
          <w:sz w:val="20"/>
          <w:szCs w:val="20"/>
        </w:rPr>
        <w:t xml:space="preserve"> de no mínimo,</w:t>
      </w:r>
      <w:r>
        <w:rPr>
          <w:rFonts w:eastAsia="Times New Roman" w:cs="Times New Roman" w:ascii="Times New Roman" w:hAnsi="Times New Roman"/>
          <w:b/>
          <w:sz w:val="20"/>
          <w:szCs w:val="20"/>
        </w:rPr>
        <w:t xml:space="preserve"> 12 (doze) meses </w:t>
      </w:r>
      <w:r>
        <w:rPr>
          <w:rFonts w:eastAsia="Times New Roman" w:cs="Times New Roman" w:ascii="Times New Roman" w:hAnsi="Times New Roman"/>
          <w:sz w:val="20"/>
          <w:szCs w:val="20"/>
        </w:rPr>
        <w:t xml:space="preserve">a contar do recebimento definitivo do objeto pela Contratante. </w:t>
      </w:r>
    </w:p>
    <w:p>
      <w:pPr>
        <w:pStyle w:val="Normal1"/>
        <w:spacing w:lineRule="auto" w:line="240" w:before="280" w:after="280"/>
        <w:ind w:left="0" w:right="0" w:firstLine="708"/>
        <w:rPr>
          <w:rFonts w:ascii="Times New Roman" w:hAnsi="Times New Roman" w:eastAsia="Times New Roman" w:cs="Times New Roman"/>
          <w:b/>
          <w:sz w:val="20"/>
          <w:szCs w:val="20"/>
        </w:rPr>
      </w:pPr>
      <w:r>
        <w:rPr>
          <w:rFonts w:eastAsia="Times New Roman" w:cs="Times New Roman" w:ascii="Times New Roman" w:hAnsi="Times New Roman"/>
          <w:b/>
          <w:sz w:val="20"/>
          <w:szCs w:val="20"/>
        </w:rPr>
        <w:t>LOCAL E PRAZO DE ENTREGA</w:t>
      </w:r>
    </w:p>
    <w:p>
      <w:pPr>
        <w:pStyle w:val="Normal1"/>
        <w:spacing w:lineRule="auto" w:line="240" w:before="280" w:after="280"/>
        <w:ind w:left="0" w:right="0" w:firstLine="708"/>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De acordo com o especificado no Anexo 01, deste Edital.</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t>Obs.:</w:t>
      </w:r>
      <w:r>
        <w:rPr>
          <w:rFonts w:eastAsia="Times New Roman" w:cs="Times New Roman" w:ascii="Times New Roman" w:hAnsi="Times New Roman"/>
          <w:sz w:val="20"/>
          <w:szCs w:val="20"/>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pPr>
        <w:pStyle w:val="Normal1"/>
        <w:spacing w:lineRule="auto" w:line="240" w:before="280" w:after="280"/>
        <w:ind w:left="0" w:right="0" w:firstLine="708"/>
        <w:rPr>
          <w:rFonts w:ascii="Times New Roman" w:hAnsi="Times New Roman" w:eastAsia="Times New Roman" w:cs="Times New Roman"/>
          <w:b/>
          <w:sz w:val="20"/>
          <w:szCs w:val="20"/>
        </w:rPr>
      </w:pPr>
      <w:r>
        <w:rPr>
          <w:rFonts w:eastAsia="Times New Roman" w:cs="Times New Roman" w:ascii="Times New Roman" w:hAnsi="Times New Roman"/>
          <w:b/>
          <w:sz w:val="20"/>
          <w:szCs w:val="20"/>
        </w:rPr>
        <w:t>VALIDADE DA PROPOSTA COMERCIAL</w:t>
      </w:r>
    </w:p>
    <w:p>
      <w:pPr>
        <w:pStyle w:val="Normal1"/>
        <w:spacing w:lineRule="auto" w:line="240" w:before="280" w:after="280"/>
        <w:ind w:left="0" w:right="0" w:firstLine="708"/>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De no mínimo, 60 (sessenta) dias contados a partir da data da sessão pública do Pregão.</w:t>
      </w:r>
    </w:p>
    <w:p>
      <w:pPr>
        <w:pStyle w:val="Normal1"/>
        <w:spacing w:lineRule="auto" w:line="240" w:before="280" w:after="280"/>
        <w:ind w:left="0" w:right="0" w:firstLine="708"/>
        <w:rPr>
          <w:rFonts w:ascii="Times New Roman" w:hAnsi="Times New Roman" w:eastAsia="Times New Roman" w:cs="Times New Roman"/>
          <w:b/>
          <w:sz w:val="20"/>
          <w:szCs w:val="20"/>
        </w:rPr>
      </w:pPr>
      <w:r>
        <w:rPr>
          <w:rFonts w:eastAsia="Times New Roman" w:cs="Times New Roman" w:ascii="Times New Roman" w:hAnsi="Times New Roman"/>
          <w:b/>
          <w:smallCaps/>
          <w:sz w:val="20"/>
          <w:szCs w:val="20"/>
        </w:rPr>
        <w:t>LOCAL E DATA</w:t>
      </w:r>
    </w:p>
    <w:p>
      <w:pPr>
        <w:pStyle w:val="Normal1"/>
        <w:spacing w:lineRule="auto" w:line="240" w:before="280" w:after="280"/>
        <w:ind w:left="0" w:right="0" w:firstLine="708"/>
        <w:jc w:val="both"/>
        <w:rPr>
          <w:rFonts w:ascii="Times New Roman" w:hAnsi="Times New Roman" w:eastAsia="Times New Roman" w:cs="Times New Roman"/>
          <w:b/>
          <w:sz w:val="20"/>
          <w:szCs w:val="20"/>
        </w:rPr>
      </w:pPr>
      <w:r>
        <w:rPr>
          <w:rFonts w:eastAsia="Times New Roman" w:cs="Times New Roman" w:ascii="Times New Roman" w:hAnsi="Times New Roman"/>
          <w:b/>
          <w:smallCaps/>
          <w:sz w:val="20"/>
          <w:szCs w:val="20"/>
        </w:rPr>
        <w:t>NOME E ASSINATURA DO REPRESENTANTE DA EMPRESA.</w:t>
      </w:r>
    </w:p>
    <w:p>
      <w:pPr>
        <w:pStyle w:val="Normal1"/>
        <w:spacing w:lineRule="auto" w:line="240" w:before="280" w:after="280"/>
        <w:ind w:left="0" w:right="0" w:firstLine="708"/>
        <w:jc w:val="both"/>
        <w:rPr>
          <w:rFonts w:ascii="Times New Roman" w:hAnsi="Times New Roman" w:eastAsia="Times New Roman" w:cs="Times New Roman"/>
          <w:b/>
          <w:sz w:val="20"/>
          <w:szCs w:val="20"/>
        </w:rPr>
      </w:pPr>
      <w:r>
        <w:rPr>
          <w:rFonts w:eastAsia="Times New Roman" w:cs="Times New Roman" w:ascii="Times New Roman" w:hAnsi="Times New Roman"/>
          <w:b/>
          <w:smallCaps/>
          <w:sz w:val="20"/>
          <w:szCs w:val="20"/>
        </w:rPr>
        <w:t>OBS: A INTERPOSIÇÃO DE RECURSO SUSPENDE O PRAZO DE VALIDADE DA PROPOSTA ATÉ DECISÃO.</w:t>
      </w:r>
      <w:r>
        <w:br w:type="page"/>
      </w:r>
    </w:p>
    <w:p>
      <w:pPr>
        <w:pStyle w:val="Normal1"/>
        <w:spacing w:lineRule="auto" w:line="240" w:before="280" w:after="280"/>
        <w:ind w:left="708" w:right="0" w:hanging="0"/>
        <w:jc w:val="center"/>
        <w:rPr>
          <w:rFonts w:ascii="Times New Roman" w:hAnsi="Times New Roman" w:eastAsia="Times New Roman" w:cs="Times New Roman"/>
          <w:b/>
          <w:sz w:val="20"/>
          <w:szCs w:val="20"/>
        </w:rPr>
      </w:pPr>
      <w:r>
        <w:rPr>
          <w:rFonts w:eastAsia="Times New Roman" w:cs="Times New Roman" w:ascii="Times New Roman" w:hAnsi="Times New Roman"/>
          <w:b/>
          <w:sz w:val="20"/>
          <w:szCs w:val="20"/>
        </w:rPr>
        <w:t>ANEXO 04</w:t>
      </w:r>
    </w:p>
    <w:p>
      <w:pPr>
        <w:pStyle w:val="Normal1"/>
        <w:jc w:val="center"/>
        <w:rPr>
          <w:rFonts w:ascii="Times New Roman" w:hAnsi="Times New Roman" w:eastAsia="Times New Roman" w:cs="Times New Roman"/>
          <w:b/>
          <w:sz w:val="20"/>
          <w:szCs w:val="20"/>
        </w:rPr>
      </w:pPr>
      <w:r>
        <w:rPr>
          <w:rFonts w:eastAsia="Times New Roman" w:cs="Times New Roman" w:ascii="Times New Roman" w:hAnsi="Times New Roman"/>
          <w:b/>
          <w:sz w:val="20"/>
          <w:szCs w:val="20"/>
        </w:rPr>
        <w:t>TERMO DE ADESÃO AO SISTEMA DE PREGÃO ELETRÔNICO DA</w:t>
        <w:br/>
        <w:t xml:space="preserve"> BLL -  BOLSA DE LICITAÇÕES DO BRASIL</w:t>
      </w:r>
    </w:p>
    <w:tbl>
      <w:tblPr>
        <w:tblStyle w:val="Table2"/>
        <w:tblW w:w="10073" w:type="dxa"/>
        <w:jc w:val="center"/>
        <w:tblInd w:w="0" w:type="dxa"/>
        <w:tblLayout w:type="fixed"/>
        <w:tblCellMar>
          <w:top w:w="0" w:type="dxa"/>
          <w:left w:w="108" w:type="dxa"/>
          <w:bottom w:w="0" w:type="dxa"/>
          <w:right w:w="108" w:type="dxa"/>
        </w:tblCellMar>
        <w:tblLook w:val="0000"/>
      </w:tblPr>
      <w:tblGrid>
        <w:gridCol w:w="831"/>
        <w:gridCol w:w="50"/>
        <w:gridCol w:w="476"/>
        <w:gridCol w:w="302"/>
        <w:gridCol w:w="50"/>
        <w:gridCol w:w="58"/>
        <w:gridCol w:w="375"/>
        <w:gridCol w:w="104"/>
        <w:gridCol w:w="3335"/>
        <w:gridCol w:w="698"/>
        <w:gridCol w:w="85"/>
        <w:gridCol w:w="351"/>
        <w:gridCol w:w="860"/>
        <w:gridCol w:w="2497"/>
      </w:tblGrid>
      <w:tr>
        <w:trPr>
          <w:trHeight w:val="345" w:hRule="atLeast"/>
        </w:trPr>
        <w:tc>
          <w:tcPr>
            <w:tcW w:w="10072" w:type="dxa"/>
            <w:gridSpan w:val="14"/>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rPr>
                <w:rFonts w:ascii="Times New Roman" w:hAnsi="Times New Roman" w:eastAsia="Times New Roman" w:cs="Times New Roman"/>
                <w:b/>
                <w:sz w:val="20"/>
                <w:szCs w:val="20"/>
              </w:rPr>
            </w:pPr>
            <w:r>
              <w:rPr>
                <w:rFonts w:eastAsia="Times New Roman" w:cs="Times New Roman" w:ascii="Times New Roman" w:hAnsi="Times New Roman"/>
                <w:b/>
                <w:sz w:val="20"/>
                <w:szCs w:val="20"/>
              </w:rPr>
              <w:t>Natureza do Licitante (Pessoa Física ou Jurídica)</w:t>
            </w:r>
          </w:p>
        </w:tc>
      </w:tr>
      <w:tr>
        <w:trPr>
          <w:trHeight w:val="345" w:hRule="atLeast"/>
        </w:trPr>
        <w:tc>
          <w:tcPr>
            <w:tcW w:w="1709" w:type="dxa"/>
            <w:gridSpan w:val="5"/>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Razão Social:</w:t>
            </w:r>
          </w:p>
        </w:tc>
        <w:tc>
          <w:tcPr>
            <w:tcW w:w="8363" w:type="dxa"/>
            <w:gridSpan w:val="9"/>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45" w:hRule="atLeast"/>
        </w:trPr>
        <w:tc>
          <w:tcPr>
            <w:tcW w:w="2246"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Ramo de Atividade:</w:t>
            </w:r>
          </w:p>
        </w:tc>
        <w:tc>
          <w:tcPr>
            <w:tcW w:w="7826" w:type="dxa"/>
            <w:gridSpan w:val="6"/>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45" w:hRule="atLeast"/>
        </w:trPr>
        <w:tc>
          <w:tcPr>
            <w:tcW w:w="1357"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Endereço:</w:t>
            </w:r>
          </w:p>
        </w:tc>
        <w:tc>
          <w:tcPr>
            <w:tcW w:w="8715" w:type="dxa"/>
            <w:gridSpan w:val="11"/>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45" w:hRule="atLeast"/>
        </w:trPr>
        <w:tc>
          <w:tcPr>
            <w:tcW w:w="1659"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Complemento: </w:t>
            </w:r>
          </w:p>
        </w:tc>
        <w:tc>
          <w:tcPr>
            <w:tcW w:w="3922" w:type="dxa"/>
            <w:gridSpan w:val="5"/>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783"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pPr>
            <w:r>
              <w:rPr>
                <w:rFonts w:eastAsia="Times New Roman" w:cs="Times New Roman" w:ascii="Times New Roman" w:hAnsi="Times New Roman"/>
                <w:sz w:val="20"/>
                <w:szCs w:val="20"/>
              </w:rPr>
              <w:t>Bairro:</w:t>
            </w:r>
            <w:r>
              <w:rPr>
                <w:rFonts w:eastAsia="Times New Roman" w:cs="Times New Roman" w:ascii="Times New Roman" w:hAnsi="Times New Roman"/>
                <w:b/>
                <w:sz w:val="20"/>
                <w:szCs w:val="20"/>
              </w:rPr>
              <w:t xml:space="preserve"> </w:t>
            </w:r>
          </w:p>
        </w:tc>
        <w:tc>
          <w:tcPr>
            <w:tcW w:w="3708"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45" w:hRule="atLeast"/>
        </w:trPr>
        <w:tc>
          <w:tcPr>
            <w:tcW w:w="83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Cidade: </w:t>
            </w:r>
          </w:p>
        </w:tc>
        <w:tc>
          <w:tcPr>
            <w:tcW w:w="4750"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783"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UF: </w:t>
            </w:r>
          </w:p>
        </w:tc>
        <w:tc>
          <w:tcPr>
            <w:tcW w:w="3708"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45" w:hRule="atLeast"/>
        </w:trPr>
        <w:tc>
          <w:tcPr>
            <w:tcW w:w="83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CEP: </w:t>
            </w:r>
          </w:p>
        </w:tc>
        <w:tc>
          <w:tcPr>
            <w:tcW w:w="4750"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783"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CNPJ:</w:t>
            </w:r>
          </w:p>
        </w:tc>
        <w:tc>
          <w:tcPr>
            <w:tcW w:w="3708"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45" w:hRule="atLeast"/>
        </w:trPr>
        <w:tc>
          <w:tcPr>
            <w:tcW w:w="2142" w:type="dxa"/>
            <w:gridSpan w:val="7"/>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Telefone Comercial:</w:t>
            </w:r>
          </w:p>
        </w:tc>
        <w:tc>
          <w:tcPr>
            <w:tcW w:w="3439"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994"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Inscrição Estadual:</w:t>
            </w:r>
          </w:p>
        </w:tc>
        <w:tc>
          <w:tcPr>
            <w:tcW w:w="249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45" w:hRule="atLeast"/>
        </w:trPr>
        <w:tc>
          <w:tcPr>
            <w:tcW w:w="2142" w:type="dxa"/>
            <w:gridSpan w:val="7"/>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Representante Legal:</w:t>
            </w:r>
          </w:p>
        </w:tc>
        <w:tc>
          <w:tcPr>
            <w:tcW w:w="3439"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69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RG: </w:t>
            </w:r>
          </w:p>
        </w:tc>
        <w:tc>
          <w:tcPr>
            <w:tcW w:w="3793"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45" w:hRule="atLeast"/>
        </w:trPr>
        <w:tc>
          <w:tcPr>
            <w:tcW w:w="881"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E-mail: </w:t>
            </w:r>
          </w:p>
        </w:tc>
        <w:tc>
          <w:tcPr>
            <w:tcW w:w="4700" w:type="dxa"/>
            <w:gridSpan w:val="7"/>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69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CPF:</w:t>
            </w:r>
          </w:p>
        </w:tc>
        <w:tc>
          <w:tcPr>
            <w:tcW w:w="3793"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45" w:hRule="atLeast"/>
        </w:trPr>
        <w:tc>
          <w:tcPr>
            <w:tcW w:w="1767" w:type="dxa"/>
            <w:gridSpan w:val="6"/>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Telefone Celular:</w:t>
            </w:r>
          </w:p>
        </w:tc>
        <w:tc>
          <w:tcPr>
            <w:tcW w:w="8305"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45" w:hRule="atLeast"/>
        </w:trPr>
        <w:tc>
          <w:tcPr>
            <w:tcW w:w="1767" w:type="dxa"/>
            <w:gridSpan w:val="6"/>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Whatsapp:</w:t>
            </w:r>
          </w:p>
        </w:tc>
        <w:tc>
          <w:tcPr>
            <w:tcW w:w="8305"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45" w:hRule="atLeast"/>
        </w:trPr>
        <w:tc>
          <w:tcPr>
            <w:tcW w:w="1767" w:type="dxa"/>
            <w:gridSpan w:val="6"/>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Resp. Financeiro:</w:t>
            </w:r>
          </w:p>
        </w:tc>
        <w:tc>
          <w:tcPr>
            <w:tcW w:w="8305"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45" w:hRule="atLeast"/>
        </w:trPr>
        <w:tc>
          <w:tcPr>
            <w:tcW w:w="1767" w:type="dxa"/>
            <w:gridSpan w:val="6"/>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E-mail Financeiro:</w:t>
            </w:r>
          </w:p>
        </w:tc>
        <w:tc>
          <w:tcPr>
            <w:tcW w:w="381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13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Telefone:</w:t>
            </w:r>
          </w:p>
        </w:tc>
        <w:tc>
          <w:tcPr>
            <w:tcW w:w="335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345" w:hRule="atLeast"/>
        </w:trPr>
        <w:tc>
          <w:tcPr>
            <w:tcW w:w="10072" w:type="dxa"/>
            <w:gridSpan w:val="14"/>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E-mail para informativo de edital</w:t>
            </w:r>
          </w:p>
        </w:tc>
      </w:tr>
      <w:tr>
        <w:trPr>
          <w:trHeight w:val="345" w:hRule="atLeast"/>
        </w:trPr>
        <w:tc>
          <w:tcPr>
            <w:tcW w:w="10072" w:type="dxa"/>
            <w:gridSpan w:val="14"/>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ME/EPP:  (   )  SIM     (   ) Não</w:t>
            </w:r>
          </w:p>
        </w:tc>
      </w:tr>
    </w:tbl>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1. Por meio do presente Termo, o Licitante acima qualificado manifesta sua adesão ao Regulamento do Sistema de pregão Eletrônico da BLL - Bolsa de Licitações do Brasil do qual declara ter pleno conhecimento, em conformidade com as disposições que seguem.</w:t>
      </w:r>
    </w:p>
    <w:p>
      <w:pPr>
        <w:pStyle w:val="Normal1"/>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2. São responsabilidades do Licitante:</w:t>
      </w:r>
    </w:p>
    <w:p>
      <w:pPr>
        <w:pStyle w:val="Normal1"/>
        <w:tabs>
          <w:tab w:val="clear" w:pos="720"/>
          <w:tab w:val="left" w:pos="-120" w:leader="none"/>
          <w:tab w:val="left" w:pos="360" w:leader="none"/>
        </w:tabs>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i.</w:t>
        <w:tab/>
        <w:t>Tomar conhecimento de, e cumprir todos os dispositivos constantes dos editais de negócios dos quais venha a participar;</w:t>
      </w:r>
    </w:p>
    <w:p>
      <w:pPr>
        <w:pStyle w:val="Normal1"/>
        <w:tabs>
          <w:tab w:val="clear" w:pos="720"/>
          <w:tab w:val="left" w:pos="-120" w:leader="none"/>
          <w:tab w:val="left" w:pos="360" w:leader="none"/>
        </w:tabs>
        <w:jc w:val="both"/>
        <w:rPr>
          <w:rFonts w:ascii="Times New Roman" w:hAnsi="Times New Roman" w:eastAsia="Times New Roman" w:cs="Times New Roman"/>
          <w:b/>
          <w:sz w:val="20"/>
          <w:szCs w:val="20"/>
        </w:rPr>
      </w:pPr>
      <w:r>
        <w:rPr>
          <w:rFonts w:eastAsia="Times New Roman" w:cs="Times New Roman" w:ascii="Times New Roman" w:hAnsi="Times New Roman"/>
          <w:sz w:val="20"/>
          <w:szCs w:val="20"/>
        </w:rPr>
        <w:t>ii.</w:t>
        <w:tab/>
        <w:t>Observar e cumprir a regularidade fiscal, apresentando a documentação exigida nos editais para fins de habilitação nas licitações em que for vencedor;</w:t>
      </w:r>
    </w:p>
    <w:p>
      <w:pPr>
        <w:pStyle w:val="Normal1"/>
        <w:numPr>
          <w:ilvl w:val="0"/>
          <w:numId w:val="6"/>
        </w:numPr>
        <w:tabs>
          <w:tab w:val="clear" w:pos="720"/>
          <w:tab w:val="left" w:pos="-120" w:leader="none"/>
          <w:tab w:val="left" w:pos="360" w:leader="none"/>
          <w:tab w:val="left" w:pos="1080" w:leader="none"/>
        </w:tabs>
        <w:spacing w:lineRule="auto" w:line="240" w:before="0" w:after="0"/>
        <w:ind w:left="1080" w:right="0" w:hanging="1080"/>
        <w:jc w:val="both"/>
        <w:rPr>
          <w:sz w:val="20"/>
          <w:szCs w:val="20"/>
        </w:rPr>
      </w:pPr>
      <w:r>
        <w:rPr>
          <w:rFonts w:eastAsia="Times New Roman" w:cs="Times New Roman" w:ascii="Times New Roman" w:hAnsi="Times New Roman"/>
          <w:sz w:val="20"/>
          <w:szCs w:val="20"/>
        </w:rPr>
        <w:t>Observar a legislação pertinente, bem como o disposto no Estatuto Social e nas demais normas e regulamentos expedidos pela BLL - Bolsa de Licitações do Brasil, dos quais declara ter pleno conhecimento;</w:t>
      </w:r>
    </w:p>
    <w:p>
      <w:pPr>
        <w:pStyle w:val="Normal1"/>
        <w:keepNext w:val="false"/>
        <w:keepLines w:val="false"/>
        <w:pageBreakBefore w:val="false"/>
        <w:widowControl/>
        <w:numPr>
          <w:ilvl w:val="0"/>
          <w:numId w:val="6"/>
        </w:numPr>
        <w:pBdr/>
        <w:shd w:val="clear" w:fill="auto"/>
        <w:tabs>
          <w:tab w:val="clear" w:pos="720"/>
          <w:tab w:val="left" w:pos="-120" w:leader="none"/>
          <w:tab w:val="left" w:pos="360" w:leader="none"/>
          <w:tab w:val="left" w:pos="1080" w:leader="none"/>
        </w:tabs>
        <w:spacing w:lineRule="auto" w:line="240" w:before="0" w:after="0"/>
        <w:ind w:left="1080" w:right="0" w:hanging="1080"/>
        <w:jc w:val="both"/>
        <w:rPr>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Designar pessoa responsável para operar o Sistema Eletrônico de Licitações, conforme Anexo III.I</w:t>
      </w:r>
    </w:p>
    <w:p>
      <w:pPr>
        <w:pStyle w:val="Normal1"/>
        <w:numPr>
          <w:ilvl w:val="0"/>
          <w:numId w:val="6"/>
        </w:numPr>
        <w:tabs>
          <w:tab w:val="clear" w:pos="720"/>
          <w:tab w:val="left" w:pos="-120" w:leader="none"/>
          <w:tab w:val="left" w:pos="360" w:leader="none"/>
          <w:tab w:val="left" w:pos="1080" w:leader="none"/>
        </w:tabs>
        <w:spacing w:lineRule="auto" w:line="240" w:before="0" w:after="0"/>
        <w:ind w:left="1080" w:right="0" w:hanging="1080"/>
        <w:jc w:val="both"/>
        <w:rPr>
          <w:sz w:val="20"/>
          <w:szCs w:val="20"/>
        </w:rPr>
      </w:pPr>
      <w:r>
        <w:rPr>
          <w:rFonts w:eastAsia="Times New Roman" w:cs="Times New Roman" w:ascii="Times New Roman" w:hAnsi="Times New Roman"/>
          <w:sz w:val="20"/>
          <w:szCs w:val="20"/>
        </w:rPr>
        <w:t>Pagar as taxas pela utilização do Sistema Eletrônico de Licitações.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3. </w:t>
      </w:r>
      <w:r>
        <w:rPr>
          <w:rFonts w:eastAsia="Times New Roman" w:cs="Times New Roman" w:ascii="Times New Roman" w:hAnsi="Times New Roman"/>
          <w:b/>
          <w:sz w:val="20"/>
          <w:szCs w:val="20"/>
        </w:rPr>
        <w:t xml:space="preserve">O Licitante reconhece que a utilização do sistema eletrônico de negociação implica o pagamento de taxas de utilização, conforme previsto no Anexo IV do Regulamento do Sistema Eletrônico de Licitações da BLL -  Bolsa de Licitações do Brasil. </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rPr>
          <w:rFonts w:ascii="Times New Roman" w:hAnsi="Times New Roman" w:eastAsia="Times New Roman" w:cs="Times New Roman"/>
          <w:sz w:val="20"/>
          <w:szCs w:val="20"/>
        </w:rPr>
      </w:pPr>
      <w:r>
        <w:rPr>
          <w:rFonts w:eastAsia="Times New Roman" w:cs="Times New Roman" w:ascii="Times New Roman" w:hAnsi="Times New Roman"/>
          <w:sz w:val="20"/>
          <w:szCs w:val="20"/>
        </w:rPr>
        <w:t>Local e data:  _________________________________________________________________</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____________________________________________________________________________ </w:t>
      </w:r>
      <w:r>
        <w:rPr>
          <w:rFonts w:eastAsia="Times New Roman" w:cs="Times New Roman" w:ascii="Times New Roman" w:hAnsi="Times New Roman"/>
          <w:b/>
          <w:color w:val="FF0000"/>
          <w:sz w:val="20"/>
          <w:szCs w:val="20"/>
        </w:rPr>
        <w:t>(Assinaturas autorizadas com firma reconhecida em cartório)</w:t>
      </w:r>
    </w:p>
    <w:p>
      <w:pPr>
        <w:pStyle w:val="Normal1"/>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u w:val="single"/>
        </w:rPr>
        <w:t>OBSERVAÇÃO</w:t>
      </w:r>
      <w:r>
        <w:rPr>
          <w:rFonts w:eastAsia="Times New Roman" w:cs="Times New Roman" w:ascii="Times New Roman" w:hAnsi="Times New Roman"/>
          <w:b/>
          <w:sz w:val="20"/>
          <w:szCs w:val="20"/>
        </w:rPr>
        <w:t xml:space="preserve">: </w:t>
      </w:r>
      <w:r>
        <w:rPr>
          <w:rFonts w:eastAsia="Times New Roman" w:cs="Times New Roman" w:ascii="Times New Roman" w:hAnsi="Times New Roman"/>
          <w:b/>
          <w:i/>
          <w:color w:val="FF0000"/>
          <w:sz w:val="20"/>
          <w:szCs w:val="20"/>
        </w:rPr>
        <w:t>OBRIGATÓRIO RECONHECER FIRMA (EM CARTÓRIO) DAS ASSINATURAS E ANEXAR COPIA DO CONTRATO SOCIAL E ULTIMAS ALTERAÇÕES E/OU BREVE RELATO E/OU CONTRATO CONSOLIDADO (AUTENTICADAS).</w:t>
      </w:r>
    </w:p>
    <w:p>
      <w:pPr>
        <w:pStyle w:val="Normal1"/>
        <w:jc w:val="center"/>
        <w:rPr>
          <w:rFonts w:ascii="Times New Roman" w:hAnsi="Times New Roman" w:eastAsia="Times New Roman" w:cs="Times New Roman"/>
          <w:b/>
          <w:i/>
          <w:i/>
          <w:color w:val="FF0000"/>
          <w:sz w:val="20"/>
          <w:szCs w:val="20"/>
        </w:rPr>
      </w:pPr>
      <w:r>
        <w:rPr>
          <w:rFonts w:eastAsia="Times New Roman" w:cs="Times New Roman" w:ascii="Times New Roman" w:hAnsi="Times New Roman"/>
          <w:b/>
          <w:i/>
          <w:color w:val="FF0000"/>
          <w:sz w:val="20"/>
          <w:szCs w:val="20"/>
        </w:rPr>
      </w:r>
    </w:p>
    <w:p>
      <w:pPr>
        <w:pStyle w:val="Normal1"/>
        <w:jc w:val="center"/>
        <w:rPr>
          <w:rFonts w:ascii="Times New Roman" w:hAnsi="Times New Roman" w:eastAsia="Times New Roman" w:cs="Times New Roman"/>
          <w:b/>
          <w:i/>
          <w:i/>
          <w:color w:val="FF0000"/>
          <w:sz w:val="20"/>
          <w:szCs w:val="20"/>
        </w:rPr>
      </w:pPr>
      <w:r>
        <w:rPr>
          <w:rFonts w:eastAsia="Times New Roman" w:cs="Times New Roman" w:ascii="Times New Roman" w:hAnsi="Times New Roman"/>
          <w:b/>
          <w:i/>
          <w:color w:val="FF0000"/>
          <w:sz w:val="20"/>
          <w:szCs w:val="20"/>
        </w:rPr>
      </w:r>
      <w:r>
        <w:br w:type="page"/>
      </w:r>
    </w:p>
    <w:p>
      <w:pPr>
        <w:pStyle w:val="Normal1"/>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ANEXO 4.1</w:t>
      </w:r>
    </w:p>
    <w:p>
      <w:pPr>
        <w:pStyle w:val="Normal1"/>
        <w:ind w:left="0" w:right="-91" w:hanging="0"/>
        <w:jc w:val="center"/>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 xml:space="preserve">ANEXO AO TERMO DE ADESÃO AO SISTEMA ELETRÔNICO DE LICITAÇÕES DA </w:t>
        <w:br/>
        <w:t xml:space="preserve">BLL – BOLSA DE LICITAÇÕES DO BRASIL </w:t>
        <w:br/>
        <w:t xml:space="preserve">INDICAÇÃO DE USUÁRIO DO SISTEMA </w:t>
      </w:r>
    </w:p>
    <w:p>
      <w:pPr>
        <w:pStyle w:val="Normal1"/>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bl>
      <w:tblPr>
        <w:tblStyle w:val="Table3"/>
        <w:tblW w:w="9084" w:type="dxa"/>
        <w:jc w:val="center"/>
        <w:tblInd w:w="0" w:type="dxa"/>
        <w:tblLayout w:type="fixed"/>
        <w:tblCellMar>
          <w:top w:w="0" w:type="dxa"/>
          <w:left w:w="108" w:type="dxa"/>
          <w:bottom w:w="0" w:type="dxa"/>
          <w:right w:w="108" w:type="dxa"/>
        </w:tblCellMar>
        <w:tblLook w:val="0000"/>
      </w:tblPr>
      <w:tblGrid>
        <w:gridCol w:w="589"/>
        <w:gridCol w:w="1043"/>
        <w:gridCol w:w="81"/>
        <w:gridCol w:w="59"/>
        <w:gridCol w:w="86"/>
        <w:gridCol w:w="157"/>
        <w:gridCol w:w="100"/>
        <w:gridCol w:w="853"/>
        <w:gridCol w:w="1944"/>
        <w:gridCol w:w="971"/>
        <w:gridCol w:w="3201"/>
      </w:tblGrid>
      <w:tr>
        <w:trPr>
          <w:trHeight w:val="284" w:hRule="atLeast"/>
        </w:trPr>
        <w:tc>
          <w:tcPr>
            <w:tcW w:w="2968" w:type="dxa"/>
            <w:gridSpan w:val="8"/>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Razão Social do Licitante:</w:t>
            </w:r>
          </w:p>
        </w:tc>
        <w:tc>
          <w:tcPr>
            <w:tcW w:w="6116" w:type="dxa"/>
            <w:gridSpan w:val="3"/>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1772" w:type="dxa"/>
            <w:gridSpan w:val="4"/>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CNPJ/CPF:</w:t>
            </w:r>
          </w:p>
        </w:tc>
        <w:tc>
          <w:tcPr>
            <w:tcW w:w="7312" w:type="dxa"/>
            <w:gridSpan w:val="7"/>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9084" w:type="dxa"/>
            <w:gridSpan w:val="11"/>
            <w:tcBorders>
              <w:top w:val="single" w:sz="4" w:space="0" w:color="000000"/>
              <w:left w:val="single" w:sz="4" w:space="0" w:color="000000"/>
              <w:bottom w:val="single" w:sz="4" w:space="0" w:color="000000"/>
              <w:right w:val="single" w:sz="4" w:space="0" w:color="000000"/>
            </w:tcBorders>
            <w:shd w:fill="FFFFFF" w:val="clear"/>
            <w:vAlign w:val="center"/>
          </w:tcPr>
          <w:p>
            <w:pPr>
              <w:pStyle w:val="Ttulo1"/>
              <w:widowControl w:val="false"/>
              <w:numPr>
                <w:ilvl w:val="0"/>
                <w:numId w:val="12"/>
              </w:numPr>
              <w:spacing w:lineRule="auto" w:line="240" w:before="480" w:after="0"/>
              <w:ind w:left="0" w:hanging="0"/>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Operadores</w:t>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1</w:t>
            </w:r>
          </w:p>
        </w:tc>
        <w:tc>
          <w:tcPr>
            <w:tcW w:w="1269" w:type="dxa"/>
            <w:gridSpan w:val="4"/>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Nome:</w:t>
            </w:r>
          </w:p>
        </w:tc>
        <w:tc>
          <w:tcPr>
            <w:tcW w:w="7226" w:type="dxa"/>
            <w:gridSpan w:val="6"/>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269" w:type="dxa"/>
            <w:gridSpan w:val="4"/>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CPF: </w:t>
            </w:r>
          </w:p>
        </w:tc>
        <w:tc>
          <w:tcPr>
            <w:tcW w:w="3054" w:type="dxa"/>
            <w:gridSpan w:val="4"/>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971"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Função:</w:t>
            </w:r>
          </w:p>
        </w:tc>
        <w:tc>
          <w:tcPr>
            <w:tcW w:w="3201" w:type="dxa"/>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526" w:type="dxa"/>
            <w:gridSpan w:val="6"/>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Telefone:</w:t>
            </w:r>
          </w:p>
        </w:tc>
        <w:tc>
          <w:tcPr>
            <w:tcW w:w="2797" w:type="dxa"/>
            <w:gridSpan w:val="2"/>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971"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Celular:</w:t>
            </w:r>
          </w:p>
        </w:tc>
        <w:tc>
          <w:tcPr>
            <w:tcW w:w="3201" w:type="dxa"/>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124" w:type="dxa"/>
            <w:gridSpan w:val="2"/>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Fax:</w:t>
            </w:r>
          </w:p>
        </w:tc>
        <w:tc>
          <w:tcPr>
            <w:tcW w:w="3199" w:type="dxa"/>
            <w:gridSpan w:val="6"/>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971"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E-mail:</w:t>
            </w:r>
          </w:p>
        </w:tc>
        <w:tc>
          <w:tcPr>
            <w:tcW w:w="3201" w:type="dxa"/>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124" w:type="dxa"/>
            <w:gridSpan w:val="2"/>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Whatsapp</w:t>
            </w:r>
          </w:p>
        </w:tc>
        <w:tc>
          <w:tcPr>
            <w:tcW w:w="3199" w:type="dxa"/>
            <w:gridSpan w:val="6"/>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971"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201" w:type="dxa"/>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2</w:t>
            </w:r>
          </w:p>
        </w:tc>
        <w:tc>
          <w:tcPr>
            <w:tcW w:w="1124" w:type="dxa"/>
            <w:gridSpan w:val="2"/>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Nome:</w:t>
            </w:r>
          </w:p>
        </w:tc>
        <w:tc>
          <w:tcPr>
            <w:tcW w:w="7371" w:type="dxa"/>
            <w:gridSpan w:val="8"/>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124" w:type="dxa"/>
            <w:gridSpan w:val="2"/>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CPF:</w:t>
            </w:r>
          </w:p>
        </w:tc>
        <w:tc>
          <w:tcPr>
            <w:tcW w:w="3199" w:type="dxa"/>
            <w:gridSpan w:val="6"/>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971"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Função:</w:t>
            </w:r>
          </w:p>
        </w:tc>
        <w:tc>
          <w:tcPr>
            <w:tcW w:w="3201" w:type="dxa"/>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426" w:type="dxa"/>
            <w:gridSpan w:val="5"/>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Telefone:</w:t>
            </w:r>
          </w:p>
        </w:tc>
        <w:tc>
          <w:tcPr>
            <w:tcW w:w="2897" w:type="dxa"/>
            <w:gridSpan w:val="3"/>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971"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Celular:</w:t>
            </w:r>
          </w:p>
        </w:tc>
        <w:tc>
          <w:tcPr>
            <w:tcW w:w="3201" w:type="dxa"/>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043"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Fax:</w:t>
            </w:r>
          </w:p>
        </w:tc>
        <w:tc>
          <w:tcPr>
            <w:tcW w:w="3280" w:type="dxa"/>
            <w:gridSpan w:val="7"/>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971"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E-mail:</w:t>
            </w:r>
          </w:p>
        </w:tc>
        <w:tc>
          <w:tcPr>
            <w:tcW w:w="3201" w:type="dxa"/>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043"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Whatsapp</w:t>
            </w:r>
          </w:p>
        </w:tc>
        <w:tc>
          <w:tcPr>
            <w:tcW w:w="7452" w:type="dxa"/>
            <w:gridSpan w:val="9"/>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3</w:t>
            </w:r>
          </w:p>
        </w:tc>
        <w:tc>
          <w:tcPr>
            <w:tcW w:w="1043"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Nome:</w:t>
            </w:r>
          </w:p>
        </w:tc>
        <w:tc>
          <w:tcPr>
            <w:tcW w:w="7452" w:type="dxa"/>
            <w:gridSpan w:val="9"/>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043"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CPF:</w:t>
            </w:r>
          </w:p>
        </w:tc>
        <w:tc>
          <w:tcPr>
            <w:tcW w:w="3280" w:type="dxa"/>
            <w:gridSpan w:val="7"/>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971"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Função:</w:t>
            </w:r>
          </w:p>
        </w:tc>
        <w:tc>
          <w:tcPr>
            <w:tcW w:w="3201" w:type="dxa"/>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426" w:type="dxa"/>
            <w:gridSpan w:val="5"/>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Telefone:</w:t>
            </w:r>
          </w:p>
        </w:tc>
        <w:tc>
          <w:tcPr>
            <w:tcW w:w="2897" w:type="dxa"/>
            <w:gridSpan w:val="3"/>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971"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Celular:</w:t>
            </w:r>
          </w:p>
        </w:tc>
        <w:tc>
          <w:tcPr>
            <w:tcW w:w="3201" w:type="dxa"/>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043"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Fax:</w:t>
            </w:r>
          </w:p>
        </w:tc>
        <w:tc>
          <w:tcPr>
            <w:tcW w:w="3280" w:type="dxa"/>
            <w:gridSpan w:val="7"/>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971"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E-mail:</w:t>
            </w:r>
          </w:p>
        </w:tc>
        <w:tc>
          <w:tcPr>
            <w:tcW w:w="3201" w:type="dxa"/>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rHeight w:val="284" w:hRule="atLeast"/>
        </w:trPr>
        <w:tc>
          <w:tcPr>
            <w:tcW w:w="5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1043"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Whatsapp</w:t>
            </w:r>
          </w:p>
        </w:tc>
        <w:tc>
          <w:tcPr>
            <w:tcW w:w="3280" w:type="dxa"/>
            <w:gridSpan w:val="7"/>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971" w:type="dxa"/>
            <w:tcBorders>
              <w:top w:val="single" w:sz="4" w:space="0" w:color="000000"/>
              <w:left w:val="single" w:sz="4" w:space="0" w:color="000000"/>
              <w:bottom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3201" w:type="dxa"/>
            <w:tcBorders>
              <w:top w:val="single" w:sz="4" w:space="0" w:color="000000"/>
              <w:bottom w:val="single" w:sz="4" w:space="0" w:color="000000"/>
              <w:right w:val="single" w:sz="4" w:space="0" w:color="000000"/>
            </w:tcBorders>
            <w:shd w:fill="auto" w:val="clear"/>
            <w:vAlign w:val="center"/>
          </w:tcPr>
          <w:p>
            <w:pPr>
              <w:pStyle w:val="Normal1"/>
              <w:widowControl w:val="false"/>
              <w:spacing w:lineRule="auto" w:line="240" w:before="0" w:after="20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bl>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 Licitante reconhece que:</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ind w:left="480" w:right="0" w:hanging="4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w:t>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pPr>
        <w:pStyle w:val="Normal1"/>
        <w:ind w:left="480" w:right="0" w:hanging="4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ii.</w:t>
        <w:tab/>
        <w:t>O cancelamento de Senha ou de Chave Eletrônica poderá ser feito pela BLL - Bolsa de Licitações do Brasil, mediante solicitação escrita de seu titular ou do Licitante;</w:t>
      </w:r>
    </w:p>
    <w:p>
      <w:pPr>
        <w:pStyle w:val="Normal1"/>
        <w:keepNext w:val="false"/>
        <w:keepLines w:val="false"/>
        <w:pageBreakBefore w:val="false"/>
        <w:widowControl/>
        <w:pBdr/>
        <w:shd w:val="clear" w:fill="auto"/>
        <w:spacing w:lineRule="auto" w:line="240" w:before="0" w:after="120"/>
        <w:ind w:left="283"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iii.</w:t>
        <w:tab/>
        <w:t xml:space="preserve">A perda de Senha ou de Chave Eletrônica ou a quebra de seu sigilo deverá ser comunicada imediatamente à BLL – Bolsa de Licitações do Brasil para o necessário bloqueio de acesso; </w:t>
      </w:r>
    </w:p>
    <w:p>
      <w:pPr>
        <w:pStyle w:val="Normal1"/>
        <w:numPr>
          <w:ilvl w:val="0"/>
          <w:numId w:val="4"/>
        </w:numPr>
        <w:tabs>
          <w:tab w:val="clear" w:pos="720"/>
          <w:tab w:val="left" w:pos="-180" w:leader="none"/>
        </w:tabs>
        <w:spacing w:lineRule="auto" w:line="240" w:before="0" w:after="0"/>
        <w:ind w:left="540" w:right="0" w:hanging="54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pPr>
        <w:pStyle w:val="Normal1"/>
        <w:ind w:left="54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rPr>
          <w:rFonts w:ascii="Times New Roman" w:hAnsi="Times New Roman" w:eastAsia="Times New Roman" w:cs="Times New Roman"/>
          <w:sz w:val="20"/>
          <w:szCs w:val="20"/>
        </w:rPr>
      </w:pPr>
      <w:r>
        <w:rPr>
          <w:rFonts w:eastAsia="Times New Roman" w:cs="Times New Roman" w:ascii="Times New Roman" w:hAnsi="Times New Roman"/>
          <w:sz w:val="20"/>
          <w:szCs w:val="20"/>
        </w:rPr>
        <w:t>Local e data:  __________________________________________________________________</w:t>
      </w:r>
    </w:p>
    <w:p>
      <w:pPr>
        <w:pStyle w:val="Normal1"/>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pBdr>
          <w:bottom w:val="single" w:sz="12" w:space="1" w:color="000000"/>
        </w:pBdr>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center"/>
        <w:rPr>
          <w:rFonts w:ascii="Times New Roman" w:hAnsi="Times New Roman" w:eastAsia="Times New Roman" w:cs="Times New Roman"/>
          <w:sz w:val="20"/>
          <w:szCs w:val="20"/>
        </w:rPr>
      </w:pPr>
      <w:r>
        <w:rPr>
          <w:rFonts w:eastAsia="Times New Roman" w:cs="Times New Roman" w:ascii="Times New Roman" w:hAnsi="Times New Roman"/>
          <w:b/>
          <w:color w:val="FF0000"/>
          <w:sz w:val="20"/>
          <w:szCs w:val="20"/>
        </w:rPr>
        <w:t>(Assinaturas autorizadas com firma reconhecida em cartório)</w:t>
      </w:r>
    </w:p>
    <w:p>
      <w:pPr>
        <w:pStyle w:val="Normal1"/>
        <w:keepNext w:val="false"/>
        <w:keepLines w:val="false"/>
        <w:pageBreakBefore w:val="false"/>
        <w:widowControl/>
        <w:pBdr/>
        <w:shd w:val="clear" w:fill="auto"/>
        <w:spacing w:lineRule="auto" w:line="480" w:before="0" w:after="120"/>
        <w:ind w:left="0" w:right="0" w:hanging="0"/>
        <w:jc w:val="center"/>
        <w:rPr>
          <w:rFonts w:ascii="Times New Roman" w:hAnsi="Times New Roman" w:eastAsia="Times New Roman" w:cs="Times New Roman"/>
          <w:b/>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r>
      <w:r>
        <w:br w:type="page"/>
      </w:r>
    </w:p>
    <w:p>
      <w:pPr>
        <w:pStyle w:val="Normal1"/>
        <w:keepNext w:val="false"/>
        <w:keepLines w:val="false"/>
        <w:widowControl/>
        <w:pBdr/>
        <w:shd w:val="clear" w:fill="auto"/>
        <w:spacing w:lineRule="auto" w:line="480" w:before="0" w:after="120"/>
        <w:ind w:left="0" w:right="0" w:hanging="0"/>
        <w:jc w:val="center"/>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ANEXO 05</w:t>
      </w:r>
    </w:p>
    <w:p>
      <w:pPr>
        <w:pStyle w:val="Normal1"/>
        <w:keepNext w:val="false"/>
        <w:keepLines w:val="false"/>
        <w:pageBreakBefore w:val="false"/>
        <w:widowControl/>
        <w:pBdr/>
        <w:shd w:val="clear" w:fill="auto"/>
        <w:tabs>
          <w:tab w:val="clear" w:pos="720"/>
          <w:tab w:val="left" w:pos="2520" w:leader="none"/>
        </w:tabs>
        <w:spacing w:lineRule="auto" w:line="480" w:before="0" w:after="12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CUSTO PELA UTILIZAÇÃO DO SISTEMA </w:t>
        <w:br/>
        <w:t xml:space="preserve">– SOMENTE PARA O </w:t>
      </w: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single"/>
          <w:shd w:fill="auto" w:val="clear"/>
          <w:vertAlign w:val="baseline"/>
        </w:rPr>
        <w:t>FORNECEDOR VENCEDOR</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Editais publicados pelo sistema de aquisição:</w:t>
      </w:r>
    </w:p>
    <w:p>
      <w:pPr>
        <w:pStyle w:val="Normal1"/>
        <w:numPr>
          <w:ilvl w:val="0"/>
          <w:numId w:val="5"/>
        </w:numPr>
        <w:spacing w:lineRule="auto" w:line="240" w:before="0" w:after="0"/>
        <w:ind w:left="720"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Editais publicados pelo sistema de registro de preços:</w:t>
      </w:r>
    </w:p>
    <w:p>
      <w:pPr>
        <w:pStyle w:val="Normal1"/>
        <w:numPr>
          <w:ilvl w:val="0"/>
          <w:numId w:val="5"/>
        </w:numPr>
        <w:spacing w:lineRule="auto" w:line="240" w:before="0" w:after="0"/>
        <w:ind w:left="720" w:hanging="36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pPr>
        <w:pStyle w:val="Normal1"/>
        <w:keepNext w:val="false"/>
        <w:keepLines w:val="false"/>
        <w:pageBreakBefore w:val="false"/>
        <w:widowControl/>
        <w:pBdr/>
        <w:shd w:val="clear" w:fill="auto"/>
        <w:spacing w:lineRule="auto" w:line="240" w:before="280" w:after="28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 xml:space="preserve">Em caso de cancelamento pelo órgão promotor (comprador) do pregão realizado na plataforma, o licitante vencedor receberá a devolução dos valores eventualmente arcados com o uso da plataforma eletrônica no respectivo lote cancelado. </w:t>
      </w:r>
    </w:p>
    <w:p>
      <w:pPr>
        <w:pStyle w:val="Ttulo1"/>
        <w:numPr>
          <w:ilvl w:val="0"/>
          <w:numId w:val="12"/>
        </w:numPr>
        <w:ind w:left="0" w:hanging="0"/>
        <w:rPr>
          <w:rFonts w:ascii="Times New Roman" w:hAnsi="Times New Roman" w:eastAsia="Times New Roman" w:cs="Times New Roman"/>
          <w:sz w:val="20"/>
          <w:szCs w:val="20"/>
        </w:rPr>
      </w:pPr>
      <w:r>
        <w:rPr>
          <w:rFonts w:eastAsia="Times New Roman" w:cs="Times New Roman" w:ascii="Times New Roman" w:hAnsi="Times New Roman"/>
          <w:color w:val="000000"/>
          <w:sz w:val="20"/>
          <w:szCs w:val="20"/>
        </w:rPr>
        <w:t>DA UTILIZAÇÃO DE CÉLULAS DE APOIO (CORRETORAS) ASSOCIADAS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 xml:space="preserve">DAS RESPONSABILIDADES COMO LICITANTE/FORNECEDOR </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Como Licitante/Fornecedor, concordamos e anuímos com todos termos contidos neste anexo e nos responsabilizamos por cumpri-lo integralmente em seus expressos termos.</w:t>
      </w:r>
    </w:p>
    <w:p>
      <w:pPr>
        <w:pStyle w:val="Normal1"/>
        <w:rPr>
          <w:rFonts w:ascii="Times New Roman" w:hAnsi="Times New Roman" w:eastAsia="Times New Roman" w:cs="Times New Roman"/>
          <w:sz w:val="20"/>
          <w:szCs w:val="20"/>
        </w:rPr>
      </w:pPr>
      <w:r>
        <w:rPr>
          <w:rFonts w:eastAsia="Times New Roman" w:cs="Times New Roman" w:ascii="Times New Roman" w:hAnsi="Times New Roman"/>
          <w:sz w:val="20"/>
          <w:szCs w:val="20"/>
        </w:rPr>
        <w:t>Local e data: ________________________________________________________________</w:t>
      </w:r>
    </w:p>
    <w:p>
      <w:pPr>
        <w:pStyle w:val="Normal1"/>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_____________________________________________________________________________</w:t>
      </w:r>
    </w:p>
    <w:p>
      <w:pPr>
        <w:pStyle w:val="Normal1"/>
        <w:jc w:val="center"/>
        <w:rPr>
          <w:rFonts w:ascii="Times New Roman" w:hAnsi="Times New Roman" w:eastAsia="Times New Roman" w:cs="Times New Roman"/>
          <w:sz w:val="20"/>
          <w:szCs w:val="20"/>
        </w:rPr>
      </w:pPr>
      <w:r>
        <w:rPr>
          <w:rFonts w:eastAsia="Times New Roman" w:cs="Times New Roman" w:ascii="Times New Roman" w:hAnsi="Times New Roman"/>
          <w:b/>
          <w:color w:val="FF0000"/>
          <w:sz w:val="20"/>
          <w:szCs w:val="20"/>
        </w:rPr>
        <w:t>(Assinaturas autorizadas com firma reconhecida em cartório)</w:t>
      </w:r>
    </w:p>
    <w:p>
      <w:pPr>
        <w:pStyle w:val="Normal1"/>
        <w:keepNext w:val="false"/>
        <w:keepLines w:val="false"/>
        <w:pageBreakBefore w:val="false"/>
        <w:widowControl/>
        <w:pBdr/>
        <w:shd w:val="clear" w:fill="auto"/>
        <w:spacing w:lineRule="auto" w:line="240" w:before="0" w:after="0"/>
        <w:ind w:left="720" w:right="0" w:hanging="0"/>
        <w:jc w:val="left"/>
        <w:rPr>
          <w:rFonts w:ascii="Times New Roman" w:hAnsi="Times New Roman" w:eastAsia="Times New Roman" w:cs="Times New Roman"/>
          <w:b/>
          <w:i w:val="false"/>
          <w:i w:val="false"/>
          <w:caps w:val="false"/>
          <w:smallCaps w:val="false"/>
          <w:strike w:val="false"/>
          <w:dstrike w:val="false"/>
          <w:color w:val="FF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FF0000"/>
          <w:position w:val="0"/>
          <w:sz w:val="20"/>
          <w:sz w:val="20"/>
          <w:szCs w:val="20"/>
          <w:u w:val="none"/>
          <w:shd w:fill="auto" w:val="clear"/>
          <w:vertAlign w:val="baseline"/>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u w:val="single"/>
        </w:rPr>
        <w:t>OBSERVAÇÃO</w:t>
      </w:r>
      <w:r>
        <w:rPr>
          <w:rFonts w:eastAsia="Times New Roman" w:cs="Times New Roman" w:ascii="Times New Roman" w:hAnsi="Times New Roman"/>
          <w:b/>
          <w:sz w:val="20"/>
          <w:szCs w:val="20"/>
        </w:rPr>
        <w:t xml:space="preserve">: </w:t>
      </w:r>
      <w:r>
        <w:rPr>
          <w:rFonts w:eastAsia="Times New Roman" w:cs="Times New Roman" w:ascii="Times New Roman" w:hAnsi="Times New Roman"/>
          <w:b/>
          <w:i/>
          <w:color w:val="FF0000"/>
          <w:sz w:val="20"/>
          <w:szCs w:val="20"/>
        </w:rPr>
        <w:t>OBRIGATÓRIO RECONHECER FIRMA (EM CARTÓRIO) DAS ASSINATURAS E ANEXAR COPIA DO CONTRATO SOCIAL E ULTIMAS ALTERAÇÕES E/OU BREVE RELATO E/OU CONTRATO CONSOLIDADO (AUTENTICADAS).</w:t>
      </w:r>
      <w:r>
        <w:br w:type="page"/>
      </w:r>
    </w:p>
    <w:p>
      <w:pPr>
        <w:pStyle w:val="Normal1"/>
        <w:spacing w:lineRule="auto" w:line="240" w:before="280" w:after="280"/>
        <w:ind w:left="708" w:right="0" w:hanging="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ANEXO 06</w:t>
      </w:r>
    </w:p>
    <w:p>
      <w:pPr>
        <w:pStyle w:val="Normal1"/>
        <w:spacing w:lineRule="auto" w:line="240" w:before="280" w:after="28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PREGÃO ELETRÔNICO Nº 12/2023</w:t>
      </w:r>
    </w:p>
    <w:p>
      <w:pPr>
        <w:pStyle w:val="Normal1"/>
        <w:spacing w:lineRule="auto" w:line="240" w:before="280" w:after="28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3540" w:right="0" w:firstLine="708"/>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DECLARAÇÃO</w:t>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(Nome da Empresa)</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CNPJ/MF Nº ________________________________________________________, sediada.</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(Endereço Completo)</w:t>
      </w:r>
    </w:p>
    <w:p>
      <w:pPr>
        <w:pStyle w:val="Normal1"/>
        <w:spacing w:lineRule="auto" w:line="240" w:before="280" w:after="280"/>
        <w:ind w:left="708"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708"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Declara, sob as penas da Lei, que na qualidade de proponente do procedimento licitatório, sob a modalidade Pregão Eletrônico nº 12/2023 instaurada pela Prefeitura Municipal de Grão-Pará, que não fomos declarados inidôneos para licitar ou contratar com o Poder Público, em qualquer de suas esferas. </w:t>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Por ser expressão de verdade, firmamos a presente.</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(Local e Data)</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(Nome e Número da Carteira de Identidade do Declarante)</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OBS. Esta declaração deverá ser emitida em papel timbrado da empresa proponente e carimbada com o número do CNPJ.</w:t>
      </w:r>
      <w:r>
        <w:br w:type="page"/>
      </w:r>
    </w:p>
    <w:p>
      <w:pPr>
        <w:pStyle w:val="Normal1"/>
        <w:spacing w:lineRule="auto" w:line="240" w:before="280" w:after="280"/>
        <w:ind w:left="708" w:right="0" w:hanging="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ANEXO 07</w:t>
      </w:r>
    </w:p>
    <w:p>
      <w:pPr>
        <w:pStyle w:val="Normal1"/>
        <w:spacing w:lineRule="auto" w:line="240" w:before="280" w:after="28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PREGÃO ELETRÔNICO Nº 12/2023</w:t>
      </w:r>
    </w:p>
    <w:p>
      <w:pPr>
        <w:pStyle w:val="Normal1"/>
        <w:spacing w:lineRule="auto" w:line="240" w:before="280" w:after="28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3540" w:right="0" w:firstLine="708"/>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DECLARAÇÃO</w:t>
      </w:r>
    </w:p>
    <w:p>
      <w:pPr>
        <w:pStyle w:val="Normal1"/>
        <w:spacing w:lineRule="auto" w:line="240" w:before="280" w:after="28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(Nome da Empresa)</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CNPJ/MF Nº ________________________________________________________, sediada</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(Endereço Completo)</w:t>
      </w:r>
    </w:p>
    <w:p>
      <w:pPr>
        <w:pStyle w:val="Normal1"/>
        <w:spacing w:lineRule="auto" w:line="240" w:before="280" w:after="280"/>
        <w:ind w:left="708"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708"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Declara, sob as penas da Lei, que até a presente data inexistem fatos impeditivos para sua habilitação no presente processo e que está ciente da obrigatoriedade de declarar ocorrências posteriores.</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(Local e Data)</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(Nome e Número da Carteira de Identidade do Declarante)</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OBS. Esta declaração deverá ser emitida em papel timbrado da empresa proponente e carimbada com o número do CNPJ.</w:t>
      </w:r>
      <w:r>
        <w:br w:type="page"/>
      </w:r>
    </w:p>
    <w:p>
      <w:pPr>
        <w:pStyle w:val="Normal1"/>
        <w:spacing w:lineRule="auto" w:line="240" w:before="280" w:after="28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ANEXO 08</w:t>
      </w:r>
    </w:p>
    <w:p>
      <w:pPr>
        <w:pStyle w:val="Normal1"/>
        <w:spacing w:lineRule="auto" w:line="240" w:before="280" w:after="28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PREGÃO ELETRÔNICO Nº 12/2023</w:t>
      </w:r>
    </w:p>
    <w:p>
      <w:pPr>
        <w:pStyle w:val="Normal1"/>
        <w:spacing w:lineRule="auto" w:line="240" w:before="280" w:after="28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3540" w:right="0" w:firstLine="708"/>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DECLARAÇÃO</w:t>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(Nome da Empresa)</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CNPJ/MF Nº ________________________________________________________, sediada</w:t>
      </w:r>
    </w:p>
    <w:p>
      <w:pPr>
        <w:pStyle w:val="Normal1"/>
        <w:spacing w:lineRule="auto" w:line="240" w:before="280" w:after="28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(Endereço Completo)</w:t>
      </w:r>
    </w:p>
    <w:p>
      <w:pPr>
        <w:pStyle w:val="Normal1"/>
        <w:spacing w:lineRule="auto" w:line="240" w:before="280" w:after="280"/>
        <w:ind w:left="708"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w:t>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(Local e Data)</w:t>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(Nome e Número da Carteira de Identidade do Declarante)</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OBS. </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1) Esta declaração deverá ser emitida em papel timbrado da empresa proponente e carimbada com o número do CNPJ.</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2) Se a empresa licitante possuir menores de 14 anos aprendizes deverá declarar essa condição.</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r>
        <w:br w:type="page"/>
      </w:r>
    </w:p>
    <w:p>
      <w:pPr>
        <w:pStyle w:val="Normal1"/>
        <w:spacing w:lineRule="auto" w:line="240" w:before="280" w:after="280"/>
        <w:ind w:left="0" w:right="0" w:firstLine="708"/>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ANEXO 09</w:t>
      </w:r>
    </w:p>
    <w:p>
      <w:pPr>
        <w:pStyle w:val="Normal1"/>
        <w:spacing w:lineRule="auto" w:line="240" w:before="280" w:after="28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PREGÃO ELETRÔNICO Nº 12/2023</w:t>
      </w:r>
    </w:p>
    <w:p>
      <w:pPr>
        <w:pStyle w:val="Normal1"/>
        <w:spacing w:lineRule="auto" w:line="240" w:before="280" w:after="28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3540" w:right="0" w:firstLine="708"/>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DECLARAÇÃO</w:t>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708" w:right="0"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709"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Modelo de Declaração de Enquadramento em Regime de Tributação de Microempresa ou Empresa de Pequeno Porte (Na hipótese do licitante ser ME ou EPP)</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(Nome da empresa), CNPJ / MF nº, sediada (endereço completo) Declaro (amos) para todos os fins de direito, especificamente para participação de licitação na modalidade de Pregão, que estou (amos) sob o regime de ME/EPP, para efeito do disposto na LC 123/2006</w:t>
      </w:r>
    </w:p>
    <w:p>
      <w:pPr>
        <w:pStyle w:val="Normal1"/>
        <w:spacing w:lineRule="auto" w:line="240" w:before="280" w:after="28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0" w:right="0" w:firstLine="708"/>
        <w:rPr>
          <w:rFonts w:ascii="Times New Roman" w:hAnsi="Times New Roman" w:eastAsia="Times New Roman" w:cs="Times New Roman"/>
          <w:sz w:val="20"/>
          <w:szCs w:val="20"/>
        </w:rPr>
      </w:pPr>
      <w:r>
        <w:rPr>
          <w:rFonts w:eastAsia="Times New Roman" w:cs="Times New Roman" w:ascii="Times New Roman" w:hAnsi="Times New Roman"/>
          <w:sz w:val="20"/>
          <w:szCs w:val="20"/>
        </w:rPr>
        <w:t>________________________________________________________________________________</w:t>
      </w:r>
    </w:p>
    <w:p>
      <w:pPr>
        <w:pStyle w:val="Normal1"/>
        <w:spacing w:lineRule="auto" w:line="240" w:before="280" w:after="28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t>Local e data</w:t>
      </w:r>
    </w:p>
    <w:p>
      <w:pPr>
        <w:pStyle w:val="Normal1"/>
        <w:spacing w:lineRule="auto" w:line="240" w:before="280" w:after="28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0" w:right="0" w:firstLine="708"/>
        <w:rPr>
          <w:rFonts w:ascii="Times New Roman" w:hAnsi="Times New Roman" w:eastAsia="Times New Roman" w:cs="Times New Roman"/>
          <w:sz w:val="20"/>
          <w:szCs w:val="20"/>
        </w:rPr>
      </w:pPr>
      <w:r>
        <w:rPr>
          <w:rFonts w:eastAsia="Times New Roman" w:cs="Times New Roman" w:ascii="Times New Roman" w:hAnsi="Times New Roman"/>
          <w:sz w:val="20"/>
          <w:szCs w:val="20"/>
        </w:rPr>
        <w:t>________________________________________________________________________________</w:t>
      </w:r>
    </w:p>
    <w:p>
      <w:pPr>
        <w:pStyle w:val="Normal1"/>
        <w:spacing w:lineRule="auto" w:line="240" w:before="280" w:after="280"/>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t>Nome e nº da cédula de identidade do declarante</w:t>
      </w:r>
      <w:r>
        <w:br w:type="page"/>
      </w:r>
    </w:p>
    <w:p>
      <w:pPr>
        <w:pStyle w:val="Normal1"/>
        <w:spacing w:lineRule="auto" w:line="240" w:before="280" w:after="28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ANEXO 10</w:t>
      </w:r>
    </w:p>
    <w:p>
      <w:pPr>
        <w:pStyle w:val="Normal1"/>
        <w:spacing w:lineRule="auto" w:line="240" w:before="280" w:after="280"/>
        <w:ind w:left="0" w:right="113"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PREGÃO ELETRÔNICO Nº 12/2023</w:t>
      </w:r>
    </w:p>
    <w:p>
      <w:pPr>
        <w:pStyle w:val="Normal1"/>
        <w:spacing w:lineRule="auto" w:line="240" w:before="280" w:after="280"/>
        <w:ind w:left="0" w:right="113" w:firstLine="708"/>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0" w:right="113" w:firstLine="708"/>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0" w:right="113" w:firstLine="708"/>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2124" w:right="113" w:firstLine="707"/>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DECLARAÇÃO DE RESPONSABILIDADE</w:t>
      </w:r>
    </w:p>
    <w:p>
      <w:pPr>
        <w:pStyle w:val="Normal1"/>
        <w:spacing w:lineRule="auto" w:line="240" w:before="280" w:after="280"/>
        <w:ind w:left="0" w:right="113"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0" w:right="113" w:hanging="0"/>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spacing w:lineRule="auto" w:line="240" w:before="280" w:after="280"/>
        <w:ind w:left="708" w:right="113"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Declaramos para fins de atendimento ao que consta do edital do Pregão Eletrônico n.12/2023 da Prefeitura Municipal de Grão-Pará, que a empresa............................................................tomou conhecimento do Edital e de todas as condições de participação na Licitação e se compromete a cumprir todos os termos do Edital, e a fornecer material de qualidade, sob as penas da Lei. </w:t>
      </w:r>
    </w:p>
    <w:p>
      <w:pPr>
        <w:pStyle w:val="Normal1"/>
        <w:spacing w:lineRule="auto" w:line="240" w:before="280" w:after="280"/>
        <w:ind w:left="708" w:right="113"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708" w:right="113"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Local e data:</w:t>
      </w:r>
    </w:p>
    <w:p>
      <w:pPr>
        <w:pStyle w:val="Normal1"/>
        <w:spacing w:lineRule="auto" w:line="240" w:before="280" w:after="280"/>
        <w:ind w:left="708" w:right="113"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spacing w:lineRule="auto" w:line="240" w:before="280" w:after="280"/>
        <w:ind w:left="708" w:right="113"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Assinatura e carimbo da empresa:</w:t>
      </w:r>
      <w:r>
        <w:br w:type="page"/>
      </w:r>
    </w:p>
    <w:p>
      <w:pPr>
        <w:pStyle w:val="Normal1"/>
        <w:spacing w:lineRule="auto" w:line="240" w:before="280" w:after="28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ANEXO 11</w:t>
      </w:r>
    </w:p>
    <w:p>
      <w:pPr>
        <w:pStyle w:val="Normal1"/>
        <w:spacing w:lineRule="auto" w:line="24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PREGÃO ELETRÔNICO Nº 12/2023</w:t>
      </w:r>
    </w:p>
    <w:p>
      <w:pPr>
        <w:pStyle w:val="Normal1"/>
        <w:spacing w:lineRule="auto" w:line="240" w:before="280" w:after="28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keepNext w:val="true"/>
        <w:spacing w:lineRule="auto" w:line="240" w:before="280" w:after="28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DECLARAÇÃO</w:t>
      </w:r>
    </w:p>
    <w:p>
      <w:pPr>
        <w:pStyle w:val="Normal1"/>
        <w:spacing w:lineRule="auto" w:line="36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(Razão Social) ___________________________________________________________________</w:t>
      </w:r>
    </w:p>
    <w:p>
      <w:pPr>
        <w:pStyle w:val="Normal1"/>
        <w:spacing w:lineRule="auto" w:line="36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CNPJ/MF Nº ______________________________________________________________</w:t>
      </w:r>
    </w:p>
    <w:p>
      <w:pPr>
        <w:pStyle w:val="Normal1"/>
        <w:spacing w:lineRule="auto" w:line="36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Sediada_________________________________________________________________________</w:t>
      </w:r>
    </w:p>
    <w:p>
      <w:pPr>
        <w:pStyle w:val="Normal1"/>
        <w:spacing w:lineRule="auto" w:line="360" w:before="280" w:after="280"/>
        <w:ind w:left="0" w:right="0" w:firstLine="708"/>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(Endereço Completo)</w:t>
      </w:r>
    </w:p>
    <w:p>
      <w:pPr>
        <w:pStyle w:val="Normal1"/>
        <w:spacing w:lineRule="auto" w:line="360" w:before="280" w:after="280"/>
        <w:ind w:left="708" w:right="0" w:firstLine="708"/>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Declara, sob as penas da lei, que na qualidade de proponente de procedimento licitatório sob a modalidade Eletrônico nº12/2023, instaurada pelo Município de </w:t>
      </w:r>
      <w:r>
        <w:rPr>
          <w:rFonts w:eastAsia="Times New Roman" w:cs="Times New Roman" w:ascii="Times New Roman" w:hAnsi="Times New Roman"/>
          <w:b/>
          <w:sz w:val="20"/>
          <w:szCs w:val="20"/>
        </w:rPr>
        <w:t>Grão-Pará</w:t>
      </w:r>
      <w:r>
        <w:rPr>
          <w:rFonts w:eastAsia="Times New Roman" w:cs="Times New Roman" w:ascii="Times New Roman" w:hAnsi="Times New Roman"/>
          <w:sz w:val="20"/>
          <w:szCs w:val="20"/>
        </w:rPr>
        <w:t xml:space="preserve"> não integra nosso corpo social, nem nosso quadro funcional empregado público ou membro comissionado de órgão direto ou indireto da Administração Municipal, inclusive autarquias.</w:t>
      </w:r>
    </w:p>
    <w:p>
      <w:pPr>
        <w:pStyle w:val="Normal1"/>
        <w:spacing w:lineRule="auto" w:line="360" w:before="280" w:after="280"/>
        <w:ind w:left="708"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Por ser verdade, firmamos o presente.</w:t>
      </w:r>
    </w:p>
    <w:p>
      <w:pPr>
        <w:pStyle w:val="Normal1"/>
        <w:spacing w:lineRule="auto" w:line="360" w:before="280" w:after="280"/>
        <w:ind w:left="708"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Data _______</w:t>
      </w:r>
    </w:p>
    <w:p>
      <w:pPr>
        <w:pStyle w:val="Normal1"/>
        <w:spacing w:lineRule="auto" w:line="360" w:before="280" w:after="280"/>
        <w:ind w:left="708"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Local________________</w:t>
      </w:r>
    </w:p>
    <w:p>
      <w:pPr>
        <w:pStyle w:val="Normal1"/>
        <w:spacing w:lineRule="auto" w:line="360" w:before="280" w:after="280"/>
        <w:ind w:left="708"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Nome do declarante _________________</w:t>
      </w:r>
    </w:p>
    <w:p>
      <w:pPr>
        <w:pStyle w:val="Normal1"/>
        <w:spacing w:lineRule="auto" w:line="360" w:before="280" w:after="280"/>
        <w:ind w:left="708"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RG____________________</w:t>
      </w:r>
    </w:p>
    <w:p>
      <w:pPr>
        <w:pStyle w:val="Normal1"/>
        <w:spacing w:lineRule="auto" w:line="360" w:before="280" w:after="280"/>
        <w:ind w:left="709" w:right="0" w:hanging="0"/>
        <w:rPr>
          <w:rFonts w:ascii="Times New Roman" w:hAnsi="Times New Roman" w:eastAsia="Times New Roman" w:cs="Times New Roman"/>
          <w:sz w:val="20"/>
          <w:szCs w:val="20"/>
        </w:rPr>
      </w:pPr>
      <w:r>
        <w:rPr>
          <w:rFonts w:eastAsia="Times New Roman" w:cs="Times New Roman" w:ascii="Times New Roman" w:hAnsi="Times New Roman"/>
          <w:sz w:val="20"/>
          <w:szCs w:val="20"/>
        </w:rPr>
        <w:t>CPF___________________</w:t>
      </w:r>
    </w:p>
    <w:p>
      <w:pPr>
        <w:pStyle w:val="Normal1"/>
        <w:spacing w:lineRule="auto" w:line="240" w:before="280" w:after="280"/>
        <w:ind w:left="708"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OBS. Esta declaração deverá ser emitida em papel timbrado da empresa proponente e carimbada com o número do CNPJ.</w:t>
      </w:r>
      <w:r>
        <w:br w:type="page"/>
      </w:r>
    </w:p>
    <w:p>
      <w:pPr>
        <w:pStyle w:val="Normal1"/>
        <w:spacing w:lineRule="auto" w:line="240" w:before="280" w:after="28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ANEXO 12</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ATA DE REGISTRO DE PREÇOS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VALIDADE: 12 (DOZE) MESES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Aos 00 (____) dias do mês de ___________ do ano de 2023, o Município de Grão-Pará, através de sua Pregoeira e Equipe de Apoio, designada pelo Decreto Municipal nº 40/2022 de 20 de dezembro de 2022, lavra a presente Ata de Registro de Preços (ARP), referente ao Pregão 12/2023,  que objetiva </w:t>
      </w:r>
      <w:r>
        <w:rPr>
          <w:rFonts w:eastAsia="Times New Roman" w:cs="Times New Roman" w:ascii="Times New Roman" w:hAnsi="Times New Roman"/>
          <w:b/>
          <w:sz w:val="20"/>
          <w:szCs w:val="20"/>
        </w:rPr>
        <w:t>REGISTRO DE PREÇOS PARA EVENTUAL</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AQUISIÇÃO DE PRODUTOS ALIMENTÍCIOS PARA O SCFV, CEIS E ESCOLA MUNICIPAL DE GRÃO-PARÁ</w:t>
      </w:r>
      <w:r>
        <w:rPr>
          <w:rFonts w:eastAsia="Times New Roman" w:cs="Times New Roman" w:ascii="Times New Roman" w:hAnsi="Times New Roman"/>
          <w:b/>
          <w:sz w:val="20"/>
          <w:szCs w:val="20"/>
          <w:u w:val="single"/>
        </w:rPr>
        <w:t>,</w:t>
      </w:r>
      <w:r>
        <w:rPr>
          <w:rFonts w:eastAsia="Times New Roman" w:cs="Times New Roman" w:ascii="Times New Roman" w:hAnsi="Times New Roman"/>
          <w:sz w:val="20"/>
          <w:szCs w:val="20"/>
        </w:rPr>
        <w:t xml:space="preserve"> observados as especificações, os preços, os quantitativos e os fornecedores classificados na licitação supracitada, bem como, as cláusulas e condições abaixo estabelecidas, constituindo-se esta ata em documento vinculativo e obrigacional às partes, à luz das regras insertas no Decreto nº 14/2021, de 12/01/2021. </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I - DO OBJETO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REGISTRO DE PREÇOS PARA EVENTUAL</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AQUISIÇÃO DE PRODUTOS ALIMENTÍCIOS PARA O SCFV, CEIS E ESCOLA MUNICIPAL DE GRÃO-PARÁ.</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II – DA VALIDADE DOS PREÇOS</w:t>
      </w:r>
    </w:p>
    <w:p>
      <w:pPr>
        <w:pStyle w:val="Normal1"/>
        <w:keepNext w:val="false"/>
        <w:keepLines w:val="false"/>
        <w:pageBreakBefore w:val="false"/>
        <w:widowControl/>
        <w:pBdr/>
        <w:shd w:val="clear" w:fill="auto"/>
        <w:spacing w:lineRule="auto" w:line="240" w:before="0" w:after="0"/>
        <w:ind w:left="0"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presente Ata de Registro de Preços terá a validade de 12 (doze) meses, a partir da sua assinatura.</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Durante o prazo de validade desta Ata de Registro de Preço, o Município de Grão-Pará não será obrigado a firmar as contratações que deles poderão advir, facultando-se a realização de licitação específica para a aquisição pretendida, sendo </w:t>
      </w:r>
      <w:r>
        <w:rPr>
          <w:rFonts w:eastAsia="Times New Roman" w:cs="Times New Roman" w:ascii="Times New Roman" w:hAnsi="Times New Roman"/>
          <w:b/>
          <w:sz w:val="20"/>
          <w:szCs w:val="20"/>
        </w:rPr>
        <w:t>assegurado ao beneficiário do Registro preferência de fornecimento em igualdade de condições</w:t>
      </w:r>
      <w:r>
        <w:rPr>
          <w:rFonts w:eastAsia="Times New Roman" w:cs="Times New Roman" w:ascii="Times New Roman" w:hAnsi="Times New Roman"/>
          <w:sz w:val="20"/>
          <w:szCs w:val="20"/>
        </w:rPr>
        <w:t>.</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III – DA UTILIZAÇÃO DA ATA DE REGISTRO DE PREÇOS</w:t>
      </w:r>
    </w:p>
    <w:p>
      <w:pPr>
        <w:pStyle w:val="Normal1"/>
        <w:spacing w:lineRule="auto" w:line="240"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Poderá utilizar-se da Ata de registro de Preços qualquer órgão ou entidade da Administração que não tenha participado do certame, mediante prévia consulta ao órgão gerenciador, desde que devidamente comprovada a vantagem e, respeitada no que couber, as condições e as regras estabelecidas na Lei nº 14.133, no Decreto nº7.892/13, relativas à utilização do Sistema de Registro de Preços. </w:t>
      </w:r>
    </w:p>
    <w:p>
      <w:pPr>
        <w:pStyle w:val="Normal1"/>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IV – DOS PREÇOS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 preço ofertado pela(s) empresa(s) signatária(s) da presente Ata de Registro de Preços é o especificado na tabela abaixo, de acordo com a respectiva classificação no Pregão nº 12/2023.</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Em cada fornecimento decorrente desta Ata, serão observadas, quanto ao preço, as cláusulas e condições constantes do Edital do Pregão nº 12/2023, que a precedeu e integra o presente instrumento de compromisso.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Em cada fornecimento, o preço unitário a ser pago é o constante da proposta apresentada, no Pregão nº 12/2023, pelas empresas detentoras da presente Ata, as quais também a integram.</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V – DA ENTREGA DOS PRODUTOS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Os produtos/serviços deste edital devem ser entregues/executados conforme ordem de fornecimento no prazo máximo de 03 (três) dias úteis.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Caso não seja entregue o objeto do certame no prazo estipulado; a empresa licitante será multada em R$500,00 (quinhentos reais) por dia de atraso e mais as penalidades cabíveis na lei de licitação, contrato e demais disposições deste Edital.</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VI – DO PAGAMENTO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O pagamento será realizado em até 30 dias após a entrega do objeto da presente licitação ou conforme disponibilidade financeira. Para se efetivar o pagamento, a CONTRATADA, </w:t>
        <w:tab/>
        <w:t xml:space="preserve">deverá apresentar na Secretaria da Administração, a nota fiscal/fatura devidamente atestada por servidor encarregado da fiscalização da </w:t>
      </w:r>
      <w:r>
        <w:rPr>
          <w:rFonts w:eastAsia="Times New Roman" w:cs="Times New Roman" w:ascii="Times New Roman" w:hAnsi="Times New Roman"/>
          <w:sz w:val="20"/>
          <w:szCs w:val="20"/>
          <w:u w:val="single"/>
        </w:rPr>
        <w:t>entrega dos produtos</w:t>
      </w:r>
      <w:r>
        <w:rPr>
          <w:rFonts w:eastAsia="Times New Roman" w:cs="Times New Roman" w:ascii="Times New Roman" w:hAnsi="Times New Roman"/>
          <w:sz w:val="20"/>
          <w:szCs w:val="20"/>
        </w:rPr>
        <w:t>.</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VII - DAS CONDIÇÕES DE FORNECIMENTO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entrega dos produtos só estará caracterizada mediante o recebimento da ordem de fornecimento pelo fornecedor</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 fornecedor ficará obrigado a atender todos os pedidos efetuados durante a vigência desta Ata, mesmo que a entrega deles decorrentes estejam previstas para data posterior à do seu vencimento.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VIII - DAS PENALIDADES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Constatada a inveracidade de quaisquer informações ou documentos fornecidos pela licitante, poderá ela, resguardados os procedimentos legais, sofrer as sanções abaixo, a critério da Administração, isolada ou cumulativamente:</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Impedimento para registro na Ata, se concluída a fase licitatória.</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Cancelamento do registro na Ata.</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Suspensão temporária do direito de participar de licitações e de fornecer a Administração Pública por prazo de até 5 (cinco) anos. </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Declaração de Inidoneidade para licitar ou contratar com a Administração Pública enquanto perdurem os motivos determinantes da punição ou até que seja promovida a reabilitação, que será concedida sempre que o fornecedor ressarcir a Administração pelos prejuízos resultantes ou depois de decorrido o prazo da sanção aplicada com base no subitem anterior.</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O descumprimento total ou parcial das obrigações assumidas pelo fornecedor, sem justificativa aceita pelo órgão ou entidade usuário, resguardados os procedimentos legais pertinentes, poderá acarretar, isolada ou cumulativamente, nas seguintes sanções: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Advertência</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Multa de 2% (dois por cento) sobre o valor total do Contrato, após decorridos cinco dias, a contar da data do inadimplento.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Multa de mora sobre o valor total do pedido, de 0,33% por dia de inadimplência, no caso de inexecução total.</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Suspensão temporária do direito de participar de licitação e de fornecer à Administração Pública, por prazo de até 5 (cinco) anos.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Declaração de Inidoneidade para licitar ou contratar com a Administração Pública enquanto perdurem os motivos determinantes da punição ou até que seja promovida a reabilitação, que será concedida sempre que o fornecedor ressarcir a Administração pelos prejuízos resultantes ou depois de decorrido o prazo da sanção aplicada com base no subitem anterior.</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Em qualquer hipótese de aplicação de penalidades será assegurada ao fornecedor o contraditório e ampla defesa.</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aplicação das sanções previstas neste Edital não exclui a possibilidade de aplicações de outras, previstas em Lei, inclusive responsabilização do fornecedor por eventuais perdas e danos causados à Administração.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IX – DO REAJUSTAMENTO DE PREÇOS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Considerando o prazo de validade estabelecido na Cláusula II da presente Ata, e em atendimento ao § 1º, art. 28 da Lei Federal 9.069, de 29.6.1995 e demais legislação, é vedado quaisquer reajustamentos de preços.</w:t>
        <w:br/>
        <w:t>Fica ressalvada a possibilidade de alteração das condições para a concessão de reajustes</w:t>
        <w:br/>
        <w:t>em face da superveniência de normas federais aplicáveis a espécie.</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X – DAS CONDIÇÕES DE RECEBIMENTO DO OBJETO DA ATA DE REGISTRO DE PREÇOS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Os</w:t>
      </w:r>
      <w:r>
        <w:rPr>
          <w:rFonts w:eastAsia="Times New Roman" w:cs="Times New Roman" w:ascii="Times New Roman" w:hAnsi="Times New Roman"/>
          <w:b/>
          <w:sz w:val="20"/>
          <w:szCs w:val="20"/>
        </w:rPr>
        <w:t xml:space="preserve"> </w:t>
      </w:r>
      <w:r>
        <w:rPr>
          <w:rFonts w:eastAsia="Times New Roman" w:cs="Times New Roman" w:ascii="Times New Roman" w:hAnsi="Times New Roman"/>
          <w:sz w:val="20"/>
          <w:szCs w:val="20"/>
        </w:rPr>
        <w:t>produtos objeto desta Ata de Registro de Preços serão recebidos pelo requisitante.</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XI – DO CANCELAMENTO DA ATA DE REGISTRO DE PREÇOS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Ata de Registro de Preços poderá ser cancelada, de pleno direito:</w:t>
        <w:br/>
        <w:t>Pela Administração, quando:</w:t>
        <w:br/>
        <w:t>a) a detentora não cumprir as obrigações constantes desta Ata de Registro de Preços;</w:t>
        <w:br/>
        <w:t>b) a detentora não assinar o contrato no prazo estabelecido e a Administração não aceitar sua</w:t>
        <w:br/>
        <w:t>justificativa;</w:t>
        <w:br/>
        <w:t>c) a detentora der causa a rescisão administrativa de contrato decorrente de registro de preços;</w:t>
        <w:br/>
        <w:t>d) em qualquer das hipóteses de inexecução total ou parcial de contrato decorrente de registro</w:t>
        <w:br/>
        <w:t>de preços;</w:t>
        <w:br/>
        <w:t>e) os preços registrados se apresentarem superiores aos praticados no mercado;</w:t>
        <w:br/>
        <w:t>f) por razões de interesse público devidamente demonstradas e justificadas pela Administração;</w:t>
        <w:br/>
        <w:t>g) a comunicação do cancelamento do preço registrado, nos casos previstos no item 17 do</w:t>
        <w:br/>
        <w:t>edital, será feita pessoalmente ou por correspondência com aviso do recebimento, juntando-se o</w:t>
        <w:br/>
        <w:t>comprovante aos autos que deram origem ao registro de preços;</w:t>
        <w:br/>
        <w:t>h) no caso de ser ignorado, incerto ou inacessível o endereço da detentora, a comunicação será</w:t>
        <w:br/>
        <w:t>feita por publicação em imprensa oficial, considerando-se cancelado o preço registrado após 1</w:t>
        <w:br/>
        <w:t>(um) dia da publicação;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br/>
        <w:t>Pelas detentoras, quando, mediante solicitação por escrito, comprovarem estar impossibilitadas de cumprir as exigências desta Ata de Registro de Preços: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a solicitação das detentoras para cancelamento dos preços registrado deverá ser formulada com antecedência de 30 (trinta) dias, facultada à Administração a aplicação das penalidades previstas na Cláusula VIII, caso não aceita as razões do pedido.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XII – DA AUTORIZAÇÃO PARA AQUISIÇÃO E EMISSÃO DAS ORDENS DE FORNECIMENTO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As aquisições do objeto da presente Ata de Registro de Preços serão autorizadas, caso a caso, pelo responsável relativo a pasta solicitante. A emissão das ordens de fornecimento, sua retificação ou cancelamento, total ou parcial serão</w:t>
        <w:br/>
        <w:t xml:space="preserve">igualmente autorizados pelo órgão requisitante. </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XIII - DAS DISPOSIÇÕES FINAIS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Fica eleito o Foro da Justiça Federal de Primeira Instância - Seção Judiciária do Estado de Santa Catarina, para dirimir dúvidas ou questões que não encontrem forma de resolução entre as</w:t>
        <w:br/>
        <w:t>partes, sendo esse foro irrenunciável pela CONTRATANTE, diante do que dispõe o art. 109, inciso I, da Constituição Federal.</w:t>
        <w:br/>
        <w:t>E, por estarem assim justos e acordados, assinam as partes o presente instrumento, em três vias de igual teor e forma na presença das testemunhas que abaixo, também, subscrevem.</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Grão-Pará/SC, ____ de ___________ de 2023.</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r>
        <w:br w:type="page"/>
      </w:r>
    </w:p>
    <w:p>
      <w:pPr>
        <w:pStyle w:val="Normal1"/>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ANEXO XIII – MINUTA DO CONTRATO</w:t>
      </w:r>
    </w:p>
    <w:p>
      <w:pPr>
        <w:pStyle w:val="Normal1"/>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CONTRATO N. _________/2023</w:t>
      </w:r>
    </w:p>
    <w:p>
      <w:pPr>
        <w:pStyle w:val="Normal1"/>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Contrato, que entre si celebram a </w:t>
      </w:r>
      <w:r>
        <w:rPr>
          <w:rFonts w:eastAsia="Times New Roman" w:cs="Times New Roman" w:ascii="Times New Roman" w:hAnsi="Times New Roman"/>
          <w:b/>
          <w:sz w:val="20"/>
          <w:szCs w:val="20"/>
        </w:rPr>
        <w:t>PREFEITURA MUNICIPAL DE GRÃO-PARÁ</w:t>
      </w:r>
      <w:r>
        <w:rPr>
          <w:rFonts w:eastAsia="Times New Roman" w:cs="Times New Roman" w:ascii="Times New Roman" w:hAnsi="Times New Roman"/>
          <w:sz w:val="20"/>
          <w:szCs w:val="20"/>
        </w:rPr>
        <w:t xml:space="preserve">, com sede na Rua Barão do Rio Branco, n. 187, Centro, Grão-Pará/SC, inscrita no CNPJ/MF sob n. 82.558.149/0001-55, doravante denominada simplesmente </w:t>
      </w:r>
      <w:r>
        <w:rPr>
          <w:rFonts w:eastAsia="Times New Roman" w:cs="Times New Roman" w:ascii="Times New Roman" w:hAnsi="Times New Roman"/>
          <w:b/>
          <w:sz w:val="20"/>
          <w:szCs w:val="20"/>
        </w:rPr>
        <w:t>CONTRATANTE</w:t>
      </w:r>
      <w:r>
        <w:rPr>
          <w:rFonts w:eastAsia="Times New Roman" w:cs="Times New Roman" w:ascii="Times New Roman" w:hAnsi="Times New Roman"/>
          <w:sz w:val="20"/>
          <w:szCs w:val="20"/>
        </w:rPr>
        <w:t xml:space="preserve">, neste ato, representada por seu Prefeito Municipal, Senhor </w:t>
      </w:r>
      <w:r>
        <w:rPr>
          <w:rFonts w:eastAsia="Times New Roman" w:cs="Times New Roman" w:ascii="Times New Roman" w:hAnsi="Times New Roman"/>
          <w:b/>
          <w:sz w:val="20"/>
          <w:szCs w:val="20"/>
        </w:rPr>
        <w:t>HELIO ALBERTON JUNIOR</w:t>
      </w:r>
      <w:r>
        <w:rPr>
          <w:rFonts w:eastAsia="Times New Roman" w:cs="Times New Roman" w:ascii="Times New Roman" w:hAnsi="Times New Roman"/>
          <w:sz w:val="20"/>
          <w:szCs w:val="20"/>
        </w:rPr>
        <w:t xml:space="preserve">, e ______________________, empresa estabelecida em ______________________ (endereço completo), inscrita no CNPJ/MF sob n. _______________________, doravante denominada </w:t>
      </w:r>
      <w:r>
        <w:rPr>
          <w:rFonts w:eastAsia="Times New Roman" w:cs="Times New Roman" w:ascii="Times New Roman" w:hAnsi="Times New Roman"/>
          <w:b/>
          <w:sz w:val="20"/>
          <w:szCs w:val="20"/>
        </w:rPr>
        <w:t>CONTRATADA</w:t>
      </w:r>
      <w:r>
        <w:rPr>
          <w:rFonts w:eastAsia="Times New Roman" w:cs="Times New Roman" w:ascii="Times New Roman" w:hAnsi="Times New Roman"/>
          <w:sz w:val="20"/>
          <w:szCs w:val="20"/>
        </w:rPr>
        <w:t>, neste ato, representada por seu ___________________, Senhor __________________, __________________(nacionalidade), __________________ (estado civil), inscrito no CNPF n. __________________, mediante sujeição mútua à proposta e às seguintes cláusulas contratuais:</w:t>
      </w:r>
    </w:p>
    <w:p>
      <w:pPr>
        <w:pStyle w:val="Normal1"/>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I - DO OBJETO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O presente Contrato tem por objeto objetiva </w:t>
      </w:r>
      <w:r>
        <w:rPr>
          <w:rFonts w:eastAsia="Times New Roman" w:cs="Times New Roman" w:ascii="Times New Roman" w:hAnsi="Times New Roman"/>
          <w:b/>
          <w:sz w:val="20"/>
          <w:szCs w:val="20"/>
        </w:rPr>
        <w:t>REGISTRO DE PREÇOS PARA EVENTUAL</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 xml:space="preserve">AQUISIÇÃO DE PRODUTOS ALIMENTÍCIOS PARA O SCFV, CEIS E ESCOLA MUNICIPAL DE GRÃO-PARÁ </w:t>
      </w:r>
      <w:r>
        <w:rPr>
          <w:rFonts w:eastAsia="Times New Roman" w:cs="Times New Roman" w:ascii="Times New Roman" w:hAnsi="Times New Roman"/>
          <w:sz w:val="20"/>
          <w:szCs w:val="20"/>
        </w:rPr>
        <w:t>de acordo com as especificações técnicas, marcas e preços unitários homologados, conforme descrições e marcas adiante descritas.</w:t>
      </w:r>
    </w:p>
    <w:p>
      <w:pPr>
        <w:pStyle w:val="Normal1"/>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t>(.........................)</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II - DO VALOR</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contratante pagará à contratada os preços homologados no Processo de Licitação n. 74/2023- Edital de Pregão Eletrônico n. 12/2023-PR, de 10 de maio de 2023, no valor total de R$ ____________________ (______________________).</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Parágrafo Único.</w:t>
      </w:r>
      <w:r>
        <w:rPr>
          <w:rFonts w:eastAsia="Times New Roman" w:cs="Times New Roman" w:ascii="Times New Roman" w:hAnsi="Times New Roman"/>
          <w:sz w:val="20"/>
          <w:szCs w:val="20"/>
        </w:rPr>
        <w:t xml:space="preserve"> Os preços cotados no processo licitatório acima referido e homologados pelo Prefeito Municipal serão fixos e irreajustáveis.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III – DA ENTREGA</w:t>
      </w:r>
    </w:p>
    <w:p>
      <w:pPr>
        <w:pStyle w:val="Normal1"/>
        <w:keepNext w:val="false"/>
        <w:keepLines w:val="false"/>
        <w:pageBreakBefore w:val="false"/>
        <w:widowControl/>
        <w:pBdr/>
        <w:shd w:val="clear" w:fill="auto"/>
        <w:spacing w:lineRule="auto" w:line="240" w:before="0" w:after="0"/>
        <w:ind w:left="0" w:right="0" w:hanging="0"/>
        <w:jc w:val="both"/>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A entrega dos produtos, deverá ser de acordo com as necessidades desta Municipalidade, dentro do prazo estipulado, mediante ordem de fornecimento, após homologação e adjudicação da licitação e após a assinatura do Contrato.</w:t>
      </w:r>
    </w:p>
    <w:p>
      <w:pPr>
        <w:pStyle w:val="Normal1"/>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IV - DO PRAZO DE PAGAMENTO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Os pagamentos serão efetuados </w:t>
      </w:r>
      <w:r>
        <w:rPr>
          <w:rFonts w:eastAsia="Times New Roman" w:cs="Times New Roman" w:ascii="Times New Roman" w:hAnsi="Times New Roman"/>
          <w:b/>
          <w:sz w:val="20"/>
          <w:szCs w:val="20"/>
        </w:rPr>
        <w:t>EM ATÉ 30 (TRINTA) DIAS CONTADOS DA EMISSÃO DA NOTA FISCAL</w:t>
      </w:r>
      <w:r>
        <w:rPr>
          <w:rFonts w:eastAsia="Times New Roman" w:cs="Times New Roman" w:ascii="Times New Roman" w:hAnsi="Times New Roman"/>
          <w:sz w:val="20"/>
          <w:szCs w:val="20"/>
        </w:rPr>
        <w:t xml:space="preserve">. Os preços homologados, adjudicados e contratados serão fixos e irreajustáveis.     </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V - DA VIGÊNCIA</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 presente contrato entrará em vigor em _____ de ___________ de 2023, com vigência até ___ de _____________ de_____.</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VI - DAS OBRIGAÇÕES DA CONTRATANTE</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 Efetuar os pagamentos referentes aos produtos adquiridos e verificar se os mesmos encontram-se em conformidade com as especificações técnicas estipuladas contratualmente.</w:t>
      </w:r>
      <w:r>
        <w:rPr>
          <w:rFonts w:eastAsia="Times New Roman" w:cs="Times New Roman" w:ascii="Times New Roman" w:hAnsi="Times New Roman"/>
          <w:b/>
          <w:sz w:val="20"/>
          <w:szCs w:val="20"/>
        </w:rPr>
        <w:t xml:space="preserve"> </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VII - DAS OBRIGAÇÕES DA CONTRATADA</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Entregar os produtos, conforme solicitado por esta Municipalidade, após homologação e adjudicação da licitação e após a assinatura do Contrato;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b) emitir notas fiscais dos produtos a serem entregues;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 Destacar o valor do Imposto de Renda na nota fiscal para que o Município de Grão-Pará faça a retenção deste, nos termos do Decreto 05/2023, caso a contratada se enquadrar nas regras neste estabelecidas.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VIII - DAS DESPESAS E FONTES DE RECURSOS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Os recursos financeiros serão atendidos pelas dotações do orçamento municipal, classificadas e codificadas sob o n.:</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xx.xx.x.xxx.x.x.xx.xx.xx.xx.xx.xx.xxxx - Aplicações Diretas (Código reduzido: xx).</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IX - DA FISCALIZAÇÃO E GESTÃO DO CONTRATO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O fiscalização e gestão do presente contrato ficará a cargo da Secretaria Municipal de Assistência Social do Município de Grão-Pará. </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X - DA RESCISÃO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 presente contrato poderá ser rescindido por qualquer das partes em virtude de inadimplemento de qualquer cláusula ou condição.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XI - DO PROCESSO LICITATÓRIO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Faz parte deste contrato o Processo de Licitação n. 74/2023- Edital de Pregão Eletrônico n. 12/2023-PR, de 10 de maio de 2023, da Prefeitura Municipal de Grão-Pará.</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XII - DAS SANÇÕES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Ficará a </w:t>
      </w:r>
      <w:r>
        <w:rPr>
          <w:rFonts w:eastAsia="Times New Roman" w:cs="Times New Roman" w:ascii="Times New Roman" w:hAnsi="Times New Roman"/>
          <w:b/>
          <w:sz w:val="20"/>
          <w:szCs w:val="20"/>
        </w:rPr>
        <w:t>CONTRATADA</w:t>
      </w:r>
      <w:r>
        <w:rPr>
          <w:rFonts w:eastAsia="Times New Roman" w:cs="Times New Roman" w:ascii="Times New Roman" w:hAnsi="Times New Roman"/>
          <w:sz w:val="20"/>
          <w:szCs w:val="20"/>
        </w:rPr>
        <w:t xml:space="preserve"> impedida de licitar e contratar com o Município de Grão-Pará, pelo prazo de até 5 (cinco) anos, garantido o direito prévio da citação e da ampla defesa, enquanto perdurarem os motivos determinantes da punição ou até que seja promovida a reabilitação perante a própria autoridade que aplicou a penalidade, no caso de a mesma:</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 ensejar o retardamento da execução do objeto deste Contrato;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II. não mantiver a proposta, injustificadamente;</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III. cometer fraude fiscal;</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IV. falhar ou fraudar no fornecimento do objeto;              </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V. fornecer o objeto deste Contrato em desconformidade com o especificado e aceito pela Administração;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VI. descumprir os prazos e condições previstos neste Contrato.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Além das penalidades citadas, a </w:t>
      </w:r>
      <w:r>
        <w:rPr>
          <w:rFonts w:eastAsia="Times New Roman" w:cs="Times New Roman" w:ascii="Times New Roman" w:hAnsi="Times New Roman"/>
          <w:b/>
          <w:sz w:val="20"/>
          <w:szCs w:val="20"/>
        </w:rPr>
        <w:t xml:space="preserve">CONTRATADA </w:t>
      </w:r>
      <w:r>
        <w:rPr>
          <w:rFonts w:eastAsia="Times New Roman" w:cs="Times New Roman" w:ascii="Times New Roman" w:hAnsi="Times New Roman"/>
          <w:sz w:val="20"/>
          <w:szCs w:val="20"/>
        </w:rPr>
        <w:t>ficará sujeita, ainda, ao cancelamento de sua inscrição no Cadastro de Fornecedores deste Município, no que couber, e às demais penalidades referidas na Lei n. 14.133/2021.</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Comprovado impedimento ou reconhecida força maior, devidamente justificado e aceito pela Administração deste Município, a </w:t>
      </w:r>
      <w:r>
        <w:rPr>
          <w:rFonts w:eastAsia="Times New Roman" w:cs="Times New Roman" w:ascii="Times New Roman" w:hAnsi="Times New Roman"/>
          <w:b/>
          <w:sz w:val="20"/>
          <w:szCs w:val="20"/>
        </w:rPr>
        <w:t>CONTRATADA</w:t>
      </w:r>
      <w:r>
        <w:rPr>
          <w:rFonts w:eastAsia="Times New Roman" w:cs="Times New Roman" w:ascii="Times New Roman" w:hAnsi="Times New Roman"/>
          <w:sz w:val="20"/>
          <w:szCs w:val="20"/>
        </w:rPr>
        <w:t xml:space="preserve"> ficará isenta das penalidades mencionadas. </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As sanções de advertência, suspensão temporária de participar em licitação e impedimento de contratar com o Município de Grão-Pará e declaração de inidoneidade para licitar ou contratar com a Administração Pública poderão ser aplicadas, também, à </w:t>
      </w:r>
      <w:r>
        <w:rPr>
          <w:rFonts w:eastAsia="Times New Roman" w:cs="Times New Roman" w:ascii="Times New Roman" w:hAnsi="Times New Roman"/>
          <w:b/>
          <w:sz w:val="20"/>
          <w:szCs w:val="20"/>
        </w:rPr>
        <w:t>CONTRATADA</w:t>
      </w:r>
      <w:r>
        <w:rPr>
          <w:rFonts w:eastAsia="Times New Roman" w:cs="Times New Roman" w:ascii="Times New Roman" w:hAnsi="Times New Roman"/>
          <w:sz w:val="20"/>
          <w:szCs w:val="20"/>
        </w:rPr>
        <w:t>.</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A recusa injustificada da </w:t>
      </w:r>
      <w:r>
        <w:rPr>
          <w:rFonts w:eastAsia="Times New Roman" w:cs="Times New Roman" w:ascii="Times New Roman" w:hAnsi="Times New Roman"/>
          <w:b/>
          <w:sz w:val="20"/>
          <w:szCs w:val="20"/>
        </w:rPr>
        <w:t xml:space="preserve">CONTRATADA </w:t>
      </w:r>
      <w:r>
        <w:rPr>
          <w:rFonts w:eastAsia="Times New Roman" w:cs="Times New Roman" w:ascii="Times New Roman" w:hAnsi="Times New Roman"/>
          <w:sz w:val="20"/>
          <w:szCs w:val="20"/>
        </w:rPr>
        <w:t>em assinar o contrato, no prazo máximo de 2 (dois) dias úteis da notificação, implicará multa de 10% (dez por cento) sobre o valor da contratação.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Pela inexecução total ou parcial do objeto deste Contrato, o Município poderá, garantida a prévia defesa, aplicar à </w:t>
      </w:r>
      <w:r>
        <w:rPr>
          <w:rFonts w:eastAsia="Times New Roman" w:cs="Times New Roman" w:ascii="Times New Roman" w:hAnsi="Times New Roman"/>
          <w:b/>
          <w:sz w:val="20"/>
          <w:szCs w:val="20"/>
        </w:rPr>
        <w:t>CONTRATADA</w:t>
      </w:r>
      <w:r>
        <w:rPr>
          <w:rFonts w:eastAsia="Times New Roman" w:cs="Times New Roman" w:ascii="Times New Roman" w:hAnsi="Times New Roman"/>
          <w:sz w:val="20"/>
          <w:szCs w:val="20"/>
        </w:rPr>
        <w:t xml:space="preserve">, as sanções previstas na Lei 14.133/2021. </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XIII - DAS NORMAS E PRECEITOS COMPLEMENTARES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Aplicam-se à execução deste contrato e aos casos omissos, os preceitos de direito público, os princípios da teoria geral dos contratos e as disposições de direito privado.</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CLÁUSULA XIV - DAS DISPOSIÇÕES FINAIS</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 por assim terem conveniado e ser esta vontade livre e soberana dos contratantes, fizeram o presente instrumento de contrato em 02 (duas) vias de igual teor, que assinam juntamente com 02 (duas) testemunhas, sendo que para dirimir quaisquer impasses deste contrato, fica eleito o Foro da Comarca de Braço do Norte/ SC.</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Grão-Pará/SC, ____ de ___________ de 2023.</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keepNext w:val="false"/>
        <w:keepLines w:val="false"/>
        <w:pageBreakBefore w:val="false"/>
        <w:widowControl/>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HELIO ALBERTON JUNIOR</w:t>
        <w:tab/>
        <w:tab/>
        <w:tab/>
        <w:t>Nome do Representante da Contratante</w:t>
      </w:r>
    </w:p>
    <w:p>
      <w:pPr>
        <w:pStyle w:val="Normal1"/>
        <w:keepNext w:val="false"/>
        <w:keepLines w:val="false"/>
        <w:pageBreakBefore w:val="false"/>
        <w:widowControl/>
        <w:pBdr/>
        <w:shd w:val="clear" w:fill="auto"/>
        <w:spacing w:lineRule="auto" w:line="240" w:before="0" w:after="0"/>
        <w:ind w:left="0" w:right="0" w:hanging="0"/>
        <w:jc w:val="left"/>
        <w:rPr>
          <w:rFonts w:ascii="Times New Roman" w:hAnsi="Times New Roman" w:eastAsia="Times New Roman" w:cs="Times New Roman"/>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rPr>
        <w:t>Prefeito Municipal</w:t>
        <w:tab/>
        <w:tab/>
        <w:tab/>
        <w:tab/>
        <w:t xml:space="preserve">            Função do Representante da Contratante</w:t>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1"/>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TESTEMUNHAS</w:t>
      </w:r>
    </w:p>
    <w:p>
      <w:pPr>
        <w:pStyle w:val="Normal1"/>
        <w:jc w:val="both"/>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p>
      <w:pPr>
        <w:pStyle w:val="Normal1"/>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________________________________</w:t>
        <w:tab/>
        <w:t xml:space="preserve">      ________________________________</w:t>
      </w:r>
    </w:p>
    <w:p>
      <w:pPr>
        <w:pStyle w:val="Normal1"/>
        <w:spacing w:lineRule="auto" w:line="240" w:before="0" w:after="200"/>
        <w:rPr>
          <w:rFonts w:ascii="Times New Roman" w:hAnsi="Times New Roman" w:eastAsia="Times New Roman" w:cs="Times New Roman"/>
          <w:b/>
          <w:sz w:val="20"/>
          <w:szCs w:val="20"/>
        </w:rPr>
      </w:pPr>
      <w:r>
        <w:rPr/>
      </w:r>
    </w:p>
    <w:sectPr>
      <w:type w:val="nextPage"/>
      <w:pgSz w:w="11906" w:h="16838"/>
      <w:pgMar w:left="1134" w:right="1134" w:gutter="0" w:header="0" w:top="1134" w:footer="0"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Calibri">
    <w:charset w:val="00"/>
    <w:family w:val="roman"/>
    <w:pitch w:val="variable"/>
  </w:font>
  <w:font w:name="Liberation Sans">
    <w:altName w:val="Arial"/>
    <w:charset w:val="00"/>
    <w:family w:val="swiss"/>
    <w:pitch w:val="variable"/>
  </w:font>
  <w:font w:name="Georgia">
    <w:charset w:val="00"/>
    <w:family w:val="roman"/>
    <w:pitch w:val="variable"/>
  </w:font>
  <w:font w:name="Arial">
    <w:charset w:val="00"/>
    <w:family w:val="roman"/>
    <w:pitch w:val="variable"/>
  </w:font>
  <w:font w:name="OpenSymbol">
    <w:altName w:val="Arial Unicode MS"/>
    <w:charset w:val="02"/>
    <w:family w:val="auto"/>
    <w:pitch w:val="default"/>
  </w:font>
  <w:font w:name="OpenSymbol">
    <w:altName w:val="Arial Unicode MS"/>
    <w:charset w:val="01"/>
    <w:family w:val="auto"/>
    <w:pitch w:val="default"/>
  </w:font>
  <w:font w:name="Times">
    <w:altName w:val="Times New Roman"/>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4"/>
      <w:numFmt w:val="decimal"/>
      <w:lvlText w:val="%1"/>
      <w:lvlJc w:val="left"/>
      <w:pPr>
        <w:tabs>
          <w:tab w:val="num" w:pos="0"/>
        </w:tabs>
        <w:ind w:left="375" w:hanging="375"/>
      </w:pPr>
      <w:rPr/>
    </w:lvl>
    <w:lvl w:ilvl="1">
      <w:start w:val="13"/>
      <w:numFmt w:val="decimal"/>
      <w:lvlText w:val="%1.%2"/>
      <w:lvlJc w:val="left"/>
      <w:pPr>
        <w:tabs>
          <w:tab w:val="num" w:pos="0"/>
        </w:tabs>
        <w:ind w:left="375" w:hanging="375"/>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rFonts w:ascii="Arial" w:hAnsi="Arial" w:eastAsia="Arial" w:cs="Arial"/>
        <w:color w:val="000000"/>
      </w:rPr>
    </w:lvl>
    <w:lvl w:ilvl="2">
      <w:start w:val="1"/>
      <w:numFmt w:val="decimal"/>
      <w:lvlText w:val="%1.%2.%3."/>
      <w:lvlJc w:val="left"/>
      <w:pPr>
        <w:tabs>
          <w:tab w:val="num" w:pos="0"/>
        </w:tabs>
        <w:ind w:left="1922" w:hanging="504"/>
      </w:pPr>
      <w:rPr>
        <w:dstrike w:val="false"/>
        <w:strike w:val="false"/>
        <w:sz w:val="20"/>
        <w:i w:val="false"/>
        <w:b w:val="false"/>
        <w:szCs w:val="20"/>
        <w:rFonts w:ascii="Arial" w:hAnsi="Arial" w:eastAsia="Arial" w:cs="Arial"/>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lowerLetter"/>
      <w:lvlText w:val="%1)"/>
      <w:lvlJc w:val="left"/>
      <w:pPr>
        <w:tabs>
          <w:tab w:val="num" w:pos="0"/>
        </w:tabs>
        <w:ind w:left="1068" w:hanging="360"/>
      </w:pPr>
      <w:rPr>
        <w:b w:val="false"/>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4">
    <w:lvl w:ilvl="0">
      <w:start w:val="4"/>
      <w:numFmt w:val="lowerRoman"/>
      <w:lvlText w:val="%1."/>
      <w:lvlJc w:val="left"/>
      <w:pPr>
        <w:tabs>
          <w:tab w:val="num" w:pos="0"/>
        </w:tabs>
        <w:ind w:left="1080" w:hanging="720"/>
      </w:pPr>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5">
    <w:lvl w:ilvl="0">
      <w:start w:val="1"/>
      <w:numFmt w:val="bullet"/>
      <w:lvlText w:val="-"/>
      <w:lvlJc w:val="left"/>
      <w:pPr>
        <w:tabs>
          <w:tab w:val="num" w:pos="0"/>
        </w:tabs>
        <w:ind w:left="720" w:hanging="360"/>
      </w:pPr>
      <w:rPr>
        <w:rFonts w:ascii="OpenSymbol" w:hAnsi="OpenSymbol" w:cs="OpenSymbol" w:hint="default"/>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6">
    <w:lvl w:ilvl="0">
      <w:start w:val="3"/>
      <w:numFmt w:val="lowerRoman"/>
      <w:lvlText w:val="%1."/>
      <w:lvlJc w:val="left"/>
      <w:pPr>
        <w:tabs>
          <w:tab w:val="num" w:pos="0"/>
        </w:tabs>
        <w:ind w:left="2520" w:hanging="720"/>
      </w:pPr>
      <w:rPr>
        <w:b w:val="false"/>
        <w:rFonts w:ascii="Times" w:hAnsi="Times" w:eastAsia="Times" w:cs="Times"/>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7">
    <w:lvl w:ilvl="0">
      <w:start w:val="1"/>
      <w:numFmt w:val="decimal"/>
      <w:lvlText w:val="%1."/>
      <w:lvlJc w:val="left"/>
      <w:pPr>
        <w:tabs>
          <w:tab w:val="num" w:pos="0"/>
        </w:tabs>
        <w:ind w:left="4968" w:hanging="360"/>
      </w:pPr>
      <w:rPr>
        <w:b/>
      </w:rPr>
    </w:lvl>
    <w:lvl w:ilvl="1">
      <w:start w:val="3"/>
      <w:numFmt w:val="decimal"/>
      <w:lvlText w:val="%1.%2."/>
      <w:lvlJc w:val="left"/>
      <w:pPr>
        <w:tabs>
          <w:tab w:val="num" w:pos="0"/>
        </w:tabs>
        <w:ind w:left="5328" w:hanging="720"/>
      </w:pPr>
      <w:rPr>
        <w:b/>
      </w:rPr>
    </w:lvl>
    <w:lvl w:ilvl="2">
      <w:start w:val="1"/>
      <w:numFmt w:val="decimal"/>
      <w:lvlText w:val="%1.%2.%3."/>
      <w:lvlJc w:val="left"/>
      <w:pPr>
        <w:tabs>
          <w:tab w:val="num" w:pos="0"/>
        </w:tabs>
        <w:ind w:left="5328" w:hanging="720"/>
      </w:pPr>
      <w:rPr>
        <w:b/>
      </w:rPr>
    </w:lvl>
    <w:lvl w:ilvl="3">
      <w:start w:val="1"/>
      <w:numFmt w:val="decimal"/>
      <w:lvlText w:val="%1.%2.%3.%4."/>
      <w:lvlJc w:val="left"/>
      <w:pPr>
        <w:tabs>
          <w:tab w:val="num" w:pos="0"/>
        </w:tabs>
        <w:ind w:left="5688" w:hanging="1080"/>
      </w:pPr>
      <w:rPr>
        <w:b/>
      </w:rPr>
    </w:lvl>
    <w:lvl w:ilvl="4">
      <w:start w:val="1"/>
      <w:numFmt w:val="decimal"/>
      <w:lvlText w:val="%1.%2.%3.%4.%5."/>
      <w:lvlJc w:val="left"/>
      <w:pPr>
        <w:tabs>
          <w:tab w:val="num" w:pos="0"/>
        </w:tabs>
        <w:ind w:left="5688" w:hanging="1080"/>
      </w:pPr>
      <w:rPr>
        <w:b/>
      </w:rPr>
    </w:lvl>
    <w:lvl w:ilvl="5">
      <w:start w:val="1"/>
      <w:numFmt w:val="decimal"/>
      <w:lvlText w:val="%1.%2.%3.%4.%5.%6."/>
      <w:lvlJc w:val="left"/>
      <w:pPr>
        <w:tabs>
          <w:tab w:val="num" w:pos="0"/>
        </w:tabs>
        <w:ind w:left="6048" w:hanging="1440"/>
      </w:pPr>
      <w:rPr>
        <w:b/>
      </w:rPr>
    </w:lvl>
    <w:lvl w:ilvl="6">
      <w:start w:val="1"/>
      <w:numFmt w:val="decimal"/>
      <w:lvlText w:val="%1.%2.%3.%4.%5.%6.%7."/>
      <w:lvlJc w:val="left"/>
      <w:pPr>
        <w:tabs>
          <w:tab w:val="num" w:pos="0"/>
        </w:tabs>
        <w:ind w:left="6048" w:hanging="1440"/>
      </w:pPr>
      <w:rPr>
        <w:b/>
      </w:rPr>
    </w:lvl>
    <w:lvl w:ilvl="7">
      <w:start w:val="1"/>
      <w:numFmt w:val="decimal"/>
      <w:lvlText w:val="%1.%2.%3.%4.%5.%6.%7.%8."/>
      <w:lvlJc w:val="left"/>
      <w:pPr>
        <w:tabs>
          <w:tab w:val="num" w:pos="0"/>
        </w:tabs>
        <w:ind w:left="6408" w:hanging="1800"/>
      </w:pPr>
      <w:rPr>
        <w:b/>
      </w:rPr>
    </w:lvl>
    <w:lvl w:ilvl="8">
      <w:start w:val="1"/>
      <w:numFmt w:val="decimal"/>
      <w:lvlText w:val="%1.%2.%3.%4.%5.%6.%7.%8.%9."/>
      <w:lvlJc w:val="left"/>
      <w:pPr>
        <w:tabs>
          <w:tab w:val="num" w:pos="0"/>
        </w:tabs>
        <w:ind w:left="6768" w:hanging="2160"/>
      </w:pPr>
      <w:rPr>
        <w:b/>
      </w:rPr>
    </w:lvl>
  </w:abstractNum>
  <w:abstractNum w:abstractNumId="8">
    <w:lvl w:ilvl="0">
      <w:start w:val="1"/>
      <w:numFmt w:val="lowerLetter"/>
      <w:lvlText w:val="%1)"/>
      <w:lvlJc w:val="left"/>
      <w:pPr>
        <w:tabs>
          <w:tab w:val="num" w:pos="0"/>
        </w:tabs>
        <w:ind w:left="4054" w:hanging="360"/>
      </w:pPr>
      <w:rPr>
        <w:b/>
      </w:rPr>
    </w:lvl>
    <w:lvl w:ilvl="1">
      <w:start w:val="1"/>
      <w:numFmt w:val="bullet"/>
      <w:lvlText w:val=""/>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rFonts w:ascii="Arial" w:hAnsi="Arial" w:eastAsia="Arial" w:cs="Arial"/>
        <w:color w:val="000000"/>
      </w:rPr>
    </w:lvl>
    <w:lvl w:ilvl="2">
      <w:start w:val="1"/>
      <w:numFmt w:val="decimal"/>
      <w:lvlText w:val="%1.%2.%3."/>
      <w:lvlJc w:val="left"/>
      <w:pPr>
        <w:tabs>
          <w:tab w:val="num" w:pos="0"/>
        </w:tabs>
        <w:ind w:left="1922" w:hanging="504"/>
      </w:pPr>
      <w:rPr>
        <w:dstrike w:val="false"/>
        <w:strike w:val="false"/>
        <w:sz w:val="20"/>
        <w:i w:val="false"/>
        <w:b w:val="false"/>
        <w:szCs w:val="20"/>
        <w:rFonts w:ascii="Arial" w:hAnsi="Arial" w:eastAsia="Arial" w:cs="Arial"/>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
    <w:lvl w:ilvl="0">
      <w:start w:val="7"/>
      <w:numFmt w:val="decimal"/>
      <w:lvlText w:val="%1"/>
      <w:lvlJc w:val="left"/>
      <w:pPr>
        <w:tabs>
          <w:tab w:val="num" w:pos="0"/>
        </w:tabs>
        <w:ind w:left="360" w:hanging="360"/>
      </w:pPr>
      <w:rPr>
        <w:color w:val="000000"/>
      </w:rPr>
    </w:lvl>
    <w:lvl w:ilvl="1">
      <w:start w:val="10"/>
      <w:numFmt w:val="decimal"/>
      <w:lvlText w:val="%1.%2"/>
      <w:lvlJc w:val="left"/>
      <w:pPr>
        <w:tabs>
          <w:tab w:val="num" w:pos="0"/>
        </w:tabs>
        <w:ind w:left="1070" w:hanging="360"/>
      </w:pPr>
      <w:rPr>
        <w:sz w:val="20"/>
        <w:i w:val="false"/>
        <w:b/>
        <w:szCs w:val="20"/>
        <w:color w:val="000000"/>
      </w:rPr>
    </w:lvl>
    <w:lvl w:ilvl="2">
      <w:start w:val="1"/>
      <w:numFmt w:val="decimal"/>
      <w:lvlText w:val="%1.%2.%3"/>
      <w:lvlJc w:val="left"/>
      <w:pPr>
        <w:tabs>
          <w:tab w:val="num" w:pos="0"/>
        </w:tabs>
        <w:ind w:left="1712" w:hanging="720"/>
      </w:pPr>
      <w:rPr>
        <w:b/>
        <w:color w:val="000000"/>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1">
    <w:lvl w:ilvl="0">
      <w:start w:val="7"/>
      <w:numFmt w:val="decimal"/>
      <w:lvlText w:val="%1"/>
      <w:lvlJc w:val="left"/>
      <w:pPr>
        <w:tabs>
          <w:tab w:val="num" w:pos="0"/>
        </w:tabs>
        <w:ind w:left="360" w:hanging="360"/>
      </w:pPr>
      <w:rPr>
        <w:color w:val="000000"/>
      </w:rPr>
    </w:lvl>
    <w:lvl w:ilvl="1">
      <w:start w:val="15"/>
      <w:numFmt w:val="decimal"/>
      <w:lvlText w:val="%1.%2"/>
      <w:lvlJc w:val="left"/>
      <w:pPr>
        <w:tabs>
          <w:tab w:val="num" w:pos="0"/>
        </w:tabs>
        <w:ind w:left="1070" w:hanging="360"/>
      </w:pPr>
      <w:rPr>
        <w:sz w:val="20"/>
        <w:i w:val="false"/>
        <w:b/>
        <w:szCs w:val="20"/>
        <w:color w:val="000000"/>
      </w:rPr>
    </w:lvl>
    <w:lvl w:ilvl="2">
      <w:start w:val="1"/>
      <w:numFmt w:val="decimal"/>
      <w:lvlText w:val="%1.%2.%3"/>
      <w:lvlJc w:val="left"/>
      <w:pPr>
        <w:tabs>
          <w:tab w:val="num" w:pos="0"/>
        </w:tabs>
        <w:ind w:left="1712" w:hanging="720"/>
      </w:pPr>
      <w:rPr>
        <w:b/>
        <w:color w:val="000000"/>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2">
    <w:lvl w:ilvl="0">
      <w:start w:val="1"/>
      <w:numFmt w:val="decimal"/>
      <w:lvlText w:val=""/>
      <w:lvlJc w:val="left"/>
      <w:pPr>
        <w:tabs>
          <w:tab w:val="num" w:pos="0"/>
        </w:tabs>
        <w:ind w:left="0" w:hanging="0"/>
      </w:pPr>
      <w:rPr/>
    </w:lvl>
    <w:lvl w:ilvl="1">
      <w:start w:val="1"/>
      <w:numFmt w:val="decimal"/>
      <w:lvlText w:val=""/>
      <w:lvlJc w:val="left"/>
      <w:pPr>
        <w:tabs>
          <w:tab w:val="num" w:pos="0"/>
        </w:tabs>
        <w:ind w:left="0" w:hanging="0"/>
      </w:pPr>
      <w:rPr/>
    </w:lvl>
    <w:lvl w:ilvl="2">
      <w:start w:val="1"/>
      <w:numFmt w:val="decimal"/>
      <w:lvlText w:val=""/>
      <w:lvlJc w:val="left"/>
      <w:pPr>
        <w:tabs>
          <w:tab w:val="num" w:pos="0"/>
        </w:tabs>
        <w:ind w:left="0" w:hanging="0"/>
      </w:pPr>
      <w:rPr/>
    </w:lvl>
    <w:lvl w:ilvl="3">
      <w:start w:val="1"/>
      <w:numFmt w:val="decimal"/>
      <w:lvlText w:val=""/>
      <w:lvlJc w:val="left"/>
      <w:pPr>
        <w:tabs>
          <w:tab w:val="num" w:pos="0"/>
        </w:tabs>
        <w:ind w:left="0" w:hanging="0"/>
      </w:pPr>
      <w:rPr/>
    </w:lvl>
    <w:lvl w:ilvl="4">
      <w:start w:val="1"/>
      <w:numFmt w:val="decimal"/>
      <w:lvlText w:val=""/>
      <w:lvlJc w:val="left"/>
      <w:pPr>
        <w:tabs>
          <w:tab w:val="num" w:pos="0"/>
        </w:tabs>
        <w:ind w:left="0" w:hanging="0"/>
      </w:pPr>
      <w:rPr/>
    </w:lvl>
    <w:lvl w:ilvl="5">
      <w:start w:val="1"/>
      <w:numFmt w:val="decimal"/>
      <w:lvlText w:val=""/>
      <w:lvlJc w:val="left"/>
      <w:pPr>
        <w:tabs>
          <w:tab w:val="num" w:pos="0"/>
        </w:tabs>
        <w:ind w:left="0" w:hanging="0"/>
      </w:pPr>
      <w:rPr/>
    </w:lvl>
    <w:lvl w:ilvl="6">
      <w:start w:val="1"/>
      <w:numFmt w:val="decimal"/>
      <w:lvlText w:val=""/>
      <w:lvlJc w:val="left"/>
      <w:pPr>
        <w:tabs>
          <w:tab w:val="num" w:pos="0"/>
        </w:tabs>
        <w:ind w:left="0" w:hanging="0"/>
      </w:pPr>
      <w:rPr/>
    </w:lvl>
    <w:lvl w:ilvl="7">
      <w:start w:val="1"/>
      <w:numFmt w:val="decimal"/>
      <w:lvlText w:val=""/>
      <w:lvlJc w:val="left"/>
      <w:pPr>
        <w:tabs>
          <w:tab w:val="num" w:pos="0"/>
        </w:tabs>
        <w:ind w:left="0" w:hanging="0"/>
      </w:pPr>
      <w:rPr/>
    </w:lvl>
    <w:lvl w:ilvl="8">
      <w:start w:val="1"/>
      <w:numFmt w:val="decimal"/>
      <w:lvlText w:val=""/>
      <w:lvlJc w:val="left"/>
      <w:pPr>
        <w:tabs>
          <w:tab w:val="num" w:pos="0"/>
        </w:tabs>
        <w:ind w:left="0" w:hanging="0"/>
      </w:pPr>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Tahoma" w:cs="Tahoma"/>
        <w:sz w:val="24"/>
        <w:szCs w:val="24"/>
        <w:lang w:val="pt-BR" w:eastAsia="zh-CN" w:bidi="hi-IN"/>
      </w:rPr>
    </w:rPrDefault>
    <w:pPrDefault>
      <w:pPr>
        <w:suppressAutoHyphens w:val="true"/>
      </w:pPr>
    </w:pPrDefault>
  </w:docDefaults>
  <w:style w:type="paragraph" w:styleId="Normal">
    <w:name w:val="Normal"/>
    <w:qFormat/>
    <w:pPr>
      <w:widowControl/>
      <w:bidi w:val="0"/>
      <w:spacing w:lineRule="auto" w:line="276" w:before="0" w:after="200"/>
      <w:jc w:val="left"/>
    </w:pPr>
    <w:rPr>
      <w:rFonts w:ascii="Tahoma" w:hAnsi="Tahoma" w:eastAsia="Tahoma" w:cs="Tahoma"/>
      <w:color w:val="auto"/>
      <w:kern w:val="0"/>
      <w:sz w:val="24"/>
      <w:szCs w:val="24"/>
      <w:lang w:val="pt-BR" w:eastAsia="zh-CN" w:bidi="hi-IN"/>
    </w:rPr>
  </w:style>
  <w:style w:type="paragraph" w:styleId="Ttulo1">
    <w:name w:val="Heading 1"/>
    <w:basedOn w:val="Normal1"/>
    <w:next w:val="Normal1"/>
    <w:qFormat/>
    <w:pPr>
      <w:keepNext w:val="true"/>
      <w:keepLines/>
      <w:spacing w:lineRule="auto" w:line="240" w:before="480" w:after="0"/>
      <w:ind w:left="0" w:hanging="0"/>
    </w:pPr>
    <w:rPr>
      <w:rFonts w:ascii="Calibri" w:hAnsi="Calibri" w:eastAsia="Calibri" w:cs="Calibri"/>
      <w:b/>
      <w:color w:val="365F91"/>
      <w:sz w:val="28"/>
      <w:szCs w:val="28"/>
    </w:rPr>
  </w:style>
  <w:style w:type="paragraph" w:styleId="Ttulo2">
    <w:name w:val="Heading 2"/>
    <w:basedOn w:val="Normal1"/>
    <w:next w:val="Normal1"/>
    <w:qFormat/>
    <w:pPr>
      <w:keepNext w:val="true"/>
      <w:tabs>
        <w:tab w:val="clear" w:pos="720"/>
        <w:tab w:val="left" w:pos="1701" w:leader="none"/>
      </w:tabs>
      <w:spacing w:lineRule="auto" w:line="240" w:before="0" w:after="0"/>
      <w:ind w:left="0" w:right="0" w:hanging="0"/>
      <w:jc w:val="center"/>
    </w:pPr>
    <w:rPr>
      <w:rFonts w:ascii="Times New Roman" w:hAnsi="Times New Roman" w:eastAsia="Times New Roman" w:cs="Times New Roman"/>
      <w:b/>
    </w:rPr>
  </w:style>
  <w:style w:type="paragraph" w:styleId="Ttulo3">
    <w:name w:val="Heading 3"/>
    <w:basedOn w:val="Normal1"/>
    <w:next w:val="Normal1"/>
    <w:qFormat/>
    <w:pPr>
      <w:keepNext w:val="true"/>
      <w:keepLines/>
      <w:pageBreakBefore w:val="false"/>
      <w:spacing w:lineRule="auto" w:line="240" w:before="280" w:after="80"/>
    </w:pPr>
    <w:rPr>
      <w:b/>
      <w:sz w:val="28"/>
      <w:szCs w:val="28"/>
    </w:rPr>
  </w:style>
  <w:style w:type="paragraph" w:styleId="Ttulo4">
    <w:name w:val="Heading 4"/>
    <w:basedOn w:val="Normal1"/>
    <w:next w:val="Normal1"/>
    <w:qFormat/>
    <w:pPr>
      <w:keepNext w:val="true"/>
      <w:keepLines/>
      <w:spacing w:lineRule="auto" w:line="240" w:before="40" w:after="0"/>
      <w:ind w:left="0" w:hanging="0"/>
    </w:pPr>
    <w:rPr>
      <w:rFonts w:ascii="Calibri" w:hAnsi="Calibri" w:eastAsia="Calibri" w:cs="Calibri"/>
      <w:i/>
      <w:color w:val="365F91"/>
    </w:rPr>
  </w:style>
  <w:style w:type="paragraph" w:styleId="Ttulo5">
    <w:name w:val="Heading 5"/>
    <w:basedOn w:val="Normal1"/>
    <w:next w:val="Normal1"/>
    <w:qFormat/>
    <w:pPr>
      <w:keepNext w:val="true"/>
      <w:keepLines/>
      <w:pageBreakBefore w:val="false"/>
      <w:spacing w:lineRule="auto" w:line="240" w:before="220" w:after="40"/>
    </w:pPr>
    <w:rPr>
      <w:b/>
      <w:sz w:val="22"/>
      <w:szCs w:val="22"/>
    </w:rPr>
  </w:style>
  <w:style w:type="paragraph" w:styleId="Ttulo6">
    <w:name w:val="Heading 6"/>
    <w:basedOn w:val="Normal1"/>
    <w:next w:val="Normal1"/>
    <w:qFormat/>
    <w:pPr>
      <w:keepNext w:val="true"/>
      <w:keepLines/>
      <w:pageBreakBefore w:val="false"/>
      <w:spacing w:lineRule="auto" w:line="240" w:before="200" w:after="40"/>
    </w:pPr>
    <w:rPr>
      <w:b/>
      <w:sz w:val="20"/>
      <w:szCs w:val="20"/>
    </w:rPr>
  </w:style>
  <w:style w:type="character" w:styleId="LinkdaInternet">
    <w:name w:val="Hyperlink"/>
    <w:rPr>
      <w:color w:val="000080"/>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default="1">
    <w:name w:val="LO-normal"/>
    <w:qFormat/>
    <w:pPr>
      <w:widowControl/>
      <w:bidi w:val="0"/>
      <w:spacing w:lineRule="auto" w:line="276" w:before="0" w:after="200"/>
      <w:jc w:val="left"/>
    </w:pPr>
    <w:rPr>
      <w:rFonts w:ascii="Tahoma" w:hAnsi="Tahoma" w:eastAsia="Tahoma" w:cs="Tahoma"/>
      <w:color w:val="auto"/>
      <w:kern w:val="0"/>
      <w:sz w:val="24"/>
      <w:szCs w:val="24"/>
      <w:lang w:val="pt-BR" w:eastAsia="zh-CN" w:bidi="hi-IN"/>
    </w:rPr>
  </w:style>
  <w:style w:type="paragraph" w:styleId="Ttulododocumento">
    <w:name w:val="Title"/>
    <w:basedOn w:val="Normal1"/>
    <w:next w:val="Normal1"/>
    <w:qFormat/>
    <w:pPr>
      <w:keepNext w:val="true"/>
      <w:keepLines/>
      <w:pageBreakBefore w:val="false"/>
      <w:spacing w:lineRule="auto" w:line="240" w:before="480" w:after="120"/>
    </w:pPr>
    <w:rPr>
      <w:b/>
      <w:sz w:val="72"/>
      <w:szCs w:val="72"/>
    </w:rPr>
  </w:style>
  <w:style w:type="paragraph" w:styleId="Subttulo">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ll.org.br/" TargetMode="External"/><Relationship Id="rId3" Type="http://schemas.openxmlformats.org/officeDocument/2006/relationships/hyperlink" Target="mailto:contato@bll.org.br" TargetMode="External"/><Relationship Id="rId4" Type="http://schemas.openxmlformats.org/officeDocument/2006/relationships/hyperlink" Target="https://certidoes-apf.apps.tcu.gov.br/"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0</TotalTime>
  <Application>LibreOffice/7.5.2.2$Windows_X86_64 LibreOffice_project/53bb9681a964705cf672590721dbc85eb4d0c3a2</Application>
  <AppVersion>15.0000</AppVersion>
  <Pages>45</Pages>
  <Words>15784</Words>
  <Characters>90091</Characters>
  <CharactersWithSpaces>105231</CharactersWithSpaces>
  <Paragraphs>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cp:revision>0</cp:revision>
  <dc:subject/>
  <dc:title/>
</cp:coreProperties>
</file>