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Default Extension="fntdata" ContentType="application/x-fontdata"/>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media/image1.png" ContentType="image/png"/>
  <Override PartName="/word/media/image2.png" ContentType="image/png"/>
  <Override PartName="/word/media/image3.png" ContentType="image/png"/>
  <Override PartName="/word/media/image4.png" ContentType="image/png"/>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2.xml.rels" ContentType="application/vnd.openxmlformats-package.relationships+xml"/>
  <Override PartName="/word/_rels/header4.xml.rels" ContentType="application/vnd.openxmlformats-package.relationships+xml"/>
  <Override PartName="/word/_rels/header6.xml.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rPr>
          <w:position w:val="0"/>
          <w:sz w:val="40"/>
          <w:sz w:val="40"/>
          <w:szCs w:val="40"/>
          <w:vertAlign w:val="baseline"/>
        </w:rPr>
      </w:pPr>
      <w:r>
        <w:rPr>
          <w:position w:val="0"/>
          <w:sz w:val="40"/>
          <w:sz w:val="40"/>
          <w:szCs w:val="40"/>
          <w:vertAlign w:val="baseline"/>
        </w:rPr>
      </w:r>
    </w:p>
    <w:p>
      <w:pPr>
        <w:pStyle w:val="normal1"/>
        <w:rPr>
          <w:color w:val="405CA1"/>
          <w:position w:val="0"/>
          <w:sz w:val="56"/>
          <w:sz w:val="56"/>
          <w:szCs w:val="56"/>
          <w:vertAlign w:val="baseline"/>
        </w:rPr>
      </w:pPr>
      <w:r>
        <w:rPr>
          <w:color w:val="405CA1"/>
          <w:position w:val="0"/>
          <w:sz w:val="56"/>
          <w:sz w:val="56"/>
          <w:szCs w:val="56"/>
          <w:vertAlign w:val="baseline"/>
        </w:rPr>
        <w:t>CHAMAMENTO DE</w:t>
      </w:r>
    </w:p>
    <w:p>
      <w:pPr>
        <w:pStyle w:val="normal1"/>
        <w:rPr>
          <w:b w:val="false"/>
          <w:color w:val="405CA1"/>
          <w:position w:val="0"/>
          <w:sz w:val="56"/>
          <w:sz w:val="56"/>
          <w:szCs w:val="56"/>
          <w:vertAlign w:val="baseline"/>
        </w:rPr>
      </w:pPr>
      <w:r>
        <w:rPr>
          <w:color w:val="405CA1"/>
          <w:position w:val="0"/>
          <w:sz w:val="56"/>
          <w:sz w:val="56"/>
          <w:szCs w:val="56"/>
          <w:vertAlign w:val="baseline"/>
        </w:rPr>
        <w:t>INTERESSADOS</w:t>
      </w:r>
    </w:p>
    <w:p>
      <w:pPr>
        <w:pStyle w:val="normal1"/>
        <w:rPr>
          <w:b w:val="false"/>
          <w:color w:val="5B5B5F"/>
          <w:position w:val="0"/>
          <w:sz w:val="28"/>
          <w:sz w:val="28"/>
          <w:szCs w:val="28"/>
          <w:vertAlign w:val="baseline"/>
        </w:rPr>
      </w:pPr>
      <w:bookmarkStart w:id="0" w:name="_heading=h.vymjhzrijfp7"/>
      <w:bookmarkEnd w:id="0"/>
      <w:r>
        <w:rPr>
          <w:b/>
          <w:color w:val="5B5B5F"/>
          <w:sz w:val="28"/>
          <w:szCs w:val="28"/>
        </w:rPr>
        <w:t>272</w:t>
      </w:r>
      <w:r>
        <w:rPr>
          <w:b/>
          <w:color w:val="5B5B5F"/>
          <w:position w:val="0"/>
          <w:sz w:val="28"/>
          <w:sz w:val="28"/>
          <w:szCs w:val="28"/>
          <w:vertAlign w:val="baseline"/>
        </w:rPr>
        <w:t>/202</w:t>
      </w:r>
      <w:r>
        <w:rPr>
          <w:b/>
          <w:color w:val="5B5B5F"/>
          <w:sz w:val="28"/>
          <w:szCs w:val="28"/>
        </w:rPr>
        <w:t>5</w:t>
      </w:r>
    </w:p>
    <w:p>
      <w:pPr>
        <w:pStyle w:val="normal1"/>
        <w:jc w:val="both"/>
        <w:rPr>
          <w:position w:val="0"/>
          <w:sz w:val="40"/>
          <w:sz w:val="40"/>
          <w:szCs w:val="40"/>
          <w:vertAlign w:val="baseline"/>
        </w:rPr>
      </w:pPr>
      <w:r>
        <w:rPr>
          <w:position w:val="0"/>
          <w:sz w:val="40"/>
          <w:sz w:val="40"/>
          <w:szCs w:val="40"/>
          <w:vertAlign w:val="baseline"/>
        </w:rPr>
      </w:r>
    </w:p>
    <w:p>
      <w:pPr>
        <w:pStyle w:val="normal1"/>
        <w:jc w:val="both"/>
        <w:rPr>
          <w:b w:val="false"/>
          <w:position w:val="0"/>
          <w:sz w:val="40"/>
          <w:sz w:val="40"/>
          <w:szCs w:val="40"/>
          <w:vertAlign w:val="baseline"/>
        </w:rPr>
      </w:pPr>
      <w:r>
        <w:rPr>
          <w:b w:val="false"/>
          <w:position w:val="0"/>
          <w:sz w:val="40"/>
          <w:sz w:val="40"/>
          <w:szCs w:val="40"/>
          <w:vertAlign w:val="baseline"/>
        </w:rPr>
      </w:r>
    </w:p>
    <w:p>
      <w:pPr>
        <w:pStyle w:val="normal1"/>
        <w:rPr>
          <w:b w:val="false"/>
          <w:color w:val="5B5B5F"/>
          <w:position w:val="0"/>
          <w:sz w:val="26"/>
          <w:sz w:val="26"/>
          <w:szCs w:val="26"/>
          <w:vertAlign w:val="baseline"/>
        </w:rPr>
      </w:pPr>
      <w:r>
        <w:rPr>
          <w:b/>
          <w:color w:val="405CA1"/>
          <w:position w:val="0"/>
          <w:sz w:val="32"/>
          <w:sz w:val="32"/>
          <w:szCs w:val="32"/>
          <w:vertAlign w:val="baseline"/>
        </w:rPr>
        <w:t>OBJETO</w:t>
      </w:r>
    </w:p>
    <w:p>
      <w:pPr>
        <w:pStyle w:val="normal1"/>
        <w:jc w:val="both"/>
        <w:rPr>
          <w:b/>
          <w:color w:val="5B5B5F"/>
          <w:sz w:val="28"/>
          <w:szCs w:val="28"/>
        </w:rPr>
      </w:pPr>
      <w:r>
        <w:rPr>
          <w:b/>
          <w:color w:val="5B5B5F"/>
          <w:position w:val="0"/>
          <w:sz w:val="28"/>
          <w:sz w:val="28"/>
          <w:szCs w:val="28"/>
          <w:vertAlign w:val="baseline"/>
        </w:rPr>
        <w:t>Credenciamento</w:t>
      </w:r>
      <w:r>
        <w:rPr>
          <w:b/>
          <w:color w:val="5B5B5F"/>
          <w:sz w:val="28"/>
          <w:szCs w:val="28"/>
        </w:rPr>
        <w:t xml:space="preserve"> para contratação de instituições especializadas na prestação de serviços de hospedagem, com fornecimento de alimentação a indivíduos e famílias que não se enquadrem nas possibilidades de acolhimento nos equipamentos atualmente existentes na rede de assistência social do município</w:t>
      </w:r>
    </w:p>
    <w:p>
      <w:pPr>
        <w:pStyle w:val="normal1"/>
        <w:rPr>
          <w:b w:val="false"/>
          <w:color w:val="405CA1"/>
          <w:position w:val="0"/>
          <w:sz w:val="40"/>
          <w:sz w:val="40"/>
          <w:szCs w:val="40"/>
          <w:vertAlign w:val="baseline"/>
        </w:rPr>
      </w:pPr>
      <w:r>
        <w:rPr>
          <w:b w:val="false"/>
          <w:color w:val="405CA1"/>
          <w:position w:val="0"/>
          <w:sz w:val="40"/>
          <w:sz w:val="40"/>
          <w:szCs w:val="40"/>
          <w:vertAlign w:val="baseline"/>
        </w:rPr>
      </w:r>
    </w:p>
    <w:p>
      <w:pPr>
        <w:pStyle w:val="normal1"/>
        <w:rPr>
          <w:b w:val="false"/>
          <w:color w:val="405CA1"/>
          <w:position w:val="0"/>
          <w:sz w:val="40"/>
          <w:sz w:val="40"/>
          <w:szCs w:val="40"/>
          <w:vertAlign w:val="baseline"/>
        </w:rPr>
      </w:pPr>
      <w:r>
        <w:rPr>
          <w:b w:val="false"/>
          <w:color w:val="405CA1"/>
          <w:position w:val="0"/>
          <w:sz w:val="40"/>
          <w:sz w:val="40"/>
          <w:szCs w:val="40"/>
          <w:vertAlign w:val="baseline"/>
        </w:rPr>
      </w:r>
    </w:p>
    <w:p>
      <w:pPr>
        <w:pStyle w:val="normal1"/>
        <w:rPr>
          <w:b w:val="false"/>
          <w:color w:val="405CA1"/>
          <w:position w:val="0"/>
          <w:sz w:val="26"/>
          <w:sz w:val="26"/>
          <w:szCs w:val="26"/>
          <w:vertAlign w:val="baseline"/>
        </w:rPr>
      </w:pPr>
      <w:r>
        <w:rPr>
          <w:b/>
          <w:color w:val="405CA1"/>
          <w:position w:val="0"/>
          <w:sz w:val="32"/>
          <w:sz w:val="32"/>
          <w:szCs w:val="32"/>
          <w:vertAlign w:val="baseline"/>
        </w:rPr>
        <w:t>VALOR</w:t>
      </w:r>
      <w:r>
        <w:rPr>
          <w:b/>
          <w:color w:val="405CA1"/>
          <w:position w:val="0"/>
          <w:sz w:val="26"/>
          <w:sz w:val="26"/>
          <w:szCs w:val="26"/>
          <w:vertAlign w:val="baseline"/>
        </w:rPr>
        <w:t xml:space="preserve"> </w:t>
      </w:r>
      <w:r>
        <w:rPr>
          <w:b/>
          <w:color w:val="405CA1"/>
          <w:position w:val="0"/>
          <w:sz w:val="32"/>
          <w:sz w:val="32"/>
          <w:szCs w:val="32"/>
          <w:vertAlign w:val="baseline"/>
        </w:rPr>
        <w:t>TOTAL DA CONTRATAÇÃO</w:t>
      </w:r>
    </w:p>
    <w:p>
      <w:pPr>
        <w:pStyle w:val="normal1"/>
        <w:jc w:val="both"/>
        <w:rPr>
          <w:b/>
          <w:color w:val="5B5B5F"/>
          <w:sz w:val="28"/>
          <w:szCs w:val="28"/>
        </w:rPr>
      </w:pPr>
      <w:r>
        <w:rPr>
          <w:b/>
          <w:color w:val="5B5B5F"/>
          <w:position w:val="0"/>
          <w:sz w:val="28"/>
          <w:sz w:val="28"/>
          <w:szCs w:val="28"/>
          <w:vertAlign w:val="baseline"/>
        </w:rPr>
        <w:t>R$</w:t>
      </w:r>
      <w:r>
        <w:rPr>
          <w:b/>
          <w:color w:val="5B5B5F"/>
          <w:sz w:val="28"/>
          <w:szCs w:val="28"/>
        </w:rPr>
        <w:t xml:space="preserve"> 2.108.304,00 (dois milhões cento e oito mil trezentos e quatro reais)</w:t>
      </w:r>
    </w:p>
    <w:p>
      <w:pPr>
        <w:pStyle w:val="normal1"/>
        <w:jc w:val="both"/>
        <w:rPr>
          <w:b/>
          <w:color w:val="5B5B5F"/>
          <w:sz w:val="28"/>
          <w:szCs w:val="28"/>
          <w:highlight w:val="yellow"/>
        </w:rPr>
      </w:pPr>
      <w:r>
        <w:rPr>
          <w:b/>
          <w:color w:val="5B5B5F"/>
          <w:sz w:val="28"/>
          <w:szCs w:val="28"/>
          <w:highlight w:val="yellow"/>
        </w:rPr>
      </w:r>
    </w:p>
    <w:p>
      <w:pPr>
        <w:pStyle w:val="normal1"/>
        <w:jc w:val="both"/>
        <w:rPr>
          <w:b w:val="false"/>
          <w:position w:val="0"/>
          <w:sz w:val="40"/>
          <w:sz w:val="40"/>
          <w:szCs w:val="40"/>
          <w:vertAlign w:val="baseline"/>
        </w:rPr>
      </w:pPr>
      <w:r>
        <w:rPr>
          <w:b w:val="false"/>
          <w:position w:val="0"/>
          <w:sz w:val="40"/>
          <w:sz w:val="40"/>
          <w:szCs w:val="40"/>
          <w:vertAlign w:val="baseline"/>
        </w:rPr>
      </w:r>
    </w:p>
    <w:p>
      <w:pPr>
        <w:pStyle w:val="normal1"/>
        <w:jc w:val="both"/>
        <w:rPr>
          <w:b w:val="false"/>
          <w:position w:val="0"/>
          <w:sz w:val="40"/>
          <w:sz w:val="40"/>
          <w:szCs w:val="40"/>
          <w:vertAlign w:val="baseline"/>
        </w:rPr>
      </w:pPr>
      <w:r>
        <w:rPr>
          <w:b w:val="false"/>
          <w:position w:val="0"/>
          <w:sz w:val="40"/>
          <w:sz w:val="40"/>
          <w:szCs w:val="40"/>
          <w:vertAlign w:val="baseline"/>
        </w:rPr>
      </w:r>
    </w:p>
    <w:p>
      <w:pPr>
        <w:pStyle w:val="normal1"/>
        <w:rPr>
          <w:b w:val="false"/>
          <w:color w:val="405CA1"/>
          <w:position w:val="0"/>
          <w:sz w:val="26"/>
          <w:sz w:val="26"/>
          <w:szCs w:val="26"/>
          <w:vertAlign w:val="baseline"/>
        </w:rPr>
      </w:pPr>
      <w:r>
        <w:rPr/>
      </w:r>
    </w:p>
    <w:p>
      <w:pPr>
        <w:pStyle w:val="normal1"/>
        <w:tabs>
          <w:tab w:val="clear" w:pos="720"/>
          <w:tab w:val="left" w:pos="3420" w:leader="none"/>
        </w:tabs>
        <w:rPr>
          <w:b w:val="false"/>
          <w:color w:val="5B5B5F"/>
          <w:position w:val="0"/>
          <w:sz w:val="40"/>
          <w:sz w:val="40"/>
          <w:szCs w:val="40"/>
          <w:vertAlign w:val="baseline"/>
        </w:rPr>
      </w:pPr>
      <w:r>
        <w:rPr>
          <w:b w:val="false"/>
          <w:color w:val="5B5B5F"/>
          <w:position w:val="0"/>
          <w:sz w:val="40"/>
          <w:sz w:val="40"/>
          <w:szCs w:val="40"/>
          <w:vertAlign w:val="baseline"/>
        </w:rPr>
      </w:r>
    </w:p>
    <w:p>
      <w:pPr>
        <w:pStyle w:val="normal1"/>
        <w:tabs>
          <w:tab w:val="clear" w:pos="720"/>
          <w:tab w:val="left" w:pos="3420" w:leader="none"/>
        </w:tabs>
        <w:rPr>
          <w:b w:val="false"/>
          <w:color w:val="5B5B5F"/>
          <w:position w:val="0"/>
          <w:sz w:val="40"/>
          <w:sz w:val="40"/>
          <w:szCs w:val="40"/>
          <w:vertAlign w:val="baseline"/>
        </w:rPr>
      </w:pPr>
      <w:r>
        <w:rPr>
          <w:b w:val="false"/>
          <w:color w:val="5B5B5F"/>
          <w:position w:val="0"/>
          <w:sz w:val="40"/>
          <w:sz w:val="40"/>
          <w:szCs w:val="40"/>
          <w:vertAlign w:val="baseline"/>
        </w:rPr>
      </w:r>
    </w:p>
    <w:p>
      <w:pPr>
        <w:pStyle w:val="normal1"/>
        <w:jc w:val="both"/>
        <w:rPr>
          <w:caps w:val="false"/>
          <w:smallCaps w:val="false"/>
          <w:color w:val="0000FF"/>
          <w:position w:val="0"/>
          <w:sz w:val="32"/>
          <w:sz w:val="32"/>
          <w:szCs w:val="32"/>
          <w:vertAlign w:val="baseline"/>
        </w:rPr>
      </w:pPr>
      <w:r>
        <w:rPr>
          <w:b/>
          <w:smallCaps/>
          <w:color w:val="405CA1"/>
          <w:position w:val="0"/>
          <w:sz w:val="32"/>
          <w:sz w:val="32"/>
          <w:szCs w:val="32"/>
          <w:vertAlign w:val="baseline"/>
        </w:rPr>
        <w:t>CRITÉRIO DE JULGAMENTO</w:t>
      </w:r>
    </w:p>
    <w:p>
      <w:pPr>
        <w:pStyle w:val="normal1"/>
        <w:jc w:val="both"/>
        <w:rPr>
          <w:b w:val="false"/>
          <w:color w:val="595959"/>
          <w:position w:val="0"/>
          <w:sz w:val="28"/>
          <w:sz w:val="28"/>
          <w:szCs w:val="28"/>
          <w:vertAlign w:val="baseline"/>
        </w:rPr>
      </w:pPr>
      <w:r>
        <w:rPr>
          <w:b/>
          <w:color w:val="595959"/>
          <w:position w:val="0"/>
          <w:sz w:val="28"/>
          <w:sz w:val="28"/>
          <w:szCs w:val="28"/>
          <w:vertAlign w:val="baseline"/>
        </w:rPr>
        <w:t>Poderão participar da seleção os interessados que atendam às exigências deste CHAMAMENTO DE INTERESSADOS</w:t>
      </w:r>
    </w:p>
    <w:p>
      <w:pPr>
        <w:pStyle w:val="normal1"/>
        <w:jc w:val="both"/>
        <w:rPr>
          <w:position w:val="0"/>
          <w:sz w:val="40"/>
          <w:sz w:val="40"/>
          <w:szCs w:val="40"/>
          <w:vertAlign w:val="baseline"/>
        </w:rPr>
      </w:pPr>
      <w:r>
        <w:rPr>
          <w:position w:val="0"/>
          <w:sz w:val="40"/>
          <w:sz w:val="40"/>
          <w:szCs w:val="40"/>
          <w:vertAlign w:val="baseline"/>
        </w:rPr>
      </w:r>
    </w:p>
    <w:p>
      <w:pPr>
        <w:pStyle w:val="normal1"/>
        <w:jc w:val="both"/>
        <w:rPr>
          <w:position w:val="0"/>
          <w:sz w:val="40"/>
          <w:sz w:val="40"/>
          <w:szCs w:val="40"/>
          <w:vertAlign w:val="baseline"/>
        </w:rPr>
      </w:pPr>
      <w:r>
        <w:rPr>
          <w:position w:val="0"/>
          <w:sz w:val="40"/>
          <w:sz w:val="40"/>
          <w:szCs w:val="40"/>
          <w:vertAlign w:val="baseline"/>
        </w:rPr>
      </w:r>
    </w:p>
    <w:p>
      <w:pPr>
        <w:pStyle w:val="normal1"/>
        <w:jc w:val="both"/>
        <w:rPr>
          <w:position w:val="0"/>
          <w:sz w:val="40"/>
          <w:sz w:val="40"/>
          <w:szCs w:val="40"/>
          <w:vertAlign w:val="baseline"/>
        </w:rPr>
      </w:pPr>
      <w:r>
        <w:rPr>
          <w:position w:val="0"/>
          <w:sz w:val="40"/>
          <w:sz w:val="40"/>
          <w:szCs w:val="40"/>
          <w:vertAlign w:val="baseline"/>
        </w:rPr>
      </w:r>
    </w:p>
    <w:p>
      <w:pPr>
        <w:pStyle w:val="normal1"/>
        <w:jc w:val="both"/>
        <w:rPr>
          <w:position w:val="0"/>
          <w:sz w:val="40"/>
          <w:sz w:val="40"/>
          <w:szCs w:val="40"/>
          <w:vertAlign w:val="baseline"/>
        </w:rPr>
      </w:pPr>
      <w:r>
        <w:rPr>
          <w:position w:val="0"/>
          <w:sz w:val="40"/>
          <w:sz w:val="40"/>
          <w:szCs w:val="40"/>
          <w:vertAlign w:val="baseline"/>
        </w:rPr>
      </w:r>
    </w:p>
    <w:p>
      <w:pPr>
        <w:pStyle w:val="normal1"/>
        <w:jc w:val="both"/>
        <w:rPr>
          <w:b w:val="false"/>
          <w:color w:val="405CA1"/>
          <w:position w:val="0"/>
          <w:sz w:val="40"/>
          <w:sz w:val="40"/>
          <w:szCs w:val="40"/>
          <w:vertAlign w:val="baseline"/>
        </w:rPr>
      </w:pPr>
      <w:r>
        <w:rPr>
          <w:b w:val="false"/>
          <w:color w:val="405CA1"/>
          <w:position w:val="0"/>
          <w:sz w:val="40"/>
          <w:sz w:val="40"/>
          <w:szCs w:val="40"/>
          <w:vertAlign w:val="baseline"/>
        </w:rPr>
      </w:r>
    </w:p>
    <w:p>
      <w:pPr>
        <w:pStyle w:val="normal1"/>
        <w:jc w:val="both"/>
        <w:rPr>
          <w:b w:val="false"/>
          <w:color w:val="405CA1"/>
          <w:position w:val="0"/>
          <w:sz w:val="40"/>
          <w:sz w:val="40"/>
          <w:szCs w:val="40"/>
          <w:vertAlign w:val="baseline"/>
        </w:rPr>
      </w:pPr>
      <w:r>
        <w:rPr>
          <w:b w:val="false"/>
          <w:color w:val="405CA1"/>
          <w:position w:val="0"/>
          <w:sz w:val="40"/>
          <w:sz w:val="40"/>
          <w:szCs w:val="40"/>
          <w:vertAlign w:val="baseline"/>
        </w:rPr>
      </w:r>
    </w:p>
    <w:p>
      <w:pPr>
        <w:pStyle w:val="normal1"/>
        <w:jc w:val="center"/>
        <w:rPr>
          <w:color w:val="595959"/>
          <w:sz w:val="28"/>
          <w:szCs w:val="28"/>
        </w:rPr>
      </w:pPr>
      <w:r>
        <w:rPr>
          <w:b/>
          <w:color w:val="595959"/>
          <w:position w:val="0"/>
          <w:sz w:val="28"/>
          <w:sz w:val="28"/>
          <w:szCs w:val="28"/>
          <w:vertAlign w:val="baseline"/>
        </w:rPr>
        <w:t xml:space="preserve">EDITAL DE CHAMAMENTO DE INTERESSADOS N° </w:t>
      </w:r>
      <w:r>
        <w:rPr>
          <w:b/>
          <w:color w:val="595959"/>
          <w:sz w:val="28"/>
          <w:szCs w:val="28"/>
        </w:rPr>
        <w:t>272</w:t>
      </w:r>
      <w:r>
        <w:rPr>
          <w:b/>
          <w:color w:val="595959"/>
          <w:position w:val="0"/>
          <w:sz w:val="28"/>
          <w:sz w:val="28"/>
          <w:szCs w:val="28"/>
          <w:vertAlign w:val="baseline"/>
        </w:rPr>
        <w:t>/SMLCP/SULIC/202</w:t>
      </w:r>
      <w:r>
        <w:rPr>
          <w:b/>
          <w:color w:val="595959"/>
          <w:sz w:val="28"/>
          <w:szCs w:val="28"/>
        </w:rPr>
        <w:t>5</w:t>
      </w:r>
    </w:p>
    <w:p>
      <w:pPr>
        <w:pStyle w:val="normal1"/>
        <w:jc w:val="center"/>
        <w:rPr>
          <w:color w:val="595959"/>
          <w:sz w:val="28"/>
          <w:szCs w:val="28"/>
        </w:rPr>
      </w:pPr>
      <w:r>
        <w:rPr>
          <w:color w:val="595959"/>
          <w:sz w:val="28"/>
          <w:szCs w:val="28"/>
        </w:rPr>
      </w:r>
    </w:p>
    <w:p>
      <w:pPr>
        <w:pStyle w:val="normal1"/>
        <w:spacing w:lineRule="auto" w:line="360"/>
        <w:ind w:firstLine="567"/>
        <w:jc w:val="center"/>
        <w:rPr>
          <w:b w:val="false"/>
          <w:position w:val="0"/>
          <w:sz w:val="22"/>
          <w:sz w:val="22"/>
          <w:szCs w:val="22"/>
          <w:vertAlign w:val="baseline"/>
        </w:rPr>
      </w:pPr>
      <w:r>
        <w:rPr>
          <w:b/>
          <w:position w:val="0"/>
          <w:sz w:val="22"/>
          <w:sz w:val="22"/>
          <w:szCs w:val="22"/>
          <w:vertAlign w:val="baseline"/>
        </w:rPr>
        <w:t>PREFEITURA MUNICIPAL DE FLORIANÓPOLIS</w:t>
      </w:r>
    </w:p>
    <w:p>
      <w:pPr>
        <w:pStyle w:val="normal1"/>
        <w:spacing w:lineRule="auto" w:line="360"/>
        <w:ind w:firstLine="567"/>
        <w:jc w:val="center"/>
        <w:rPr>
          <w:b w:val="false"/>
          <w:position w:val="0"/>
          <w:sz w:val="22"/>
          <w:sz w:val="22"/>
          <w:szCs w:val="22"/>
          <w:vertAlign w:val="baseline"/>
        </w:rPr>
      </w:pPr>
      <w:r>
        <w:rPr>
          <w:b w:val="false"/>
          <w:position w:val="0"/>
          <w:sz w:val="22"/>
          <w:sz w:val="22"/>
          <w:szCs w:val="22"/>
          <w:vertAlign w:val="baseline"/>
        </w:rPr>
      </w:r>
    </w:p>
    <w:p>
      <w:pPr>
        <w:pStyle w:val="normal1"/>
        <w:spacing w:lineRule="auto" w:line="360"/>
        <w:ind w:firstLine="567"/>
        <w:jc w:val="center"/>
        <w:rPr>
          <w:b w:val="false"/>
          <w:position w:val="0"/>
          <w:sz w:val="22"/>
          <w:sz w:val="22"/>
          <w:szCs w:val="22"/>
          <w:vertAlign w:val="baseline"/>
        </w:rPr>
      </w:pPr>
      <w:r>
        <w:rPr>
          <w:b/>
          <w:position w:val="0"/>
          <w:sz w:val="22"/>
          <w:sz w:val="22"/>
          <w:szCs w:val="22"/>
          <w:vertAlign w:val="baseline"/>
        </w:rPr>
        <w:t xml:space="preserve">EDITAL DE CHAMAMENTO DE INTERESSADOS </w:t>
      </w:r>
    </w:p>
    <w:p>
      <w:pPr>
        <w:pStyle w:val="normal1"/>
        <w:spacing w:lineRule="auto" w:line="360"/>
        <w:ind w:firstLine="567"/>
        <w:jc w:val="center"/>
        <w:rPr>
          <w:b w:val="false"/>
          <w:position w:val="0"/>
          <w:sz w:val="22"/>
          <w:sz w:val="22"/>
          <w:szCs w:val="22"/>
          <w:vertAlign w:val="baseline"/>
        </w:rPr>
      </w:pPr>
      <w:r>
        <w:rPr>
          <w:b/>
          <w:position w:val="0"/>
          <w:sz w:val="22"/>
          <w:sz w:val="22"/>
          <w:szCs w:val="22"/>
          <w:vertAlign w:val="baseline"/>
        </w:rPr>
        <w:t xml:space="preserve">Nº </w:t>
      </w:r>
      <w:r>
        <w:rPr>
          <w:b/>
          <w:sz w:val="22"/>
          <w:szCs w:val="22"/>
        </w:rPr>
        <w:t>272</w:t>
      </w:r>
      <w:r>
        <w:rPr>
          <w:b/>
          <w:position w:val="0"/>
          <w:sz w:val="22"/>
          <w:sz w:val="22"/>
          <w:szCs w:val="22"/>
          <w:vertAlign w:val="baseline"/>
        </w:rPr>
        <w:t>/SMLCP/SULIC/202</w:t>
      </w:r>
      <w:r>
        <w:rPr>
          <w:b/>
          <w:sz w:val="22"/>
          <w:szCs w:val="22"/>
        </w:rPr>
        <w:t>5</w:t>
      </w:r>
    </w:p>
    <w:p>
      <w:pPr>
        <w:pStyle w:val="normal1"/>
        <w:spacing w:lineRule="auto" w:line="360"/>
        <w:rPr>
          <w:b w:val="false"/>
          <w:position w:val="0"/>
          <w:sz w:val="22"/>
          <w:sz w:val="22"/>
          <w:szCs w:val="22"/>
          <w:vertAlign w:val="baseline"/>
        </w:rPr>
      </w:pPr>
      <w:r>
        <w:rPr>
          <w:b w:val="false"/>
          <w:position w:val="0"/>
          <w:sz w:val="22"/>
          <w:sz w:val="22"/>
          <w:szCs w:val="22"/>
          <w:vertAlign w:val="baseline"/>
        </w:rPr>
      </w:r>
    </w:p>
    <w:p>
      <w:pPr>
        <w:pStyle w:val="normal1"/>
        <w:spacing w:lineRule="auto" w:line="360" w:before="120" w:after="120"/>
        <w:jc w:val="both"/>
        <w:rPr>
          <w:position w:val="0"/>
          <w:sz w:val="22"/>
          <w:sz w:val="22"/>
          <w:szCs w:val="22"/>
          <w:vertAlign w:val="baseline"/>
        </w:rPr>
      </w:pPr>
      <w:r>
        <w:rPr>
          <w:position w:val="0"/>
          <w:sz w:val="22"/>
          <w:sz w:val="22"/>
          <w:szCs w:val="22"/>
          <w:vertAlign w:val="baseline"/>
        </w:rPr>
        <w:t xml:space="preserve">Torna-se público que a Secretaria Municipal de </w:t>
      </w:r>
      <w:r>
        <w:rPr>
          <w:sz w:val="22"/>
          <w:szCs w:val="22"/>
        </w:rPr>
        <w:t>Assistência Social</w:t>
      </w:r>
      <w:r>
        <w:rPr>
          <w:position w:val="0"/>
          <w:sz w:val="22"/>
          <w:sz w:val="22"/>
          <w:szCs w:val="22"/>
          <w:vertAlign w:val="baseline"/>
        </w:rPr>
        <w:t>, por meio da Secretaria Municipal de Licitações, Contratos e Parcerias, sediada na Rua Conselheiro Mafra, 656, sala 501, Centro, Florianópolis/SC, CEP 88010-914, realizará Chamamento de Interessados para Credenciamento, nos termos da Lei nº 14.133, de 2021, do Decreto Municipal n° 26.582, de 2024, das demais legislações aplicáveis e, ainda, de acordo com as condições estabelecidas neste Edital.</w:t>
      </w:r>
    </w:p>
    <w:p>
      <w:pPr>
        <w:pStyle w:val="normal1"/>
        <w:numPr>
          <w:ilvl w:val="0"/>
          <w:numId w:val="6"/>
        </w:numPr>
        <w:spacing w:lineRule="auto" w:line="360" w:before="240" w:after="120"/>
        <w:ind w:hanging="0" w:start="0"/>
        <w:jc w:val="both"/>
        <w:rPr>
          <w:b w:val="false"/>
          <w:position w:val="0"/>
          <w:sz w:val="22"/>
          <w:sz w:val="22"/>
          <w:szCs w:val="22"/>
          <w:vertAlign w:val="baseline"/>
        </w:rPr>
      </w:pPr>
      <w:r>
        <w:rPr>
          <w:b/>
          <w:position w:val="0"/>
          <w:sz w:val="22"/>
          <w:sz w:val="22"/>
          <w:szCs w:val="22"/>
          <w:vertAlign w:val="baseline"/>
        </w:rPr>
        <w:t>DO OBJETO</w:t>
      </w:r>
    </w:p>
    <w:p>
      <w:pPr>
        <w:pStyle w:val="normal1"/>
        <w:numPr>
          <w:ilvl w:val="1"/>
          <w:numId w:val="6"/>
        </w:numPr>
        <w:spacing w:lineRule="auto" w:line="360" w:before="240" w:after="120"/>
        <w:ind w:hanging="432" w:start="792"/>
        <w:jc w:val="both"/>
        <w:rPr>
          <w:sz w:val="22"/>
          <w:szCs w:val="22"/>
        </w:rPr>
      </w:pPr>
      <w:r>
        <w:rPr>
          <w:position w:val="0"/>
          <w:sz w:val="22"/>
          <w:sz w:val="22"/>
          <w:szCs w:val="22"/>
          <w:vertAlign w:val="baseline"/>
        </w:rPr>
        <w:t xml:space="preserve">O presente Chamamento de Interessados tem como objeto o credenciamento </w:t>
      </w:r>
      <w:r>
        <w:rPr>
          <w:sz w:val="22"/>
          <w:szCs w:val="22"/>
        </w:rPr>
        <w:t>para</w:t>
      </w:r>
      <w:r>
        <w:rPr>
          <w:position w:val="0"/>
          <w:sz w:val="22"/>
          <w:sz w:val="22"/>
          <w:szCs w:val="22"/>
          <w:vertAlign w:val="baseline"/>
        </w:rPr>
        <w:t xml:space="preserve"> cont</w:t>
      </w:r>
      <w:r>
        <w:rPr>
          <w:sz w:val="22"/>
          <w:szCs w:val="22"/>
        </w:rPr>
        <w:t>ratação de</w:t>
      </w:r>
      <w:r>
        <w:rPr>
          <w:position w:val="0"/>
          <w:sz w:val="22"/>
          <w:sz w:val="22"/>
          <w:szCs w:val="22"/>
          <w:vertAlign w:val="baseline"/>
        </w:rPr>
        <w:t xml:space="preserve"> </w:t>
      </w:r>
      <w:r>
        <w:rPr>
          <w:sz w:val="22"/>
          <w:szCs w:val="22"/>
        </w:rPr>
        <w:t>instituições especializadas na prestação de serviços de hospedagem, com fornecimento de alimentação a indivíduos e famílias que não se enquadrem nas possibilidades de acolhimento nos equipamentos atualmente existentes na rede de assistência social do município</w:t>
      </w:r>
      <w:r>
        <w:rPr>
          <w:position w:val="0"/>
          <w:sz w:val="22"/>
          <w:sz w:val="22"/>
          <w:szCs w:val="22"/>
          <w:vertAlign w:val="baseline"/>
        </w:rPr>
        <w:t>, e de acordo com as especificações, quantitativos e condições estabelecidas neste Edital e em seus anexos.</w:t>
      </w:r>
    </w:p>
    <w:p>
      <w:pPr>
        <w:pStyle w:val="normal1"/>
        <w:keepNext w:val="false"/>
        <w:keepLines w:val="false"/>
        <w:pageBreakBefore w:val="false"/>
        <w:widowControl/>
        <w:numPr>
          <w:ilvl w:val="0"/>
          <w:numId w:val="6"/>
        </w:numPr>
        <w:pBdr/>
        <w:shd w:val="clear" w:fill="auto"/>
        <w:spacing w:lineRule="auto" w:line="360" w:before="240" w:after="120"/>
        <w:ind w:hanging="0" w:start="0" w:end="0"/>
        <w:jc w:val="both"/>
        <w:rPr>
          <w:sz w:val="22"/>
          <w:szCs w:val="22"/>
        </w:rPr>
      </w:pPr>
      <w:r>
        <w:rPr>
          <w:b/>
          <w:color w:val="000000"/>
          <w:position w:val="0"/>
          <w:sz w:val="22"/>
          <w:sz w:val="22"/>
          <w:szCs w:val="22"/>
          <w:vertAlign w:val="baseline"/>
        </w:rPr>
        <w:t>DA OBTENÇÃO DO EDITAL, PEDIDOS DE ESCLARECIMENTOS E IMPUGNAÇÃO</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position w:val="0"/>
          <w:sz w:val="22"/>
          <w:sz w:val="22"/>
          <w:szCs w:val="22"/>
          <w:vertAlign w:val="baseline"/>
        </w:rPr>
        <w:t>O inteiro teor do edital estará disponível para no sítio eletrônico da Prefeitura Municipal de Florianópolis, assim como em publicação oficial.</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position w:val="0"/>
          <w:sz w:val="22"/>
          <w:sz w:val="22"/>
          <w:szCs w:val="22"/>
          <w:vertAlign w:val="baseline"/>
        </w:rPr>
        <w:t>Eventual modificação nas condições específicas do presente edital terá divulgação pela mesma forma dada ao texto original, reabrindo-se o prazo inicialmente estabelecido para eventual complementação da documentação a ser apresentada pelos interessados.</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position w:val="0"/>
          <w:sz w:val="22"/>
          <w:sz w:val="22"/>
          <w:szCs w:val="22"/>
          <w:vertAlign w:val="baseline"/>
        </w:rPr>
        <w:t xml:space="preserve">Qualquer pedido de esclarecimento em relação a eventuais dúvidas de interpretação do edital poderá ser encaminhado a qualquer tempo, devidamente formulado por escrito e dirigido à SECRETARIA MUNICIPAL DE LICITAÇÕES, CONTRATOS E PARCERIAS, pelo correio eletrônico </w:t>
      </w:r>
      <w:hyperlink r:id="rId2">
        <w:r>
          <w:rPr>
            <w:rStyle w:val="Style3"/>
            <w:position w:val="0"/>
            <w:sz w:val="22"/>
            <w:sz w:val="22"/>
            <w:szCs w:val="22"/>
            <w:vertAlign w:val="baseline"/>
          </w:rPr>
          <w:t>gerencialicitacao@pmf.sc.gov.br</w:t>
        </w:r>
      </w:hyperlink>
      <w:r>
        <w:rPr>
          <w:position w:val="0"/>
          <w:sz w:val="22"/>
          <w:sz w:val="22"/>
          <w:szCs w:val="22"/>
          <w:vertAlign w:val="baseline"/>
        </w:rPr>
        <w:t xml:space="preserve"> – Assunto: Dúvidas e Questionamentos Edital n° </w:t>
      </w:r>
      <w:r>
        <w:rPr>
          <w:sz w:val="22"/>
          <w:szCs w:val="22"/>
        </w:rPr>
        <w:t>272</w:t>
      </w:r>
      <w:r>
        <w:rPr>
          <w:position w:val="0"/>
          <w:sz w:val="22"/>
          <w:sz w:val="22"/>
          <w:szCs w:val="22"/>
          <w:vertAlign w:val="baseline"/>
        </w:rPr>
        <w:t>/SMLCP/SULIC/202</w:t>
      </w:r>
      <w:r>
        <w:rPr>
          <w:sz w:val="22"/>
          <w:szCs w:val="22"/>
        </w:rPr>
        <w:t>5</w:t>
      </w:r>
      <w:r>
        <w:rPr>
          <w:position w:val="0"/>
          <w:sz w:val="22"/>
          <w:sz w:val="22"/>
          <w:szCs w:val="22"/>
          <w:vertAlign w:val="baseline"/>
        </w:rPr>
        <w:t>.</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position w:val="0"/>
          <w:sz w:val="22"/>
          <w:sz w:val="22"/>
          <w:szCs w:val="22"/>
          <w:vertAlign w:val="baseline"/>
        </w:rPr>
        <w:t>Qualquer cidadão ou interessado poderá impugnar os termos do edital, devendo protocolar o pedido em até 03 (três) dias úteis antes da primeira Sessão Pública para Distribuição da Demanda.</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position w:val="0"/>
          <w:sz w:val="22"/>
          <w:sz w:val="22"/>
          <w:szCs w:val="22"/>
          <w:vertAlign w:val="baseline"/>
        </w:rPr>
        <w:t xml:space="preserve">As impugnações deverão ser dirigidas ao endereço eletrônico </w:t>
      </w:r>
      <w:hyperlink r:id="rId3">
        <w:r>
          <w:rPr>
            <w:rStyle w:val="Style3"/>
            <w:position w:val="0"/>
            <w:sz w:val="22"/>
            <w:sz w:val="22"/>
            <w:szCs w:val="22"/>
            <w:vertAlign w:val="baseline"/>
          </w:rPr>
          <w:t>gerencialicitacao@pmf.sc.gov.br</w:t>
        </w:r>
      </w:hyperlink>
      <w:r>
        <w:rPr>
          <w:position w:val="0"/>
          <w:sz w:val="22"/>
          <w:sz w:val="22"/>
          <w:szCs w:val="22"/>
          <w:vertAlign w:val="baseline"/>
        </w:rPr>
        <w:t>, no prazo anteriormente estabelecido, e encaminhadas pela Secretaria Municipal de Licitações Contratos e Parcerias à demandante.</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position w:val="0"/>
          <w:sz w:val="22"/>
          <w:sz w:val="22"/>
          <w:szCs w:val="22"/>
          <w:vertAlign w:val="baseline"/>
        </w:rPr>
        <w:t xml:space="preserve">As respostas aos pedidos de esclarecimentos e às impugnações serão divulgadas no sítio eletrônico da Prefeitura Municipal de Florianópolis. </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position w:val="0"/>
          <w:sz w:val="22"/>
          <w:sz w:val="22"/>
          <w:szCs w:val="22"/>
          <w:vertAlign w:val="baseline"/>
        </w:rPr>
        <w:t>As respostas aos pedidos de impugnação e esclarecimentos aderem ao edital tal como se dele fizessem parte, vinculando a Administração e os participantes.</w:t>
      </w:r>
    </w:p>
    <w:p>
      <w:pPr>
        <w:pStyle w:val="normal1"/>
        <w:keepNext w:val="false"/>
        <w:keepLines w:val="false"/>
        <w:pageBreakBefore w:val="false"/>
        <w:widowControl/>
        <w:numPr>
          <w:ilvl w:val="0"/>
          <w:numId w:val="6"/>
        </w:numPr>
        <w:pBdr/>
        <w:shd w:val="clear" w:fill="auto"/>
        <w:spacing w:lineRule="auto" w:line="360" w:before="240" w:after="120"/>
        <w:ind w:hanging="0" w:start="0" w:end="0"/>
        <w:jc w:val="both"/>
        <w:rPr>
          <w:sz w:val="22"/>
          <w:szCs w:val="22"/>
        </w:rPr>
      </w:pPr>
      <w:r>
        <w:rPr>
          <w:b/>
          <w:position w:val="0"/>
          <w:sz w:val="22"/>
          <w:sz w:val="22"/>
          <w:szCs w:val="22"/>
          <w:vertAlign w:val="baseline"/>
        </w:rPr>
        <w:t>DAS CONDIÇÕES DE PARTICIPAÇÃO</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position w:val="0"/>
          <w:sz w:val="22"/>
          <w:sz w:val="22"/>
          <w:szCs w:val="22"/>
          <w:vertAlign w:val="baseline"/>
        </w:rPr>
        <w:t>Poderão participar deste Chamamento de Interessados pessoas jurídicas com ou sem fins lucrativos que atenderem às exigências estabelecidas no Termo de Referência.</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position w:val="0"/>
          <w:sz w:val="22"/>
          <w:sz w:val="22"/>
          <w:szCs w:val="22"/>
          <w:vertAlign w:val="baseline"/>
        </w:rPr>
        <w:t>Não poderão disputar esta licitação:</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position w:val="0"/>
          <w:sz w:val="22"/>
          <w:sz w:val="22"/>
          <w:szCs w:val="22"/>
          <w:vertAlign w:val="baseline"/>
        </w:rPr>
        <w:t>Aquele que não atenda às condições deste Edital e seu(s) anexo(s);</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position w:val="0"/>
          <w:sz w:val="22"/>
          <w:sz w:val="22"/>
          <w:szCs w:val="22"/>
          <w:vertAlign w:val="baseline"/>
        </w:rPr>
        <w:t>Pessoa física ou jurídica que se encontre, ao tempo da licitação, impossibilitada de participar da licitação em decorrência de sanção que lhe foi imposta;</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position w:val="0"/>
          <w:sz w:val="22"/>
          <w:sz w:val="22"/>
          <w:szCs w:val="22"/>
          <w:vertAlign w:val="baseli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position w:val="0"/>
          <w:sz w:val="22"/>
          <w:sz w:val="22"/>
          <w:szCs w:val="22"/>
          <w:vertAlign w:val="baseline"/>
        </w:rPr>
        <w:t>Empresas controladoras, controladas ou coligadas, nos termos da Lei nº 6.404, de 15 de dezembro de 1976, concorrendo entre si;</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position w:val="0"/>
          <w:sz w:val="22"/>
          <w:sz w:val="22"/>
          <w:szCs w:val="22"/>
          <w:vertAlign w:val="baseli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position w:val="0"/>
          <w:sz w:val="22"/>
          <w:sz w:val="22"/>
          <w:szCs w:val="22"/>
          <w:vertAlign w:val="baseline"/>
        </w:rPr>
        <w:t>Agente público do órgão ou entidade licitante, devendo ser observadas as situações que possam configurar conflito de interesses no exercício ou após o exercício do cargo ou emprego, nos termos da legislação que disciplina a matéria, conforme § 1º do art. 9º da Lei nº 14.133, de 2021.</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position w:val="0"/>
          <w:sz w:val="22"/>
          <w:sz w:val="22"/>
          <w:szCs w:val="22"/>
          <w:vertAlign w:val="baseline"/>
        </w:rPr>
        <w:t>O impedimento de que trata o item 3.2.4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position w:val="0"/>
          <w:sz w:val="22"/>
          <w:sz w:val="22"/>
          <w:szCs w:val="22"/>
          <w:vertAlign w:val="baseline"/>
        </w:rPr>
        <w:t>A vedação de que trata o item 3.2.6 estende-se a terceiro que auxilie a condução da contratação na qualidade de agente de contratação, profissional especializado ou funcionário ou representante de empresa que preste assessoria técnica.</w:t>
      </w:r>
    </w:p>
    <w:p>
      <w:pPr>
        <w:pStyle w:val="normal1"/>
        <w:keepNext w:val="false"/>
        <w:keepLines w:val="false"/>
        <w:pageBreakBefore w:val="false"/>
        <w:widowControl/>
        <w:numPr>
          <w:ilvl w:val="0"/>
          <w:numId w:val="6"/>
        </w:numPr>
        <w:pBdr/>
        <w:shd w:val="clear" w:fill="auto"/>
        <w:spacing w:lineRule="auto" w:line="360" w:before="240" w:after="120"/>
        <w:ind w:hanging="0" w:start="0" w:end="0"/>
        <w:jc w:val="both"/>
        <w:rPr>
          <w:sz w:val="22"/>
          <w:szCs w:val="22"/>
        </w:rPr>
      </w:pPr>
      <w:r>
        <w:rPr>
          <w:b/>
          <w:color w:val="000000"/>
          <w:position w:val="0"/>
          <w:sz w:val="22"/>
          <w:sz w:val="22"/>
          <w:szCs w:val="22"/>
          <w:vertAlign w:val="baseline"/>
        </w:rPr>
        <w:t>DO REQUERIMENTO DO CREDENCIAMENTO</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 xml:space="preserve">O requerimento de credenciamento e os documentos necessários à habilitação deverão ser encaminhados à Secretaria Municipal </w:t>
      </w:r>
      <w:r>
        <w:rPr>
          <w:sz w:val="22"/>
          <w:szCs w:val="22"/>
        </w:rPr>
        <w:t>de Assistência Social</w:t>
      </w:r>
      <w:r>
        <w:rPr>
          <w:color w:val="000000"/>
          <w:position w:val="0"/>
          <w:sz w:val="22"/>
          <w:sz w:val="22"/>
          <w:szCs w:val="22"/>
          <w:vertAlign w:val="baseline"/>
        </w:rPr>
        <w:t>, pelo e-mail:</w:t>
      </w:r>
      <w:r>
        <w:rPr>
          <w:sz w:val="22"/>
          <w:szCs w:val="22"/>
        </w:rPr>
        <w:t xml:space="preserve"> gerencialicitacao@pmf.sc.gov.br.</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O conjunto de documentos apresentados deverá conter:</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Requerimento de credenciamento, na forma do modelo disponível no Anexo I do Termo de Referência, datado e assinado pelo representante legal; e</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 xml:space="preserve"> </w:t>
      </w:r>
      <w:r>
        <w:rPr>
          <w:color w:val="000000"/>
          <w:position w:val="0"/>
          <w:sz w:val="22"/>
          <w:sz w:val="22"/>
          <w:szCs w:val="22"/>
          <w:vertAlign w:val="baseline"/>
        </w:rPr>
        <w:t>Documentos necessários à habilitação, descritos no edital.</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O requerimento de credenciamento não poderá conter emendas, rasuras e borrões que possam dificultar o reconhecimento de sua caracterização, considerada indispensável à sua validade, salvo se for considerado erro material pela análise do agente de contratação.</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 xml:space="preserve">Após a entrega dos documentos para habilitação, não será permitida a substituição ou a apresentação de novos documentos, salvo em sede de diligência, nos termos do Art. 64 da Lei 14.133/2021. </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Os documentos deverão ser apresentados em meio eletrônico no formato PDF (Portable Document Format), sendo que o interessado ficará responsável pela veracidade das informações prestadas no requerimento e nos documentos remetidos.</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Os documentos necessários à habilitação deverão estar com prazo vigente.</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 xml:space="preserve">Os documentos que não indicarem o prazo de validade deverão ter sido expedidos em, no máximo, até 60 (sessenta) dias antes da data do requerimento de credenciamento, ressalvados aqueles com prazos indeterminados </w:t>
      </w:r>
      <w:r>
        <w:rPr>
          <w:sz w:val="22"/>
          <w:szCs w:val="22"/>
        </w:rPr>
        <w:t>neste</w:t>
      </w:r>
      <w:r>
        <w:rPr>
          <w:color w:val="000000"/>
          <w:position w:val="0"/>
          <w:sz w:val="22"/>
          <w:sz w:val="22"/>
          <w:szCs w:val="22"/>
          <w:vertAlign w:val="baseline"/>
        </w:rPr>
        <w:t xml:space="preserve"> item previstos em legislação pertinente.</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Os interessados deverão estar cientes da legislação que rege os prazos de validade das certidões emitidas pelos respectivos órgãos federais, estaduais e municipais.</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Serão aceitos documentos assinados digitalmente com padrão ICP-Brasil e aqueles emitidos online, cuja verificação da autenticidade possa ser confirmada através de qr-code, códigos de barra, sítios eletrônicos ou outros meios disponibilizados pelo emitente.</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O representante do interessado que subscrever os documentos apresentados deverá estar devidamente identificado no processo, acompanhado da respectiva representatividade e, quando for o caso, de procuração e documento de identidade.</w:t>
      </w:r>
    </w:p>
    <w:p>
      <w:pPr>
        <w:pStyle w:val="normal1"/>
        <w:keepNext w:val="false"/>
        <w:keepLines w:val="false"/>
        <w:pageBreakBefore w:val="false"/>
        <w:widowControl/>
        <w:numPr>
          <w:ilvl w:val="0"/>
          <w:numId w:val="6"/>
        </w:numPr>
        <w:pBdr/>
        <w:shd w:val="clear" w:fill="auto"/>
        <w:spacing w:lineRule="auto" w:line="360" w:before="240" w:after="120"/>
        <w:ind w:hanging="0" w:start="0" w:end="0"/>
        <w:jc w:val="both"/>
        <w:rPr>
          <w:sz w:val="22"/>
          <w:szCs w:val="22"/>
        </w:rPr>
      </w:pPr>
      <w:r>
        <w:rPr>
          <w:b/>
          <w:color w:val="000000"/>
          <w:position w:val="0"/>
          <w:sz w:val="22"/>
          <w:sz w:val="22"/>
          <w:szCs w:val="22"/>
          <w:vertAlign w:val="baseline"/>
        </w:rPr>
        <w:t>DA DOCUMENTAÇÃO REFERENTE À HABILITAÇÃO</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RELATIVOS À CAPACIDADE JURÍDICA:</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Documentos que comprovem a natureza jurídica da empresa e seu objeto social, nos termos da lei pertinente:</w:t>
      </w:r>
    </w:p>
    <w:p>
      <w:pPr>
        <w:pStyle w:val="normal1"/>
        <w:keepNext w:val="false"/>
        <w:keepLines w:val="false"/>
        <w:pageBreakBefore w:val="false"/>
        <w:widowControl/>
        <w:numPr>
          <w:ilvl w:val="3"/>
          <w:numId w:val="6"/>
        </w:numPr>
        <w:pBdr/>
        <w:shd w:val="clear" w:fill="auto"/>
        <w:spacing w:lineRule="auto" w:line="360" w:before="240" w:after="120"/>
        <w:ind w:hanging="648" w:start="1728" w:end="0"/>
        <w:jc w:val="both"/>
        <w:rPr>
          <w:sz w:val="22"/>
          <w:szCs w:val="22"/>
        </w:rPr>
      </w:pPr>
      <w:r>
        <w:rPr>
          <w:color w:val="000000"/>
          <w:position w:val="0"/>
          <w:sz w:val="22"/>
          <w:sz w:val="22"/>
          <w:szCs w:val="22"/>
          <w:vertAlign w:val="baseline"/>
        </w:rPr>
        <w:t>QUANDO FUNDAÇÃO: Estatuto em vigor, devidamente registrado, acompanhado de documentos de eleição de seus administradores;</w:t>
      </w:r>
    </w:p>
    <w:p>
      <w:pPr>
        <w:pStyle w:val="normal1"/>
        <w:keepNext w:val="false"/>
        <w:keepLines w:val="false"/>
        <w:pageBreakBefore w:val="false"/>
        <w:widowControl/>
        <w:numPr>
          <w:ilvl w:val="3"/>
          <w:numId w:val="6"/>
        </w:numPr>
        <w:pBdr/>
        <w:shd w:val="clear" w:fill="auto"/>
        <w:spacing w:lineRule="auto" w:line="360" w:before="240" w:after="120"/>
        <w:ind w:hanging="648" w:start="1728" w:end="0"/>
        <w:jc w:val="both"/>
        <w:rPr>
          <w:sz w:val="22"/>
          <w:szCs w:val="22"/>
        </w:rPr>
      </w:pPr>
      <w:r>
        <w:rPr>
          <w:color w:val="000000"/>
          <w:position w:val="0"/>
          <w:sz w:val="22"/>
          <w:sz w:val="22"/>
          <w:szCs w:val="22"/>
          <w:vertAlign w:val="baseline"/>
        </w:rPr>
        <w:t>QUANDO SOCIEDADE COMERCIAL: Ato constitutivo, estatuto ou contrato social em vigor, devidamente registrado;</w:t>
      </w:r>
    </w:p>
    <w:p>
      <w:pPr>
        <w:pStyle w:val="normal1"/>
        <w:keepNext w:val="false"/>
        <w:keepLines w:val="false"/>
        <w:pageBreakBefore w:val="false"/>
        <w:widowControl/>
        <w:numPr>
          <w:ilvl w:val="3"/>
          <w:numId w:val="6"/>
        </w:numPr>
        <w:pBdr/>
        <w:shd w:val="clear" w:fill="auto"/>
        <w:spacing w:lineRule="auto" w:line="360" w:before="240" w:after="120"/>
        <w:ind w:hanging="648" w:start="1728" w:end="0"/>
        <w:jc w:val="both"/>
        <w:rPr>
          <w:sz w:val="22"/>
          <w:szCs w:val="22"/>
        </w:rPr>
      </w:pPr>
      <w:r>
        <w:rPr>
          <w:color w:val="000000"/>
          <w:position w:val="0"/>
          <w:sz w:val="22"/>
          <w:sz w:val="22"/>
          <w:szCs w:val="22"/>
          <w:vertAlign w:val="baseline"/>
        </w:rPr>
        <w:t>QUANDO SOCIEDADE POR AÇÕES OU SOCIEDADE ANÔNIMA OU COMPANHIA: Ato constitutivo, estatuto ou contrato social em vigor, devidamente registrado, acompanhado de documentos de eleição de seus administradores;</w:t>
      </w:r>
    </w:p>
    <w:p>
      <w:pPr>
        <w:pStyle w:val="normal1"/>
        <w:keepNext w:val="false"/>
        <w:keepLines w:val="false"/>
        <w:pageBreakBefore w:val="false"/>
        <w:widowControl/>
        <w:numPr>
          <w:ilvl w:val="3"/>
          <w:numId w:val="6"/>
        </w:numPr>
        <w:pBdr/>
        <w:shd w:val="clear" w:fill="auto"/>
        <w:spacing w:lineRule="auto" w:line="360" w:before="240" w:after="120"/>
        <w:ind w:hanging="648" w:start="1728" w:end="0"/>
        <w:jc w:val="both"/>
        <w:rPr>
          <w:sz w:val="22"/>
          <w:szCs w:val="22"/>
        </w:rPr>
      </w:pPr>
      <w:r>
        <w:rPr>
          <w:color w:val="000000"/>
          <w:position w:val="0"/>
          <w:sz w:val="22"/>
          <w:sz w:val="22"/>
          <w:szCs w:val="22"/>
          <w:vertAlign w:val="baseline"/>
        </w:rPr>
        <w:t>QUANDO SOCIEDADE CIVIL OU ASSOCIAÇÕES PRIVADAS: Estatuto em vigor e/ou inscrição do ato constitutivo, acompanhada de prova de diretoria em exercício;</w:t>
      </w:r>
    </w:p>
    <w:p>
      <w:pPr>
        <w:pStyle w:val="normal1"/>
        <w:keepNext w:val="false"/>
        <w:keepLines w:val="false"/>
        <w:pageBreakBefore w:val="false"/>
        <w:widowControl/>
        <w:numPr>
          <w:ilvl w:val="3"/>
          <w:numId w:val="6"/>
        </w:numPr>
        <w:pBdr/>
        <w:shd w:val="clear" w:fill="auto"/>
        <w:spacing w:lineRule="auto" w:line="360" w:before="240" w:after="120"/>
        <w:ind w:hanging="648" w:start="1728" w:end="0"/>
        <w:jc w:val="both"/>
        <w:rPr>
          <w:sz w:val="22"/>
          <w:szCs w:val="22"/>
        </w:rPr>
      </w:pPr>
      <w:r>
        <w:rPr>
          <w:color w:val="000000"/>
          <w:position w:val="0"/>
          <w:sz w:val="22"/>
          <w:sz w:val="22"/>
          <w:szCs w:val="22"/>
          <w:vertAlign w:val="baseline"/>
        </w:rPr>
        <w:t>QUANDO EMPRESA INDIVIDUAL: Registro comercial; e</w:t>
      </w:r>
    </w:p>
    <w:p>
      <w:pPr>
        <w:pStyle w:val="normal1"/>
        <w:keepNext w:val="false"/>
        <w:keepLines w:val="false"/>
        <w:pageBreakBefore w:val="false"/>
        <w:widowControl/>
        <w:numPr>
          <w:ilvl w:val="3"/>
          <w:numId w:val="6"/>
        </w:numPr>
        <w:pBdr/>
        <w:shd w:val="clear" w:fill="auto"/>
        <w:spacing w:lineRule="auto" w:line="360" w:before="240" w:after="120"/>
        <w:ind w:hanging="648" w:start="1728" w:end="0"/>
        <w:jc w:val="both"/>
        <w:rPr>
          <w:sz w:val="22"/>
          <w:szCs w:val="22"/>
        </w:rPr>
      </w:pPr>
      <w:r>
        <w:rPr>
          <w:color w:val="000000"/>
          <w:position w:val="0"/>
          <w:sz w:val="22"/>
          <w:sz w:val="22"/>
          <w:szCs w:val="22"/>
          <w:vertAlign w:val="baseline"/>
        </w:rPr>
        <w:t>QUANDO EMPRESA OU SOCIEDADE ESTRANGEIRA EM FUNCIONAMENTO NO PAÍS: Decreto de autorização, e ato de registro ou autorização para funcionamento expedido pelo órgão competente, quando a atividade assim o exigir.</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Certidão do registro e arquivamento dos atos constitutivos em cartório (certidão de breve relato) ou Certidão Simplificada da Junta Comercial;</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Documento de identidade e CPF dos sócios-diretores ou representantes legais.</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RELATIVOS À REGULARIDADE FISCAL, SOCIAL E TRABALHISTA</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Prova de inscrição no Cadastro Nacional de Pessoas Jurídicas (CNPJ);</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Prova de regularidade para com a Fazenda Federal relativa aos tributos federais e à dívida ativa da União, a qual abrange, inclusive, as contribuições sociais previstas na Lei nº 8.212/1991;</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Prova de regularidade fiscal para com a Fazenda Estadual do domicílio ou sede do interessado, expedida pelo órgão competente;</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Prova de regularidade fiscal para com a Fazenda Municipal da sede do interessado, expedida pelo órgão competente;</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Prova de regularidade relativa ao Fundo de Garantia por Tempo de Serviço (FGTS), expedida pelo órgão competente;</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Prova de inexistência de débitos inadimplidos perante a Justiça do Trabalho, expedida pelo órgão competente.</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RELATIVOS À IDONEIDADE FINANCEIRA</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Certidão negativa de falência expedida pelo distribuidor da sede do interessado, e, quando for o caso, certidão negativa de recuperação judicial ou recuperação extrajudicial.</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Balanço patrimonial e demonstrações contábeis dos últimos 2 (dois)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No caso de empresa constituída no exercício social vigente, admite-se a apresentação de balanço patrimonial e demonstrações contábeis referentes ao período de existência da sociedade.</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É admissível o balanço intermediário, se decorrer de lei ou contrato/estatuto social.</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Comprovação da boa situação financeira da empresa mediante obtenção de índices de Liquidez Geral (LG), Solvência Geral (SG) e Liquidez Corrente (LC), superiores a 1 (um), obtidos pela aplicação das seguintes fórmulas:</w:t>
      </w:r>
    </w:p>
    <w:p>
      <w:pPr>
        <w:pStyle w:val="normal1"/>
        <w:pBdr>
          <w:top w:val="single" w:sz="4" w:space="1" w:color="000000"/>
          <w:left w:val="single" w:sz="4" w:space="4" w:color="000000"/>
          <w:bottom w:val="single" w:sz="4" w:space="1" w:color="000000"/>
          <w:right w:val="single" w:sz="4" w:space="4" w:color="000000"/>
        </w:pBdr>
        <w:spacing w:lineRule="auto" w:line="360" w:before="0" w:after="120"/>
        <w:jc w:val="both"/>
        <w:rPr>
          <w:color w:val="000000"/>
          <w:position w:val="0"/>
          <w:sz w:val="22"/>
          <w:sz w:val="22"/>
          <w:szCs w:val="22"/>
          <w:vertAlign w:val="baseline"/>
        </w:rPr>
      </w:pPr>
      <w:r>
        <w:rPr>
          <w:color w:val="000000"/>
          <w:position w:val="0"/>
          <w:sz w:val="22"/>
          <w:sz w:val="22"/>
          <w:szCs w:val="22"/>
          <w:vertAlign w:val="baseline"/>
        </w:rPr>
        <w:t xml:space="preserve">LG =  </w:t>
      </w:r>
      <w:r>
        <w:rPr>
          <w:color w:val="000000"/>
          <w:position w:val="0"/>
          <w:sz w:val="22"/>
          <w:sz w:val="22"/>
          <w:szCs w:val="22"/>
          <w:u w:val="single"/>
          <w:vertAlign w:val="baseline"/>
        </w:rPr>
        <w:t xml:space="preserve">     Ativo Circulante + Realizável a Longo Prazo   .</w:t>
      </w:r>
    </w:p>
    <w:p>
      <w:pPr>
        <w:pStyle w:val="normal1"/>
        <w:pBdr>
          <w:top w:val="single" w:sz="4" w:space="1" w:color="000000"/>
          <w:left w:val="single" w:sz="4" w:space="4" w:color="000000"/>
          <w:bottom w:val="single" w:sz="4" w:space="1" w:color="000000"/>
          <w:right w:val="single" w:sz="4" w:space="4" w:color="000000"/>
        </w:pBdr>
        <w:spacing w:lineRule="auto" w:line="360" w:before="0" w:after="120"/>
        <w:jc w:val="both"/>
        <w:rPr>
          <w:color w:val="000000"/>
          <w:position w:val="0"/>
          <w:sz w:val="22"/>
          <w:sz w:val="22"/>
          <w:szCs w:val="22"/>
          <w:vertAlign w:val="baseline"/>
        </w:rPr>
      </w:pPr>
      <w:r>
        <w:rPr>
          <w:color w:val="000000"/>
          <w:position w:val="0"/>
          <w:sz w:val="22"/>
          <w:sz w:val="22"/>
          <w:szCs w:val="22"/>
          <w:vertAlign w:val="baseline"/>
        </w:rPr>
        <w:t xml:space="preserve">               </w:t>
      </w:r>
      <w:r>
        <w:rPr>
          <w:color w:val="000000"/>
          <w:position w:val="0"/>
          <w:sz w:val="22"/>
          <w:sz w:val="22"/>
          <w:szCs w:val="22"/>
          <w:vertAlign w:val="baseline"/>
        </w:rPr>
        <w:t>Passivo Circulante + Passivo Não Circulante</w:t>
      </w:r>
    </w:p>
    <w:p>
      <w:pPr>
        <w:pStyle w:val="normal1"/>
        <w:pBdr>
          <w:top w:val="single" w:sz="4" w:space="1" w:color="000000"/>
          <w:left w:val="single" w:sz="4" w:space="4" w:color="000000"/>
          <w:bottom w:val="single" w:sz="4" w:space="1" w:color="000000"/>
          <w:right w:val="single" w:sz="4" w:space="4" w:color="000000"/>
        </w:pBdr>
        <w:spacing w:lineRule="auto" w:line="360" w:before="0" w:after="120"/>
        <w:jc w:val="both"/>
        <w:rPr>
          <w:color w:val="000000"/>
          <w:position w:val="0"/>
          <w:sz w:val="22"/>
          <w:sz w:val="22"/>
          <w:szCs w:val="22"/>
          <w:vertAlign w:val="baseline"/>
        </w:rPr>
      </w:pPr>
      <w:r>
        <w:rPr>
          <w:color w:val="000000"/>
          <w:position w:val="0"/>
          <w:sz w:val="22"/>
          <w:sz w:val="22"/>
          <w:szCs w:val="22"/>
          <w:vertAlign w:val="baseline"/>
        </w:rPr>
      </w:r>
    </w:p>
    <w:p>
      <w:pPr>
        <w:pStyle w:val="normal1"/>
        <w:pBdr>
          <w:top w:val="single" w:sz="4" w:space="1" w:color="000000"/>
          <w:left w:val="single" w:sz="4" w:space="4" w:color="000000"/>
          <w:bottom w:val="single" w:sz="4" w:space="1" w:color="000000"/>
          <w:right w:val="single" w:sz="4" w:space="4" w:color="000000"/>
        </w:pBdr>
        <w:spacing w:lineRule="auto" w:line="360" w:before="0" w:after="120"/>
        <w:jc w:val="both"/>
        <w:rPr>
          <w:color w:val="000000"/>
          <w:position w:val="0"/>
          <w:sz w:val="22"/>
          <w:sz w:val="22"/>
          <w:szCs w:val="22"/>
          <w:vertAlign w:val="baseline"/>
        </w:rPr>
      </w:pPr>
      <w:r>
        <w:rPr>
          <w:color w:val="000000"/>
          <w:position w:val="0"/>
          <w:sz w:val="22"/>
          <w:sz w:val="22"/>
          <w:szCs w:val="22"/>
          <w:vertAlign w:val="baseline"/>
        </w:rPr>
        <w:t xml:space="preserve">SG =  </w:t>
      </w:r>
      <w:r>
        <w:rPr>
          <w:color w:val="000000"/>
          <w:position w:val="0"/>
          <w:sz w:val="22"/>
          <w:sz w:val="22"/>
          <w:szCs w:val="22"/>
          <w:u w:val="single"/>
          <w:vertAlign w:val="baseline"/>
        </w:rPr>
        <w:t xml:space="preserve">                              Ativo Total                              </w:t>
      </w:r>
      <w:r>
        <w:rPr>
          <w:color w:val="000000"/>
          <w:position w:val="0"/>
          <w:sz w:val="22"/>
          <w:sz w:val="22"/>
          <w:szCs w:val="22"/>
          <w:vertAlign w:val="baseline"/>
        </w:rPr>
        <w:t xml:space="preserve">                    </w:t>
        <w:tab/>
        <w:t xml:space="preserve">                               </w:t>
      </w:r>
    </w:p>
    <w:p>
      <w:pPr>
        <w:pStyle w:val="normal1"/>
        <w:pBdr>
          <w:top w:val="single" w:sz="4" w:space="1" w:color="000000"/>
          <w:left w:val="single" w:sz="4" w:space="4" w:color="000000"/>
          <w:bottom w:val="single" w:sz="4" w:space="1" w:color="000000"/>
          <w:right w:val="single" w:sz="4" w:space="4" w:color="000000"/>
        </w:pBdr>
        <w:spacing w:lineRule="auto" w:line="360" w:before="0" w:after="120"/>
        <w:jc w:val="both"/>
        <w:rPr>
          <w:color w:val="000000"/>
          <w:position w:val="0"/>
          <w:sz w:val="22"/>
          <w:sz w:val="22"/>
          <w:szCs w:val="22"/>
          <w:vertAlign w:val="baseline"/>
        </w:rPr>
      </w:pPr>
      <w:r>
        <w:rPr>
          <w:color w:val="000000"/>
          <w:position w:val="0"/>
          <w:sz w:val="22"/>
          <w:sz w:val="22"/>
          <w:szCs w:val="22"/>
          <w:vertAlign w:val="baseline"/>
        </w:rPr>
        <w:t xml:space="preserve">           </w:t>
      </w:r>
      <w:r>
        <w:rPr>
          <w:color w:val="000000"/>
          <w:position w:val="0"/>
          <w:sz w:val="22"/>
          <w:sz w:val="22"/>
          <w:szCs w:val="22"/>
          <w:vertAlign w:val="baseline"/>
        </w:rPr>
        <w:t>Passivo Circulante + Passivo Não Circulante</w:t>
      </w:r>
    </w:p>
    <w:p>
      <w:pPr>
        <w:pStyle w:val="normal1"/>
        <w:pBdr>
          <w:top w:val="single" w:sz="4" w:space="1" w:color="000000"/>
          <w:left w:val="single" w:sz="4" w:space="4" w:color="000000"/>
          <w:bottom w:val="single" w:sz="4" w:space="1" w:color="000000"/>
          <w:right w:val="single" w:sz="4" w:space="4" w:color="000000"/>
        </w:pBdr>
        <w:spacing w:lineRule="auto" w:line="360" w:before="0" w:after="120"/>
        <w:jc w:val="both"/>
        <w:rPr>
          <w:color w:val="000000"/>
          <w:position w:val="0"/>
          <w:sz w:val="22"/>
          <w:sz w:val="22"/>
          <w:szCs w:val="22"/>
          <w:vertAlign w:val="baseline"/>
        </w:rPr>
      </w:pPr>
      <w:r>
        <w:rPr>
          <w:color w:val="000000"/>
          <w:position w:val="0"/>
          <w:sz w:val="22"/>
          <w:sz w:val="22"/>
          <w:szCs w:val="22"/>
          <w:vertAlign w:val="baseline"/>
        </w:rPr>
      </w:r>
    </w:p>
    <w:p>
      <w:pPr>
        <w:pStyle w:val="normal1"/>
        <w:pBdr>
          <w:top w:val="single" w:sz="4" w:space="1" w:color="000000"/>
          <w:left w:val="single" w:sz="4" w:space="4" w:color="000000"/>
          <w:bottom w:val="single" w:sz="4" w:space="1" w:color="000000"/>
          <w:right w:val="single" w:sz="4" w:space="4" w:color="000000"/>
        </w:pBdr>
        <w:spacing w:lineRule="auto" w:line="360" w:before="0" w:after="120"/>
        <w:jc w:val="both"/>
        <w:rPr>
          <w:color w:val="000000"/>
          <w:position w:val="0"/>
          <w:sz w:val="22"/>
          <w:sz w:val="22"/>
          <w:szCs w:val="22"/>
          <w:vertAlign w:val="baseline"/>
        </w:rPr>
      </w:pPr>
      <w:r>
        <w:rPr>
          <w:color w:val="000000"/>
          <w:position w:val="0"/>
          <w:sz w:val="22"/>
          <w:sz w:val="22"/>
          <w:szCs w:val="22"/>
          <w:vertAlign w:val="baseline"/>
        </w:rPr>
        <w:t xml:space="preserve">LC =  </w:t>
      </w:r>
      <w:r>
        <w:rPr>
          <w:color w:val="000000"/>
          <w:position w:val="0"/>
          <w:sz w:val="22"/>
          <w:sz w:val="22"/>
          <w:szCs w:val="22"/>
          <w:u w:val="single"/>
          <w:vertAlign w:val="baseline"/>
        </w:rPr>
        <w:t xml:space="preserve">    Ativo Circulante    .                           </w:t>
      </w:r>
      <w:r>
        <w:rPr>
          <w:color w:val="000000"/>
          <w:position w:val="0"/>
          <w:sz w:val="22"/>
          <w:sz w:val="22"/>
          <w:szCs w:val="22"/>
          <w:vertAlign w:val="baseline"/>
        </w:rPr>
        <w:t xml:space="preserve">                    </w:t>
      </w:r>
    </w:p>
    <w:p>
      <w:pPr>
        <w:pStyle w:val="normal1"/>
        <w:pBdr>
          <w:top w:val="single" w:sz="4" w:space="1" w:color="000000"/>
          <w:left w:val="single" w:sz="4" w:space="4" w:color="000000"/>
          <w:bottom w:val="single" w:sz="4" w:space="1" w:color="000000"/>
          <w:right w:val="single" w:sz="4" w:space="4" w:color="000000"/>
        </w:pBdr>
        <w:spacing w:lineRule="auto" w:line="360" w:before="0" w:after="120"/>
        <w:jc w:val="both"/>
        <w:rPr>
          <w:color w:val="000000"/>
          <w:position w:val="0"/>
          <w:sz w:val="22"/>
          <w:sz w:val="22"/>
          <w:szCs w:val="22"/>
          <w:vertAlign w:val="baseline"/>
        </w:rPr>
      </w:pPr>
      <w:r>
        <w:rPr>
          <w:color w:val="000000"/>
          <w:position w:val="0"/>
          <w:sz w:val="22"/>
          <w:sz w:val="22"/>
          <w:szCs w:val="22"/>
          <w:vertAlign w:val="baseline"/>
        </w:rPr>
        <w:t xml:space="preserve">           </w:t>
      </w:r>
      <w:r>
        <w:rPr>
          <w:color w:val="000000"/>
          <w:position w:val="0"/>
          <w:sz w:val="22"/>
          <w:sz w:val="22"/>
          <w:szCs w:val="22"/>
          <w:vertAlign w:val="baseline"/>
        </w:rPr>
        <w:t>Passivo Circulante</w:t>
      </w:r>
    </w:p>
    <w:p>
      <w:pPr>
        <w:pStyle w:val="normal1"/>
        <w:numPr>
          <w:ilvl w:val="2"/>
          <w:numId w:val="6"/>
        </w:numPr>
        <w:spacing w:lineRule="auto" w:line="360" w:before="240" w:after="120"/>
        <w:ind w:hanging="504" w:start="1224"/>
        <w:jc w:val="both"/>
        <w:rPr>
          <w:sz w:val="22"/>
          <w:szCs w:val="22"/>
        </w:rPr>
      </w:pPr>
      <w:r>
        <w:rPr>
          <w:sz w:val="22"/>
          <w:szCs w:val="22"/>
        </w:rPr>
        <w:t>A comprovação da situação financeira da empresa será constatada mediante obtenção de índices de Liquidez Geral (LG), Solvência Geral (SG) e Liquidez Corrente (LC), resultantes da aplicação das fórmulas.</w:t>
      </w:r>
    </w:p>
    <w:p>
      <w:pPr>
        <w:pStyle w:val="normal1"/>
        <w:numPr>
          <w:ilvl w:val="2"/>
          <w:numId w:val="6"/>
        </w:numPr>
        <w:spacing w:lineRule="auto" w:line="360" w:before="240" w:after="120"/>
        <w:ind w:hanging="504" w:start="1224"/>
        <w:jc w:val="both"/>
        <w:rPr>
          <w:sz w:val="22"/>
          <w:szCs w:val="22"/>
        </w:rPr>
      </w:pPr>
      <w:r>
        <w:rPr>
          <w:sz w:val="22"/>
          <w:szCs w:val="22"/>
        </w:rPr>
        <w:t>As empresas, cadastradas ou não no SICAF, que apresentarem resultado inferior ou igual a 1(um) em qualquer dos índices de Liquidez Geral (LG), Solvência Geral (SG) e Liquidez Corrente (LC), deverão comprovar patrimônio líquido não inferior a 10% do valor estimado da contratação ou do item pertinente.</w:t>
      </w:r>
    </w:p>
    <w:p>
      <w:pPr>
        <w:pStyle w:val="normal1"/>
        <w:numPr>
          <w:ilvl w:val="2"/>
          <w:numId w:val="6"/>
        </w:numPr>
        <w:spacing w:lineRule="auto" w:line="360" w:before="240" w:after="120"/>
        <w:ind w:hanging="504" w:start="1224"/>
        <w:jc w:val="both"/>
        <w:rPr>
          <w:sz w:val="22"/>
          <w:szCs w:val="22"/>
        </w:rPr>
      </w:pPr>
      <w:r>
        <w:rPr>
          <w:sz w:val="22"/>
          <w:szCs w:val="22"/>
        </w:rPr>
        <w:t>Os documentos referidos acima deverão ser exigidos com base no limite definido pela Receita Federal do Brasil para transmissão da Escrituração Contábil Digital - ECD ao Sped, observando no que couber as obrigações contidas na Instrução Normativa RFB nº 2.003/2021.</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DOCUMENTOS RELATIVOS À QUALIFICAÇÃO TÉCNICA</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sz w:val="22"/>
          <w:szCs w:val="22"/>
        </w:rPr>
        <w:t>Relatório fotográfico das instalações físicas de forma a demonstrar a condição de no mínimo, quartos, refeitório, banheiros,  cozinha, recepção, elevadores e/ou escadas, fachada e corredor de acesso aos quartos.</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sz w:val="22"/>
          <w:szCs w:val="22"/>
        </w:rPr>
        <w:t xml:space="preserve">Alvará Sanitário atualizado e contendo as habilitações necessárias (CNAE) para execução da atividade contratada, expedido pela Vigilância Sanitária Municipal ou Estadual, devendo ser apresentado a cada renovação de contrato. </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sz w:val="22"/>
          <w:szCs w:val="22"/>
        </w:rPr>
        <w:t>Declaração de que possui estrutura física adequada e compatível com a oferta de serviços realizada, nos termos definidos neste Termo de Referência e em conformidade com as normas técnicas e legislação sanitária vigentes.</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sz w:val="22"/>
          <w:szCs w:val="22"/>
        </w:rPr>
        <w:t>DOCUMENTOS RELATIVOS À OFERTA DE SERVIÇOS</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sz w:val="22"/>
          <w:szCs w:val="22"/>
        </w:rPr>
        <w:t xml:space="preserve">Requerimento de credenciamento, na forma do modelo disponível no Anexo I do Termo de Referência, composta também de declarações de cumprimento legais exigidos na lei de licitações, datado e assinado pelo representante legal; </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sz w:val="22"/>
          <w:szCs w:val="22"/>
        </w:rPr>
        <w:t>Quadro indicando sua capacidade instalada e o quantitativo de oferta de vagas mensais à SEMAS, nos termos das condições estabelecidas no edital, na forma do modelo disponível no Anexo II do Termo de Referência, datado e assinado pelo representante legal.</w:t>
      </w:r>
    </w:p>
    <w:p>
      <w:pPr>
        <w:pStyle w:val="normal1"/>
        <w:numPr>
          <w:ilvl w:val="2"/>
          <w:numId w:val="6"/>
        </w:numPr>
        <w:spacing w:lineRule="auto" w:line="360"/>
        <w:ind w:hanging="504" w:start="1224"/>
        <w:jc w:val="both"/>
        <w:rPr>
          <w:sz w:val="22"/>
          <w:szCs w:val="22"/>
        </w:rPr>
      </w:pPr>
      <w:r>
        <w:rPr>
          <w:sz w:val="22"/>
          <w:szCs w:val="22"/>
        </w:rPr>
        <w:t>Após a entrega dos documentos para habilitação, não será permitida a substituição ou a apresentação de novos documentos, salvo em sede de diligência, nos termos do Art. 64 da Lei 14.133/2021.</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sz w:val="22"/>
          <w:szCs w:val="22"/>
        </w:rPr>
        <w:t>Somente será aceita como oferta máxima a demanda total apresentada pela Secretaria Municipal de Assistência Social no Termo de Referência.</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DOCUMENTAÇÃO COMPLEMENTAR</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position w:val="0"/>
          <w:sz w:val="22"/>
          <w:sz w:val="22"/>
          <w:szCs w:val="22"/>
          <w:vertAlign w:val="baseline"/>
        </w:rPr>
        <w:t>Declarar expressamente, devendo utilizar o modelo Anexo I do Termo de Referência, que:</w:t>
      </w:r>
    </w:p>
    <w:p>
      <w:pPr>
        <w:pStyle w:val="normal1"/>
        <w:keepNext w:val="false"/>
        <w:keepLines w:val="false"/>
        <w:pageBreakBefore w:val="false"/>
        <w:widowControl/>
        <w:numPr>
          <w:ilvl w:val="3"/>
          <w:numId w:val="6"/>
        </w:numPr>
        <w:pBdr/>
        <w:shd w:val="clear" w:fill="auto"/>
        <w:spacing w:lineRule="auto" w:line="360" w:before="240" w:after="120"/>
        <w:ind w:hanging="648" w:start="1728" w:end="0"/>
        <w:jc w:val="both"/>
        <w:rPr>
          <w:sz w:val="22"/>
          <w:szCs w:val="22"/>
        </w:rPr>
      </w:pPr>
      <w:r>
        <w:rPr>
          <w:position w:val="0"/>
          <w:sz w:val="22"/>
          <w:sz w:val="22"/>
          <w:szCs w:val="22"/>
          <w:vertAlign w:val="baseline"/>
        </w:rPr>
        <w:t>cumpre e acata as normas estabelecidas no edital, estando plenamente ciente do teor e da extensão deste documento, que cumpre os requisitos de habilitação, que encaminha em anexo os documentos necessários assumindo a responsabilidade pela autenticidade destes, sujeitando-se às penalidades legais;</w:t>
      </w:r>
    </w:p>
    <w:p>
      <w:pPr>
        <w:pStyle w:val="normal1"/>
        <w:keepNext w:val="false"/>
        <w:keepLines w:val="false"/>
        <w:pageBreakBefore w:val="false"/>
        <w:widowControl/>
        <w:numPr>
          <w:ilvl w:val="3"/>
          <w:numId w:val="6"/>
        </w:numPr>
        <w:pBdr/>
        <w:shd w:val="clear" w:fill="auto"/>
        <w:spacing w:lineRule="auto" w:line="360" w:before="240" w:after="120"/>
        <w:ind w:hanging="648" w:start="1728" w:end="0"/>
        <w:jc w:val="both"/>
        <w:rPr>
          <w:sz w:val="22"/>
          <w:szCs w:val="22"/>
        </w:rPr>
      </w:pPr>
      <w:r>
        <w:rPr>
          <w:position w:val="0"/>
          <w:sz w:val="22"/>
          <w:sz w:val="22"/>
          <w:szCs w:val="22"/>
          <w:vertAlign w:val="baseline"/>
        </w:rPr>
        <w:t>não é estrangeira sem representação legal no Brasil com poderes expressos para receber citação e responder administrativa e judicialmente;</w:t>
      </w:r>
    </w:p>
    <w:p>
      <w:pPr>
        <w:pStyle w:val="normal1"/>
        <w:keepNext w:val="false"/>
        <w:keepLines w:val="false"/>
        <w:pageBreakBefore w:val="false"/>
        <w:widowControl/>
        <w:numPr>
          <w:ilvl w:val="3"/>
          <w:numId w:val="6"/>
        </w:numPr>
        <w:pBdr/>
        <w:shd w:val="clear" w:fill="auto"/>
        <w:spacing w:lineRule="auto" w:line="360" w:before="240" w:after="120"/>
        <w:ind w:hanging="648" w:start="1728" w:end="0"/>
        <w:jc w:val="both"/>
        <w:rPr>
          <w:sz w:val="22"/>
          <w:szCs w:val="22"/>
        </w:rPr>
      </w:pPr>
      <w:r>
        <w:rPr>
          <w:position w:val="0"/>
          <w:sz w:val="22"/>
          <w:sz w:val="22"/>
          <w:szCs w:val="22"/>
          <w:vertAlign w:val="baseline"/>
        </w:rPr>
        <w:t>não emprega menores de 18 (dezoito) anos em trabalho noturno, perigoso ou insalubre e de qualquer trabalho a menores de 16 (dezesseis) anos, salvo na condição de aprendiz, a partir de 14 (quatorze) anos, nos termos do art. 7°, XXXIII, da Constituição da República de 1988;</w:t>
      </w:r>
    </w:p>
    <w:p>
      <w:pPr>
        <w:pStyle w:val="normal1"/>
        <w:keepNext w:val="false"/>
        <w:keepLines w:val="false"/>
        <w:pageBreakBefore w:val="false"/>
        <w:widowControl/>
        <w:numPr>
          <w:ilvl w:val="3"/>
          <w:numId w:val="6"/>
        </w:numPr>
        <w:pBdr/>
        <w:shd w:val="clear" w:fill="auto"/>
        <w:spacing w:lineRule="auto" w:line="360" w:before="240" w:after="120"/>
        <w:ind w:hanging="648" w:start="1728" w:end="0"/>
        <w:jc w:val="both"/>
        <w:rPr>
          <w:sz w:val="22"/>
          <w:szCs w:val="22"/>
        </w:rPr>
      </w:pPr>
      <w:r>
        <w:rPr>
          <w:position w:val="0"/>
          <w:sz w:val="22"/>
          <w:sz w:val="22"/>
          <w:szCs w:val="22"/>
          <w:vertAlign w:val="baseline"/>
        </w:rPr>
        <w:t>cumpre as exigências de reserva de cargos para pessoa com deficiência e para reabilitado da Previdência Social, previstas em lei e em outras normas específicas.</w:t>
      </w:r>
    </w:p>
    <w:p>
      <w:pPr>
        <w:pStyle w:val="normal1"/>
        <w:keepNext w:val="false"/>
        <w:keepLines w:val="false"/>
        <w:pageBreakBefore w:val="false"/>
        <w:widowControl/>
        <w:numPr>
          <w:ilvl w:val="3"/>
          <w:numId w:val="6"/>
        </w:numPr>
        <w:pBdr/>
        <w:shd w:val="clear" w:fill="auto"/>
        <w:spacing w:lineRule="auto" w:line="360" w:before="240" w:after="120"/>
        <w:ind w:hanging="648" w:start="1728" w:end="0"/>
        <w:jc w:val="both"/>
        <w:rPr>
          <w:sz w:val="22"/>
          <w:szCs w:val="22"/>
        </w:rPr>
      </w:pPr>
      <w:r>
        <w:rPr>
          <w:position w:val="0"/>
          <w:sz w:val="22"/>
          <w:sz w:val="22"/>
          <w:szCs w:val="22"/>
          <w:vertAlign w:val="baseline"/>
        </w:rPr>
        <w:t>não é inidônea para licitar e contratar com a Administração Pública, nem está suspensa ou impedida de licitar ou contratar com nenhum órgão público, federal, estadual ou municipal e que até esta data  inexistem fatos supervenientes impeditivos para sua habilitação no presente processo, ciente da obrigatoriedade de declarar ocorrências posteriores.</w:t>
      </w:r>
    </w:p>
    <w:p>
      <w:pPr>
        <w:pStyle w:val="normal1"/>
        <w:keepNext w:val="false"/>
        <w:keepLines w:val="false"/>
        <w:pageBreakBefore w:val="false"/>
        <w:widowControl/>
        <w:numPr>
          <w:ilvl w:val="3"/>
          <w:numId w:val="6"/>
        </w:numPr>
        <w:pBdr/>
        <w:shd w:val="clear" w:fill="auto"/>
        <w:spacing w:lineRule="auto" w:line="360" w:before="240" w:after="120"/>
        <w:ind w:hanging="648" w:start="1728" w:end="0"/>
        <w:jc w:val="both"/>
        <w:rPr>
          <w:sz w:val="22"/>
          <w:szCs w:val="22"/>
        </w:rPr>
      </w:pPr>
      <w:r>
        <w:rPr>
          <w:position w:val="0"/>
          <w:sz w:val="22"/>
          <w:sz w:val="22"/>
          <w:szCs w:val="22"/>
          <w:vertAlign w:val="baseline"/>
        </w:rPr>
        <w:t>não mantém vínculo de natureza técnica, comercial, econômica, financeira, trabalhista ou civil com dirigente do órgão ou entidade contratante ou com agente público que desempenhe função no credenciamento ou atue na fiscalização ou na gestão do contrato, ou que deles seja cônjuge, companheiro ou parente em linha reta, colateral ou por afinidade, até o terceiro grau;</w:t>
      </w:r>
    </w:p>
    <w:p>
      <w:pPr>
        <w:pStyle w:val="normal1"/>
        <w:keepNext w:val="false"/>
        <w:keepLines w:val="false"/>
        <w:pageBreakBefore w:val="false"/>
        <w:widowControl/>
        <w:numPr>
          <w:ilvl w:val="3"/>
          <w:numId w:val="6"/>
        </w:numPr>
        <w:pBdr/>
        <w:shd w:val="clear" w:fill="auto"/>
        <w:spacing w:lineRule="auto" w:line="360" w:before="240" w:after="120"/>
        <w:ind w:hanging="648" w:start="1728" w:end="0"/>
        <w:jc w:val="both"/>
        <w:rPr>
          <w:sz w:val="22"/>
          <w:szCs w:val="22"/>
        </w:rPr>
      </w:pPr>
      <w:r>
        <w:rPr>
          <w:position w:val="0"/>
          <w:sz w:val="22"/>
          <w:sz w:val="22"/>
          <w:szCs w:val="22"/>
          <w:vertAlign w:val="baseline"/>
        </w:rPr>
        <w:t>não possui, nos 5 (cinco) anos anteriores à divulgação do edital, condenação judicial, com trânsito em julgado, por exploração de trabalho infantil, por submissão de trabalhadores a condições análogas às de escravo ou por contratação de adolescentes nos casos vedados pela legislação trabalhista;</w:t>
      </w:r>
    </w:p>
    <w:p>
      <w:pPr>
        <w:pStyle w:val="normal1"/>
        <w:keepNext w:val="false"/>
        <w:keepLines w:val="false"/>
        <w:pageBreakBefore w:val="false"/>
        <w:widowControl/>
        <w:numPr>
          <w:ilvl w:val="3"/>
          <w:numId w:val="6"/>
        </w:numPr>
        <w:pBdr/>
        <w:shd w:val="clear" w:fill="auto"/>
        <w:spacing w:lineRule="auto" w:line="360" w:before="240" w:after="120"/>
        <w:ind w:hanging="648" w:start="1728" w:end="0"/>
        <w:jc w:val="both"/>
        <w:rPr>
          <w:sz w:val="22"/>
          <w:szCs w:val="22"/>
        </w:rPr>
      </w:pPr>
      <w:r>
        <w:rPr>
          <w:position w:val="0"/>
          <w:sz w:val="22"/>
          <w:sz w:val="22"/>
          <w:szCs w:val="22"/>
          <w:vertAlign w:val="baseline"/>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1"/>
        <w:keepNext w:val="false"/>
        <w:keepLines w:val="false"/>
        <w:pageBreakBefore w:val="false"/>
        <w:widowControl/>
        <w:numPr>
          <w:ilvl w:val="3"/>
          <w:numId w:val="6"/>
        </w:numPr>
        <w:pBdr/>
        <w:shd w:val="clear" w:fill="auto"/>
        <w:spacing w:lineRule="auto" w:line="360" w:before="240" w:after="120"/>
        <w:ind w:hanging="648" w:start="1728" w:end="0"/>
        <w:jc w:val="both"/>
        <w:rPr>
          <w:sz w:val="22"/>
          <w:szCs w:val="22"/>
        </w:rPr>
      </w:pPr>
      <w:r>
        <w:rPr>
          <w:position w:val="0"/>
          <w:sz w:val="22"/>
          <w:sz w:val="22"/>
          <w:szCs w:val="22"/>
          <w:vertAlign w:val="baseline"/>
        </w:rPr>
        <w:t>compromete-se a manter sigilo e confidencialidade de todas as informações – em especial os dados pessoais e os dados pessoais sensíveis – repassadas em decorrência da execução contratual, em consonância com o disposto na Lei n. 13.709/2018, sendo vedado o repasse das informações a outras empresas ou pessoas, salvo aquelas decorrentes de obrigações legais ou para viabilizar o cumprimento do instrumento contratual.</w:t>
      </w:r>
    </w:p>
    <w:p>
      <w:pPr>
        <w:pStyle w:val="normal1"/>
        <w:numPr>
          <w:ilvl w:val="3"/>
          <w:numId w:val="6"/>
        </w:numPr>
        <w:spacing w:lineRule="auto" w:line="360"/>
        <w:ind w:hanging="648" w:start="1728"/>
        <w:jc w:val="both"/>
        <w:rPr>
          <w:sz w:val="22"/>
          <w:szCs w:val="22"/>
        </w:rPr>
      </w:pPr>
      <w:r>
        <w:rPr>
          <w:sz w:val="22"/>
          <w:szCs w:val="22"/>
        </w:rPr>
        <w:t>Os documentos deverão ser apresentados em meio eletrônico no formato PDF (Portable Document Format), sendo que o interessado ficará responsável pela veracidade das informações prestadas no requerimento e nos documentos remetidos.</w:t>
      </w:r>
    </w:p>
    <w:p>
      <w:pPr>
        <w:pStyle w:val="normal1"/>
        <w:numPr>
          <w:ilvl w:val="3"/>
          <w:numId w:val="6"/>
        </w:numPr>
        <w:spacing w:lineRule="auto" w:line="360"/>
        <w:ind w:hanging="648" w:start="1728"/>
        <w:jc w:val="both"/>
        <w:rPr>
          <w:sz w:val="24"/>
          <w:szCs w:val="24"/>
          <w:highlight w:val="white"/>
        </w:rPr>
      </w:pPr>
      <w:r>
        <w:rPr>
          <w:sz w:val="22"/>
          <w:szCs w:val="22"/>
        </w:rPr>
        <w:t>Os documentos necessários à habilitação deverão estar com prazo vigente.</w:t>
      </w:r>
    </w:p>
    <w:p>
      <w:pPr>
        <w:pStyle w:val="normal1"/>
        <w:numPr>
          <w:ilvl w:val="3"/>
          <w:numId w:val="6"/>
        </w:numPr>
        <w:spacing w:lineRule="auto" w:line="360"/>
        <w:ind w:hanging="648" w:start="1728"/>
        <w:jc w:val="both"/>
        <w:rPr>
          <w:sz w:val="24"/>
          <w:szCs w:val="24"/>
        </w:rPr>
      </w:pPr>
      <w:r>
        <w:rPr>
          <w:sz w:val="22"/>
          <w:szCs w:val="22"/>
        </w:rPr>
        <w:t>Os documentos que não indicarem o prazo de validade deverão ter sido expedidos em, no máximo, até 60 (sessenta) dias antes da data do requerimento de credenciamento, ressalvados aqueles com prazos indeterminados previstos em legislação pertinente.</w:t>
      </w:r>
    </w:p>
    <w:p>
      <w:pPr>
        <w:pStyle w:val="normal1"/>
        <w:numPr>
          <w:ilvl w:val="3"/>
          <w:numId w:val="6"/>
        </w:numPr>
        <w:spacing w:lineRule="auto" w:line="360"/>
        <w:ind w:hanging="648" w:start="1728"/>
        <w:jc w:val="both"/>
        <w:rPr>
          <w:sz w:val="24"/>
          <w:szCs w:val="24"/>
          <w:highlight w:val="white"/>
        </w:rPr>
      </w:pPr>
      <w:r>
        <w:rPr>
          <w:sz w:val="22"/>
          <w:szCs w:val="22"/>
        </w:rPr>
        <w:t>Os interessados deverão estar cientes da legislação que rege os prazos de validade das certidões emitidas pelos respectivos órgãos federais, estaduais e municipais.</w:t>
      </w:r>
    </w:p>
    <w:p>
      <w:pPr>
        <w:pStyle w:val="normal1"/>
        <w:numPr>
          <w:ilvl w:val="3"/>
          <w:numId w:val="6"/>
        </w:numPr>
        <w:spacing w:lineRule="auto" w:line="360"/>
        <w:ind w:hanging="648" w:start="1728"/>
        <w:jc w:val="both"/>
        <w:rPr>
          <w:sz w:val="24"/>
          <w:szCs w:val="24"/>
          <w:highlight w:val="white"/>
        </w:rPr>
      </w:pPr>
      <w:r>
        <w:rPr>
          <w:sz w:val="22"/>
          <w:szCs w:val="22"/>
        </w:rPr>
        <w:t>Serão aceitos documentos assinados digitalmente com padrão ICP-Brasil e aqueles emitidos online, cuja verificação da autenticidade possa ser confirmada através de qr-code, códigos de barra, sítios eletrônicos ou outros meios disponibilizados pelo emitente.</w:t>
      </w:r>
    </w:p>
    <w:p>
      <w:pPr>
        <w:pStyle w:val="normal1"/>
        <w:numPr>
          <w:ilvl w:val="3"/>
          <w:numId w:val="6"/>
        </w:numPr>
        <w:spacing w:lineRule="auto" w:line="360"/>
        <w:ind w:hanging="648" w:start="1728"/>
        <w:jc w:val="both"/>
        <w:rPr>
          <w:sz w:val="24"/>
          <w:szCs w:val="24"/>
          <w:highlight w:val="white"/>
        </w:rPr>
      </w:pPr>
      <w:r>
        <w:rPr>
          <w:sz w:val="22"/>
          <w:szCs w:val="22"/>
        </w:rPr>
        <w:t>O representante do interessado que subscrever os documentos apresentados deverá estar devidamente identificado no processo, acompanhado da respectiva representatividade e, quando for o caso, de procuração e documento de identidade.</w:t>
      </w:r>
    </w:p>
    <w:p>
      <w:pPr>
        <w:pStyle w:val="normal1"/>
        <w:keepNext w:val="false"/>
        <w:keepLines w:val="false"/>
        <w:pageBreakBefore w:val="false"/>
        <w:widowControl/>
        <w:numPr>
          <w:ilvl w:val="0"/>
          <w:numId w:val="6"/>
        </w:numPr>
        <w:pBdr/>
        <w:shd w:val="clear" w:fill="auto"/>
        <w:spacing w:lineRule="auto" w:line="360" w:before="240" w:after="120"/>
        <w:ind w:hanging="0" w:start="0" w:end="0"/>
        <w:jc w:val="both"/>
        <w:rPr>
          <w:sz w:val="22"/>
          <w:szCs w:val="22"/>
        </w:rPr>
      </w:pPr>
      <w:r>
        <w:rPr>
          <w:b/>
          <w:color w:val="000000"/>
          <w:position w:val="0"/>
          <w:sz w:val="22"/>
          <w:sz w:val="22"/>
          <w:szCs w:val="22"/>
          <w:vertAlign w:val="baseline"/>
        </w:rPr>
        <w:t>DA ANÁLISE DO REQUERIMENTO DE CREDENCIAMENTO</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position w:val="0"/>
          <w:sz w:val="22"/>
          <w:sz w:val="22"/>
          <w:szCs w:val="22"/>
          <w:vertAlign w:val="baseline"/>
        </w:rPr>
        <w:t>Para garantir a participação de todos os interessados, as condições instituídas no edital permitem que mais de um interessado seja credenciado pela Secretaria Municipal de</w:t>
      </w:r>
      <w:r>
        <w:rPr>
          <w:sz w:val="22"/>
          <w:szCs w:val="22"/>
        </w:rPr>
        <w:t xml:space="preserve"> Assistência Social</w:t>
      </w:r>
      <w:r>
        <w:rPr>
          <w:position w:val="0"/>
          <w:sz w:val="22"/>
          <w:sz w:val="22"/>
          <w:szCs w:val="22"/>
          <w:vertAlign w:val="baseline"/>
        </w:rPr>
        <w:t xml:space="preserve"> – SEMAS.</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position w:val="0"/>
          <w:sz w:val="22"/>
          <w:sz w:val="22"/>
          <w:szCs w:val="22"/>
          <w:vertAlign w:val="baseline"/>
        </w:rPr>
        <w:t>Os requerimentos para credenciamento serão analisados pelo Agente de Contratação devidamente designado, em atenção ao Art. 34 do Decreto 24.954 de 01 de março de 2023 e com fulcro no art. 07, da Lei Federal nº 14.133/2021, com vistas à homologação pelo Gestor da Pasta requisitante dos serviços.</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position w:val="0"/>
          <w:sz w:val="22"/>
          <w:sz w:val="22"/>
          <w:szCs w:val="22"/>
          <w:vertAlign w:val="baseline"/>
        </w:rPr>
        <w:t>Os documentos emitidos por sistema eletrônico serão aceitos pelo Agente de Contratação se verificada sua autenticidade no site do órgão emissor, e no caso de impossibilidade de acesso à Internet, observando-se que:</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position w:val="0"/>
          <w:sz w:val="22"/>
          <w:sz w:val="22"/>
          <w:szCs w:val="22"/>
          <w:vertAlign w:val="baseline"/>
        </w:rPr>
        <w:t>O Agente de Contração poderá suprir ou sanar, via internet, eventuais omissões ou falhas relativas aos documentos apresentados pelos interessados, mediante a inserção de documentos; e</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position w:val="0"/>
          <w:sz w:val="22"/>
          <w:sz w:val="22"/>
          <w:szCs w:val="22"/>
          <w:vertAlign w:val="baseline"/>
        </w:rPr>
        <w:t>Na impossibilidade de obtenção dos documentos em razão de insuficiência de informações ou de acesso aos sítios oficiais de órgãos e/ou entidades emissoras, o Agente de Contratação diligenciará à interessada para que, em 5 (cinco) dias úteis a partir da comunicação, apresente o que lhe for solicitado, sob pena de não obtenção do credenciamento.</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position w:val="0"/>
          <w:sz w:val="22"/>
          <w:sz w:val="22"/>
          <w:szCs w:val="22"/>
          <w:vertAlign w:val="baseline"/>
        </w:rPr>
        <w:t>O Agente de Contratação poderá solicitar manifestação escrita do setor requisitante dos serviços ou de áreas técnicas afins, quando necessário, quanto ao cumprimento das condições da qualificação técnica ou da oferta de serviços dos interessados.</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position w:val="0"/>
          <w:sz w:val="22"/>
          <w:sz w:val="22"/>
          <w:szCs w:val="22"/>
          <w:vertAlign w:val="baseline"/>
        </w:rPr>
        <w:t xml:space="preserve">O Agente de Contratação terá o prazo de </w:t>
      </w:r>
      <w:r>
        <w:rPr>
          <w:sz w:val="22"/>
          <w:szCs w:val="22"/>
        </w:rPr>
        <w:t>30</w:t>
      </w:r>
      <w:r>
        <w:rPr>
          <w:position w:val="0"/>
          <w:sz w:val="22"/>
          <w:sz w:val="22"/>
          <w:szCs w:val="22"/>
          <w:vertAlign w:val="baseline"/>
        </w:rPr>
        <w:t xml:space="preserve"> (</w:t>
      </w:r>
      <w:r>
        <w:rPr>
          <w:sz w:val="22"/>
          <w:szCs w:val="22"/>
        </w:rPr>
        <w:t>trinta</w:t>
      </w:r>
      <w:r>
        <w:rPr>
          <w:position w:val="0"/>
          <w:sz w:val="22"/>
          <w:sz w:val="22"/>
          <w:szCs w:val="22"/>
          <w:vertAlign w:val="baseline"/>
        </w:rPr>
        <w:t xml:space="preserve">) dias úteis para aprovar o requerimento de credenciamento ou sua atualização, ficando este prazo suspenso, nas hipóteses anteriormente previstas para realização de diligências ou de manifestação das áreas técnicas. </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position w:val="0"/>
          <w:sz w:val="22"/>
          <w:sz w:val="22"/>
          <w:szCs w:val="22"/>
          <w:vertAlign w:val="baseline"/>
        </w:rPr>
        <w:t>Os prazos da análise dos requerimentos de credenciamento poderão ser suspensos, mediante justificativa documentada nos autos, aprovadas pelo Gestor da pasta.</w:t>
      </w:r>
    </w:p>
    <w:p>
      <w:pPr>
        <w:pStyle w:val="normal1"/>
        <w:keepNext w:val="false"/>
        <w:keepLines w:val="false"/>
        <w:pageBreakBefore w:val="false"/>
        <w:widowControl/>
        <w:numPr>
          <w:ilvl w:val="0"/>
          <w:numId w:val="6"/>
        </w:numPr>
        <w:pBdr/>
        <w:shd w:val="clear" w:fill="auto"/>
        <w:spacing w:lineRule="auto" w:line="360" w:before="240" w:after="120"/>
        <w:ind w:hanging="0" w:start="0" w:end="0"/>
        <w:jc w:val="both"/>
        <w:rPr>
          <w:sz w:val="22"/>
          <w:szCs w:val="22"/>
        </w:rPr>
      </w:pPr>
      <w:r>
        <w:rPr>
          <w:b/>
          <w:color w:val="000000"/>
          <w:position w:val="0"/>
          <w:sz w:val="22"/>
          <w:sz w:val="22"/>
          <w:szCs w:val="22"/>
          <w:vertAlign w:val="baseline"/>
        </w:rPr>
        <w:t>DA HOMOLOGAÇÃO DO CREDENCIAMENTO</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Todos os interessados que preencherem os requisitos constantes no edital serão credenciados.</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O Gestor da pasta requisitante procederá à homologação de cada credenciamento após instrução favorável do Agente de Contratação.</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Homologado o credenciamento, será realizada a publicação oficial.</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A lista contendo a ordem do credenciamento dos interessados será disponibilizada no sítio eletrônico da Prefeitura Municipal de Florianópolis.</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A homologação do requerimento vincula a credenciada, sujeitando-a, integralmente, às condições estabelecidas no edital.</w:t>
      </w:r>
    </w:p>
    <w:p>
      <w:pPr>
        <w:pStyle w:val="normal1"/>
        <w:keepNext w:val="false"/>
        <w:keepLines w:val="false"/>
        <w:pageBreakBefore w:val="false"/>
        <w:widowControl/>
        <w:pBdr/>
        <w:shd w:val="clear" w:fill="auto"/>
        <w:spacing w:lineRule="auto" w:line="360" w:before="240" w:after="120"/>
        <w:ind w:hanging="0" w:start="792" w:end="0"/>
        <w:jc w:val="both"/>
        <w:rPr>
          <w:sz w:val="22"/>
          <w:szCs w:val="22"/>
        </w:rPr>
      </w:pPr>
      <w:r>
        <w:rPr>
          <w:sz w:val="22"/>
          <w:szCs w:val="22"/>
        </w:rPr>
      </w:r>
    </w:p>
    <w:p>
      <w:pPr>
        <w:pStyle w:val="normal1"/>
        <w:keepNext w:val="false"/>
        <w:keepLines w:val="false"/>
        <w:pageBreakBefore w:val="false"/>
        <w:widowControl/>
        <w:numPr>
          <w:ilvl w:val="0"/>
          <w:numId w:val="6"/>
        </w:numPr>
        <w:pBdr/>
        <w:shd w:val="clear" w:fill="auto"/>
        <w:spacing w:lineRule="auto" w:line="360" w:before="240" w:after="120"/>
        <w:ind w:hanging="0" w:start="0" w:end="0"/>
        <w:jc w:val="both"/>
        <w:rPr>
          <w:sz w:val="22"/>
          <w:szCs w:val="22"/>
        </w:rPr>
      </w:pPr>
      <w:r>
        <w:rPr>
          <w:b/>
          <w:color w:val="000000"/>
          <w:position w:val="0"/>
          <w:sz w:val="22"/>
          <w:sz w:val="22"/>
          <w:szCs w:val="22"/>
          <w:vertAlign w:val="baseline"/>
        </w:rPr>
        <w:t>DO DESCREDENCIAMENTO</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A credenciada que desejar se descredenciar deverá fazê-lo mediante o encaminhamento do requerimento assinado pelo responsável legal ou procurador e no formato PDF para o e-mail</w:t>
      </w:r>
      <w:r>
        <w:rPr>
          <w:sz w:val="22"/>
          <w:szCs w:val="22"/>
        </w:rPr>
        <w:t xml:space="preserve"> </w:t>
      </w:r>
      <w:hyperlink r:id="rId4">
        <w:r>
          <w:rPr>
            <w:rStyle w:val="Style3"/>
            <w:sz w:val="22"/>
            <w:szCs w:val="22"/>
          </w:rPr>
          <w:t>gerencialicitacao@pmf.sc.gov.br</w:t>
        </w:r>
      </w:hyperlink>
      <w:r>
        <w:rPr>
          <w:sz w:val="22"/>
          <w:szCs w:val="22"/>
        </w:rPr>
        <w:t>.</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O pedido de descredenciamento, sem a aplicação de penalidades administrativas, poderá se dar antes do aceite para assinatura do contrato, ou relativamente a novos contratos com o mesmo objeto. Após a contratação, as hipóteses de rescisão serão regidas pelos próprios instrumentos contratuais.</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O descredenciamento por ato da administração pública poderá se dar, dentre outras hipóteses condizentes com o objeto do credenciamento:</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Por desinteresse da administração no objeto, devidamente fundamentado no processo administrativo respectivo;</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Por descumprimento das condições mínimas para a contratação por parte dos credenciados;</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Pela rescisão do contrato decorrente do credenciamento por culpa do credenciado;</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Pela aplicação das penalidades de impedimento de licitar e contratar com a administração pública ou Declaração de Inidoneidade.</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A ausência de manutenção das condições iniciais, o descumprimento das exigências do edital, do contrato ou da legislação pertinente poderá ensejar o descredenciamento do interessado, observado o contraditório e a ampla defesa.</w:t>
      </w:r>
    </w:p>
    <w:p>
      <w:pPr>
        <w:pStyle w:val="normal1"/>
        <w:keepNext w:val="false"/>
        <w:keepLines w:val="false"/>
        <w:pageBreakBefore w:val="false"/>
        <w:widowControl/>
        <w:numPr>
          <w:ilvl w:val="0"/>
          <w:numId w:val="6"/>
        </w:numPr>
        <w:pBdr/>
        <w:shd w:val="clear" w:fill="auto"/>
        <w:spacing w:lineRule="auto" w:line="360" w:before="240" w:after="120"/>
        <w:ind w:hanging="0" w:start="0" w:end="0"/>
        <w:jc w:val="both"/>
        <w:rPr>
          <w:sz w:val="22"/>
          <w:szCs w:val="22"/>
        </w:rPr>
      </w:pPr>
      <w:r>
        <w:rPr>
          <w:b/>
          <w:color w:val="000000"/>
          <w:position w:val="0"/>
          <w:sz w:val="22"/>
          <w:sz w:val="22"/>
          <w:szCs w:val="22"/>
          <w:vertAlign w:val="baseline"/>
        </w:rPr>
        <w:t>DOS RECURSOS</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Da decisão que indeferir o requerimento de credenciamento ou que declarar o descredenciamento caberá recurso no prazo de 3 (três) dias úteis, a contar da publicação oficial, assegurada a ampla defesa e o contraditório.</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 xml:space="preserve">Os recursos interpostos serão conhecidos, nos termos do art. 165 da Lei nº 14.133, de 2021, se endereçados diretamente à Secretaria Municipal de Licitações e Parcerias e enviados eletronicamente pela interessada para o endereço eletrônico  </w:t>
      </w:r>
      <w:hyperlink r:id="rId5">
        <w:r>
          <w:rPr>
            <w:rStyle w:val="Style3"/>
            <w:color w:val="000000"/>
            <w:position w:val="0"/>
            <w:sz w:val="22"/>
            <w:sz w:val="22"/>
            <w:szCs w:val="22"/>
            <w:u w:val="single"/>
            <w:vertAlign w:val="baseline"/>
          </w:rPr>
          <w:t>gerencialicitacao@pmf.sc.gov.br</w:t>
        </w:r>
      </w:hyperlink>
      <w:r>
        <w:rPr>
          <w:color w:val="000000"/>
          <w:position w:val="0"/>
          <w:sz w:val="22"/>
          <w:sz w:val="22"/>
          <w:szCs w:val="22"/>
          <w:vertAlign w:val="baseline"/>
        </w:rPr>
        <w:t>.</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Não serão reconhecidos os recursos apresentados fora do prazo legal e/ou subscritos por representante não habilitado legalmente ou não identificado no processo para responder pelo interessado.</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Os interessados poderão recorrer da homologação, apresentando suas razões devidamente fundamentadas e por escrito, observado o prazo estabelecido no edital, ficando autorizada vista do seu processo administrativo de análise do requerimento de credenciamento.</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O recurso limitar-se-á a questões de habilitação, considerando, exclusivamente, a documentação apresentada no ato da inscrição, não sendo considerado documento anexado em fase de recurso.</w:t>
      </w:r>
    </w:p>
    <w:p>
      <w:pPr>
        <w:pStyle w:val="normal1"/>
        <w:keepNext w:val="false"/>
        <w:keepLines w:val="false"/>
        <w:pageBreakBefore w:val="false"/>
        <w:widowControl/>
        <w:pBdr/>
        <w:shd w:val="clear" w:fill="auto"/>
        <w:spacing w:lineRule="auto" w:line="360" w:before="240" w:after="120"/>
        <w:ind w:hanging="0" w:start="792" w:end="0"/>
        <w:jc w:val="both"/>
        <w:rPr>
          <w:sz w:val="22"/>
          <w:szCs w:val="22"/>
        </w:rPr>
      </w:pPr>
      <w:r>
        <w:rPr>
          <w:sz w:val="22"/>
          <w:szCs w:val="22"/>
        </w:rPr>
      </w:r>
    </w:p>
    <w:p>
      <w:pPr>
        <w:pStyle w:val="normal1"/>
        <w:keepNext w:val="false"/>
        <w:keepLines w:val="false"/>
        <w:pageBreakBefore w:val="false"/>
        <w:widowControl/>
        <w:numPr>
          <w:ilvl w:val="0"/>
          <w:numId w:val="6"/>
        </w:numPr>
        <w:pBdr/>
        <w:shd w:val="clear" w:fill="auto"/>
        <w:spacing w:lineRule="auto" w:line="360" w:before="240" w:after="120"/>
        <w:ind w:hanging="0" w:start="0" w:end="0"/>
        <w:jc w:val="both"/>
        <w:rPr>
          <w:sz w:val="22"/>
          <w:szCs w:val="22"/>
        </w:rPr>
      </w:pPr>
      <w:r>
        <w:rPr>
          <w:b/>
          <w:color w:val="000000"/>
          <w:position w:val="0"/>
          <w:sz w:val="22"/>
          <w:sz w:val="22"/>
          <w:szCs w:val="22"/>
          <w:vertAlign w:val="baseline"/>
        </w:rPr>
        <w:t>DA SESSÃO E CRITÉRIOS PARA DISTRIBUIÇÃO DA DEMANDA</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 xml:space="preserve">Será agendada sessão pública para realização da distribuição da demanda, em prazo não inferior a </w:t>
      </w:r>
      <w:r>
        <w:rPr>
          <w:sz w:val="22"/>
          <w:szCs w:val="22"/>
        </w:rPr>
        <w:t>05 (cinco)</w:t>
      </w:r>
      <w:r>
        <w:rPr>
          <w:color w:val="000000"/>
          <w:position w:val="0"/>
          <w:sz w:val="22"/>
          <w:sz w:val="22"/>
          <w:szCs w:val="22"/>
          <w:vertAlign w:val="baseline"/>
        </w:rPr>
        <w:t xml:space="preserve"> dias da abertura do edital, conforme prazo mínimo para recebimento de propostas determinado no art. 50, § 5º do Decreto Municipal n. 24.954 de 1º de março de 2023.</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A sessão deverá ser agendada em até 30 dias da efetivação do primeiro credenciamento, salvo justificativa devidamente documentada nos autos, e respeitado o prazo mínimo para recebimento das propostas.</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 xml:space="preserve">A data e horário da sessão deverão ser divulgados na publicação oficial com no mínimo 05 (cinco) dias de antecedência e informados diretamente ao e-mail dos prestadores já credenciados para o referido edital. </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Poderão participar da distribuição da demanda todos os prestadores credenciados até a data da sessão.</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É responsabilidade do interessado encaminhar o requerimento de credenciamento em tempo hábil, observando os prazos para análise dispostos no edital, para que consiga estar credenciado até a data da sessão de distribuição da demanda.</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É facultativa a participação de um representante do credenciado na sessão de distribuição da demanda que deverá, nesta oportunidade, ratificar ou questionar os métodos realizados.</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sz w:val="22"/>
          <w:szCs w:val="22"/>
        </w:rPr>
        <w:t xml:space="preserve">A distribuição da demanda será feita gradualmente, conforme os critérios abaixo, até o atendimento completo das necessidades da administração pública: </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sz w:val="22"/>
          <w:szCs w:val="22"/>
        </w:rPr>
        <w:t>Havendo mais de um participante no credenciamento será adotado os seguintes critérios:</w:t>
      </w:r>
    </w:p>
    <w:p>
      <w:pPr>
        <w:pStyle w:val="normal1"/>
        <w:keepNext w:val="false"/>
        <w:keepLines w:val="false"/>
        <w:pageBreakBefore w:val="false"/>
        <w:widowControl/>
        <w:numPr>
          <w:ilvl w:val="3"/>
          <w:numId w:val="6"/>
        </w:numPr>
        <w:pBdr/>
        <w:shd w:val="clear" w:fill="auto"/>
        <w:spacing w:lineRule="auto" w:line="360" w:before="240" w:after="120"/>
        <w:ind w:hanging="648" w:start="1728" w:end="0"/>
        <w:jc w:val="both"/>
        <w:rPr>
          <w:sz w:val="22"/>
          <w:szCs w:val="22"/>
        </w:rPr>
      </w:pPr>
      <w:r>
        <w:rPr>
          <w:sz w:val="22"/>
          <w:szCs w:val="22"/>
        </w:rPr>
        <w:t xml:space="preserve">1º Critério: Menor de distância em linha reta a partir do Terminal de Integração do Centro – TICEN, utilizando como parâmetro a ferramenta Google maps; </w:t>
      </w:r>
    </w:p>
    <w:p>
      <w:pPr>
        <w:pStyle w:val="normal1"/>
        <w:keepNext w:val="false"/>
        <w:keepLines w:val="false"/>
        <w:pageBreakBefore w:val="false"/>
        <w:widowControl/>
        <w:numPr>
          <w:ilvl w:val="3"/>
          <w:numId w:val="6"/>
        </w:numPr>
        <w:pBdr/>
        <w:shd w:val="clear" w:fill="auto"/>
        <w:spacing w:lineRule="auto" w:line="360" w:before="240" w:after="120"/>
        <w:ind w:hanging="648" w:start="1728" w:end="0"/>
        <w:jc w:val="both"/>
        <w:rPr>
          <w:sz w:val="22"/>
          <w:szCs w:val="22"/>
        </w:rPr>
      </w:pPr>
      <w:r>
        <w:rPr>
          <w:sz w:val="22"/>
          <w:szCs w:val="22"/>
        </w:rPr>
        <w:t xml:space="preserve">2º Critério: ordem de recebimento das propostas dos credenciados; </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sz w:val="22"/>
          <w:szCs w:val="22"/>
        </w:rPr>
        <w:t>Será observada a ordem de recebimento das propostas dos credenciados como critério de desempate para a distribuição da demanda, sempre que necessário.</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sz w:val="22"/>
          <w:szCs w:val="22"/>
        </w:rPr>
        <w:t>O credenciado deverá registrar sua desistência por escrito, podendo ser por meio de e-mail, logo após a realização da sessão de distribuição da demanda.</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sz w:val="22"/>
          <w:szCs w:val="22"/>
        </w:rPr>
        <w:t>Aquele que desistir da oferta de serviços após a distribuição da demanda será descredenciado e não permanecerá na fila de prestadores credenciados.</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sz w:val="22"/>
          <w:szCs w:val="22"/>
        </w:rPr>
        <w:t>Restando ainda saldo da demanda inicialmente prevista, esta ficará disponível para distribuição aos novos credenciados durante a vigência do edital.</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sz w:val="22"/>
          <w:szCs w:val="22"/>
        </w:rPr>
        <w:t>Na hipótese de toda a demanda do edital ter sido distribuída e ocorrendo o credenciamento de novos interessados, estes permanecerão na fila de prestadores credenciados aguardando a desistência ou rescisão contratual de algum prestador de serviços.</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sz w:val="22"/>
          <w:szCs w:val="22"/>
        </w:rPr>
        <w:t>Observada a ordem do credenciamento, o rodízio deverá ser realizado a cada autorização de fornecimento (AF) a qual constará a relação da composição familiar e deverá priorizar a acomodação de todos os integrantes da mesma família em tantos quartos quanto forem necessários a manutenção do arranjo familiar.</w:t>
      </w:r>
    </w:p>
    <w:p>
      <w:pPr>
        <w:pStyle w:val="normal1"/>
        <w:keepNext w:val="false"/>
        <w:keepLines w:val="false"/>
        <w:pageBreakBefore w:val="false"/>
        <w:widowControl/>
        <w:numPr>
          <w:ilvl w:val="0"/>
          <w:numId w:val="6"/>
        </w:numPr>
        <w:pBdr/>
        <w:shd w:val="clear" w:fill="auto"/>
        <w:spacing w:lineRule="auto" w:line="360" w:before="240" w:after="120"/>
        <w:ind w:hanging="0" w:start="0" w:end="0"/>
        <w:jc w:val="both"/>
        <w:rPr>
          <w:sz w:val="22"/>
          <w:szCs w:val="22"/>
        </w:rPr>
      </w:pPr>
      <w:r>
        <w:rPr>
          <w:b/>
          <w:color w:val="000000"/>
          <w:position w:val="0"/>
          <w:sz w:val="22"/>
          <w:sz w:val="22"/>
          <w:szCs w:val="22"/>
          <w:vertAlign w:val="baseline"/>
        </w:rPr>
        <w:t>DAS INFRAÇÕES ADMINISTRATIVAS E SANÇÕES</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 xml:space="preserve">Comete infração administrativa, nos termos da lei, o licitante que, com dolo ou culpa: </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Deixar de entregar a documentação exigida para o certame ou não entregar qualquer documento que tenha sido solicitado pelo/a pregoeiro/a durante o certame;</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Salvo em decorrência de fato superveniente devidamente justificado, não mantiver a proposta, em especial quando:</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 xml:space="preserve">Recusar-se a enviar o detalhamento da proposta quando exigível; </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Não celebrar o contrato ou não entregar a documentação exigida para a contratação, quando convocado dentro do prazo de validade de sua proposta;</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Recusar-se, sem justificativa, a assinar o contrato, ou a aceitar ou retirar o instrumento equivalente no prazo estabelecido pela Administração;</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Apresentar declaração ou documentação falsa exigida para o certame ou prestar declaração falsa durante a licitação;</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Fraudar a licitação;</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Comportar-se de modo inidôneo ou cometer fraude de qualquer natureza, em especial quando:</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 xml:space="preserve">Agir em conluio ou em desconformidade com a lei; </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 xml:space="preserve">Induzir deliberadamente a erro no julgamento; </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Praticar atos ilícitos com vistas a frustrar os objetivos da licitação;</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Praticar ato lesivo previsto no art. 5º da Lei n.º 12.846, de 2013.</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 xml:space="preserve">Com fulcro na Lei nº 14.133, de 2021, a Administração poderá, garantida a prévia defesa, aplicar aos licitantes e/ou adjudicatários as seguintes sanções, sem prejuízo das responsabilidades civil e criminal: </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 xml:space="preserve">Advertência; </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Multa;</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Impedimento de licitar e contratar e</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Declaração de inidoneidade para licitar ou contratar, enquanto perdurarem os motivos determinantes da punição ou até que seja promovida sua reabilitação perante a própria autoridade que aplicou a penalidade.</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Na aplicação das sanções serão considerados:</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A natureza e a gravidade da infração cometida;</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As peculiaridades do caso concreto;</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As circunstâncias agravantes ou atenuantes;</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Os danos que dela provierem para a Administração Pública;</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A implantação ou o aperfeiçoamento de programa de integridade, conforme normas e orientações dos órgãos de controle.</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A multa será recolhida nos seguintes percentuais:</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 xml:space="preserve">Moratória de 1,0% (um por cento) por dia de atraso injustificado sobre o valor da parcela inadimplida, até o limite de </w:t>
      </w:r>
      <w:r>
        <w:rPr>
          <w:sz w:val="22"/>
          <w:szCs w:val="22"/>
        </w:rPr>
        <w:t>2</w:t>
      </w:r>
      <w:r>
        <w:rPr>
          <w:color w:val="000000"/>
          <w:position w:val="0"/>
          <w:sz w:val="22"/>
          <w:sz w:val="22"/>
          <w:szCs w:val="22"/>
          <w:vertAlign w:val="baseline"/>
        </w:rPr>
        <w:t>0 (</w:t>
      </w:r>
      <w:r>
        <w:rPr>
          <w:sz w:val="22"/>
          <w:szCs w:val="22"/>
        </w:rPr>
        <w:t>vinte</w:t>
      </w:r>
      <w:r>
        <w:rPr>
          <w:color w:val="000000"/>
          <w:position w:val="0"/>
          <w:sz w:val="22"/>
          <w:sz w:val="22"/>
          <w:szCs w:val="22"/>
          <w:vertAlign w:val="baseline"/>
        </w:rPr>
        <w:t>) dias;</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 xml:space="preserve">Compensatória de </w:t>
      </w:r>
      <w:r>
        <w:rPr>
          <w:sz w:val="22"/>
          <w:szCs w:val="22"/>
        </w:rPr>
        <w:t>3</w:t>
      </w:r>
      <w:r>
        <w:rPr>
          <w:color w:val="000000"/>
          <w:position w:val="0"/>
          <w:sz w:val="22"/>
          <w:sz w:val="22"/>
          <w:szCs w:val="22"/>
          <w:vertAlign w:val="baseline"/>
        </w:rPr>
        <w:t>0% (</w:t>
      </w:r>
      <w:r>
        <w:rPr>
          <w:sz w:val="22"/>
          <w:szCs w:val="22"/>
        </w:rPr>
        <w:t>trinta</w:t>
      </w:r>
      <w:r>
        <w:rPr>
          <w:color w:val="000000"/>
          <w:position w:val="0"/>
          <w:sz w:val="22"/>
          <w:sz w:val="22"/>
          <w:szCs w:val="22"/>
          <w:vertAlign w:val="baseline"/>
        </w:rPr>
        <w:t xml:space="preserve"> por cento) sobre o valor total do contrato, no caso de inexecução total do objeto;</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O atraso superior a 30 (trinta) dias autoriza a Administração a promover a extinção do contrato por descumprimento ou cumprimento irregular de suas cláusulas, conforme dispõe o inciso I do art. 137 da Lei n.º 14.133/2021;</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color w:val="000000"/>
          <w:position w:val="0"/>
          <w:sz w:val="22"/>
          <w:sz w:val="22"/>
          <w:szCs w:val="22"/>
          <w:vertAlign w:val="baseline"/>
        </w:rPr>
        <w:t>A aplicação das sanções previstas neste contrato não exclui, em hipótese alguma, a obrigação de reparação integral do dano causado ao CONTRATANTE (Art. 156, §9º, da Lei n.º 14.133/2021);</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As sanções de advertência, impedimento de licitar e contratar e declaração de inidoneidade para licitar ou contratar poderão ser aplicadas, cumulativamente ou não, à penalidade de multa.</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Na aplicação da sanção de multa será facultada a defesa do interessado no prazo de 15 (quinze) dias úteis, contado da data de sua intimação.</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art. 156, §5º, da Lei n.º 14.133/2021.</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 xml:space="preserve">A recusa injustificada do adjudicatário em assinar o contrato, ou em aceitar ou retirar o instrumento equivalente no prazo estabelecido pela Administração, descrita no item 11.1.3, caracteriza o descumprimento total da obrigação assumida e o sujeitará às penalidades e à imediata perda da garantia de proposta em favor do órgão ou entidade promotora da licitação, nos termos do art. 45, §4º da IN SEGES/ME n.º 73, de 2022. </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O recurso e o pedido de reconsideração terão efeito suspensivo do ato ou da decisão recorrida até que sobrevenha decisão final da autoridade competente.</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A aplicação das sanções previstas neste edital não exclui, em hipótese alguma, a obrigação de reparação integral dos danos causados.</w:t>
      </w:r>
    </w:p>
    <w:p>
      <w:pPr>
        <w:pStyle w:val="normal1"/>
        <w:keepNext w:val="false"/>
        <w:keepLines w:val="false"/>
        <w:pageBreakBefore w:val="false"/>
        <w:widowControl/>
        <w:numPr>
          <w:ilvl w:val="0"/>
          <w:numId w:val="6"/>
        </w:numPr>
        <w:pBdr/>
        <w:shd w:val="clear" w:fill="auto"/>
        <w:spacing w:lineRule="auto" w:line="360" w:before="240" w:after="120"/>
        <w:ind w:hanging="0" w:start="0" w:end="0"/>
        <w:jc w:val="both"/>
        <w:rPr>
          <w:sz w:val="22"/>
          <w:szCs w:val="22"/>
        </w:rPr>
      </w:pPr>
      <w:r>
        <w:rPr>
          <w:b/>
          <w:color w:val="000000"/>
          <w:position w:val="0"/>
          <w:sz w:val="22"/>
          <w:sz w:val="22"/>
          <w:szCs w:val="22"/>
          <w:vertAlign w:val="baseline"/>
        </w:rPr>
        <w:t>DOS PRAZOS DE VIGÊNCIA DO EDITAL E DO CREDENCIAMENTO</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O edital vigerá a partir da sua publicação oficial e permanecerá permanentemente aberto até que haja ato administrativo dispondo em contrário, devendo ser republicado, minimamente, a cada 12 meses.</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O credenciamento dos interessados terá validade pelo mesmo prazo de vigência do edital que os habilitou.</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 xml:space="preserve">Durante a vigência do edital, incluídas as suas republicações, a Secretaria Municipal de </w:t>
      </w:r>
      <w:r>
        <w:rPr>
          <w:sz w:val="22"/>
          <w:szCs w:val="22"/>
        </w:rPr>
        <w:t>Assistência Social</w:t>
      </w:r>
      <w:r>
        <w:rPr>
          <w:color w:val="000000"/>
          <w:position w:val="0"/>
          <w:sz w:val="22"/>
          <w:sz w:val="22"/>
          <w:szCs w:val="22"/>
          <w:vertAlign w:val="baseline"/>
        </w:rPr>
        <w:t>, a seu critério, poderá convocar os credenciados para nova análise de documentação, quando serão exigidos os documentos que comprovem a manutenção das condições apresentadas quando do seu credenciamento, especialmente para a assinatura do contrato de prestação de serviços.</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color w:val="000000"/>
          <w:position w:val="0"/>
          <w:sz w:val="22"/>
          <w:sz w:val="22"/>
          <w:szCs w:val="22"/>
          <w:vertAlign w:val="baseline"/>
        </w:rPr>
        <w:t>O prazo de execução dos contratos oriundos do presente credenciamento é de 12 (doze) meses, contados a partir da data estabelecida na Ordem de Serviço para início da execução do objeto, e a vigência do contrato se inicia com a publicação do contrato e é de 12 (doze) meses, podendo ser prorrogado mediante assinatura de Termo Aditivo, nos termos do art. 106 da Lei 14.133/2021.</w:t>
      </w:r>
    </w:p>
    <w:p>
      <w:pPr>
        <w:pStyle w:val="normal1"/>
        <w:keepNext w:val="false"/>
        <w:keepLines w:val="false"/>
        <w:pageBreakBefore w:val="false"/>
        <w:widowControl/>
        <w:numPr>
          <w:ilvl w:val="0"/>
          <w:numId w:val="6"/>
        </w:numPr>
        <w:pBdr/>
        <w:shd w:val="clear" w:fill="auto"/>
        <w:spacing w:lineRule="auto" w:line="360" w:before="240" w:after="120"/>
        <w:ind w:hanging="0" w:start="0" w:end="0"/>
        <w:jc w:val="both"/>
        <w:rPr>
          <w:sz w:val="22"/>
          <w:szCs w:val="22"/>
        </w:rPr>
      </w:pPr>
      <w:r>
        <w:rPr>
          <w:b/>
          <w:position w:val="0"/>
          <w:sz w:val="22"/>
          <w:sz w:val="22"/>
          <w:szCs w:val="22"/>
          <w:vertAlign w:val="baseline"/>
        </w:rPr>
        <w:t>DAS DISPOSIÇÕES GERAIS</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position w:val="0"/>
          <w:sz w:val="22"/>
          <w:sz w:val="22"/>
          <w:szCs w:val="22"/>
          <w:vertAlign w:val="baseline"/>
        </w:rPr>
        <w:t>Os licitantes assumem todos os custos de preparação e apresentação de suas propostas e a Administração não será, em nenhum caso, responsável por esses custos, independentemente da condução ou do resultado do processo licitatório.</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position w:val="0"/>
          <w:sz w:val="22"/>
          <w:sz w:val="22"/>
          <w:szCs w:val="22"/>
          <w:vertAlign w:val="baseline"/>
        </w:rPr>
        <w:t>Na contagem dos prazos estabelecidos neste Edital e seus Anexos, excluir-se-á o dia do início e incluir-se-á o do vencimento. Só se iniciam e vencem os prazos em dias de expediente na Administração.</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position w:val="0"/>
          <w:sz w:val="22"/>
          <w:sz w:val="22"/>
          <w:szCs w:val="22"/>
          <w:vertAlign w:val="baseline"/>
        </w:rPr>
        <w:t>O desatendimento de exigências formais não essenciais não importará o afastamento do licitante, desde que seja possível o aproveitamento do ato, observado os princípios da isonomia e do interesse público.</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position w:val="0"/>
          <w:sz w:val="22"/>
          <w:sz w:val="22"/>
          <w:szCs w:val="22"/>
          <w:vertAlign w:val="baseline"/>
        </w:rPr>
        <w:t>Em caso de divergência entre disposições deste Edital e de seus anexos ou demais peças que compõem o processo, prevalecerão as deste Edital.</w:t>
      </w:r>
    </w:p>
    <w:p>
      <w:pPr>
        <w:pStyle w:val="normal1"/>
        <w:keepNext w:val="false"/>
        <w:keepLines w:val="false"/>
        <w:pageBreakBefore w:val="false"/>
        <w:widowControl/>
        <w:numPr>
          <w:ilvl w:val="1"/>
          <w:numId w:val="6"/>
        </w:numPr>
        <w:pBdr/>
        <w:shd w:val="clear" w:fill="auto"/>
        <w:spacing w:lineRule="auto" w:line="360" w:before="240" w:after="120"/>
        <w:ind w:hanging="432" w:start="792" w:end="0"/>
        <w:jc w:val="both"/>
        <w:rPr>
          <w:sz w:val="22"/>
          <w:szCs w:val="22"/>
        </w:rPr>
      </w:pPr>
      <w:r>
        <w:rPr>
          <w:position w:val="0"/>
          <w:sz w:val="22"/>
          <w:sz w:val="22"/>
          <w:szCs w:val="22"/>
          <w:vertAlign w:val="baseline"/>
        </w:rPr>
        <w:t>Integram este Edital, para todos os fins e efeitos, os seguintes anexos:</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position w:val="0"/>
          <w:sz w:val="22"/>
          <w:sz w:val="22"/>
          <w:szCs w:val="22"/>
          <w:vertAlign w:val="baseline"/>
        </w:rPr>
        <w:t>ANEXO I - Termo de Referência e seus anexos (I e II)</w:t>
      </w:r>
    </w:p>
    <w:p>
      <w:pPr>
        <w:pStyle w:val="normal1"/>
        <w:keepNext w:val="false"/>
        <w:keepLines w:val="false"/>
        <w:pageBreakBefore w:val="false"/>
        <w:widowControl/>
        <w:numPr>
          <w:ilvl w:val="2"/>
          <w:numId w:val="6"/>
        </w:numPr>
        <w:pBdr/>
        <w:shd w:val="clear" w:fill="auto"/>
        <w:spacing w:lineRule="auto" w:line="360" w:before="240" w:after="120"/>
        <w:ind w:hanging="504" w:start="1224" w:end="0"/>
        <w:jc w:val="both"/>
        <w:rPr>
          <w:sz w:val="22"/>
          <w:szCs w:val="22"/>
        </w:rPr>
      </w:pPr>
      <w:r>
        <w:rPr>
          <w:position w:val="0"/>
          <w:sz w:val="22"/>
          <w:sz w:val="22"/>
          <w:szCs w:val="22"/>
          <w:vertAlign w:val="baseline"/>
        </w:rPr>
        <w:t xml:space="preserve">ANEXO </w:t>
      </w:r>
      <w:r>
        <w:rPr>
          <w:sz w:val="22"/>
          <w:szCs w:val="22"/>
        </w:rPr>
        <w:t>I</w:t>
      </w:r>
      <w:r>
        <w:rPr>
          <w:position w:val="0"/>
          <w:sz w:val="22"/>
          <w:sz w:val="22"/>
          <w:szCs w:val="22"/>
          <w:vertAlign w:val="baseline"/>
        </w:rPr>
        <w:t>I – Minuta de contrato.</w:t>
      </w:r>
    </w:p>
    <w:p>
      <w:pPr>
        <w:pStyle w:val="normal1"/>
        <w:spacing w:lineRule="auto" w:line="360"/>
        <w:jc w:val="end"/>
        <w:rPr>
          <w:position w:val="0"/>
          <w:sz w:val="22"/>
          <w:sz w:val="22"/>
          <w:szCs w:val="22"/>
          <w:vertAlign w:val="baseline"/>
        </w:rPr>
      </w:pPr>
      <w:r>
        <w:rPr>
          <w:position w:val="0"/>
          <w:sz w:val="22"/>
          <w:sz w:val="22"/>
          <w:szCs w:val="22"/>
          <w:vertAlign w:val="baseline"/>
        </w:rPr>
        <w:t xml:space="preserve">Florianópolis, </w:t>
      </w:r>
      <w:r>
        <w:rPr>
          <w:position w:val="0"/>
          <w:sz w:val="22"/>
          <w:sz w:val="22"/>
          <w:szCs w:val="22"/>
          <w:vertAlign w:val="baseline"/>
        </w:rPr>
        <w:t>18</w:t>
      </w:r>
      <w:r>
        <w:rPr>
          <w:position w:val="0"/>
          <w:sz w:val="22"/>
          <w:sz w:val="22"/>
          <w:szCs w:val="22"/>
          <w:vertAlign w:val="baseline"/>
        </w:rPr>
        <w:t xml:space="preserve"> de </w:t>
      </w:r>
      <w:r>
        <w:rPr>
          <w:position w:val="0"/>
          <w:sz w:val="22"/>
          <w:sz w:val="22"/>
          <w:szCs w:val="22"/>
          <w:vertAlign w:val="baseline"/>
        </w:rPr>
        <w:t>setembro</w:t>
      </w:r>
      <w:r>
        <w:rPr>
          <w:position w:val="0"/>
          <w:sz w:val="22"/>
          <w:sz w:val="22"/>
          <w:szCs w:val="22"/>
          <w:vertAlign w:val="baseline"/>
        </w:rPr>
        <w:t xml:space="preserve"> de 202</w:t>
      </w:r>
      <w:r>
        <w:rPr>
          <w:sz w:val="22"/>
          <w:szCs w:val="22"/>
        </w:rPr>
        <w:t>5</w:t>
      </w:r>
    </w:p>
    <w:p>
      <w:pPr>
        <w:pStyle w:val="normal1"/>
        <w:spacing w:lineRule="auto" w:line="360"/>
        <w:jc w:val="start"/>
        <w:rPr>
          <w:position w:val="0"/>
          <w:sz w:val="18"/>
          <w:sz w:val="18"/>
          <w:szCs w:val="18"/>
          <w:vertAlign w:val="baseline"/>
        </w:rPr>
      </w:pPr>
      <w:r>
        <w:rPr>
          <w:position w:val="0"/>
          <w:sz w:val="18"/>
          <w:sz w:val="18"/>
          <w:szCs w:val="18"/>
          <w:vertAlign w:val="baseline"/>
        </w:rPr>
      </w:r>
    </w:p>
    <w:p>
      <w:pPr>
        <w:pStyle w:val="normal1"/>
        <w:spacing w:lineRule="auto" w:line="360"/>
        <w:jc w:val="center"/>
        <w:rPr>
          <w:position w:val="0"/>
          <w:sz w:val="22"/>
          <w:sz w:val="22"/>
          <w:szCs w:val="22"/>
          <w:vertAlign w:val="baseline"/>
        </w:rPr>
      </w:pPr>
      <w:r>
        <w:rPr/>
      </w:r>
    </w:p>
    <w:p>
      <w:pPr>
        <w:pStyle w:val="normal1"/>
        <w:spacing w:lineRule="auto" w:line="360"/>
        <w:jc w:val="center"/>
        <w:rPr>
          <w:position w:val="0"/>
          <w:sz w:val="22"/>
          <w:sz w:val="22"/>
          <w:szCs w:val="22"/>
          <w:vertAlign w:val="baseline"/>
        </w:rPr>
      </w:pPr>
      <w:r>
        <w:rPr>
          <w:position w:val="0"/>
          <w:sz w:val="22"/>
          <w:sz w:val="22"/>
          <w:szCs w:val="22"/>
          <w:vertAlign w:val="baseline"/>
        </w:rPr>
        <w:t>Luciane Natalícia dos Passos</w:t>
      </w:r>
    </w:p>
    <w:p>
      <w:pPr>
        <w:sectPr>
          <w:headerReference w:type="even" r:id="rId6"/>
          <w:headerReference w:type="default" r:id="rId7"/>
          <w:headerReference w:type="first" r:id="rId8"/>
          <w:footerReference w:type="even" r:id="rId9"/>
          <w:footerReference w:type="default" r:id="rId10"/>
          <w:footerReference w:type="first" r:id="rId11"/>
          <w:type w:val="nextPage"/>
          <w:pgSz w:w="11906" w:h="16838"/>
          <w:pgMar w:left="1701" w:right="1134" w:gutter="0" w:header="709" w:top="1701" w:footer="709" w:bottom="1134"/>
          <w:pgNumType w:start="1" w:fmt="decimal"/>
          <w:formProt w:val="false"/>
          <w:titlePg/>
          <w:textDirection w:val="lrTb"/>
          <w:docGrid w:type="default" w:linePitch="100" w:charSpace="0"/>
        </w:sectPr>
        <w:pStyle w:val="normal1"/>
        <w:spacing w:lineRule="auto" w:line="360"/>
        <w:jc w:val="center"/>
        <w:rPr>
          <w:position w:val="0"/>
          <w:sz w:val="22"/>
          <w:sz w:val="22"/>
          <w:szCs w:val="22"/>
          <w:vertAlign w:val="baseline"/>
        </w:rPr>
      </w:pPr>
      <w:r>
        <w:rPr>
          <w:position w:val="0"/>
          <w:sz w:val="22"/>
          <w:sz w:val="22"/>
          <w:szCs w:val="22"/>
          <w:vertAlign w:val="baseline"/>
        </w:rPr>
        <w:t xml:space="preserve">Secretaria Municipal de </w:t>
      </w:r>
      <w:r>
        <w:rPr>
          <w:sz w:val="22"/>
          <w:szCs w:val="22"/>
        </w:rPr>
        <w:t>Assistência Social</w:t>
      </w:r>
    </w:p>
    <w:p>
      <w:pPr>
        <w:pStyle w:val="normal1"/>
        <w:spacing w:lineRule="auto" w:line="360"/>
        <w:jc w:val="center"/>
        <w:rPr>
          <w:b w:val="false"/>
          <w:position w:val="0"/>
          <w:sz w:val="22"/>
          <w:sz w:val="22"/>
          <w:szCs w:val="22"/>
          <w:vertAlign w:val="baseline"/>
        </w:rPr>
      </w:pPr>
      <w:r>
        <w:rPr>
          <w:b/>
          <w:position w:val="0"/>
          <w:sz w:val="22"/>
          <w:sz w:val="22"/>
          <w:szCs w:val="22"/>
          <w:vertAlign w:val="baseline"/>
        </w:rPr>
        <w:t>ANEXO I - Termo de Referência</w:t>
      </w:r>
    </w:p>
    <w:p>
      <w:pPr>
        <w:pStyle w:val="normal1"/>
        <w:spacing w:lineRule="auto" w:line="360"/>
        <w:jc w:val="center"/>
        <w:rPr>
          <w:position w:val="0"/>
          <w:sz w:val="22"/>
          <w:sz w:val="22"/>
          <w:szCs w:val="22"/>
          <w:vertAlign w:val="baseline"/>
        </w:rPr>
      </w:pPr>
      <w:r>
        <w:rPr>
          <w:position w:val="0"/>
          <w:sz w:val="22"/>
          <w:sz w:val="22"/>
          <w:szCs w:val="22"/>
          <w:vertAlign w:val="baseline"/>
        </w:rPr>
      </w:r>
    </w:p>
    <w:p>
      <w:pPr>
        <w:pStyle w:val="normal1"/>
        <w:spacing w:lineRule="auto" w:line="360"/>
        <w:jc w:val="center"/>
        <w:rPr>
          <w:position w:val="0"/>
          <w:sz w:val="22"/>
          <w:sz w:val="22"/>
          <w:szCs w:val="22"/>
          <w:vertAlign w:val="baseline"/>
        </w:rPr>
      </w:pPr>
      <w:r>
        <w:rPr>
          <w:position w:val="0"/>
          <w:sz w:val="22"/>
          <w:sz w:val="22"/>
          <w:szCs w:val="22"/>
          <w:vertAlign w:val="baseline"/>
        </w:rPr>
        <w:t>Descrição da especificação do</w:t>
      </w:r>
      <w:r>
        <w:rPr>
          <w:sz w:val="22"/>
          <w:szCs w:val="22"/>
        </w:rPr>
        <w:t xml:space="preserve"> Lote</w:t>
      </w:r>
    </w:p>
    <w:p>
      <w:pPr>
        <w:pStyle w:val="normal1"/>
        <w:spacing w:lineRule="auto" w:line="276"/>
        <w:ind w:firstLine="567"/>
        <w:jc w:val="both"/>
        <w:rPr>
          <w:sz w:val="24"/>
          <w:szCs w:val="24"/>
          <w:highlight w:val="white"/>
        </w:rPr>
      </w:pPr>
      <w:r>
        <w:rPr>
          <w:sz w:val="24"/>
          <w:szCs w:val="24"/>
          <w:highlight w:val="white"/>
        </w:rPr>
      </w:r>
    </w:p>
    <w:tbl>
      <w:tblPr>
        <w:tblStyle w:val="Table1"/>
        <w:tblW w:w="9978" w:type="dxa"/>
        <w:jc w:val="center"/>
        <w:tblInd w:w="0" w:type="dxa"/>
        <w:tblLayout w:type="fixed"/>
        <w:tblCellMar>
          <w:top w:w="0" w:type="dxa"/>
          <w:start w:w="108" w:type="dxa"/>
          <w:bottom w:w="0" w:type="dxa"/>
          <w:end w:w="108" w:type="dxa"/>
        </w:tblCellMar>
        <w:tblLook w:val="0000"/>
      </w:tblPr>
      <w:tblGrid>
        <w:gridCol w:w="492"/>
        <w:gridCol w:w="3930"/>
        <w:gridCol w:w="1154"/>
        <w:gridCol w:w="1468"/>
        <w:gridCol w:w="1467"/>
        <w:gridCol w:w="1467"/>
      </w:tblGrid>
      <w:tr>
        <w:trPr>
          <w:trHeight w:val="277" w:hRule="atLeast"/>
        </w:trPr>
        <w:tc>
          <w:tcPr>
            <w:tcW w:w="9978" w:type="dxa"/>
            <w:gridSpan w:val="6"/>
            <w:tcBorders>
              <w:top w:val="single" w:sz="4" w:space="0" w:color="000000"/>
              <w:start w:val="single" w:sz="4" w:space="0" w:color="000000"/>
              <w:bottom w:val="single" w:sz="4" w:space="0" w:color="000000"/>
              <w:end w:val="single" w:sz="4" w:space="0" w:color="000000"/>
            </w:tcBorders>
            <w:shd w:fill="auto" w:val="clear"/>
            <w:vAlign w:val="center"/>
          </w:tcPr>
          <w:p>
            <w:pPr>
              <w:pStyle w:val="normal1"/>
              <w:jc w:val="center"/>
              <w:rPr>
                <w:b/>
                <w:sz w:val="24"/>
                <w:szCs w:val="24"/>
                <w:highlight w:val="white"/>
              </w:rPr>
            </w:pPr>
            <w:r>
              <w:rPr>
                <w:b/>
                <w:sz w:val="24"/>
                <w:szCs w:val="24"/>
                <w:highlight w:val="white"/>
              </w:rPr>
              <w:t>LOTE ÚNICO</w:t>
            </w:r>
          </w:p>
        </w:tc>
      </w:tr>
      <w:tr>
        <w:trPr>
          <w:trHeight w:val="532" w:hRule="atLeast"/>
        </w:trPr>
        <w:tc>
          <w:tcPr>
            <w:tcW w:w="492" w:type="dxa"/>
            <w:tcBorders>
              <w:top w:val="single" w:sz="4" w:space="0" w:color="000000"/>
              <w:start w:val="single" w:sz="4" w:space="0" w:color="000000"/>
              <w:bottom w:val="single" w:sz="4" w:space="0" w:color="000000"/>
              <w:end w:val="single" w:sz="4" w:space="0" w:color="000000"/>
            </w:tcBorders>
            <w:shd w:fill="auto" w:val="clear"/>
            <w:vAlign w:val="center"/>
          </w:tcPr>
          <w:p>
            <w:pPr>
              <w:pStyle w:val="normal1"/>
              <w:keepNext w:val="true"/>
              <w:jc w:val="center"/>
              <w:rPr>
                <w:sz w:val="16"/>
                <w:szCs w:val="16"/>
                <w:highlight w:val="white"/>
              </w:rPr>
            </w:pPr>
            <w:r>
              <w:rPr>
                <w:sz w:val="16"/>
                <w:szCs w:val="16"/>
                <w:highlight w:val="white"/>
              </w:rPr>
              <w:t>Item</w:t>
            </w:r>
          </w:p>
        </w:tc>
        <w:tc>
          <w:tcPr>
            <w:tcW w:w="3930" w:type="dxa"/>
            <w:tcBorders>
              <w:top w:val="single" w:sz="4" w:space="0" w:color="000000"/>
              <w:start w:val="single" w:sz="4" w:space="0" w:color="000000"/>
              <w:bottom w:val="single" w:sz="4" w:space="0" w:color="000000"/>
              <w:end w:val="single" w:sz="4" w:space="0" w:color="000000"/>
            </w:tcBorders>
            <w:shd w:fill="auto" w:val="clear"/>
            <w:vAlign w:val="center"/>
          </w:tcPr>
          <w:p>
            <w:pPr>
              <w:pStyle w:val="normal1"/>
              <w:jc w:val="center"/>
              <w:rPr>
                <w:sz w:val="16"/>
                <w:szCs w:val="16"/>
                <w:highlight w:val="white"/>
              </w:rPr>
            </w:pPr>
            <w:r>
              <w:rPr>
                <w:sz w:val="16"/>
                <w:szCs w:val="16"/>
                <w:highlight w:val="white"/>
              </w:rPr>
              <w:t>Descrição</w:t>
            </w:r>
          </w:p>
        </w:tc>
        <w:tc>
          <w:tcPr>
            <w:tcW w:w="1154" w:type="dxa"/>
            <w:tcBorders>
              <w:top w:val="single" w:sz="4" w:space="0" w:color="000000"/>
              <w:start w:val="single" w:sz="4" w:space="0" w:color="000000"/>
              <w:bottom w:val="single" w:sz="4" w:space="0" w:color="000000"/>
              <w:end w:val="single" w:sz="4" w:space="0" w:color="000000"/>
            </w:tcBorders>
            <w:shd w:fill="auto" w:val="clear"/>
            <w:vAlign w:val="center"/>
          </w:tcPr>
          <w:p>
            <w:pPr>
              <w:pStyle w:val="normal1"/>
              <w:jc w:val="center"/>
              <w:rPr>
                <w:sz w:val="16"/>
                <w:szCs w:val="16"/>
                <w:highlight w:val="white"/>
              </w:rPr>
            </w:pPr>
            <w:r>
              <w:rPr>
                <w:sz w:val="16"/>
                <w:szCs w:val="16"/>
                <w:highlight w:val="white"/>
              </w:rPr>
              <w:t>Unidade de medida</w:t>
            </w:r>
          </w:p>
        </w:tc>
        <w:tc>
          <w:tcPr>
            <w:tcW w:w="1468" w:type="dxa"/>
            <w:tcBorders>
              <w:top w:val="single" w:sz="4" w:space="0" w:color="000000"/>
              <w:start w:val="single" w:sz="4" w:space="0" w:color="000000"/>
              <w:bottom w:val="single" w:sz="4" w:space="0" w:color="000000"/>
              <w:end w:val="single" w:sz="4" w:space="0" w:color="000000"/>
            </w:tcBorders>
            <w:vAlign w:val="center"/>
          </w:tcPr>
          <w:p>
            <w:pPr>
              <w:pStyle w:val="normal1"/>
              <w:jc w:val="center"/>
              <w:rPr>
                <w:sz w:val="16"/>
                <w:szCs w:val="16"/>
                <w:highlight w:val="white"/>
              </w:rPr>
            </w:pPr>
            <w:r>
              <w:rPr>
                <w:sz w:val="16"/>
                <w:szCs w:val="16"/>
                <w:highlight w:val="white"/>
              </w:rPr>
              <w:t>Quantidade</w:t>
            </w:r>
          </w:p>
          <w:p>
            <w:pPr>
              <w:pStyle w:val="normal1"/>
              <w:jc w:val="center"/>
              <w:rPr>
                <w:sz w:val="16"/>
                <w:szCs w:val="16"/>
                <w:highlight w:val="white"/>
              </w:rPr>
            </w:pPr>
            <w:r>
              <w:rPr>
                <w:sz w:val="16"/>
                <w:szCs w:val="16"/>
                <w:highlight w:val="white"/>
              </w:rPr>
              <w:t>Estimadas Mensais</w:t>
            </w:r>
          </w:p>
        </w:tc>
        <w:tc>
          <w:tcPr>
            <w:tcW w:w="1467" w:type="dxa"/>
            <w:tcBorders>
              <w:top w:val="single" w:sz="4" w:space="0" w:color="000000"/>
              <w:start w:val="single" w:sz="4" w:space="0" w:color="000000"/>
              <w:bottom w:val="single" w:sz="4" w:space="0" w:color="000000"/>
              <w:end w:val="single" w:sz="4" w:space="0" w:color="000000"/>
            </w:tcBorders>
            <w:vAlign w:val="center"/>
          </w:tcPr>
          <w:p>
            <w:pPr>
              <w:pStyle w:val="normal1"/>
              <w:jc w:val="center"/>
              <w:rPr>
                <w:sz w:val="16"/>
                <w:szCs w:val="16"/>
                <w:highlight w:val="white"/>
              </w:rPr>
            </w:pPr>
            <w:r>
              <w:rPr>
                <w:sz w:val="16"/>
                <w:szCs w:val="16"/>
                <w:highlight w:val="white"/>
              </w:rPr>
              <w:t>Valor Unitário</w:t>
            </w:r>
          </w:p>
        </w:tc>
        <w:tc>
          <w:tcPr>
            <w:tcW w:w="1467" w:type="dxa"/>
            <w:tcBorders>
              <w:top w:val="single" w:sz="4" w:space="0" w:color="000000"/>
              <w:start w:val="single" w:sz="4" w:space="0" w:color="000000"/>
              <w:bottom w:val="single" w:sz="4" w:space="0" w:color="000000"/>
              <w:end w:val="single" w:sz="4" w:space="0" w:color="000000"/>
            </w:tcBorders>
            <w:vAlign w:val="center"/>
          </w:tcPr>
          <w:p>
            <w:pPr>
              <w:pStyle w:val="normal1"/>
              <w:jc w:val="center"/>
              <w:rPr>
                <w:sz w:val="16"/>
                <w:szCs w:val="16"/>
                <w:highlight w:val="white"/>
              </w:rPr>
            </w:pPr>
            <w:r>
              <w:rPr>
                <w:sz w:val="16"/>
                <w:szCs w:val="16"/>
                <w:highlight w:val="white"/>
              </w:rPr>
              <w:t>Valor Total Mensal</w:t>
            </w:r>
          </w:p>
        </w:tc>
      </w:tr>
      <w:tr>
        <w:trPr>
          <w:trHeight w:val="1158" w:hRule="atLeast"/>
        </w:trPr>
        <w:tc>
          <w:tcPr>
            <w:tcW w:w="492" w:type="dxa"/>
            <w:tcBorders>
              <w:top w:val="single" w:sz="4" w:space="0" w:color="000000"/>
              <w:start w:val="single" w:sz="4" w:space="0" w:color="000000"/>
              <w:bottom w:val="single" w:sz="4" w:space="0" w:color="000000"/>
              <w:end w:val="single" w:sz="4" w:space="0" w:color="000000"/>
            </w:tcBorders>
            <w:shd w:fill="auto" w:val="clear"/>
            <w:vAlign w:val="center"/>
          </w:tcPr>
          <w:p>
            <w:pPr>
              <w:pStyle w:val="normal1"/>
              <w:keepNext w:val="true"/>
              <w:widowControl w:val="false"/>
              <w:jc w:val="center"/>
              <w:rPr>
                <w:sz w:val="16"/>
                <w:szCs w:val="16"/>
              </w:rPr>
            </w:pPr>
            <w:r>
              <w:rPr>
                <w:sz w:val="16"/>
                <w:szCs w:val="16"/>
              </w:rPr>
              <w:t>01</w:t>
            </w:r>
          </w:p>
        </w:tc>
        <w:tc>
          <w:tcPr>
            <w:tcW w:w="3930" w:type="dxa"/>
            <w:tcBorders>
              <w:top w:val="single" w:sz="4" w:space="0" w:color="000000"/>
              <w:start w:val="single" w:sz="4" w:space="0" w:color="000000"/>
              <w:bottom w:val="single" w:sz="4" w:space="0" w:color="000000"/>
              <w:end w:val="single" w:sz="4" w:space="0" w:color="000000"/>
            </w:tcBorders>
            <w:shd w:fill="auto" w:val="clear"/>
          </w:tcPr>
          <w:p>
            <w:pPr>
              <w:pStyle w:val="normal1"/>
              <w:widowControl w:val="false"/>
              <w:jc w:val="both"/>
              <w:rPr>
                <w:b/>
                <w:sz w:val="16"/>
                <w:szCs w:val="16"/>
              </w:rPr>
            </w:pPr>
            <w:r>
              <w:rPr>
                <w:b/>
                <w:sz w:val="16"/>
                <w:szCs w:val="16"/>
              </w:rPr>
              <w:t>Quarto individual: Acomodação para uma pessoa com banheiro sanitário individual ou coletivo, toalhas e amenidades necessárias ao uso como: papel higiênico, sabonete e shampoo  para banho; cama padrão de solteiro, lençol, travesseiros e cobertores; armário ou arara para guardar roupas; incluído café da manhã; ventilador e TV.</w:t>
            </w:r>
          </w:p>
        </w:tc>
        <w:tc>
          <w:tcPr>
            <w:tcW w:w="1154" w:type="dxa"/>
            <w:tcBorders>
              <w:top w:val="single" w:sz="4" w:space="0" w:color="000000"/>
              <w:start w:val="single" w:sz="4" w:space="0" w:color="000000"/>
              <w:bottom w:val="single" w:sz="4" w:space="0" w:color="000000"/>
              <w:end w:val="single" w:sz="4" w:space="0" w:color="000000"/>
            </w:tcBorders>
            <w:shd w:fill="auto" w:val="clear"/>
            <w:vAlign w:val="center"/>
          </w:tcPr>
          <w:p>
            <w:pPr>
              <w:pStyle w:val="normal1"/>
              <w:jc w:val="center"/>
              <w:rPr>
                <w:sz w:val="16"/>
                <w:szCs w:val="16"/>
                <w:highlight w:val="white"/>
              </w:rPr>
            </w:pPr>
            <w:r>
              <w:rPr>
                <w:sz w:val="16"/>
                <w:szCs w:val="16"/>
                <w:highlight w:val="white"/>
              </w:rPr>
              <w:t>DIÁRIA</w:t>
            </w:r>
          </w:p>
        </w:tc>
        <w:tc>
          <w:tcPr>
            <w:tcW w:w="1468" w:type="dxa"/>
            <w:tcBorders>
              <w:top w:val="single" w:sz="4" w:space="0" w:color="000000"/>
              <w:start w:val="single" w:sz="4" w:space="0" w:color="000000"/>
              <w:bottom w:val="single" w:sz="4" w:space="0" w:color="000000"/>
              <w:end w:val="single" w:sz="4" w:space="0" w:color="000000"/>
            </w:tcBorders>
            <w:vAlign w:val="center"/>
          </w:tcPr>
          <w:p>
            <w:pPr>
              <w:pStyle w:val="normal1"/>
              <w:widowControl w:val="false"/>
              <w:jc w:val="center"/>
              <w:rPr>
                <w:sz w:val="16"/>
                <w:szCs w:val="16"/>
              </w:rPr>
            </w:pPr>
            <w:r>
              <w:rPr>
                <w:sz w:val="16"/>
                <w:szCs w:val="16"/>
              </w:rPr>
              <w:t>50</w:t>
            </w:r>
          </w:p>
        </w:tc>
        <w:tc>
          <w:tcPr>
            <w:tcW w:w="1467" w:type="dxa"/>
            <w:tcBorders>
              <w:top w:val="single" w:sz="4" w:space="0" w:color="000000"/>
              <w:start w:val="single" w:sz="4" w:space="0" w:color="000000"/>
              <w:bottom w:val="single" w:sz="4" w:space="0" w:color="000000"/>
              <w:end w:val="single" w:sz="4" w:space="0" w:color="000000"/>
            </w:tcBorders>
            <w:vAlign w:val="center"/>
          </w:tcPr>
          <w:p>
            <w:pPr>
              <w:pStyle w:val="normal1"/>
              <w:widowControl w:val="false"/>
              <w:jc w:val="center"/>
              <w:rPr>
                <w:sz w:val="16"/>
                <w:szCs w:val="16"/>
              </w:rPr>
            </w:pPr>
            <w:r>
              <w:rPr>
                <w:sz w:val="16"/>
                <w:szCs w:val="16"/>
              </w:rPr>
              <w:t>R$ 148,65</w:t>
            </w:r>
          </w:p>
        </w:tc>
        <w:tc>
          <w:tcPr>
            <w:tcW w:w="1467" w:type="dxa"/>
            <w:tcBorders>
              <w:top w:val="single" w:sz="4" w:space="0" w:color="000000"/>
              <w:start w:val="single" w:sz="4" w:space="0" w:color="000000"/>
              <w:bottom w:val="single" w:sz="4" w:space="0" w:color="000000"/>
              <w:end w:val="single" w:sz="4" w:space="0" w:color="000000"/>
            </w:tcBorders>
            <w:vAlign w:val="center"/>
          </w:tcPr>
          <w:p>
            <w:pPr>
              <w:pStyle w:val="normal1"/>
              <w:widowControl w:val="false"/>
              <w:jc w:val="center"/>
              <w:rPr>
                <w:sz w:val="16"/>
                <w:szCs w:val="16"/>
              </w:rPr>
            </w:pPr>
            <w:r>
              <w:rPr>
                <w:sz w:val="16"/>
                <w:szCs w:val="16"/>
              </w:rPr>
              <w:t>R$ 7.432,50</w:t>
            </w:r>
          </w:p>
        </w:tc>
      </w:tr>
      <w:tr>
        <w:trPr>
          <w:trHeight w:val="1158" w:hRule="atLeast"/>
        </w:trPr>
        <w:tc>
          <w:tcPr>
            <w:tcW w:w="492" w:type="dxa"/>
            <w:tcBorders>
              <w:top w:val="single" w:sz="4" w:space="0" w:color="000000"/>
              <w:start w:val="single" w:sz="4" w:space="0" w:color="000000"/>
              <w:bottom w:val="single" w:sz="4" w:space="0" w:color="000000"/>
              <w:end w:val="single" w:sz="4" w:space="0" w:color="000000"/>
            </w:tcBorders>
            <w:shd w:fill="auto" w:val="clear"/>
            <w:vAlign w:val="center"/>
          </w:tcPr>
          <w:p>
            <w:pPr>
              <w:pStyle w:val="normal1"/>
              <w:keepNext w:val="true"/>
              <w:widowControl w:val="false"/>
              <w:jc w:val="center"/>
              <w:rPr>
                <w:sz w:val="16"/>
                <w:szCs w:val="16"/>
              </w:rPr>
            </w:pPr>
            <w:r>
              <w:rPr>
                <w:sz w:val="16"/>
                <w:szCs w:val="16"/>
              </w:rPr>
              <w:t>02</w:t>
            </w:r>
          </w:p>
        </w:tc>
        <w:tc>
          <w:tcPr>
            <w:tcW w:w="3930" w:type="dxa"/>
            <w:tcBorders>
              <w:top w:val="single" w:sz="4" w:space="0" w:color="000000"/>
              <w:start w:val="single" w:sz="4" w:space="0" w:color="000000"/>
              <w:bottom w:val="single" w:sz="4" w:space="0" w:color="000000"/>
              <w:end w:val="single" w:sz="4" w:space="0" w:color="000000"/>
            </w:tcBorders>
            <w:shd w:fill="auto" w:val="clear"/>
          </w:tcPr>
          <w:p>
            <w:pPr>
              <w:pStyle w:val="normal1"/>
              <w:widowControl w:val="false"/>
              <w:jc w:val="both"/>
              <w:rPr>
                <w:b/>
                <w:sz w:val="16"/>
                <w:szCs w:val="16"/>
              </w:rPr>
            </w:pPr>
            <w:r>
              <w:rPr>
                <w:b/>
                <w:sz w:val="16"/>
                <w:szCs w:val="16"/>
              </w:rPr>
              <w:t>Quarto duplo: Acomodação para duas pessoas com banheiro sanitário individual ou coletivo, toalhas e amenidades necessárias ao uso como: papel higiênico, sabonete e shampoo para banho; duas camas padrão de solteiro, ou uma de casal,  lençol, travesseiros e cobertores; armário ou arara para guardar roupas; incluído café da manhã; ventilador, e TV.</w:t>
            </w:r>
          </w:p>
        </w:tc>
        <w:tc>
          <w:tcPr>
            <w:tcW w:w="1154" w:type="dxa"/>
            <w:tcBorders>
              <w:top w:val="single" w:sz="4" w:space="0" w:color="000000"/>
              <w:start w:val="single" w:sz="4" w:space="0" w:color="000000"/>
              <w:bottom w:val="single" w:sz="4" w:space="0" w:color="000000"/>
              <w:end w:val="single" w:sz="4" w:space="0" w:color="000000"/>
            </w:tcBorders>
            <w:shd w:fill="auto" w:val="clear"/>
            <w:vAlign w:val="center"/>
          </w:tcPr>
          <w:p>
            <w:pPr>
              <w:pStyle w:val="normal1"/>
              <w:jc w:val="center"/>
              <w:rPr>
                <w:sz w:val="16"/>
                <w:szCs w:val="16"/>
                <w:highlight w:val="white"/>
              </w:rPr>
            </w:pPr>
            <w:r>
              <w:rPr>
                <w:sz w:val="16"/>
                <w:szCs w:val="16"/>
                <w:highlight w:val="white"/>
              </w:rPr>
              <w:t>DIÁRIA</w:t>
            </w:r>
          </w:p>
        </w:tc>
        <w:tc>
          <w:tcPr>
            <w:tcW w:w="1468" w:type="dxa"/>
            <w:tcBorders>
              <w:top w:val="single" w:sz="4" w:space="0" w:color="000000"/>
              <w:start w:val="single" w:sz="4" w:space="0" w:color="000000"/>
              <w:bottom w:val="single" w:sz="4" w:space="0" w:color="000000"/>
              <w:end w:val="single" w:sz="4" w:space="0" w:color="000000"/>
            </w:tcBorders>
            <w:vAlign w:val="center"/>
          </w:tcPr>
          <w:p>
            <w:pPr>
              <w:pStyle w:val="normal1"/>
              <w:widowControl w:val="false"/>
              <w:jc w:val="center"/>
              <w:rPr>
                <w:sz w:val="16"/>
                <w:szCs w:val="16"/>
              </w:rPr>
            </w:pPr>
            <w:r>
              <w:rPr>
                <w:sz w:val="16"/>
                <w:szCs w:val="16"/>
              </w:rPr>
              <w:t>100</w:t>
            </w:r>
          </w:p>
        </w:tc>
        <w:tc>
          <w:tcPr>
            <w:tcW w:w="1467" w:type="dxa"/>
            <w:tcBorders>
              <w:top w:val="single" w:sz="4" w:space="0" w:color="000000"/>
              <w:start w:val="single" w:sz="4" w:space="0" w:color="000000"/>
              <w:bottom w:val="single" w:sz="4" w:space="0" w:color="000000"/>
              <w:end w:val="single" w:sz="4" w:space="0" w:color="000000"/>
            </w:tcBorders>
            <w:vAlign w:val="center"/>
          </w:tcPr>
          <w:p>
            <w:pPr>
              <w:pStyle w:val="normal1"/>
              <w:jc w:val="center"/>
              <w:rPr>
                <w:sz w:val="16"/>
                <w:szCs w:val="16"/>
                <w:highlight w:val="white"/>
              </w:rPr>
            </w:pPr>
            <w:r>
              <w:rPr>
                <w:sz w:val="16"/>
                <w:szCs w:val="16"/>
                <w:highlight w:val="white"/>
              </w:rPr>
              <w:t>R$ 241,57</w:t>
            </w:r>
          </w:p>
        </w:tc>
        <w:tc>
          <w:tcPr>
            <w:tcW w:w="1467" w:type="dxa"/>
            <w:tcBorders>
              <w:top w:val="single" w:sz="4" w:space="0" w:color="000000"/>
              <w:start w:val="single" w:sz="4" w:space="0" w:color="000000"/>
              <w:bottom w:val="single" w:sz="4" w:space="0" w:color="000000"/>
              <w:end w:val="single" w:sz="4" w:space="0" w:color="000000"/>
            </w:tcBorders>
            <w:vAlign w:val="center"/>
          </w:tcPr>
          <w:p>
            <w:pPr>
              <w:pStyle w:val="normal1"/>
              <w:jc w:val="center"/>
              <w:rPr>
                <w:sz w:val="16"/>
                <w:szCs w:val="16"/>
                <w:highlight w:val="white"/>
              </w:rPr>
            </w:pPr>
            <w:r>
              <w:rPr>
                <w:sz w:val="16"/>
                <w:szCs w:val="16"/>
                <w:highlight w:val="white"/>
              </w:rPr>
              <w:t>R$ 24.157,00</w:t>
            </w:r>
          </w:p>
        </w:tc>
      </w:tr>
      <w:tr>
        <w:trPr>
          <w:trHeight w:val="1158" w:hRule="atLeast"/>
        </w:trPr>
        <w:tc>
          <w:tcPr>
            <w:tcW w:w="492" w:type="dxa"/>
            <w:tcBorders>
              <w:top w:val="single" w:sz="4" w:space="0" w:color="000000"/>
              <w:start w:val="single" w:sz="4" w:space="0" w:color="000000"/>
              <w:bottom w:val="single" w:sz="4" w:space="0" w:color="000000"/>
              <w:end w:val="single" w:sz="4" w:space="0" w:color="000000"/>
            </w:tcBorders>
            <w:shd w:fill="auto" w:val="clear"/>
            <w:vAlign w:val="center"/>
          </w:tcPr>
          <w:p>
            <w:pPr>
              <w:pStyle w:val="normal1"/>
              <w:keepNext w:val="true"/>
              <w:widowControl w:val="false"/>
              <w:jc w:val="center"/>
              <w:rPr>
                <w:sz w:val="16"/>
                <w:szCs w:val="16"/>
              </w:rPr>
            </w:pPr>
            <w:r>
              <w:rPr>
                <w:sz w:val="16"/>
                <w:szCs w:val="16"/>
              </w:rPr>
              <w:t>03</w:t>
            </w:r>
          </w:p>
        </w:tc>
        <w:tc>
          <w:tcPr>
            <w:tcW w:w="3930" w:type="dxa"/>
            <w:tcBorders>
              <w:top w:val="single" w:sz="4" w:space="0" w:color="000000"/>
              <w:start w:val="single" w:sz="4" w:space="0" w:color="000000"/>
              <w:bottom w:val="single" w:sz="4" w:space="0" w:color="000000"/>
              <w:end w:val="single" w:sz="4" w:space="0" w:color="000000"/>
            </w:tcBorders>
            <w:shd w:fill="auto" w:val="clear"/>
          </w:tcPr>
          <w:p>
            <w:pPr>
              <w:pStyle w:val="normal1"/>
              <w:widowControl w:val="false"/>
              <w:jc w:val="both"/>
              <w:rPr>
                <w:b/>
                <w:sz w:val="16"/>
                <w:szCs w:val="16"/>
              </w:rPr>
            </w:pPr>
            <w:r>
              <w:rPr>
                <w:b/>
                <w:sz w:val="16"/>
                <w:szCs w:val="16"/>
              </w:rPr>
              <w:t>Quarto triplo: Acomodação três pessoas com banheiro sanitário individual ou coletivo, toalhas e amenidades necessárias ao uso como: papel higiênico, sabonete e shampoo para banho; camas dispostas conforme a composição familiar; lençol, travesseiros e cobertores; armário ou arara para guardar roupas; incluído café da manhã; ventilador, e TV.</w:t>
            </w:r>
          </w:p>
        </w:tc>
        <w:tc>
          <w:tcPr>
            <w:tcW w:w="1154" w:type="dxa"/>
            <w:tcBorders>
              <w:top w:val="single" w:sz="4" w:space="0" w:color="000000"/>
              <w:start w:val="single" w:sz="4" w:space="0" w:color="000000"/>
              <w:bottom w:val="single" w:sz="4" w:space="0" w:color="000000"/>
              <w:end w:val="single" w:sz="4" w:space="0" w:color="000000"/>
            </w:tcBorders>
            <w:shd w:fill="auto" w:val="clear"/>
            <w:vAlign w:val="center"/>
          </w:tcPr>
          <w:p>
            <w:pPr>
              <w:pStyle w:val="normal1"/>
              <w:jc w:val="center"/>
              <w:rPr>
                <w:sz w:val="16"/>
                <w:szCs w:val="16"/>
                <w:highlight w:val="white"/>
              </w:rPr>
            </w:pPr>
            <w:r>
              <w:rPr>
                <w:sz w:val="16"/>
                <w:szCs w:val="16"/>
                <w:highlight w:val="white"/>
              </w:rPr>
              <w:t>DIÁRIA</w:t>
            </w:r>
          </w:p>
        </w:tc>
        <w:tc>
          <w:tcPr>
            <w:tcW w:w="1468" w:type="dxa"/>
            <w:tcBorders>
              <w:top w:val="single" w:sz="4" w:space="0" w:color="000000"/>
              <w:start w:val="single" w:sz="4" w:space="0" w:color="000000"/>
              <w:bottom w:val="single" w:sz="4" w:space="0" w:color="000000"/>
              <w:end w:val="single" w:sz="4" w:space="0" w:color="000000"/>
            </w:tcBorders>
            <w:vAlign w:val="center"/>
          </w:tcPr>
          <w:p>
            <w:pPr>
              <w:pStyle w:val="normal1"/>
              <w:widowControl w:val="false"/>
              <w:jc w:val="center"/>
              <w:rPr>
                <w:sz w:val="16"/>
                <w:szCs w:val="16"/>
              </w:rPr>
            </w:pPr>
            <w:r>
              <w:rPr>
                <w:sz w:val="16"/>
                <w:szCs w:val="16"/>
              </w:rPr>
              <w:t>250</w:t>
            </w:r>
          </w:p>
        </w:tc>
        <w:tc>
          <w:tcPr>
            <w:tcW w:w="1467" w:type="dxa"/>
            <w:tcBorders>
              <w:top w:val="single" w:sz="4" w:space="0" w:color="000000"/>
              <w:start w:val="single" w:sz="4" w:space="0" w:color="000000"/>
              <w:bottom w:val="single" w:sz="4" w:space="0" w:color="000000"/>
              <w:end w:val="single" w:sz="4" w:space="0" w:color="000000"/>
            </w:tcBorders>
            <w:vAlign w:val="center"/>
          </w:tcPr>
          <w:p>
            <w:pPr>
              <w:pStyle w:val="normal1"/>
              <w:jc w:val="center"/>
              <w:rPr>
                <w:sz w:val="16"/>
                <w:szCs w:val="16"/>
                <w:highlight w:val="white"/>
              </w:rPr>
            </w:pPr>
            <w:r>
              <w:rPr>
                <w:sz w:val="16"/>
                <w:szCs w:val="16"/>
                <w:highlight w:val="white"/>
              </w:rPr>
              <w:t>R$ 356,09</w:t>
            </w:r>
          </w:p>
        </w:tc>
        <w:tc>
          <w:tcPr>
            <w:tcW w:w="1467" w:type="dxa"/>
            <w:tcBorders>
              <w:top w:val="single" w:sz="4" w:space="0" w:color="000000"/>
              <w:start w:val="single" w:sz="4" w:space="0" w:color="000000"/>
              <w:bottom w:val="single" w:sz="4" w:space="0" w:color="000000"/>
              <w:end w:val="single" w:sz="4" w:space="0" w:color="000000"/>
            </w:tcBorders>
            <w:vAlign w:val="center"/>
          </w:tcPr>
          <w:p>
            <w:pPr>
              <w:pStyle w:val="normal1"/>
              <w:jc w:val="center"/>
              <w:rPr>
                <w:sz w:val="16"/>
                <w:szCs w:val="16"/>
                <w:highlight w:val="white"/>
              </w:rPr>
            </w:pPr>
            <w:r>
              <w:rPr>
                <w:sz w:val="16"/>
                <w:szCs w:val="16"/>
                <w:highlight w:val="white"/>
              </w:rPr>
              <w:t>R$ 89.022,50</w:t>
            </w:r>
          </w:p>
        </w:tc>
      </w:tr>
      <w:tr>
        <w:trPr>
          <w:trHeight w:val="284" w:hRule="atLeast"/>
        </w:trPr>
        <w:tc>
          <w:tcPr>
            <w:tcW w:w="492" w:type="dxa"/>
            <w:tcBorders>
              <w:top w:val="single" w:sz="4" w:space="0" w:color="000000"/>
              <w:start w:val="single" w:sz="4" w:space="0" w:color="000000"/>
              <w:bottom w:val="single" w:sz="4" w:space="0" w:color="000000"/>
              <w:end w:val="single" w:sz="4" w:space="0" w:color="000000"/>
            </w:tcBorders>
            <w:shd w:fill="auto" w:val="clear"/>
            <w:vAlign w:val="center"/>
          </w:tcPr>
          <w:p>
            <w:pPr>
              <w:pStyle w:val="normal1"/>
              <w:keepNext w:val="true"/>
              <w:widowControl w:val="false"/>
              <w:jc w:val="center"/>
              <w:rPr>
                <w:sz w:val="16"/>
                <w:szCs w:val="16"/>
              </w:rPr>
            </w:pPr>
            <w:r>
              <w:rPr>
                <w:sz w:val="16"/>
                <w:szCs w:val="16"/>
              </w:rPr>
              <w:t>04</w:t>
            </w:r>
          </w:p>
        </w:tc>
        <w:tc>
          <w:tcPr>
            <w:tcW w:w="3930" w:type="dxa"/>
            <w:tcBorders>
              <w:top w:val="single" w:sz="4" w:space="0" w:color="000000"/>
              <w:start w:val="single" w:sz="4" w:space="0" w:color="000000"/>
              <w:bottom w:val="single" w:sz="4" w:space="0" w:color="000000"/>
              <w:end w:val="single" w:sz="4" w:space="0" w:color="000000"/>
            </w:tcBorders>
            <w:shd w:fill="auto" w:val="clear"/>
            <w:vAlign w:val="center"/>
          </w:tcPr>
          <w:p>
            <w:pPr>
              <w:pStyle w:val="normal1"/>
              <w:widowControl w:val="false"/>
              <w:jc w:val="center"/>
              <w:rPr>
                <w:b/>
                <w:sz w:val="16"/>
                <w:szCs w:val="16"/>
              </w:rPr>
            </w:pPr>
            <w:r>
              <w:rPr>
                <w:b/>
                <w:sz w:val="16"/>
                <w:szCs w:val="16"/>
              </w:rPr>
              <w:t>REFEIÇÃO – ALMOÇO</w:t>
            </w:r>
          </w:p>
          <w:p>
            <w:pPr>
              <w:pStyle w:val="normal1"/>
              <w:widowControl w:val="false"/>
              <w:jc w:val="center"/>
              <w:rPr>
                <w:b/>
                <w:sz w:val="16"/>
                <w:szCs w:val="16"/>
              </w:rPr>
            </w:pPr>
            <w:r>
              <w:rPr>
                <w:b/>
                <w:sz w:val="16"/>
                <w:szCs w:val="16"/>
              </w:rPr>
              <w:t>CONFORME CARDÁPIO SUGERIDO</w:t>
            </w:r>
          </w:p>
        </w:tc>
        <w:tc>
          <w:tcPr>
            <w:tcW w:w="1154" w:type="dxa"/>
            <w:tcBorders>
              <w:top w:val="single" w:sz="4" w:space="0" w:color="000000"/>
              <w:start w:val="single" w:sz="4" w:space="0" w:color="000000"/>
              <w:bottom w:val="single" w:sz="4" w:space="0" w:color="000000"/>
              <w:end w:val="single" w:sz="4" w:space="0" w:color="000000"/>
            </w:tcBorders>
            <w:shd w:fill="auto" w:val="clear"/>
            <w:vAlign w:val="center"/>
          </w:tcPr>
          <w:p>
            <w:pPr>
              <w:pStyle w:val="normal1"/>
              <w:jc w:val="center"/>
              <w:rPr>
                <w:sz w:val="16"/>
                <w:szCs w:val="16"/>
                <w:highlight w:val="white"/>
              </w:rPr>
            </w:pPr>
            <w:r>
              <w:rPr>
                <w:sz w:val="16"/>
                <w:szCs w:val="16"/>
                <w:highlight w:val="white"/>
              </w:rPr>
              <w:t>UNIDADE</w:t>
            </w:r>
          </w:p>
        </w:tc>
        <w:tc>
          <w:tcPr>
            <w:tcW w:w="1468" w:type="dxa"/>
            <w:tcBorders>
              <w:top w:val="single" w:sz="4" w:space="0" w:color="000000"/>
              <w:start w:val="single" w:sz="4" w:space="0" w:color="000000"/>
              <w:bottom w:val="single" w:sz="4" w:space="0" w:color="000000"/>
              <w:end w:val="single" w:sz="4" w:space="0" w:color="000000"/>
            </w:tcBorders>
            <w:vAlign w:val="center"/>
          </w:tcPr>
          <w:p>
            <w:pPr>
              <w:pStyle w:val="normal1"/>
              <w:widowControl w:val="false"/>
              <w:jc w:val="center"/>
              <w:rPr>
                <w:sz w:val="16"/>
                <w:szCs w:val="16"/>
              </w:rPr>
            </w:pPr>
            <w:r>
              <w:rPr>
                <w:sz w:val="16"/>
                <w:szCs w:val="16"/>
              </w:rPr>
              <w:t>1000</w:t>
            </w:r>
          </w:p>
        </w:tc>
        <w:tc>
          <w:tcPr>
            <w:tcW w:w="1467" w:type="dxa"/>
            <w:tcBorders>
              <w:top w:val="single" w:sz="4" w:space="0" w:color="000000"/>
              <w:start w:val="single" w:sz="4" w:space="0" w:color="000000"/>
              <w:bottom w:val="single" w:sz="4" w:space="0" w:color="000000"/>
              <w:end w:val="single" w:sz="4" w:space="0" w:color="000000"/>
            </w:tcBorders>
            <w:vAlign w:val="center"/>
          </w:tcPr>
          <w:p>
            <w:pPr>
              <w:pStyle w:val="normal1"/>
              <w:jc w:val="center"/>
              <w:rPr>
                <w:sz w:val="16"/>
                <w:szCs w:val="16"/>
                <w:highlight w:val="white"/>
              </w:rPr>
            </w:pPr>
            <w:r>
              <w:rPr>
                <w:sz w:val="16"/>
                <w:szCs w:val="16"/>
                <w:highlight w:val="white"/>
              </w:rPr>
              <w:t>R$ 21,61</w:t>
            </w:r>
          </w:p>
        </w:tc>
        <w:tc>
          <w:tcPr>
            <w:tcW w:w="1467" w:type="dxa"/>
            <w:tcBorders>
              <w:top w:val="single" w:sz="4" w:space="0" w:color="000000"/>
              <w:start w:val="single" w:sz="4" w:space="0" w:color="000000"/>
              <w:bottom w:val="single" w:sz="4" w:space="0" w:color="000000"/>
              <w:end w:val="single" w:sz="4" w:space="0" w:color="000000"/>
            </w:tcBorders>
            <w:vAlign w:val="center"/>
          </w:tcPr>
          <w:p>
            <w:pPr>
              <w:pStyle w:val="normal1"/>
              <w:jc w:val="center"/>
              <w:rPr>
                <w:sz w:val="16"/>
                <w:szCs w:val="16"/>
                <w:highlight w:val="white"/>
              </w:rPr>
            </w:pPr>
            <w:r>
              <w:rPr>
                <w:sz w:val="16"/>
                <w:szCs w:val="16"/>
                <w:highlight w:val="white"/>
              </w:rPr>
              <w:t>R$ 21.610,00</w:t>
            </w:r>
          </w:p>
        </w:tc>
      </w:tr>
      <w:tr>
        <w:trPr>
          <w:trHeight w:val="558" w:hRule="atLeast"/>
        </w:trPr>
        <w:tc>
          <w:tcPr>
            <w:tcW w:w="492" w:type="dxa"/>
            <w:tcBorders>
              <w:top w:val="single" w:sz="4" w:space="0" w:color="000000"/>
              <w:start w:val="single" w:sz="4" w:space="0" w:color="000000"/>
              <w:bottom w:val="single" w:sz="4" w:space="0" w:color="000000"/>
              <w:end w:val="single" w:sz="4" w:space="0" w:color="000000"/>
            </w:tcBorders>
            <w:shd w:fill="auto" w:val="clear"/>
            <w:vAlign w:val="center"/>
          </w:tcPr>
          <w:p>
            <w:pPr>
              <w:pStyle w:val="normal1"/>
              <w:keepNext w:val="true"/>
              <w:widowControl w:val="false"/>
              <w:jc w:val="center"/>
              <w:rPr>
                <w:sz w:val="16"/>
                <w:szCs w:val="16"/>
              </w:rPr>
            </w:pPr>
            <w:r>
              <w:rPr>
                <w:sz w:val="16"/>
                <w:szCs w:val="16"/>
              </w:rPr>
              <w:t>05</w:t>
            </w:r>
          </w:p>
        </w:tc>
        <w:tc>
          <w:tcPr>
            <w:tcW w:w="3930" w:type="dxa"/>
            <w:tcBorders>
              <w:top w:val="single" w:sz="4" w:space="0" w:color="000000"/>
              <w:start w:val="single" w:sz="4" w:space="0" w:color="000000"/>
              <w:bottom w:val="single" w:sz="4" w:space="0" w:color="000000"/>
              <w:end w:val="single" w:sz="4" w:space="0" w:color="000000"/>
            </w:tcBorders>
            <w:shd w:fill="auto" w:val="clear"/>
            <w:vAlign w:val="center"/>
          </w:tcPr>
          <w:p>
            <w:pPr>
              <w:pStyle w:val="normal1"/>
              <w:widowControl w:val="false"/>
              <w:jc w:val="center"/>
              <w:rPr>
                <w:b/>
                <w:sz w:val="16"/>
                <w:szCs w:val="16"/>
              </w:rPr>
            </w:pPr>
            <w:r>
              <w:rPr>
                <w:b/>
                <w:sz w:val="16"/>
                <w:szCs w:val="16"/>
              </w:rPr>
              <w:t>REFEIÇÃO – CAFÉ DA TARDE</w:t>
            </w:r>
          </w:p>
          <w:p>
            <w:pPr>
              <w:pStyle w:val="normal1"/>
              <w:widowControl w:val="false"/>
              <w:jc w:val="center"/>
              <w:rPr>
                <w:b/>
                <w:sz w:val="16"/>
                <w:szCs w:val="16"/>
              </w:rPr>
            </w:pPr>
            <w:r>
              <w:rPr>
                <w:b/>
                <w:sz w:val="16"/>
                <w:szCs w:val="16"/>
              </w:rPr>
              <w:t>CONFORME CARDÁPIO SUGERIDO</w:t>
            </w:r>
          </w:p>
        </w:tc>
        <w:tc>
          <w:tcPr>
            <w:tcW w:w="1154" w:type="dxa"/>
            <w:tcBorders>
              <w:top w:val="single" w:sz="4" w:space="0" w:color="000000"/>
              <w:start w:val="single" w:sz="4" w:space="0" w:color="000000"/>
              <w:bottom w:val="single" w:sz="4" w:space="0" w:color="000000"/>
              <w:end w:val="single" w:sz="4" w:space="0" w:color="000000"/>
            </w:tcBorders>
            <w:shd w:fill="auto" w:val="clear"/>
            <w:vAlign w:val="center"/>
          </w:tcPr>
          <w:p>
            <w:pPr>
              <w:pStyle w:val="normal1"/>
              <w:jc w:val="center"/>
              <w:rPr>
                <w:sz w:val="16"/>
                <w:szCs w:val="16"/>
                <w:highlight w:val="white"/>
              </w:rPr>
            </w:pPr>
            <w:r>
              <w:rPr>
                <w:sz w:val="16"/>
                <w:szCs w:val="16"/>
                <w:highlight w:val="white"/>
              </w:rPr>
              <w:t>UNIDADE</w:t>
            </w:r>
          </w:p>
        </w:tc>
        <w:tc>
          <w:tcPr>
            <w:tcW w:w="1468" w:type="dxa"/>
            <w:tcBorders>
              <w:top w:val="single" w:sz="4" w:space="0" w:color="000000"/>
              <w:start w:val="single" w:sz="4" w:space="0" w:color="000000"/>
              <w:bottom w:val="single" w:sz="4" w:space="0" w:color="000000"/>
              <w:end w:val="single" w:sz="4" w:space="0" w:color="000000"/>
            </w:tcBorders>
            <w:vAlign w:val="center"/>
          </w:tcPr>
          <w:p>
            <w:pPr>
              <w:pStyle w:val="normal1"/>
              <w:widowControl w:val="false"/>
              <w:jc w:val="center"/>
              <w:rPr>
                <w:sz w:val="16"/>
                <w:szCs w:val="16"/>
              </w:rPr>
            </w:pPr>
            <w:r>
              <w:rPr>
                <w:sz w:val="16"/>
                <w:szCs w:val="16"/>
              </w:rPr>
              <w:t>1000</w:t>
            </w:r>
          </w:p>
        </w:tc>
        <w:tc>
          <w:tcPr>
            <w:tcW w:w="1467" w:type="dxa"/>
            <w:tcBorders>
              <w:top w:val="single" w:sz="4" w:space="0" w:color="000000"/>
              <w:start w:val="single" w:sz="4" w:space="0" w:color="000000"/>
              <w:bottom w:val="single" w:sz="4" w:space="0" w:color="000000"/>
              <w:end w:val="single" w:sz="4" w:space="0" w:color="000000"/>
            </w:tcBorders>
            <w:vAlign w:val="center"/>
          </w:tcPr>
          <w:p>
            <w:pPr>
              <w:pStyle w:val="normal1"/>
              <w:jc w:val="center"/>
              <w:rPr>
                <w:sz w:val="16"/>
                <w:szCs w:val="16"/>
                <w:highlight w:val="white"/>
              </w:rPr>
            </w:pPr>
            <w:r>
              <w:rPr>
                <w:sz w:val="16"/>
                <w:szCs w:val="16"/>
                <w:highlight w:val="white"/>
              </w:rPr>
              <w:t>R$ 11,86</w:t>
            </w:r>
          </w:p>
        </w:tc>
        <w:tc>
          <w:tcPr>
            <w:tcW w:w="1467" w:type="dxa"/>
            <w:tcBorders>
              <w:top w:val="single" w:sz="4" w:space="0" w:color="000000"/>
              <w:start w:val="single" w:sz="4" w:space="0" w:color="000000"/>
              <w:bottom w:val="single" w:sz="4" w:space="0" w:color="000000"/>
              <w:end w:val="single" w:sz="4" w:space="0" w:color="000000"/>
            </w:tcBorders>
            <w:vAlign w:val="center"/>
          </w:tcPr>
          <w:p>
            <w:pPr>
              <w:pStyle w:val="normal1"/>
              <w:jc w:val="center"/>
              <w:rPr>
                <w:sz w:val="16"/>
                <w:szCs w:val="16"/>
                <w:highlight w:val="white"/>
              </w:rPr>
            </w:pPr>
            <w:r>
              <w:rPr>
                <w:sz w:val="16"/>
                <w:szCs w:val="16"/>
                <w:highlight w:val="white"/>
              </w:rPr>
              <w:t>R$ 11.860,00</w:t>
            </w:r>
          </w:p>
        </w:tc>
      </w:tr>
      <w:tr>
        <w:trPr>
          <w:trHeight w:val="284" w:hRule="atLeast"/>
        </w:trPr>
        <w:tc>
          <w:tcPr>
            <w:tcW w:w="492" w:type="dxa"/>
            <w:tcBorders>
              <w:top w:val="single" w:sz="4" w:space="0" w:color="000000"/>
              <w:start w:val="single" w:sz="4" w:space="0" w:color="000000"/>
              <w:bottom w:val="single" w:sz="4" w:space="0" w:color="000000"/>
              <w:end w:val="single" w:sz="4" w:space="0" w:color="000000"/>
            </w:tcBorders>
            <w:shd w:fill="auto" w:val="clear"/>
            <w:vAlign w:val="center"/>
          </w:tcPr>
          <w:p>
            <w:pPr>
              <w:pStyle w:val="normal1"/>
              <w:keepNext w:val="true"/>
              <w:widowControl w:val="false"/>
              <w:jc w:val="center"/>
              <w:rPr>
                <w:sz w:val="16"/>
                <w:szCs w:val="16"/>
              </w:rPr>
            </w:pPr>
            <w:r>
              <w:rPr>
                <w:sz w:val="16"/>
                <w:szCs w:val="16"/>
              </w:rPr>
              <w:t>06</w:t>
            </w:r>
          </w:p>
        </w:tc>
        <w:tc>
          <w:tcPr>
            <w:tcW w:w="3930" w:type="dxa"/>
            <w:tcBorders>
              <w:top w:val="single" w:sz="4" w:space="0" w:color="000000"/>
              <w:start w:val="single" w:sz="4" w:space="0" w:color="000000"/>
              <w:bottom w:val="single" w:sz="4" w:space="0" w:color="000000"/>
              <w:end w:val="single" w:sz="4" w:space="0" w:color="000000"/>
            </w:tcBorders>
            <w:shd w:fill="auto" w:val="clear"/>
            <w:vAlign w:val="center"/>
          </w:tcPr>
          <w:p>
            <w:pPr>
              <w:pStyle w:val="normal1"/>
              <w:widowControl w:val="false"/>
              <w:jc w:val="center"/>
              <w:rPr>
                <w:b/>
                <w:sz w:val="16"/>
                <w:szCs w:val="16"/>
              </w:rPr>
            </w:pPr>
            <w:r>
              <w:rPr>
                <w:b/>
                <w:sz w:val="16"/>
                <w:szCs w:val="16"/>
              </w:rPr>
              <w:t>REFEIÇÃO – JANTAR</w:t>
            </w:r>
          </w:p>
          <w:p>
            <w:pPr>
              <w:pStyle w:val="normal1"/>
              <w:widowControl w:val="false"/>
              <w:jc w:val="center"/>
              <w:rPr>
                <w:b/>
                <w:sz w:val="16"/>
                <w:szCs w:val="16"/>
              </w:rPr>
            </w:pPr>
            <w:r>
              <w:rPr>
                <w:b/>
                <w:sz w:val="16"/>
                <w:szCs w:val="16"/>
              </w:rPr>
              <w:t>CONFORME CARDÁPIO SUGERIDO</w:t>
            </w:r>
          </w:p>
        </w:tc>
        <w:tc>
          <w:tcPr>
            <w:tcW w:w="1154" w:type="dxa"/>
            <w:tcBorders>
              <w:top w:val="single" w:sz="4" w:space="0" w:color="000000"/>
              <w:start w:val="single" w:sz="4" w:space="0" w:color="000000"/>
              <w:bottom w:val="single" w:sz="4" w:space="0" w:color="000000"/>
              <w:end w:val="single" w:sz="4" w:space="0" w:color="000000"/>
            </w:tcBorders>
            <w:shd w:fill="auto" w:val="clear"/>
            <w:vAlign w:val="center"/>
          </w:tcPr>
          <w:p>
            <w:pPr>
              <w:pStyle w:val="normal1"/>
              <w:jc w:val="center"/>
              <w:rPr>
                <w:sz w:val="16"/>
                <w:szCs w:val="16"/>
                <w:highlight w:val="white"/>
              </w:rPr>
            </w:pPr>
            <w:r>
              <w:rPr>
                <w:sz w:val="16"/>
                <w:szCs w:val="16"/>
                <w:highlight w:val="white"/>
              </w:rPr>
              <w:t>UNIDADE</w:t>
            </w:r>
          </w:p>
        </w:tc>
        <w:tc>
          <w:tcPr>
            <w:tcW w:w="1468" w:type="dxa"/>
            <w:tcBorders>
              <w:top w:val="single" w:sz="4" w:space="0" w:color="000000"/>
              <w:start w:val="single" w:sz="4" w:space="0" w:color="000000"/>
              <w:bottom w:val="single" w:sz="4" w:space="0" w:color="000000"/>
              <w:end w:val="single" w:sz="4" w:space="0" w:color="000000"/>
            </w:tcBorders>
            <w:vAlign w:val="center"/>
          </w:tcPr>
          <w:p>
            <w:pPr>
              <w:pStyle w:val="normal1"/>
              <w:widowControl w:val="false"/>
              <w:jc w:val="center"/>
              <w:rPr>
                <w:sz w:val="16"/>
                <w:szCs w:val="16"/>
              </w:rPr>
            </w:pPr>
            <w:r>
              <w:rPr>
                <w:sz w:val="16"/>
                <w:szCs w:val="16"/>
              </w:rPr>
              <w:t>1000</w:t>
            </w:r>
          </w:p>
        </w:tc>
        <w:tc>
          <w:tcPr>
            <w:tcW w:w="1467" w:type="dxa"/>
            <w:tcBorders>
              <w:top w:val="single" w:sz="4" w:space="0" w:color="000000"/>
              <w:start w:val="single" w:sz="4" w:space="0" w:color="000000"/>
              <w:bottom w:val="single" w:sz="4" w:space="0" w:color="000000"/>
              <w:end w:val="single" w:sz="4" w:space="0" w:color="000000"/>
            </w:tcBorders>
            <w:vAlign w:val="center"/>
          </w:tcPr>
          <w:p>
            <w:pPr>
              <w:pStyle w:val="normal1"/>
              <w:jc w:val="center"/>
              <w:rPr>
                <w:sz w:val="16"/>
                <w:szCs w:val="16"/>
                <w:highlight w:val="white"/>
              </w:rPr>
            </w:pPr>
            <w:r>
              <w:rPr>
                <w:sz w:val="16"/>
                <w:szCs w:val="16"/>
                <w:highlight w:val="white"/>
              </w:rPr>
              <w:t>R$ 21,61</w:t>
            </w:r>
          </w:p>
        </w:tc>
        <w:tc>
          <w:tcPr>
            <w:tcW w:w="1467" w:type="dxa"/>
            <w:tcBorders>
              <w:top w:val="single" w:sz="4" w:space="0" w:color="000000"/>
              <w:start w:val="single" w:sz="4" w:space="0" w:color="000000"/>
              <w:bottom w:val="single" w:sz="4" w:space="0" w:color="000000"/>
              <w:end w:val="single" w:sz="4" w:space="0" w:color="000000"/>
            </w:tcBorders>
            <w:vAlign w:val="center"/>
          </w:tcPr>
          <w:p>
            <w:pPr>
              <w:pStyle w:val="normal1"/>
              <w:jc w:val="center"/>
              <w:rPr>
                <w:sz w:val="16"/>
                <w:szCs w:val="16"/>
                <w:highlight w:val="white"/>
              </w:rPr>
            </w:pPr>
            <w:r>
              <w:rPr>
                <w:sz w:val="16"/>
                <w:szCs w:val="16"/>
                <w:highlight w:val="white"/>
              </w:rPr>
              <w:t>R$ 21.610,00</w:t>
            </w:r>
          </w:p>
        </w:tc>
      </w:tr>
      <w:tr>
        <w:trPr>
          <w:trHeight w:val="284" w:hRule="atLeast"/>
        </w:trPr>
        <w:tc>
          <w:tcPr>
            <w:tcW w:w="7044" w:type="dxa"/>
            <w:gridSpan w:val="4"/>
            <w:tcBorders>
              <w:top w:val="single" w:sz="4" w:space="0" w:color="000000"/>
              <w:start w:val="single" w:sz="4" w:space="0" w:color="000000"/>
              <w:bottom w:val="single" w:sz="4" w:space="0" w:color="000000"/>
              <w:end w:val="single" w:sz="4" w:space="0" w:color="000000"/>
            </w:tcBorders>
            <w:shd w:fill="auto" w:val="clear"/>
            <w:vAlign w:val="center"/>
          </w:tcPr>
          <w:p>
            <w:pPr>
              <w:pStyle w:val="normal1"/>
              <w:widowControl w:val="false"/>
              <w:jc w:val="center"/>
              <w:rPr>
                <w:b/>
                <w:sz w:val="16"/>
                <w:szCs w:val="16"/>
              </w:rPr>
            </w:pPr>
            <w:r>
              <w:rPr>
                <w:b/>
                <w:sz w:val="16"/>
                <w:szCs w:val="16"/>
              </w:rPr>
              <w:t>VALOR TOTAL MENSAL</w:t>
            </w:r>
          </w:p>
        </w:tc>
        <w:tc>
          <w:tcPr>
            <w:tcW w:w="2934" w:type="dxa"/>
            <w:gridSpan w:val="2"/>
            <w:tcBorders>
              <w:top w:val="single" w:sz="4" w:space="0" w:color="000000"/>
              <w:start w:val="single" w:sz="4" w:space="0" w:color="000000"/>
              <w:bottom w:val="single" w:sz="4" w:space="0" w:color="000000"/>
              <w:end w:val="single" w:sz="4" w:space="0" w:color="000000"/>
            </w:tcBorders>
            <w:vAlign w:val="center"/>
          </w:tcPr>
          <w:p>
            <w:pPr>
              <w:pStyle w:val="normal1"/>
              <w:jc w:val="center"/>
              <w:rPr>
                <w:b/>
                <w:sz w:val="16"/>
                <w:szCs w:val="16"/>
                <w:highlight w:val="white"/>
              </w:rPr>
            </w:pPr>
            <w:r>
              <w:rPr>
                <w:b/>
                <w:sz w:val="16"/>
                <w:szCs w:val="16"/>
                <w:highlight w:val="white"/>
              </w:rPr>
              <w:t>R$ 175.692,00</w:t>
            </w:r>
          </w:p>
        </w:tc>
      </w:tr>
      <w:tr>
        <w:trPr>
          <w:trHeight w:val="284" w:hRule="atLeast"/>
        </w:trPr>
        <w:tc>
          <w:tcPr>
            <w:tcW w:w="7044" w:type="dxa"/>
            <w:gridSpan w:val="4"/>
            <w:tcBorders>
              <w:top w:val="single" w:sz="4" w:space="0" w:color="000000"/>
              <w:start w:val="single" w:sz="4" w:space="0" w:color="000000"/>
              <w:bottom w:val="single" w:sz="4" w:space="0" w:color="000000"/>
              <w:end w:val="single" w:sz="4" w:space="0" w:color="000000"/>
            </w:tcBorders>
            <w:shd w:fill="auto" w:val="clear"/>
            <w:vAlign w:val="center"/>
          </w:tcPr>
          <w:p>
            <w:pPr>
              <w:pStyle w:val="normal1"/>
              <w:widowControl w:val="false"/>
              <w:jc w:val="center"/>
              <w:rPr>
                <w:b/>
                <w:sz w:val="16"/>
                <w:szCs w:val="16"/>
              </w:rPr>
            </w:pPr>
            <w:r>
              <w:rPr>
                <w:b/>
                <w:sz w:val="16"/>
                <w:szCs w:val="16"/>
              </w:rPr>
              <w:t>VALOR TOTAL ANUAL</w:t>
            </w:r>
          </w:p>
        </w:tc>
        <w:tc>
          <w:tcPr>
            <w:tcW w:w="2934" w:type="dxa"/>
            <w:gridSpan w:val="2"/>
            <w:tcBorders>
              <w:top w:val="single" w:sz="4" w:space="0" w:color="000000"/>
              <w:start w:val="single" w:sz="4" w:space="0" w:color="000000"/>
              <w:bottom w:val="single" w:sz="4" w:space="0" w:color="000000"/>
              <w:end w:val="single" w:sz="4" w:space="0" w:color="000000"/>
            </w:tcBorders>
            <w:vAlign w:val="center"/>
          </w:tcPr>
          <w:p>
            <w:pPr>
              <w:pStyle w:val="normal1"/>
              <w:jc w:val="center"/>
              <w:rPr>
                <w:b/>
                <w:sz w:val="16"/>
                <w:szCs w:val="16"/>
                <w:highlight w:val="white"/>
              </w:rPr>
            </w:pPr>
            <w:r>
              <w:rPr>
                <w:b/>
                <w:sz w:val="16"/>
                <w:szCs w:val="16"/>
                <w:highlight w:val="white"/>
              </w:rPr>
              <w:t>R$ 2.108.304,00</w:t>
            </w:r>
          </w:p>
        </w:tc>
      </w:tr>
    </w:tbl>
    <w:p>
      <w:pPr>
        <w:pStyle w:val="normal1"/>
        <w:tabs>
          <w:tab w:val="clear" w:pos="720"/>
          <w:tab w:val="left" w:pos="1134" w:leader="none"/>
        </w:tabs>
        <w:spacing w:lineRule="auto" w:line="276"/>
        <w:jc w:val="center"/>
        <w:rPr>
          <w:sz w:val="22"/>
          <w:szCs w:val="22"/>
        </w:rPr>
      </w:pPr>
      <w:r>
        <w:rPr>
          <w:sz w:val="22"/>
          <w:szCs w:val="22"/>
        </w:rPr>
      </w:r>
    </w:p>
    <w:p>
      <w:pPr>
        <w:pStyle w:val="normal1"/>
        <w:spacing w:lineRule="auto" w:line="360"/>
        <w:jc w:val="both"/>
        <w:rPr>
          <w:color w:val="000000"/>
          <w:position w:val="0"/>
          <w:sz w:val="22"/>
          <w:sz w:val="22"/>
          <w:szCs w:val="22"/>
          <w:vertAlign w:val="baseline"/>
        </w:rPr>
      </w:pPr>
      <w:r>
        <w:rPr>
          <w:color w:val="000000"/>
          <w:position w:val="0"/>
          <w:sz w:val="22"/>
          <w:sz w:val="22"/>
          <w:szCs w:val="22"/>
          <w:vertAlign w:val="baseline"/>
        </w:rPr>
        <w:tab/>
        <w:t xml:space="preserve">O quadro acima é apenas demonstrativo da demanda estimada para cada procedimento. A quantidade efetivamente demandada de cada item pode variar, </w:t>
      </w:r>
      <w:r>
        <w:rPr>
          <w:b/>
          <w:color w:val="000000"/>
          <w:position w:val="0"/>
          <w:sz w:val="22"/>
          <w:sz w:val="22"/>
          <w:szCs w:val="22"/>
          <w:vertAlign w:val="baseline"/>
        </w:rPr>
        <w:t>e a proposta do licitante deve ser global (com todos os itens do Lote), conforme o modelo no Anexo II do Termo de Referência.</w:t>
      </w:r>
    </w:p>
    <w:p>
      <w:pPr>
        <w:pStyle w:val="normal1"/>
        <w:spacing w:lineRule="auto" w:line="360"/>
        <w:jc w:val="center"/>
        <w:rPr>
          <w:color w:val="000000"/>
          <w:position w:val="0"/>
          <w:sz w:val="22"/>
          <w:sz w:val="22"/>
          <w:szCs w:val="22"/>
          <w:vertAlign w:val="baseline"/>
        </w:rPr>
      </w:pPr>
      <w:r>
        <w:rPr>
          <w:color w:val="000000"/>
          <w:position w:val="0"/>
          <w:sz w:val="22"/>
          <w:sz w:val="22"/>
          <w:szCs w:val="22"/>
          <w:vertAlign w:val="baseline"/>
        </w:rPr>
      </w:r>
    </w:p>
    <w:p>
      <w:pPr>
        <w:pStyle w:val="normal1"/>
        <w:jc w:val="center"/>
        <w:rPr>
          <w:sz w:val="24"/>
          <w:szCs w:val="24"/>
          <w:highlight w:val="white"/>
        </w:rPr>
      </w:pPr>
      <w:r>
        <w:rPr>
          <w:sz w:val="24"/>
          <w:szCs w:val="24"/>
          <w:highlight w:val="white"/>
        </w:rPr>
      </w:r>
    </w:p>
    <w:p>
      <w:pPr>
        <w:pStyle w:val="normal1"/>
        <w:numPr>
          <w:ilvl w:val="0"/>
          <w:numId w:val="23"/>
        </w:numPr>
        <w:spacing w:lineRule="auto" w:line="276"/>
        <w:ind w:hanging="360" w:start="360"/>
        <w:jc w:val="both"/>
        <w:rPr>
          <w:b/>
          <w:sz w:val="22"/>
          <w:szCs w:val="22"/>
          <w:highlight w:val="white"/>
        </w:rPr>
      </w:pPr>
      <w:r>
        <w:rPr>
          <w:b/>
          <w:sz w:val="22"/>
          <w:szCs w:val="22"/>
          <w:highlight w:val="white"/>
        </w:rPr>
        <w:t>OBJETO</w:t>
      </w:r>
    </w:p>
    <w:p>
      <w:pPr>
        <w:pStyle w:val="normal1"/>
        <w:numPr>
          <w:ilvl w:val="1"/>
          <w:numId w:val="23"/>
        </w:numPr>
        <w:spacing w:lineRule="auto" w:line="276"/>
        <w:ind w:hanging="0" w:start="567"/>
        <w:jc w:val="both"/>
        <w:rPr>
          <w:b/>
          <w:sz w:val="22"/>
          <w:szCs w:val="22"/>
          <w:highlight w:val="white"/>
        </w:rPr>
      </w:pPr>
      <w:r>
        <w:rPr>
          <w:b/>
          <w:sz w:val="22"/>
          <w:szCs w:val="22"/>
          <w:highlight w:val="white"/>
        </w:rPr>
        <w:t>Definição do objeto:</w:t>
      </w:r>
    </w:p>
    <w:p>
      <w:pPr>
        <w:pStyle w:val="normal1"/>
        <w:numPr>
          <w:ilvl w:val="2"/>
          <w:numId w:val="23"/>
        </w:numPr>
        <w:spacing w:lineRule="auto" w:line="276"/>
        <w:ind w:hanging="0" w:start="851"/>
        <w:jc w:val="both"/>
        <w:rPr>
          <w:sz w:val="22"/>
          <w:szCs w:val="22"/>
          <w:highlight w:val="white"/>
        </w:rPr>
      </w:pPr>
      <w:r>
        <w:rPr>
          <w:b/>
          <w:sz w:val="22"/>
          <w:szCs w:val="22"/>
          <w:highlight w:val="white"/>
        </w:rPr>
        <w:t>CONTRATAÇÃO DE INSTITUIÇÕES ESPECIALIZADAS NA PRESTAÇÃO DE SERVIÇOS DE HOSPEDAGEM, COM FORNECIMENTO DE ALIMENTAÇÃO A INDIVÍDUOS E FAMÍLIAS QUE NÃO SE ENQUADREM NAS POSSIBILIDADES DE ACOLHIMENTO NOS EQUIPAMENTOS ATUALMENTE EXISTENTES NA REDE DE ASSISTÊNCIA SOCIAL DO MUNICÍPIO</w:t>
      </w:r>
      <w:r>
        <w:rPr>
          <w:sz w:val="22"/>
          <w:szCs w:val="22"/>
          <w:highlight w:val="white"/>
        </w:rPr>
        <w:t>, com o objetivo de atender as demandas da Secretaria Municipal de Assistência Social – SEMAS, por meio da Diretoria de Proteção Social Especial (DPSE), conforme especificações contidas nesse.</w:t>
      </w:r>
    </w:p>
    <w:p>
      <w:pPr>
        <w:pStyle w:val="normal1"/>
        <w:spacing w:lineRule="auto" w:line="276"/>
        <w:ind w:hanging="0" w:start="851"/>
        <w:jc w:val="both"/>
        <w:rPr>
          <w:sz w:val="22"/>
          <w:szCs w:val="22"/>
          <w:highlight w:val="white"/>
        </w:rPr>
      </w:pPr>
      <w:r>
        <w:rPr>
          <w:sz w:val="22"/>
          <w:szCs w:val="22"/>
          <w:highlight w:val="white"/>
        </w:rPr>
      </w:r>
    </w:p>
    <w:p>
      <w:pPr>
        <w:pStyle w:val="normal1"/>
        <w:numPr>
          <w:ilvl w:val="1"/>
          <w:numId w:val="23"/>
        </w:numPr>
        <w:spacing w:lineRule="auto" w:line="276"/>
        <w:ind w:hanging="1000" w:start="1567"/>
        <w:jc w:val="both"/>
        <w:rPr>
          <w:b/>
          <w:sz w:val="22"/>
          <w:szCs w:val="22"/>
          <w:highlight w:val="white"/>
        </w:rPr>
      </w:pPr>
      <w:r>
        <w:rPr>
          <w:b/>
          <w:sz w:val="22"/>
          <w:szCs w:val="22"/>
          <w:highlight w:val="white"/>
        </w:rPr>
        <w:t xml:space="preserve">Estimativa de quantidades:  </w:t>
      </w:r>
    </w:p>
    <w:p>
      <w:pPr>
        <w:pStyle w:val="normal1"/>
        <w:spacing w:lineRule="auto" w:line="276"/>
        <w:ind w:firstLine="567"/>
        <w:jc w:val="both"/>
        <w:rPr>
          <w:b/>
          <w:sz w:val="22"/>
          <w:szCs w:val="22"/>
          <w:highlight w:val="white"/>
        </w:rPr>
      </w:pPr>
      <w:r>
        <w:rPr>
          <w:sz w:val="22"/>
          <w:szCs w:val="22"/>
          <w:highlight w:val="white"/>
        </w:rPr>
        <w:t>O objeto deste TR obedecerá ao quadro, conforme segue:</w:t>
      </w:r>
    </w:p>
    <w:tbl>
      <w:tblPr>
        <w:tblStyle w:val="Table2"/>
        <w:tblW w:w="9978" w:type="dxa"/>
        <w:jc w:val="center"/>
        <w:tblInd w:w="0" w:type="dxa"/>
        <w:tblLayout w:type="fixed"/>
        <w:tblCellMar>
          <w:top w:w="0" w:type="dxa"/>
          <w:start w:w="108" w:type="dxa"/>
          <w:bottom w:w="0" w:type="dxa"/>
          <w:end w:w="108" w:type="dxa"/>
        </w:tblCellMar>
        <w:tblLook w:val="0000"/>
      </w:tblPr>
      <w:tblGrid>
        <w:gridCol w:w="492"/>
        <w:gridCol w:w="3930"/>
        <w:gridCol w:w="1154"/>
        <w:gridCol w:w="1468"/>
        <w:gridCol w:w="1467"/>
        <w:gridCol w:w="1467"/>
      </w:tblGrid>
      <w:tr>
        <w:trPr>
          <w:trHeight w:val="277" w:hRule="atLeast"/>
        </w:trPr>
        <w:tc>
          <w:tcPr>
            <w:tcW w:w="9978" w:type="dxa"/>
            <w:gridSpan w:val="6"/>
            <w:tcBorders>
              <w:top w:val="single" w:sz="4" w:space="0" w:color="000000"/>
              <w:start w:val="single" w:sz="4" w:space="0" w:color="000000"/>
              <w:bottom w:val="single" w:sz="4" w:space="0" w:color="000000"/>
              <w:end w:val="single" w:sz="4" w:space="0" w:color="000000"/>
            </w:tcBorders>
            <w:shd w:fill="auto" w:val="clear"/>
            <w:vAlign w:val="center"/>
          </w:tcPr>
          <w:p>
            <w:pPr>
              <w:pStyle w:val="normal1"/>
              <w:jc w:val="center"/>
              <w:rPr>
                <w:b/>
                <w:sz w:val="24"/>
                <w:szCs w:val="24"/>
                <w:highlight w:val="white"/>
              </w:rPr>
            </w:pPr>
            <w:r>
              <w:rPr>
                <w:b/>
                <w:sz w:val="24"/>
                <w:szCs w:val="24"/>
                <w:highlight w:val="white"/>
              </w:rPr>
              <w:t>LOTE ÚNICO</w:t>
            </w:r>
          </w:p>
        </w:tc>
      </w:tr>
      <w:tr>
        <w:trPr>
          <w:trHeight w:val="532" w:hRule="atLeast"/>
        </w:trPr>
        <w:tc>
          <w:tcPr>
            <w:tcW w:w="492" w:type="dxa"/>
            <w:tcBorders>
              <w:top w:val="single" w:sz="4" w:space="0" w:color="000000"/>
              <w:start w:val="single" w:sz="4" w:space="0" w:color="000000"/>
              <w:bottom w:val="single" w:sz="4" w:space="0" w:color="000000"/>
              <w:end w:val="single" w:sz="4" w:space="0" w:color="000000"/>
            </w:tcBorders>
            <w:shd w:fill="auto" w:val="clear"/>
            <w:vAlign w:val="center"/>
          </w:tcPr>
          <w:p>
            <w:pPr>
              <w:pStyle w:val="normal1"/>
              <w:keepNext w:val="true"/>
              <w:jc w:val="center"/>
              <w:rPr>
                <w:sz w:val="16"/>
                <w:szCs w:val="16"/>
                <w:highlight w:val="white"/>
              </w:rPr>
            </w:pPr>
            <w:r>
              <w:rPr>
                <w:sz w:val="16"/>
                <w:szCs w:val="16"/>
                <w:highlight w:val="white"/>
              </w:rPr>
              <w:t>Item</w:t>
            </w:r>
          </w:p>
        </w:tc>
        <w:tc>
          <w:tcPr>
            <w:tcW w:w="3930" w:type="dxa"/>
            <w:tcBorders>
              <w:top w:val="single" w:sz="4" w:space="0" w:color="000000"/>
              <w:start w:val="single" w:sz="4" w:space="0" w:color="000000"/>
              <w:bottom w:val="single" w:sz="4" w:space="0" w:color="000000"/>
              <w:end w:val="single" w:sz="4" w:space="0" w:color="000000"/>
            </w:tcBorders>
            <w:shd w:fill="auto" w:val="clear"/>
            <w:vAlign w:val="center"/>
          </w:tcPr>
          <w:p>
            <w:pPr>
              <w:pStyle w:val="normal1"/>
              <w:jc w:val="center"/>
              <w:rPr>
                <w:sz w:val="16"/>
                <w:szCs w:val="16"/>
                <w:highlight w:val="white"/>
              </w:rPr>
            </w:pPr>
            <w:r>
              <w:rPr>
                <w:sz w:val="16"/>
                <w:szCs w:val="16"/>
                <w:highlight w:val="white"/>
              </w:rPr>
              <w:t>Descrição</w:t>
            </w:r>
          </w:p>
        </w:tc>
        <w:tc>
          <w:tcPr>
            <w:tcW w:w="1154" w:type="dxa"/>
            <w:tcBorders>
              <w:top w:val="single" w:sz="4" w:space="0" w:color="000000"/>
              <w:start w:val="single" w:sz="4" w:space="0" w:color="000000"/>
              <w:bottom w:val="single" w:sz="4" w:space="0" w:color="000000"/>
              <w:end w:val="single" w:sz="4" w:space="0" w:color="000000"/>
            </w:tcBorders>
            <w:shd w:fill="auto" w:val="clear"/>
            <w:vAlign w:val="center"/>
          </w:tcPr>
          <w:p>
            <w:pPr>
              <w:pStyle w:val="normal1"/>
              <w:jc w:val="center"/>
              <w:rPr>
                <w:sz w:val="16"/>
                <w:szCs w:val="16"/>
                <w:highlight w:val="white"/>
              </w:rPr>
            </w:pPr>
            <w:r>
              <w:rPr>
                <w:sz w:val="16"/>
                <w:szCs w:val="16"/>
                <w:highlight w:val="white"/>
              </w:rPr>
              <w:t>Unidade de medida</w:t>
            </w:r>
          </w:p>
        </w:tc>
        <w:tc>
          <w:tcPr>
            <w:tcW w:w="1468" w:type="dxa"/>
            <w:tcBorders>
              <w:top w:val="single" w:sz="4" w:space="0" w:color="000000"/>
              <w:start w:val="single" w:sz="4" w:space="0" w:color="000000"/>
              <w:bottom w:val="single" w:sz="4" w:space="0" w:color="000000"/>
              <w:end w:val="single" w:sz="4" w:space="0" w:color="000000"/>
            </w:tcBorders>
            <w:vAlign w:val="center"/>
          </w:tcPr>
          <w:p>
            <w:pPr>
              <w:pStyle w:val="normal1"/>
              <w:jc w:val="center"/>
              <w:rPr>
                <w:sz w:val="16"/>
                <w:szCs w:val="16"/>
                <w:highlight w:val="white"/>
              </w:rPr>
            </w:pPr>
            <w:r>
              <w:rPr>
                <w:sz w:val="16"/>
                <w:szCs w:val="16"/>
                <w:highlight w:val="white"/>
              </w:rPr>
              <w:t>Quantidade</w:t>
            </w:r>
          </w:p>
          <w:p>
            <w:pPr>
              <w:pStyle w:val="normal1"/>
              <w:jc w:val="center"/>
              <w:rPr>
                <w:sz w:val="16"/>
                <w:szCs w:val="16"/>
                <w:highlight w:val="white"/>
              </w:rPr>
            </w:pPr>
            <w:r>
              <w:rPr>
                <w:sz w:val="16"/>
                <w:szCs w:val="16"/>
                <w:highlight w:val="white"/>
              </w:rPr>
              <w:t>Estimadas Mensais</w:t>
            </w:r>
          </w:p>
        </w:tc>
        <w:tc>
          <w:tcPr>
            <w:tcW w:w="1467" w:type="dxa"/>
            <w:tcBorders>
              <w:top w:val="single" w:sz="4" w:space="0" w:color="000000"/>
              <w:start w:val="single" w:sz="4" w:space="0" w:color="000000"/>
              <w:bottom w:val="single" w:sz="4" w:space="0" w:color="000000"/>
              <w:end w:val="single" w:sz="4" w:space="0" w:color="000000"/>
            </w:tcBorders>
            <w:vAlign w:val="center"/>
          </w:tcPr>
          <w:p>
            <w:pPr>
              <w:pStyle w:val="normal1"/>
              <w:jc w:val="center"/>
              <w:rPr>
                <w:sz w:val="16"/>
                <w:szCs w:val="16"/>
                <w:highlight w:val="white"/>
              </w:rPr>
            </w:pPr>
            <w:r>
              <w:rPr>
                <w:sz w:val="16"/>
                <w:szCs w:val="16"/>
                <w:highlight w:val="white"/>
              </w:rPr>
              <w:t>Valor Unitário</w:t>
            </w:r>
          </w:p>
        </w:tc>
        <w:tc>
          <w:tcPr>
            <w:tcW w:w="1467" w:type="dxa"/>
            <w:tcBorders>
              <w:top w:val="single" w:sz="4" w:space="0" w:color="000000"/>
              <w:start w:val="single" w:sz="4" w:space="0" w:color="000000"/>
              <w:bottom w:val="single" w:sz="4" w:space="0" w:color="000000"/>
              <w:end w:val="single" w:sz="4" w:space="0" w:color="000000"/>
            </w:tcBorders>
            <w:vAlign w:val="center"/>
          </w:tcPr>
          <w:p>
            <w:pPr>
              <w:pStyle w:val="normal1"/>
              <w:jc w:val="center"/>
              <w:rPr>
                <w:sz w:val="16"/>
                <w:szCs w:val="16"/>
                <w:highlight w:val="white"/>
              </w:rPr>
            </w:pPr>
            <w:r>
              <w:rPr>
                <w:sz w:val="16"/>
                <w:szCs w:val="16"/>
                <w:highlight w:val="white"/>
              </w:rPr>
              <w:t>Valor Total Mensal</w:t>
            </w:r>
          </w:p>
        </w:tc>
      </w:tr>
      <w:tr>
        <w:trPr>
          <w:trHeight w:val="1158" w:hRule="atLeast"/>
        </w:trPr>
        <w:tc>
          <w:tcPr>
            <w:tcW w:w="492" w:type="dxa"/>
            <w:tcBorders>
              <w:top w:val="single" w:sz="4" w:space="0" w:color="000000"/>
              <w:start w:val="single" w:sz="4" w:space="0" w:color="000000"/>
              <w:bottom w:val="single" w:sz="4" w:space="0" w:color="000000"/>
              <w:end w:val="single" w:sz="4" w:space="0" w:color="000000"/>
            </w:tcBorders>
            <w:shd w:fill="auto" w:val="clear"/>
            <w:vAlign w:val="center"/>
          </w:tcPr>
          <w:p>
            <w:pPr>
              <w:pStyle w:val="normal1"/>
              <w:keepNext w:val="true"/>
              <w:widowControl w:val="false"/>
              <w:jc w:val="center"/>
              <w:rPr>
                <w:sz w:val="16"/>
                <w:szCs w:val="16"/>
              </w:rPr>
            </w:pPr>
            <w:r>
              <w:rPr>
                <w:sz w:val="16"/>
                <w:szCs w:val="16"/>
              </w:rPr>
              <w:t>01</w:t>
            </w:r>
          </w:p>
        </w:tc>
        <w:tc>
          <w:tcPr>
            <w:tcW w:w="3930" w:type="dxa"/>
            <w:tcBorders>
              <w:top w:val="single" w:sz="4" w:space="0" w:color="000000"/>
              <w:start w:val="single" w:sz="4" w:space="0" w:color="000000"/>
              <w:bottom w:val="single" w:sz="4" w:space="0" w:color="000000"/>
              <w:end w:val="single" w:sz="4" w:space="0" w:color="000000"/>
            </w:tcBorders>
            <w:shd w:fill="auto" w:val="clear"/>
          </w:tcPr>
          <w:p>
            <w:pPr>
              <w:pStyle w:val="normal1"/>
              <w:widowControl w:val="false"/>
              <w:jc w:val="both"/>
              <w:rPr>
                <w:b/>
                <w:sz w:val="16"/>
                <w:szCs w:val="16"/>
              </w:rPr>
            </w:pPr>
            <w:r>
              <w:rPr>
                <w:b/>
                <w:sz w:val="16"/>
                <w:szCs w:val="16"/>
              </w:rPr>
              <w:t>Quarto individual: Acomodação para uma pessoa com banheiro sanitário individual ou coletivo, toalhas e amenidades necessárias ao uso como: papel higiênico, sabonete e shampoo  para banho; cama padrão de solteiro, lençol, travesseiros e cobertores; armário ou arara para guardar roupas; incluído café da manhã; ventilador e TV.</w:t>
            </w:r>
          </w:p>
        </w:tc>
        <w:tc>
          <w:tcPr>
            <w:tcW w:w="1154" w:type="dxa"/>
            <w:tcBorders>
              <w:top w:val="single" w:sz="4" w:space="0" w:color="000000"/>
              <w:start w:val="single" w:sz="4" w:space="0" w:color="000000"/>
              <w:bottom w:val="single" w:sz="4" w:space="0" w:color="000000"/>
              <w:end w:val="single" w:sz="4" w:space="0" w:color="000000"/>
            </w:tcBorders>
            <w:shd w:fill="auto" w:val="clear"/>
            <w:vAlign w:val="center"/>
          </w:tcPr>
          <w:p>
            <w:pPr>
              <w:pStyle w:val="normal1"/>
              <w:jc w:val="center"/>
              <w:rPr>
                <w:sz w:val="16"/>
                <w:szCs w:val="16"/>
                <w:highlight w:val="white"/>
              </w:rPr>
            </w:pPr>
            <w:r>
              <w:rPr>
                <w:sz w:val="16"/>
                <w:szCs w:val="16"/>
                <w:highlight w:val="white"/>
              </w:rPr>
              <w:t>DIÁRIA</w:t>
            </w:r>
          </w:p>
        </w:tc>
        <w:tc>
          <w:tcPr>
            <w:tcW w:w="1468" w:type="dxa"/>
            <w:tcBorders>
              <w:top w:val="single" w:sz="4" w:space="0" w:color="000000"/>
              <w:start w:val="single" w:sz="4" w:space="0" w:color="000000"/>
              <w:bottom w:val="single" w:sz="4" w:space="0" w:color="000000"/>
              <w:end w:val="single" w:sz="4" w:space="0" w:color="000000"/>
            </w:tcBorders>
            <w:vAlign w:val="center"/>
          </w:tcPr>
          <w:p>
            <w:pPr>
              <w:pStyle w:val="normal1"/>
              <w:widowControl w:val="false"/>
              <w:jc w:val="center"/>
              <w:rPr>
                <w:sz w:val="16"/>
                <w:szCs w:val="16"/>
              </w:rPr>
            </w:pPr>
            <w:r>
              <w:rPr>
                <w:sz w:val="16"/>
                <w:szCs w:val="16"/>
              </w:rPr>
              <w:t>50</w:t>
            </w:r>
          </w:p>
        </w:tc>
        <w:tc>
          <w:tcPr>
            <w:tcW w:w="1467" w:type="dxa"/>
            <w:tcBorders>
              <w:top w:val="single" w:sz="4" w:space="0" w:color="000000"/>
              <w:start w:val="single" w:sz="4" w:space="0" w:color="000000"/>
              <w:bottom w:val="single" w:sz="4" w:space="0" w:color="000000"/>
              <w:end w:val="single" w:sz="4" w:space="0" w:color="000000"/>
            </w:tcBorders>
            <w:vAlign w:val="center"/>
          </w:tcPr>
          <w:p>
            <w:pPr>
              <w:pStyle w:val="normal1"/>
              <w:widowControl w:val="false"/>
              <w:jc w:val="center"/>
              <w:rPr>
                <w:sz w:val="16"/>
                <w:szCs w:val="16"/>
              </w:rPr>
            </w:pPr>
            <w:r>
              <w:rPr>
                <w:sz w:val="16"/>
                <w:szCs w:val="16"/>
              </w:rPr>
              <w:t>R$ 148,65</w:t>
            </w:r>
          </w:p>
        </w:tc>
        <w:tc>
          <w:tcPr>
            <w:tcW w:w="1467" w:type="dxa"/>
            <w:tcBorders>
              <w:top w:val="single" w:sz="4" w:space="0" w:color="000000"/>
              <w:start w:val="single" w:sz="4" w:space="0" w:color="000000"/>
              <w:bottom w:val="single" w:sz="4" w:space="0" w:color="000000"/>
              <w:end w:val="single" w:sz="4" w:space="0" w:color="000000"/>
            </w:tcBorders>
            <w:vAlign w:val="center"/>
          </w:tcPr>
          <w:p>
            <w:pPr>
              <w:pStyle w:val="normal1"/>
              <w:widowControl w:val="false"/>
              <w:jc w:val="center"/>
              <w:rPr>
                <w:sz w:val="16"/>
                <w:szCs w:val="16"/>
              </w:rPr>
            </w:pPr>
            <w:r>
              <w:rPr>
                <w:sz w:val="16"/>
                <w:szCs w:val="16"/>
              </w:rPr>
              <w:t>R$ 7.432,50</w:t>
            </w:r>
          </w:p>
        </w:tc>
      </w:tr>
      <w:tr>
        <w:trPr>
          <w:trHeight w:val="1158" w:hRule="atLeast"/>
        </w:trPr>
        <w:tc>
          <w:tcPr>
            <w:tcW w:w="492" w:type="dxa"/>
            <w:tcBorders>
              <w:top w:val="single" w:sz="4" w:space="0" w:color="000000"/>
              <w:start w:val="single" w:sz="4" w:space="0" w:color="000000"/>
              <w:bottom w:val="single" w:sz="4" w:space="0" w:color="000000"/>
              <w:end w:val="single" w:sz="4" w:space="0" w:color="000000"/>
            </w:tcBorders>
            <w:shd w:fill="auto" w:val="clear"/>
            <w:vAlign w:val="center"/>
          </w:tcPr>
          <w:p>
            <w:pPr>
              <w:pStyle w:val="normal1"/>
              <w:keepNext w:val="true"/>
              <w:widowControl w:val="false"/>
              <w:jc w:val="center"/>
              <w:rPr>
                <w:sz w:val="16"/>
                <w:szCs w:val="16"/>
              </w:rPr>
            </w:pPr>
            <w:r>
              <w:rPr>
                <w:sz w:val="16"/>
                <w:szCs w:val="16"/>
              </w:rPr>
              <w:t>02</w:t>
            </w:r>
          </w:p>
        </w:tc>
        <w:tc>
          <w:tcPr>
            <w:tcW w:w="3930" w:type="dxa"/>
            <w:tcBorders>
              <w:top w:val="single" w:sz="4" w:space="0" w:color="000000"/>
              <w:start w:val="single" w:sz="4" w:space="0" w:color="000000"/>
              <w:bottom w:val="single" w:sz="4" w:space="0" w:color="000000"/>
              <w:end w:val="single" w:sz="4" w:space="0" w:color="000000"/>
            </w:tcBorders>
            <w:shd w:fill="auto" w:val="clear"/>
          </w:tcPr>
          <w:p>
            <w:pPr>
              <w:pStyle w:val="normal1"/>
              <w:widowControl w:val="false"/>
              <w:jc w:val="both"/>
              <w:rPr>
                <w:b/>
                <w:sz w:val="16"/>
                <w:szCs w:val="16"/>
              </w:rPr>
            </w:pPr>
            <w:r>
              <w:rPr>
                <w:b/>
                <w:sz w:val="16"/>
                <w:szCs w:val="16"/>
              </w:rPr>
              <w:t>Quarto duplo: Acomodação para duas pessoas com banheiro sanitário individual ou coletivo, toalhas e amenidades necessárias ao uso como: papel higiênico, sabonete e shampoo para banho; duas camas padrão de solteiro, ou uma de casal,  lençol, travesseiros e cobertores; armário ou arara para guardar roupas; incluído café da manhã; ventilador, e TV.</w:t>
            </w:r>
          </w:p>
        </w:tc>
        <w:tc>
          <w:tcPr>
            <w:tcW w:w="1154" w:type="dxa"/>
            <w:tcBorders>
              <w:top w:val="single" w:sz="4" w:space="0" w:color="000000"/>
              <w:start w:val="single" w:sz="4" w:space="0" w:color="000000"/>
              <w:bottom w:val="single" w:sz="4" w:space="0" w:color="000000"/>
              <w:end w:val="single" w:sz="4" w:space="0" w:color="000000"/>
            </w:tcBorders>
            <w:shd w:fill="auto" w:val="clear"/>
            <w:vAlign w:val="center"/>
          </w:tcPr>
          <w:p>
            <w:pPr>
              <w:pStyle w:val="normal1"/>
              <w:jc w:val="center"/>
              <w:rPr>
                <w:sz w:val="16"/>
                <w:szCs w:val="16"/>
                <w:highlight w:val="white"/>
              </w:rPr>
            </w:pPr>
            <w:r>
              <w:rPr>
                <w:sz w:val="16"/>
                <w:szCs w:val="16"/>
                <w:highlight w:val="white"/>
              </w:rPr>
              <w:t>DIÁRIA</w:t>
            </w:r>
          </w:p>
        </w:tc>
        <w:tc>
          <w:tcPr>
            <w:tcW w:w="1468" w:type="dxa"/>
            <w:tcBorders>
              <w:top w:val="single" w:sz="4" w:space="0" w:color="000000"/>
              <w:start w:val="single" w:sz="4" w:space="0" w:color="000000"/>
              <w:bottom w:val="single" w:sz="4" w:space="0" w:color="000000"/>
              <w:end w:val="single" w:sz="4" w:space="0" w:color="000000"/>
            </w:tcBorders>
            <w:vAlign w:val="center"/>
          </w:tcPr>
          <w:p>
            <w:pPr>
              <w:pStyle w:val="normal1"/>
              <w:widowControl w:val="false"/>
              <w:jc w:val="center"/>
              <w:rPr>
                <w:sz w:val="16"/>
                <w:szCs w:val="16"/>
              </w:rPr>
            </w:pPr>
            <w:r>
              <w:rPr>
                <w:sz w:val="16"/>
                <w:szCs w:val="16"/>
              </w:rPr>
              <w:t>100</w:t>
            </w:r>
          </w:p>
        </w:tc>
        <w:tc>
          <w:tcPr>
            <w:tcW w:w="1467" w:type="dxa"/>
            <w:tcBorders>
              <w:top w:val="single" w:sz="4" w:space="0" w:color="000000"/>
              <w:start w:val="single" w:sz="4" w:space="0" w:color="000000"/>
              <w:bottom w:val="single" w:sz="4" w:space="0" w:color="000000"/>
              <w:end w:val="single" w:sz="4" w:space="0" w:color="000000"/>
            </w:tcBorders>
            <w:vAlign w:val="center"/>
          </w:tcPr>
          <w:p>
            <w:pPr>
              <w:pStyle w:val="normal1"/>
              <w:jc w:val="center"/>
              <w:rPr>
                <w:sz w:val="16"/>
                <w:szCs w:val="16"/>
                <w:highlight w:val="white"/>
              </w:rPr>
            </w:pPr>
            <w:r>
              <w:rPr>
                <w:sz w:val="16"/>
                <w:szCs w:val="16"/>
                <w:highlight w:val="white"/>
              </w:rPr>
              <w:t>R$ 241,57</w:t>
            </w:r>
          </w:p>
        </w:tc>
        <w:tc>
          <w:tcPr>
            <w:tcW w:w="1467" w:type="dxa"/>
            <w:tcBorders>
              <w:top w:val="single" w:sz="4" w:space="0" w:color="000000"/>
              <w:start w:val="single" w:sz="4" w:space="0" w:color="000000"/>
              <w:bottom w:val="single" w:sz="4" w:space="0" w:color="000000"/>
              <w:end w:val="single" w:sz="4" w:space="0" w:color="000000"/>
            </w:tcBorders>
            <w:vAlign w:val="center"/>
          </w:tcPr>
          <w:p>
            <w:pPr>
              <w:pStyle w:val="normal1"/>
              <w:jc w:val="center"/>
              <w:rPr>
                <w:sz w:val="16"/>
                <w:szCs w:val="16"/>
                <w:highlight w:val="white"/>
              </w:rPr>
            </w:pPr>
            <w:r>
              <w:rPr>
                <w:sz w:val="16"/>
                <w:szCs w:val="16"/>
                <w:highlight w:val="white"/>
              </w:rPr>
              <w:t>R$ 24.157,00</w:t>
            </w:r>
          </w:p>
        </w:tc>
      </w:tr>
      <w:tr>
        <w:trPr>
          <w:trHeight w:val="1158" w:hRule="atLeast"/>
        </w:trPr>
        <w:tc>
          <w:tcPr>
            <w:tcW w:w="492" w:type="dxa"/>
            <w:tcBorders>
              <w:top w:val="single" w:sz="4" w:space="0" w:color="000000"/>
              <w:start w:val="single" w:sz="4" w:space="0" w:color="000000"/>
              <w:bottom w:val="single" w:sz="4" w:space="0" w:color="000000"/>
              <w:end w:val="single" w:sz="4" w:space="0" w:color="000000"/>
            </w:tcBorders>
            <w:shd w:fill="auto" w:val="clear"/>
            <w:vAlign w:val="center"/>
          </w:tcPr>
          <w:p>
            <w:pPr>
              <w:pStyle w:val="normal1"/>
              <w:keepNext w:val="true"/>
              <w:widowControl w:val="false"/>
              <w:jc w:val="center"/>
              <w:rPr>
                <w:sz w:val="16"/>
                <w:szCs w:val="16"/>
              </w:rPr>
            </w:pPr>
            <w:r>
              <w:rPr>
                <w:sz w:val="16"/>
                <w:szCs w:val="16"/>
              </w:rPr>
              <w:t>03</w:t>
            </w:r>
          </w:p>
        </w:tc>
        <w:tc>
          <w:tcPr>
            <w:tcW w:w="3930" w:type="dxa"/>
            <w:tcBorders>
              <w:top w:val="single" w:sz="4" w:space="0" w:color="000000"/>
              <w:start w:val="single" w:sz="4" w:space="0" w:color="000000"/>
              <w:bottom w:val="single" w:sz="4" w:space="0" w:color="000000"/>
              <w:end w:val="single" w:sz="4" w:space="0" w:color="000000"/>
            </w:tcBorders>
            <w:shd w:fill="auto" w:val="clear"/>
          </w:tcPr>
          <w:p>
            <w:pPr>
              <w:pStyle w:val="normal1"/>
              <w:widowControl w:val="false"/>
              <w:jc w:val="both"/>
              <w:rPr>
                <w:b/>
                <w:sz w:val="16"/>
                <w:szCs w:val="16"/>
              </w:rPr>
            </w:pPr>
            <w:r>
              <w:rPr>
                <w:b/>
                <w:sz w:val="16"/>
                <w:szCs w:val="16"/>
              </w:rPr>
              <w:t>Quarto triplo: Acomodação três pessoas com banheiro sanitário individual ou coletivo, toalhas e amenidades necessárias ao uso como: papel higiênico, sabonete e shampoo para banho; camas dispostas conforme a composição familiar; lençol, travesseiros e cobertores; armário ou arara para guardar roupas; incluído café da manhã; ventilador, e TV.</w:t>
            </w:r>
          </w:p>
        </w:tc>
        <w:tc>
          <w:tcPr>
            <w:tcW w:w="1154" w:type="dxa"/>
            <w:tcBorders>
              <w:top w:val="single" w:sz="4" w:space="0" w:color="000000"/>
              <w:start w:val="single" w:sz="4" w:space="0" w:color="000000"/>
              <w:bottom w:val="single" w:sz="4" w:space="0" w:color="000000"/>
              <w:end w:val="single" w:sz="4" w:space="0" w:color="000000"/>
            </w:tcBorders>
            <w:shd w:fill="auto" w:val="clear"/>
            <w:vAlign w:val="center"/>
          </w:tcPr>
          <w:p>
            <w:pPr>
              <w:pStyle w:val="normal1"/>
              <w:jc w:val="center"/>
              <w:rPr>
                <w:sz w:val="16"/>
                <w:szCs w:val="16"/>
                <w:highlight w:val="white"/>
              </w:rPr>
            </w:pPr>
            <w:r>
              <w:rPr>
                <w:sz w:val="16"/>
                <w:szCs w:val="16"/>
                <w:highlight w:val="white"/>
              </w:rPr>
              <w:t>DIÁRIA</w:t>
            </w:r>
          </w:p>
        </w:tc>
        <w:tc>
          <w:tcPr>
            <w:tcW w:w="1468" w:type="dxa"/>
            <w:tcBorders>
              <w:top w:val="single" w:sz="4" w:space="0" w:color="000000"/>
              <w:start w:val="single" w:sz="4" w:space="0" w:color="000000"/>
              <w:bottom w:val="single" w:sz="4" w:space="0" w:color="000000"/>
              <w:end w:val="single" w:sz="4" w:space="0" w:color="000000"/>
            </w:tcBorders>
            <w:vAlign w:val="center"/>
          </w:tcPr>
          <w:p>
            <w:pPr>
              <w:pStyle w:val="normal1"/>
              <w:widowControl w:val="false"/>
              <w:jc w:val="center"/>
              <w:rPr>
                <w:sz w:val="16"/>
                <w:szCs w:val="16"/>
              </w:rPr>
            </w:pPr>
            <w:r>
              <w:rPr>
                <w:sz w:val="16"/>
                <w:szCs w:val="16"/>
              </w:rPr>
              <w:t>250</w:t>
            </w:r>
          </w:p>
        </w:tc>
        <w:tc>
          <w:tcPr>
            <w:tcW w:w="1467" w:type="dxa"/>
            <w:tcBorders>
              <w:top w:val="single" w:sz="4" w:space="0" w:color="000000"/>
              <w:start w:val="single" w:sz="4" w:space="0" w:color="000000"/>
              <w:bottom w:val="single" w:sz="4" w:space="0" w:color="000000"/>
              <w:end w:val="single" w:sz="4" w:space="0" w:color="000000"/>
            </w:tcBorders>
            <w:vAlign w:val="center"/>
          </w:tcPr>
          <w:p>
            <w:pPr>
              <w:pStyle w:val="normal1"/>
              <w:jc w:val="center"/>
              <w:rPr>
                <w:sz w:val="16"/>
                <w:szCs w:val="16"/>
                <w:highlight w:val="white"/>
              </w:rPr>
            </w:pPr>
            <w:r>
              <w:rPr>
                <w:sz w:val="16"/>
                <w:szCs w:val="16"/>
                <w:highlight w:val="white"/>
              </w:rPr>
              <w:t>R$ 356,09</w:t>
            </w:r>
          </w:p>
        </w:tc>
        <w:tc>
          <w:tcPr>
            <w:tcW w:w="1467" w:type="dxa"/>
            <w:tcBorders>
              <w:top w:val="single" w:sz="4" w:space="0" w:color="000000"/>
              <w:start w:val="single" w:sz="4" w:space="0" w:color="000000"/>
              <w:bottom w:val="single" w:sz="4" w:space="0" w:color="000000"/>
              <w:end w:val="single" w:sz="4" w:space="0" w:color="000000"/>
            </w:tcBorders>
            <w:vAlign w:val="center"/>
          </w:tcPr>
          <w:p>
            <w:pPr>
              <w:pStyle w:val="normal1"/>
              <w:jc w:val="center"/>
              <w:rPr>
                <w:sz w:val="16"/>
                <w:szCs w:val="16"/>
                <w:highlight w:val="white"/>
              </w:rPr>
            </w:pPr>
            <w:r>
              <w:rPr>
                <w:sz w:val="16"/>
                <w:szCs w:val="16"/>
                <w:highlight w:val="white"/>
              </w:rPr>
              <w:t>R$ 89.022,50</w:t>
            </w:r>
          </w:p>
        </w:tc>
      </w:tr>
      <w:tr>
        <w:trPr>
          <w:trHeight w:val="284" w:hRule="atLeast"/>
        </w:trPr>
        <w:tc>
          <w:tcPr>
            <w:tcW w:w="492" w:type="dxa"/>
            <w:tcBorders>
              <w:top w:val="single" w:sz="4" w:space="0" w:color="000000"/>
              <w:start w:val="single" w:sz="4" w:space="0" w:color="000000"/>
              <w:bottom w:val="single" w:sz="4" w:space="0" w:color="000000"/>
              <w:end w:val="single" w:sz="4" w:space="0" w:color="000000"/>
            </w:tcBorders>
            <w:shd w:fill="auto" w:val="clear"/>
            <w:vAlign w:val="center"/>
          </w:tcPr>
          <w:p>
            <w:pPr>
              <w:pStyle w:val="normal1"/>
              <w:keepNext w:val="true"/>
              <w:widowControl w:val="false"/>
              <w:jc w:val="center"/>
              <w:rPr>
                <w:sz w:val="16"/>
                <w:szCs w:val="16"/>
              </w:rPr>
            </w:pPr>
            <w:r>
              <w:rPr>
                <w:sz w:val="16"/>
                <w:szCs w:val="16"/>
              </w:rPr>
              <w:t>04</w:t>
            </w:r>
          </w:p>
        </w:tc>
        <w:tc>
          <w:tcPr>
            <w:tcW w:w="3930" w:type="dxa"/>
            <w:tcBorders>
              <w:top w:val="single" w:sz="4" w:space="0" w:color="000000"/>
              <w:start w:val="single" w:sz="4" w:space="0" w:color="000000"/>
              <w:bottom w:val="single" w:sz="4" w:space="0" w:color="000000"/>
              <w:end w:val="single" w:sz="4" w:space="0" w:color="000000"/>
            </w:tcBorders>
            <w:shd w:fill="auto" w:val="clear"/>
            <w:vAlign w:val="center"/>
          </w:tcPr>
          <w:p>
            <w:pPr>
              <w:pStyle w:val="normal1"/>
              <w:widowControl w:val="false"/>
              <w:jc w:val="center"/>
              <w:rPr>
                <w:b/>
                <w:sz w:val="16"/>
                <w:szCs w:val="16"/>
              </w:rPr>
            </w:pPr>
            <w:r>
              <w:rPr>
                <w:b/>
                <w:sz w:val="16"/>
                <w:szCs w:val="16"/>
              </w:rPr>
              <w:t>REFEIÇÃO – ALMOÇO</w:t>
            </w:r>
          </w:p>
          <w:p>
            <w:pPr>
              <w:pStyle w:val="normal1"/>
              <w:widowControl w:val="false"/>
              <w:jc w:val="center"/>
              <w:rPr>
                <w:b/>
                <w:sz w:val="16"/>
                <w:szCs w:val="16"/>
              </w:rPr>
            </w:pPr>
            <w:r>
              <w:rPr>
                <w:b/>
                <w:sz w:val="16"/>
                <w:szCs w:val="16"/>
              </w:rPr>
              <w:t>CONFORME CARDÁPIO SUGERIDO</w:t>
            </w:r>
          </w:p>
        </w:tc>
        <w:tc>
          <w:tcPr>
            <w:tcW w:w="1154" w:type="dxa"/>
            <w:tcBorders>
              <w:top w:val="single" w:sz="4" w:space="0" w:color="000000"/>
              <w:start w:val="single" w:sz="4" w:space="0" w:color="000000"/>
              <w:bottom w:val="single" w:sz="4" w:space="0" w:color="000000"/>
              <w:end w:val="single" w:sz="4" w:space="0" w:color="000000"/>
            </w:tcBorders>
            <w:shd w:fill="auto" w:val="clear"/>
            <w:vAlign w:val="center"/>
          </w:tcPr>
          <w:p>
            <w:pPr>
              <w:pStyle w:val="normal1"/>
              <w:jc w:val="center"/>
              <w:rPr>
                <w:sz w:val="16"/>
                <w:szCs w:val="16"/>
                <w:highlight w:val="white"/>
              </w:rPr>
            </w:pPr>
            <w:r>
              <w:rPr>
                <w:sz w:val="16"/>
                <w:szCs w:val="16"/>
                <w:highlight w:val="white"/>
              </w:rPr>
              <w:t>UNIDADE</w:t>
            </w:r>
          </w:p>
        </w:tc>
        <w:tc>
          <w:tcPr>
            <w:tcW w:w="1468" w:type="dxa"/>
            <w:tcBorders>
              <w:top w:val="single" w:sz="4" w:space="0" w:color="000000"/>
              <w:start w:val="single" w:sz="4" w:space="0" w:color="000000"/>
              <w:bottom w:val="single" w:sz="4" w:space="0" w:color="000000"/>
              <w:end w:val="single" w:sz="4" w:space="0" w:color="000000"/>
            </w:tcBorders>
            <w:vAlign w:val="center"/>
          </w:tcPr>
          <w:p>
            <w:pPr>
              <w:pStyle w:val="normal1"/>
              <w:widowControl w:val="false"/>
              <w:jc w:val="center"/>
              <w:rPr>
                <w:sz w:val="16"/>
                <w:szCs w:val="16"/>
              </w:rPr>
            </w:pPr>
            <w:r>
              <w:rPr>
                <w:sz w:val="16"/>
                <w:szCs w:val="16"/>
              </w:rPr>
              <w:t>1000</w:t>
            </w:r>
          </w:p>
        </w:tc>
        <w:tc>
          <w:tcPr>
            <w:tcW w:w="1467" w:type="dxa"/>
            <w:tcBorders>
              <w:top w:val="single" w:sz="4" w:space="0" w:color="000000"/>
              <w:start w:val="single" w:sz="4" w:space="0" w:color="000000"/>
              <w:bottom w:val="single" w:sz="4" w:space="0" w:color="000000"/>
              <w:end w:val="single" w:sz="4" w:space="0" w:color="000000"/>
            </w:tcBorders>
            <w:vAlign w:val="center"/>
          </w:tcPr>
          <w:p>
            <w:pPr>
              <w:pStyle w:val="normal1"/>
              <w:jc w:val="center"/>
              <w:rPr>
                <w:sz w:val="16"/>
                <w:szCs w:val="16"/>
                <w:highlight w:val="white"/>
              </w:rPr>
            </w:pPr>
            <w:r>
              <w:rPr>
                <w:sz w:val="16"/>
                <w:szCs w:val="16"/>
                <w:highlight w:val="white"/>
              </w:rPr>
              <w:t>R$ 21,61</w:t>
            </w:r>
          </w:p>
        </w:tc>
        <w:tc>
          <w:tcPr>
            <w:tcW w:w="1467" w:type="dxa"/>
            <w:tcBorders>
              <w:top w:val="single" w:sz="4" w:space="0" w:color="000000"/>
              <w:start w:val="single" w:sz="4" w:space="0" w:color="000000"/>
              <w:bottom w:val="single" w:sz="4" w:space="0" w:color="000000"/>
              <w:end w:val="single" w:sz="4" w:space="0" w:color="000000"/>
            </w:tcBorders>
            <w:vAlign w:val="center"/>
          </w:tcPr>
          <w:p>
            <w:pPr>
              <w:pStyle w:val="normal1"/>
              <w:jc w:val="center"/>
              <w:rPr>
                <w:sz w:val="16"/>
                <w:szCs w:val="16"/>
                <w:highlight w:val="white"/>
              </w:rPr>
            </w:pPr>
            <w:r>
              <w:rPr>
                <w:sz w:val="16"/>
                <w:szCs w:val="16"/>
                <w:highlight w:val="white"/>
              </w:rPr>
              <w:t>R$ 21.610,00</w:t>
            </w:r>
          </w:p>
        </w:tc>
      </w:tr>
      <w:tr>
        <w:trPr>
          <w:trHeight w:val="558" w:hRule="atLeast"/>
        </w:trPr>
        <w:tc>
          <w:tcPr>
            <w:tcW w:w="492" w:type="dxa"/>
            <w:tcBorders>
              <w:top w:val="single" w:sz="4" w:space="0" w:color="000000"/>
              <w:start w:val="single" w:sz="4" w:space="0" w:color="000000"/>
              <w:bottom w:val="single" w:sz="4" w:space="0" w:color="000000"/>
              <w:end w:val="single" w:sz="4" w:space="0" w:color="000000"/>
            </w:tcBorders>
            <w:shd w:fill="auto" w:val="clear"/>
            <w:vAlign w:val="center"/>
          </w:tcPr>
          <w:p>
            <w:pPr>
              <w:pStyle w:val="normal1"/>
              <w:keepNext w:val="true"/>
              <w:widowControl w:val="false"/>
              <w:jc w:val="center"/>
              <w:rPr>
                <w:sz w:val="16"/>
                <w:szCs w:val="16"/>
              </w:rPr>
            </w:pPr>
            <w:r>
              <w:rPr>
                <w:sz w:val="16"/>
                <w:szCs w:val="16"/>
              </w:rPr>
              <w:t>05</w:t>
            </w:r>
          </w:p>
        </w:tc>
        <w:tc>
          <w:tcPr>
            <w:tcW w:w="3930" w:type="dxa"/>
            <w:tcBorders>
              <w:top w:val="single" w:sz="4" w:space="0" w:color="000000"/>
              <w:start w:val="single" w:sz="4" w:space="0" w:color="000000"/>
              <w:bottom w:val="single" w:sz="4" w:space="0" w:color="000000"/>
              <w:end w:val="single" w:sz="4" w:space="0" w:color="000000"/>
            </w:tcBorders>
            <w:shd w:fill="auto" w:val="clear"/>
            <w:vAlign w:val="center"/>
          </w:tcPr>
          <w:p>
            <w:pPr>
              <w:pStyle w:val="normal1"/>
              <w:widowControl w:val="false"/>
              <w:jc w:val="center"/>
              <w:rPr>
                <w:b/>
                <w:sz w:val="16"/>
                <w:szCs w:val="16"/>
              </w:rPr>
            </w:pPr>
            <w:r>
              <w:rPr>
                <w:b/>
                <w:sz w:val="16"/>
                <w:szCs w:val="16"/>
              </w:rPr>
              <w:t>REFEIÇÃO – CAFÉ DA TARDE</w:t>
            </w:r>
          </w:p>
          <w:p>
            <w:pPr>
              <w:pStyle w:val="normal1"/>
              <w:widowControl w:val="false"/>
              <w:jc w:val="center"/>
              <w:rPr>
                <w:b/>
                <w:sz w:val="16"/>
                <w:szCs w:val="16"/>
              </w:rPr>
            </w:pPr>
            <w:r>
              <w:rPr>
                <w:b/>
                <w:sz w:val="16"/>
                <w:szCs w:val="16"/>
              </w:rPr>
              <w:t>CONFORME CARDÁPIO SUGERIDO</w:t>
            </w:r>
          </w:p>
        </w:tc>
        <w:tc>
          <w:tcPr>
            <w:tcW w:w="1154" w:type="dxa"/>
            <w:tcBorders>
              <w:top w:val="single" w:sz="4" w:space="0" w:color="000000"/>
              <w:start w:val="single" w:sz="4" w:space="0" w:color="000000"/>
              <w:bottom w:val="single" w:sz="4" w:space="0" w:color="000000"/>
              <w:end w:val="single" w:sz="4" w:space="0" w:color="000000"/>
            </w:tcBorders>
            <w:shd w:fill="auto" w:val="clear"/>
            <w:vAlign w:val="center"/>
          </w:tcPr>
          <w:p>
            <w:pPr>
              <w:pStyle w:val="normal1"/>
              <w:jc w:val="center"/>
              <w:rPr>
                <w:sz w:val="16"/>
                <w:szCs w:val="16"/>
                <w:highlight w:val="white"/>
              </w:rPr>
            </w:pPr>
            <w:r>
              <w:rPr>
                <w:sz w:val="16"/>
                <w:szCs w:val="16"/>
                <w:highlight w:val="white"/>
              </w:rPr>
              <w:t>UNIDADE</w:t>
            </w:r>
          </w:p>
        </w:tc>
        <w:tc>
          <w:tcPr>
            <w:tcW w:w="1468" w:type="dxa"/>
            <w:tcBorders>
              <w:top w:val="single" w:sz="4" w:space="0" w:color="000000"/>
              <w:start w:val="single" w:sz="4" w:space="0" w:color="000000"/>
              <w:bottom w:val="single" w:sz="4" w:space="0" w:color="000000"/>
              <w:end w:val="single" w:sz="4" w:space="0" w:color="000000"/>
            </w:tcBorders>
            <w:vAlign w:val="center"/>
          </w:tcPr>
          <w:p>
            <w:pPr>
              <w:pStyle w:val="normal1"/>
              <w:widowControl w:val="false"/>
              <w:jc w:val="center"/>
              <w:rPr>
                <w:sz w:val="16"/>
                <w:szCs w:val="16"/>
              </w:rPr>
            </w:pPr>
            <w:r>
              <w:rPr>
                <w:sz w:val="16"/>
                <w:szCs w:val="16"/>
              </w:rPr>
              <w:t>1000</w:t>
            </w:r>
          </w:p>
        </w:tc>
        <w:tc>
          <w:tcPr>
            <w:tcW w:w="1467" w:type="dxa"/>
            <w:tcBorders>
              <w:top w:val="single" w:sz="4" w:space="0" w:color="000000"/>
              <w:start w:val="single" w:sz="4" w:space="0" w:color="000000"/>
              <w:bottom w:val="single" w:sz="4" w:space="0" w:color="000000"/>
              <w:end w:val="single" w:sz="4" w:space="0" w:color="000000"/>
            </w:tcBorders>
            <w:vAlign w:val="center"/>
          </w:tcPr>
          <w:p>
            <w:pPr>
              <w:pStyle w:val="normal1"/>
              <w:jc w:val="center"/>
              <w:rPr>
                <w:sz w:val="16"/>
                <w:szCs w:val="16"/>
                <w:highlight w:val="white"/>
              </w:rPr>
            </w:pPr>
            <w:r>
              <w:rPr>
                <w:sz w:val="16"/>
                <w:szCs w:val="16"/>
                <w:highlight w:val="white"/>
              </w:rPr>
              <w:t>R$ 11,86</w:t>
            </w:r>
          </w:p>
        </w:tc>
        <w:tc>
          <w:tcPr>
            <w:tcW w:w="1467" w:type="dxa"/>
            <w:tcBorders>
              <w:top w:val="single" w:sz="4" w:space="0" w:color="000000"/>
              <w:start w:val="single" w:sz="4" w:space="0" w:color="000000"/>
              <w:bottom w:val="single" w:sz="4" w:space="0" w:color="000000"/>
              <w:end w:val="single" w:sz="4" w:space="0" w:color="000000"/>
            </w:tcBorders>
            <w:vAlign w:val="center"/>
          </w:tcPr>
          <w:p>
            <w:pPr>
              <w:pStyle w:val="normal1"/>
              <w:jc w:val="center"/>
              <w:rPr>
                <w:sz w:val="16"/>
                <w:szCs w:val="16"/>
                <w:highlight w:val="white"/>
              </w:rPr>
            </w:pPr>
            <w:r>
              <w:rPr>
                <w:sz w:val="16"/>
                <w:szCs w:val="16"/>
                <w:highlight w:val="white"/>
              </w:rPr>
              <w:t>R$ 11.860,00</w:t>
            </w:r>
          </w:p>
        </w:tc>
      </w:tr>
      <w:tr>
        <w:trPr>
          <w:trHeight w:val="284" w:hRule="atLeast"/>
        </w:trPr>
        <w:tc>
          <w:tcPr>
            <w:tcW w:w="492" w:type="dxa"/>
            <w:tcBorders>
              <w:top w:val="single" w:sz="4" w:space="0" w:color="000000"/>
              <w:start w:val="single" w:sz="4" w:space="0" w:color="000000"/>
              <w:bottom w:val="single" w:sz="4" w:space="0" w:color="000000"/>
              <w:end w:val="single" w:sz="4" w:space="0" w:color="000000"/>
            </w:tcBorders>
            <w:shd w:fill="auto" w:val="clear"/>
            <w:vAlign w:val="center"/>
          </w:tcPr>
          <w:p>
            <w:pPr>
              <w:pStyle w:val="normal1"/>
              <w:keepNext w:val="true"/>
              <w:widowControl w:val="false"/>
              <w:jc w:val="center"/>
              <w:rPr>
                <w:sz w:val="16"/>
                <w:szCs w:val="16"/>
              </w:rPr>
            </w:pPr>
            <w:r>
              <w:rPr>
                <w:sz w:val="16"/>
                <w:szCs w:val="16"/>
              </w:rPr>
              <w:t>06</w:t>
            </w:r>
          </w:p>
        </w:tc>
        <w:tc>
          <w:tcPr>
            <w:tcW w:w="3930" w:type="dxa"/>
            <w:tcBorders>
              <w:top w:val="single" w:sz="4" w:space="0" w:color="000000"/>
              <w:start w:val="single" w:sz="4" w:space="0" w:color="000000"/>
              <w:bottom w:val="single" w:sz="4" w:space="0" w:color="000000"/>
              <w:end w:val="single" w:sz="4" w:space="0" w:color="000000"/>
            </w:tcBorders>
            <w:shd w:fill="auto" w:val="clear"/>
            <w:vAlign w:val="center"/>
          </w:tcPr>
          <w:p>
            <w:pPr>
              <w:pStyle w:val="normal1"/>
              <w:widowControl w:val="false"/>
              <w:jc w:val="center"/>
              <w:rPr>
                <w:b/>
                <w:sz w:val="16"/>
                <w:szCs w:val="16"/>
              </w:rPr>
            </w:pPr>
            <w:r>
              <w:rPr>
                <w:b/>
                <w:sz w:val="16"/>
                <w:szCs w:val="16"/>
              </w:rPr>
              <w:t>REFEIÇÃO – JANTAR</w:t>
            </w:r>
          </w:p>
          <w:p>
            <w:pPr>
              <w:pStyle w:val="normal1"/>
              <w:widowControl w:val="false"/>
              <w:jc w:val="center"/>
              <w:rPr>
                <w:b/>
                <w:sz w:val="16"/>
                <w:szCs w:val="16"/>
              </w:rPr>
            </w:pPr>
            <w:r>
              <w:rPr>
                <w:b/>
                <w:sz w:val="16"/>
                <w:szCs w:val="16"/>
              </w:rPr>
              <w:t>CONFORME CARDÁPIO SUGERIDO</w:t>
            </w:r>
          </w:p>
        </w:tc>
        <w:tc>
          <w:tcPr>
            <w:tcW w:w="1154" w:type="dxa"/>
            <w:tcBorders>
              <w:top w:val="single" w:sz="4" w:space="0" w:color="000000"/>
              <w:start w:val="single" w:sz="4" w:space="0" w:color="000000"/>
              <w:bottom w:val="single" w:sz="4" w:space="0" w:color="000000"/>
              <w:end w:val="single" w:sz="4" w:space="0" w:color="000000"/>
            </w:tcBorders>
            <w:shd w:fill="auto" w:val="clear"/>
            <w:vAlign w:val="center"/>
          </w:tcPr>
          <w:p>
            <w:pPr>
              <w:pStyle w:val="normal1"/>
              <w:jc w:val="center"/>
              <w:rPr>
                <w:sz w:val="16"/>
                <w:szCs w:val="16"/>
                <w:highlight w:val="white"/>
              </w:rPr>
            </w:pPr>
            <w:r>
              <w:rPr>
                <w:sz w:val="16"/>
                <w:szCs w:val="16"/>
                <w:highlight w:val="white"/>
              </w:rPr>
              <w:t>UNIDADE</w:t>
            </w:r>
          </w:p>
        </w:tc>
        <w:tc>
          <w:tcPr>
            <w:tcW w:w="1468" w:type="dxa"/>
            <w:tcBorders>
              <w:top w:val="single" w:sz="4" w:space="0" w:color="000000"/>
              <w:start w:val="single" w:sz="4" w:space="0" w:color="000000"/>
              <w:bottom w:val="single" w:sz="4" w:space="0" w:color="000000"/>
              <w:end w:val="single" w:sz="4" w:space="0" w:color="000000"/>
            </w:tcBorders>
            <w:vAlign w:val="center"/>
          </w:tcPr>
          <w:p>
            <w:pPr>
              <w:pStyle w:val="normal1"/>
              <w:widowControl w:val="false"/>
              <w:jc w:val="center"/>
              <w:rPr>
                <w:sz w:val="16"/>
                <w:szCs w:val="16"/>
              </w:rPr>
            </w:pPr>
            <w:r>
              <w:rPr>
                <w:sz w:val="16"/>
                <w:szCs w:val="16"/>
              </w:rPr>
              <w:t>1000</w:t>
            </w:r>
          </w:p>
        </w:tc>
        <w:tc>
          <w:tcPr>
            <w:tcW w:w="1467" w:type="dxa"/>
            <w:tcBorders>
              <w:top w:val="single" w:sz="4" w:space="0" w:color="000000"/>
              <w:start w:val="single" w:sz="4" w:space="0" w:color="000000"/>
              <w:bottom w:val="single" w:sz="4" w:space="0" w:color="000000"/>
              <w:end w:val="single" w:sz="4" w:space="0" w:color="000000"/>
            </w:tcBorders>
            <w:vAlign w:val="center"/>
          </w:tcPr>
          <w:p>
            <w:pPr>
              <w:pStyle w:val="normal1"/>
              <w:jc w:val="center"/>
              <w:rPr>
                <w:sz w:val="16"/>
                <w:szCs w:val="16"/>
                <w:highlight w:val="white"/>
              </w:rPr>
            </w:pPr>
            <w:r>
              <w:rPr>
                <w:sz w:val="16"/>
                <w:szCs w:val="16"/>
                <w:highlight w:val="white"/>
              </w:rPr>
              <w:t>R$ 21,61</w:t>
            </w:r>
          </w:p>
        </w:tc>
        <w:tc>
          <w:tcPr>
            <w:tcW w:w="1467" w:type="dxa"/>
            <w:tcBorders>
              <w:top w:val="single" w:sz="4" w:space="0" w:color="000000"/>
              <w:start w:val="single" w:sz="4" w:space="0" w:color="000000"/>
              <w:bottom w:val="single" w:sz="4" w:space="0" w:color="000000"/>
              <w:end w:val="single" w:sz="4" w:space="0" w:color="000000"/>
            </w:tcBorders>
            <w:vAlign w:val="center"/>
          </w:tcPr>
          <w:p>
            <w:pPr>
              <w:pStyle w:val="normal1"/>
              <w:jc w:val="center"/>
              <w:rPr>
                <w:sz w:val="16"/>
                <w:szCs w:val="16"/>
                <w:highlight w:val="white"/>
              </w:rPr>
            </w:pPr>
            <w:r>
              <w:rPr>
                <w:sz w:val="16"/>
                <w:szCs w:val="16"/>
                <w:highlight w:val="white"/>
              </w:rPr>
              <w:t>R$ 21.610,00</w:t>
            </w:r>
          </w:p>
        </w:tc>
      </w:tr>
      <w:tr>
        <w:trPr>
          <w:trHeight w:val="284" w:hRule="atLeast"/>
        </w:trPr>
        <w:tc>
          <w:tcPr>
            <w:tcW w:w="7044" w:type="dxa"/>
            <w:gridSpan w:val="4"/>
            <w:tcBorders>
              <w:top w:val="single" w:sz="4" w:space="0" w:color="000000"/>
              <w:start w:val="single" w:sz="4" w:space="0" w:color="000000"/>
              <w:bottom w:val="single" w:sz="4" w:space="0" w:color="000000"/>
              <w:end w:val="single" w:sz="4" w:space="0" w:color="000000"/>
            </w:tcBorders>
            <w:shd w:fill="auto" w:val="clear"/>
            <w:vAlign w:val="center"/>
          </w:tcPr>
          <w:p>
            <w:pPr>
              <w:pStyle w:val="normal1"/>
              <w:widowControl w:val="false"/>
              <w:jc w:val="center"/>
              <w:rPr>
                <w:b/>
                <w:sz w:val="16"/>
                <w:szCs w:val="16"/>
              </w:rPr>
            </w:pPr>
            <w:r>
              <w:rPr>
                <w:b/>
                <w:sz w:val="16"/>
                <w:szCs w:val="16"/>
              </w:rPr>
              <w:t>VALOR TOTAL MENSAL</w:t>
            </w:r>
          </w:p>
        </w:tc>
        <w:tc>
          <w:tcPr>
            <w:tcW w:w="2934" w:type="dxa"/>
            <w:gridSpan w:val="2"/>
            <w:tcBorders>
              <w:top w:val="single" w:sz="4" w:space="0" w:color="000000"/>
              <w:start w:val="single" w:sz="4" w:space="0" w:color="000000"/>
              <w:bottom w:val="single" w:sz="4" w:space="0" w:color="000000"/>
              <w:end w:val="single" w:sz="4" w:space="0" w:color="000000"/>
            </w:tcBorders>
            <w:vAlign w:val="center"/>
          </w:tcPr>
          <w:p>
            <w:pPr>
              <w:pStyle w:val="normal1"/>
              <w:jc w:val="center"/>
              <w:rPr>
                <w:b/>
                <w:sz w:val="16"/>
                <w:szCs w:val="16"/>
                <w:highlight w:val="white"/>
              </w:rPr>
            </w:pPr>
            <w:r>
              <w:rPr>
                <w:b/>
                <w:sz w:val="16"/>
                <w:szCs w:val="16"/>
                <w:highlight w:val="white"/>
              </w:rPr>
              <w:t>R$ 175.692,00</w:t>
            </w:r>
          </w:p>
        </w:tc>
      </w:tr>
      <w:tr>
        <w:trPr>
          <w:trHeight w:val="284" w:hRule="atLeast"/>
        </w:trPr>
        <w:tc>
          <w:tcPr>
            <w:tcW w:w="7044" w:type="dxa"/>
            <w:gridSpan w:val="4"/>
            <w:tcBorders>
              <w:top w:val="single" w:sz="4" w:space="0" w:color="000000"/>
              <w:start w:val="single" w:sz="4" w:space="0" w:color="000000"/>
              <w:bottom w:val="single" w:sz="4" w:space="0" w:color="000000"/>
              <w:end w:val="single" w:sz="4" w:space="0" w:color="000000"/>
            </w:tcBorders>
            <w:shd w:fill="auto" w:val="clear"/>
            <w:vAlign w:val="center"/>
          </w:tcPr>
          <w:p>
            <w:pPr>
              <w:pStyle w:val="normal1"/>
              <w:widowControl w:val="false"/>
              <w:jc w:val="center"/>
              <w:rPr>
                <w:b/>
                <w:sz w:val="16"/>
                <w:szCs w:val="16"/>
              </w:rPr>
            </w:pPr>
            <w:r>
              <w:rPr>
                <w:b/>
                <w:sz w:val="16"/>
                <w:szCs w:val="16"/>
              </w:rPr>
              <w:t>VALOR TOTAL ANUAL</w:t>
            </w:r>
          </w:p>
        </w:tc>
        <w:tc>
          <w:tcPr>
            <w:tcW w:w="2934" w:type="dxa"/>
            <w:gridSpan w:val="2"/>
            <w:tcBorders>
              <w:top w:val="single" w:sz="4" w:space="0" w:color="000000"/>
              <w:start w:val="single" w:sz="4" w:space="0" w:color="000000"/>
              <w:bottom w:val="single" w:sz="4" w:space="0" w:color="000000"/>
              <w:end w:val="single" w:sz="4" w:space="0" w:color="000000"/>
            </w:tcBorders>
            <w:vAlign w:val="center"/>
          </w:tcPr>
          <w:p>
            <w:pPr>
              <w:pStyle w:val="normal1"/>
              <w:jc w:val="center"/>
              <w:rPr>
                <w:b/>
                <w:sz w:val="16"/>
                <w:szCs w:val="16"/>
                <w:highlight w:val="white"/>
              </w:rPr>
            </w:pPr>
            <w:r>
              <w:rPr>
                <w:b/>
                <w:sz w:val="16"/>
                <w:szCs w:val="16"/>
                <w:highlight w:val="white"/>
              </w:rPr>
              <w:t>R$ 2.108.304,00</w:t>
            </w:r>
          </w:p>
        </w:tc>
      </w:tr>
    </w:tbl>
    <w:p>
      <w:pPr>
        <w:pStyle w:val="normal1"/>
        <w:tabs>
          <w:tab w:val="clear" w:pos="720"/>
          <w:tab w:val="left" w:pos="1134" w:leader="none"/>
        </w:tabs>
        <w:spacing w:lineRule="auto" w:line="276"/>
        <w:jc w:val="center"/>
        <w:rPr>
          <w:b/>
          <w:highlight w:val="white"/>
        </w:rPr>
      </w:pPr>
      <w:r>
        <w:rPr>
          <w:b/>
          <w:highlight w:val="white"/>
        </w:rPr>
        <w:t>Quadro 1: Quantidade e Valores dos itens que compõe o lote</w:t>
      </w:r>
    </w:p>
    <w:p>
      <w:pPr>
        <w:pStyle w:val="normal1"/>
        <w:spacing w:lineRule="auto" w:line="276"/>
        <w:ind w:firstLine="567"/>
        <w:jc w:val="both"/>
        <w:rPr>
          <w:sz w:val="22"/>
          <w:szCs w:val="22"/>
          <w:highlight w:val="white"/>
        </w:rPr>
      </w:pPr>
      <w:r>
        <w:rPr>
          <w:sz w:val="22"/>
          <w:szCs w:val="22"/>
          <w:highlight w:val="white"/>
        </w:rPr>
        <w:t>O quadro acima é apenas demonstrativo da demanda estimada. A quantidade efetivamente demandada, e a proposta do licitante deve ser global (com todos os itens).</w:t>
      </w:r>
    </w:p>
    <w:p>
      <w:pPr>
        <w:pStyle w:val="normal1"/>
        <w:tabs>
          <w:tab w:val="clear" w:pos="720"/>
          <w:tab w:val="left" w:pos="1134" w:leader="none"/>
        </w:tabs>
        <w:spacing w:lineRule="auto" w:line="276"/>
        <w:ind w:firstLine="851"/>
        <w:jc w:val="both"/>
        <w:rPr>
          <w:sz w:val="22"/>
          <w:szCs w:val="22"/>
          <w:highlight w:val="white"/>
        </w:rPr>
      </w:pPr>
      <w:r>
        <w:rPr>
          <w:sz w:val="22"/>
          <w:szCs w:val="22"/>
          <w:highlight w:val="white"/>
        </w:rPr>
      </w:r>
    </w:p>
    <w:p>
      <w:pPr>
        <w:pStyle w:val="normal1"/>
        <w:numPr>
          <w:ilvl w:val="1"/>
          <w:numId w:val="23"/>
        </w:numPr>
        <w:spacing w:lineRule="auto" w:line="276"/>
        <w:ind w:hanging="1000" w:start="1567"/>
        <w:jc w:val="both"/>
        <w:rPr>
          <w:b/>
          <w:sz w:val="22"/>
          <w:szCs w:val="22"/>
          <w:highlight w:val="white"/>
        </w:rPr>
      </w:pPr>
      <w:r>
        <w:rPr>
          <w:b/>
          <w:sz w:val="22"/>
          <w:szCs w:val="22"/>
          <w:highlight w:val="white"/>
        </w:rPr>
        <w:t>Definição do Objeto</w:t>
      </w:r>
    </w:p>
    <w:p>
      <w:pPr>
        <w:pStyle w:val="normal1"/>
        <w:numPr>
          <w:ilvl w:val="2"/>
          <w:numId w:val="23"/>
        </w:numPr>
        <w:spacing w:lineRule="auto" w:line="276"/>
        <w:ind w:hanging="0" w:start="851"/>
        <w:jc w:val="both"/>
        <w:rPr>
          <w:sz w:val="22"/>
          <w:szCs w:val="22"/>
          <w:highlight w:val="white"/>
        </w:rPr>
      </w:pPr>
      <w:r>
        <w:rPr>
          <w:sz w:val="22"/>
          <w:szCs w:val="22"/>
          <w:highlight w:val="white"/>
        </w:rPr>
        <w:t>O objeto é o credenciamento de instituições especializadas na prestação de serviços de hospedagem, com fornecimento de alimentação a indivíduos e famílias que não se enquadrem nas possibilidades de acolhimento nos equipamentos atualmente existentes na rede de assistência social do município, conforme as condições e exigências estabelecidas neste instrumento.</w:t>
      </w:r>
    </w:p>
    <w:p>
      <w:pPr>
        <w:pStyle w:val="normal1"/>
        <w:numPr>
          <w:ilvl w:val="2"/>
          <w:numId w:val="23"/>
        </w:numPr>
        <w:spacing w:lineRule="auto" w:line="276"/>
        <w:ind w:hanging="0" w:start="851"/>
        <w:jc w:val="both"/>
        <w:rPr>
          <w:sz w:val="24"/>
          <w:szCs w:val="24"/>
          <w:highlight w:val="white"/>
        </w:rPr>
      </w:pPr>
      <w:r>
        <w:rPr>
          <w:sz w:val="22"/>
          <w:szCs w:val="22"/>
          <w:highlight w:val="white"/>
        </w:rPr>
        <w:t>A contratação será realizada por meio de processo administrativo de chamamento de interessados (credenciamento), no qual a administração Pública convoca interessados em prestar serviços ou fornecer bens, desde que</w:t>
      </w:r>
      <w:r>
        <w:rPr>
          <w:sz w:val="24"/>
          <w:szCs w:val="24"/>
          <w:highlight w:val="white"/>
        </w:rPr>
        <w:t xml:space="preserve"> preenchidos os requisitos </w:t>
      </w:r>
      <w:r>
        <w:rPr>
          <w:sz w:val="22"/>
          <w:szCs w:val="22"/>
          <w:highlight w:val="white"/>
        </w:rPr>
        <w:t>necessários, para executar o objeto quando convocados, conforme o artigo 79º e incisos da Lei Federal nº 14.133/2021 e Decreto Municipal nº 26.582 de 10/06/2024.</w:t>
      </w:r>
    </w:p>
    <w:p>
      <w:pPr>
        <w:pStyle w:val="normal1"/>
        <w:numPr>
          <w:ilvl w:val="2"/>
          <w:numId w:val="23"/>
        </w:numPr>
        <w:spacing w:lineRule="auto" w:line="276"/>
        <w:ind w:hanging="0" w:start="851"/>
        <w:jc w:val="both"/>
        <w:rPr>
          <w:sz w:val="22"/>
          <w:szCs w:val="22"/>
          <w:highlight w:val="white"/>
        </w:rPr>
      </w:pPr>
      <w:r>
        <w:rPr>
          <w:sz w:val="22"/>
          <w:szCs w:val="22"/>
          <w:highlight w:val="white"/>
        </w:rPr>
        <w:t>A alimentação complementar (Almoço, Café da Tarde, e Jantar) é obrigação da Contratada e poderá ser exigido sempre que houver necessidade, constituindo parte indissociável do lote.</w:t>
      </w:r>
    </w:p>
    <w:p>
      <w:pPr>
        <w:pStyle w:val="normal1"/>
        <w:numPr>
          <w:ilvl w:val="2"/>
          <w:numId w:val="23"/>
        </w:numPr>
        <w:spacing w:lineRule="auto" w:line="276"/>
        <w:ind w:hanging="0" w:start="851"/>
        <w:jc w:val="both"/>
        <w:rPr>
          <w:sz w:val="22"/>
          <w:szCs w:val="22"/>
          <w:highlight w:val="white"/>
        </w:rPr>
      </w:pPr>
      <w:r>
        <w:rPr>
          <w:sz w:val="22"/>
          <w:szCs w:val="22"/>
          <w:highlight w:val="white"/>
        </w:rPr>
        <w:t xml:space="preserve">Ressalta-se que a demanda prevista no quadro 1 é estimada, não sendo a SEMAS obrigada a solicitar a execução de toda a quantidade prevista, mas sim, a quantidade que lhe interessar para atender a demanda da população, visando a complementaridade dos serviços, conforme Constituição Federal e Lei 8.080/90. </w:t>
      </w:r>
    </w:p>
    <w:p>
      <w:pPr>
        <w:pStyle w:val="normal1"/>
        <w:spacing w:lineRule="auto" w:line="276"/>
        <w:ind w:hanging="0" w:start="851"/>
        <w:jc w:val="both"/>
        <w:rPr>
          <w:sz w:val="22"/>
          <w:szCs w:val="22"/>
          <w:highlight w:val="white"/>
        </w:rPr>
      </w:pPr>
      <w:r>
        <w:rPr>
          <w:sz w:val="22"/>
          <w:szCs w:val="22"/>
          <w:highlight w:val="white"/>
        </w:rPr>
      </w:r>
    </w:p>
    <w:p>
      <w:pPr>
        <w:pStyle w:val="normal1"/>
        <w:numPr>
          <w:ilvl w:val="1"/>
          <w:numId w:val="23"/>
        </w:numPr>
        <w:spacing w:lineRule="auto" w:line="276"/>
        <w:ind w:hanging="1000" w:start="1567"/>
        <w:jc w:val="both"/>
        <w:rPr>
          <w:b/>
          <w:sz w:val="22"/>
          <w:szCs w:val="22"/>
          <w:highlight w:val="white"/>
        </w:rPr>
      </w:pPr>
      <w:r>
        <w:rPr>
          <w:b/>
          <w:sz w:val="22"/>
          <w:szCs w:val="22"/>
          <w:highlight w:val="white"/>
        </w:rPr>
        <w:t>Natureza do objeto</w:t>
      </w:r>
    </w:p>
    <w:p>
      <w:pPr>
        <w:pStyle w:val="normal1"/>
        <w:numPr>
          <w:ilvl w:val="2"/>
          <w:numId w:val="23"/>
        </w:numPr>
        <w:spacing w:lineRule="auto" w:line="276"/>
        <w:ind w:hanging="0" w:start="851"/>
        <w:jc w:val="both"/>
        <w:rPr>
          <w:sz w:val="22"/>
          <w:szCs w:val="22"/>
          <w:highlight w:val="white"/>
        </w:rPr>
      </w:pPr>
      <w:r>
        <w:rPr>
          <w:sz w:val="22"/>
          <w:szCs w:val="22"/>
          <w:highlight w:val="white"/>
        </w:rPr>
        <w:t>O fornecimento dos bens ou serviços tem natureza comum, tendo em vista que seus padrões de desempenho e qualidade podem ser objetivamente definidos pelo edital por meio de especificações usuais de mercado, nos termos do art. 6º, inciso XIII.</w:t>
      </w:r>
    </w:p>
    <w:p>
      <w:pPr>
        <w:pStyle w:val="normal1"/>
        <w:spacing w:lineRule="auto" w:line="276"/>
        <w:ind w:hanging="0" w:start="851"/>
        <w:jc w:val="both"/>
        <w:rPr>
          <w:sz w:val="22"/>
          <w:szCs w:val="22"/>
          <w:highlight w:val="white"/>
        </w:rPr>
      </w:pPr>
      <w:r>
        <w:rPr>
          <w:sz w:val="22"/>
          <w:szCs w:val="22"/>
          <w:highlight w:val="white"/>
        </w:rPr>
      </w:r>
    </w:p>
    <w:p>
      <w:pPr>
        <w:pStyle w:val="normal1"/>
        <w:numPr>
          <w:ilvl w:val="1"/>
          <w:numId w:val="23"/>
        </w:numPr>
        <w:spacing w:lineRule="auto" w:line="276"/>
        <w:ind w:hanging="1000" w:start="1567"/>
        <w:jc w:val="both"/>
        <w:rPr>
          <w:b/>
          <w:sz w:val="22"/>
          <w:szCs w:val="22"/>
          <w:highlight w:val="white"/>
        </w:rPr>
      </w:pPr>
      <w:r>
        <w:rPr>
          <w:b/>
          <w:sz w:val="22"/>
          <w:szCs w:val="22"/>
          <w:highlight w:val="white"/>
        </w:rPr>
        <w:t>Especificações do Objeto</w:t>
      </w:r>
    </w:p>
    <w:p>
      <w:pPr>
        <w:pStyle w:val="normal1"/>
        <w:numPr>
          <w:ilvl w:val="2"/>
          <w:numId w:val="23"/>
        </w:numPr>
        <w:spacing w:lineRule="auto" w:line="276"/>
        <w:ind w:hanging="0" w:start="851"/>
        <w:jc w:val="both"/>
        <w:rPr>
          <w:sz w:val="22"/>
          <w:szCs w:val="22"/>
          <w:highlight w:val="white"/>
        </w:rPr>
      </w:pPr>
      <w:r>
        <w:rPr>
          <w:sz w:val="22"/>
          <w:szCs w:val="22"/>
          <w:highlight w:val="white"/>
        </w:rPr>
        <w:t xml:space="preserve">O serviço, que deverá ser prestado na cidade de Florianópolis, requer uma estrutura que vá muito além do simples fornecimento de hospedagem. O local deverá dispor de instalações com condições mínimas de conforto, higiene e segurança devendo ainda disponibilizar quatro refeições diárias com cardápio variado, limpeza regular dos quartos e áreas de uso comum e disponibilizar itens para higiene pessoal. </w:t>
      </w:r>
    </w:p>
    <w:p>
      <w:pPr>
        <w:pStyle w:val="normal1"/>
        <w:numPr>
          <w:ilvl w:val="2"/>
          <w:numId w:val="23"/>
        </w:numPr>
        <w:spacing w:lineRule="auto" w:line="276"/>
        <w:ind w:hanging="0" w:start="851"/>
        <w:jc w:val="both"/>
        <w:rPr>
          <w:sz w:val="22"/>
          <w:szCs w:val="22"/>
          <w:highlight w:val="white"/>
        </w:rPr>
      </w:pPr>
      <w:r>
        <w:rPr>
          <w:sz w:val="22"/>
          <w:szCs w:val="22"/>
          <w:highlight w:val="white"/>
        </w:rPr>
        <w:t>O serviço será prestado apenas às pessoas encaminhadas formalmente pelas equipes técnicas do Município, com autorização expressa, após avaliação técnica e preenchimento de critérios definidos pela política pública vigente, mediante a prévia autorização de fornecimento (AF).</w:t>
      </w:r>
    </w:p>
    <w:p>
      <w:pPr>
        <w:pStyle w:val="normal1"/>
        <w:numPr>
          <w:ilvl w:val="2"/>
          <w:numId w:val="23"/>
        </w:numPr>
        <w:spacing w:lineRule="auto" w:line="276"/>
        <w:ind w:hanging="0" w:start="851"/>
        <w:jc w:val="both"/>
        <w:rPr>
          <w:sz w:val="22"/>
          <w:szCs w:val="22"/>
          <w:highlight w:val="white"/>
        </w:rPr>
      </w:pPr>
      <w:r>
        <w:rPr>
          <w:sz w:val="22"/>
          <w:szCs w:val="22"/>
          <w:highlight w:val="white"/>
        </w:rPr>
        <w:t>Após a autorização de fornecimento(AF)/Ordem de Serviço ser enviada para a contratada, o acolhimento deverá ser realizado no prazo máximo de 24 (vinte e quatro) horas, contados a partir do recebimento da mesma, a contratada deverá apresentar 01 (uma) nota fiscal mensalmente para cada ordem de serviço emitida e por ela recebida, ou de ordem judicial que determinar outras condições.</w:t>
      </w:r>
    </w:p>
    <w:p>
      <w:pPr>
        <w:pStyle w:val="normal1"/>
        <w:numPr>
          <w:ilvl w:val="2"/>
          <w:numId w:val="23"/>
        </w:numPr>
        <w:spacing w:lineRule="auto" w:line="276"/>
        <w:ind w:hanging="0" w:start="851"/>
        <w:jc w:val="both"/>
        <w:rPr>
          <w:sz w:val="22"/>
          <w:szCs w:val="22"/>
          <w:highlight w:val="white"/>
        </w:rPr>
      </w:pPr>
      <w:r>
        <w:rPr>
          <w:sz w:val="22"/>
          <w:szCs w:val="22"/>
          <w:highlight w:val="white"/>
        </w:rPr>
        <w:t xml:space="preserve">As acomodações deverão ter: </w:t>
      </w:r>
    </w:p>
    <w:p>
      <w:pPr>
        <w:pStyle w:val="normal1"/>
        <w:numPr>
          <w:ilvl w:val="3"/>
          <w:numId w:val="19"/>
        </w:numPr>
        <w:spacing w:lineRule="auto" w:line="276"/>
        <w:ind w:hanging="360" w:start="2552"/>
        <w:jc w:val="both"/>
        <w:rPr>
          <w:sz w:val="22"/>
          <w:szCs w:val="22"/>
          <w:highlight w:val="white"/>
        </w:rPr>
      </w:pPr>
      <w:r>
        <w:rPr>
          <w:sz w:val="22"/>
          <w:szCs w:val="22"/>
          <w:highlight w:val="white"/>
        </w:rPr>
        <w:t xml:space="preserve">Banheiro sanitário individual ou coletivo; </w:t>
      </w:r>
    </w:p>
    <w:p>
      <w:pPr>
        <w:pStyle w:val="normal1"/>
        <w:numPr>
          <w:ilvl w:val="3"/>
          <w:numId w:val="19"/>
        </w:numPr>
        <w:spacing w:lineRule="auto" w:line="276"/>
        <w:ind w:hanging="360" w:start="2552"/>
        <w:jc w:val="both"/>
        <w:rPr>
          <w:sz w:val="22"/>
          <w:szCs w:val="22"/>
          <w:highlight w:val="white"/>
        </w:rPr>
      </w:pPr>
      <w:r>
        <w:rPr>
          <w:sz w:val="22"/>
          <w:szCs w:val="22"/>
          <w:highlight w:val="white"/>
        </w:rPr>
        <w:t xml:space="preserve">Toalhas e amenidades necessárias ao uso como: papel higiênico, sabonete e shampoo para banho; </w:t>
      </w:r>
    </w:p>
    <w:p>
      <w:pPr>
        <w:pStyle w:val="normal1"/>
        <w:numPr>
          <w:ilvl w:val="3"/>
          <w:numId w:val="19"/>
        </w:numPr>
        <w:spacing w:lineRule="auto" w:line="276"/>
        <w:ind w:hanging="360" w:start="2552"/>
        <w:jc w:val="both"/>
        <w:rPr>
          <w:sz w:val="22"/>
          <w:szCs w:val="22"/>
          <w:highlight w:val="white"/>
        </w:rPr>
      </w:pPr>
      <w:r>
        <w:rPr>
          <w:sz w:val="22"/>
          <w:szCs w:val="22"/>
          <w:highlight w:val="white"/>
        </w:rPr>
        <w:t xml:space="preserve">Camas dispostas conforme a composição familiar; </w:t>
      </w:r>
    </w:p>
    <w:p>
      <w:pPr>
        <w:pStyle w:val="normal1"/>
        <w:numPr>
          <w:ilvl w:val="3"/>
          <w:numId w:val="19"/>
        </w:numPr>
        <w:spacing w:lineRule="auto" w:line="276"/>
        <w:ind w:hanging="360" w:start="2552"/>
        <w:jc w:val="both"/>
        <w:rPr>
          <w:sz w:val="22"/>
          <w:szCs w:val="22"/>
          <w:highlight w:val="white"/>
        </w:rPr>
      </w:pPr>
      <w:r>
        <w:rPr>
          <w:sz w:val="22"/>
          <w:szCs w:val="22"/>
          <w:highlight w:val="white"/>
        </w:rPr>
        <w:t xml:space="preserve">Lençol, travesseiros e cobertores; </w:t>
      </w:r>
    </w:p>
    <w:p>
      <w:pPr>
        <w:pStyle w:val="normal1"/>
        <w:numPr>
          <w:ilvl w:val="3"/>
          <w:numId w:val="19"/>
        </w:numPr>
        <w:spacing w:lineRule="auto" w:line="276"/>
        <w:ind w:hanging="360" w:start="2552"/>
        <w:jc w:val="both"/>
        <w:rPr>
          <w:sz w:val="22"/>
          <w:szCs w:val="22"/>
          <w:highlight w:val="white"/>
        </w:rPr>
      </w:pPr>
      <w:r>
        <w:rPr>
          <w:sz w:val="22"/>
          <w:szCs w:val="22"/>
          <w:highlight w:val="white"/>
        </w:rPr>
        <w:t xml:space="preserve">Armário ou arara para guardar roupas; </w:t>
      </w:r>
    </w:p>
    <w:p>
      <w:pPr>
        <w:pStyle w:val="normal1"/>
        <w:numPr>
          <w:ilvl w:val="3"/>
          <w:numId w:val="19"/>
        </w:numPr>
        <w:spacing w:lineRule="auto" w:line="276"/>
        <w:ind w:hanging="360" w:start="2552"/>
        <w:jc w:val="both"/>
        <w:rPr>
          <w:sz w:val="22"/>
          <w:szCs w:val="22"/>
          <w:highlight w:val="white"/>
        </w:rPr>
      </w:pPr>
      <w:r>
        <w:rPr>
          <w:sz w:val="22"/>
          <w:szCs w:val="22"/>
          <w:highlight w:val="white"/>
        </w:rPr>
        <w:t>Incluído café da manhã; ventilador, e tv.</w:t>
      </w:r>
    </w:p>
    <w:p>
      <w:pPr>
        <w:pStyle w:val="normal1"/>
        <w:numPr>
          <w:ilvl w:val="2"/>
          <w:numId w:val="23"/>
        </w:numPr>
        <w:spacing w:lineRule="auto" w:line="276"/>
        <w:ind w:hanging="0" w:start="851"/>
        <w:jc w:val="both"/>
        <w:rPr>
          <w:sz w:val="22"/>
          <w:szCs w:val="22"/>
          <w:highlight w:val="white"/>
        </w:rPr>
      </w:pPr>
      <w:r>
        <w:rPr>
          <w:sz w:val="22"/>
          <w:szCs w:val="22"/>
          <w:highlight w:val="white"/>
        </w:rPr>
        <w:t>As instituições deverão possuir quartos individuais e familiares, com mobiliário mínimo necessário: Camas; rouparia; ambientes com sistema de ventilação adequado; ponto de hidratação com água potável; banheiros em condições sanitárias apropriadas; fornecimento de produtos básicos de higiene; disponibilidade de atendimento 24h para os acolhidos; disponibilidade de realização do Check-in 24h; portaria/recepção para atendimento e controle permanente entrada e saída; local apropriado para guarda de bagagens e objetos de uso pessoal dos hóspedes; conservação, manutenção, arrumação e limpeza das áreas, instalações e equipamentos; condições adequadas de higiene e infraestrutura; acessibilidade para pessoas com deficiência ou mobilidade reduzida; apartamento(s) adaptado(s) para pessoas com deficiência ou mobilidade reduzida; serviço de segurança 24 (vinte e quatro) horas por dia; serviço de camareira, com substituição de roupas de cama, a cada troca de hóspedes, ou pelo menos a cada semana, ou quando houver necessidade; rigoroso controle de acesso aos apartamentos, visando segurança dos hóspedes;</w:t>
      </w:r>
    </w:p>
    <w:p>
      <w:pPr>
        <w:pStyle w:val="normal1"/>
        <w:numPr>
          <w:ilvl w:val="2"/>
          <w:numId w:val="23"/>
        </w:numPr>
        <w:spacing w:lineRule="auto" w:line="276"/>
        <w:ind w:hanging="0" w:start="851"/>
        <w:jc w:val="both"/>
        <w:rPr>
          <w:sz w:val="22"/>
          <w:szCs w:val="22"/>
          <w:highlight w:val="white"/>
        </w:rPr>
      </w:pPr>
      <w:r>
        <w:rPr>
          <w:sz w:val="22"/>
          <w:szCs w:val="22"/>
          <w:highlight w:val="white"/>
        </w:rPr>
        <w:t>A estrutura deve ser adaptada a pessoas com deficiência ou mobilidade reduzida, em consonância com o Estatuto da Pessoa com Deficiência (Lei nº 13.146/2015) e normas técnicas de acessibilidade da ABNT.</w:t>
      </w:r>
    </w:p>
    <w:p>
      <w:pPr>
        <w:pStyle w:val="normal1"/>
        <w:numPr>
          <w:ilvl w:val="2"/>
          <w:numId w:val="23"/>
        </w:numPr>
        <w:spacing w:lineRule="auto" w:line="276"/>
        <w:ind w:hanging="0" w:start="851"/>
        <w:jc w:val="both"/>
        <w:rPr>
          <w:sz w:val="22"/>
          <w:szCs w:val="22"/>
          <w:highlight w:val="white"/>
        </w:rPr>
      </w:pPr>
      <w:r>
        <w:rPr>
          <w:sz w:val="22"/>
          <w:szCs w:val="22"/>
          <w:highlight w:val="white"/>
        </w:rPr>
        <w:t>A alimentação deverá ser elaborada com base em princípios nutricionais adequados, devendo ser composta por café da manhã, almoço, café ou lanche da tarde, e jantar, com variação semanal de cardápio. É exigido o fornecimento de no mínimo duas variedades de frutas por dia e o uso de ingredientes frescos e de qualidade comprovada.</w:t>
      </w:r>
    </w:p>
    <w:p>
      <w:pPr>
        <w:pStyle w:val="normal1"/>
        <w:numPr>
          <w:ilvl w:val="2"/>
          <w:numId w:val="23"/>
        </w:numPr>
        <w:spacing w:lineRule="auto" w:line="276"/>
        <w:ind w:hanging="0" w:start="851"/>
        <w:jc w:val="both"/>
        <w:rPr>
          <w:sz w:val="22"/>
          <w:szCs w:val="22"/>
          <w:highlight w:val="white"/>
        </w:rPr>
      </w:pPr>
      <w:r>
        <w:rPr>
          <w:sz w:val="22"/>
          <w:szCs w:val="22"/>
          <w:highlight w:val="white"/>
        </w:rPr>
        <w:t>O serviço de limpeza dos ambientes deverá ocorrer, no mínimo, a cada três dias, incluindo a troca de roupa de cama e banho, com atenção especial à limpeza dos quartos após o desligamento de cada acolhido.</w:t>
      </w:r>
    </w:p>
    <w:p>
      <w:pPr>
        <w:pStyle w:val="normal1"/>
        <w:numPr>
          <w:ilvl w:val="2"/>
          <w:numId w:val="23"/>
        </w:numPr>
        <w:spacing w:lineRule="auto" w:line="276"/>
        <w:ind w:hanging="0" w:start="851"/>
        <w:jc w:val="both"/>
        <w:rPr>
          <w:sz w:val="22"/>
          <w:szCs w:val="22"/>
          <w:highlight w:val="white"/>
        </w:rPr>
      </w:pPr>
      <w:r>
        <w:rPr>
          <w:sz w:val="22"/>
          <w:szCs w:val="22"/>
          <w:highlight w:val="white"/>
        </w:rPr>
        <w:t>Deverá existir um protocolo de recepção, acolhimento e encaminhamento, com fluxo previamente validado pela Gerência de Alta Complexidade da Secretaria. Apenas serão aceitos pessoas encaminhadas formalmente pelas equipes técnicas do Município, com autorização expressa, após avaliação técnica e preenchimento de critérios definidos pela política pública vigente.</w:t>
      </w:r>
    </w:p>
    <w:p>
      <w:pPr>
        <w:pStyle w:val="normal1"/>
        <w:numPr>
          <w:ilvl w:val="2"/>
          <w:numId w:val="23"/>
        </w:numPr>
        <w:spacing w:lineRule="auto" w:line="276"/>
        <w:ind w:hanging="0" w:start="851"/>
        <w:jc w:val="both"/>
        <w:rPr>
          <w:sz w:val="22"/>
          <w:szCs w:val="22"/>
          <w:highlight w:val="white"/>
        </w:rPr>
      </w:pPr>
      <w:r>
        <w:rPr>
          <w:sz w:val="22"/>
          <w:szCs w:val="22"/>
          <w:highlight w:val="white"/>
        </w:rPr>
        <w:t>O local escolhido deverá apresentar todas as licenças sanitárias e alvarás de funcionamento. Caso seja definida pela contratação de pessoa jurídica para prestação do serviço, deverá possuir comprovações de regularidade fiscal e trabalhista, além de atestados de capacidade técnica fornecidos por órgãos públicos ou entidades privadas que comprovem experiência em serviços de porte e complexidade equivalentes ao objeto pretendido.</w:t>
      </w:r>
    </w:p>
    <w:p>
      <w:pPr>
        <w:pStyle w:val="normal1"/>
        <w:numPr>
          <w:ilvl w:val="2"/>
          <w:numId w:val="23"/>
        </w:numPr>
        <w:spacing w:lineRule="auto" w:line="276"/>
        <w:ind w:hanging="0" w:start="851"/>
        <w:jc w:val="both"/>
        <w:rPr>
          <w:sz w:val="22"/>
          <w:szCs w:val="22"/>
          <w:highlight w:val="white"/>
        </w:rPr>
      </w:pPr>
      <w:r>
        <w:rPr>
          <w:sz w:val="22"/>
          <w:szCs w:val="22"/>
          <w:highlight w:val="white"/>
        </w:rPr>
        <w:t>O cumprimento rigoroso das condições operacionais estabelecidas no Estudo Técnico Preliminar será exigido como obrigação contratual, sendo vedado o funcionamento em desconformidade com as normas técnicas e sanitárias. Os requisitos definidos neste item são indispensáveis à segurança dos usuários e à qualidade dos serviços prestados.</w:t>
      </w:r>
    </w:p>
    <w:p>
      <w:pPr>
        <w:pStyle w:val="normal1"/>
        <w:numPr>
          <w:ilvl w:val="2"/>
          <w:numId w:val="23"/>
        </w:numPr>
        <w:spacing w:lineRule="auto" w:line="276"/>
        <w:ind w:hanging="0" w:start="851"/>
        <w:jc w:val="both"/>
        <w:rPr>
          <w:sz w:val="22"/>
          <w:szCs w:val="22"/>
          <w:highlight w:val="white"/>
        </w:rPr>
      </w:pPr>
      <w:r>
        <w:rPr>
          <w:sz w:val="22"/>
          <w:szCs w:val="22"/>
          <w:highlight w:val="white"/>
        </w:rPr>
        <w:t>Deverá oferecer, no mínimo, 04 (quatro) refeições diárias (01 café da manhã, 01 almoço, 01 café ou lanche da tarde e 01 jantar), variando o cardápio diariamente, contendo no mínimo proteínas, carboidratos, legumes e vegetais. As refeições devem ser preparadas com gêneros de boa qualidade e frescos.</w:t>
      </w:r>
    </w:p>
    <w:p>
      <w:pPr>
        <w:pStyle w:val="normal1"/>
        <w:numPr>
          <w:ilvl w:val="2"/>
          <w:numId w:val="23"/>
        </w:numPr>
        <w:spacing w:lineRule="auto" w:line="276"/>
        <w:ind w:hanging="0" w:start="851"/>
        <w:jc w:val="both"/>
        <w:rPr>
          <w:sz w:val="22"/>
          <w:szCs w:val="22"/>
          <w:highlight w:val="white"/>
        </w:rPr>
      </w:pPr>
      <w:r>
        <w:rPr>
          <w:sz w:val="22"/>
          <w:szCs w:val="22"/>
          <w:highlight w:val="white"/>
        </w:rPr>
        <w:t>O cardápio deverá ser variado evitando repetições em sequência, e deverá respeitar as especificações, as quantidades e as gramaturas mínimas, conforme quadro abaixo.</w:t>
      </w:r>
    </w:p>
    <w:p>
      <w:pPr>
        <w:pStyle w:val="normal1"/>
        <w:numPr>
          <w:ilvl w:val="2"/>
          <w:numId w:val="23"/>
        </w:numPr>
        <w:spacing w:lineRule="auto" w:line="276"/>
        <w:ind w:hanging="0" w:start="851"/>
        <w:jc w:val="both"/>
        <w:rPr>
          <w:sz w:val="22"/>
          <w:szCs w:val="22"/>
          <w:highlight w:val="white"/>
        </w:rPr>
      </w:pPr>
      <w:r>
        <w:rPr>
          <w:sz w:val="22"/>
          <w:szCs w:val="22"/>
          <w:highlight w:val="white"/>
        </w:rPr>
        <w:t>Para crianças entre 0 e 12 meses, deve ser fornecida fórmula infantil ou leite em caixa, caso haja necessidade, os quais deverão ser solicitados previamente e em quantidade razoável, pela Gerência de Alta Complexidade, no encaminhamento do indivíduo/família.</w:t>
      </w:r>
    </w:p>
    <w:p>
      <w:pPr>
        <w:pStyle w:val="normal1"/>
        <w:numPr>
          <w:ilvl w:val="2"/>
          <w:numId w:val="23"/>
        </w:numPr>
        <w:spacing w:lineRule="auto" w:line="276"/>
        <w:ind w:hanging="0" w:start="851"/>
        <w:jc w:val="both"/>
        <w:rPr>
          <w:sz w:val="22"/>
          <w:szCs w:val="22"/>
          <w:highlight w:val="white"/>
        </w:rPr>
      </w:pPr>
      <w:r>
        <w:rPr>
          <w:sz w:val="22"/>
          <w:szCs w:val="22"/>
          <w:highlight w:val="white"/>
        </w:rPr>
        <w:t>A contratação deverá atender aos usuários com equipe suficiente para um atendimento satisfatório para a estadia.</w:t>
      </w:r>
    </w:p>
    <w:p>
      <w:pPr>
        <w:pStyle w:val="normal1"/>
        <w:numPr>
          <w:ilvl w:val="2"/>
          <w:numId w:val="23"/>
        </w:numPr>
        <w:spacing w:lineRule="auto" w:line="276"/>
        <w:ind w:hanging="0" w:start="851"/>
        <w:jc w:val="both"/>
        <w:rPr>
          <w:sz w:val="22"/>
          <w:szCs w:val="22"/>
          <w:highlight w:val="white"/>
        </w:rPr>
      </w:pPr>
      <w:r>
        <w:rPr>
          <w:sz w:val="22"/>
          <w:szCs w:val="22"/>
          <w:highlight w:val="white"/>
        </w:rPr>
        <w:t>A contratada deverá estar preparada para a realização da hospedagem no ato da solicitação feita pela contratante com equipe qualificada para o atendimento e acolhimento do(s) usuário(s).</w:t>
      </w:r>
    </w:p>
    <w:p>
      <w:pPr>
        <w:pStyle w:val="normal1"/>
        <w:numPr>
          <w:ilvl w:val="2"/>
          <w:numId w:val="23"/>
        </w:numPr>
        <w:spacing w:lineRule="auto" w:line="276"/>
        <w:ind w:hanging="0" w:start="851"/>
        <w:jc w:val="both"/>
        <w:rPr>
          <w:sz w:val="22"/>
          <w:szCs w:val="22"/>
          <w:highlight w:val="white"/>
        </w:rPr>
      </w:pPr>
      <w:r>
        <w:rPr>
          <w:sz w:val="22"/>
          <w:szCs w:val="22"/>
          <w:highlight w:val="white"/>
        </w:rPr>
        <w:t>A unidade de hospedagem deverá estar localizada no Município de Florianópolis.</w:t>
      </w:r>
    </w:p>
    <w:p>
      <w:pPr>
        <w:pStyle w:val="normal1"/>
        <w:numPr>
          <w:ilvl w:val="2"/>
          <w:numId w:val="23"/>
        </w:numPr>
        <w:spacing w:lineRule="auto" w:line="276"/>
        <w:ind w:hanging="0" w:start="851"/>
        <w:jc w:val="both"/>
        <w:rPr>
          <w:sz w:val="22"/>
          <w:szCs w:val="22"/>
          <w:highlight w:val="white"/>
        </w:rPr>
      </w:pPr>
      <w:r>
        <w:rPr>
          <w:sz w:val="22"/>
          <w:szCs w:val="22"/>
          <w:highlight w:val="white"/>
        </w:rPr>
        <w:t>A delimitação geográfica é necessária considerando a logística e o tempo hábil necessário para atendimento das demandas que são tempo sensíveis, assim como possibilita o acompanhamento e a integração com a rede Intersetorial, composta pelos entes públicos e a rede de proteção social, assim como a fiscalização da execução dos serviços.</w:t>
      </w:r>
    </w:p>
    <w:p>
      <w:pPr>
        <w:pStyle w:val="normal1"/>
        <w:numPr>
          <w:ilvl w:val="2"/>
          <w:numId w:val="23"/>
        </w:numPr>
        <w:spacing w:lineRule="auto" w:line="276"/>
        <w:ind w:hanging="0" w:start="851"/>
        <w:jc w:val="both"/>
        <w:rPr>
          <w:sz w:val="22"/>
          <w:szCs w:val="22"/>
          <w:highlight w:val="white"/>
        </w:rPr>
      </w:pPr>
      <w:r>
        <w:rPr>
          <w:sz w:val="22"/>
          <w:szCs w:val="22"/>
          <w:highlight w:val="white"/>
        </w:rPr>
        <w:t xml:space="preserve">As credenciadas deverão possibilitar durante todo o período de acolhimento, o fornecimento de alimentação incluso na diária (Café da Manhã), e a possibilidade de solicitação de alimentação complementar, cujas sugestões de cardápio estão listadas abaixo: </w:t>
      </w:r>
    </w:p>
    <w:p>
      <w:pPr>
        <w:pStyle w:val="normal1"/>
        <w:spacing w:lineRule="auto" w:line="276"/>
        <w:ind w:hanging="0" w:start="851"/>
        <w:jc w:val="both"/>
        <w:rPr>
          <w:sz w:val="22"/>
          <w:szCs w:val="22"/>
          <w:highlight w:val="white"/>
        </w:rPr>
      </w:pPr>
      <w:r>
        <w:rPr>
          <w:sz w:val="22"/>
          <w:szCs w:val="22"/>
          <w:highlight w:val="white"/>
        </w:rPr>
      </w:r>
    </w:p>
    <w:p>
      <w:pPr>
        <w:pStyle w:val="normal1"/>
        <w:spacing w:lineRule="auto" w:line="276"/>
        <w:ind w:firstLine="567"/>
        <w:jc w:val="both"/>
        <w:rPr>
          <w:sz w:val="22"/>
          <w:szCs w:val="22"/>
          <w:highlight w:val="white"/>
        </w:rPr>
      </w:pPr>
      <w:r>
        <w:rPr>
          <w:sz w:val="22"/>
          <w:szCs w:val="22"/>
          <w:highlight w:val="white"/>
        </w:rPr>
        <w:t>Listagem de sugestão de cardápio e alimentação complementar:</w:t>
      </w:r>
    </w:p>
    <w:p>
      <w:pPr>
        <w:pStyle w:val="normal1"/>
        <w:spacing w:lineRule="auto" w:line="276"/>
        <w:jc w:val="both"/>
        <w:rPr>
          <w:sz w:val="22"/>
          <w:szCs w:val="22"/>
          <w:highlight w:val="white"/>
        </w:rPr>
      </w:pPr>
      <w:r>
        <w:rPr>
          <w:sz w:val="22"/>
          <w:szCs w:val="22"/>
          <w:highlight w:val="white"/>
        </w:rPr>
      </w:r>
    </w:p>
    <w:p>
      <w:pPr>
        <w:pStyle w:val="normal1"/>
        <w:spacing w:lineRule="auto" w:line="276"/>
        <w:rPr>
          <w:b/>
          <w:sz w:val="22"/>
          <w:szCs w:val="22"/>
          <w:highlight w:val="white"/>
        </w:rPr>
      </w:pPr>
      <w:r>
        <w:rPr>
          <w:b/>
          <w:sz w:val="22"/>
          <w:szCs w:val="22"/>
          <w:highlight w:val="white"/>
        </w:rPr>
        <w:t>CARDÁPIO CAFÉ DA MANHÃ / CAFÉ DA TARDE</w:t>
      </w:r>
    </w:p>
    <w:tbl>
      <w:tblPr>
        <w:tblStyle w:val="Table3"/>
        <w:tblW w:w="9272" w:type="dxa"/>
        <w:jc w:val="start"/>
        <w:tblInd w:w="-99" w:type="dxa"/>
        <w:tblLayout w:type="fixed"/>
        <w:tblCellMar>
          <w:top w:w="0" w:type="dxa"/>
          <w:start w:w="100" w:type="dxa"/>
          <w:bottom w:w="0" w:type="dxa"/>
          <w:end w:w="100" w:type="dxa"/>
        </w:tblCellMar>
        <w:tblLook w:val="0600"/>
      </w:tblPr>
      <w:tblGrid>
        <w:gridCol w:w="1699"/>
        <w:gridCol w:w="3497"/>
        <w:gridCol w:w="1683"/>
        <w:gridCol w:w="2393"/>
      </w:tblGrid>
      <w:tr>
        <w:trPr>
          <w:tblHeader w:val="true"/>
          <w:trHeight w:val="427" w:hRule="atLeast"/>
          <w:cantSplit w:val="true"/>
        </w:trPr>
        <w:tc>
          <w:tcPr>
            <w:tcW w:w="9272" w:type="dxa"/>
            <w:gridSpan w:val="4"/>
            <w:tcBorders>
              <w:top w:val="single" w:sz="6" w:space="0" w:color="000000"/>
              <w:start w:val="single" w:sz="6" w:space="0" w:color="000000"/>
              <w:bottom w:val="single" w:sz="6" w:space="0" w:color="000000"/>
              <w:end w:val="single" w:sz="6" w:space="0" w:color="000000"/>
            </w:tcBorders>
            <w:vAlign w:val="center"/>
          </w:tcPr>
          <w:p>
            <w:pPr>
              <w:pStyle w:val="normal1"/>
              <w:jc w:val="center"/>
              <w:rPr>
                <w:highlight w:val="white"/>
              </w:rPr>
            </w:pPr>
            <w:r>
              <w:rPr>
                <w:highlight w:val="white"/>
              </w:rPr>
              <w:t>CARDÁPIO CAFÉ DA MANHÃ / CAFÉ DA TARDE</w:t>
            </w:r>
          </w:p>
        </w:tc>
      </w:tr>
      <w:tr>
        <w:trPr>
          <w:tblHeader w:val="true"/>
          <w:trHeight w:val="735" w:hRule="atLeast"/>
          <w:cantSplit w:val="true"/>
        </w:trPr>
        <w:tc>
          <w:tcPr>
            <w:tcW w:w="1699" w:type="dxa"/>
            <w:tcBorders>
              <w:top w:val="single" w:sz="6" w:space="0" w:color="000000"/>
              <w:start w:val="single" w:sz="6" w:space="0" w:color="000000"/>
              <w:bottom w:val="single" w:sz="6" w:space="0" w:color="000000"/>
              <w:end w:val="single" w:sz="6" w:space="0" w:color="000000"/>
            </w:tcBorders>
            <w:vAlign w:val="center"/>
          </w:tcPr>
          <w:p>
            <w:pPr>
              <w:pStyle w:val="normal1"/>
              <w:jc w:val="center"/>
              <w:rPr/>
            </w:pPr>
            <w:r>
              <w:rPr/>
              <w:t>PORÇÕES</w:t>
            </w:r>
          </w:p>
        </w:tc>
        <w:tc>
          <w:tcPr>
            <w:tcW w:w="3497" w:type="dxa"/>
            <w:tcBorders>
              <w:top w:val="single" w:sz="6" w:space="0" w:color="000000"/>
              <w:bottom w:val="single" w:sz="6" w:space="0" w:color="000000"/>
              <w:end w:val="single" w:sz="6" w:space="0" w:color="000000"/>
            </w:tcBorders>
            <w:vAlign w:val="center"/>
          </w:tcPr>
          <w:p>
            <w:pPr>
              <w:pStyle w:val="normal1"/>
              <w:jc w:val="center"/>
              <w:rPr/>
            </w:pPr>
            <w:r>
              <w:rPr/>
              <w:t>ESPECIFICAÇÃO DE CONTEÚDO</w:t>
            </w:r>
          </w:p>
        </w:tc>
        <w:tc>
          <w:tcPr>
            <w:tcW w:w="1683" w:type="dxa"/>
            <w:tcBorders>
              <w:top w:val="single" w:sz="6" w:space="0" w:color="000000"/>
              <w:bottom w:val="single" w:sz="6" w:space="0" w:color="000000"/>
              <w:end w:val="single" w:sz="6" w:space="0" w:color="000000"/>
            </w:tcBorders>
            <w:vAlign w:val="center"/>
          </w:tcPr>
          <w:p>
            <w:pPr>
              <w:pStyle w:val="normal1"/>
              <w:jc w:val="center"/>
              <w:rPr/>
            </w:pPr>
            <w:r>
              <w:rPr/>
              <w:t>QTDE POR PESSOA</w:t>
            </w:r>
          </w:p>
        </w:tc>
        <w:tc>
          <w:tcPr>
            <w:tcW w:w="2393" w:type="dxa"/>
            <w:tcBorders>
              <w:top w:val="single" w:sz="6" w:space="0" w:color="000000"/>
              <w:bottom w:val="single" w:sz="6" w:space="0" w:color="000000"/>
              <w:end w:val="single" w:sz="6" w:space="0" w:color="000000"/>
            </w:tcBorders>
            <w:vAlign w:val="center"/>
          </w:tcPr>
          <w:p>
            <w:pPr>
              <w:pStyle w:val="normal1"/>
              <w:jc w:val="center"/>
              <w:rPr/>
            </w:pPr>
            <w:r>
              <w:rPr/>
              <w:t>GRAMATURA MÍNIMA/ ML POR PESSOA</w:t>
            </w:r>
          </w:p>
        </w:tc>
      </w:tr>
      <w:tr>
        <w:trPr>
          <w:tblHeader w:val="true"/>
          <w:trHeight w:val="735" w:hRule="atLeast"/>
          <w:cantSplit w:val="true"/>
        </w:trPr>
        <w:tc>
          <w:tcPr>
            <w:tcW w:w="1699" w:type="dxa"/>
            <w:tcBorders>
              <w:start w:val="single" w:sz="6" w:space="0" w:color="000000"/>
              <w:bottom w:val="single" w:sz="6" w:space="0" w:color="000000"/>
              <w:end w:val="single" w:sz="6" w:space="0" w:color="000000"/>
            </w:tcBorders>
            <w:vAlign w:val="center"/>
          </w:tcPr>
          <w:p>
            <w:pPr>
              <w:pStyle w:val="normal1"/>
              <w:jc w:val="center"/>
              <w:rPr/>
            </w:pPr>
            <w:r>
              <w:rPr/>
              <w:t>Café / Leite</w:t>
            </w:r>
          </w:p>
        </w:tc>
        <w:tc>
          <w:tcPr>
            <w:tcW w:w="3497" w:type="dxa"/>
            <w:tcBorders>
              <w:bottom w:val="single" w:sz="6" w:space="0" w:color="000000"/>
              <w:end w:val="single" w:sz="6" w:space="0" w:color="000000"/>
            </w:tcBorders>
            <w:vAlign w:val="center"/>
          </w:tcPr>
          <w:p>
            <w:pPr>
              <w:pStyle w:val="normal1"/>
              <w:jc w:val="center"/>
              <w:rPr/>
            </w:pPr>
            <w:r>
              <w:rPr/>
              <w:t>Café com ou sem açúcar / Leite</w:t>
            </w:r>
          </w:p>
        </w:tc>
        <w:tc>
          <w:tcPr>
            <w:tcW w:w="1683" w:type="dxa"/>
            <w:tcBorders>
              <w:bottom w:val="single" w:sz="6" w:space="0" w:color="000000"/>
              <w:end w:val="single" w:sz="6" w:space="0" w:color="000000"/>
            </w:tcBorders>
            <w:vAlign w:val="center"/>
          </w:tcPr>
          <w:p>
            <w:pPr>
              <w:pStyle w:val="normal1"/>
              <w:jc w:val="center"/>
              <w:rPr/>
            </w:pPr>
            <w:r>
              <w:rPr/>
              <w:t>01</w:t>
            </w:r>
          </w:p>
        </w:tc>
        <w:tc>
          <w:tcPr>
            <w:tcW w:w="2393" w:type="dxa"/>
            <w:tcBorders>
              <w:bottom w:val="single" w:sz="6" w:space="0" w:color="000000"/>
              <w:end w:val="single" w:sz="6" w:space="0" w:color="000000"/>
            </w:tcBorders>
            <w:vAlign w:val="center"/>
          </w:tcPr>
          <w:p>
            <w:pPr>
              <w:pStyle w:val="normal1"/>
              <w:jc w:val="center"/>
              <w:rPr/>
            </w:pPr>
            <w:r>
              <w:rPr/>
              <w:t>Café: 100 ml / Leite: 150 ml</w:t>
            </w:r>
          </w:p>
        </w:tc>
      </w:tr>
      <w:tr>
        <w:trPr>
          <w:tblHeader w:val="true"/>
          <w:trHeight w:val="870" w:hRule="atLeast"/>
          <w:cantSplit w:val="true"/>
        </w:trPr>
        <w:tc>
          <w:tcPr>
            <w:tcW w:w="1699" w:type="dxa"/>
            <w:tcBorders>
              <w:start w:val="single" w:sz="6" w:space="0" w:color="000000"/>
              <w:bottom w:val="single" w:sz="6" w:space="0" w:color="000000"/>
              <w:end w:val="single" w:sz="6" w:space="0" w:color="000000"/>
            </w:tcBorders>
            <w:vAlign w:val="center"/>
          </w:tcPr>
          <w:p>
            <w:pPr>
              <w:pStyle w:val="normal1"/>
              <w:jc w:val="center"/>
              <w:rPr/>
            </w:pPr>
            <w:r>
              <w:rPr/>
              <w:t>Suco</w:t>
            </w:r>
          </w:p>
        </w:tc>
        <w:tc>
          <w:tcPr>
            <w:tcW w:w="3497" w:type="dxa"/>
            <w:tcBorders>
              <w:bottom w:val="single" w:sz="6" w:space="0" w:color="000000"/>
              <w:end w:val="single" w:sz="6" w:space="0" w:color="000000"/>
            </w:tcBorders>
            <w:vAlign w:val="center"/>
          </w:tcPr>
          <w:p>
            <w:pPr>
              <w:pStyle w:val="normal1"/>
              <w:jc w:val="center"/>
              <w:rPr/>
            </w:pPr>
            <w:r>
              <w:rPr/>
              <w:t>Suco Natural da Fruta: elaborado com polpa de fruta ou fruta in natura com ou sem açúcar.</w:t>
            </w:r>
          </w:p>
        </w:tc>
        <w:tc>
          <w:tcPr>
            <w:tcW w:w="1683" w:type="dxa"/>
            <w:tcBorders>
              <w:bottom w:val="single" w:sz="6" w:space="0" w:color="000000"/>
              <w:end w:val="single" w:sz="6" w:space="0" w:color="000000"/>
            </w:tcBorders>
            <w:vAlign w:val="center"/>
          </w:tcPr>
          <w:p>
            <w:pPr>
              <w:pStyle w:val="normal1"/>
              <w:jc w:val="center"/>
              <w:rPr/>
            </w:pPr>
            <w:r>
              <w:rPr/>
              <w:t>01</w:t>
            </w:r>
          </w:p>
        </w:tc>
        <w:tc>
          <w:tcPr>
            <w:tcW w:w="2393" w:type="dxa"/>
            <w:tcBorders>
              <w:bottom w:val="single" w:sz="6" w:space="0" w:color="000000"/>
              <w:end w:val="single" w:sz="6" w:space="0" w:color="000000"/>
            </w:tcBorders>
            <w:vAlign w:val="center"/>
          </w:tcPr>
          <w:p>
            <w:pPr>
              <w:pStyle w:val="normal1"/>
              <w:jc w:val="center"/>
              <w:rPr/>
            </w:pPr>
            <w:r>
              <w:rPr/>
              <w:t>200 ml</w:t>
            </w:r>
          </w:p>
        </w:tc>
      </w:tr>
      <w:tr>
        <w:trPr>
          <w:tblHeader w:val="true"/>
          <w:trHeight w:val="1155" w:hRule="atLeast"/>
          <w:cantSplit w:val="true"/>
        </w:trPr>
        <w:tc>
          <w:tcPr>
            <w:tcW w:w="1699" w:type="dxa"/>
            <w:tcBorders>
              <w:start w:val="single" w:sz="6" w:space="0" w:color="000000"/>
              <w:bottom w:val="single" w:sz="6" w:space="0" w:color="000000"/>
              <w:end w:val="single" w:sz="6" w:space="0" w:color="000000"/>
            </w:tcBorders>
            <w:vAlign w:val="center"/>
          </w:tcPr>
          <w:p>
            <w:pPr>
              <w:pStyle w:val="normal1"/>
              <w:jc w:val="center"/>
              <w:rPr/>
            </w:pPr>
            <w:r>
              <w:rPr/>
              <w:t>Pães</w:t>
            </w:r>
          </w:p>
        </w:tc>
        <w:tc>
          <w:tcPr>
            <w:tcW w:w="3497" w:type="dxa"/>
            <w:tcBorders>
              <w:bottom w:val="single" w:sz="6" w:space="0" w:color="000000"/>
              <w:end w:val="single" w:sz="6" w:space="0" w:color="000000"/>
            </w:tcBorders>
            <w:vAlign w:val="center"/>
          </w:tcPr>
          <w:p>
            <w:pPr>
              <w:pStyle w:val="normal1"/>
              <w:jc w:val="center"/>
              <w:rPr/>
            </w:pPr>
            <w:r>
              <w:rPr/>
              <w:t>Sanduíche de pão (integral ou de leite ou de forma) com *ovo ou presunto e queijo, requeijão ou manteiga.</w:t>
            </w:r>
          </w:p>
          <w:p>
            <w:pPr>
              <w:pStyle w:val="normal1"/>
              <w:jc w:val="center"/>
              <w:rPr/>
            </w:pPr>
            <w:r>
              <w:rPr/>
              <w:t>* O ovo pode substituir o queijo, presunto, manteiga/requeijão.</w:t>
            </w:r>
          </w:p>
        </w:tc>
        <w:tc>
          <w:tcPr>
            <w:tcW w:w="1683" w:type="dxa"/>
            <w:tcBorders>
              <w:bottom w:val="single" w:sz="6" w:space="0" w:color="000000"/>
              <w:end w:val="single" w:sz="6" w:space="0" w:color="000000"/>
            </w:tcBorders>
            <w:vAlign w:val="center"/>
          </w:tcPr>
          <w:p>
            <w:pPr>
              <w:pStyle w:val="normal1"/>
              <w:jc w:val="center"/>
              <w:rPr/>
            </w:pPr>
            <w:r>
              <w:rPr/>
              <w:t>01</w:t>
            </w:r>
          </w:p>
        </w:tc>
        <w:tc>
          <w:tcPr>
            <w:tcW w:w="2393" w:type="dxa"/>
            <w:tcBorders>
              <w:bottom w:val="single" w:sz="6" w:space="0" w:color="000000"/>
              <w:end w:val="single" w:sz="6" w:space="0" w:color="000000"/>
            </w:tcBorders>
            <w:vAlign w:val="center"/>
          </w:tcPr>
          <w:p>
            <w:pPr>
              <w:pStyle w:val="normal1"/>
              <w:jc w:val="center"/>
              <w:rPr/>
            </w:pPr>
            <w:r>
              <w:rPr/>
              <w:t>Pão: 50g</w:t>
            </w:r>
          </w:p>
          <w:p>
            <w:pPr>
              <w:pStyle w:val="normal1"/>
              <w:jc w:val="center"/>
              <w:rPr/>
            </w:pPr>
            <w:r>
              <w:rPr/>
              <w:t>Queijo/Fatia: 25g</w:t>
            </w:r>
          </w:p>
          <w:p>
            <w:pPr>
              <w:pStyle w:val="normal1"/>
              <w:jc w:val="center"/>
              <w:rPr/>
            </w:pPr>
            <w:r>
              <w:rPr/>
              <w:t>Presunto/Fatia:30g</w:t>
            </w:r>
          </w:p>
          <w:p>
            <w:pPr>
              <w:pStyle w:val="normal1"/>
              <w:jc w:val="center"/>
              <w:rPr/>
            </w:pPr>
            <w:r>
              <w:rPr/>
              <w:t>Ovo: 50g</w:t>
            </w:r>
          </w:p>
          <w:p>
            <w:pPr>
              <w:pStyle w:val="normal1"/>
              <w:jc w:val="center"/>
              <w:rPr/>
            </w:pPr>
            <w:r>
              <w:rPr/>
              <w:t>Requeijão: 30g</w:t>
            </w:r>
          </w:p>
          <w:p>
            <w:pPr>
              <w:pStyle w:val="normal1"/>
              <w:jc w:val="center"/>
              <w:rPr/>
            </w:pPr>
            <w:r>
              <w:rPr/>
              <w:t>Manteiga: 5g</w:t>
            </w:r>
          </w:p>
        </w:tc>
      </w:tr>
      <w:tr>
        <w:trPr>
          <w:tblHeader w:val="true"/>
          <w:trHeight w:val="1155" w:hRule="atLeast"/>
          <w:cantSplit w:val="true"/>
        </w:trPr>
        <w:tc>
          <w:tcPr>
            <w:tcW w:w="1699" w:type="dxa"/>
            <w:tcBorders>
              <w:start w:val="single" w:sz="6" w:space="0" w:color="000000"/>
              <w:bottom w:val="single" w:sz="6" w:space="0" w:color="000000"/>
              <w:end w:val="single" w:sz="6" w:space="0" w:color="000000"/>
            </w:tcBorders>
            <w:vAlign w:val="center"/>
          </w:tcPr>
          <w:p>
            <w:pPr>
              <w:pStyle w:val="normal1"/>
              <w:jc w:val="center"/>
              <w:rPr/>
            </w:pPr>
            <w:r>
              <w:rPr/>
              <w:t>Fruta</w:t>
            </w:r>
          </w:p>
        </w:tc>
        <w:tc>
          <w:tcPr>
            <w:tcW w:w="3497" w:type="dxa"/>
            <w:tcBorders>
              <w:bottom w:val="single" w:sz="6" w:space="0" w:color="000000"/>
              <w:end w:val="single" w:sz="6" w:space="0" w:color="000000"/>
            </w:tcBorders>
            <w:vAlign w:val="center"/>
          </w:tcPr>
          <w:p>
            <w:pPr>
              <w:pStyle w:val="normal1"/>
              <w:jc w:val="center"/>
              <w:rPr/>
            </w:pPr>
            <w:r>
              <w:rPr/>
              <w:t>Fruta da estação (Unidade ou Fatia)</w:t>
            </w:r>
          </w:p>
        </w:tc>
        <w:tc>
          <w:tcPr>
            <w:tcW w:w="1683" w:type="dxa"/>
            <w:tcBorders>
              <w:bottom w:val="single" w:sz="6" w:space="0" w:color="000000"/>
              <w:end w:val="single" w:sz="6" w:space="0" w:color="000000"/>
            </w:tcBorders>
            <w:vAlign w:val="center"/>
          </w:tcPr>
          <w:p>
            <w:pPr>
              <w:pStyle w:val="normal1"/>
              <w:jc w:val="center"/>
              <w:rPr/>
            </w:pPr>
            <w:r>
              <w:rPr/>
              <w:t>01</w:t>
            </w:r>
          </w:p>
        </w:tc>
        <w:tc>
          <w:tcPr>
            <w:tcW w:w="2393" w:type="dxa"/>
            <w:tcBorders>
              <w:bottom w:val="single" w:sz="6" w:space="0" w:color="000000"/>
              <w:end w:val="single" w:sz="6" w:space="0" w:color="000000"/>
            </w:tcBorders>
            <w:vAlign w:val="center"/>
          </w:tcPr>
          <w:p>
            <w:pPr>
              <w:pStyle w:val="normal1"/>
              <w:jc w:val="center"/>
              <w:rPr/>
            </w:pPr>
            <w:r>
              <w:rPr/>
              <w:t>90g</w:t>
            </w:r>
          </w:p>
        </w:tc>
      </w:tr>
    </w:tbl>
    <w:p>
      <w:pPr>
        <w:pStyle w:val="normal1"/>
        <w:spacing w:lineRule="auto" w:line="276"/>
        <w:jc w:val="center"/>
        <w:rPr>
          <w:sz w:val="22"/>
          <w:szCs w:val="22"/>
          <w:highlight w:val="white"/>
        </w:rPr>
      </w:pPr>
      <w:r>
        <w:rPr>
          <w:sz w:val="22"/>
          <w:szCs w:val="22"/>
          <w:highlight w:val="white"/>
        </w:rPr>
      </w:r>
    </w:p>
    <w:p>
      <w:pPr>
        <w:pStyle w:val="normal1"/>
        <w:spacing w:lineRule="auto" w:line="276"/>
        <w:rPr>
          <w:b/>
          <w:sz w:val="22"/>
          <w:szCs w:val="22"/>
          <w:highlight w:val="white"/>
        </w:rPr>
      </w:pPr>
      <w:r>
        <w:rPr>
          <w:b/>
          <w:sz w:val="22"/>
          <w:szCs w:val="22"/>
          <w:highlight w:val="white"/>
        </w:rPr>
        <w:t>CARDÁPIO – ALMOÇO / JANTAR</w:t>
      </w:r>
    </w:p>
    <w:tbl>
      <w:tblPr>
        <w:tblStyle w:val="Table4"/>
        <w:tblW w:w="9272" w:type="dxa"/>
        <w:jc w:val="start"/>
        <w:tblInd w:w="-100" w:type="dxa"/>
        <w:tblLayout w:type="fixed"/>
        <w:tblCellMar>
          <w:top w:w="100" w:type="dxa"/>
          <w:start w:w="100" w:type="dxa"/>
          <w:bottom w:w="100" w:type="dxa"/>
          <w:end w:w="100" w:type="dxa"/>
        </w:tblCellMar>
        <w:tblLook w:val="0600"/>
      </w:tblPr>
      <w:tblGrid>
        <w:gridCol w:w="1587"/>
        <w:gridCol w:w="4177"/>
        <w:gridCol w:w="1774"/>
        <w:gridCol w:w="1734"/>
      </w:tblGrid>
      <w:tr>
        <w:trPr>
          <w:trHeight w:val="292" w:hRule="atLeast"/>
        </w:trPr>
        <w:tc>
          <w:tcPr>
            <w:tcW w:w="9272" w:type="dxa"/>
            <w:gridSpan w:val="4"/>
            <w:tcBorders>
              <w:top w:val="single" w:sz="8" w:space="0" w:color="000000"/>
              <w:start w:val="single" w:sz="8" w:space="0" w:color="000000"/>
              <w:bottom w:val="single" w:sz="8" w:space="0" w:color="000000"/>
              <w:end w:val="single" w:sz="8" w:space="0" w:color="000000"/>
            </w:tcBorders>
            <w:shd w:fill="auto" w:val="clear"/>
            <w:vAlign w:val="center"/>
          </w:tcPr>
          <w:p>
            <w:pPr>
              <w:pStyle w:val="normal1"/>
              <w:jc w:val="center"/>
              <w:rPr/>
            </w:pPr>
            <w:r>
              <w:rPr/>
              <w:t>CARDÁPIO– ALMOÇO / JANTAR</w:t>
            </w:r>
          </w:p>
        </w:tc>
      </w:tr>
      <w:tr>
        <w:trPr/>
        <w:tc>
          <w:tcPr>
            <w:tcW w:w="158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jc w:val="center"/>
              <w:rPr/>
            </w:pPr>
            <w:r>
              <w:rPr>
                <w:highlight w:val="white"/>
              </w:rPr>
              <w:t>PORÇÕES</w:t>
            </w:r>
          </w:p>
        </w:tc>
        <w:tc>
          <w:tcPr>
            <w:tcW w:w="417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jc w:val="center"/>
              <w:rPr>
                <w:highlight w:val="white"/>
              </w:rPr>
            </w:pPr>
            <w:r>
              <w:rPr>
                <w:highlight w:val="white"/>
              </w:rPr>
              <w:t>ESPECIFICAÇÃO DE</w:t>
            </w:r>
          </w:p>
          <w:p>
            <w:pPr>
              <w:pStyle w:val="normal1"/>
              <w:widowControl w:val="false"/>
              <w:jc w:val="center"/>
              <w:rPr/>
            </w:pPr>
            <w:r>
              <w:rPr>
                <w:highlight w:val="white"/>
              </w:rPr>
              <w:t>CONTEÚDO</w:t>
            </w:r>
          </w:p>
        </w:tc>
        <w:tc>
          <w:tcPr>
            <w:tcW w:w="1774"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jc w:val="center"/>
              <w:rPr/>
            </w:pPr>
            <w:r>
              <w:rPr>
                <w:highlight w:val="white"/>
              </w:rPr>
              <w:t>QUANTIDADE PORÇÃO / MARMITA</w:t>
            </w:r>
          </w:p>
        </w:tc>
        <w:tc>
          <w:tcPr>
            <w:tcW w:w="1734"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jc w:val="center"/>
              <w:rPr>
                <w:highlight w:val="white"/>
              </w:rPr>
            </w:pPr>
            <w:r>
              <w:rPr>
                <w:highlight w:val="white"/>
              </w:rPr>
              <w:t>GRAMATURA</w:t>
            </w:r>
          </w:p>
          <w:p>
            <w:pPr>
              <w:pStyle w:val="normal1"/>
              <w:widowControl w:val="false"/>
              <w:jc w:val="center"/>
              <w:rPr/>
            </w:pPr>
            <w:r>
              <w:rPr>
                <w:highlight w:val="white"/>
              </w:rPr>
              <w:t>PORÇÃO / MARMITA</w:t>
            </w:r>
          </w:p>
        </w:tc>
      </w:tr>
      <w:tr>
        <w:trPr/>
        <w:tc>
          <w:tcPr>
            <w:tcW w:w="158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jc w:val="center"/>
              <w:rPr/>
            </w:pPr>
            <w:r>
              <w:rPr>
                <w:highlight w:val="white"/>
              </w:rPr>
              <w:t>CARNES</w:t>
            </w:r>
          </w:p>
        </w:tc>
        <w:tc>
          <w:tcPr>
            <w:tcW w:w="417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jc w:val="both"/>
              <w:rPr>
                <w:highlight w:val="white"/>
              </w:rPr>
            </w:pPr>
            <w:r>
              <w:rPr>
                <w:highlight w:val="white"/>
              </w:rPr>
              <w:t>Carne de Boi: Bife Grelhado /</w:t>
            </w:r>
          </w:p>
          <w:p>
            <w:pPr>
              <w:pStyle w:val="normal1"/>
              <w:widowControl w:val="false"/>
              <w:jc w:val="both"/>
              <w:rPr>
                <w:highlight w:val="white"/>
              </w:rPr>
            </w:pPr>
            <w:r>
              <w:rPr>
                <w:highlight w:val="white"/>
              </w:rPr>
              <w:t>Bife à Milanesa / Bife Acebolado / Carne Assada de Panela.</w:t>
            </w:r>
          </w:p>
          <w:p>
            <w:pPr>
              <w:pStyle w:val="normal1"/>
              <w:widowControl w:val="false"/>
              <w:jc w:val="both"/>
              <w:rPr>
                <w:highlight w:val="white"/>
              </w:rPr>
            </w:pPr>
            <w:r>
              <w:rPr>
                <w:highlight w:val="white"/>
              </w:rPr>
              <w:t>Carne de Frango: Filé de Frango Grelhado/Filé de Frango à Milanesa / Coxa e sobrecoxa assados</w:t>
            </w:r>
          </w:p>
        </w:tc>
        <w:tc>
          <w:tcPr>
            <w:tcW w:w="1774"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jc w:val="center"/>
              <w:rPr/>
            </w:pPr>
            <w:r>
              <w:rPr/>
              <w:t>01</w:t>
            </w:r>
          </w:p>
        </w:tc>
        <w:tc>
          <w:tcPr>
            <w:tcW w:w="1734"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jc w:val="center"/>
              <w:rPr/>
            </w:pPr>
            <w:r>
              <w:rPr/>
              <w:t>160g</w:t>
            </w:r>
          </w:p>
        </w:tc>
      </w:tr>
      <w:tr>
        <w:trPr/>
        <w:tc>
          <w:tcPr>
            <w:tcW w:w="158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jc w:val="center"/>
              <w:rPr>
                <w:highlight w:val="white"/>
              </w:rPr>
            </w:pPr>
            <w:r>
              <w:rPr>
                <w:highlight w:val="white"/>
              </w:rPr>
              <w:t>MACARRÃO</w:t>
            </w:r>
          </w:p>
        </w:tc>
        <w:tc>
          <w:tcPr>
            <w:tcW w:w="417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rPr>
                <w:highlight w:val="white"/>
              </w:rPr>
            </w:pPr>
            <w:r>
              <w:rPr>
                <w:highlight w:val="white"/>
              </w:rPr>
              <w:t>Espaguete / Parafuso / Talharim</w:t>
            </w:r>
          </w:p>
          <w:p>
            <w:pPr>
              <w:pStyle w:val="normal1"/>
              <w:widowControl w:val="false"/>
              <w:rPr>
                <w:highlight w:val="white"/>
              </w:rPr>
            </w:pPr>
            <w:r>
              <w:rPr>
                <w:highlight w:val="white"/>
              </w:rPr>
              <w:t>(Molhos: Branco / Bolonhesa / De</w:t>
            </w:r>
          </w:p>
          <w:p>
            <w:pPr>
              <w:pStyle w:val="normal1"/>
              <w:widowControl w:val="false"/>
              <w:rPr/>
            </w:pPr>
            <w:r>
              <w:rPr>
                <w:highlight w:val="white"/>
              </w:rPr>
              <w:t>Tomate)</w:t>
            </w:r>
          </w:p>
        </w:tc>
        <w:tc>
          <w:tcPr>
            <w:tcW w:w="1774"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jc w:val="center"/>
              <w:rPr/>
            </w:pPr>
            <w:r>
              <w:rPr/>
              <w:t>01</w:t>
            </w:r>
          </w:p>
        </w:tc>
        <w:tc>
          <w:tcPr>
            <w:tcW w:w="1734"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jc w:val="center"/>
              <w:rPr/>
            </w:pPr>
            <w:r>
              <w:rPr/>
              <w:t>80g</w:t>
            </w:r>
          </w:p>
        </w:tc>
      </w:tr>
      <w:tr>
        <w:trPr/>
        <w:tc>
          <w:tcPr>
            <w:tcW w:w="158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jc w:val="center"/>
              <w:rPr>
                <w:highlight w:val="white"/>
              </w:rPr>
            </w:pPr>
            <w:r>
              <w:rPr>
                <w:highlight w:val="white"/>
              </w:rPr>
              <w:t>ARROZ</w:t>
            </w:r>
          </w:p>
        </w:tc>
        <w:tc>
          <w:tcPr>
            <w:tcW w:w="417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rPr/>
            </w:pPr>
            <w:r>
              <w:rPr>
                <w:highlight w:val="white"/>
              </w:rPr>
              <w:t>Arroz branco</w:t>
            </w:r>
          </w:p>
        </w:tc>
        <w:tc>
          <w:tcPr>
            <w:tcW w:w="1774"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jc w:val="center"/>
              <w:rPr/>
            </w:pPr>
            <w:r>
              <w:rPr/>
              <w:t>01</w:t>
            </w:r>
          </w:p>
        </w:tc>
        <w:tc>
          <w:tcPr>
            <w:tcW w:w="1734"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jc w:val="center"/>
              <w:rPr/>
            </w:pPr>
            <w:r>
              <w:rPr/>
              <w:t>130g</w:t>
            </w:r>
          </w:p>
        </w:tc>
      </w:tr>
      <w:tr>
        <w:trPr/>
        <w:tc>
          <w:tcPr>
            <w:tcW w:w="158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jc w:val="center"/>
              <w:rPr>
                <w:highlight w:val="white"/>
              </w:rPr>
            </w:pPr>
            <w:r>
              <w:rPr>
                <w:highlight w:val="white"/>
              </w:rPr>
              <w:t>FEIJÃO</w:t>
            </w:r>
          </w:p>
        </w:tc>
        <w:tc>
          <w:tcPr>
            <w:tcW w:w="417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rPr/>
            </w:pPr>
            <w:r>
              <w:rPr>
                <w:highlight w:val="white"/>
              </w:rPr>
              <w:t>Feijão Caseiro (Tipo01)</w:t>
            </w:r>
          </w:p>
        </w:tc>
        <w:tc>
          <w:tcPr>
            <w:tcW w:w="1774"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jc w:val="center"/>
              <w:rPr/>
            </w:pPr>
            <w:r>
              <w:rPr/>
              <w:t>01</w:t>
            </w:r>
          </w:p>
        </w:tc>
        <w:tc>
          <w:tcPr>
            <w:tcW w:w="1734"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jc w:val="center"/>
              <w:rPr/>
            </w:pPr>
            <w:r>
              <w:rPr/>
              <w:t>90g</w:t>
            </w:r>
          </w:p>
        </w:tc>
      </w:tr>
      <w:tr>
        <w:trPr/>
        <w:tc>
          <w:tcPr>
            <w:tcW w:w="158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jc w:val="center"/>
              <w:rPr>
                <w:highlight w:val="white"/>
              </w:rPr>
            </w:pPr>
            <w:r>
              <w:rPr>
                <w:highlight w:val="white"/>
              </w:rPr>
              <w:t>VEGETAIS 1</w:t>
            </w:r>
          </w:p>
        </w:tc>
        <w:tc>
          <w:tcPr>
            <w:tcW w:w="417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rPr>
                <w:highlight w:val="white"/>
              </w:rPr>
            </w:pPr>
            <w:r>
              <w:rPr>
                <w:highlight w:val="white"/>
              </w:rPr>
              <w:t>Crus: Alface / Tomate / Pepino /</w:t>
            </w:r>
          </w:p>
          <w:p>
            <w:pPr>
              <w:pStyle w:val="normal1"/>
              <w:widowControl w:val="false"/>
              <w:rPr/>
            </w:pPr>
            <w:r>
              <w:rPr>
                <w:highlight w:val="white"/>
              </w:rPr>
              <w:t>Pimentão / Cenoura</w:t>
            </w:r>
          </w:p>
        </w:tc>
        <w:tc>
          <w:tcPr>
            <w:tcW w:w="1774"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jc w:val="center"/>
              <w:rPr/>
            </w:pPr>
            <w:r>
              <w:rPr/>
              <w:t>02</w:t>
            </w:r>
          </w:p>
        </w:tc>
        <w:tc>
          <w:tcPr>
            <w:tcW w:w="1734"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jc w:val="center"/>
              <w:rPr/>
            </w:pPr>
            <w:r>
              <w:rPr/>
              <w:t>60g</w:t>
            </w:r>
          </w:p>
        </w:tc>
      </w:tr>
      <w:tr>
        <w:trPr/>
        <w:tc>
          <w:tcPr>
            <w:tcW w:w="158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jc w:val="center"/>
              <w:rPr>
                <w:highlight w:val="white"/>
              </w:rPr>
            </w:pPr>
            <w:r>
              <w:rPr>
                <w:highlight w:val="white"/>
              </w:rPr>
              <w:t>VEGETAIS 2</w:t>
            </w:r>
          </w:p>
        </w:tc>
        <w:tc>
          <w:tcPr>
            <w:tcW w:w="417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rPr/>
            </w:pPr>
            <w:r>
              <w:rPr>
                <w:highlight w:val="white"/>
              </w:rPr>
              <w:t>Cozidos: Abóbora / Beterraba / Cenoura / Chuchu / Milho / Brócolis</w:t>
            </w:r>
          </w:p>
        </w:tc>
        <w:tc>
          <w:tcPr>
            <w:tcW w:w="1774"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jc w:val="center"/>
              <w:rPr/>
            </w:pPr>
            <w:r>
              <w:rPr/>
              <w:t>01</w:t>
            </w:r>
          </w:p>
        </w:tc>
        <w:tc>
          <w:tcPr>
            <w:tcW w:w="1734"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jc w:val="center"/>
              <w:rPr/>
            </w:pPr>
            <w:r>
              <w:rPr/>
              <w:t>60g</w:t>
            </w:r>
          </w:p>
        </w:tc>
      </w:tr>
      <w:tr>
        <w:trPr/>
        <w:tc>
          <w:tcPr>
            <w:tcW w:w="158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jc w:val="center"/>
              <w:rPr>
                <w:highlight w:val="white"/>
              </w:rPr>
            </w:pPr>
            <w:r>
              <w:rPr>
                <w:highlight w:val="white"/>
              </w:rPr>
              <w:t>ACOMP.</w:t>
            </w:r>
          </w:p>
        </w:tc>
        <w:tc>
          <w:tcPr>
            <w:tcW w:w="417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rPr/>
            </w:pPr>
            <w:r>
              <w:rPr>
                <w:highlight w:val="white"/>
              </w:rPr>
              <w:t>Aipim / Batatas / Bolinho de Arroz / Polenta</w:t>
            </w:r>
          </w:p>
        </w:tc>
        <w:tc>
          <w:tcPr>
            <w:tcW w:w="1774"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jc w:val="center"/>
              <w:rPr/>
            </w:pPr>
            <w:r>
              <w:rPr/>
              <w:t>01</w:t>
            </w:r>
          </w:p>
        </w:tc>
        <w:tc>
          <w:tcPr>
            <w:tcW w:w="1734"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jc w:val="center"/>
              <w:rPr/>
            </w:pPr>
            <w:r>
              <w:rPr/>
              <w:t>120g</w:t>
            </w:r>
          </w:p>
        </w:tc>
      </w:tr>
      <w:tr>
        <w:trPr>
          <w:trHeight w:val="400" w:hRule="atLeast"/>
        </w:trPr>
        <w:tc>
          <w:tcPr>
            <w:tcW w:w="7538" w:type="dxa"/>
            <w:gridSpan w:val="3"/>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jc w:val="end"/>
              <w:rPr>
                <w:highlight w:val="white"/>
              </w:rPr>
            </w:pPr>
            <w:r>
              <w:rPr>
                <w:highlight w:val="white"/>
              </w:rPr>
              <w:t>GRAMATURA MÍNIMA TOTAL/DIA</w:t>
            </w:r>
          </w:p>
        </w:tc>
        <w:tc>
          <w:tcPr>
            <w:tcW w:w="1734"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jc w:val="center"/>
              <w:rPr/>
            </w:pPr>
            <w:r>
              <w:rPr/>
              <w:t>700g</w:t>
            </w:r>
          </w:p>
        </w:tc>
      </w:tr>
      <w:tr>
        <w:trPr>
          <w:trHeight w:val="400" w:hRule="atLeast"/>
        </w:trPr>
        <w:tc>
          <w:tcPr>
            <w:tcW w:w="9272" w:type="dxa"/>
            <w:gridSpan w:val="4"/>
            <w:tcBorders>
              <w:top w:val="single" w:sz="8" w:space="0" w:color="000000"/>
              <w:start w:val="single" w:sz="8" w:space="0" w:color="000000"/>
              <w:bottom w:val="single" w:sz="8" w:space="0" w:color="000000"/>
              <w:end w:val="single" w:sz="8" w:space="0" w:color="000000"/>
            </w:tcBorders>
            <w:shd w:fill="auto" w:val="clear"/>
            <w:vAlign w:val="center"/>
          </w:tcPr>
          <w:p>
            <w:pPr>
              <w:pStyle w:val="normal1"/>
              <w:jc w:val="both"/>
              <w:rPr/>
            </w:pPr>
            <w:r>
              <w:rPr/>
              <w:t>DEVERÁ DISPONIBILIZAR 1 (um)  KIT TALHER 1 (um) GARFO, 1 (uma) FACA E 1 (uma) COLHER DE PLÁSTICO RESISTENTES, REFORÇADOS E ACONDICIONADOS EM EMBALAGEM) COM 2 (dois) GUARDANAPOS 40X40 CM (100% CELULOSE), caso a refeição por falta de refeitório seja disponibilizada em formato “marmitex” A EMBALAGEM DA MARMITA DEVERÁ SER DE ISOPOR TAMANHO MÉDIO N.8.</w:t>
            </w:r>
          </w:p>
        </w:tc>
      </w:tr>
    </w:tbl>
    <w:p>
      <w:pPr>
        <w:pStyle w:val="normal1"/>
        <w:tabs>
          <w:tab w:val="clear" w:pos="720"/>
          <w:tab w:val="left" w:pos="851" w:leader="none"/>
          <w:tab w:val="left" w:pos="993" w:leader="none"/>
          <w:tab w:val="left" w:pos="1276" w:leader="none"/>
          <w:tab w:val="left" w:pos="1560" w:leader="none"/>
        </w:tabs>
        <w:spacing w:lineRule="auto" w:line="276"/>
        <w:ind w:hanging="0" w:start="567"/>
        <w:jc w:val="both"/>
        <w:rPr>
          <w:sz w:val="22"/>
          <w:szCs w:val="22"/>
          <w:highlight w:val="white"/>
        </w:rPr>
      </w:pPr>
      <w:r>
        <w:rPr>
          <w:sz w:val="22"/>
          <w:szCs w:val="22"/>
          <w:highlight w:val="white"/>
        </w:rPr>
      </w:r>
    </w:p>
    <w:p>
      <w:pPr>
        <w:pStyle w:val="normal1"/>
        <w:numPr>
          <w:ilvl w:val="2"/>
          <w:numId w:val="23"/>
        </w:numPr>
        <w:spacing w:lineRule="auto" w:line="276"/>
        <w:ind w:hanging="0" w:start="851"/>
        <w:jc w:val="both"/>
        <w:rPr>
          <w:sz w:val="22"/>
          <w:szCs w:val="22"/>
          <w:highlight w:val="white"/>
        </w:rPr>
      </w:pPr>
      <w:r>
        <w:rPr>
          <w:sz w:val="22"/>
          <w:szCs w:val="22"/>
          <w:highlight w:val="white"/>
        </w:rPr>
        <w:t>Em casos de evasão, acidente, intercorrência clínica grave e falecimento serão comunicados pela direção da contratada aos familiares, ou ao representante legal do usuário, bem como à Secretaria Municipal de Assistência Social, no prazo máximo de duas horas da data da ocorrência.</w:t>
      </w:r>
    </w:p>
    <w:p>
      <w:pPr>
        <w:pStyle w:val="normal1"/>
        <w:numPr>
          <w:ilvl w:val="2"/>
          <w:numId w:val="23"/>
        </w:numPr>
        <w:spacing w:lineRule="auto" w:line="276"/>
        <w:ind w:hanging="0" w:start="851"/>
        <w:jc w:val="both"/>
        <w:rPr>
          <w:sz w:val="22"/>
          <w:szCs w:val="22"/>
          <w:highlight w:val="white"/>
        </w:rPr>
      </w:pPr>
      <w:r>
        <w:rPr>
          <w:sz w:val="22"/>
          <w:szCs w:val="22"/>
          <w:highlight w:val="white"/>
        </w:rPr>
        <w:t>Serão realizadas vistorias a qualquer momento e no mínimo (trimestrais ou semestrais) pela Secretaria Municipal de Assistência Social de Florianópolis, nas instalações do estabelecimento, para a efetivação da contratação e sempre que necessário durante os processos de acolhimento, sem aviso prévio.</w:t>
      </w:r>
    </w:p>
    <w:p>
      <w:pPr>
        <w:pStyle w:val="normal1"/>
        <w:numPr>
          <w:ilvl w:val="2"/>
          <w:numId w:val="23"/>
        </w:numPr>
        <w:spacing w:lineRule="auto" w:line="276"/>
        <w:ind w:hanging="0" w:start="851"/>
        <w:jc w:val="both"/>
        <w:rPr>
          <w:sz w:val="22"/>
          <w:szCs w:val="22"/>
          <w:highlight w:val="white"/>
        </w:rPr>
      </w:pPr>
      <w:r>
        <w:rPr>
          <w:sz w:val="22"/>
          <w:szCs w:val="22"/>
          <w:highlight w:val="white"/>
        </w:rPr>
        <w:t>O faturamento dos serviços será realizado mensalmente, considerando a apuração da quantidade de diárias efetivamente realizadas no período, inclusive nos casos de acolhimentos que se estendam por mais de um mês, bem como o número de alimentações executadas. Os valores devidos serão calculados aplicando-se os preços unitários previamente definidos no credenciamento, conforme registrado neste termo de referência.</w:t>
      </w:r>
    </w:p>
    <w:p>
      <w:pPr>
        <w:pStyle w:val="normal1"/>
        <w:numPr>
          <w:ilvl w:val="2"/>
          <w:numId w:val="23"/>
        </w:numPr>
        <w:spacing w:lineRule="auto" w:line="276"/>
        <w:ind w:hanging="0" w:start="851"/>
        <w:jc w:val="both"/>
        <w:rPr>
          <w:sz w:val="22"/>
          <w:szCs w:val="22"/>
          <w:highlight w:val="white"/>
        </w:rPr>
      </w:pPr>
      <w:r>
        <w:rPr>
          <w:sz w:val="22"/>
          <w:szCs w:val="22"/>
          <w:highlight w:val="white"/>
        </w:rPr>
        <w:t>A contratada deverá assumir como seus todos os custos e despesas quanto aos seguintes materiais de consumo: Gêneros alimentícios; Gás de cozinha; Material de expediente; Uniformes; Manutenção e conservação de bens móveis e imóveis; Material de cama, mesa e banho; Material de copa e cozinha; Produtos de limpeza e higienização; Material de proteção e segurança, Equipamentos de Proteção Individual – EPI.</w:t>
      </w:r>
    </w:p>
    <w:p>
      <w:pPr>
        <w:pStyle w:val="normal1"/>
        <w:numPr>
          <w:ilvl w:val="2"/>
          <w:numId w:val="23"/>
        </w:numPr>
        <w:spacing w:lineRule="auto" w:line="276"/>
        <w:ind w:hanging="0" w:start="851"/>
        <w:jc w:val="both"/>
        <w:rPr>
          <w:sz w:val="22"/>
          <w:szCs w:val="22"/>
          <w:highlight w:val="white"/>
        </w:rPr>
      </w:pPr>
      <w:r>
        <w:rPr>
          <w:sz w:val="22"/>
          <w:szCs w:val="22"/>
          <w:highlight w:val="white"/>
        </w:rPr>
        <w:t>As acomodações deverão ser compatíveis com o número de acolhidos, seguindo normas vigentes</w:t>
      </w:r>
    </w:p>
    <w:p>
      <w:pPr>
        <w:pStyle w:val="normal1"/>
        <w:numPr>
          <w:ilvl w:val="2"/>
          <w:numId w:val="23"/>
        </w:numPr>
        <w:spacing w:lineRule="auto" w:line="276"/>
        <w:ind w:hanging="0" w:start="851"/>
        <w:jc w:val="both"/>
        <w:rPr>
          <w:sz w:val="22"/>
          <w:szCs w:val="22"/>
          <w:highlight w:val="white"/>
        </w:rPr>
      </w:pPr>
      <w:r>
        <w:rPr>
          <w:sz w:val="22"/>
          <w:szCs w:val="22"/>
          <w:highlight w:val="white"/>
        </w:rPr>
        <w:t>O usuário acolhido deverá ser tratado com humanidade e respeito.</w:t>
      </w:r>
    </w:p>
    <w:p>
      <w:pPr>
        <w:pStyle w:val="normal1"/>
        <w:numPr>
          <w:ilvl w:val="2"/>
          <w:numId w:val="23"/>
        </w:numPr>
        <w:spacing w:lineRule="auto" w:line="276"/>
        <w:ind w:hanging="0" w:start="851"/>
        <w:jc w:val="both"/>
        <w:rPr>
          <w:sz w:val="22"/>
          <w:szCs w:val="22"/>
          <w:highlight w:val="white"/>
        </w:rPr>
      </w:pPr>
      <w:r>
        <w:rPr>
          <w:sz w:val="22"/>
          <w:szCs w:val="22"/>
          <w:highlight w:val="white"/>
        </w:rPr>
        <w:t>É vedada a cobrança dos serviços não previstos neste termo de referência;</w:t>
      </w:r>
    </w:p>
    <w:p>
      <w:pPr>
        <w:pStyle w:val="normal1"/>
        <w:numPr>
          <w:ilvl w:val="2"/>
          <w:numId w:val="23"/>
        </w:numPr>
        <w:spacing w:lineRule="auto" w:line="276"/>
        <w:ind w:hanging="0" w:start="851"/>
        <w:jc w:val="both"/>
        <w:rPr>
          <w:sz w:val="22"/>
          <w:szCs w:val="22"/>
          <w:highlight w:val="white"/>
        </w:rPr>
      </w:pPr>
      <w:r>
        <w:rPr>
          <w:sz w:val="22"/>
          <w:szCs w:val="22"/>
          <w:highlight w:val="white"/>
        </w:rPr>
        <w:t>O usuário acolhido deverá receber as acomodações em bom estado de conservação, especialmente condições de asseio e higiene;</w:t>
      </w:r>
    </w:p>
    <w:p>
      <w:pPr>
        <w:pStyle w:val="normal1"/>
        <w:numPr>
          <w:ilvl w:val="2"/>
          <w:numId w:val="23"/>
        </w:numPr>
        <w:spacing w:lineRule="auto" w:line="276"/>
        <w:ind w:hanging="0" w:start="851"/>
        <w:jc w:val="both"/>
        <w:rPr>
          <w:sz w:val="22"/>
          <w:szCs w:val="22"/>
          <w:highlight w:val="white"/>
        </w:rPr>
      </w:pPr>
      <w:r>
        <w:rPr>
          <w:sz w:val="22"/>
          <w:szCs w:val="22"/>
          <w:highlight w:val="white"/>
        </w:rPr>
        <w:t>As instituições especializadas que optarem pelo credenciamento deverão ter estrutura física específica para o regime de hospedagem, minimamente nos termos especificados neste termo de referência.</w:t>
      </w:r>
    </w:p>
    <w:p>
      <w:pPr>
        <w:pStyle w:val="normal1"/>
        <w:spacing w:lineRule="auto" w:line="276"/>
        <w:ind w:hanging="0" w:start="1418"/>
        <w:jc w:val="both"/>
        <w:rPr>
          <w:sz w:val="22"/>
          <w:szCs w:val="22"/>
          <w:highlight w:val="white"/>
        </w:rPr>
      </w:pPr>
      <w:r>
        <w:rPr>
          <w:sz w:val="22"/>
          <w:szCs w:val="22"/>
          <w:highlight w:val="white"/>
        </w:rPr>
      </w:r>
    </w:p>
    <w:p>
      <w:pPr>
        <w:pStyle w:val="normal1"/>
        <w:spacing w:lineRule="auto" w:line="276"/>
        <w:ind w:hanging="0" w:start="1418"/>
        <w:jc w:val="both"/>
        <w:rPr>
          <w:sz w:val="22"/>
          <w:szCs w:val="22"/>
          <w:highlight w:val="white"/>
        </w:rPr>
      </w:pPr>
      <w:r>
        <w:rPr>
          <w:sz w:val="22"/>
          <w:szCs w:val="22"/>
          <w:highlight w:val="white"/>
        </w:rPr>
      </w:r>
    </w:p>
    <w:p>
      <w:pPr>
        <w:pStyle w:val="normal1"/>
        <w:spacing w:lineRule="auto" w:line="276"/>
        <w:ind w:hanging="0" w:start="851"/>
        <w:jc w:val="both"/>
        <w:rPr>
          <w:sz w:val="22"/>
          <w:szCs w:val="22"/>
          <w:highlight w:val="white"/>
        </w:rPr>
      </w:pPr>
      <w:r>
        <w:rPr>
          <w:sz w:val="22"/>
          <w:szCs w:val="22"/>
          <w:highlight w:val="white"/>
        </w:rPr>
      </w:r>
    </w:p>
    <w:p>
      <w:pPr>
        <w:pStyle w:val="normal1"/>
        <w:numPr>
          <w:ilvl w:val="1"/>
          <w:numId w:val="23"/>
        </w:numPr>
        <w:spacing w:lineRule="auto" w:line="276"/>
        <w:ind w:hanging="1000" w:start="1567"/>
        <w:jc w:val="both"/>
        <w:rPr>
          <w:b/>
          <w:sz w:val="22"/>
          <w:szCs w:val="22"/>
          <w:highlight w:val="white"/>
        </w:rPr>
      </w:pPr>
      <w:r>
        <w:rPr>
          <w:b/>
          <w:sz w:val="22"/>
          <w:szCs w:val="22"/>
          <w:highlight w:val="white"/>
        </w:rPr>
        <w:t>Dos recursos humanos mínimos</w:t>
      </w:r>
    </w:p>
    <w:p>
      <w:pPr>
        <w:pStyle w:val="normal1"/>
        <w:tabs>
          <w:tab w:val="clear" w:pos="720"/>
          <w:tab w:val="left" w:pos="851" w:leader="none"/>
          <w:tab w:val="left" w:pos="993" w:leader="none"/>
          <w:tab w:val="left" w:pos="1276" w:leader="none"/>
          <w:tab w:val="left" w:pos="1560" w:leader="none"/>
        </w:tabs>
        <w:spacing w:lineRule="auto" w:line="276"/>
        <w:ind w:hanging="0" w:start="567"/>
        <w:jc w:val="both"/>
        <w:rPr>
          <w:sz w:val="22"/>
          <w:szCs w:val="22"/>
          <w:highlight w:val="white"/>
        </w:rPr>
      </w:pPr>
      <w:r>
        <w:rPr>
          <w:sz w:val="22"/>
          <w:szCs w:val="22"/>
          <w:highlight w:val="white"/>
        </w:rPr>
      </w:r>
    </w:p>
    <w:p>
      <w:pPr>
        <w:pStyle w:val="normal1"/>
        <w:numPr>
          <w:ilvl w:val="2"/>
          <w:numId w:val="23"/>
        </w:numPr>
        <w:spacing w:lineRule="auto" w:line="276"/>
        <w:ind w:hanging="0" w:start="851"/>
        <w:jc w:val="both"/>
        <w:rPr>
          <w:sz w:val="22"/>
          <w:szCs w:val="22"/>
          <w:highlight w:val="white"/>
        </w:rPr>
      </w:pPr>
      <w:r>
        <w:rPr>
          <w:sz w:val="22"/>
          <w:szCs w:val="22"/>
          <w:highlight w:val="white"/>
        </w:rPr>
        <w:t>A contratada, para a execução dos serviços, deverá fornecer equipe de profissionais suficiente para o atendimento dos acolhidos, que deverão atuar de forma presencial com carga horária definida, no mínimo:</w:t>
      </w:r>
    </w:p>
    <w:p>
      <w:pPr>
        <w:pStyle w:val="normal1"/>
        <w:numPr>
          <w:ilvl w:val="3"/>
          <w:numId w:val="19"/>
        </w:numPr>
        <w:spacing w:lineRule="auto" w:line="276"/>
        <w:ind w:hanging="360" w:start="2552"/>
        <w:jc w:val="both"/>
        <w:rPr>
          <w:sz w:val="22"/>
          <w:szCs w:val="22"/>
          <w:highlight w:val="white"/>
        </w:rPr>
      </w:pPr>
      <w:r>
        <w:rPr>
          <w:sz w:val="22"/>
          <w:szCs w:val="22"/>
          <w:highlight w:val="white"/>
        </w:rPr>
        <w:t>Porteiro/Recepcionista 24h;</w:t>
      </w:r>
    </w:p>
    <w:p>
      <w:pPr>
        <w:pStyle w:val="normal1"/>
        <w:numPr>
          <w:ilvl w:val="3"/>
          <w:numId w:val="19"/>
        </w:numPr>
        <w:spacing w:lineRule="auto" w:line="276"/>
        <w:ind w:hanging="360" w:start="2552"/>
        <w:jc w:val="both"/>
        <w:rPr>
          <w:sz w:val="22"/>
          <w:szCs w:val="22"/>
          <w:highlight w:val="white"/>
        </w:rPr>
      </w:pPr>
      <w:r>
        <w:rPr>
          <w:sz w:val="22"/>
          <w:szCs w:val="22"/>
          <w:highlight w:val="white"/>
        </w:rPr>
        <w:t>Camareira/Auxiliar de Serviços Gerais;</w:t>
      </w:r>
    </w:p>
    <w:p>
      <w:pPr>
        <w:pStyle w:val="normal1"/>
        <w:numPr>
          <w:ilvl w:val="3"/>
          <w:numId w:val="19"/>
        </w:numPr>
        <w:spacing w:lineRule="auto" w:line="276"/>
        <w:ind w:hanging="360" w:start="2552"/>
        <w:jc w:val="both"/>
        <w:rPr>
          <w:sz w:val="22"/>
          <w:szCs w:val="22"/>
          <w:highlight w:val="white"/>
        </w:rPr>
      </w:pPr>
      <w:r>
        <w:rPr>
          <w:sz w:val="22"/>
          <w:szCs w:val="22"/>
          <w:highlight w:val="white"/>
        </w:rPr>
        <w:t>Cozinheira/Copeira;</w:t>
      </w:r>
    </w:p>
    <w:p>
      <w:pPr>
        <w:pStyle w:val="normal1"/>
        <w:numPr>
          <w:ilvl w:val="3"/>
          <w:numId w:val="19"/>
        </w:numPr>
        <w:spacing w:lineRule="auto" w:line="276"/>
        <w:ind w:hanging="360" w:start="2552"/>
        <w:jc w:val="both"/>
        <w:rPr>
          <w:sz w:val="22"/>
          <w:szCs w:val="22"/>
          <w:highlight w:val="white"/>
        </w:rPr>
      </w:pPr>
      <w:r>
        <w:rPr>
          <w:sz w:val="22"/>
          <w:szCs w:val="22"/>
          <w:highlight w:val="white"/>
        </w:rPr>
        <w:t>Pessoa Responsável pelo Gerenciamento.</w:t>
      </w:r>
    </w:p>
    <w:p>
      <w:pPr>
        <w:pStyle w:val="normal1"/>
        <w:tabs>
          <w:tab w:val="clear" w:pos="720"/>
          <w:tab w:val="left" w:pos="851" w:leader="none"/>
          <w:tab w:val="left" w:pos="993" w:leader="none"/>
          <w:tab w:val="left" w:pos="1276" w:leader="none"/>
          <w:tab w:val="left" w:pos="1560" w:leader="none"/>
        </w:tabs>
        <w:spacing w:lineRule="auto" w:line="276"/>
        <w:ind w:hanging="0" w:start="567"/>
        <w:jc w:val="both"/>
        <w:rPr>
          <w:sz w:val="22"/>
          <w:szCs w:val="22"/>
          <w:highlight w:val="white"/>
        </w:rPr>
      </w:pPr>
      <w:r>
        <w:rPr>
          <w:sz w:val="22"/>
          <w:szCs w:val="22"/>
          <w:highlight w:val="white"/>
        </w:rPr>
      </w:r>
    </w:p>
    <w:p>
      <w:pPr>
        <w:pStyle w:val="normal1"/>
        <w:numPr>
          <w:ilvl w:val="0"/>
          <w:numId w:val="23"/>
        </w:numPr>
        <w:spacing w:lineRule="auto" w:line="276"/>
        <w:ind w:hanging="360" w:start="360"/>
        <w:jc w:val="both"/>
        <w:rPr>
          <w:b/>
          <w:sz w:val="22"/>
          <w:szCs w:val="22"/>
          <w:highlight w:val="white"/>
        </w:rPr>
      </w:pPr>
      <w:r>
        <w:rPr>
          <w:b/>
          <w:sz w:val="22"/>
          <w:szCs w:val="22"/>
          <w:highlight w:val="white"/>
        </w:rPr>
        <w:t>DA JUSTIFICATIVA</w:t>
      </w:r>
    </w:p>
    <w:p>
      <w:pPr>
        <w:pStyle w:val="normal1"/>
        <w:spacing w:lineRule="auto" w:line="276"/>
        <w:ind w:firstLine="709"/>
        <w:jc w:val="both"/>
        <w:rPr>
          <w:sz w:val="22"/>
          <w:szCs w:val="22"/>
          <w:highlight w:val="white"/>
        </w:rPr>
      </w:pPr>
      <w:r>
        <w:rPr>
          <w:sz w:val="22"/>
          <w:szCs w:val="22"/>
          <w:highlight w:val="white"/>
        </w:rPr>
        <w:t>A Secretaria Municipal de Assistência Social necessita estabelecer contrato com empresa especializada no serviço de hospedagem, para acolher indivíduos e/ou famílias que apresentam demandas de urgência e emergência, mas que não se enquadram nos critérios para acolhimento nos equipamentos já existentes na rede socioassistencial do município.</w:t>
      </w:r>
    </w:p>
    <w:p>
      <w:pPr>
        <w:pStyle w:val="normal1"/>
        <w:spacing w:lineRule="auto" w:line="276"/>
        <w:ind w:firstLine="709"/>
        <w:jc w:val="both"/>
        <w:rPr>
          <w:sz w:val="22"/>
          <w:szCs w:val="22"/>
          <w:highlight w:val="white"/>
        </w:rPr>
      </w:pPr>
      <w:r>
        <w:rPr>
          <w:sz w:val="22"/>
          <w:szCs w:val="22"/>
          <w:highlight w:val="white"/>
        </w:rPr>
        <w:t>Desta forma, a SEMAS estipulou critérios mais adiante descritos com o intuito de facilitar o deslocamento das equipes ao atendimento das situações de emergência e catástrofes, foram priorizadas as vantagens logísticas para o pronto-emprego dos recursos humanos disponíveis, importando destacar que a gerência de emergências e catástrofes centraliza suas atividades no edifício sede desta secretaria. O mesmo também ocorre com o setor de gestão de contratos, que é importante para emissão das autorizações de hospedagem.</w:t>
      </w:r>
    </w:p>
    <w:p>
      <w:pPr>
        <w:pStyle w:val="normal1"/>
        <w:ind w:firstLine="850"/>
        <w:jc w:val="both"/>
        <w:rPr>
          <w:sz w:val="22"/>
          <w:szCs w:val="22"/>
        </w:rPr>
      </w:pPr>
      <w:r>
        <w:rPr>
          <w:sz w:val="22"/>
          <w:szCs w:val="22"/>
        </w:rPr>
        <w:t>Diante disso sugerem-se os seguintes critérios para ordem inicial do rodízio:</w:t>
      </w:r>
    </w:p>
    <w:p>
      <w:pPr>
        <w:pStyle w:val="normal1"/>
        <w:ind w:firstLine="850"/>
        <w:jc w:val="both"/>
        <w:rPr>
          <w:sz w:val="22"/>
          <w:szCs w:val="22"/>
        </w:rPr>
      </w:pPr>
      <w:r>
        <w:rPr>
          <w:sz w:val="22"/>
          <w:szCs w:val="22"/>
        </w:rPr>
        <w:t xml:space="preserve">1º Critério: Menor de distância em linha reta a partir do Terminal de Integração do Centro – TICEN, utilizando como parâmetro a ferramenta Google maps; </w:t>
      </w:r>
    </w:p>
    <w:p>
      <w:pPr>
        <w:pStyle w:val="normal1"/>
        <w:ind w:firstLine="850"/>
        <w:jc w:val="both"/>
        <w:rPr>
          <w:sz w:val="22"/>
          <w:szCs w:val="22"/>
        </w:rPr>
      </w:pPr>
      <w:r>
        <w:rPr>
          <w:sz w:val="22"/>
          <w:szCs w:val="22"/>
        </w:rPr>
        <w:t xml:space="preserve">2º Critério: ordem de recebimento das propostas dos credenciados; </w:t>
      </w:r>
    </w:p>
    <w:p>
      <w:pPr>
        <w:pStyle w:val="normal1"/>
        <w:ind w:firstLine="850"/>
        <w:jc w:val="both"/>
        <w:rPr>
          <w:sz w:val="22"/>
          <w:szCs w:val="22"/>
        </w:rPr>
      </w:pPr>
      <w:r>
        <w:rPr>
          <w:sz w:val="22"/>
          <w:szCs w:val="22"/>
        </w:rPr>
      </w:r>
    </w:p>
    <w:p>
      <w:pPr>
        <w:pStyle w:val="normal1"/>
        <w:ind w:firstLine="850"/>
        <w:jc w:val="both"/>
        <w:rPr>
          <w:sz w:val="22"/>
          <w:szCs w:val="22"/>
        </w:rPr>
      </w:pPr>
      <w:r>
        <w:rPr>
          <w:sz w:val="22"/>
          <w:szCs w:val="22"/>
        </w:rPr>
        <w:t>A proximidade do edifício sede gera ainda a vantagem logística necessária a fiscalização efetiva da pretensa contratação, inclusive reduzindo o eventual custo de manutenção e combustível dos veículos da frota desta secretaria.</w:t>
      </w:r>
    </w:p>
    <w:p>
      <w:pPr>
        <w:pStyle w:val="normal1"/>
        <w:ind w:firstLine="850"/>
        <w:jc w:val="both"/>
        <w:rPr>
          <w:sz w:val="22"/>
          <w:szCs w:val="22"/>
        </w:rPr>
      </w:pPr>
      <w:r>
        <w:rPr>
          <w:sz w:val="22"/>
          <w:szCs w:val="22"/>
        </w:rPr>
        <w:t>Os critérios descritos são balizadores para que os indivíduos e suas famílias possam buscar outros serviços públicos, e como é de amplo conhecimento, a região central conta com elevado número de repartições públicas, cartórios, bem como outros serviços.</w:t>
      </w:r>
    </w:p>
    <w:p>
      <w:pPr>
        <w:pStyle w:val="normal1"/>
        <w:ind w:firstLine="850"/>
        <w:jc w:val="both"/>
        <w:rPr>
          <w:sz w:val="22"/>
          <w:szCs w:val="22"/>
        </w:rPr>
      </w:pPr>
      <w:r>
        <w:rPr>
          <w:sz w:val="22"/>
          <w:szCs w:val="22"/>
        </w:rPr>
        <w:t>Em situações adversas, os equipamentos da rede de proteção social como a passarela da cidadania, podem ser utilizados como ponto de apoio, por exemplo, a lavação das roupas dos indivíduos e seus familiares.</w:t>
      </w:r>
    </w:p>
    <w:p>
      <w:pPr>
        <w:pStyle w:val="normal1"/>
        <w:ind w:firstLine="850"/>
        <w:jc w:val="both"/>
        <w:rPr>
          <w:sz w:val="22"/>
          <w:szCs w:val="22"/>
        </w:rPr>
      </w:pPr>
      <w:r>
        <w:rPr>
          <w:sz w:val="22"/>
          <w:szCs w:val="22"/>
        </w:rPr>
        <w:t>A justificativa para escolha do critério de distribuição na demanda se dá pelo fato da maior facilidade de deslocamento do público alvo para os diversos equipamentos da SEMAS. Da mesma forma, a proximidade ao terminal busca garantir às pessoas em situação de vulnerabilidade o deslocamento rápido dentro de Florianópolis e cidades limítrofes, se for o caso.</w:t>
      </w:r>
    </w:p>
    <w:p>
      <w:pPr>
        <w:pStyle w:val="normal1"/>
        <w:ind w:firstLine="850"/>
        <w:jc w:val="both"/>
        <w:rPr>
          <w:sz w:val="22"/>
          <w:szCs w:val="22"/>
        </w:rPr>
      </w:pPr>
      <w:r>
        <w:rPr>
          <w:sz w:val="22"/>
          <w:szCs w:val="22"/>
        </w:rPr>
        <w:t>Ou seja, vislumbram-se vantagens para a Administração e para os usuários, satisfazendo-se o interesse público.</w:t>
      </w:r>
    </w:p>
    <w:p>
      <w:pPr>
        <w:pStyle w:val="normal1"/>
        <w:ind w:firstLine="850"/>
        <w:jc w:val="both"/>
        <w:rPr>
          <w:sz w:val="22"/>
          <w:szCs w:val="22"/>
        </w:rPr>
      </w:pPr>
      <w:r>
        <w:rPr>
          <w:sz w:val="22"/>
          <w:szCs w:val="22"/>
        </w:rPr>
        <w:t>Na mesma toada, que observada à ordem do credenciamento, o rodízio seja realizado a cada autorização de fornecimento (AF), a qual a constará a relação da composição familiar priorizando a acomodação de todos os integrantes da mesma família em tantos quartos quanto forem necessários a manutenção do arranjo familiar.</w:t>
      </w:r>
    </w:p>
    <w:p>
      <w:pPr>
        <w:pStyle w:val="normal1"/>
        <w:spacing w:lineRule="auto" w:line="276"/>
        <w:ind w:firstLine="567"/>
        <w:jc w:val="both"/>
        <w:rPr>
          <w:sz w:val="22"/>
          <w:szCs w:val="22"/>
          <w:highlight w:val="white"/>
        </w:rPr>
      </w:pPr>
      <w:r>
        <w:rPr>
          <w:sz w:val="22"/>
          <w:szCs w:val="22"/>
          <w:highlight w:val="white"/>
        </w:rPr>
      </w:r>
    </w:p>
    <w:p>
      <w:pPr>
        <w:pStyle w:val="normal1"/>
        <w:numPr>
          <w:ilvl w:val="2"/>
          <w:numId w:val="23"/>
        </w:numPr>
        <w:spacing w:lineRule="auto" w:line="276"/>
        <w:ind w:hanging="0" w:start="851"/>
        <w:jc w:val="both"/>
        <w:rPr>
          <w:sz w:val="22"/>
          <w:szCs w:val="22"/>
          <w:highlight w:val="white"/>
        </w:rPr>
      </w:pPr>
      <w:r>
        <w:rPr>
          <w:sz w:val="22"/>
          <w:szCs w:val="22"/>
          <w:highlight w:val="white"/>
        </w:rPr>
        <w:t>Os indivíduos e/ou famílias ficarão acolhidos no serviço de hospedagem por situações de calamidades, catástrofes naturais, risco social e por motivo de frio intenso, quando não houver possibilidade de permanência junto a outros familiares e/ou pessoas da comunidade que possam oferecer abrigo.</w:t>
      </w:r>
    </w:p>
    <w:p>
      <w:pPr>
        <w:pStyle w:val="normal1"/>
        <w:numPr>
          <w:ilvl w:val="2"/>
          <w:numId w:val="23"/>
        </w:numPr>
        <w:spacing w:lineRule="auto" w:line="276"/>
        <w:ind w:hanging="0" w:start="851"/>
        <w:jc w:val="both"/>
        <w:rPr>
          <w:sz w:val="22"/>
          <w:szCs w:val="22"/>
          <w:highlight w:val="white"/>
        </w:rPr>
      </w:pPr>
      <w:r>
        <w:rPr>
          <w:sz w:val="22"/>
          <w:szCs w:val="22"/>
          <w:highlight w:val="white"/>
        </w:rPr>
        <w:t>A hospedagem dos indivíduos e/ou famílias será provisória, com período já pré-estabelecido, para que se organizem e encontrem outro local para permanecerem, ou, até que os serviços de acolhimento da rede municipal possam recebê-los.</w:t>
      </w:r>
    </w:p>
    <w:p>
      <w:pPr>
        <w:pStyle w:val="normal1"/>
        <w:numPr>
          <w:ilvl w:val="2"/>
          <w:numId w:val="23"/>
        </w:numPr>
        <w:spacing w:lineRule="auto" w:line="276"/>
        <w:ind w:hanging="0" w:start="851"/>
        <w:jc w:val="both"/>
        <w:rPr>
          <w:sz w:val="22"/>
          <w:szCs w:val="22"/>
          <w:highlight w:val="white"/>
        </w:rPr>
      </w:pPr>
      <w:r>
        <w:rPr>
          <w:sz w:val="22"/>
          <w:szCs w:val="22"/>
          <w:highlight w:val="white"/>
        </w:rPr>
        <w:t>Com o fim do decreto governamental de calamidade pela Covid-19, não ocorrerão mais encaminhamentos de hospedagem para isolamento. No entanto, havendo novo decreto de calamidade, este serviço poderá novamente servir como acolhimento temporário de famílias e/ou indivíduos.</w:t>
      </w:r>
    </w:p>
    <w:p>
      <w:pPr>
        <w:pStyle w:val="normal1"/>
        <w:numPr>
          <w:ilvl w:val="2"/>
          <w:numId w:val="23"/>
        </w:numPr>
        <w:spacing w:lineRule="auto" w:line="276"/>
        <w:ind w:hanging="0" w:start="851"/>
        <w:jc w:val="both"/>
        <w:rPr>
          <w:sz w:val="22"/>
          <w:szCs w:val="22"/>
          <w:highlight w:val="white"/>
        </w:rPr>
      </w:pPr>
      <w:r>
        <w:rPr>
          <w:sz w:val="22"/>
          <w:szCs w:val="22"/>
          <w:highlight w:val="white"/>
        </w:rPr>
        <w:t>Ainda, cabe destacar que nas situações de interdição temporária de moradias, a Defesa Civil do município solicitará o acolhimento social para indivíduos e/ou famílias.</w:t>
      </w:r>
    </w:p>
    <w:p>
      <w:pPr>
        <w:pStyle w:val="normal1"/>
        <w:numPr>
          <w:ilvl w:val="2"/>
          <w:numId w:val="23"/>
        </w:numPr>
        <w:spacing w:lineRule="auto" w:line="276"/>
        <w:ind w:hanging="0" w:start="851"/>
        <w:jc w:val="both"/>
        <w:rPr>
          <w:sz w:val="22"/>
          <w:szCs w:val="22"/>
          <w:highlight w:val="white"/>
        </w:rPr>
      </w:pPr>
      <w:r>
        <w:rPr>
          <w:sz w:val="22"/>
          <w:szCs w:val="22"/>
          <w:highlight w:val="white"/>
        </w:rPr>
        <w:t>Dessa forma, quando há necessidade, são realizados encaminhamentos ao serviço de hospedagem, até que o serviço público realize os encaminhamentos necessários, considerando a especificidade de cada caso.</w:t>
      </w:r>
    </w:p>
    <w:p>
      <w:pPr>
        <w:pStyle w:val="normal1"/>
        <w:numPr>
          <w:ilvl w:val="2"/>
          <w:numId w:val="23"/>
        </w:numPr>
        <w:spacing w:lineRule="auto" w:line="276"/>
        <w:ind w:hanging="0" w:start="851"/>
        <w:jc w:val="both"/>
        <w:rPr>
          <w:sz w:val="22"/>
          <w:szCs w:val="22"/>
          <w:highlight w:val="white"/>
        </w:rPr>
      </w:pPr>
      <w:r>
        <w:rPr>
          <w:sz w:val="22"/>
          <w:szCs w:val="22"/>
          <w:highlight w:val="white"/>
        </w:rPr>
        <w:t>As hospedagens de famílias e/ou indivíduos em risco social, que necessitam de acolhimento emergencial provisório, serão realizadas a partir da avaliação e encaminhamento das equipes técnicas dos serviços, quando esgotadas as possibilidades de acolhimento junto aos equipamentos da Alta Complexidade.</w:t>
      </w:r>
    </w:p>
    <w:p>
      <w:pPr>
        <w:pStyle w:val="normal1"/>
        <w:numPr>
          <w:ilvl w:val="2"/>
          <w:numId w:val="23"/>
        </w:numPr>
        <w:spacing w:lineRule="auto" w:line="276"/>
        <w:ind w:hanging="0" w:start="851"/>
        <w:jc w:val="both"/>
        <w:rPr>
          <w:sz w:val="22"/>
          <w:szCs w:val="22"/>
          <w:highlight w:val="white"/>
        </w:rPr>
      </w:pPr>
      <w:r>
        <w:rPr>
          <w:sz w:val="22"/>
          <w:szCs w:val="22"/>
          <w:highlight w:val="white"/>
        </w:rPr>
        <w:t>As equipes técnicas que realizarem os encaminhamentos serão as responsáveis pelo acompanhamento destes indivíduos e/ou famílias, afim de que realizem as articulações necessárias para que sejam desligados de acordo com o prazo pré estabelecido.</w:t>
      </w:r>
    </w:p>
    <w:p>
      <w:pPr>
        <w:pStyle w:val="normal1"/>
        <w:tabs>
          <w:tab w:val="clear" w:pos="720"/>
          <w:tab w:val="left" w:pos="851" w:leader="none"/>
          <w:tab w:val="left" w:pos="993" w:leader="none"/>
          <w:tab w:val="left" w:pos="1276" w:leader="none"/>
          <w:tab w:val="left" w:pos="1560" w:leader="none"/>
        </w:tabs>
        <w:spacing w:lineRule="auto" w:line="276"/>
        <w:ind w:hanging="0" w:start="567"/>
        <w:jc w:val="both"/>
        <w:rPr>
          <w:sz w:val="22"/>
          <w:szCs w:val="22"/>
          <w:highlight w:val="white"/>
        </w:rPr>
      </w:pPr>
      <w:r>
        <w:rPr>
          <w:sz w:val="22"/>
          <w:szCs w:val="22"/>
          <w:highlight w:val="white"/>
        </w:rPr>
      </w:r>
    </w:p>
    <w:p>
      <w:pPr>
        <w:pStyle w:val="normal1"/>
        <w:numPr>
          <w:ilvl w:val="0"/>
          <w:numId w:val="23"/>
        </w:numPr>
        <w:spacing w:lineRule="auto" w:line="276"/>
        <w:ind w:hanging="360" w:start="360"/>
        <w:jc w:val="both"/>
        <w:rPr>
          <w:b/>
          <w:sz w:val="22"/>
          <w:szCs w:val="22"/>
          <w:highlight w:val="white"/>
        </w:rPr>
      </w:pPr>
      <w:r>
        <w:rPr>
          <w:b/>
          <w:sz w:val="22"/>
          <w:szCs w:val="22"/>
          <w:highlight w:val="white"/>
        </w:rPr>
        <w:t>DAS HIPÓTESES DE CREDENCIAMENTO</w:t>
      </w:r>
    </w:p>
    <w:p>
      <w:pPr>
        <w:pStyle w:val="normal1"/>
        <w:spacing w:lineRule="auto" w:line="276"/>
        <w:ind w:firstLine="567"/>
        <w:jc w:val="both"/>
        <w:rPr>
          <w:sz w:val="22"/>
          <w:szCs w:val="22"/>
          <w:highlight w:val="white"/>
        </w:rPr>
      </w:pPr>
      <w:r>
        <w:rPr>
          <w:sz w:val="22"/>
          <w:szCs w:val="22"/>
          <w:highlight w:val="white"/>
        </w:rPr>
        <w:t>Conforme art. 79 da Lei 14133/2021, o credenciamento ocorrerá na seguinte hipótese de contratação:</w:t>
      </w:r>
    </w:p>
    <w:p>
      <w:pPr>
        <w:pStyle w:val="normal1"/>
        <w:spacing w:lineRule="auto" w:line="276"/>
        <w:ind w:hanging="0" w:start="2268"/>
        <w:jc w:val="both"/>
        <w:rPr>
          <w:sz w:val="22"/>
          <w:szCs w:val="22"/>
          <w:highlight w:val="white"/>
        </w:rPr>
      </w:pPr>
      <w:r>
        <w:rPr>
          <w:sz w:val="22"/>
          <w:szCs w:val="22"/>
          <w:highlight w:val="white"/>
        </w:rPr>
        <w:t>I - paralela e não excludente: caso em que é viável e vantajosa para a administração pública a realização de contratações simultâneas em condições padronizadas;</w:t>
      </w:r>
    </w:p>
    <w:p>
      <w:pPr>
        <w:pStyle w:val="normal1"/>
        <w:spacing w:lineRule="auto" w:line="276"/>
        <w:ind w:firstLine="567"/>
        <w:jc w:val="both"/>
        <w:rPr>
          <w:sz w:val="22"/>
          <w:szCs w:val="22"/>
          <w:highlight w:val="white"/>
        </w:rPr>
      </w:pPr>
      <w:r>
        <w:rPr>
          <w:sz w:val="22"/>
          <w:szCs w:val="22"/>
          <w:highlight w:val="white"/>
        </w:rPr>
      </w:r>
    </w:p>
    <w:p>
      <w:pPr>
        <w:pStyle w:val="normal1"/>
        <w:numPr>
          <w:ilvl w:val="0"/>
          <w:numId w:val="23"/>
        </w:numPr>
        <w:spacing w:lineRule="auto" w:line="276"/>
        <w:ind w:hanging="360" w:start="360"/>
        <w:jc w:val="both"/>
        <w:rPr>
          <w:b/>
          <w:sz w:val="22"/>
          <w:szCs w:val="22"/>
          <w:highlight w:val="white"/>
        </w:rPr>
      </w:pPr>
      <w:r>
        <w:rPr>
          <w:b/>
          <w:sz w:val="22"/>
          <w:szCs w:val="22"/>
          <w:highlight w:val="white"/>
        </w:rPr>
        <w:t>DA PARTICIPAÇÃO NO CREDENCIAMENTO</w:t>
      </w:r>
    </w:p>
    <w:p>
      <w:pPr>
        <w:pStyle w:val="normal1"/>
        <w:numPr>
          <w:ilvl w:val="1"/>
          <w:numId w:val="23"/>
        </w:numPr>
        <w:spacing w:lineRule="auto" w:line="276"/>
        <w:ind w:hanging="1000" w:start="1567"/>
        <w:jc w:val="both"/>
        <w:rPr>
          <w:b/>
          <w:sz w:val="22"/>
          <w:szCs w:val="22"/>
          <w:highlight w:val="white"/>
        </w:rPr>
      </w:pPr>
      <w:r>
        <w:rPr>
          <w:b/>
          <w:sz w:val="22"/>
          <w:szCs w:val="22"/>
          <w:highlight w:val="white"/>
        </w:rPr>
        <w:t>Não poderão participar deste credenciamento:</w:t>
      </w:r>
    </w:p>
    <w:p>
      <w:pPr>
        <w:pStyle w:val="normal1"/>
        <w:numPr>
          <w:ilvl w:val="0"/>
          <w:numId w:val="25"/>
        </w:numPr>
        <w:spacing w:lineRule="auto" w:line="276"/>
        <w:ind w:firstLine="131"/>
        <w:jc w:val="both"/>
        <w:rPr>
          <w:sz w:val="22"/>
          <w:szCs w:val="22"/>
          <w:highlight w:val="white"/>
        </w:rPr>
      </w:pPr>
      <w:r>
        <w:rPr>
          <w:sz w:val="22"/>
          <w:szCs w:val="22"/>
          <w:highlight w:val="white"/>
        </w:rPr>
        <w:t xml:space="preserve">Aquele que não atenda às condições deste termo de referência e seu(s) anexo(s); </w:t>
      </w:r>
    </w:p>
    <w:p>
      <w:pPr>
        <w:pStyle w:val="normal1"/>
        <w:numPr>
          <w:ilvl w:val="0"/>
          <w:numId w:val="25"/>
        </w:numPr>
        <w:spacing w:lineRule="auto" w:line="276"/>
        <w:ind w:firstLine="131"/>
        <w:jc w:val="both"/>
        <w:rPr>
          <w:sz w:val="22"/>
          <w:szCs w:val="22"/>
          <w:highlight w:val="white"/>
        </w:rPr>
      </w:pPr>
      <w:r>
        <w:rPr>
          <w:sz w:val="22"/>
          <w:szCs w:val="22"/>
          <w:highlight w:val="white"/>
        </w:rPr>
        <w:t xml:space="preserve">Pessoa física e jurídica que se encontre, ao tempo do credenciamento, impossibilitada de participar do credenciamento em decorrência de sanção que lhe foi imposta; </w:t>
      </w:r>
    </w:p>
    <w:p>
      <w:pPr>
        <w:pStyle w:val="normal1"/>
        <w:numPr>
          <w:ilvl w:val="0"/>
          <w:numId w:val="25"/>
        </w:numPr>
        <w:spacing w:lineRule="auto" w:line="276"/>
        <w:ind w:firstLine="131"/>
        <w:jc w:val="both"/>
        <w:rPr>
          <w:sz w:val="22"/>
          <w:szCs w:val="22"/>
          <w:highlight w:val="white"/>
        </w:rPr>
      </w:pPr>
      <w:r>
        <w:rPr>
          <w:sz w:val="22"/>
          <w:szCs w:val="22"/>
          <w:highlight w:val="white"/>
        </w:rPr>
        <w:t xml:space="preserve">Aquele que mantenha vínculo de natureza técnica, comercial, econômica, financeira, trabalhista ou civil com dirigente do órgão ou entidade credenciante ou com agente público que desempenhe função nas compras públicas municipais ou atue na fiscalização ou na gestão do contrato, ou que deles seja cônjuge, companheiro ou parente em linha reta, colateral ou por afinidade, até o terceiro grau; </w:t>
      </w:r>
    </w:p>
    <w:p>
      <w:pPr>
        <w:pStyle w:val="normal1"/>
        <w:numPr>
          <w:ilvl w:val="0"/>
          <w:numId w:val="25"/>
        </w:numPr>
        <w:spacing w:lineRule="auto" w:line="276"/>
        <w:ind w:firstLine="131"/>
        <w:jc w:val="both"/>
        <w:rPr>
          <w:sz w:val="22"/>
          <w:szCs w:val="22"/>
          <w:highlight w:val="white"/>
        </w:rPr>
      </w:pPr>
      <w:r>
        <w:rPr>
          <w:sz w:val="22"/>
          <w:szCs w:val="22"/>
          <w:highlight w:val="white"/>
        </w:rPr>
        <w:t xml:space="preserve">Não poderá participar, direta ou indiretamente, agente público do órgão ou entidade credenciante, devendo ser observadas as situações que possam configurar conflito de interesses no exercício ou após o exercício do cargo ou emprego, nos termos da legislação que disciplina a matéria, conforme § 1º do art. 9º da Lei nº 14.133, de 2021. </w:t>
      </w:r>
    </w:p>
    <w:p>
      <w:pPr>
        <w:pStyle w:val="normal1"/>
        <w:numPr>
          <w:ilvl w:val="0"/>
          <w:numId w:val="25"/>
        </w:numPr>
        <w:spacing w:lineRule="auto" w:line="276"/>
        <w:ind w:firstLine="131"/>
        <w:jc w:val="both"/>
        <w:rPr>
          <w:sz w:val="22"/>
          <w:szCs w:val="22"/>
          <w:highlight w:val="white"/>
        </w:rPr>
      </w:pPr>
      <w:r>
        <w:rPr>
          <w:sz w:val="22"/>
          <w:szCs w:val="22"/>
          <w:highlight w:val="white"/>
        </w:rPr>
        <w:t xml:space="preserve">O impedimento de que trata o item IV será também aplicado ao interessado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interessado. </w:t>
      </w:r>
    </w:p>
    <w:p>
      <w:pPr>
        <w:pStyle w:val="normal1"/>
        <w:numPr>
          <w:ilvl w:val="0"/>
          <w:numId w:val="25"/>
        </w:numPr>
        <w:spacing w:lineRule="auto" w:line="276"/>
        <w:ind w:firstLine="131"/>
        <w:jc w:val="both"/>
        <w:rPr>
          <w:sz w:val="22"/>
          <w:szCs w:val="22"/>
          <w:highlight w:val="white"/>
        </w:rPr>
      </w:pPr>
      <w:r>
        <w:rPr>
          <w:sz w:val="22"/>
          <w:szCs w:val="22"/>
          <w:highlight w:val="white"/>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pPr>
        <w:pStyle w:val="normal1"/>
        <w:numPr>
          <w:ilvl w:val="0"/>
          <w:numId w:val="25"/>
        </w:numPr>
        <w:spacing w:lineRule="auto" w:line="276"/>
        <w:ind w:firstLine="131"/>
        <w:jc w:val="both"/>
        <w:rPr>
          <w:sz w:val="22"/>
          <w:szCs w:val="22"/>
          <w:highlight w:val="white"/>
        </w:rPr>
      </w:pPr>
      <w:r>
        <w:rPr>
          <w:sz w:val="22"/>
          <w:szCs w:val="22"/>
          <w:highlight w:val="white"/>
        </w:rPr>
        <w:t>A vedação de que trata o item V estende-se a terceiro que auxilia a condução da contratação na qualidade de integrante de equipe de apoio, profissional especializado ou funcionário ou representante de empresa que preste assessoria técnica.</w:t>
      </w:r>
    </w:p>
    <w:p>
      <w:pPr>
        <w:pStyle w:val="normal1"/>
        <w:tabs>
          <w:tab w:val="clear" w:pos="720"/>
          <w:tab w:val="left" w:pos="851" w:leader="none"/>
          <w:tab w:val="left" w:pos="993" w:leader="none"/>
          <w:tab w:val="left" w:pos="1276" w:leader="none"/>
          <w:tab w:val="left" w:pos="1560" w:leader="none"/>
          <w:tab w:val="left" w:pos="1843" w:leader="none"/>
        </w:tabs>
        <w:spacing w:lineRule="auto" w:line="276"/>
        <w:jc w:val="both"/>
        <w:rPr>
          <w:sz w:val="22"/>
          <w:szCs w:val="22"/>
          <w:highlight w:val="white"/>
        </w:rPr>
      </w:pPr>
      <w:r>
        <w:rPr>
          <w:sz w:val="22"/>
          <w:szCs w:val="22"/>
          <w:highlight w:val="white"/>
        </w:rPr>
      </w:r>
    </w:p>
    <w:p>
      <w:pPr>
        <w:pStyle w:val="normal1"/>
        <w:numPr>
          <w:ilvl w:val="0"/>
          <w:numId w:val="23"/>
        </w:numPr>
        <w:spacing w:lineRule="auto" w:line="276"/>
        <w:ind w:hanging="360" w:start="360"/>
        <w:jc w:val="both"/>
        <w:rPr>
          <w:b/>
          <w:sz w:val="22"/>
          <w:szCs w:val="22"/>
          <w:highlight w:val="white"/>
        </w:rPr>
      </w:pPr>
      <w:r>
        <w:rPr>
          <w:b/>
          <w:sz w:val="22"/>
          <w:szCs w:val="22"/>
          <w:highlight w:val="white"/>
        </w:rPr>
        <w:t>DOS REQUISITOS DO CREDENCIAMENTO</w:t>
      </w:r>
    </w:p>
    <w:p>
      <w:pPr>
        <w:pStyle w:val="normal1"/>
        <w:spacing w:lineRule="auto" w:line="276"/>
        <w:ind w:firstLine="567"/>
        <w:jc w:val="both"/>
        <w:rPr>
          <w:sz w:val="22"/>
          <w:szCs w:val="22"/>
          <w:highlight w:val="white"/>
        </w:rPr>
      </w:pPr>
      <w:r>
        <w:rPr>
          <w:sz w:val="22"/>
          <w:szCs w:val="22"/>
          <w:highlight w:val="white"/>
        </w:rPr>
        <w:t xml:space="preserve">O requerimento de credenciamento e os documentos necessários à habilitação deverão ser encaminhados à SECRETARIA MUNICIPAL DE LICITAÇÃO, CONTRATOS E PARCERIAS - SMLCP, pelo e-mail </w:t>
      </w:r>
      <w:hyperlink r:id="rId12">
        <w:r>
          <w:rPr>
            <w:rStyle w:val="Style3"/>
            <w:sz w:val="22"/>
            <w:szCs w:val="22"/>
            <w:highlight w:val="white"/>
            <w:u w:val="single"/>
          </w:rPr>
          <w:t>gerencialicitacao@pmf.sc.gov.br</w:t>
        </w:r>
      </w:hyperlink>
    </w:p>
    <w:p>
      <w:pPr>
        <w:pStyle w:val="normal1"/>
        <w:spacing w:lineRule="auto" w:line="276"/>
        <w:ind w:firstLine="567"/>
        <w:jc w:val="both"/>
        <w:rPr>
          <w:sz w:val="22"/>
          <w:szCs w:val="22"/>
          <w:highlight w:val="white"/>
        </w:rPr>
      </w:pPr>
      <w:r>
        <w:rPr>
          <w:sz w:val="22"/>
          <w:szCs w:val="22"/>
          <w:highlight w:val="white"/>
        </w:rPr>
      </w:r>
    </w:p>
    <w:p>
      <w:pPr>
        <w:pStyle w:val="normal1"/>
        <w:numPr>
          <w:ilvl w:val="1"/>
          <w:numId w:val="23"/>
        </w:numPr>
        <w:spacing w:lineRule="auto" w:line="276"/>
        <w:ind w:hanging="1000" w:start="1567"/>
        <w:jc w:val="both"/>
        <w:rPr>
          <w:b/>
          <w:sz w:val="22"/>
          <w:szCs w:val="22"/>
          <w:highlight w:val="white"/>
        </w:rPr>
      </w:pPr>
      <w:r>
        <w:rPr>
          <w:b/>
          <w:sz w:val="22"/>
          <w:szCs w:val="22"/>
          <w:highlight w:val="white"/>
        </w:rPr>
        <w:t>O conjunto de documentos apresentados deverá conter:</w:t>
      </w:r>
    </w:p>
    <w:p>
      <w:pPr>
        <w:pStyle w:val="normal1"/>
        <w:numPr>
          <w:ilvl w:val="2"/>
          <w:numId w:val="23"/>
        </w:numPr>
        <w:spacing w:lineRule="auto" w:line="276"/>
        <w:ind w:hanging="0" w:start="851"/>
        <w:jc w:val="both"/>
        <w:rPr>
          <w:sz w:val="22"/>
          <w:szCs w:val="22"/>
          <w:highlight w:val="white"/>
        </w:rPr>
      </w:pPr>
      <w:r>
        <w:rPr>
          <w:sz w:val="22"/>
          <w:szCs w:val="22"/>
          <w:highlight w:val="white"/>
        </w:rPr>
        <w:t xml:space="preserve">Requerimento de credenciamento, na forma do modelo disponível no Anexo I do Termo de Referência, composta também de declarações de cumprimento legais exigidos na lei de licitações, datado e assinado pelo representante legal; </w:t>
      </w:r>
    </w:p>
    <w:p>
      <w:pPr>
        <w:pStyle w:val="normal1"/>
        <w:numPr>
          <w:ilvl w:val="2"/>
          <w:numId w:val="23"/>
        </w:numPr>
        <w:spacing w:lineRule="auto" w:line="276"/>
        <w:ind w:hanging="0" w:start="851"/>
        <w:jc w:val="both"/>
        <w:rPr>
          <w:sz w:val="22"/>
          <w:szCs w:val="22"/>
          <w:highlight w:val="white"/>
        </w:rPr>
      </w:pPr>
      <w:r>
        <w:rPr>
          <w:sz w:val="22"/>
          <w:szCs w:val="22"/>
          <w:highlight w:val="white"/>
        </w:rPr>
        <w:t xml:space="preserve">Documentos necessários à habilitação jurídica fiscal e trabalhista, qualificação econômica e técnica, descritos nos itens a seguir do edital; e </w:t>
      </w:r>
    </w:p>
    <w:p>
      <w:pPr>
        <w:pStyle w:val="normal1"/>
        <w:numPr>
          <w:ilvl w:val="2"/>
          <w:numId w:val="23"/>
        </w:numPr>
        <w:spacing w:lineRule="auto" w:line="276"/>
        <w:ind w:hanging="0" w:start="851"/>
        <w:jc w:val="both"/>
        <w:rPr>
          <w:sz w:val="22"/>
          <w:szCs w:val="22"/>
          <w:highlight w:val="white"/>
        </w:rPr>
      </w:pPr>
      <w:r>
        <w:rPr>
          <w:sz w:val="22"/>
          <w:szCs w:val="22"/>
          <w:highlight w:val="white"/>
        </w:rPr>
        <w:t>Quadro indicando sua capacidade instalada e o quantitativo de oferta de vagas mensais à SEMAS, nos termos das condições estabelecidas no edital, na forma do modelo disponível no Anexo II do Termo de Referência, datado e assinado pelo representante legal.</w:t>
      </w:r>
    </w:p>
    <w:p>
      <w:pPr>
        <w:pStyle w:val="normal1"/>
        <w:numPr>
          <w:ilvl w:val="2"/>
          <w:numId w:val="23"/>
        </w:numPr>
        <w:spacing w:lineRule="auto" w:line="276"/>
        <w:ind w:hanging="0" w:start="851"/>
        <w:jc w:val="both"/>
        <w:rPr>
          <w:sz w:val="22"/>
          <w:szCs w:val="22"/>
          <w:highlight w:val="white"/>
        </w:rPr>
      </w:pPr>
      <w:r>
        <w:rPr>
          <w:sz w:val="22"/>
          <w:szCs w:val="22"/>
          <w:highlight w:val="white"/>
        </w:rPr>
        <w:t xml:space="preserve">O requerimento de credenciamento não poderá conter emendas, rasuras, borrões ou entrelinhas que possam dificultar o reconhecimento de sua caracterização, considerada indispensável à sua validade, salvo se for considerado erro material pela análise do agente de contratação. </w:t>
      </w:r>
    </w:p>
    <w:p>
      <w:pPr>
        <w:pStyle w:val="normal1"/>
        <w:numPr>
          <w:ilvl w:val="2"/>
          <w:numId w:val="23"/>
        </w:numPr>
        <w:spacing w:lineRule="auto" w:line="276"/>
        <w:ind w:hanging="0" w:start="851"/>
        <w:jc w:val="both"/>
        <w:rPr>
          <w:sz w:val="22"/>
          <w:szCs w:val="22"/>
          <w:highlight w:val="white"/>
        </w:rPr>
      </w:pPr>
      <w:r>
        <w:rPr>
          <w:sz w:val="22"/>
          <w:szCs w:val="22"/>
          <w:highlight w:val="white"/>
        </w:rPr>
        <w:t>Após a entrega dos documentos para habilitação, não será permitida a substituição ou a apresentação de novos documentos, salvo em sede de diligência, nos termos do Art. 64 da Lei 14.133/2021.</w:t>
      </w:r>
    </w:p>
    <w:p>
      <w:pPr>
        <w:pStyle w:val="normal1"/>
        <w:numPr>
          <w:ilvl w:val="2"/>
          <w:numId w:val="23"/>
        </w:numPr>
        <w:spacing w:lineRule="auto" w:line="276"/>
        <w:ind w:hanging="0" w:start="851"/>
        <w:jc w:val="both"/>
        <w:rPr>
          <w:sz w:val="22"/>
          <w:szCs w:val="22"/>
          <w:highlight w:val="white"/>
        </w:rPr>
      </w:pPr>
      <w:r>
        <w:rPr>
          <w:sz w:val="22"/>
          <w:szCs w:val="22"/>
          <w:highlight w:val="white"/>
        </w:rPr>
        <w:t>Os documentos deverão ser apresentados em meio eletrônico no formato PDF (Portable Document Format), sendo que o interessado ficará responsável pela veracidade das informações prestadas no requerimento e nos documentos remetidos.</w:t>
      </w:r>
    </w:p>
    <w:p>
      <w:pPr>
        <w:pStyle w:val="normal1"/>
        <w:numPr>
          <w:ilvl w:val="2"/>
          <w:numId w:val="23"/>
        </w:numPr>
        <w:spacing w:lineRule="auto" w:line="276"/>
        <w:ind w:hanging="0" w:start="851"/>
        <w:jc w:val="both"/>
        <w:rPr>
          <w:sz w:val="22"/>
          <w:szCs w:val="22"/>
          <w:highlight w:val="white"/>
        </w:rPr>
      </w:pPr>
      <w:r>
        <w:rPr>
          <w:sz w:val="22"/>
          <w:szCs w:val="22"/>
          <w:highlight w:val="white"/>
        </w:rPr>
        <w:t>Os documentos necessários à habilitação deverão estar com prazo vigente.</w:t>
      </w:r>
    </w:p>
    <w:p>
      <w:pPr>
        <w:pStyle w:val="normal1"/>
        <w:numPr>
          <w:ilvl w:val="2"/>
          <w:numId w:val="23"/>
        </w:numPr>
        <w:spacing w:lineRule="auto" w:line="276"/>
        <w:ind w:hanging="0" w:start="851"/>
        <w:jc w:val="both"/>
        <w:rPr>
          <w:sz w:val="22"/>
          <w:szCs w:val="22"/>
          <w:highlight w:val="white"/>
        </w:rPr>
      </w:pPr>
      <w:r>
        <w:rPr>
          <w:sz w:val="22"/>
          <w:szCs w:val="22"/>
          <w:highlight w:val="white"/>
        </w:rPr>
        <w:t>Os documentos que não indicarem o prazo de validade deverão ter sido expedidos em, no máximo, até 60 (sessenta) dias antes da data do requerimento de credenciamento, ressalvados aqueles com prazos indeterminados previstos em legislação pertinente.</w:t>
      </w:r>
    </w:p>
    <w:p>
      <w:pPr>
        <w:pStyle w:val="normal1"/>
        <w:numPr>
          <w:ilvl w:val="2"/>
          <w:numId w:val="23"/>
        </w:numPr>
        <w:spacing w:lineRule="auto" w:line="276"/>
        <w:ind w:hanging="0" w:start="851"/>
        <w:jc w:val="both"/>
        <w:rPr>
          <w:sz w:val="22"/>
          <w:szCs w:val="22"/>
          <w:highlight w:val="white"/>
        </w:rPr>
      </w:pPr>
      <w:r>
        <w:rPr>
          <w:sz w:val="22"/>
          <w:szCs w:val="22"/>
          <w:highlight w:val="white"/>
        </w:rPr>
        <w:t>Os interessados deverão estar cientes da legislação que rege os prazos de validade das certidões emitidas pelos respectivos órgãos federais, estaduais e municipais.</w:t>
      </w:r>
    </w:p>
    <w:p>
      <w:pPr>
        <w:pStyle w:val="normal1"/>
        <w:numPr>
          <w:ilvl w:val="2"/>
          <w:numId w:val="23"/>
        </w:numPr>
        <w:spacing w:lineRule="auto" w:line="276"/>
        <w:ind w:hanging="0" w:start="851"/>
        <w:jc w:val="both"/>
        <w:rPr>
          <w:sz w:val="22"/>
          <w:szCs w:val="22"/>
          <w:highlight w:val="white"/>
        </w:rPr>
      </w:pPr>
      <w:r>
        <w:rPr>
          <w:sz w:val="22"/>
          <w:szCs w:val="22"/>
          <w:highlight w:val="white"/>
        </w:rPr>
        <w:t xml:space="preserve">Serão aceitos documentos assinados digitalmente com padrão ICP-Brasil e aqueles emitidos online, cuja verificação da autenticidade possa ser confirmada através de qr-code, códigos de barra, sítios eletrônicos ou outros meios disponibilizados pelo emitente. </w:t>
      </w:r>
    </w:p>
    <w:p>
      <w:pPr>
        <w:pStyle w:val="normal1"/>
        <w:numPr>
          <w:ilvl w:val="2"/>
          <w:numId w:val="23"/>
        </w:numPr>
        <w:spacing w:lineRule="auto" w:line="276"/>
        <w:ind w:hanging="0" w:start="851"/>
        <w:jc w:val="both"/>
        <w:rPr>
          <w:sz w:val="22"/>
          <w:szCs w:val="22"/>
          <w:highlight w:val="white"/>
        </w:rPr>
      </w:pPr>
      <w:r>
        <w:rPr>
          <w:sz w:val="22"/>
          <w:szCs w:val="22"/>
          <w:highlight w:val="white"/>
        </w:rPr>
        <w:t>O representante do interessado que subscrever os documentos apresentados deverá estar devidamente identificado no processo, acompanhado da respectiva representatividade e, quando for o caso, de procuração e documento de identidade.</w:t>
      </w:r>
    </w:p>
    <w:p>
      <w:pPr>
        <w:pStyle w:val="normal1"/>
        <w:spacing w:lineRule="auto" w:line="276"/>
        <w:ind w:hanging="0" w:start="851"/>
        <w:jc w:val="both"/>
        <w:rPr>
          <w:sz w:val="22"/>
          <w:szCs w:val="22"/>
          <w:highlight w:val="white"/>
        </w:rPr>
      </w:pPr>
      <w:r>
        <w:rPr>
          <w:sz w:val="22"/>
          <w:szCs w:val="22"/>
          <w:highlight w:val="white"/>
        </w:rPr>
      </w:r>
    </w:p>
    <w:p>
      <w:pPr>
        <w:pStyle w:val="normal1"/>
        <w:numPr>
          <w:ilvl w:val="1"/>
          <w:numId w:val="23"/>
        </w:numPr>
        <w:spacing w:lineRule="auto" w:line="276"/>
        <w:ind w:hanging="1000" w:start="1567"/>
        <w:jc w:val="both"/>
        <w:rPr>
          <w:b/>
          <w:sz w:val="22"/>
          <w:szCs w:val="22"/>
          <w:highlight w:val="white"/>
        </w:rPr>
      </w:pPr>
      <w:r>
        <w:rPr>
          <w:b/>
          <w:sz w:val="22"/>
          <w:szCs w:val="22"/>
          <w:highlight w:val="white"/>
        </w:rPr>
        <w:t>Requisitos de habilitação jurídica, fiscal e trabalhista</w:t>
      </w:r>
    </w:p>
    <w:p>
      <w:pPr>
        <w:pStyle w:val="normal1"/>
        <w:numPr>
          <w:ilvl w:val="2"/>
          <w:numId w:val="23"/>
        </w:numPr>
        <w:spacing w:lineRule="auto" w:line="276"/>
        <w:ind w:hanging="0" w:start="851"/>
        <w:jc w:val="both"/>
        <w:rPr>
          <w:sz w:val="22"/>
          <w:szCs w:val="22"/>
          <w:highlight w:val="white"/>
        </w:rPr>
      </w:pPr>
      <w:r>
        <w:rPr>
          <w:sz w:val="22"/>
          <w:szCs w:val="22"/>
          <w:highlight w:val="white"/>
        </w:rPr>
        <w:t>Os documentos previstos neste Termo de Referência, necessários e suficientes para demonstrar a capacidade do interessado de realizar o objeto do credenciamento, serão exigidos para fins de habilitação, nos termos dos arts. 62 a 70 da Lei nº 14.133, de 2021;</w:t>
      </w:r>
    </w:p>
    <w:p>
      <w:pPr>
        <w:pStyle w:val="normal1"/>
        <w:numPr>
          <w:ilvl w:val="2"/>
          <w:numId w:val="23"/>
        </w:numPr>
        <w:spacing w:lineRule="auto" w:line="276"/>
        <w:ind w:hanging="0" w:start="851"/>
        <w:jc w:val="both"/>
        <w:rPr>
          <w:sz w:val="22"/>
          <w:szCs w:val="22"/>
          <w:highlight w:val="white"/>
        </w:rPr>
      </w:pPr>
      <w:r>
        <w:rPr>
          <w:sz w:val="22"/>
          <w:szCs w:val="22"/>
          <w:highlight w:val="white"/>
        </w:rPr>
        <w:t>A documentação exigida para fins de habilitação jurídica, fiscal, social e trabalhista e econômico-financeira, poderá ser substituída pelo registro cadastral no Sicaf. Sendo:</w:t>
      </w:r>
    </w:p>
    <w:p>
      <w:pPr>
        <w:pStyle w:val="normal1"/>
        <w:numPr>
          <w:ilvl w:val="0"/>
          <w:numId w:val="15"/>
        </w:numPr>
        <w:spacing w:lineRule="auto" w:line="276"/>
        <w:ind w:hanging="360" w:start="1854"/>
        <w:jc w:val="both"/>
        <w:rPr>
          <w:sz w:val="22"/>
          <w:szCs w:val="22"/>
          <w:highlight w:val="white"/>
        </w:rPr>
      </w:pPr>
      <w:r>
        <w:rPr>
          <w:sz w:val="22"/>
          <w:szCs w:val="22"/>
          <w:highlight w:val="white"/>
        </w:rPr>
        <w:t xml:space="preserve">Apresentar Requerimento de credenciamento, na forma do modelo disponível no Anexo I do Termo de Referência, datado e assinado pelo representante legal; </w:t>
      </w:r>
    </w:p>
    <w:p>
      <w:pPr>
        <w:pStyle w:val="normal1"/>
        <w:numPr>
          <w:ilvl w:val="0"/>
          <w:numId w:val="15"/>
        </w:numPr>
        <w:spacing w:lineRule="auto" w:line="276"/>
        <w:ind w:hanging="360" w:start="1854"/>
        <w:jc w:val="both"/>
        <w:rPr>
          <w:sz w:val="22"/>
          <w:szCs w:val="22"/>
          <w:highlight w:val="white"/>
        </w:rPr>
      </w:pPr>
      <w:r>
        <w:rPr>
          <w:sz w:val="22"/>
          <w:szCs w:val="22"/>
          <w:highlight w:val="white"/>
        </w:rPr>
        <w:t>Documento de identificação (RG e CPF) do(s) representante(s) legal(is);</w:t>
      </w:r>
    </w:p>
    <w:p>
      <w:pPr>
        <w:pStyle w:val="normal1"/>
        <w:numPr>
          <w:ilvl w:val="0"/>
          <w:numId w:val="15"/>
        </w:numPr>
        <w:spacing w:lineRule="auto" w:line="276"/>
        <w:ind w:hanging="360" w:start="1854"/>
        <w:jc w:val="both"/>
        <w:rPr>
          <w:sz w:val="22"/>
          <w:szCs w:val="22"/>
          <w:highlight w:val="white"/>
        </w:rPr>
      </w:pPr>
      <w:r>
        <w:rPr>
          <w:sz w:val="22"/>
          <w:szCs w:val="22"/>
          <w:highlight w:val="white"/>
        </w:rPr>
        <w:t xml:space="preserve">Prova de regularidade para com a Fazenda Federal (Certidão Negativa de Débitos ou Positiva com Efeitos de Negativa relativos aos Tributos Federais e à Dívida Ativa da União), a qual a abrange, inclusive, as contribuições sociais previstas na Lei nº 8.212/1991; </w:t>
      </w:r>
    </w:p>
    <w:p>
      <w:pPr>
        <w:pStyle w:val="normal1"/>
        <w:numPr>
          <w:ilvl w:val="0"/>
          <w:numId w:val="15"/>
        </w:numPr>
        <w:spacing w:lineRule="auto" w:line="276"/>
        <w:ind w:hanging="360" w:start="1854"/>
        <w:jc w:val="both"/>
        <w:rPr>
          <w:sz w:val="22"/>
          <w:szCs w:val="22"/>
          <w:highlight w:val="white"/>
        </w:rPr>
      </w:pPr>
      <w:r>
        <w:rPr>
          <w:sz w:val="22"/>
          <w:szCs w:val="22"/>
          <w:highlight w:val="white"/>
        </w:rPr>
        <w:t xml:space="preserve">Prova de regularidade fiscal para com a Fazenda Estadual do domicílio ou sede do interessado no credenciamento, expedida pelo órgão competente; </w:t>
      </w:r>
    </w:p>
    <w:p>
      <w:pPr>
        <w:pStyle w:val="normal1"/>
        <w:numPr>
          <w:ilvl w:val="0"/>
          <w:numId w:val="15"/>
        </w:numPr>
        <w:spacing w:lineRule="auto" w:line="276"/>
        <w:ind w:hanging="360" w:start="1854"/>
        <w:jc w:val="both"/>
        <w:rPr>
          <w:sz w:val="22"/>
          <w:szCs w:val="22"/>
          <w:highlight w:val="white"/>
        </w:rPr>
      </w:pPr>
      <w:r>
        <w:rPr>
          <w:sz w:val="22"/>
          <w:szCs w:val="22"/>
          <w:highlight w:val="white"/>
        </w:rPr>
        <w:t xml:space="preserve">Prova de regularidade fiscal para com a Fazenda Municipal do domicílio ou sede do interessado no credenciamento, expedida pelo órgão competente; </w:t>
      </w:r>
    </w:p>
    <w:p>
      <w:pPr>
        <w:pStyle w:val="normal1"/>
        <w:numPr>
          <w:ilvl w:val="0"/>
          <w:numId w:val="15"/>
        </w:numPr>
        <w:spacing w:lineRule="auto" w:line="276"/>
        <w:ind w:hanging="360" w:start="1854"/>
        <w:jc w:val="both"/>
        <w:rPr>
          <w:sz w:val="22"/>
          <w:szCs w:val="22"/>
          <w:highlight w:val="white"/>
        </w:rPr>
      </w:pPr>
      <w:r>
        <w:rPr>
          <w:sz w:val="22"/>
          <w:szCs w:val="22"/>
          <w:highlight w:val="white"/>
        </w:rPr>
        <w:t xml:space="preserve">No caso de Municípios que mantêm Cadastro Mobiliário e Imobiliário separados, deverão ser apresentados os comprovantes referentes a cada um dos cadastros; </w:t>
      </w:r>
    </w:p>
    <w:p>
      <w:pPr>
        <w:pStyle w:val="normal1"/>
        <w:numPr>
          <w:ilvl w:val="0"/>
          <w:numId w:val="15"/>
        </w:numPr>
        <w:spacing w:lineRule="auto" w:line="276"/>
        <w:ind w:hanging="360" w:start="1854"/>
        <w:jc w:val="both"/>
        <w:rPr>
          <w:sz w:val="22"/>
          <w:szCs w:val="22"/>
          <w:highlight w:val="white"/>
        </w:rPr>
      </w:pPr>
      <w:r>
        <w:rPr>
          <w:sz w:val="22"/>
          <w:szCs w:val="22"/>
          <w:highlight w:val="white"/>
        </w:rPr>
        <w:t xml:space="preserve">Prova de regularidade relativa ao Fundo de Garantia por Tempo de Serviço – FGTS; </w:t>
      </w:r>
    </w:p>
    <w:p>
      <w:pPr>
        <w:pStyle w:val="normal1"/>
        <w:numPr>
          <w:ilvl w:val="0"/>
          <w:numId w:val="15"/>
        </w:numPr>
        <w:spacing w:lineRule="auto" w:line="276"/>
        <w:ind w:hanging="360" w:start="1854"/>
        <w:jc w:val="both"/>
        <w:rPr>
          <w:sz w:val="22"/>
          <w:szCs w:val="22"/>
          <w:highlight w:val="white"/>
        </w:rPr>
      </w:pPr>
      <w:r>
        <w:rPr>
          <w:sz w:val="22"/>
          <w:szCs w:val="22"/>
          <w:highlight w:val="white"/>
        </w:rPr>
        <w:t xml:space="preserve">Certidão Negativa de Falência, Concordata e Recuperação Judicial expedida pelo distribuidor do Foro da sede da matriz da Pessoa Jurídica ou de execução patrimonial, expedida no domicílio da pessoa jurídica; </w:t>
      </w:r>
    </w:p>
    <w:p>
      <w:pPr>
        <w:pStyle w:val="normal1"/>
        <w:numPr>
          <w:ilvl w:val="0"/>
          <w:numId w:val="15"/>
        </w:numPr>
        <w:spacing w:lineRule="auto" w:line="276"/>
        <w:ind w:hanging="360" w:start="1854"/>
        <w:jc w:val="both"/>
        <w:rPr>
          <w:sz w:val="22"/>
          <w:szCs w:val="22"/>
          <w:highlight w:val="white"/>
        </w:rPr>
      </w:pPr>
      <w:r>
        <w:rPr>
          <w:sz w:val="22"/>
          <w:szCs w:val="22"/>
          <w:highlight w:val="white"/>
        </w:rPr>
        <w:t xml:space="preserve">O credenciante deverá apresentar a Certidão Negativa de Débitos Trabalhista, expedida pelo Tribunal Superior do Trabalho ou Tribunal Regional do Trabalho; </w:t>
      </w:r>
    </w:p>
    <w:p>
      <w:pPr>
        <w:pStyle w:val="normal1"/>
        <w:numPr>
          <w:ilvl w:val="0"/>
          <w:numId w:val="15"/>
        </w:numPr>
        <w:spacing w:lineRule="auto" w:line="276"/>
        <w:ind w:hanging="360" w:start="1854"/>
        <w:jc w:val="both"/>
        <w:rPr>
          <w:sz w:val="22"/>
          <w:szCs w:val="22"/>
          <w:highlight w:val="white"/>
        </w:rPr>
      </w:pPr>
      <w:r>
        <w:rPr>
          <w:sz w:val="22"/>
          <w:szCs w:val="22"/>
          <w:highlight w:val="white"/>
        </w:rPr>
        <w:t xml:space="preserve">Ato constitutivo, estatuto ou contrato social em vigor, devidamente registrado, em se tratando de sociedades comerciais, e, no caso de sociedades por ações, acompanhado de documentos de eleição de seus administradores, bem como das respectivas alterações, caso existam; </w:t>
      </w:r>
    </w:p>
    <w:p>
      <w:pPr>
        <w:pStyle w:val="normal1"/>
        <w:numPr>
          <w:ilvl w:val="0"/>
          <w:numId w:val="15"/>
        </w:numPr>
        <w:spacing w:lineRule="auto" w:line="276"/>
        <w:ind w:hanging="360" w:start="1854"/>
        <w:jc w:val="both"/>
        <w:rPr>
          <w:sz w:val="22"/>
          <w:szCs w:val="22"/>
          <w:highlight w:val="white"/>
        </w:rPr>
      </w:pPr>
      <w:r>
        <w:rPr>
          <w:sz w:val="22"/>
          <w:szCs w:val="22"/>
          <w:highlight w:val="white"/>
        </w:rPr>
        <w:t xml:space="preserve">Certidão simplificada emitida pela Junta Comercial da sede da licitante. (Documento exigido para fins de contratação, sem causa de inabilitação); </w:t>
      </w:r>
    </w:p>
    <w:p>
      <w:pPr>
        <w:pStyle w:val="normal1"/>
        <w:numPr>
          <w:ilvl w:val="0"/>
          <w:numId w:val="15"/>
        </w:numPr>
        <w:spacing w:lineRule="auto" w:line="276"/>
        <w:ind w:hanging="360" w:start="1854"/>
        <w:jc w:val="both"/>
        <w:rPr>
          <w:sz w:val="22"/>
          <w:szCs w:val="22"/>
          <w:highlight w:val="white"/>
        </w:rPr>
      </w:pPr>
      <w:r>
        <w:rPr>
          <w:sz w:val="22"/>
          <w:szCs w:val="22"/>
          <w:highlight w:val="white"/>
        </w:rPr>
        <w:t>Prova de inscrição no Cadastro Nacional de Pessoa Jurídica (CNPJ).</w:t>
      </w:r>
    </w:p>
    <w:p>
      <w:pPr>
        <w:pStyle w:val="normal1"/>
        <w:spacing w:lineRule="auto" w:line="276"/>
        <w:ind w:hanging="0" w:start="1854"/>
        <w:jc w:val="both"/>
        <w:rPr>
          <w:sz w:val="22"/>
          <w:szCs w:val="22"/>
          <w:highlight w:val="white"/>
        </w:rPr>
      </w:pPr>
      <w:r>
        <w:rPr>
          <w:sz w:val="22"/>
          <w:szCs w:val="22"/>
          <w:highlight w:val="white"/>
        </w:rPr>
      </w:r>
    </w:p>
    <w:p>
      <w:pPr>
        <w:pStyle w:val="normal1"/>
        <w:spacing w:lineRule="auto" w:line="276"/>
        <w:ind w:hanging="0" w:start="1854"/>
        <w:jc w:val="both"/>
        <w:rPr>
          <w:sz w:val="22"/>
          <w:szCs w:val="22"/>
          <w:highlight w:val="white"/>
        </w:rPr>
      </w:pPr>
      <w:r>
        <w:rPr>
          <w:sz w:val="22"/>
          <w:szCs w:val="22"/>
          <w:highlight w:val="white"/>
        </w:rPr>
      </w:r>
    </w:p>
    <w:p>
      <w:pPr>
        <w:pStyle w:val="normal1"/>
        <w:spacing w:lineRule="auto" w:line="276"/>
        <w:jc w:val="both"/>
        <w:rPr>
          <w:sz w:val="22"/>
          <w:szCs w:val="22"/>
          <w:highlight w:val="white"/>
        </w:rPr>
      </w:pPr>
      <w:r>
        <w:rPr>
          <w:sz w:val="22"/>
          <w:szCs w:val="22"/>
          <w:highlight w:val="white"/>
        </w:rPr>
      </w:r>
    </w:p>
    <w:p>
      <w:pPr>
        <w:pStyle w:val="normal1"/>
        <w:numPr>
          <w:ilvl w:val="1"/>
          <w:numId w:val="23"/>
        </w:numPr>
        <w:spacing w:lineRule="auto" w:line="276"/>
        <w:ind w:hanging="1000" w:start="1567"/>
        <w:jc w:val="both"/>
        <w:rPr>
          <w:sz w:val="22"/>
          <w:szCs w:val="22"/>
          <w:highlight w:val="white"/>
        </w:rPr>
      </w:pPr>
      <w:r>
        <w:rPr>
          <w:b/>
          <w:sz w:val="22"/>
          <w:szCs w:val="22"/>
          <w:highlight w:val="white"/>
        </w:rPr>
        <w:t>Requisitos qualificação econômica</w:t>
      </w:r>
    </w:p>
    <w:p>
      <w:pPr>
        <w:pStyle w:val="normal1"/>
        <w:numPr>
          <w:ilvl w:val="2"/>
          <w:numId w:val="23"/>
        </w:numPr>
        <w:spacing w:lineRule="auto" w:line="276"/>
        <w:ind w:hanging="284" w:start="1418"/>
        <w:jc w:val="both"/>
        <w:rPr>
          <w:sz w:val="22"/>
          <w:szCs w:val="22"/>
          <w:highlight w:val="white"/>
        </w:rPr>
      </w:pPr>
      <w:r>
        <w:rPr>
          <w:sz w:val="22"/>
          <w:szCs w:val="22"/>
          <w:highlight w:val="white"/>
        </w:rPr>
        <w:t>Para fins de Habilitação Econômica, relativamente aos itens disposto no Termo de Referência, deverão comprovar, se for o caso, o Balanço Patrimonial e demonstrações contábeis dos últimos 2 (dois)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pPr>
        <w:pStyle w:val="normal1"/>
        <w:numPr>
          <w:ilvl w:val="2"/>
          <w:numId w:val="23"/>
        </w:numPr>
        <w:spacing w:lineRule="auto" w:line="276"/>
        <w:ind w:hanging="284" w:start="1418"/>
        <w:jc w:val="both"/>
        <w:rPr>
          <w:sz w:val="22"/>
          <w:szCs w:val="22"/>
          <w:highlight w:val="white"/>
        </w:rPr>
      </w:pPr>
      <w:r>
        <w:rPr>
          <w:sz w:val="22"/>
          <w:szCs w:val="22"/>
          <w:highlight w:val="white"/>
        </w:rPr>
        <w:t>No caso de empresa constituída no exercício social vigente, admite-se a apresentação de Balanço Patrimonial e demonstrações contábeis referentes ao período de existência da sociedade.</w:t>
      </w:r>
    </w:p>
    <w:p>
      <w:pPr>
        <w:pStyle w:val="normal1"/>
        <w:numPr>
          <w:ilvl w:val="2"/>
          <w:numId w:val="23"/>
        </w:numPr>
        <w:spacing w:lineRule="auto" w:line="276"/>
        <w:ind w:hanging="284" w:start="1418"/>
        <w:jc w:val="both"/>
        <w:rPr>
          <w:sz w:val="22"/>
          <w:szCs w:val="22"/>
          <w:highlight w:val="white"/>
        </w:rPr>
      </w:pPr>
      <w:r>
        <w:rPr>
          <w:sz w:val="22"/>
          <w:szCs w:val="22"/>
          <w:highlight w:val="white"/>
        </w:rPr>
        <w:t>Somente será considerada habilitada a empresa cuja Liquidez Geral resultar num valor igual ou superior a 1,00 (um):</w:t>
      </w:r>
    </w:p>
    <w:p>
      <w:pPr>
        <w:pStyle w:val="normal1"/>
        <w:spacing w:lineRule="auto" w:line="276"/>
        <w:jc w:val="center"/>
        <w:rPr>
          <w:sz w:val="22"/>
          <w:szCs w:val="22"/>
          <w:highlight w:val="white"/>
        </w:rPr>
      </w:pPr>
      <w:r>
        <w:rPr>
          <w:sz w:val="22"/>
          <w:szCs w:val="22"/>
          <w:highlight w:val="white"/>
        </w:rPr>
        <w:t xml:space="preserve">LG = </w:t>
      </w:r>
      <w:r>
        <w:rPr/>
        <w:drawing>
          <wp:inline distT="0" distB="0" distL="0" distR="0">
            <wp:extent cx="622935" cy="355600"/>
            <wp:effectExtent l="0" t="0" r="0" b="0"/>
            <wp:docPr id="2"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png"/>
                    <pic:cNvPicPr>
                      <a:picLocks noChangeAspect="1" noChangeArrowheads="1"/>
                    </pic:cNvPicPr>
                  </pic:nvPicPr>
                  <pic:blipFill>
                    <a:blip r:embed="rId13"/>
                    <a:stretch>
                      <a:fillRect/>
                    </a:stretch>
                  </pic:blipFill>
                  <pic:spPr bwMode="auto">
                    <a:xfrm>
                      <a:off x="0" y="0"/>
                      <a:ext cx="622935" cy="355600"/>
                    </a:xfrm>
                    <a:prstGeom prst="rect">
                      <a:avLst/>
                    </a:prstGeom>
                    <a:noFill/>
                  </pic:spPr>
                </pic:pic>
              </a:graphicData>
            </a:graphic>
          </wp:inline>
        </w:drawing>
      </w:r>
    </w:p>
    <w:p>
      <w:pPr>
        <w:pStyle w:val="normal1"/>
        <w:numPr>
          <w:ilvl w:val="2"/>
          <w:numId w:val="23"/>
        </w:numPr>
        <w:spacing w:lineRule="auto" w:line="276"/>
        <w:ind w:hanging="284" w:start="1418"/>
        <w:jc w:val="both"/>
        <w:rPr>
          <w:sz w:val="22"/>
          <w:szCs w:val="22"/>
          <w:highlight w:val="white"/>
        </w:rPr>
      </w:pPr>
      <w:r>
        <w:rPr>
          <w:sz w:val="22"/>
          <w:szCs w:val="22"/>
          <w:highlight w:val="white"/>
        </w:rPr>
        <w:t>Somente será considerada habilitada a empresa cuja Solvência Geral resultar num valor igual ou superior a 1,00 (um):</w:t>
      </w:r>
    </w:p>
    <w:p>
      <w:pPr>
        <w:pStyle w:val="normal1"/>
        <w:spacing w:lineRule="auto" w:line="276"/>
        <w:jc w:val="center"/>
        <w:rPr>
          <w:sz w:val="22"/>
          <w:szCs w:val="22"/>
          <w:highlight w:val="white"/>
        </w:rPr>
      </w:pPr>
      <w:r>
        <w:rPr>
          <w:sz w:val="22"/>
          <w:szCs w:val="22"/>
          <w:highlight w:val="white"/>
        </w:rPr>
        <w:t xml:space="preserve">SG =  </w:t>
      </w:r>
      <w:r>
        <w:rPr/>
        <w:drawing>
          <wp:inline distT="0" distB="0" distL="0" distR="0">
            <wp:extent cx="635000" cy="360680"/>
            <wp:effectExtent l="0" t="0" r="0" b="0"/>
            <wp:docPr id="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4.png"/>
                    <pic:cNvPicPr>
                      <a:picLocks noChangeAspect="1" noChangeArrowheads="1"/>
                    </pic:cNvPicPr>
                  </pic:nvPicPr>
                  <pic:blipFill>
                    <a:blip r:embed="rId14"/>
                    <a:stretch>
                      <a:fillRect/>
                    </a:stretch>
                  </pic:blipFill>
                  <pic:spPr bwMode="auto">
                    <a:xfrm>
                      <a:off x="0" y="0"/>
                      <a:ext cx="635000" cy="360680"/>
                    </a:xfrm>
                    <a:prstGeom prst="rect">
                      <a:avLst/>
                    </a:prstGeom>
                    <a:noFill/>
                  </pic:spPr>
                </pic:pic>
              </a:graphicData>
            </a:graphic>
          </wp:inline>
        </w:drawing>
      </w:r>
    </w:p>
    <w:p>
      <w:pPr>
        <w:pStyle w:val="normal1"/>
        <w:numPr>
          <w:ilvl w:val="2"/>
          <w:numId w:val="23"/>
        </w:numPr>
        <w:spacing w:lineRule="auto" w:line="276"/>
        <w:ind w:hanging="284" w:start="1418"/>
        <w:jc w:val="both"/>
        <w:rPr>
          <w:sz w:val="22"/>
          <w:szCs w:val="22"/>
          <w:highlight w:val="white"/>
        </w:rPr>
      </w:pPr>
      <w:r>
        <w:rPr>
          <w:sz w:val="22"/>
          <w:szCs w:val="22"/>
          <w:highlight w:val="white"/>
        </w:rPr>
        <w:t>Somente será considerada habilitada a empresa cuja Liquidez Corrente resultar num valor igual ou superior a 1,00 (um):</w:t>
      </w:r>
    </w:p>
    <w:p>
      <w:pPr>
        <w:pStyle w:val="normal1"/>
        <w:spacing w:lineRule="auto" w:line="276"/>
        <w:jc w:val="center"/>
        <w:rPr>
          <w:sz w:val="22"/>
          <w:szCs w:val="22"/>
          <w:highlight w:val="white"/>
        </w:rPr>
      </w:pPr>
      <w:r>
        <w:rPr/>
        <w:drawing>
          <wp:inline distT="0" distB="0" distL="0" distR="0">
            <wp:extent cx="829310" cy="552450"/>
            <wp:effectExtent l="0" t="0" r="0" b="0"/>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a:picLocks noChangeAspect="1" noChangeArrowheads="1"/>
                    </pic:cNvPicPr>
                  </pic:nvPicPr>
                  <pic:blipFill>
                    <a:blip r:embed="rId15"/>
                    <a:stretch>
                      <a:fillRect/>
                    </a:stretch>
                  </pic:blipFill>
                  <pic:spPr bwMode="auto">
                    <a:xfrm>
                      <a:off x="0" y="0"/>
                      <a:ext cx="829310" cy="552450"/>
                    </a:xfrm>
                    <a:prstGeom prst="rect">
                      <a:avLst/>
                    </a:prstGeom>
                    <a:noFill/>
                  </pic:spPr>
                </pic:pic>
              </a:graphicData>
            </a:graphic>
          </wp:inline>
        </w:drawing>
      </w:r>
    </w:p>
    <w:p>
      <w:pPr>
        <w:pStyle w:val="normal1"/>
        <w:spacing w:lineRule="auto" w:line="276"/>
        <w:ind w:hanging="0" w:start="1418"/>
        <w:jc w:val="both"/>
        <w:rPr>
          <w:sz w:val="22"/>
          <w:szCs w:val="22"/>
          <w:highlight w:val="white"/>
        </w:rPr>
      </w:pPr>
      <w:r>
        <w:rPr>
          <w:sz w:val="22"/>
          <w:szCs w:val="22"/>
          <w:highlight w:val="white"/>
        </w:rPr>
        <w:t xml:space="preserve">Onde:       </w:t>
        <w:tab/>
      </w:r>
    </w:p>
    <w:p>
      <w:pPr>
        <w:pStyle w:val="normal1"/>
        <w:spacing w:lineRule="auto" w:line="276"/>
        <w:ind w:hanging="0" w:start="1418"/>
        <w:jc w:val="both"/>
        <w:rPr>
          <w:sz w:val="22"/>
          <w:szCs w:val="22"/>
          <w:highlight w:val="white"/>
        </w:rPr>
      </w:pPr>
      <w:r>
        <w:rPr>
          <w:sz w:val="22"/>
          <w:szCs w:val="22"/>
          <w:highlight w:val="white"/>
        </w:rPr>
        <w:t xml:space="preserve">LG = Liquidez Geral        </w:t>
        <w:tab/>
      </w:r>
    </w:p>
    <w:p>
      <w:pPr>
        <w:pStyle w:val="normal1"/>
        <w:spacing w:lineRule="auto" w:line="276"/>
        <w:ind w:hanging="0" w:start="1418"/>
        <w:jc w:val="both"/>
        <w:rPr>
          <w:sz w:val="22"/>
          <w:szCs w:val="22"/>
          <w:highlight w:val="white"/>
        </w:rPr>
      </w:pPr>
      <w:r>
        <w:rPr>
          <w:sz w:val="22"/>
          <w:szCs w:val="22"/>
          <w:highlight w:val="white"/>
        </w:rPr>
        <w:t>AC = Ativo Circulante</w:t>
      </w:r>
    </w:p>
    <w:p>
      <w:pPr>
        <w:pStyle w:val="normal1"/>
        <w:spacing w:lineRule="auto" w:line="276"/>
        <w:ind w:hanging="0" w:start="1418"/>
        <w:jc w:val="both"/>
        <w:rPr>
          <w:sz w:val="22"/>
          <w:szCs w:val="22"/>
          <w:highlight w:val="white"/>
        </w:rPr>
      </w:pPr>
      <w:r>
        <w:rPr>
          <w:sz w:val="22"/>
          <w:szCs w:val="22"/>
          <w:highlight w:val="white"/>
        </w:rPr>
        <w:t>RLP = Realizável a Longo Prazo</w:t>
      </w:r>
    </w:p>
    <w:p>
      <w:pPr>
        <w:pStyle w:val="normal1"/>
        <w:spacing w:lineRule="auto" w:line="276"/>
        <w:ind w:hanging="0" w:start="1418"/>
        <w:jc w:val="both"/>
        <w:rPr>
          <w:sz w:val="22"/>
          <w:szCs w:val="22"/>
          <w:highlight w:val="white"/>
        </w:rPr>
      </w:pPr>
      <w:r>
        <w:rPr>
          <w:sz w:val="22"/>
          <w:szCs w:val="22"/>
          <w:highlight w:val="white"/>
        </w:rPr>
        <w:t>PC = Passivo Circulante</w:t>
      </w:r>
    </w:p>
    <w:p>
      <w:pPr>
        <w:pStyle w:val="normal1"/>
        <w:spacing w:lineRule="auto" w:line="276"/>
        <w:ind w:hanging="0" w:start="1418"/>
        <w:jc w:val="both"/>
        <w:rPr>
          <w:sz w:val="22"/>
          <w:szCs w:val="22"/>
          <w:highlight w:val="white"/>
        </w:rPr>
      </w:pPr>
      <w:r>
        <w:rPr>
          <w:sz w:val="22"/>
          <w:szCs w:val="22"/>
          <w:highlight w:val="white"/>
        </w:rPr>
        <w:t>ELP = Exigível a Longo Prazo</w:t>
      </w:r>
    </w:p>
    <w:p>
      <w:pPr>
        <w:pStyle w:val="normal1"/>
        <w:spacing w:lineRule="auto" w:line="276"/>
        <w:ind w:hanging="0" w:start="1418"/>
        <w:jc w:val="both"/>
        <w:rPr>
          <w:sz w:val="22"/>
          <w:szCs w:val="22"/>
          <w:highlight w:val="white"/>
        </w:rPr>
      </w:pPr>
      <w:r>
        <w:rPr>
          <w:sz w:val="22"/>
          <w:szCs w:val="22"/>
          <w:highlight w:val="white"/>
        </w:rPr>
        <w:t>SG = Solvência Geral</w:t>
      </w:r>
    </w:p>
    <w:p>
      <w:pPr>
        <w:pStyle w:val="normal1"/>
        <w:spacing w:lineRule="auto" w:line="276"/>
        <w:ind w:hanging="0" w:start="1418"/>
        <w:jc w:val="both"/>
        <w:rPr>
          <w:sz w:val="22"/>
          <w:szCs w:val="22"/>
          <w:highlight w:val="white"/>
        </w:rPr>
      </w:pPr>
      <w:r>
        <w:rPr>
          <w:sz w:val="22"/>
          <w:szCs w:val="22"/>
          <w:highlight w:val="white"/>
        </w:rPr>
        <w:t>AT = Ativo Total</w:t>
      </w:r>
    </w:p>
    <w:p>
      <w:pPr>
        <w:pStyle w:val="normal1"/>
        <w:spacing w:lineRule="auto" w:line="276"/>
        <w:ind w:hanging="0" w:start="1418"/>
        <w:jc w:val="both"/>
        <w:rPr>
          <w:sz w:val="22"/>
          <w:szCs w:val="22"/>
          <w:highlight w:val="white"/>
        </w:rPr>
      </w:pPr>
      <w:r>
        <w:rPr>
          <w:sz w:val="22"/>
          <w:szCs w:val="22"/>
          <w:highlight w:val="white"/>
        </w:rPr>
        <w:t>PC = Passivo Circulante</w:t>
      </w:r>
    </w:p>
    <w:p>
      <w:pPr>
        <w:pStyle w:val="normal1"/>
        <w:spacing w:lineRule="auto" w:line="276"/>
        <w:ind w:hanging="0" w:start="1418"/>
        <w:jc w:val="both"/>
        <w:rPr>
          <w:sz w:val="22"/>
          <w:szCs w:val="22"/>
          <w:highlight w:val="white"/>
        </w:rPr>
      </w:pPr>
      <w:r>
        <w:rPr>
          <w:sz w:val="22"/>
          <w:szCs w:val="22"/>
          <w:highlight w:val="white"/>
        </w:rPr>
      </w:r>
    </w:p>
    <w:p>
      <w:pPr>
        <w:pStyle w:val="normal1"/>
        <w:numPr>
          <w:ilvl w:val="2"/>
          <w:numId w:val="23"/>
        </w:numPr>
        <w:spacing w:lineRule="auto" w:line="276"/>
        <w:ind w:hanging="284" w:start="1418"/>
        <w:jc w:val="both"/>
        <w:rPr>
          <w:sz w:val="22"/>
          <w:szCs w:val="22"/>
          <w:highlight w:val="white"/>
        </w:rPr>
      </w:pPr>
      <w:r>
        <w:rPr>
          <w:sz w:val="22"/>
          <w:szCs w:val="22"/>
          <w:highlight w:val="white"/>
        </w:rPr>
        <w:t>A comprovação da situação financeira da empresa será constatada mediante obtenção de índices de Liquidez Geral (LG), Solvência Geral (SG) e Liquidez Corrente (LC), resultantes da aplicação das fórmulas.</w:t>
      </w:r>
    </w:p>
    <w:p>
      <w:pPr>
        <w:pStyle w:val="normal1"/>
        <w:numPr>
          <w:ilvl w:val="2"/>
          <w:numId w:val="23"/>
        </w:numPr>
        <w:spacing w:lineRule="auto" w:line="276"/>
        <w:ind w:hanging="284" w:start="1418"/>
        <w:jc w:val="both"/>
        <w:rPr>
          <w:sz w:val="22"/>
          <w:szCs w:val="22"/>
          <w:highlight w:val="white"/>
        </w:rPr>
      </w:pPr>
      <w:r>
        <w:rPr>
          <w:sz w:val="22"/>
          <w:szCs w:val="22"/>
          <w:highlight w:val="white"/>
        </w:rPr>
        <w:t>As empresas, cadastradas ou não no SICAF, que apresentarem resultado inferior ou igual a 1(um) em qualquer dos índices de Liquidez Geral (LG), Solvência Geral (SG) e Liquidez Corrente (LC), deverão comprovar patrimônio líquido não inferior a 10% do valor estimado da contratação ou do item pertinente.</w:t>
      </w:r>
    </w:p>
    <w:p>
      <w:pPr>
        <w:pStyle w:val="normal1"/>
        <w:numPr>
          <w:ilvl w:val="2"/>
          <w:numId w:val="23"/>
        </w:numPr>
        <w:spacing w:lineRule="auto" w:line="276"/>
        <w:ind w:hanging="284" w:start="1418"/>
        <w:jc w:val="both"/>
        <w:rPr>
          <w:sz w:val="22"/>
          <w:szCs w:val="22"/>
          <w:highlight w:val="white"/>
        </w:rPr>
      </w:pPr>
      <w:r>
        <w:rPr>
          <w:sz w:val="22"/>
          <w:szCs w:val="22"/>
          <w:highlight w:val="white"/>
        </w:rPr>
        <w:t>Os documentos referidos acima deverão ser exigidos com base no limite definido pela Receita Federal do Brasil para transmissão da Escrituração Contábil Digital - ECD ao Sped, observando no que couber as obrigações contidas na Instrução Normativa RFB nº 2.003/2021.</w:t>
      </w:r>
    </w:p>
    <w:p>
      <w:pPr>
        <w:pStyle w:val="normal1"/>
        <w:spacing w:lineRule="auto" w:line="276"/>
        <w:ind w:hanging="0" w:start="1418"/>
        <w:jc w:val="both"/>
        <w:rPr>
          <w:sz w:val="22"/>
          <w:szCs w:val="22"/>
          <w:highlight w:val="white"/>
        </w:rPr>
      </w:pPr>
      <w:r>
        <w:rPr>
          <w:sz w:val="22"/>
          <w:szCs w:val="22"/>
          <w:highlight w:val="white"/>
        </w:rPr>
      </w:r>
    </w:p>
    <w:p>
      <w:pPr>
        <w:pStyle w:val="normal1"/>
        <w:spacing w:lineRule="auto" w:line="276"/>
        <w:ind w:hanging="0" w:start="1567"/>
        <w:jc w:val="both"/>
        <w:rPr>
          <w:b/>
          <w:sz w:val="22"/>
          <w:szCs w:val="22"/>
          <w:highlight w:val="white"/>
        </w:rPr>
      </w:pPr>
      <w:r>
        <w:rPr>
          <w:b/>
          <w:sz w:val="22"/>
          <w:szCs w:val="22"/>
          <w:highlight w:val="white"/>
        </w:rPr>
      </w:r>
    </w:p>
    <w:p>
      <w:pPr>
        <w:pStyle w:val="normal1"/>
        <w:numPr>
          <w:ilvl w:val="1"/>
          <w:numId w:val="23"/>
        </w:numPr>
        <w:spacing w:lineRule="auto" w:line="276"/>
        <w:ind w:hanging="1000" w:start="1567"/>
        <w:jc w:val="both"/>
        <w:rPr>
          <w:b/>
          <w:sz w:val="22"/>
          <w:szCs w:val="22"/>
          <w:highlight w:val="white"/>
        </w:rPr>
      </w:pPr>
      <w:r>
        <w:rPr>
          <w:b/>
          <w:sz w:val="22"/>
          <w:szCs w:val="22"/>
          <w:highlight w:val="white"/>
        </w:rPr>
        <w:t>Requisitos qualificação Técnica</w:t>
      </w:r>
    </w:p>
    <w:p>
      <w:pPr>
        <w:pStyle w:val="normal1"/>
        <w:numPr>
          <w:ilvl w:val="2"/>
          <w:numId w:val="23"/>
        </w:numPr>
        <w:spacing w:lineRule="auto" w:line="276"/>
        <w:ind w:hanging="0" w:start="851"/>
        <w:jc w:val="both"/>
        <w:rPr>
          <w:sz w:val="22"/>
          <w:szCs w:val="22"/>
          <w:highlight w:val="white"/>
        </w:rPr>
      </w:pPr>
      <w:r>
        <w:rPr>
          <w:sz w:val="22"/>
          <w:szCs w:val="22"/>
          <w:highlight w:val="white"/>
        </w:rPr>
        <w:t>Relatório fotográfico das instalações físicas de forma a demonstrar a condição de no mínimo, quartos, refeitório, banheiros,  cozinha, recepção, elevadores e/ou escadas, fachada e corredor de acesso aos quartos.</w:t>
      </w:r>
    </w:p>
    <w:p>
      <w:pPr>
        <w:pStyle w:val="normal1"/>
        <w:numPr>
          <w:ilvl w:val="2"/>
          <w:numId w:val="23"/>
        </w:numPr>
        <w:spacing w:lineRule="auto" w:line="276"/>
        <w:ind w:hanging="0" w:start="851"/>
        <w:jc w:val="both"/>
        <w:rPr>
          <w:sz w:val="22"/>
          <w:szCs w:val="22"/>
          <w:highlight w:val="white"/>
        </w:rPr>
      </w:pPr>
      <w:r>
        <w:rPr>
          <w:sz w:val="22"/>
          <w:szCs w:val="22"/>
          <w:highlight w:val="white"/>
        </w:rPr>
        <w:t xml:space="preserve">Alvará Sanitário atualizado e contendo as habilitações necessárias (CNAE) para execução da atividade contratada, expedido pela Vigilância Sanitária Municipal ou Estadual, devendo ser apresentado a cada renovação de contrato. </w:t>
      </w:r>
    </w:p>
    <w:p>
      <w:pPr>
        <w:pStyle w:val="normal1"/>
        <w:numPr>
          <w:ilvl w:val="2"/>
          <w:numId w:val="23"/>
        </w:numPr>
        <w:spacing w:lineRule="auto" w:line="276"/>
        <w:ind w:hanging="0" w:start="851"/>
        <w:jc w:val="both"/>
        <w:rPr>
          <w:sz w:val="22"/>
          <w:szCs w:val="22"/>
          <w:highlight w:val="white"/>
        </w:rPr>
      </w:pPr>
      <w:r>
        <w:rPr>
          <w:sz w:val="22"/>
          <w:szCs w:val="22"/>
          <w:highlight w:val="white"/>
        </w:rPr>
        <w:t>Declaração de que possui estrutura física adequada e compatível com a oferta de serviços realizada, nos termos definidos neste Termo de Referência e em conformidade com as normas técnicas e legislação sanitária vigentes.</w:t>
      </w:r>
    </w:p>
    <w:p>
      <w:pPr>
        <w:pStyle w:val="normal1"/>
        <w:tabs>
          <w:tab w:val="clear" w:pos="720"/>
          <w:tab w:val="left" w:pos="851" w:leader="none"/>
          <w:tab w:val="left" w:pos="993" w:leader="none"/>
          <w:tab w:val="left" w:pos="1276" w:leader="none"/>
          <w:tab w:val="left" w:pos="1560" w:leader="none"/>
        </w:tabs>
        <w:spacing w:lineRule="auto" w:line="276"/>
        <w:jc w:val="both"/>
        <w:rPr>
          <w:sz w:val="22"/>
          <w:szCs w:val="22"/>
          <w:highlight w:val="white"/>
        </w:rPr>
      </w:pPr>
      <w:r>
        <w:rPr>
          <w:sz w:val="22"/>
          <w:szCs w:val="22"/>
          <w:highlight w:val="white"/>
        </w:rPr>
      </w:r>
    </w:p>
    <w:p>
      <w:pPr>
        <w:pStyle w:val="normal1"/>
        <w:numPr>
          <w:ilvl w:val="0"/>
          <w:numId w:val="23"/>
        </w:numPr>
        <w:spacing w:lineRule="auto" w:line="276"/>
        <w:ind w:hanging="360" w:start="360"/>
        <w:jc w:val="both"/>
        <w:rPr>
          <w:b/>
          <w:sz w:val="22"/>
          <w:szCs w:val="22"/>
          <w:highlight w:val="white"/>
        </w:rPr>
      </w:pPr>
      <w:r>
        <w:rPr>
          <w:b/>
          <w:sz w:val="22"/>
          <w:szCs w:val="22"/>
          <w:highlight w:val="white"/>
        </w:rPr>
        <w:t>DA DISTRIBUIÇÃO DA DEMANDA</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Será agendada sessão pública para realização da distribuição da demanda, em prazo de 05 (cinco) dias da abertura do edital, com prazo mínimo para recebimento de propostas conforme determinado no art. 50, § 5º do Decreto Municipal n. 24.954 de 1º de março de 2023. </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A data e horário da sessão deverão ser divulgados por meio de publicação oficial com, no mínimo, 5 dias de antecedência e informada diretamente ao e-mail dos prestadores já credenciados. </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Poderão participar da distribuição da demanda todos os prestadores credenciados até a data da sessão. </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É responsabilidade do interessado encaminhar o requerimento de credenciamento em tempo hábil, observando os prazos para análise dispostos no edital, para que consiga estar credenciado até a data da sessão de distribuição da demanda. </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É facultada a participação de um representante do credenciado na sessão de distribuição da demanda que deverá, nesta oportunidade, ratificar ou questionar os métodos realizados. </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A distribuição da demanda será feita gradualmente, conforme os critérios abaixo, até o atendimento completo das necessidades da administração pública: </w:t>
      </w:r>
    </w:p>
    <w:p>
      <w:pPr>
        <w:pStyle w:val="normal1"/>
        <w:numPr>
          <w:ilvl w:val="2"/>
          <w:numId w:val="23"/>
        </w:numPr>
        <w:spacing w:lineRule="auto" w:line="276"/>
        <w:ind w:hanging="0" w:start="851"/>
        <w:jc w:val="both"/>
        <w:rPr>
          <w:sz w:val="22"/>
          <w:szCs w:val="22"/>
          <w:highlight w:val="white"/>
        </w:rPr>
      </w:pPr>
      <w:r>
        <w:rPr>
          <w:sz w:val="22"/>
          <w:szCs w:val="22"/>
          <w:highlight w:val="white"/>
        </w:rPr>
        <w:t>Havendo mais de um participante no credenciamento será adotado os seguintes critérios:</w:t>
      </w:r>
    </w:p>
    <w:p>
      <w:pPr>
        <w:pStyle w:val="normal1"/>
        <w:numPr>
          <w:ilvl w:val="3"/>
          <w:numId w:val="23"/>
        </w:numPr>
        <w:spacing w:lineRule="auto" w:line="276"/>
        <w:ind w:hanging="648" w:start="1728"/>
        <w:jc w:val="both"/>
        <w:rPr>
          <w:sz w:val="22"/>
          <w:szCs w:val="22"/>
          <w:highlight w:val="white"/>
        </w:rPr>
      </w:pPr>
      <w:r>
        <w:rPr>
          <w:b/>
          <w:sz w:val="22"/>
          <w:szCs w:val="22"/>
          <w:highlight w:val="white"/>
        </w:rPr>
        <w:t>1º Critério:</w:t>
      </w:r>
      <w:r>
        <w:rPr>
          <w:sz w:val="22"/>
          <w:szCs w:val="22"/>
          <w:highlight w:val="white"/>
        </w:rPr>
        <w:t xml:space="preserve"> Menor de distância em linha reta a partir do Terminal de Integração do Centro – TICEN, utilizando como parâmetro a ferramenta Google maps; </w:t>
      </w:r>
    </w:p>
    <w:p>
      <w:pPr>
        <w:pStyle w:val="normal1"/>
        <w:numPr>
          <w:ilvl w:val="3"/>
          <w:numId w:val="23"/>
        </w:numPr>
        <w:spacing w:lineRule="auto" w:line="276"/>
        <w:ind w:hanging="648" w:start="1728"/>
        <w:jc w:val="both"/>
        <w:rPr>
          <w:sz w:val="22"/>
          <w:szCs w:val="22"/>
          <w:highlight w:val="white"/>
        </w:rPr>
      </w:pPr>
      <w:r>
        <w:rPr>
          <w:b/>
          <w:sz w:val="22"/>
          <w:szCs w:val="22"/>
          <w:highlight w:val="white"/>
        </w:rPr>
        <w:t>2º Critério:</w:t>
      </w:r>
      <w:r>
        <w:rPr>
          <w:sz w:val="22"/>
          <w:szCs w:val="22"/>
          <w:highlight w:val="white"/>
        </w:rPr>
        <w:t xml:space="preserve"> ordem de recebimento das propostas dos credenciados; </w:t>
      </w:r>
    </w:p>
    <w:p>
      <w:pPr>
        <w:pStyle w:val="normal1"/>
        <w:numPr>
          <w:ilvl w:val="1"/>
          <w:numId w:val="23"/>
        </w:numPr>
        <w:spacing w:lineRule="auto" w:line="276"/>
        <w:ind w:hanging="1000" w:start="1567"/>
        <w:jc w:val="both"/>
        <w:rPr>
          <w:sz w:val="22"/>
          <w:szCs w:val="22"/>
          <w:highlight w:val="white"/>
        </w:rPr>
      </w:pPr>
      <w:r>
        <w:rPr>
          <w:sz w:val="22"/>
          <w:szCs w:val="22"/>
          <w:highlight w:val="white"/>
        </w:rPr>
        <w:t>Será observada a ordem de recebimento das propostas dos credenciados como critério de desempate para a distribuição da demanda, sempre que necessário.</w:t>
      </w:r>
    </w:p>
    <w:p>
      <w:pPr>
        <w:pStyle w:val="normal1"/>
        <w:numPr>
          <w:ilvl w:val="1"/>
          <w:numId w:val="23"/>
        </w:numPr>
        <w:spacing w:lineRule="auto" w:line="276"/>
        <w:ind w:hanging="1000" w:start="1567"/>
        <w:jc w:val="both"/>
        <w:rPr>
          <w:sz w:val="22"/>
          <w:szCs w:val="22"/>
          <w:highlight w:val="white"/>
        </w:rPr>
      </w:pPr>
      <w:r>
        <w:rPr>
          <w:sz w:val="22"/>
          <w:szCs w:val="22"/>
          <w:highlight w:val="white"/>
        </w:rPr>
        <w:t>O credenciado deverá registrar sua desistência por escrito, podendo ser por meio de e-mail, logo após a realização da sessão de distribuição da demanda.</w:t>
      </w:r>
    </w:p>
    <w:p>
      <w:pPr>
        <w:pStyle w:val="normal1"/>
        <w:numPr>
          <w:ilvl w:val="1"/>
          <w:numId w:val="23"/>
        </w:numPr>
        <w:spacing w:lineRule="auto" w:line="276"/>
        <w:ind w:hanging="1000" w:start="1567"/>
        <w:jc w:val="both"/>
        <w:rPr>
          <w:sz w:val="22"/>
          <w:szCs w:val="22"/>
          <w:highlight w:val="white"/>
        </w:rPr>
      </w:pPr>
      <w:r>
        <w:rPr>
          <w:sz w:val="22"/>
          <w:szCs w:val="22"/>
          <w:highlight w:val="white"/>
        </w:rPr>
        <w:t>Aquele que desistir da oferta de serviços após a distribuição da demanda será descredenciado e não permanecerá na fila de prestadores credenciados.</w:t>
      </w:r>
    </w:p>
    <w:p>
      <w:pPr>
        <w:pStyle w:val="normal1"/>
        <w:numPr>
          <w:ilvl w:val="1"/>
          <w:numId w:val="23"/>
        </w:numPr>
        <w:spacing w:lineRule="auto" w:line="276"/>
        <w:ind w:hanging="1000" w:start="1567"/>
        <w:jc w:val="both"/>
        <w:rPr>
          <w:sz w:val="22"/>
          <w:szCs w:val="22"/>
          <w:highlight w:val="white"/>
        </w:rPr>
      </w:pPr>
      <w:r>
        <w:rPr>
          <w:sz w:val="22"/>
          <w:szCs w:val="22"/>
          <w:highlight w:val="white"/>
        </w:rPr>
        <w:t>Restando ainda saldo da demanda inicialmente prevista, esta ficará disponível para distribuição aos novos credenciados durante a vigência do edital.</w:t>
      </w:r>
    </w:p>
    <w:p>
      <w:pPr>
        <w:pStyle w:val="normal1"/>
        <w:numPr>
          <w:ilvl w:val="1"/>
          <w:numId w:val="23"/>
        </w:numPr>
        <w:spacing w:lineRule="auto" w:line="276"/>
        <w:ind w:hanging="1000" w:start="1567"/>
        <w:jc w:val="both"/>
        <w:rPr>
          <w:sz w:val="22"/>
          <w:szCs w:val="22"/>
          <w:highlight w:val="white"/>
        </w:rPr>
      </w:pPr>
      <w:r>
        <w:rPr>
          <w:sz w:val="22"/>
          <w:szCs w:val="22"/>
          <w:highlight w:val="white"/>
        </w:rPr>
        <w:t>Na hipótese de toda a demanda do edital ter sido distribuída e ocorrendo o credenciamento de novos interessados, estes permanecerão na fila de prestadores credenciados aguardando a desistência ou rescisão contratual de algum prestador de serviços.</w:t>
      </w:r>
    </w:p>
    <w:p>
      <w:pPr>
        <w:pStyle w:val="normal1"/>
        <w:numPr>
          <w:ilvl w:val="1"/>
          <w:numId w:val="23"/>
        </w:numPr>
        <w:spacing w:lineRule="auto" w:line="276"/>
        <w:ind w:hanging="1000" w:start="1567"/>
        <w:jc w:val="both"/>
        <w:rPr>
          <w:sz w:val="22"/>
          <w:szCs w:val="22"/>
          <w:highlight w:val="white"/>
        </w:rPr>
      </w:pPr>
      <w:r>
        <w:rPr>
          <w:sz w:val="22"/>
          <w:szCs w:val="22"/>
          <w:highlight w:val="white"/>
        </w:rPr>
        <w:t>Observada a ordem do credenciamento, o rodízio deverá ser realizado a cada autorização de fornecimento (AF) a qual constará a relação da composição familiar e deverá priorizar a acomodação de todos os integrantes da mesma família em tantos quartos quanto forem necessários a manutenção do arranjo familiar.</w:t>
      </w:r>
    </w:p>
    <w:p>
      <w:pPr>
        <w:pStyle w:val="normal1"/>
        <w:spacing w:lineRule="auto" w:line="276"/>
        <w:ind w:hanging="0" w:start="1567"/>
        <w:jc w:val="both"/>
        <w:rPr>
          <w:sz w:val="22"/>
          <w:szCs w:val="22"/>
          <w:highlight w:val="white"/>
        </w:rPr>
      </w:pPr>
      <w:r>
        <w:rPr>
          <w:sz w:val="22"/>
          <w:szCs w:val="22"/>
          <w:highlight w:val="white"/>
        </w:rPr>
      </w:r>
    </w:p>
    <w:p>
      <w:pPr>
        <w:pStyle w:val="normal1"/>
        <w:numPr>
          <w:ilvl w:val="0"/>
          <w:numId w:val="23"/>
        </w:numPr>
        <w:spacing w:lineRule="auto" w:line="276"/>
        <w:ind w:hanging="360" w:start="360"/>
        <w:jc w:val="both"/>
        <w:rPr>
          <w:b/>
          <w:sz w:val="22"/>
          <w:szCs w:val="22"/>
          <w:highlight w:val="white"/>
        </w:rPr>
      </w:pPr>
      <w:r>
        <w:rPr>
          <w:b/>
          <w:sz w:val="22"/>
          <w:szCs w:val="22"/>
          <w:highlight w:val="white"/>
        </w:rPr>
        <w:t>DAS HIPÓTESES DE DESCREDENCIAMENTO</w:t>
      </w:r>
    </w:p>
    <w:p>
      <w:pPr>
        <w:pStyle w:val="normal1"/>
        <w:numPr>
          <w:ilvl w:val="1"/>
          <w:numId w:val="23"/>
        </w:numPr>
        <w:spacing w:lineRule="auto" w:line="276"/>
        <w:ind w:hanging="1000" w:start="1567"/>
        <w:jc w:val="both"/>
        <w:rPr>
          <w:sz w:val="22"/>
          <w:szCs w:val="22"/>
          <w:highlight w:val="white"/>
        </w:rPr>
      </w:pPr>
      <w:r>
        <w:rPr>
          <w:sz w:val="22"/>
          <w:szCs w:val="22"/>
          <w:highlight w:val="white"/>
        </w:rPr>
        <w:t>O presente credenciamento tem caráter precário. A qualquer momento, o CREDENCIADO pode solicitar descredenciamento, caso não tenha mais interesse. Ademais, o CREDENCIADO ou a administração pública podem denunciar o credenciamento, caso seja constatada qualquer irregularidade na observância e cumprimento das normas fixadas no Edital ou na legislação pertinente.</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O CREDENCIADO que desejar iniciar o procedimento de descredenciamento deverá solicitá-lo mediante aviso escrito, com antecedência mínima de 30 (trinta) dias, no órgão responsável pelo credenciamento. </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A administração pública pode, a qualquer momento, solicitar o descredenciamento por conveniência e oportunidade. </w:t>
      </w:r>
    </w:p>
    <w:p>
      <w:pPr>
        <w:pStyle w:val="normal1"/>
        <w:spacing w:lineRule="auto" w:line="276"/>
        <w:jc w:val="both"/>
        <w:rPr>
          <w:sz w:val="22"/>
          <w:szCs w:val="22"/>
          <w:highlight w:val="white"/>
        </w:rPr>
      </w:pPr>
      <w:r>
        <w:rPr>
          <w:sz w:val="22"/>
          <w:szCs w:val="22"/>
          <w:highlight w:val="white"/>
        </w:rPr>
      </w:r>
    </w:p>
    <w:p>
      <w:pPr>
        <w:pStyle w:val="normal1"/>
        <w:numPr>
          <w:ilvl w:val="0"/>
          <w:numId w:val="23"/>
        </w:numPr>
        <w:spacing w:lineRule="auto" w:line="276"/>
        <w:ind w:hanging="360" w:start="360"/>
        <w:jc w:val="both"/>
        <w:rPr>
          <w:b/>
          <w:sz w:val="22"/>
          <w:szCs w:val="22"/>
          <w:highlight w:val="white"/>
        </w:rPr>
      </w:pPr>
      <w:r>
        <w:rPr>
          <w:b/>
          <w:sz w:val="22"/>
          <w:szCs w:val="22"/>
          <w:highlight w:val="white"/>
        </w:rPr>
        <w:t>DOS PRAZOS E PUBLICAÇÕES DO CREDENCIAMENTO E DESCREDENCIAMENTO</w:t>
      </w:r>
    </w:p>
    <w:p>
      <w:pPr>
        <w:pStyle w:val="normal1"/>
        <w:numPr>
          <w:ilvl w:val="1"/>
          <w:numId w:val="23"/>
        </w:numPr>
        <w:spacing w:lineRule="auto" w:line="276"/>
        <w:ind w:hanging="1000" w:start="1567"/>
        <w:jc w:val="both"/>
        <w:rPr>
          <w:b/>
          <w:sz w:val="22"/>
          <w:szCs w:val="22"/>
          <w:highlight w:val="white"/>
        </w:rPr>
      </w:pPr>
      <w:r>
        <w:rPr>
          <w:b/>
          <w:sz w:val="22"/>
          <w:szCs w:val="22"/>
          <w:highlight w:val="white"/>
        </w:rPr>
        <w:t>Prazo do Credenciamento</w:t>
      </w:r>
    </w:p>
    <w:p>
      <w:pPr>
        <w:pStyle w:val="normal1"/>
        <w:numPr>
          <w:ilvl w:val="2"/>
          <w:numId w:val="23"/>
        </w:numPr>
        <w:spacing w:lineRule="auto" w:line="276"/>
        <w:ind w:hanging="0" w:start="851"/>
        <w:jc w:val="both"/>
        <w:rPr>
          <w:sz w:val="22"/>
          <w:szCs w:val="22"/>
          <w:highlight w:val="white"/>
        </w:rPr>
      </w:pPr>
      <w:r>
        <w:rPr>
          <w:sz w:val="22"/>
          <w:szCs w:val="22"/>
          <w:highlight w:val="white"/>
        </w:rPr>
        <w:t xml:space="preserve">O credenciamento de novos interessados será permanente durante a vigência do edital, na forma do parágrafo Único, inciso I , artigo 79 da Lei nº 14.133/2021. </w:t>
      </w:r>
    </w:p>
    <w:p>
      <w:pPr>
        <w:pStyle w:val="normal1"/>
        <w:numPr>
          <w:ilvl w:val="2"/>
          <w:numId w:val="23"/>
        </w:numPr>
        <w:spacing w:lineRule="auto" w:line="276"/>
        <w:ind w:hanging="0" w:start="851"/>
        <w:jc w:val="both"/>
        <w:rPr>
          <w:sz w:val="22"/>
          <w:szCs w:val="22"/>
          <w:highlight w:val="white"/>
        </w:rPr>
      </w:pPr>
      <w:r>
        <w:rPr>
          <w:sz w:val="22"/>
          <w:szCs w:val="22"/>
          <w:highlight w:val="white"/>
        </w:rPr>
        <w:t xml:space="preserve">Ante a manutenção do cadastramento permanente de novos interessados, a inabilitação da empresa interessada não impede a propositura posterior de nova proposta de credenciamento. </w:t>
      </w:r>
    </w:p>
    <w:p>
      <w:pPr>
        <w:pStyle w:val="normal1"/>
        <w:numPr>
          <w:ilvl w:val="2"/>
          <w:numId w:val="23"/>
        </w:numPr>
        <w:spacing w:lineRule="auto" w:line="276"/>
        <w:ind w:hanging="0" w:start="851"/>
        <w:jc w:val="both"/>
        <w:rPr>
          <w:sz w:val="22"/>
          <w:szCs w:val="22"/>
          <w:highlight w:val="white"/>
        </w:rPr>
      </w:pPr>
      <w:r>
        <w:rPr>
          <w:sz w:val="22"/>
          <w:szCs w:val="22"/>
          <w:highlight w:val="white"/>
        </w:rPr>
        <w:t>O edital de credenciamento poderá ser republicado a cada 12 meses, enquanto perdurar a necessidade do CREDENCIANTE.</w:t>
      </w:r>
    </w:p>
    <w:p>
      <w:pPr>
        <w:pStyle w:val="normal1"/>
        <w:numPr>
          <w:ilvl w:val="2"/>
          <w:numId w:val="23"/>
        </w:numPr>
        <w:spacing w:lineRule="auto" w:line="276"/>
        <w:ind w:hanging="0" w:start="851"/>
        <w:jc w:val="both"/>
        <w:rPr>
          <w:sz w:val="22"/>
          <w:szCs w:val="22"/>
          <w:highlight w:val="white"/>
        </w:rPr>
      </w:pPr>
      <w:r>
        <w:rPr>
          <w:sz w:val="22"/>
          <w:szCs w:val="22"/>
          <w:highlight w:val="white"/>
        </w:rPr>
        <w:t>A inscrição do interessado no credenciamento implica a aceitação integral e irrestrita de todas as condições estabelecidas neste Termo de Referência, na legislação correlata de credenciamento e seus anexos.</w:t>
      </w:r>
    </w:p>
    <w:p>
      <w:pPr>
        <w:pStyle w:val="normal1"/>
        <w:numPr>
          <w:ilvl w:val="2"/>
          <w:numId w:val="23"/>
        </w:numPr>
        <w:spacing w:lineRule="auto" w:line="276"/>
        <w:ind w:hanging="0" w:start="851"/>
        <w:jc w:val="both"/>
        <w:rPr>
          <w:sz w:val="22"/>
          <w:szCs w:val="22"/>
          <w:highlight w:val="white"/>
        </w:rPr>
      </w:pPr>
      <w:r>
        <w:rPr>
          <w:sz w:val="22"/>
          <w:szCs w:val="22"/>
          <w:highlight w:val="white"/>
        </w:rPr>
        <w:t>O credenciamento dos interessados terá validade pelo mesmo prazo de vigência do edital que os habilitou.</w:t>
      </w:r>
    </w:p>
    <w:p>
      <w:pPr>
        <w:pStyle w:val="normal1"/>
        <w:numPr>
          <w:ilvl w:val="2"/>
          <w:numId w:val="23"/>
        </w:numPr>
        <w:spacing w:lineRule="auto" w:line="276"/>
        <w:ind w:hanging="0" w:start="851"/>
        <w:jc w:val="both"/>
        <w:rPr>
          <w:sz w:val="22"/>
          <w:szCs w:val="22"/>
          <w:highlight w:val="white"/>
        </w:rPr>
      </w:pPr>
      <w:r>
        <w:rPr>
          <w:sz w:val="22"/>
          <w:szCs w:val="22"/>
          <w:highlight w:val="white"/>
        </w:rPr>
        <w:t xml:space="preserve">Os credenciados deverão manter as condições regulares de habilitação, nos termos da legislação vigente, durante todo o período de credenciamento, sob pena de descredenciamento, assegurado o contraditório e a ampla defesa. </w:t>
      </w:r>
    </w:p>
    <w:p>
      <w:pPr>
        <w:pStyle w:val="normal1"/>
        <w:numPr>
          <w:ilvl w:val="2"/>
          <w:numId w:val="23"/>
        </w:numPr>
        <w:spacing w:lineRule="auto" w:line="276"/>
        <w:ind w:hanging="0" w:start="851"/>
        <w:jc w:val="both"/>
        <w:rPr>
          <w:sz w:val="22"/>
          <w:szCs w:val="22"/>
          <w:highlight w:val="white"/>
        </w:rPr>
      </w:pPr>
      <w:r>
        <w:rPr>
          <w:sz w:val="22"/>
          <w:szCs w:val="22"/>
          <w:highlight w:val="white"/>
        </w:rPr>
        <w:t>O CREDENCIANTE manterá, à disposição do público, a relação atualizada de credenciados para cada edital de chamamento. Tal relação será disponibilizada no PNCP e no sítio eletrônico do município.</w:t>
      </w:r>
    </w:p>
    <w:p>
      <w:pPr>
        <w:pStyle w:val="normal1"/>
        <w:numPr>
          <w:ilvl w:val="2"/>
          <w:numId w:val="23"/>
        </w:numPr>
        <w:spacing w:lineRule="auto" w:line="276"/>
        <w:ind w:hanging="0" w:start="851"/>
        <w:jc w:val="both"/>
        <w:rPr>
          <w:sz w:val="22"/>
          <w:szCs w:val="22"/>
          <w:highlight w:val="white"/>
        </w:rPr>
      </w:pPr>
      <w:r>
        <w:rPr>
          <w:sz w:val="22"/>
          <w:szCs w:val="22"/>
          <w:highlight w:val="white"/>
        </w:rPr>
        <w:t>O credenciamento dos interessados não se confunde com a contratação, a qual só ocorrerá por meio de contratação direta na forma inexigibilidade de licitação, com respaldo no art. 74, IV da Lei Federal nº 14.133/2021.</w:t>
      </w:r>
    </w:p>
    <w:p>
      <w:pPr>
        <w:pStyle w:val="normal1"/>
        <w:spacing w:lineRule="auto" w:line="276"/>
        <w:ind w:hanging="0" w:start="851"/>
        <w:jc w:val="both"/>
        <w:rPr>
          <w:sz w:val="22"/>
          <w:szCs w:val="22"/>
          <w:highlight w:val="white"/>
        </w:rPr>
      </w:pPr>
      <w:r>
        <w:rPr>
          <w:sz w:val="22"/>
          <w:szCs w:val="22"/>
          <w:highlight w:val="white"/>
        </w:rPr>
      </w:r>
    </w:p>
    <w:p>
      <w:pPr>
        <w:pStyle w:val="normal1"/>
        <w:numPr>
          <w:ilvl w:val="1"/>
          <w:numId w:val="23"/>
        </w:numPr>
        <w:spacing w:lineRule="auto" w:line="276"/>
        <w:ind w:hanging="1000" w:start="1567"/>
        <w:jc w:val="both"/>
        <w:rPr>
          <w:b/>
          <w:sz w:val="22"/>
          <w:szCs w:val="22"/>
          <w:highlight w:val="white"/>
        </w:rPr>
      </w:pPr>
      <w:r>
        <w:rPr>
          <w:b/>
          <w:sz w:val="22"/>
          <w:szCs w:val="22"/>
          <w:highlight w:val="white"/>
        </w:rPr>
        <w:t>Prazo de Recebimento de Documentos</w:t>
      </w:r>
    </w:p>
    <w:p>
      <w:pPr>
        <w:pStyle w:val="normal1"/>
        <w:numPr>
          <w:ilvl w:val="2"/>
          <w:numId w:val="23"/>
        </w:numPr>
        <w:spacing w:lineRule="auto" w:line="276"/>
        <w:ind w:hanging="0" w:start="851"/>
        <w:jc w:val="both"/>
        <w:rPr>
          <w:sz w:val="22"/>
          <w:szCs w:val="22"/>
          <w:highlight w:val="white"/>
        </w:rPr>
      </w:pPr>
      <w:r>
        <w:rPr>
          <w:sz w:val="22"/>
          <w:szCs w:val="22"/>
          <w:highlight w:val="white"/>
        </w:rPr>
        <w:t xml:space="preserve">O prazo inicial de recebimento dos documentos para cadastro de participação de interessados neste credenciamento contará a partir da data da publicação legal do edital. </w:t>
      </w:r>
    </w:p>
    <w:p>
      <w:pPr>
        <w:pStyle w:val="normal1"/>
        <w:numPr>
          <w:ilvl w:val="2"/>
          <w:numId w:val="23"/>
        </w:numPr>
        <w:spacing w:lineRule="auto" w:line="276"/>
        <w:ind w:hanging="0" w:start="851"/>
        <w:jc w:val="both"/>
        <w:rPr>
          <w:sz w:val="22"/>
          <w:szCs w:val="22"/>
          <w:highlight w:val="white"/>
        </w:rPr>
      </w:pPr>
      <w:r>
        <w:rPr>
          <w:sz w:val="22"/>
          <w:szCs w:val="22"/>
          <w:highlight w:val="white"/>
        </w:rPr>
        <w:t xml:space="preserve">A medida em que foram sendo recebidos, os documentos de habilitação serão avaliados pela comissão de contratação, que julgará a partir de critérios objetivos definidos no item 5 deste termo de referência e divulgará a lista inicial dos habilitados </w:t>
      </w:r>
    </w:p>
    <w:p>
      <w:pPr>
        <w:pStyle w:val="normal1"/>
        <w:numPr>
          <w:ilvl w:val="2"/>
          <w:numId w:val="23"/>
        </w:numPr>
        <w:spacing w:lineRule="auto" w:line="276"/>
        <w:ind w:hanging="0" w:start="851"/>
        <w:jc w:val="both"/>
        <w:rPr>
          <w:sz w:val="22"/>
          <w:szCs w:val="22"/>
          <w:highlight w:val="white"/>
        </w:rPr>
      </w:pPr>
      <w:r>
        <w:rPr>
          <w:sz w:val="22"/>
          <w:szCs w:val="22"/>
          <w:highlight w:val="white"/>
        </w:rPr>
        <w:t xml:space="preserve">Os requerimentos para credenciamento serão analisados pelo Agente de Contratação devidamente designado, em atenção ao Art. 34 do Decreto 24.954 de 01 de março de 2023 e com fulcro no art. 07, da Lei Federal nº 14.133/2021, com vistas à homologação pelo Gestor da Pasta requisitante dos serviços. </w:t>
      </w:r>
    </w:p>
    <w:p>
      <w:pPr>
        <w:pStyle w:val="normal1"/>
        <w:numPr>
          <w:ilvl w:val="3"/>
          <w:numId w:val="23"/>
        </w:numPr>
        <w:spacing w:lineRule="auto" w:line="276"/>
        <w:ind w:hanging="648" w:start="1728"/>
        <w:jc w:val="both"/>
        <w:rPr>
          <w:sz w:val="22"/>
          <w:szCs w:val="22"/>
          <w:highlight w:val="white"/>
        </w:rPr>
      </w:pPr>
      <w:r>
        <w:rPr>
          <w:sz w:val="22"/>
          <w:szCs w:val="22"/>
          <w:highlight w:val="white"/>
        </w:rPr>
        <w:t>A Comissão de Contratação, caso houver, deverá ser formada por agentes públicos com qualificação técnica suficiente para analisar e julgar os documentos do credenciamento.</w:t>
      </w:r>
    </w:p>
    <w:p>
      <w:pPr>
        <w:pStyle w:val="normal1"/>
        <w:numPr>
          <w:ilvl w:val="3"/>
          <w:numId w:val="23"/>
        </w:numPr>
        <w:spacing w:lineRule="auto" w:line="276"/>
        <w:ind w:hanging="648" w:start="1728"/>
        <w:jc w:val="both"/>
        <w:rPr>
          <w:sz w:val="22"/>
          <w:szCs w:val="22"/>
          <w:highlight w:val="white"/>
        </w:rPr>
      </w:pPr>
      <w:r>
        <w:rPr>
          <w:sz w:val="22"/>
          <w:szCs w:val="22"/>
          <w:highlight w:val="white"/>
        </w:rPr>
        <w:t>A nomeação da Comissão de Contratação, caso houver, deverá ser publicada por portaria no DOM no prazo máximo de 5 (cinco) dias após a publicação do edital.</w:t>
      </w:r>
    </w:p>
    <w:p>
      <w:pPr>
        <w:pStyle w:val="normal1"/>
        <w:numPr>
          <w:ilvl w:val="2"/>
          <w:numId w:val="23"/>
        </w:numPr>
        <w:spacing w:lineRule="auto" w:line="276"/>
        <w:ind w:hanging="0" w:start="851"/>
        <w:jc w:val="both"/>
        <w:rPr>
          <w:sz w:val="22"/>
          <w:szCs w:val="22"/>
          <w:highlight w:val="white"/>
        </w:rPr>
      </w:pPr>
      <w:r>
        <w:rPr>
          <w:sz w:val="22"/>
          <w:szCs w:val="22"/>
          <w:highlight w:val="white"/>
        </w:rPr>
        <w:t xml:space="preserve">É responsabilidade do Agente de Contratação verificar a existência de sanção que impeça a participação no credenciamento ou futura contratação, mediante consulta aos seguintes cadastros: </w:t>
      </w:r>
    </w:p>
    <w:p>
      <w:pPr>
        <w:pStyle w:val="normal1"/>
        <w:numPr>
          <w:ilvl w:val="0"/>
          <w:numId w:val="28"/>
        </w:numPr>
        <w:spacing w:lineRule="auto" w:line="276"/>
        <w:ind w:hanging="360" w:start="1854"/>
        <w:jc w:val="both"/>
        <w:rPr>
          <w:sz w:val="22"/>
          <w:szCs w:val="22"/>
          <w:highlight w:val="white"/>
        </w:rPr>
      </w:pPr>
      <w:r>
        <w:rPr>
          <w:sz w:val="22"/>
          <w:szCs w:val="22"/>
          <w:highlight w:val="white"/>
        </w:rPr>
        <w:t xml:space="preserve">Cadastro Nacional de Empresas Inidôneas e Suspensas (CEIS); </w:t>
      </w:r>
    </w:p>
    <w:p>
      <w:pPr>
        <w:pStyle w:val="normal1"/>
        <w:numPr>
          <w:ilvl w:val="0"/>
          <w:numId w:val="28"/>
        </w:numPr>
        <w:spacing w:lineRule="auto" w:line="276"/>
        <w:ind w:hanging="360" w:start="1854"/>
        <w:jc w:val="both"/>
        <w:rPr>
          <w:sz w:val="22"/>
          <w:szCs w:val="22"/>
          <w:highlight w:val="white"/>
        </w:rPr>
      </w:pPr>
      <w:r>
        <w:rPr>
          <w:sz w:val="22"/>
          <w:szCs w:val="22"/>
          <w:highlight w:val="white"/>
        </w:rPr>
        <w:t>Cadastro Nacional de Empresas Punidas (CNEP).</w:t>
      </w:r>
    </w:p>
    <w:p>
      <w:pPr>
        <w:pStyle w:val="normal1"/>
        <w:numPr>
          <w:ilvl w:val="2"/>
          <w:numId w:val="23"/>
        </w:numPr>
        <w:spacing w:lineRule="auto" w:line="276"/>
        <w:ind w:hanging="0" w:start="851"/>
        <w:jc w:val="both"/>
        <w:rPr>
          <w:sz w:val="22"/>
          <w:szCs w:val="22"/>
          <w:highlight w:val="white"/>
        </w:rPr>
      </w:pPr>
      <w:r>
        <w:rPr>
          <w:sz w:val="22"/>
          <w:szCs w:val="22"/>
          <w:highlight w:val="white"/>
        </w:rPr>
        <w:t>A consulta aos cadastros acima referidos será realizada em nome do habilitado e também de seu sócio majoritário, por força do art. 12 da Lei nº 8.429/1992 (Dispõe sobre as sanções aplicáveis em virtude da prática de atos de improbidade administrativa, de que trata o § 4º do art. 37 da Constituição Federal; e dá outras providências). A verificação visa coibir o disposto no art. 337-M do Código Penal.</w:t>
      </w:r>
    </w:p>
    <w:p>
      <w:pPr>
        <w:pStyle w:val="normal1"/>
        <w:numPr>
          <w:ilvl w:val="2"/>
          <w:numId w:val="23"/>
        </w:numPr>
        <w:spacing w:lineRule="auto" w:line="276"/>
        <w:ind w:hanging="0" w:start="851"/>
        <w:jc w:val="both"/>
        <w:rPr>
          <w:sz w:val="22"/>
          <w:szCs w:val="22"/>
          <w:highlight w:val="white"/>
        </w:rPr>
      </w:pPr>
      <w:r>
        <w:rPr>
          <w:sz w:val="22"/>
          <w:szCs w:val="22"/>
          <w:highlight w:val="white"/>
        </w:rPr>
        <w:t>O Agente de Contratação poderá oferecer prazo máximo de 05 dias úteis para o interessado regularizar a documentação, não sendo permitida a substituição ou a apresentação de novos documentos, salvo em sede de diligência, para (art. 64 da Lei nº 14.133/2021):</w:t>
      </w:r>
    </w:p>
    <w:p>
      <w:pPr>
        <w:pStyle w:val="normal1"/>
        <w:numPr>
          <w:ilvl w:val="0"/>
          <w:numId w:val="26"/>
        </w:numPr>
        <w:spacing w:lineRule="auto" w:line="276"/>
        <w:ind w:hanging="360" w:start="1854"/>
        <w:jc w:val="both"/>
        <w:rPr>
          <w:sz w:val="22"/>
          <w:szCs w:val="22"/>
          <w:highlight w:val="white"/>
        </w:rPr>
      </w:pPr>
      <w:r>
        <w:rPr>
          <w:sz w:val="22"/>
          <w:szCs w:val="22"/>
          <w:highlight w:val="white"/>
        </w:rPr>
        <w:t xml:space="preserve">Complementação de informações acerca dos documentos já apresentados e desde que necessária para apurar fatos existentes à época da abertura do chamamento; </w:t>
      </w:r>
    </w:p>
    <w:p>
      <w:pPr>
        <w:pStyle w:val="normal1"/>
        <w:numPr>
          <w:ilvl w:val="0"/>
          <w:numId w:val="26"/>
        </w:numPr>
        <w:spacing w:lineRule="auto" w:line="276"/>
        <w:ind w:hanging="360" w:start="1854"/>
        <w:jc w:val="both"/>
        <w:rPr>
          <w:sz w:val="22"/>
          <w:szCs w:val="22"/>
          <w:highlight w:val="white"/>
        </w:rPr>
      </w:pPr>
      <w:r>
        <w:rPr>
          <w:sz w:val="22"/>
          <w:szCs w:val="22"/>
          <w:highlight w:val="white"/>
        </w:rPr>
        <w:t>Atualização de documentos cuja validade tenha expirado após a data de recebimento da documentação.</w:t>
      </w:r>
    </w:p>
    <w:p>
      <w:pPr>
        <w:pStyle w:val="normal1"/>
        <w:numPr>
          <w:ilvl w:val="2"/>
          <w:numId w:val="23"/>
        </w:numPr>
        <w:spacing w:lineRule="auto" w:line="276"/>
        <w:ind w:hanging="0" w:start="851"/>
        <w:jc w:val="both"/>
        <w:rPr>
          <w:sz w:val="22"/>
          <w:szCs w:val="22"/>
          <w:highlight w:val="white"/>
        </w:rPr>
      </w:pPr>
      <w:r>
        <w:rPr>
          <w:sz w:val="22"/>
          <w:szCs w:val="22"/>
          <w:highlight w:val="white"/>
        </w:rPr>
        <w:t>Na análise dos documentos o Agente de Contratação poderá sanar erros ou falhas que não alterem a substância dos documentos e sua validade jurídica, mediante despacho fundamentado registrado e acessível a todos, atribuindo lhes eficácia para fins de aptidão ao credenciamento (art. 64, § 1º da Lei nº 14.133/2021).</w:t>
      </w:r>
    </w:p>
    <w:p>
      <w:pPr>
        <w:pStyle w:val="normal1"/>
        <w:numPr>
          <w:ilvl w:val="2"/>
          <w:numId w:val="23"/>
        </w:numPr>
        <w:spacing w:lineRule="auto" w:line="276"/>
        <w:ind w:hanging="0" w:start="851"/>
        <w:jc w:val="both"/>
        <w:rPr>
          <w:sz w:val="22"/>
          <w:szCs w:val="22"/>
          <w:highlight w:val="white"/>
        </w:rPr>
      </w:pPr>
      <w:r>
        <w:rPr>
          <w:sz w:val="22"/>
          <w:szCs w:val="22"/>
          <w:highlight w:val="white"/>
        </w:rPr>
        <w:t>O Agente de Contratação poderá solicitar manifestação escrita do setor requisitante dos serviços ou de áreas técnicas afins, quando necessário, quanto ao cumprimento das condições da qualificação técnica ou da oferta de serviços dos interessados.</w:t>
      </w:r>
    </w:p>
    <w:p>
      <w:pPr>
        <w:pStyle w:val="normal1"/>
        <w:numPr>
          <w:ilvl w:val="2"/>
          <w:numId w:val="23"/>
        </w:numPr>
        <w:spacing w:lineRule="auto" w:line="276"/>
        <w:ind w:hanging="0" w:start="851"/>
        <w:jc w:val="both"/>
        <w:rPr>
          <w:sz w:val="22"/>
          <w:szCs w:val="22"/>
          <w:highlight w:val="white"/>
        </w:rPr>
      </w:pPr>
      <w:r>
        <w:rPr>
          <w:sz w:val="22"/>
          <w:szCs w:val="22"/>
          <w:highlight w:val="white"/>
        </w:rPr>
        <w:t>O Gestor da pasta requisitante procederá a homologação de cada credenciamento após instrução favorável do Agente de Contratação, devendo esta ser publicada no Diário Oficial.</w:t>
      </w:r>
    </w:p>
    <w:p>
      <w:pPr>
        <w:pStyle w:val="normal1"/>
        <w:numPr>
          <w:ilvl w:val="3"/>
          <w:numId w:val="23"/>
        </w:numPr>
        <w:spacing w:lineRule="auto" w:line="276"/>
        <w:ind w:hanging="648" w:start="1728"/>
        <w:jc w:val="both"/>
        <w:rPr>
          <w:sz w:val="22"/>
          <w:szCs w:val="22"/>
          <w:highlight w:val="white"/>
        </w:rPr>
      </w:pPr>
      <w:r>
        <w:rPr>
          <w:sz w:val="22"/>
          <w:szCs w:val="22"/>
          <w:highlight w:val="white"/>
        </w:rPr>
        <w:t>Todos os interessados que preencham os requisitos constantes no edital serão credenciados.</w:t>
      </w:r>
    </w:p>
    <w:p>
      <w:pPr>
        <w:pStyle w:val="normal1"/>
        <w:numPr>
          <w:ilvl w:val="2"/>
          <w:numId w:val="23"/>
        </w:numPr>
        <w:spacing w:lineRule="auto" w:line="276"/>
        <w:ind w:hanging="0" w:start="851"/>
        <w:jc w:val="both"/>
        <w:rPr>
          <w:sz w:val="22"/>
          <w:szCs w:val="22"/>
          <w:highlight w:val="white"/>
        </w:rPr>
      </w:pPr>
      <w:r>
        <w:rPr>
          <w:sz w:val="22"/>
          <w:szCs w:val="22"/>
          <w:highlight w:val="white"/>
        </w:rPr>
        <w:t>Cada interessado que tiver sua solicitação de credenciamento homologada será CREDENCIADO e assim permanecerá enquanto houver interesse por parte do CREDENCIANTE.</w:t>
      </w:r>
    </w:p>
    <w:p>
      <w:pPr>
        <w:pStyle w:val="normal1"/>
        <w:spacing w:lineRule="auto" w:line="276"/>
        <w:jc w:val="both"/>
        <w:rPr>
          <w:sz w:val="22"/>
          <w:szCs w:val="22"/>
          <w:highlight w:val="white"/>
        </w:rPr>
      </w:pPr>
      <w:r>
        <w:rPr>
          <w:sz w:val="22"/>
          <w:szCs w:val="22"/>
          <w:highlight w:val="white"/>
        </w:rPr>
      </w:r>
    </w:p>
    <w:p>
      <w:pPr>
        <w:pStyle w:val="normal1"/>
        <w:numPr>
          <w:ilvl w:val="1"/>
          <w:numId w:val="23"/>
        </w:numPr>
        <w:spacing w:lineRule="auto" w:line="276"/>
        <w:ind w:hanging="1000" w:start="1567"/>
        <w:jc w:val="both"/>
        <w:rPr>
          <w:b/>
          <w:sz w:val="22"/>
          <w:szCs w:val="22"/>
          <w:highlight w:val="white"/>
        </w:rPr>
      </w:pPr>
      <w:r>
        <w:rPr>
          <w:b/>
          <w:sz w:val="22"/>
          <w:szCs w:val="22"/>
          <w:highlight w:val="white"/>
        </w:rPr>
        <w:t>Dos Recursos</w:t>
      </w:r>
    </w:p>
    <w:p>
      <w:pPr>
        <w:pStyle w:val="normal1"/>
        <w:numPr>
          <w:ilvl w:val="2"/>
          <w:numId w:val="23"/>
        </w:numPr>
        <w:spacing w:lineRule="auto" w:line="276"/>
        <w:ind w:hanging="0" w:start="851"/>
        <w:jc w:val="both"/>
        <w:rPr>
          <w:sz w:val="22"/>
          <w:szCs w:val="22"/>
          <w:highlight w:val="white"/>
        </w:rPr>
      </w:pPr>
      <w:r>
        <w:rPr>
          <w:sz w:val="22"/>
          <w:szCs w:val="22"/>
          <w:highlight w:val="white"/>
        </w:rPr>
        <w:t xml:space="preserve">Da decisão que indeferir o requerimento de credenciamento ou que declarar o descredenciamento caberá recurso no prazo de 3 (três) dias úteis, a contar da publicação oficial, assegurada a ampla defesa e o contraditório. </w:t>
      </w:r>
    </w:p>
    <w:p>
      <w:pPr>
        <w:pStyle w:val="normal1"/>
        <w:numPr>
          <w:ilvl w:val="2"/>
          <w:numId w:val="23"/>
        </w:numPr>
        <w:spacing w:lineRule="auto" w:line="276"/>
        <w:ind w:hanging="0" w:start="851"/>
        <w:jc w:val="both"/>
        <w:rPr>
          <w:sz w:val="22"/>
          <w:szCs w:val="22"/>
          <w:highlight w:val="white"/>
        </w:rPr>
      </w:pPr>
      <w:r>
        <w:rPr>
          <w:sz w:val="22"/>
          <w:szCs w:val="22"/>
          <w:highlight w:val="white"/>
        </w:rPr>
        <w:t xml:space="preserve">Os recursos interpostos serão conhecidos, nos termos do art. 165 da Lei nº 14.133, de 2021, se endereçados diretamente à Secretaria Municipal de Licitações, Contratos e Parcerias e enviados para o endereço eletrônico </w:t>
      </w:r>
      <w:hyperlink r:id="rId16">
        <w:r>
          <w:rPr>
            <w:rStyle w:val="Style3"/>
            <w:sz w:val="22"/>
            <w:szCs w:val="22"/>
            <w:highlight w:val="white"/>
            <w:u w:val="single"/>
          </w:rPr>
          <w:t>gerencialicitacao@pmf.sc.gov.br</w:t>
        </w:r>
      </w:hyperlink>
      <w:r>
        <w:rPr>
          <w:sz w:val="22"/>
          <w:szCs w:val="22"/>
          <w:highlight w:val="white"/>
        </w:rPr>
        <w:t>.</w:t>
      </w:r>
    </w:p>
    <w:p>
      <w:pPr>
        <w:pStyle w:val="normal1"/>
        <w:numPr>
          <w:ilvl w:val="2"/>
          <w:numId w:val="23"/>
        </w:numPr>
        <w:spacing w:lineRule="auto" w:line="276"/>
        <w:ind w:hanging="0" w:start="851"/>
        <w:jc w:val="both"/>
        <w:rPr>
          <w:sz w:val="22"/>
          <w:szCs w:val="22"/>
          <w:highlight w:val="white"/>
        </w:rPr>
      </w:pPr>
      <w:r>
        <w:rPr>
          <w:sz w:val="22"/>
          <w:szCs w:val="22"/>
          <w:highlight w:val="white"/>
        </w:rPr>
        <w:t xml:space="preserve">Não serão conhecidos os recursos apresentados fora do prazo legal e/ou subscritos por representante não habilitado legalmente ou não identificado no processo para responder pelo interessado. </w:t>
      </w:r>
    </w:p>
    <w:p>
      <w:pPr>
        <w:pStyle w:val="normal1"/>
        <w:numPr>
          <w:ilvl w:val="2"/>
          <w:numId w:val="23"/>
        </w:numPr>
        <w:spacing w:lineRule="auto" w:line="276"/>
        <w:ind w:hanging="0" w:start="851"/>
        <w:jc w:val="both"/>
        <w:rPr>
          <w:sz w:val="22"/>
          <w:szCs w:val="22"/>
          <w:highlight w:val="white"/>
        </w:rPr>
      </w:pPr>
      <w:r>
        <w:rPr>
          <w:sz w:val="22"/>
          <w:szCs w:val="22"/>
          <w:highlight w:val="white"/>
        </w:rPr>
        <w:t xml:space="preserve">Os interessados poderão recorrer da homologação, apresentando suas razões devidamente fundamentadas e por escrito, observado o prazo estabelecido no edital, ficando autorizada vista do seu processo administrativo de análise do requerimento de credenciamento. </w:t>
      </w:r>
    </w:p>
    <w:p>
      <w:pPr>
        <w:pStyle w:val="normal1"/>
        <w:numPr>
          <w:ilvl w:val="3"/>
          <w:numId w:val="23"/>
        </w:numPr>
        <w:spacing w:lineRule="auto" w:line="276"/>
        <w:ind w:hanging="648" w:start="1728"/>
        <w:jc w:val="both"/>
        <w:rPr>
          <w:sz w:val="22"/>
          <w:szCs w:val="22"/>
          <w:highlight w:val="white"/>
        </w:rPr>
      </w:pPr>
      <w:r>
        <w:rPr>
          <w:sz w:val="22"/>
          <w:szCs w:val="22"/>
          <w:highlight w:val="white"/>
        </w:rPr>
        <w:t>O recurso limitar-se-á a questões de habilitação, considerando, exclusivamente, a documentação apresentada no ato da inscrição, não sendo considerado documento anexado em fase de recurso.</w:t>
      </w:r>
    </w:p>
    <w:p>
      <w:pPr>
        <w:pStyle w:val="normal1"/>
        <w:spacing w:lineRule="auto" w:line="276"/>
        <w:ind w:hanging="0" w:start="1728"/>
        <w:jc w:val="both"/>
        <w:rPr>
          <w:sz w:val="22"/>
          <w:szCs w:val="22"/>
          <w:highlight w:val="white"/>
        </w:rPr>
      </w:pPr>
      <w:r>
        <w:rPr>
          <w:sz w:val="22"/>
          <w:szCs w:val="22"/>
          <w:highlight w:val="white"/>
        </w:rPr>
      </w:r>
    </w:p>
    <w:p>
      <w:pPr>
        <w:pStyle w:val="normal1"/>
        <w:numPr>
          <w:ilvl w:val="1"/>
          <w:numId w:val="23"/>
        </w:numPr>
        <w:spacing w:lineRule="auto" w:line="276"/>
        <w:ind w:hanging="1000" w:start="1567"/>
        <w:jc w:val="both"/>
        <w:rPr>
          <w:b/>
          <w:sz w:val="22"/>
          <w:szCs w:val="22"/>
          <w:highlight w:val="white"/>
        </w:rPr>
      </w:pPr>
      <w:r>
        <w:rPr>
          <w:b/>
          <w:sz w:val="22"/>
          <w:szCs w:val="22"/>
          <w:highlight w:val="white"/>
        </w:rPr>
        <w:t>Publicação do credenciamento</w:t>
      </w:r>
    </w:p>
    <w:p>
      <w:pPr>
        <w:pStyle w:val="normal1"/>
        <w:numPr>
          <w:ilvl w:val="2"/>
          <w:numId w:val="23"/>
        </w:numPr>
        <w:spacing w:lineRule="auto" w:line="276"/>
        <w:ind w:hanging="0" w:start="851"/>
        <w:jc w:val="both"/>
        <w:rPr>
          <w:sz w:val="22"/>
          <w:szCs w:val="22"/>
          <w:highlight w:val="white"/>
        </w:rPr>
      </w:pPr>
      <w:r>
        <w:rPr>
          <w:sz w:val="22"/>
          <w:szCs w:val="22"/>
          <w:highlight w:val="white"/>
        </w:rPr>
        <w:t xml:space="preserve">O inteiro teor do edital estará disponível para consulta no Portal Nacional de Contratações Públicas - PNCP, também no sítio eletrônico da Prefeitura Municipal de Florianópolis, assim como publicado no Diário Oficial do Município - DOEM. </w:t>
      </w:r>
    </w:p>
    <w:p>
      <w:pPr>
        <w:pStyle w:val="normal1"/>
        <w:numPr>
          <w:ilvl w:val="2"/>
          <w:numId w:val="23"/>
        </w:numPr>
        <w:spacing w:lineRule="auto" w:line="276"/>
        <w:ind w:hanging="0" w:start="851"/>
        <w:jc w:val="both"/>
        <w:rPr>
          <w:sz w:val="22"/>
          <w:szCs w:val="22"/>
          <w:highlight w:val="white"/>
        </w:rPr>
      </w:pPr>
      <w:r>
        <w:rPr>
          <w:sz w:val="22"/>
          <w:szCs w:val="22"/>
          <w:highlight w:val="white"/>
        </w:rPr>
        <w:t xml:space="preserve">Eventual modificação nas condições específicas do edital será divulgada pela mesma forma dada ao texto original, reabrindo-se o prazo inicialmente estabelecido para eventual complementação da documentação a ser apresentada pelos interessados. </w:t>
      </w:r>
    </w:p>
    <w:p>
      <w:pPr>
        <w:pStyle w:val="normal1"/>
        <w:numPr>
          <w:ilvl w:val="2"/>
          <w:numId w:val="23"/>
        </w:numPr>
        <w:spacing w:lineRule="auto" w:line="276"/>
        <w:ind w:hanging="0" w:start="851"/>
        <w:jc w:val="both"/>
        <w:rPr>
          <w:sz w:val="22"/>
          <w:szCs w:val="22"/>
          <w:highlight w:val="white"/>
        </w:rPr>
      </w:pPr>
      <w:r>
        <w:rPr>
          <w:sz w:val="22"/>
          <w:szCs w:val="22"/>
          <w:highlight w:val="white"/>
        </w:rPr>
        <w:t xml:space="preserve">Qualquer pedido de esclarecimento em relação a eventuais dúvidas de interpretação do edital poderá ser encaminhado a qualquer tempo, devidamente formulado por escrito e dirigido à SECRETARIA MUNICIPAL DE LICITAÇÕES, CONTRATOS E PARCERIAS, pelo correio eletrônico </w:t>
      </w:r>
      <w:hyperlink r:id="rId17">
        <w:r>
          <w:rPr>
            <w:rStyle w:val="Style3"/>
            <w:sz w:val="22"/>
            <w:szCs w:val="22"/>
            <w:highlight w:val="white"/>
            <w:u w:val="single"/>
          </w:rPr>
          <w:t>gerencialicitacao@pmf.sc.gov.br</w:t>
        </w:r>
      </w:hyperlink>
      <w:r>
        <w:rPr>
          <w:sz w:val="22"/>
          <w:szCs w:val="22"/>
          <w:highlight w:val="white"/>
        </w:rPr>
        <w:t xml:space="preserve"> – Assunto: Dúvidas e Questionamentos Edital n° ______________. </w:t>
      </w:r>
    </w:p>
    <w:p>
      <w:pPr>
        <w:pStyle w:val="normal1"/>
        <w:numPr>
          <w:ilvl w:val="2"/>
          <w:numId w:val="23"/>
        </w:numPr>
        <w:spacing w:lineRule="auto" w:line="276"/>
        <w:ind w:hanging="0" w:start="851"/>
        <w:jc w:val="both"/>
        <w:rPr>
          <w:sz w:val="22"/>
          <w:szCs w:val="22"/>
          <w:highlight w:val="white"/>
        </w:rPr>
      </w:pPr>
      <w:r>
        <w:rPr>
          <w:sz w:val="22"/>
          <w:szCs w:val="22"/>
          <w:highlight w:val="white"/>
        </w:rPr>
        <w:t xml:space="preserve">Qualquer cidadão ou interessado poderá impugnar os termos do edital, devendo protocolar o pedido em até 03 (três) dias úteis antes da primeira Sessão Pública para Distribuição da Demanda. </w:t>
      </w:r>
    </w:p>
    <w:p>
      <w:pPr>
        <w:pStyle w:val="normal1"/>
        <w:numPr>
          <w:ilvl w:val="3"/>
          <w:numId w:val="23"/>
        </w:numPr>
        <w:spacing w:lineRule="auto" w:line="276"/>
        <w:ind w:hanging="648" w:start="1728"/>
        <w:jc w:val="both"/>
        <w:rPr>
          <w:sz w:val="22"/>
          <w:szCs w:val="22"/>
          <w:highlight w:val="white"/>
        </w:rPr>
      </w:pPr>
      <w:r>
        <w:rPr>
          <w:sz w:val="22"/>
          <w:szCs w:val="22"/>
          <w:highlight w:val="white"/>
        </w:rPr>
        <w:t xml:space="preserve">As impugnações deverão ser dirigidas ao endereço eletrônico </w:t>
      </w:r>
      <w:hyperlink r:id="rId18">
        <w:r>
          <w:rPr>
            <w:rStyle w:val="Style3"/>
            <w:sz w:val="22"/>
            <w:szCs w:val="22"/>
            <w:highlight w:val="white"/>
            <w:u w:val="single"/>
          </w:rPr>
          <w:t>gerencialicitacao@pmf.sc.gov.br</w:t>
        </w:r>
      </w:hyperlink>
      <w:r>
        <w:rPr>
          <w:sz w:val="22"/>
          <w:szCs w:val="22"/>
          <w:highlight w:val="white"/>
        </w:rPr>
        <w:t xml:space="preserve">, no prazo anteriormente estabelecido, e encaminhadas pela Secretaria Municipal de Licitações Contratos e Parcerias à demandante. </w:t>
      </w:r>
    </w:p>
    <w:p>
      <w:pPr>
        <w:pStyle w:val="normal1"/>
        <w:numPr>
          <w:ilvl w:val="2"/>
          <w:numId w:val="23"/>
        </w:numPr>
        <w:spacing w:lineRule="auto" w:line="276"/>
        <w:ind w:hanging="0" w:start="851"/>
        <w:jc w:val="both"/>
        <w:rPr>
          <w:sz w:val="22"/>
          <w:szCs w:val="22"/>
          <w:highlight w:val="white"/>
        </w:rPr>
      </w:pPr>
      <w:r>
        <w:rPr>
          <w:sz w:val="22"/>
          <w:szCs w:val="22"/>
          <w:highlight w:val="white"/>
        </w:rPr>
        <w:t xml:space="preserve">As respostas aos pedidos de esclarecimentos e às impugnações serão divulgadas no sítio eletrônico da Prefeitura Municipal de Florianópolis. </w:t>
      </w:r>
    </w:p>
    <w:p>
      <w:pPr>
        <w:pStyle w:val="normal1"/>
        <w:numPr>
          <w:ilvl w:val="3"/>
          <w:numId w:val="23"/>
        </w:numPr>
        <w:spacing w:lineRule="auto" w:line="276"/>
        <w:ind w:hanging="648" w:start="1728"/>
        <w:jc w:val="both"/>
        <w:rPr>
          <w:sz w:val="22"/>
          <w:szCs w:val="22"/>
          <w:highlight w:val="white"/>
        </w:rPr>
      </w:pPr>
      <w:r>
        <w:rPr>
          <w:sz w:val="22"/>
          <w:szCs w:val="22"/>
          <w:highlight w:val="white"/>
        </w:rPr>
        <w:t>As respostas aos pedidos de impugnação e esclarecimentos aderem ao edital tal como se dele fizessem parte, vinculando a Administração e os participantes.</w:t>
      </w:r>
    </w:p>
    <w:p>
      <w:pPr>
        <w:pStyle w:val="normal1"/>
        <w:spacing w:lineRule="auto" w:line="276"/>
        <w:ind w:hanging="0" w:start="1728"/>
        <w:jc w:val="both"/>
        <w:rPr>
          <w:sz w:val="22"/>
          <w:szCs w:val="22"/>
          <w:highlight w:val="white"/>
        </w:rPr>
      </w:pPr>
      <w:r>
        <w:rPr>
          <w:sz w:val="22"/>
          <w:szCs w:val="22"/>
          <w:highlight w:val="white"/>
        </w:rPr>
      </w:r>
    </w:p>
    <w:p>
      <w:pPr>
        <w:pStyle w:val="normal1"/>
        <w:spacing w:lineRule="auto" w:line="276"/>
        <w:ind w:hanging="0" w:start="1728"/>
        <w:jc w:val="both"/>
        <w:rPr>
          <w:sz w:val="22"/>
          <w:szCs w:val="22"/>
          <w:highlight w:val="white"/>
        </w:rPr>
      </w:pPr>
      <w:r>
        <w:rPr>
          <w:sz w:val="22"/>
          <w:szCs w:val="22"/>
          <w:highlight w:val="white"/>
        </w:rPr>
      </w:r>
    </w:p>
    <w:p>
      <w:pPr>
        <w:pStyle w:val="normal1"/>
        <w:spacing w:lineRule="auto" w:line="276"/>
        <w:ind w:hanging="0" w:start="1728"/>
        <w:jc w:val="both"/>
        <w:rPr>
          <w:sz w:val="22"/>
          <w:szCs w:val="22"/>
          <w:highlight w:val="white"/>
        </w:rPr>
      </w:pPr>
      <w:r>
        <w:rPr>
          <w:sz w:val="22"/>
          <w:szCs w:val="22"/>
          <w:highlight w:val="white"/>
        </w:rPr>
      </w:r>
    </w:p>
    <w:p>
      <w:pPr>
        <w:pStyle w:val="normal1"/>
        <w:spacing w:lineRule="auto" w:line="276"/>
        <w:jc w:val="both"/>
        <w:rPr>
          <w:sz w:val="22"/>
          <w:szCs w:val="22"/>
          <w:highlight w:val="white"/>
        </w:rPr>
      </w:pPr>
      <w:r>
        <w:rPr>
          <w:sz w:val="22"/>
          <w:szCs w:val="22"/>
          <w:highlight w:val="white"/>
        </w:rPr>
      </w:r>
    </w:p>
    <w:p>
      <w:pPr>
        <w:pStyle w:val="normal1"/>
        <w:numPr>
          <w:ilvl w:val="1"/>
          <w:numId w:val="23"/>
        </w:numPr>
        <w:spacing w:lineRule="auto" w:line="276"/>
        <w:ind w:hanging="1000" w:start="1567"/>
        <w:jc w:val="both"/>
        <w:rPr>
          <w:b/>
          <w:sz w:val="22"/>
          <w:szCs w:val="22"/>
          <w:highlight w:val="white"/>
        </w:rPr>
      </w:pPr>
      <w:r>
        <w:rPr>
          <w:b/>
          <w:sz w:val="22"/>
          <w:szCs w:val="22"/>
          <w:highlight w:val="white"/>
        </w:rPr>
        <w:t>Publicação da lista dos credenciados</w:t>
      </w:r>
    </w:p>
    <w:p>
      <w:pPr>
        <w:pStyle w:val="normal1"/>
        <w:numPr>
          <w:ilvl w:val="2"/>
          <w:numId w:val="23"/>
        </w:numPr>
        <w:spacing w:lineRule="auto" w:line="276"/>
        <w:ind w:hanging="0" w:start="851"/>
        <w:jc w:val="both"/>
        <w:rPr>
          <w:sz w:val="22"/>
          <w:szCs w:val="22"/>
          <w:highlight w:val="white"/>
        </w:rPr>
      </w:pPr>
      <w:r>
        <w:rPr>
          <w:sz w:val="22"/>
          <w:szCs w:val="22"/>
          <w:highlight w:val="white"/>
        </w:rPr>
        <w:t>O resultado, com a lista de credenciados relacionados de acordo com o critério estabelecido neste Termo de Referência, será publicado e estará permanentemente disponível e atualizado no PNCP, no sítio eletrônico oficial do Município de Florianópolis.</w:t>
      </w:r>
    </w:p>
    <w:p>
      <w:pPr>
        <w:pStyle w:val="normal1"/>
        <w:numPr>
          <w:ilvl w:val="2"/>
          <w:numId w:val="23"/>
        </w:numPr>
        <w:spacing w:lineRule="auto" w:line="276"/>
        <w:ind w:hanging="0" w:start="851"/>
        <w:jc w:val="both"/>
        <w:rPr>
          <w:sz w:val="22"/>
          <w:szCs w:val="22"/>
          <w:highlight w:val="white"/>
        </w:rPr>
      </w:pPr>
      <w:r>
        <w:rPr>
          <w:sz w:val="22"/>
          <w:szCs w:val="22"/>
          <w:highlight w:val="white"/>
        </w:rPr>
        <w:t>A relação de credenciados deverá conter, além da razão social, o número de leitos credenciados.</w:t>
      </w:r>
    </w:p>
    <w:p>
      <w:pPr>
        <w:pStyle w:val="normal1"/>
        <w:spacing w:lineRule="auto" w:line="276"/>
        <w:ind w:hanging="0" w:start="851"/>
        <w:jc w:val="both"/>
        <w:rPr>
          <w:sz w:val="22"/>
          <w:szCs w:val="22"/>
          <w:highlight w:val="white"/>
        </w:rPr>
      </w:pPr>
      <w:r>
        <w:rPr>
          <w:sz w:val="22"/>
          <w:szCs w:val="22"/>
          <w:highlight w:val="white"/>
        </w:rPr>
      </w:r>
    </w:p>
    <w:p>
      <w:pPr>
        <w:pStyle w:val="normal1"/>
        <w:numPr>
          <w:ilvl w:val="1"/>
          <w:numId w:val="23"/>
        </w:numPr>
        <w:spacing w:lineRule="auto" w:line="276"/>
        <w:ind w:hanging="1000" w:start="1567"/>
        <w:jc w:val="both"/>
        <w:rPr>
          <w:b/>
          <w:sz w:val="22"/>
          <w:szCs w:val="22"/>
          <w:highlight w:val="white"/>
        </w:rPr>
      </w:pPr>
      <w:r>
        <w:rPr>
          <w:b/>
          <w:sz w:val="22"/>
          <w:szCs w:val="22"/>
          <w:highlight w:val="white"/>
        </w:rPr>
        <w:t>Publicação da reabertura do credenciamento</w:t>
      </w:r>
    </w:p>
    <w:p>
      <w:pPr>
        <w:pStyle w:val="normal1"/>
        <w:numPr>
          <w:ilvl w:val="2"/>
          <w:numId w:val="23"/>
        </w:numPr>
        <w:spacing w:lineRule="auto" w:line="276"/>
        <w:ind w:hanging="0" w:start="851"/>
        <w:jc w:val="both"/>
        <w:rPr>
          <w:sz w:val="22"/>
          <w:szCs w:val="22"/>
          <w:highlight w:val="white"/>
        </w:rPr>
      </w:pPr>
      <w:r>
        <w:rPr>
          <w:sz w:val="22"/>
          <w:szCs w:val="22"/>
          <w:highlight w:val="white"/>
        </w:rPr>
        <w:t xml:space="preserve">Durante a vigência deste credenciamento, que estará permanentemente disponível e atualizado no PNCP, suas republicações serão divulgadas no site oficial do Município de Florianópolis e no site do órgão ou entidade responsável pelo credenciamento. </w:t>
      </w:r>
    </w:p>
    <w:p>
      <w:pPr>
        <w:pStyle w:val="normal1"/>
        <w:numPr>
          <w:ilvl w:val="2"/>
          <w:numId w:val="23"/>
        </w:numPr>
        <w:spacing w:lineRule="auto" w:line="276"/>
        <w:ind w:hanging="0" w:start="851"/>
        <w:jc w:val="both"/>
        <w:rPr>
          <w:sz w:val="22"/>
          <w:szCs w:val="22"/>
          <w:highlight w:val="white"/>
        </w:rPr>
      </w:pPr>
      <w:r>
        <w:rPr>
          <w:sz w:val="22"/>
          <w:szCs w:val="22"/>
          <w:highlight w:val="white"/>
        </w:rPr>
        <w:t xml:space="preserve">Caso verifique-se que houve alteração de mercado nos valores inicialmente publicados a secretaria demandante deverá efetuar nova pesquisa de preço conforme os parâmetros estabelecidos em Lei. </w:t>
      </w:r>
    </w:p>
    <w:p>
      <w:pPr>
        <w:pStyle w:val="normal1"/>
        <w:numPr>
          <w:ilvl w:val="2"/>
          <w:numId w:val="23"/>
        </w:numPr>
        <w:spacing w:lineRule="auto" w:line="276"/>
        <w:ind w:hanging="0" w:start="851"/>
        <w:jc w:val="both"/>
        <w:rPr>
          <w:sz w:val="22"/>
          <w:szCs w:val="22"/>
          <w:highlight w:val="white"/>
        </w:rPr>
      </w:pPr>
      <w:r>
        <w:rPr>
          <w:sz w:val="22"/>
          <w:szCs w:val="22"/>
          <w:highlight w:val="white"/>
        </w:rPr>
        <w:t xml:space="preserve">O valor atualizado deverá ser informado na republicação do edital, estando o mapa de preços apensados ao processo interno. </w:t>
      </w:r>
    </w:p>
    <w:p>
      <w:pPr>
        <w:pStyle w:val="normal1"/>
        <w:numPr>
          <w:ilvl w:val="2"/>
          <w:numId w:val="23"/>
        </w:numPr>
        <w:spacing w:lineRule="auto" w:line="276"/>
        <w:ind w:hanging="0" w:start="851"/>
        <w:jc w:val="both"/>
        <w:rPr>
          <w:sz w:val="22"/>
          <w:szCs w:val="22"/>
          <w:highlight w:val="white"/>
        </w:rPr>
      </w:pPr>
      <w:r>
        <w:rPr>
          <w:sz w:val="22"/>
          <w:szCs w:val="22"/>
          <w:highlight w:val="white"/>
        </w:rPr>
        <w:t>O mesmo poderá acontecer com a demanda dos quantitativos em novas republicações, pois conforme avaliado em pesquisa de mercado poderá haver variação dos quantitativos para mais ou para menos do objeto, desde que devidamente fundamentado em relatórios financeiros.</w:t>
      </w:r>
    </w:p>
    <w:p>
      <w:pPr>
        <w:pStyle w:val="normal1"/>
        <w:spacing w:lineRule="auto" w:line="276"/>
        <w:ind w:hanging="0" w:start="851"/>
        <w:jc w:val="both"/>
        <w:rPr>
          <w:sz w:val="22"/>
          <w:szCs w:val="22"/>
          <w:highlight w:val="white"/>
        </w:rPr>
      </w:pPr>
      <w:r>
        <w:rPr>
          <w:sz w:val="22"/>
          <w:szCs w:val="22"/>
          <w:highlight w:val="white"/>
        </w:rPr>
      </w:r>
    </w:p>
    <w:p>
      <w:pPr>
        <w:pStyle w:val="normal1"/>
        <w:numPr>
          <w:ilvl w:val="1"/>
          <w:numId w:val="23"/>
        </w:numPr>
        <w:spacing w:lineRule="auto" w:line="276"/>
        <w:ind w:hanging="1000" w:start="1567"/>
        <w:jc w:val="both"/>
        <w:rPr>
          <w:b/>
          <w:sz w:val="22"/>
          <w:szCs w:val="22"/>
          <w:highlight w:val="white"/>
        </w:rPr>
      </w:pPr>
      <w:r>
        <w:rPr>
          <w:b/>
          <w:sz w:val="22"/>
          <w:szCs w:val="22"/>
          <w:highlight w:val="white"/>
        </w:rPr>
        <w:t>Publicação do descredenciamento</w:t>
      </w:r>
    </w:p>
    <w:p>
      <w:pPr>
        <w:pStyle w:val="normal1"/>
        <w:numPr>
          <w:ilvl w:val="2"/>
          <w:numId w:val="23"/>
        </w:numPr>
        <w:spacing w:lineRule="auto" w:line="276"/>
        <w:ind w:hanging="0" w:start="851"/>
        <w:jc w:val="both"/>
        <w:rPr>
          <w:sz w:val="22"/>
          <w:szCs w:val="22"/>
          <w:highlight w:val="white"/>
        </w:rPr>
      </w:pPr>
      <w:r>
        <w:rPr>
          <w:sz w:val="22"/>
          <w:szCs w:val="22"/>
          <w:highlight w:val="white"/>
        </w:rPr>
        <w:t>O resultado do descredenciamento, de acordo com o critério estabelecido neste Termo de Referência, será publicado no PNCP, no sítio eletrônico oficial do Município de Florianópolis e do órgão ou entidade responsável pelo credenciamento.</w:t>
      </w:r>
    </w:p>
    <w:p>
      <w:pPr>
        <w:pStyle w:val="normal1"/>
        <w:spacing w:lineRule="auto" w:line="276"/>
        <w:jc w:val="both"/>
        <w:rPr>
          <w:sz w:val="22"/>
          <w:szCs w:val="22"/>
          <w:highlight w:val="white"/>
        </w:rPr>
      </w:pPr>
      <w:r>
        <w:rPr>
          <w:sz w:val="22"/>
          <w:szCs w:val="22"/>
          <w:highlight w:val="white"/>
        </w:rPr>
      </w:r>
    </w:p>
    <w:p>
      <w:pPr>
        <w:pStyle w:val="normal1"/>
        <w:numPr>
          <w:ilvl w:val="0"/>
          <w:numId w:val="23"/>
        </w:numPr>
        <w:spacing w:lineRule="auto" w:line="276"/>
        <w:ind w:hanging="360" w:start="360"/>
        <w:jc w:val="both"/>
        <w:rPr>
          <w:b/>
          <w:sz w:val="22"/>
          <w:szCs w:val="22"/>
          <w:highlight w:val="white"/>
        </w:rPr>
      </w:pPr>
      <w:r>
        <w:rPr>
          <w:b/>
          <w:sz w:val="22"/>
          <w:szCs w:val="22"/>
          <w:highlight w:val="white"/>
        </w:rPr>
        <w:t>DA FUNDAMENTAÇÃO DA INEXIGIBILIDADE</w:t>
      </w:r>
    </w:p>
    <w:p>
      <w:pPr>
        <w:pStyle w:val="normal1"/>
        <w:spacing w:lineRule="auto" w:line="276"/>
        <w:ind w:firstLine="567"/>
        <w:jc w:val="both"/>
        <w:rPr>
          <w:sz w:val="22"/>
          <w:szCs w:val="22"/>
          <w:highlight w:val="white"/>
        </w:rPr>
      </w:pPr>
      <w:r>
        <w:rPr>
          <w:sz w:val="22"/>
          <w:szCs w:val="22"/>
          <w:highlight w:val="white"/>
        </w:rPr>
        <w:t>O credenciamento do interessado não se confunde com a contratação, a qual só ocorrerá por meio de contratação direta na forma inexigibilidade de licitação, com respaldo no art. 74, IV da Lei Federal no 14.133/2021:</w:t>
      </w:r>
    </w:p>
    <w:p>
      <w:pPr>
        <w:pStyle w:val="normal1"/>
        <w:spacing w:lineRule="auto" w:line="276"/>
        <w:ind w:hanging="0" w:start="2268"/>
        <w:jc w:val="both"/>
        <w:rPr>
          <w:sz w:val="22"/>
          <w:szCs w:val="22"/>
          <w:highlight w:val="white"/>
        </w:rPr>
      </w:pPr>
      <w:r>
        <w:rPr>
          <w:sz w:val="22"/>
          <w:szCs w:val="22"/>
          <w:highlight w:val="white"/>
        </w:rPr>
      </w:r>
    </w:p>
    <w:p>
      <w:pPr>
        <w:pStyle w:val="normal1"/>
        <w:spacing w:lineRule="auto" w:line="276"/>
        <w:ind w:hanging="0" w:start="2268"/>
        <w:jc w:val="both"/>
        <w:rPr>
          <w:sz w:val="22"/>
          <w:szCs w:val="22"/>
          <w:highlight w:val="white"/>
        </w:rPr>
      </w:pPr>
      <w:r>
        <w:rPr>
          <w:sz w:val="22"/>
          <w:szCs w:val="22"/>
          <w:highlight w:val="white"/>
        </w:rPr>
        <w:t xml:space="preserve">Art. 74 É inexigível a licitação quando inviável a competição, em especial nos casos de: (...) </w:t>
      </w:r>
    </w:p>
    <w:p>
      <w:pPr>
        <w:pStyle w:val="normal1"/>
        <w:spacing w:lineRule="auto" w:line="276"/>
        <w:ind w:hanging="0" w:start="2268"/>
        <w:jc w:val="both"/>
        <w:rPr>
          <w:sz w:val="22"/>
          <w:szCs w:val="22"/>
          <w:highlight w:val="white"/>
        </w:rPr>
      </w:pPr>
      <w:r>
        <w:rPr>
          <w:sz w:val="22"/>
          <w:szCs w:val="22"/>
          <w:highlight w:val="white"/>
        </w:rPr>
        <w:t>IV - objetos que devam ou possam ser Credenciados por meio de credenciamento;</w:t>
      </w:r>
    </w:p>
    <w:p>
      <w:pPr>
        <w:pStyle w:val="normal1"/>
        <w:spacing w:lineRule="auto" w:line="276"/>
        <w:ind w:firstLine="567"/>
        <w:jc w:val="both"/>
        <w:rPr>
          <w:sz w:val="22"/>
          <w:szCs w:val="22"/>
          <w:highlight w:val="white"/>
        </w:rPr>
      </w:pPr>
      <w:r>
        <w:rPr>
          <w:sz w:val="22"/>
          <w:szCs w:val="22"/>
          <w:highlight w:val="white"/>
        </w:rPr>
      </w:r>
    </w:p>
    <w:p>
      <w:pPr>
        <w:pStyle w:val="normal1"/>
        <w:numPr>
          <w:ilvl w:val="1"/>
          <w:numId w:val="23"/>
        </w:numPr>
        <w:spacing w:lineRule="auto" w:line="276"/>
        <w:ind w:hanging="1000" w:start="1560"/>
        <w:jc w:val="both"/>
        <w:rPr>
          <w:sz w:val="22"/>
          <w:szCs w:val="22"/>
          <w:highlight w:val="white"/>
        </w:rPr>
      </w:pPr>
      <w:r>
        <w:rPr>
          <w:sz w:val="22"/>
          <w:szCs w:val="22"/>
          <w:highlight w:val="white"/>
        </w:rPr>
        <w:t>A contratação direta via inexigibilidade de licitação, deverá cumprir os requisitos indicados no Decreto Municipal n. 24.954/2023 de 01/03/2023, sempre com estrita observância à Lei nº 14.133/2021.</w:t>
      </w:r>
    </w:p>
    <w:p>
      <w:pPr>
        <w:pStyle w:val="normal1"/>
        <w:spacing w:lineRule="auto" w:line="276"/>
        <w:ind w:firstLine="567"/>
        <w:jc w:val="both"/>
        <w:rPr>
          <w:sz w:val="22"/>
          <w:szCs w:val="22"/>
          <w:highlight w:val="white"/>
        </w:rPr>
      </w:pPr>
      <w:r>
        <w:rPr>
          <w:sz w:val="22"/>
          <w:szCs w:val="22"/>
          <w:highlight w:val="white"/>
        </w:rPr>
      </w:r>
    </w:p>
    <w:p>
      <w:pPr>
        <w:pStyle w:val="normal1"/>
        <w:numPr>
          <w:ilvl w:val="0"/>
          <w:numId w:val="23"/>
        </w:numPr>
        <w:spacing w:lineRule="auto" w:line="276"/>
        <w:ind w:hanging="360" w:start="360"/>
        <w:jc w:val="both"/>
        <w:rPr>
          <w:b/>
          <w:sz w:val="22"/>
          <w:szCs w:val="22"/>
          <w:highlight w:val="white"/>
        </w:rPr>
      </w:pPr>
      <w:r>
        <w:rPr>
          <w:b/>
          <w:sz w:val="22"/>
          <w:szCs w:val="22"/>
          <w:highlight w:val="white"/>
        </w:rPr>
        <w:t>DO CONTRATO OU TERMO DE CREDENCIAMENTO</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Após a divulgação da lista de credenciados, o órgão ou a entidade poderá convocar o credenciado para assinatura do instrumento contratual, conforme disposto na Lei nº 14.133, de 2021. </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O credenciamento não gera obrigação de contração do prestador de serviços e deverá observar a existência de saldo da demanda para distribuição e a disponibilidade orçamentária. </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A administração pública poderá convocar o credenciado durante todo o prazo de validade do credenciamento para assinar o contrato ou outro instrumento equivalente, sob pena de decair o direito à contratação. </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O prazo para assinatura do instrumento contratual pelo credenciado, após convocação pela administração pública, será de 05 (cinco) dias úteis, nos termos do art. 90 da Lei nº 14.133/2021. </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O prazo de que trata no item </w:t>
      </w:r>
      <w:r>
        <w:rPr>
          <w:b/>
          <w:sz w:val="22"/>
          <w:szCs w:val="22"/>
          <w:highlight w:val="white"/>
        </w:rPr>
        <w:t>10.4</w:t>
      </w:r>
      <w:r>
        <w:rPr>
          <w:sz w:val="22"/>
          <w:szCs w:val="22"/>
          <w:highlight w:val="white"/>
        </w:rPr>
        <w:t xml:space="preserve"> poderá ser prorrogado uma vez, por igual período, mediante solicitação, devidamente justificada, do credenciado durante o seu transcurso, desde que o motivo apresentado seja aceito pela administração pública. </w:t>
      </w:r>
    </w:p>
    <w:p>
      <w:pPr>
        <w:pStyle w:val="normal1"/>
        <w:numPr>
          <w:ilvl w:val="1"/>
          <w:numId w:val="23"/>
        </w:numPr>
        <w:spacing w:lineRule="auto" w:line="276"/>
        <w:ind w:hanging="1000" w:start="1567"/>
        <w:jc w:val="both"/>
        <w:rPr>
          <w:sz w:val="22"/>
          <w:szCs w:val="22"/>
          <w:highlight w:val="white"/>
        </w:rPr>
      </w:pPr>
      <w:r>
        <w:rPr>
          <w:sz w:val="22"/>
          <w:szCs w:val="22"/>
          <w:highlight w:val="white"/>
        </w:rPr>
        <w:t>A recusa injustificada em assinar o contrato ou instrumento contratual equivalente, no prazo estabelecido pela administração pública caracteriza o descumprimento total da obrigação assumida e o sujeitará às penalidades legalmente estabelecidas, nos termos da Lei 14.133/2021.</w:t>
      </w:r>
    </w:p>
    <w:p>
      <w:pPr>
        <w:pStyle w:val="normal1"/>
        <w:spacing w:lineRule="auto" w:line="276"/>
        <w:ind w:hanging="0" w:start="360"/>
        <w:jc w:val="both"/>
        <w:rPr>
          <w:sz w:val="22"/>
          <w:szCs w:val="22"/>
          <w:highlight w:val="white"/>
        </w:rPr>
      </w:pPr>
      <w:r>
        <w:rPr>
          <w:sz w:val="22"/>
          <w:szCs w:val="22"/>
          <w:highlight w:val="white"/>
        </w:rPr>
      </w:r>
    </w:p>
    <w:p>
      <w:pPr>
        <w:pStyle w:val="normal1"/>
        <w:numPr>
          <w:ilvl w:val="0"/>
          <w:numId w:val="23"/>
        </w:numPr>
        <w:spacing w:lineRule="auto" w:line="276"/>
        <w:ind w:hanging="360" w:start="360"/>
        <w:jc w:val="both"/>
        <w:rPr>
          <w:b/>
          <w:sz w:val="22"/>
          <w:szCs w:val="22"/>
          <w:highlight w:val="white"/>
        </w:rPr>
      </w:pPr>
      <w:r>
        <w:rPr>
          <w:b/>
          <w:sz w:val="22"/>
          <w:szCs w:val="22"/>
          <w:highlight w:val="white"/>
        </w:rPr>
        <w:t>PRAZO DE VIGÊNCIA DO CONTRATO OU TERMO DE CREDENCIAMENTO</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O Termo de Contrato ou instrumento contratual equivalente decorrente do credenciamento terá vigência 12 meses, podendo ser prorrogado por iguais e sucessivos períodos, conforme estipulado no artigo 106 da Lei Federal nº 14.133/21, desde que mantidas as condições e a vantajosidade para a administração pública. </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Os contratos decorrentes deste credenciamento poderão ser alterados, observado o disposto no art. 124 da Lei nº 14.133, de 2021. </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Os valores estimados nesta contratação poderão ser reajustados, para mais ou menos, de acordo com o IPCA - Índice Nacional de Preços ao Consumidor Amplo, divulgado pelo IBGE, ou pelo índice que venha a substituí-lo, nos termos fixados em Lei. </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É vedado o cometimento a terceiros do objeto CREDENCIADO sem autorização expressa da administração pública. </w:t>
      </w:r>
    </w:p>
    <w:p>
      <w:pPr>
        <w:pStyle w:val="normal1"/>
        <w:numPr>
          <w:ilvl w:val="2"/>
          <w:numId w:val="23"/>
        </w:numPr>
        <w:spacing w:lineRule="auto" w:line="276"/>
        <w:ind w:hanging="0" w:start="851"/>
        <w:jc w:val="both"/>
        <w:rPr>
          <w:sz w:val="22"/>
          <w:szCs w:val="22"/>
          <w:highlight w:val="white"/>
        </w:rPr>
      </w:pPr>
      <w:r>
        <w:rPr>
          <w:sz w:val="22"/>
          <w:szCs w:val="22"/>
          <w:highlight w:val="white"/>
        </w:rPr>
        <w:t xml:space="preserve">Na execução do contrato e sem prejuízo das responsabilidades contratuais e legais, o contratado poderá subcontratar partes do serviço para as atividades que não constituem o escopo principal do objeto até o limite de 25% do valor total do contrato. </w:t>
      </w:r>
    </w:p>
    <w:p>
      <w:pPr>
        <w:pStyle w:val="normal1"/>
        <w:numPr>
          <w:ilvl w:val="2"/>
          <w:numId w:val="23"/>
        </w:numPr>
        <w:spacing w:lineRule="auto" w:line="276"/>
        <w:ind w:hanging="0" w:start="851"/>
        <w:jc w:val="both"/>
        <w:rPr>
          <w:sz w:val="22"/>
          <w:szCs w:val="22"/>
          <w:highlight w:val="white"/>
        </w:rPr>
      </w:pPr>
      <w:r>
        <w:rPr>
          <w:sz w:val="22"/>
          <w:szCs w:val="22"/>
          <w:highlight w:val="white"/>
        </w:rPr>
        <w:t xml:space="preserve">O contratado apresentará à Administração documentação que comprove a capacidade técnica do subcontratado, que será avaliada e juntada aos autos do processo correspondente. </w:t>
      </w:r>
    </w:p>
    <w:p>
      <w:pPr>
        <w:pStyle w:val="normal1"/>
        <w:numPr>
          <w:ilvl w:val="2"/>
          <w:numId w:val="23"/>
        </w:numPr>
        <w:spacing w:lineRule="auto" w:line="276"/>
        <w:ind w:hanging="0" w:start="851"/>
        <w:jc w:val="both"/>
        <w:rPr>
          <w:sz w:val="22"/>
          <w:szCs w:val="22"/>
          <w:highlight w:val="white"/>
        </w:rPr>
      </w:pPr>
      <w:r>
        <w:rPr>
          <w:sz w:val="22"/>
          <w:szCs w:val="22"/>
          <w:highlight w:val="white"/>
        </w:rPr>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pPr>
        <w:pStyle w:val="normal1"/>
        <w:spacing w:lineRule="auto" w:line="276"/>
        <w:jc w:val="both"/>
        <w:rPr>
          <w:sz w:val="22"/>
          <w:szCs w:val="22"/>
          <w:highlight w:val="white"/>
        </w:rPr>
      </w:pPr>
      <w:r>
        <w:rPr>
          <w:sz w:val="22"/>
          <w:szCs w:val="22"/>
          <w:highlight w:val="white"/>
        </w:rPr>
      </w:r>
    </w:p>
    <w:p>
      <w:pPr>
        <w:pStyle w:val="normal1"/>
        <w:numPr>
          <w:ilvl w:val="0"/>
          <w:numId w:val="23"/>
        </w:numPr>
        <w:spacing w:lineRule="auto" w:line="276"/>
        <w:ind w:hanging="360" w:start="360"/>
        <w:jc w:val="both"/>
        <w:rPr>
          <w:b/>
          <w:sz w:val="22"/>
          <w:szCs w:val="22"/>
          <w:highlight w:val="white"/>
        </w:rPr>
      </w:pPr>
      <w:r>
        <w:rPr>
          <w:b/>
          <w:sz w:val="22"/>
          <w:szCs w:val="22"/>
          <w:highlight w:val="white"/>
        </w:rPr>
        <w:t>EXECUÇÃO DO CONTRATO OU TERMO DE CREDENCIAMENTO</w:t>
      </w:r>
    </w:p>
    <w:p>
      <w:pPr>
        <w:pStyle w:val="normal1"/>
        <w:numPr>
          <w:ilvl w:val="1"/>
          <w:numId w:val="23"/>
        </w:numPr>
        <w:spacing w:lineRule="auto" w:line="276"/>
        <w:ind w:hanging="1000" w:start="1567"/>
        <w:jc w:val="both"/>
        <w:rPr>
          <w:sz w:val="22"/>
          <w:szCs w:val="22"/>
          <w:highlight w:val="white"/>
        </w:rPr>
      </w:pPr>
      <w:r>
        <w:rPr>
          <w:sz w:val="22"/>
          <w:szCs w:val="22"/>
          <w:highlight w:val="white"/>
        </w:rPr>
        <w:t>A execução dos serviços deverá ser iniciada em até 24 horas após a emissão da ordem de Serviço, que neste caso será individual para cada usuário.</w:t>
      </w:r>
    </w:p>
    <w:p>
      <w:pPr>
        <w:pStyle w:val="normal1"/>
        <w:spacing w:lineRule="auto" w:line="276"/>
        <w:ind w:hanging="0" w:start="1567"/>
        <w:jc w:val="both"/>
        <w:rPr>
          <w:sz w:val="22"/>
          <w:szCs w:val="22"/>
          <w:highlight w:val="white"/>
        </w:rPr>
      </w:pPr>
      <w:r>
        <w:rPr>
          <w:sz w:val="22"/>
          <w:szCs w:val="22"/>
          <w:highlight w:val="white"/>
        </w:rPr>
      </w:r>
    </w:p>
    <w:p>
      <w:pPr>
        <w:pStyle w:val="normal1"/>
        <w:spacing w:lineRule="auto" w:line="276"/>
        <w:ind w:hanging="0" w:start="1567"/>
        <w:jc w:val="both"/>
        <w:rPr>
          <w:sz w:val="22"/>
          <w:szCs w:val="22"/>
          <w:highlight w:val="white"/>
        </w:rPr>
      </w:pPr>
      <w:r>
        <w:rPr>
          <w:sz w:val="22"/>
          <w:szCs w:val="22"/>
          <w:highlight w:val="white"/>
        </w:rPr>
      </w:r>
    </w:p>
    <w:p>
      <w:pPr>
        <w:pStyle w:val="normal1"/>
        <w:spacing w:lineRule="auto" w:line="276"/>
        <w:ind w:hanging="0" w:start="1135"/>
        <w:jc w:val="both"/>
        <w:rPr>
          <w:sz w:val="22"/>
          <w:szCs w:val="22"/>
          <w:highlight w:val="white"/>
        </w:rPr>
      </w:pPr>
      <w:r>
        <w:rPr>
          <w:sz w:val="22"/>
          <w:szCs w:val="22"/>
          <w:highlight w:val="white"/>
        </w:rPr>
      </w:r>
    </w:p>
    <w:p>
      <w:pPr>
        <w:pStyle w:val="normal1"/>
        <w:numPr>
          <w:ilvl w:val="0"/>
          <w:numId w:val="23"/>
        </w:numPr>
        <w:spacing w:lineRule="auto" w:line="276"/>
        <w:ind w:hanging="360" w:start="360"/>
        <w:jc w:val="both"/>
        <w:rPr>
          <w:b/>
          <w:sz w:val="22"/>
          <w:szCs w:val="22"/>
          <w:highlight w:val="white"/>
        </w:rPr>
      </w:pPr>
      <w:r>
        <w:rPr>
          <w:b/>
          <w:sz w:val="22"/>
          <w:szCs w:val="22"/>
          <w:highlight w:val="white"/>
        </w:rPr>
        <w:t>ESTIMATIVAS DE VALOR DO CONTRATO OU TERMO DE CREDENCIAMENTO</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O impacto financeiro total estimado é de </w:t>
      </w:r>
      <w:r>
        <w:rPr>
          <w:b/>
          <w:sz w:val="22"/>
          <w:szCs w:val="22"/>
          <w:highlight w:val="white"/>
        </w:rPr>
        <w:t>R$2.108.304,00</w:t>
      </w:r>
      <w:r>
        <w:rPr>
          <w:sz w:val="22"/>
          <w:szCs w:val="22"/>
          <w:highlight w:val="white"/>
        </w:rPr>
        <w:t xml:space="preserve"> (dois milhões cento e oito mil e trezentos e quatro reais). </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O credenciamento não gera obrigação de contração do credenciante e deverá observar a existência de saldo da demanda para distribuição e a disponibilidade orçamentária. </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Os valores estimados no credenciamento que serão contratados pela administração pública, quando for o caso, poderão ser reajustados, para mais ou menos, de acordo com índice IPCA, divulgado pelo IBGE, ou pelo índice que venha a substituí-lo, nos termos fixados em Lei, respeitada a contagem da anualidade e o índice previsto para a contratação. </w:t>
      </w:r>
    </w:p>
    <w:p>
      <w:pPr>
        <w:pStyle w:val="normal1"/>
        <w:numPr>
          <w:ilvl w:val="1"/>
          <w:numId w:val="23"/>
        </w:numPr>
        <w:spacing w:lineRule="auto" w:line="276"/>
        <w:ind w:hanging="1000" w:start="1567"/>
        <w:jc w:val="both"/>
        <w:rPr>
          <w:sz w:val="22"/>
          <w:szCs w:val="22"/>
          <w:highlight w:val="white"/>
        </w:rPr>
      </w:pPr>
      <w:r>
        <w:rPr>
          <w:sz w:val="22"/>
          <w:szCs w:val="22"/>
          <w:highlight w:val="white"/>
        </w:rPr>
        <w:t>Previamente à emissão de nota de empenho/autorização de fornecimento, e à contratação, quando for o caso a administração pública deverá realizar consulta ao Sicaf para identificar possível impedimento de licitar e contratar.</w:t>
      </w:r>
    </w:p>
    <w:p>
      <w:pPr>
        <w:pStyle w:val="normal1"/>
        <w:spacing w:lineRule="auto" w:line="276"/>
        <w:jc w:val="both"/>
        <w:rPr>
          <w:sz w:val="22"/>
          <w:szCs w:val="22"/>
          <w:highlight w:val="white"/>
        </w:rPr>
      </w:pPr>
      <w:r>
        <w:rPr>
          <w:sz w:val="22"/>
          <w:szCs w:val="22"/>
          <w:highlight w:val="white"/>
        </w:rPr>
      </w:r>
    </w:p>
    <w:p>
      <w:pPr>
        <w:pStyle w:val="normal1"/>
        <w:spacing w:lineRule="auto" w:line="276"/>
        <w:jc w:val="both"/>
        <w:rPr>
          <w:sz w:val="22"/>
          <w:szCs w:val="22"/>
          <w:highlight w:val="white"/>
        </w:rPr>
      </w:pPr>
      <w:r>
        <w:rPr>
          <w:sz w:val="22"/>
          <w:szCs w:val="22"/>
          <w:highlight w:val="white"/>
        </w:rPr>
      </w:r>
    </w:p>
    <w:p>
      <w:pPr>
        <w:pStyle w:val="normal1"/>
        <w:spacing w:lineRule="auto" w:line="276"/>
        <w:jc w:val="both"/>
        <w:rPr>
          <w:sz w:val="22"/>
          <w:szCs w:val="22"/>
          <w:highlight w:val="white"/>
        </w:rPr>
      </w:pPr>
      <w:r>
        <w:rPr>
          <w:sz w:val="22"/>
          <w:szCs w:val="22"/>
          <w:highlight w:val="white"/>
        </w:rPr>
      </w:r>
    </w:p>
    <w:p>
      <w:pPr>
        <w:pStyle w:val="normal1"/>
        <w:numPr>
          <w:ilvl w:val="0"/>
          <w:numId w:val="23"/>
        </w:numPr>
        <w:spacing w:lineRule="auto" w:line="276"/>
        <w:ind w:hanging="360" w:start="360"/>
        <w:jc w:val="both"/>
        <w:rPr>
          <w:b/>
          <w:sz w:val="22"/>
          <w:szCs w:val="22"/>
          <w:highlight w:val="white"/>
        </w:rPr>
      </w:pPr>
      <w:r>
        <w:rPr>
          <w:b/>
          <w:sz w:val="22"/>
          <w:szCs w:val="22"/>
          <w:highlight w:val="white"/>
        </w:rPr>
        <w:t>ADEQUAÇÃO ORÇAMENTÁRIA DO CONTRATO</w:t>
      </w:r>
    </w:p>
    <w:p>
      <w:pPr>
        <w:pStyle w:val="normal1"/>
        <w:numPr>
          <w:ilvl w:val="1"/>
          <w:numId w:val="23"/>
        </w:numPr>
        <w:spacing w:lineRule="auto" w:line="276"/>
        <w:ind w:hanging="1000" w:start="1567"/>
        <w:jc w:val="both"/>
        <w:rPr>
          <w:sz w:val="22"/>
          <w:szCs w:val="22"/>
          <w:highlight w:val="white"/>
        </w:rPr>
      </w:pPr>
      <w:r>
        <w:rPr>
          <w:sz w:val="22"/>
          <w:szCs w:val="22"/>
          <w:highlight w:val="white"/>
        </w:rPr>
        <w:t>As despesas decorrentes deste objeto estão incluídas no orçamento da SECRETARIA MUNICIPAL DE ASSISTÊNCIA SOCIAL DE FLORIANÓPOLIS, para o presente exercício, na classificação abaixo:</w:t>
      </w:r>
    </w:p>
    <w:p>
      <w:pPr>
        <w:pStyle w:val="normal1"/>
        <w:spacing w:lineRule="auto" w:line="276"/>
        <w:ind w:firstLine="567"/>
        <w:jc w:val="both"/>
        <w:rPr>
          <w:sz w:val="22"/>
          <w:szCs w:val="22"/>
          <w:highlight w:val="white"/>
        </w:rPr>
      </w:pPr>
      <w:r>
        <w:rPr>
          <w:sz w:val="22"/>
          <w:szCs w:val="22"/>
          <w:highlight w:val="white"/>
        </w:rPr>
      </w:r>
    </w:p>
    <w:p>
      <w:pPr>
        <w:pStyle w:val="normal1"/>
        <w:spacing w:lineRule="auto" w:line="276"/>
        <w:jc w:val="both"/>
        <w:rPr>
          <w:b/>
          <w:sz w:val="22"/>
          <w:szCs w:val="22"/>
          <w:highlight w:val="white"/>
        </w:rPr>
      </w:pPr>
      <w:r>
        <w:rPr>
          <w:b/>
          <w:sz w:val="22"/>
          <w:szCs w:val="22"/>
          <w:highlight w:val="white"/>
        </w:rPr>
        <w:t>Secretaria Municipal de Assistência Social – CNPJ 82.892.282/0001-43</w:t>
      </w:r>
    </w:p>
    <w:p>
      <w:pPr>
        <w:pStyle w:val="normal1"/>
        <w:spacing w:lineRule="auto" w:line="276"/>
        <w:jc w:val="both"/>
        <w:rPr>
          <w:sz w:val="22"/>
          <w:szCs w:val="22"/>
          <w:highlight w:val="white"/>
        </w:rPr>
      </w:pPr>
      <w:r>
        <w:rPr>
          <w:sz w:val="22"/>
          <w:szCs w:val="22"/>
          <w:highlight w:val="white"/>
        </w:rPr>
        <w:t>Unidade Gestora: 26</w:t>
      </w:r>
    </w:p>
    <w:p>
      <w:pPr>
        <w:pStyle w:val="normal1"/>
        <w:spacing w:lineRule="auto" w:line="276"/>
        <w:jc w:val="both"/>
        <w:rPr>
          <w:sz w:val="22"/>
          <w:szCs w:val="22"/>
          <w:highlight w:val="white"/>
        </w:rPr>
      </w:pPr>
      <w:r>
        <w:rPr>
          <w:sz w:val="22"/>
          <w:szCs w:val="22"/>
          <w:highlight w:val="white"/>
        </w:rPr>
        <w:t xml:space="preserve">Projeto/Atividade: 2.391 </w:t>
      </w:r>
    </w:p>
    <w:p>
      <w:pPr>
        <w:pStyle w:val="normal1"/>
        <w:spacing w:lineRule="auto" w:line="276"/>
        <w:jc w:val="both"/>
        <w:rPr>
          <w:sz w:val="22"/>
          <w:szCs w:val="22"/>
          <w:highlight w:val="white"/>
        </w:rPr>
      </w:pPr>
      <w:r>
        <w:rPr>
          <w:sz w:val="22"/>
          <w:szCs w:val="22"/>
          <w:highlight w:val="white"/>
        </w:rPr>
        <w:t xml:space="preserve">Elemento de Despesa: 3.3.90.39  </w:t>
      </w:r>
    </w:p>
    <w:p>
      <w:pPr>
        <w:pStyle w:val="normal1"/>
        <w:spacing w:lineRule="auto" w:line="276"/>
        <w:jc w:val="both"/>
        <w:rPr>
          <w:sz w:val="22"/>
          <w:szCs w:val="22"/>
          <w:highlight w:val="white"/>
        </w:rPr>
      </w:pPr>
      <w:r>
        <w:rPr>
          <w:sz w:val="22"/>
          <w:szCs w:val="22"/>
          <w:highlight w:val="white"/>
        </w:rPr>
        <w:t xml:space="preserve">Fonte de Recurso: 5500 </w:t>
      </w:r>
    </w:p>
    <w:p>
      <w:pPr>
        <w:pStyle w:val="normal1"/>
        <w:spacing w:lineRule="auto" w:line="276"/>
        <w:jc w:val="both"/>
        <w:rPr>
          <w:sz w:val="22"/>
          <w:szCs w:val="22"/>
          <w:highlight w:val="white"/>
        </w:rPr>
      </w:pPr>
      <w:r>
        <w:rPr>
          <w:sz w:val="22"/>
          <w:szCs w:val="22"/>
          <w:highlight w:val="white"/>
        </w:rPr>
        <w:t>Despesa / Reduzido: 1407</w:t>
      </w:r>
    </w:p>
    <w:p>
      <w:pPr>
        <w:pStyle w:val="normal1"/>
        <w:spacing w:lineRule="auto" w:line="276"/>
        <w:jc w:val="both"/>
        <w:rPr>
          <w:sz w:val="22"/>
          <w:szCs w:val="22"/>
          <w:highlight w:val="white"/>
        </w:rPr>
      </w:pPr>
      <w:r>
        <w:rPr>
          <w:sz w:val="22"/>
          <w:szCs w:val="22"/>
          <w:highlight w:val="white"/>
        </w:rPr>
      </w:r>
    </w:p>
    <w:p>
      <w:pPr>
        <w:pStyle w:val="normal1"/>
        <w:numPr>
          <w:ilvl w:val="1"/>
          <w:numId w:val="23"/>
        </w:numPr>
        <w:spacing w:lineRule="auto" w:line="276"/>
        <w:ind w:hanging="1000" w:start="1567"/>
        <w:jc w:val="both"/>
        <w:rPr>
          <w:b/>
          <w:sz w:val="22"/>
          <w:szCs w:val="22"/>
          <w:highlight w:val="white"/>
        </w:rPr>
      </w:pPr>
      <w:r>
        <w:rPr>
          <w:sz w:val="22"/>
          <w:szCs w:val="22"/>
          <w:highlight w:val="white"/>
        </w:rPr>
        <w:t>No(s) exercício(s) seguinte(s), as despesas correrão à conta dos  mesmos recursos conforme comprometimento orçamentário encaminhado junto ao processo.</w:t>
      </w:r>
    </w:p>
    <w:p>
      <w:pPr>
        <w:pStyle w:val="normal1"/>
        <w:spacing w:lineRule="auto" w:line="276"/>
        <w:ind w:hanging="0" w:start="567"/>
        <w:jc w:val="both"/>
        <w:rPr>
          <w:b/>
          <w:sz w:val="22"/>
          <w:szCs w:val="22"/>
          <w:highlight w:val="white"/>
        </w:rPr>
      </w:pPr>
      <w:r>
        <w:rPr>
          <w:b/>
          <w:sz w:val="22"/>
          <w:szCs w:val="22"/>
          <w:highlight w:val="white"/>
        </w:rPr>
      </w:r>
    </w:p>
    <w:p>
      <w:pPr>
        <w:pStyle w:val="normal1"/>
        <w:numPr>
          <w:ilvl w:val="0"/>
          <w:numId w:val="23"/>
        </w:numPr>
        <w:spacing w:lineRule="auto" w:line="276"/>
        <w:ind w:hanging="360" w:start="360"/>
        <w:jc w:val="both"/>
        <w:rPr>
          <w:b/>
          <w:sz w:val="22"/>
          <w:szCs w:val="22"/>
          <w:highlight w:val="white"/>
        </w:rPr>
      </w:pPr>
      <w:r>
        <w:rPr>
          <w:b/>
          <w:sz w:val="22"/>
          <w:szCs w:val="22"/>
          <w:highlight w:val="white"/>
        </w:rPr>
        <w:t>PAGAMENTO DO CONTRATO</w:t>
      </w:r>
    </w:p>
    <w:p>
      <w:pPr>
        <w:pStyle w:val="normal1"/>
        <w:numPr>
          <w:ilvl w:val="1"/>
          <w:numId w:val="23"/>
        </w:numPr>
        <w:spacing w:lineRule="auto" w:line="276"/>
        <w:ind w:hanging="1000" w:start="1567"/>
        <w:jc w:val="both"/>
        <w:rPr>
          <w:sz w:val="22"/>
          <w:szCs w:val="22"/>
          <w:highlight w:val="white"/>
        </w:rPr>
      </w:pPr>
      <w:r>
        <w:rPr>
          <w:sz w:val="22"/>
          <w:szCs w:val="22"/>
          <w:highlight w:val="white"/>
        </w:rPr>
        <w:t>A CONTRATADA deverá encaminhar a Nota fiscal à SEMAS, por meio físico ou eletrônico, para a respectiva validação e “aceite” da nota fiscal pelo Fiscal ou pela Comissão designada.</w:t>
      </w:r>
    </w:p>
    <w:p>
      <w:pPr>
        <w:pStyle w:val="normal1"/>
        <w:numPr>
          <w:ilvl w:val="1"/>
          <w:numId w:val="23"/>
        </w:numPr>
        <w:spacing w:lineRule="auto" w:line="276"/>
        <w:ind w:hanging="1000" w:start="1567"/>
        <w:jc w:val="both"/>
        <w:rPr>
          <w:sz w:val="22"/>
          <w:szCs w:val="22"/>
          <w:highlight w:val="white"/>
        </w:rPr>
      </w:pPr>
      <w:r>
        <w:rPr>
          <w:sz w:val="22"/>
          <w:szCs w:val="22"/>
          <w:highlight w:val="white"/>
        </w:rPr>
        <w:t>O “aceite” deverá ser realizado em até 15 dias após a entrega da nota fiscal pela CONTRATADA, que será encaminhada à Assessoria Financeira para efetuar o pagamento.</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A nota fiscal, em reais, deverá apresentar em seu corpo de descrição: o número do contrato, tipo do recurso a ser utilizado (Recursos Próprios), o objeto do contrato, competência da produção e outras informações pertinentes. </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Os pagamentos deverão ser realizados no dia 22 do mês subsequente ao da entrega dos relatórios com as respectivas notas fiscais, de acordo com a Instrução Normativa n.º 1/SMFPO/GAB/2017. </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No caso das datas descritas acima recair em feriado, final de semana ou que não seja possível o expediente público, será efetivada a ação descrita no próximo dia útil. </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Os pagamentos serão efetuados mediante a apresentação de documentos financeiros que deverão ser entregues na Diretoria Financeira da SMF, dentro das condições exigidas pela legislação vigente, no dia 22 de cada mês, e serão pagas no dia 22 do mês subsequente; e os documentos financeiros que forem entregues na Diretoria Financeira da SMF dentro das condições exigidas pela legislação vigente até o dia 25 serão pagas no dia 25 do mês subsequente. </w:t>
      </w:r>
    </w:p>
    <w:p>
      <w:pPr>
        <w:pStyle w:val="normal1"/>
        <w:numPr>
          <w:ilvl w:val="1"/>
          <w:numId w:val="23"/>
        </w:numPr>
        <w:spacing w:lineRule="auto" w:line="276"/>
        <w:ind w:hanging="1000" w:start="1567"/>
        <w:jc w:val="both"/>
        <w:rPr>
          <w:sz w:val="22"/>
          <w:szCs w:val="22"/>
          <w:highlight w:val="white"/>
        </w:rPr>
      </w:pPr>
      <w:r>
        <w:rPr>
          <w:sz w:val="22"/>
          <w:szCs w:val="22"/>
          <w:highlight w:val="white"/>
        </w:rPr>
        <w:t>Quando do pagamento será efetuada a retenção tributária prevista na legislação aplicável.</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Independentemente do percentual de tributo inserido na planilha, quando houver, serão retidos na fonte, quando da realização do pagamento, os percentuais estabelecidos na legislação vigente. </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pPr>
        <w:pStyle w:val="normal1"/>
        <w:numPr>
          <w:ilvl w:val="1"/>
          <w:numId w:val="23"/>
        </w:numPr>
        <w:spacing w:lineRule="auto" w:line="276"/>
        <w:ind w:hanging="1000" w:start="1567"/>
        <w:jc w:val="both"/>
        <w:rPr>
          <w:sz w:val="22"/>
          <w:szCs w:val="22"/>
          <w:highlight w:val="white"/>
        </w:rPr>
      </w:pPr>
      <w:r>
        <w:rPr>
          <w:sz w:val="22"/>
          <w:szCs w:val="22"/>
          <w:highlight w:val="white"/>
        </w:rPr>
        <w:t>A cobrança de valores dos serviços, objetos deste contrato, dos usuários ou de seus responsáveis acarretará a imediata rescisão do contrato e abertura de processo administrativo de punição de empresas, de acordo com o Decreto Municipal n° 20.137/2019 e suas alterações.</w:t>
      </w:r>
    </w:p>
    <w:p>
      <w:pPr>
        <w:pStyle w:val="normal1"/>
        <w:spacing w:lineRule="auto" w:line="276"/>
        <w:jc w:val="both"/>
        <w:rPr>
          <w:sz w:val="22"/>
          <w:szCs w:val="22"/>
          <w:highlight w:val="white"/>
        </w:rPr>
      </w:pPr>
      <w:r>
        <w:rPr>
          <w:sz w:val="22"/>
          <w:szCs w:val="22"/>
          <w:highlight w:val="white"/>
        </w:rPr>
      </w:r>
    </w:p>
    <w:p>
      <w:pPr>
        <w:pStyle w:val="normal1"/>
        <w:numPr>
          <w:ilvl w:val="0"/>
          <w:numId w:val="23"/>
        </w:numPr>
        <w:spacing w:lineRule="auto" w:line="276"/>
        <w:ind w:hanging="360" w:start="360"/>
        <w:jc w:val="both"/>
        <w:rPr>
          <w:b/>
          <w:sz w:val="22"/>
          <w:szCs w:val="22"/>
          <w:highlight w:val="white"/>
        </w:rPr>
      </w:pPr>
      <w:r>
        <w:rPr>
          <w:b/>
          <w:sz w:val="22"/>
          <w:szCs w:val="22"/>
          <w:highlight w:val="white"/>
        </w:rPr>
        <w:t>PUBLICAÇÃO DO CONTRATO</w:t>
      </w:r>
    </w:p>
    <w:p>
      <w:pPr>
        <w:pStyle w:val="normal1"/>
        <w:numPr>
          <w:ilvl w:val="1"/>
          <w:numId w:val="23"/>
        </w:numPr>
        <w:spacing w:lineRule="auto" w:line="276"/>
        <w:ind w:hanging="1000" w:start="1567"/>
        <w:jc w:val="both"/>
        <w:rPr>
          <w:sz w:val="22"/>
          <w:szCs w:val="22"/>
          <w:highlight w:val="white"/>
        </w:rPr>
      </w:pPr>
      <w:r>
        <w:rPr>
          <w:sz w:val="22"/>
          <w:szCs w:val="22"/>
          <w:highlight w:val="white"/>
        </w:rPr>
        <w:t>O contrato ou instrumento contratual equivalente, oriundo do credenciamento, deverá ser publicado em prazo não superior a 30 dias da sua assinatura, vinculando seus efeitos jurídicos a partir da publicação do mesmo.</w:t>
      </w:r>
    </w:p>
    <w:p>
      <w:pPr>
        <w:pStyle w:val="normal1"/>
        <w:spacing w:lineRule="auto" w:line="276"/>
        <w:jc w:val="both"/>
        <w:rPr>
          <w:sz w:val="22"/>
          <w:szCs w:val="22"/>
          <w:highlight w:val="white"/>
        </w:rPr>
      </w:pPr>
      <w:r>
        <w:rPr>
          <w:sz w:val="22"/>
          <w:szCs w:val="22"/>
          <w:highlight w:val="white"/>
        </w:rPr>
      </w:r>
    </w:p>
    <w:p>
      <w:pPr>
        <w:pStyle w:val="normal1"/>
        <w:numPr>
          <w:ilvl w:val="0"/>
          <w:numId w:val="23"/>
        </w:numPr>
        <w:spacing w:lineRule="auto" w:line="276"/>
        <w:ind w:hanging="360" w:start="360"/>
        <w:jc w:val="both"/>
        <w:rPr>
          <w:b/>
          <w:sz w:val="22"/>
          <w:szCs w:val="22"/>
          <w:highlight w:val="white"/>
        </w:rPr>
      </w:pPr>
      <w:r>
        <w:rPr>
          <w:b/>
          <w:sz w:val="22"/>
          <w:szCs w:val="22"/>
          <w:highlight w:val="white"/>
        </w:rPr>
        <w:t>DA FISCALIZAÇÃO E GESTÃO DO CONTRATO</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O contrato ou instrumento equivalente deverá ser executado fielmente pelas partes, de acordo com as cláusulas avençadas e as normas da Lei n.º 14.133, de 2021, e cada parte responderá pelas consequências de sua inexecução total ou parcial. </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Em caso de impedimento, ordem de paralisação ou suspensão do contrato ou instrumento equivalente, o cronograma de execução será prorrogado automaticamente pelo tempo correspondente, anotadas tais circunstâncias mediante simples apostila. </w:t>
      </w:r>
    </w:p>
    <w:p>
      <w:pPr>
        <w:pStyle w:val="normal1"/>
        <w:numPr>
          <w:ilvl w:val="1"/>
          <w:numId w:val="23"/>
        </w:numPr>
        <w:spacing w:lineRule="auto" w:line="276"/>
        <w:ind w:hanging="1000" w:start="1567"/>
        <w:jc w:val="both"/>
        <w:rPr>
          <w:sz w:val="22"/>
          <w:szCs w:val="22"/>
          <w:highlight w:val="white"/>
        </w:rPr>
      </w:pPr>
      <w:r>
        <w:rPr>
          <w:sz w:val="22"/>
          <w:szCs w:val="22"/>
          <w:highlight w:val="white"/>
        </w:rPr>
        <w:t>As comunicações entre o órgão ou entidade e a contratada devem ser realizadas por escrito sempre que o ato exigir tal formalidade, admitindo-se o uso de mensagem eletrônica para esse fim.</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O órgão ou entidade poderá convocar o contratado para adoção de providências que devam ser cumpridas de imediato. </w:t>
      </w:r>
    </w:p>
    <w:p>
      <w:pPr>
        <w:pStyle w:val="normal1"/>
        <w:numPr>
          <w:ilvl w:val="1"/>
          <w:numId w:val="23"/>
        </w:numPr>
        <w:spacing w:lineRule="auto" w:line="276"/>
        <w:ind w:hanging="1000" w:start="1567"/>
        <w:jc w:val="both"/>
        <w:rPr>
          <w:sz w:val="22"/>
          <w:szCs w:val="22"/>
          <w:highlight w:val="white"/>
        </w:rPr>
      </w:pPr>
      <w:r>
        <w:rPr>
          <w:sz w:val="22"/>
          <w:szCs w:val="22"/>
          <w:highlight w:val="white"/>
        </w:rPr>
        <w:t>Após a assinatura do contrato ou instrumento equivalente, o órgão ou entidade poderá convocar o contratado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normal1"/>
        <w:spacing w:lineRule="auto" w:line="276"/>
        <w:jc w:val="both"/>
        <w:rPr>
          <w:sz w:val="22"/>
          <w:szCs w:val="22"/>
          <w:highlight w:val="white"/>
        </w:rPr>
      </w:pPr>
      <w:r>
        <w:rPr>
          <w:sz w:val="22"/>
          <w:szCs w:val="22"/>
          <w:highlight w:val="white"/>
        </w:rPr>
      </w:r>
    </w:p>
    <w:p>
      <w:pPr>
        <w:pStyle w:val="normal1"/>
        <w:numPr>
          <w:ilvl w:val="1"/>
          <w:numId w:val="23"/>
        </w:numPr>
        <w:spacing w:lineRule="auto" w:line="276"/>
        <w:ind w:hanging="1000" w:start="1567"/>
        <w:jc w:val="both"/>
        <w:rPr>
          <w:b/>
          <w:sz w:val="22"/>
          <w:szCs w:val="22"/>
          <w:highlight w:val="white"/>
        </w:rPr>
      </w:pPr>
      <w:r>
        <w:rPr>
          <w:b/>
          <w:sz w:val="22"/>
          <w:szCs w:val="22"/>
          <w:highlight w:val="white"/>
        </w:rPr>
        <w:t>Fiscalização</w:t>
      </w:r>
    </w:p>
    <w:p>
      <w:pPr>
        <w:pStyle w:val="normal1"/>
        <w:numPr>
          <w:ilvl w:val="2"/>
          <w:numId w:val="23"/>
        </w:numPr>
        <w:spacing w:lineRule="auto" w:line="276"/>
        <w:ind w:hanging="0" w:start="851"/>
        <w:jc w:val="both"/>
        <w:rPr>
          <w:sz w:val="22"/>
          <w:szCs w:val="22"/>
          <w:highlight w:val="white"/>
        </w:rPr>
      </w:pPr>
      <w:r>
        <w:rPr>
          <w:sz w:val="22"/>
          <w:szCs w:val="22"/>
          <w:highlight w:val="white"/>
        </w:rPr>
        <w:t>A execução do contrato deverá ser acompanhada e fiscalizada pelo(s) fiscal(is) do contrato, ou pelos respectivos substitutos (Lei n.º 14.133, de 2021, art. 117, caput).</w:t>
      </w:r>
    </w:p>
    <w:p>
      <w:pPr>
        <w:pStyle w:val="normal1"/>
        <w:spacing w:lineRule="auto" w:line="276"/>
        <w:jc w:val="both"/>
        <w:rPr>
          <w:sz w:val="22"/>
          <w:szCs w:val="22"/>
          <w:highlight w:val="white"/>
        </w:rPr>
      </w:pPr>
      <w:r>
        <w:rPr>
          <w:sz w:val="22"/>
          <w:szCs w:val="22"/>
          <w:highlight w:val="white"/>
        </w:rPr>
      </w:r>
    </w:p>
    <w:p>
      <w:pPr>
        <w:pStyle w:val="normal1"/>
        <w:numPr>
          <w:ilvl w:val="1"/>
          <w:numId w:val="23"/>
        </w:numPr>
        <w:spacing w:lineRule="auto" w:line="276"/>
        <w:ind w:hanging="1000" w:start="1567"/>
        <w:jc w:val="both"/>
        <w:rPr>
          <w:sz w:val="22"/>
          <w:szCs w:val="22"/>
          <w:highlight w:val="white"/>
        </w:rPr>
      </w:pPr>
      <w:r>
        <w:rPr>
          <w:b/>
          <w:sz w:val="22"/>
          <w:szCs w:val="22"/>
          <w:highlight w:val="white"/>
        </w:rPr>
        <w:t>Fiscalização Técnica</w:t>
      </w:r>
    </w:p>
    <w:p>
      <w:pPr>
        <w:pStyle w:val="normal1"/>
        <w:numPr>
          <w:ilvl w:val="0"/>
          <w:numId w:val="12"/>
        </w:numPr>
        <w:spacing w:lineRule="auto" w:line="276"/>
        <w:ind w:hanging="360" w:start="720"/>
        <w:jc w:val="both"/>
        <w:rPr>
          <w:sz w:val="22"/>
          <w:szCs w:val="22"/>
          <w:highlight w:val="white"/>
        </w:rPr>
      </w:pPr>
      <w:r>
        <w:rPr>
          <w:sz w:val="22"/>
          <w:szCs w:val="22"/>
          <w:highlight w:val="white"/>
        </w:rPr>
        <w:t xml:space="preserve">O fiscal técnico do contrato acompanhará a execução do contrato para que sejam cumpridas todas as condições estabelecidas no contrato, de modo a assegurar os melhores resultados para a administração pública. (Decreto n.º 11.246, de 2022, art. 22, VI); </w:t>
      </w:r>
    </w:p>
    <w:p>
      <w:pPr>
        <w:pStyle w:val="normal1"/>
        <w:numPr>
          <w:ilvl w:val="0"/>
          <w:numId w:val="12"/>
        </w:numPr>
        <w:spacing w:lineRule="auto" w:line="276"/>
        <w:ind w:hanging="360" w:start="720"/>
        <w:jc w:val="both"/>
        <w:rPr>
          <w:sz w:val="22"/>
          <w:szCs w:val="22"/>
          <w:highlight w:val="white"/>
        </w:rPr>
      </w:pPr>
      <w:r>
        <w:rPr>
          <w:sz w:val="22"/>
          <w:szCs w:val="22"/>
          <w:highlight w:val="white"/>
        </w:rPr>
        <w:t xml:space="preserve">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 </w:t>
      </w:r>
    </w:p>
    <w:p>
      <w:pPr>
        <w:pStyle w:val="normal1"/>
        <w:numPr>
          <w:ilvl w:val="0"/>
          <w:numId w:val="12"/>
        </w:numPr>
        <w:spacing w:lineRule="auto" w:line="276"/>
        <w:ind w:hanging="360" w:start="720"/>
        <w:jc w:val="both"/>
        <w:rPr>
          <w:sz w:val="22"/>
          <w:szCs w:val="22"/>
          <w:highlight w:val="white"/>
        </w:rPr>
      </w:pPr>
      <w:r>
        <w:rPr>
          <w:sz w:val="22"/>
          <w:szCs w:val="22"/>
          <w:highlight w:val="white"/>
        </w:rPr>
        <w:t xml:space="preserve">Identificada qualquer inexatidão ou irregularidade, o fiscal técnico do contrato emitirá notificações para a correção da execução do contrato, determinando prazo para a correção. (Decreto n.º 11.246, de 2022, art. 22, III); </w:t>
      </w:r>
    </w:p>
    <w:p>
      <w:pPr>
        <w:pStyle w:val="normal1"/>
        <w:numPr>
          <w:ilvl w:val="0"/>
          <w:numId w:val="12"/>
        </w:numPr>
        <w:spacing w:lineRule="auto" w:line="276"/>
        <w:ind w:hanging="360" w:start="720"/>
        <w:jc w:val="both"/>
        <w:rPr>
          <w:sz w:val="22"/>
          <w:szCs w:val="22"/>
          <w:highlight w:val="white"/>
        </w:rPr>
      </w:pPr>
      <w:r>
        <w:rPr>
          <w:sz w:val="22"/>
          <w:szCs w:val="22"/>
          <w:highlight w:val="white"/>
        </w:rPr>
        <w:t>O fiscal técnico do contrato informará ao gestor do contrato, em tempo hábil, a situação que demandar decisão ou adoção de medidas que ultrapassem sua competência, para que adote as medidas necessárias e saneadoras, se for o caso. (Decreto n.º 11.246, de 2022, art. 22, IV).</w:t>
      </w:r>
    </w:p>
    <w:p>
      <w:pPr>
        <w:pStyle w:val="normal1"/>
        <w:numPr>
          <w:ilvl w:val="0"/>
          <w:numId w:val="12"/>
        </w:numPr>
        <w:spacing w:lineRule="auto" w:line="276"/>
        <w:ind w:hanging="360" w:start="720"/>
        <w:jc w:val="both"/>
        <w:rPr>
          <w:sz w:val="22"/>
          <w:szCs w:val="22"/>
          <w:highlight w:val="white"/>
        </w:rPr>
      </w:pPr>
      <w:r>
        <w:rPr>
          <w:sz w:val="22"/>
          <w:szCs w:val="22"/>
          <w:highlight w:val="white"/>
        </w:rPr>
        <w:t xml:space="preserve">No caso de ocorrências que possam inviabilizar a execução do contrato nas datas aprazadas, o fiscal técnico do contrato comunicará o fato imediatamente ao gestor do contrato. (Decreto n.º 11.246, de 2022, art. 22, V). </w:t>
      </w:r>
    </w:p>
    <w:p>
      <w:pPr>
        <w:pStyle w:val="normal1"/>
        <w:numPr>
          <w:ilvl w:val="0"/>
          <w:numId w:val="12"/>
        </w:numPr>
        <w:spacing w:lineRule="auto" w:line="276"/>
        <w:ind w:hanging="360" w:start="720"/>
        <w:jc w:val="both"/>
        <w:rPr>
          <w:sz w:val="22"/>
          <w:szCs w:val="22"/>
          <w:highlight w:val="white"/>
        </w:rPr>
      </w:pPr>
      <w:r>
        <w:rPr>
          <w:sz w:val="22"/>
          <w:szCs w:val="22"/>
          <w:highlight w:val="white"/>
        </w:rPr>
        <w:t>O fiscal técnico do contrato comunicará ao gestor do contrato, em tempo hábil, o término do contrato sob sua responsabilidade, com vistas à renovação tempestiva ou à prorrogação contratual (Decreto n.º 11.246, de 2022, art. 22, VII).</w:t>
      </w:r>
    </w:p>
    <w:p>
      <w:pPr>
        <w:pStyle w:val="normal1"/>
        <w:numPr>
          <w:ilvl w:val="0"/>
          <w:numId w:val="12"/>
        </w:numPr>
        <w:tabs>
          <w:tab w:val="clear" w:pos="720"/>
          <w:tab w:val="left" w:pos="851" w:leader="none"/>
          <w:tab w:val="left" w:pos="1134" w:leader="none"/>
        </w:tabs>
        <w:spacing w:lineRule="auto" w:line="276"/>
        <w:ind w:hanging="360" w:start="720"/>
        <w:jc w:val="both"/>
        <w:rPr>
          <w:sz w:val="22"/>
          <w:szCs w:val="22"/>
          <w:highlight w:val="white"/>
        </w:rPr>
      </w:pPr>
      <w:r>
        <w:rPr>
          <w:b/>
          <w:sz w:val="22"/>
          <w:szCs w:val="22"/>
          <w:highlight w:val="white"/>
        </w:rPr>
        <w:t>Fiscal Responsável: Dejair de Oliveira Junior – Matrícula 83007-0</w:t>
      </w:r>
    </w:p>
    <w:p>
      <w:pPr>
        <w:pStyle w:val="normal1"/>
        <w:spacing w:lineRule="auto" w:line="276"/>
        <w:jc w:val="both"/>
        <w:rPr>
          <w:sz w:val="22"/>
          <w:szCs w:val="22"/>
          <w:highlight w:val="white"/>
        </w:rPr>
      </w:pPr>
      <w:r>
        <w:rPr>
          <w:sz w:val="22"/>
          <w:szCs w:val="22"/>
          <w:highlight w:val="white"/>
        </w:rPr>
      </w:r>
    </w:p>
    <w:p>
      <w:pPr>
        <w:pStyle w:val="normal1"/>
        <w:numPr>
          <w:ilvl w:val="1"/>
          <w:numId w:val="23"/>
        </w:numPr>
        <w:spacing w:lineRule="auto" w:line="276"/>
        <w:ind w:hanging="1000" w:start="1567"/>
        <w:jc w:val="both"/>
        <w:rPr>
          <w:b/>
          <w:sz w:val="22"/>
          <w:szCs w:val="22"/>
          <w:highlight w:val="white"/>
        </w:rPr>
      </w:pPr>
      <w:r>
        <w:rPr>
          <w:b/>
          <w:sz w:val="22"/>
          <w:szCs w:val="22"/>
          <w:highlight w:val="white"/>
        </w:rPr>
        <w:t>Fiscalização Administrativa</w:t>
      </w:r>
    </w:p>
    <w:p>
      <w:pPr>
        <w:pStyle w:val="normal1"/>
        <w:numPr>
          <w:ilvl w:val="0"/>
          <w:numId w:val="24"/>
        </w:numPr>
        <w:spacing w:lineRule="auto" w:line="276"/>
        <w:ind w:hanging="360" w:start="720"/>
        <w:jc w:val="both"/>
        <w:rPr>
          <w:sz w:val="22"/>
          <w:szCs w:val="22"/>
          <w:highlight w:val="white"/>
        </w:rPr>
      </w:pPr>
      <w:r>
        <w:rPr>
          <w:sz w:val="22"/>
          <w:szCs w:val="22"/>
          <w:highlight w:val="white"/>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 </w:t>
      </w:r>
    </w:p>
    <w:p>
      <w:pPr>
        <w:pStyle w:val="normal1"/>
        <w:numPr>
          <w:ilvl w:val="0"/>
          <w:numId w:val="24"/>
        </w:numPr>
        <w:spacing w:lineRule="auto" w:line="276"/>
        <w:ind w:hanging="360" w:start="720"/>
        <w:jc w:val="both"/>
        <w:rPr>
          <w:sz w:val="22"/>
          <w:szCs w:val="22"/>
          <w:highlight w:val="white"/>
        </w:rPr>
      </w:pPr>
      <w:r>
        <w:rPr>
          <w:sz w:val="22"/>
          <w:szCs w:val="22"/>
          <w:highlight w:val="white"/>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pPr>
        <w:pStyle w:val="normal1"/>
        <w:spacing w:lineRule="auto" w:line="276"/>
        <w:jc w:val="both"/>
        <w:rPr>
          <w:sz w:val="22"/>
          <w:szCs w:val="22"/>
          <w:highlight w:val="white"/>
        </w:rPr>
      </w:pPr>
      <w:r>
        <w:rPr>
          <w:sz w:val="22"/>
          <w:szCs w:val="22"/>
          <w:highlight w:val="white"/>
        </w:rPr>
      </w:r>
    </w:p>
    <w:p>
      <w:pPr>
        <w:pStyle w:val="normal1"/>
        <w:numPr>
          <w:ilvl w:val="1"/>
          <w:numId w:val="23"/>
        </w:numPr>
        <w:spacing w:lineRule="auto" w:line="276"/>
        <w:ind w:hanging="1000" w:start="1567"/>
        <w:jc w:val="both"/>
        <w:rPr>
          <w:b/>
          <w:sz w:val="22"/>
          <w:szCs w:val="22"/>
          <w:highlight w:val="white"/>
        </w:rPr>
      </w:pPr>
      <w:r>
        <w:rPr>
          <w:b/>
          <w:sz w:val="22"/>
          <w:szCs w:val="22"/>
          <w:highlight w:val="white"/>
        </w:rPr>
        <w:t>Gestor do Contrato</w:t>
      </w:r>
    </w:p>
    <w:p>
      <w:pPr>
        <w:pStyle w:val="normal1"/>
        <w:numPr>
          <w:ilvl w:val="0"/>
          <w:numId w:val="21"/>
        </w:numPr>
        <w:spacing w:lineRule="auto" w:line="276"/>
        <w:ind w:hanging="360" w:start="720"/>
        <w:jc w:val="both"/>
        <w:rPr>
          <w:sz w:val="22"/>
          <w:szCs w:val="22"/>
          <w:highlight w:val="white"/>
        </w:rPr>
      </w:pPr>
      <w:r>
        <w:rPr>
          <w:sz w:val="22"/>
          <w:szCs w:val="22"/>
          <w:highlight w:val="white"/>
        </w:rPr>
        <w:t xml:space="preserve">O gestor do contrato coordenará a atualização do processo de acompanhamento e fiscalização do contrato contendo todos os regimentos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pública. (Decreto n.º11.246, de 2022, art.21, IV). </w:t>
      </w:r>
    </w:p>
    <w:p>
      <w:pPr>
        <w:pStyle w:val="normal1"/>
        <w:numPr>
          <w:ilvl w:val="0"/>
          <w:numId w:val="21"/>
        </w:numPr>
        <w:spacing w:lineRule="auto" w:line="276"/>
        <w:ind w:hanging="360" w:start="720"/>
        <w:jc w:val="both"/>
        <w:rPr>
          <w:sz w:val="22"/>
          <w:szCs w:val="22"/>
          <w:highlight w:val="white"/>
        </w:rPr>
      </w:pPr>
      <w:r>
        <w:rPr>
          <w:sz w:val="22"/>
          <w:szCs w:val="22"/>
          <w:highlight w:val="white"/>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pPr>
        <w:pStyle w:val="normal1"/>
        <w:numPr>
          <w:ilvl w:val="0"/>
          <w:numId w:val="21"/>
        </w:numPr>
        <w:spacing w:lineRule="auto" w:line="276"/>
        <w:ind w:hanging="360" w:start="720"/>
        <w:jc w:val="both"/>
        <w:rPr>
          <w:sz w:val="22"/>
          <w:szCs w:val="22"/>
          <w:highlight w:val="white"/>
        </w:rPr>
      </w:pPr>
      <w:r>
        <w:rPr>
          <w:sz w:val="22"/>
          <w:szCs w:val="22"/>
          <w:highlight w:val="white"/>
        </w:rPr>
        <w:t xml:space="preserve">O gestor do contrato acompanhará a manutenção das condições de habilitação da contratada, para fins de empenho de despesa e pagamento, e anotará os problemas que obstam o fluxo normal da liquidação e do pagamento da despesa no relatório de riscos eventuais. (Decreto n.º 11.246, de 2022, art. 21, III). </w:t>
      </w:r>
    </w:p>
    <w:p>
      <w:pPr>
        <w:pStyle w:val="normal1"/>
        <w:numPr>
          <w:ilvl w:val="0"/>
          <w:numId w:val="21"/>
        </w:numPr>
        <w:spacing w:lineRule="auto" w:line="276"/>
        <w:ind w:hanging="360" w:start="720"/>
        <w:jc w:val="both"/>
        <w:rPr>
          <w:sz w:val="22"/>
          <w:szCs w:val="22"/>
          <w:highlight w:val="white"/>
        </w:rPr>
      </w:pPr>
      <w:r>
        <w:rPr>
          <w:sz w:val="22"/>
          <w:szCs w:val="22"/>
          <w:highlight w:val="white"/>
        </w:rPr>
        <w:t xml:space="preserve">O gestor do contrato emitirá documento comprobatório da avaliação realizada pelos fiscais técnico, administrativo e setorial quanto ao cumprimento de obrigações assumidas pelo CREDENCIADO, com menção ao seu desempenho na execução contratual, baseado nos indicadores objetivamente definidos e aferidos, e a eventuais penalidades aplicadas, devendo constar do cadastro de atesto de cumprimento de obrigações. (Decreto n.º 11.246, de 2022, art. 21, VIII). </w:t>
      </w:r>
    </w:p>
    <w:p>
      <w:pPr>
        <w:pStyle w:val="normal1"/>
        <w:numPr>
          <w:ilvl w:val="0"/>
          <w:numId w:val="21"/>
        </w:numPr>
        <w:spacing w:lineRule="auto" w:line="276"/>
        <w:ind w:hanging="360" w:start="720"/>
        <w:jc w:val="both"/>
        <w:rPr>
          <w:sz w:val="22"/>
          <w:szCs w:val="22"/>
          <w:highlight w:val="white"/>
        </w:rPr>
      </w:pPr>
      <w:r>
        <w:rPr>
          <w:sz w:val="22"/>
          <w:szCs w:val="22"/>
          <w:highlight w:val="white"/>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pPr>
        <w:pStyle w:val="normal1"/>
        <w:numPr>
          <w:ilvl w:val="0"/>
          <w:numId w:val="21"/>
        </w:numPr>
        <w:spacing w:lineRule="auto" w:line="276"/>
        <w:ind w:hanging="360" w:start="720"/>
        <w:jc w:val="both"/>
        <w:rPr>
          <w:sz w:val="22"/>
          <w:szCs w:val="22"/>
          <w:highlight w:val="white"/>
        </w:rPr>
      </w:pPr>
      <w:r>
        <w:rPr>
          <w:sz w:val="22"/>
          <w:szCs w:val="22"/>
          <w:highlight w:val="white"/>
        </w:rPr>
        <w:t xml:space="preserve">O gestor do contrato deverá elaborar relatório final com informações sobre a consecução dos objetivos que tenham justificado a contratação e eventuais condutas a serem adotadas para o aprimoramento das atividades da administração pública. (Decreto n.º 11.246, de 2022, art. 21, VI). </w:t>
      </w:r>
    </w:p>
    <w:p>
      <w:pPr>
        <w:pStyle w:val="normal1"/>
        <w:numPr>
          <w:ilvl w:val="0"/>
          <w:numId w:val="21"/>
        </w:numPr>
        <w:spacing w:lineRule="auto" w:line="276"/>
        <w:ind w:hanging="360" w:start="720"/>
        <w:jc w:val="both"/>
        <w:rPr>
          <w:sz w:val="22"/>
          <w:szCs w:val="22"/>
          <w:highlight w:val="white"/>
        </w:rPr>
      </w:pPr>
      <w:r>
        <w:rPr>
          <w:sz w:val="22"/>
          <w:szCs w:val="22"/>
          <w:highlight w:val="white"/>
        </w:rPr>
        <w:t>O gestor do contrato deverá enviar a documentação pertinente ao setor de contratos para a formalização dos procedimentos de liquidação e pagamento, no valor dimensionado pela fiscalização e gestão nos termos do contrato.</w:t>
      </w:r>
    </w:p>
    <w:p>
      <w:pPr>
        <w:pStyle w:val="normal1"/>
        <w:numPr>
          <w:ilvl w:val="0"/>
          <w:numId w:val="21"/>
        </w:numPr>
        <w:spacing w:lineRule="auto" w:line="276"/>
        <w:ind w:hanging="360" w:start="720"/>
        <w:jc w:val="both"/>
        <w:rPr>
          <w:sz w:val="22"/>
          <w:szCs w:val="22"/>
          <w:highlight w:val="white"/>
        </w:rPr>
      </w:pPr>
      <w:r>
        <w:rPr>
          <w:b/>
          <w:sz w:val="22"/>
          <w:szCs w:val="22"/>
          <w:highlight w:val="white"/>
        </w:rPr>
        <w:t>Gestor Responsável: Giovanni Ribeiro – Matrícula 62705-3</w:t>
      </w:r>
    </w:p>
    <w:p>
      <w:pPr>
        <w:pStyle w:val="normal1"/>
        <w:spacing w:lineRule="auto" w:line="276"/>
        <w:jc w:val="both"/>
        <w:rPr>
          <w:sz w:val="22"/>
          <w:szCs w:val="22"/>
          <w:highlight w:val="white"/>
        </w:rPr>
      </w:pPr>
      <w:r>
        <w:rPr>
          <w:sz w:val="22"/>
          <w:szCs w:val="22"/>
          <w:highlight w:val="white"/>
        </w:rPr>
      </w:r>
    </w:p>
    <w:p>
      <w:pPr>
        <w:pStyle w:val="normal1"/>
        <w:numPr>
          <w:ilvl w:val="0"/>
          <w:numId w:val="23"/>
        </w:numPr>
        <w:spacing w:lineRule="auto" w:line="276"/>
        <w:ind w:hanging="360" w:start="360"/>
        <w:jc w:val="both"/>
        <w:rPr>
          <w:b/>
          <w:sz w:val="22"/>
          <w:szCs w:val="22"/>
          <w:highlight w:val="white"/>
        </w:rPr>
      </w:pPr>
      <w:r>
        <w:rPr>
          <w:b/>
          <w:sz w:val="22"/>
          <w:szCs w:val="22"/>
          <w:highlight w:val="white"/>
        </w:rPr>
        <w:t>DA RESPONSABILIDADE DAS PARTES</w:t>
      </w:r>
    </w:p>
    <w:p>
      <w:pPr>
        <w:pStyle w:val="normal1"/>
        <w:numPr>
          <w:ilvl w:val="1"/>
          <w:numId w:val="23"/>
        </w:numPr>
        <w:spacing w:lineRule="auto" w:line="276"/>
        <w:ind w:hanging="1000" w:start="1567"/>
        <w:jc w:val="both"/>
        <w:rPr>
          <w:b/>
          <w:sz w:val="22"/>
          <w:szCs w:val="22"/>
          <w:highlight w:val="white"/>
        </w:rPr>
      </w:pPr>
      <w:r>
        <w:rPr>
          <w:b/>
          <w:sz w:val="22"/>
          <w:szCs w:val="22"/>
          <w:highlight w:val="white"/>
        </w:rPr>
        <w:t>Do Contratado</w:t>
      </w:r>
    </w:p>
    <w:p>
      <w:pPr>
        <w:pStyle w:val="normal1"/>
        <w:numPr>
          <w:ilvl w:val="2"/>
          <w:numId w:val="23"/>
        </w:numPr>
        <w:spacing w:lineRule="auto" w:line="276"/>
        <w:ind w:hanging="0" w:start="851"/>
        <w:jc w:val="both"/>
        <w:rPr>
          <w:sz w:val="22"/>
          <w:szCs w:val="22"/>
          <w:highlight w:val="white"/>
        </w:rPr>
      </w:pPr>
      <w:r>
        <w:rPr>
          <w:sz w:val="22"/>
          <w:szCs w:val="22"/>
          <w:highlight w:val="white"/>
        </w:rPr>
        <w:t>O contratado deve cumprir todas as obrigações constantes deste Termo de referência, assumindo como exclusivamente seus os riscos e as despesas decorrentes da boa e perfeita execução do objeto, observando, ainda, as obrigações a seguir dispostas:</w:t>
      </w:r>
    </w:p>
    <w:p>
      <w:pPr>
        <w:pStyle w:val="normal1"/>
        <w:numPr>
          <w:ilvl w:val="0"/>
          <w:numId w:val="20"/>
        </w:numPr>
        <w:spacing w:lineRule="auto" w:line="276"/>
        <w:ind w:hanging="360" w:start="720"/>
        <w:jc w:val="both"/>
        <w:rPr>
          <w:sz w:val="22"/>
          <w:szCs w:val="22"/>
          <w:highlight w:val="white"/>
        </w:rPr>
      </w:pPr>
      <w:r>
        <w:rPr>
          <w:sz w:val="22"/>
          <w:szCs w:val="22"/>
          <w:highlight w:val="white"/>
        </w:rPr>
        <w:t>Responsabilizar-se pelos vícios e danos decorrentes do objeto, de acordo com o Código de Defesa do Consumidor (Lei n.º 8.078, de 1990);</w:t>
      </w:r>
    </w:p>
    <w:p>
      <w:pPr>
        <w:pStyle w:val="normal1"/>
        <w:numPr>
          <w:ilvl w:val="0"/>
          <w:numId w:val="20"/>
        </w:numPr>
        <w:spacing w:lineRule="auto" w:line="276"/>
        <w:ind w:hanging="360" w:start="720"/>
        <w:jc w:val="both"/>
        <w:rPr>
          <w:sz w:val="22"/>
          <w:szCs w:val="22"/>
          <w:highlight w:val="white"/>
        </w:rPr>
      </w:pPr>
      <w:r>
        <w:rPr>
          <w:sz w:val="22"/>
          <w:szCs w:val="22"/>
          <w:highlight w:val="white"/>
        </w:rPr>
        <w:t xml:space="preserve">Comunicar ao contratante, no prazo máximo de 24 (vinte e quatro) horas que antecede a data da entrega, os motivos que impossibilitem o cumprimento do prazo previsto, com a devida comprovação; </w:t>
      </w:r>
    </w:p>
    <w:p>
      <w:pPr>
        <w:pStyle w:val="normal1"/>
        <w:numPr>
          <w:ilvl w:val="0"/>
          <w:numId w:val="20"/>
        </w:numPr>
        <w:spacing w:lineRule="auto" w:line="276"/>
        <w:ind w:hanging="360" w:start="720"/>
        <w:jc w:val="both"/>
        <w:rPr>
          <w:sz w:val="22"/>
          <w:szCs w:val="22"/>
          <w:highlight w:val="white"/>
        </w:rPr>
      </w:pPr>
      <w:r>
        <w:rPr>
          <w:sz w:val="22"/>
          <w:szCs w:val="22"/>
          <w:highlight w:val="white"/>
        </w:rPr>
        <w:t xml:space="preserve">Atender às determinações regulares emitidas pelo fiscal ou gestor do contrato ou autoridade superior (Art. 137, II, da Lei n.º 14.133/2021) e prestar todo esclarecimento ou informação por eles solicitados; </w:t>
      </w:r>
    </w:p>
    <w:p>
      <w:pPr>
        <w:pStyle w:val="normal1"/>
        <w:numPr>
          <w:ilvl w:val="0"/>
          <w:numId w:val="20"/>
        </w:numPr>
        <w:spacing w:lineRule="auto" w:line="276"/>
        <w:ind w:hanging="360" w:start="720"/>
        <w:jc w:val="both"/>
        <w:rPr>
          <w:sz w:val="22"/>
          <w:szCs w:val="22"/>
          <w:highlight w:val="white"/>
        </w:rPr>
      </w:pPr>
      <w:r>
        <w:rPr>
          <w:sz w:val="22"/>
          <w:szCs w:val="22"/>
          <w:highlight w:val="white"/>
        </w:rPr>
        <w:t xml:space="preserve">Responsabilizar-se pelos vícios e danos decorrentes da execução do objeto, bem como por todo e qualquer dano causado à administração pública ou terceiros, não reduzindo essa responsabilidade a fiscalização ou o acompanhamento da execução contratual pelo credenciante, que ficará autorizado a descontar dos pagamentos devidos ou da garantia, caso exigida, o valor correspondente aos danos sofridos; </w:t>
      </w:r>
    </w:p>
    <w:p>
      <w:pPr>
        <w:pStyle w:val="normal1"/>
        <w:numPr>
          <w:ilvl w:val="0"/>
          <w:numId w:val="20"/>
        </w:numPr>
        <w:spacing w:lineRule="auto" w:line="276"/>
        <w:ind w:hanging="360" w:start="720"/>
        <w:jc w:val="both"/>
        <w:rPr>
          <w:sz w:val="22"/>
          <w:szCs w:val="22"/>
          <w:highlight w:val="white"/>
        </w:rPr>
      </w:pPr>
      <w:r>
        <w:rPr>
          <w:sz w:val="22"/>
          <w:szCs w:val="22"/>
          <w:highlight w:val="white"/>
        </w:rPr>
        <w:t>Quando não for possível a verificação da regularidade no Sistema de Cadastro de Fornecedores – SICAF, o credenciado deverá entregar ao setor responsável pela fiscalização do contrato, junto com a Nota Fiscal para fins de pagamento, os seguintes documentos:</w:t>
      </w:r>
    </w:p>
    <w:p>
      <w:pPr>
        <w:pStyle w:val="normal1"/>
        <w:numPr>
          <w:ilvl w:val="0"/>
          <w:numId w:val="18"/>
        </w:numPr>
        <w:spacing w:lineRule="auto" w:line="276"/>
        <w:ind w:hanging="11" w:start="1418"/>
        <w:jc w:val="both"/>
        <w:rPr>
          <w:sz w:val="22"/>
          <w:szCs w:val="22"/>
          <w:highlight w:val="white"/>
        </w:rPr>
      </w:pPr>
      <w:r>
        <w:rPr>
          <w:sz w:val="22"/>
          <w:szCs w:val="22"/>
          <w:highlight w:val="white"/>
        </w:rPr>
        <w:t xml:space="preserve">Prova de regularidade relativa à Seguridade Social; </w:t>
      </w:r>
    </w:p>
    <w:p>
      <w:pPr>
        <w:pStyle w:val="normal1"/>
        <w:numPr>
          <w:ilvl w:val="0"/>
          <w:numId w:val="18"/>
        </w:numPr>
        <w:spacing w:lineRule="auto" w:line="276"/>
        <w:ind w:hanging="11" w:start="1418"/>
        <w:jc w:val="both"/>
        <w:rPr>
          <w:sz w:val="22"/>
          <w:szCs w:val="22"/>
          <w:highlight w:val="white"/>
        </w:rPr>
      </w:pPr>
      <w:r>
        <w:rPr>
          <w:sz w:val="22"/>
          <w:szCs w:val="22"/>
          <w:highlight w:val="white"/>
        </w:rPr>
        <w:t xml:space="preserve">Certidão conjunta relativa aos tributos federais e à Dívida Ativa da União; </w:t>
      </w:r>
    </w:p>
    <w:p>
      <w:pPr>
        <w:pStyle w:val="normal1"/>
        <w:numPr>
          <w:ilvl w:val="0"/>
          <w:numId w:val="18"/>
        </w:numPr>
        <w:spacing w:lineRule="auto" w:line="276"/>
        <w:ind w:hanging="11" w:start="1418"/>
        <w:jc w:val="both"/>
        <w:rPr>
          <w:sz w:val="22"/>
          <w:szCs w:val="22"/>
          <w:highlight w:val="white"/>
        </w:rPr>
      </w:pPr>
      <w:r>
        <w:rPr>
          <w:sz w:val="22"/>
          <w:szCs w:val="22"/>
          <w:highlight w:val="white"/>
        </w:rPr>
        <w:t xml:space="preserve">Certidões que comprovem a regularidade perante a Fazenda Estadual ou Distrital do domicílio ou sede do credenciado; </w:t>
      </w:r>
    </w:p>
    <w:p>
      <w:pPr>
        <w:pStyle w:val="normal1"/>
        <w:numPr>
          <w:ilvl w:val="0"/>
          <w:numId w:val="18"/>
        </w:numPr>
        <w:spacing w:lineRule="auto" w:line="276"/>
        <w:ind w:hanging="11" w:start="1418"/>
        <w:jc w:val="both"/>
        <w:rPr>
          <w:sz w:val="22"/>
          <w:szCs w:val="22"/>
          <w:highlight w:val="white"/>
        </w:rPr>
      </w:pPr>
      <w:r>
        <w:rPr>
          <w:sz w:val="22"/>
          <w:szCs w:val="22"/>
          <w:highlight w:val="white"/>
        </w:rPr>
        <w:t xml:space="preserve">Certidão de Regularidade do FGTS – CRF; e </w:t>
      </w:r>
    </w:p>
    <w:p>
      <w:pPr>
        <w:pStyle w:val="normal1"/>
        <w:numPr>
          <w:ilvl w:val="0"/>
          <w:numId w:val="18"/>
        </w:numPr>
        <w:spacing w:lineRule="auto" w:line="276"/>
        <w:ind w:hanging="11" w:start="1418"/>
        <w:jc w:val="both"/>
        <w:rPr>
          <w:sz w:val="22"/>
          <w:szCs w:val="22"/>
          <w:highlight w:val="white"/>
        </w:rPr>
      </w:pPr>
      <w:r>
        <w:rPr>
          <w:sz w:val="22"/>
          <w:szCs w:val="22"/>
          <w:highlight w:val="white"/>
        </w:rPr>
        <w:t>Certidão Negativa de Débitos Trabalhistas – CNDT.</w:t>
      </w:r>
    </w:p>
    <w:p>
      <w:pPr>
        <w:pStyle w:val="normal1"/>
        <w:numPr>
          <w:ilvl w:val="0"/>
          <w:numId w:val="20"/>
        </w:numPr>
        <w:spacing w:lineRule="auto" w:line="276"/>
        <w:ind w:hanging="360" w:start="720"/>
        <w:jc w:val="both"/>
        <w:rPr>
          <w:sz w:val="22"/>
          <w:szCs w:val="22"/>
          <w:highlight w:val="white"/>
        </w:rPr>
      </w:pPr>
      <w:r>
        <w:rPr>
          <w:sz w:val="22"/>
          <w:szCs w:val="22"/>
          <w:highlight w:val="white"/>
        </w:rPr>
        <w:t xml:space="preserve">Responsabilizar-se pelo cumprimento de todas as obrigações trabalhistas, previdenciárias, fiscais, comerciais e as demais previstas em legislação específica, cuja inadimplência não transfere a responsabilidade ao credenciante e não poderá onerar o objeto do contrato; </w:t>
      </w:r>
    </w:p>
    <w:p>
      <w:pPr>
        <w:pStyle w:val="normal1"/>
        <w:numPr>
          <w:ilvl w:val="0"/>
          <w:numId w:val="20"/>
        </w:numPr>
        <w:spacing w:lineRule="auto" w:line="276"/>
        <w:ind w:hanging="360" w:start="720"/>
        <w:jc w:val="both"/>
        <w:rPr>
          <w:sz w:val="22"/>
          <w:szCs w:val="22"/>
          <w:highlight w:val="white"/>
        </w:rPr>
      </w:pPr>
      <w:r>
        <w:rPr>
          <w:sz w:val="22"/>
          <w:szCs w:val="22"/>
          <w:highlight w:val="white"/>
        </w:rPr>
        <w:t>Comunicar ao Fiscal do contrato, no prazo de 24 (vinte e quatro) horas, qualquer ocorrência anormal ou acidente que se verifique no local da execução do objeto contratual;</w:t>
      </w:r>
    </w:p>
    <w:p>
      <w:pPr>
        <w:pStyle w:val="normal1"/>
        <w:numPr>
          <w:ilvl w:val="0"/>
          <w:numId w:val="20"/>
        </w:numPr>
        <w:spacing w:lineRule="auto" w:line="276"/>
        <w:ind w:hanging="360" w:start="720"/>
        <w:jc w:val="both"/>
        <w:rPr>
          <w:sz w:val="22"/>
          <w:szCs w:val="22"/>
          <w:highlight w:val="white"/>
        </w:rPr>
      </w:pPr>
      <w:r>
        <w:rPr>
          <w:sz w:val="22"/>
          <w:szCs w:val="22"/>
          <w:highlight w:val="white"/>
        </w:rPr>
        <w:t xml:space="preserve">Paralisar, por determinação do contratante, qualquer atividade que não esteja sendo executada de acordo com a boa técnica ou que ponha em risco a segurança de pessoas ou bens de terceiros; </w:t>
      </w:r>
    </w:p>
    <w:p>
      <w:pPr>
        <w:pStyle w:val="normal1"/>
        <w:numPr>
          <w:ilvl w:val="0"/>
          <w:numId w:val="20"/>
        </w:numPr>
        <w:spacing w:lineRule="auto" w:line="276"/>
        <w:ind w:hanging="360" w:start="720"/>
        <w:jc w:val="both"/>
        <w:rPr>
          <w:sz w:val="22"/>
          <w:szCs w:val="22"/>
          <w:highlight w:val="white"/>
        </w:rPr>
      </w:pPr>
      <w:r>
        <w:rPr>
          <w:sz w:val="22"/>
          <w:szCs w:val="22"/>
          <w:highlight w:val="white"/>
        </w:rPr>
        <w:t xml:space="preserve">Manter, durante toda a vigência do contrato, em compatibilidade com as obrigações assumidas, todas as condições exigidas para habilitação na licitação; </w:t>
      </w:r>
    </w:p>
    <w:p>
      <w:pPr>
        <w:pStyle w:val="normal1"/>
        <w:numPr>
          <w:ilvl w:val="0"/>
          <w:numId w:val="20"/>
        </w:numPr>
        <w:spacing w:lineRule="auto" w:line="276"/>
        <w:ind w:hanging="360" w:start="720"/>
        <w:jc w:val="both"/>
        <w:rPr>
          <w:sz w:val="22"/>
          <w:szCs w:val="22"/>
          <w:highlight w:val="white"/>
        </w:rPr>
      </w:pPr>
      <w:r>
        <w:rPr>
          <w:sz w:val="22"/>
          <w:szCs w:val="22"/>
          <w:highlight w:val="white"/>
        </w:rPr>
        <w:t xml:space="preserve">Cumprir, durante todo o período de execução do contrato, a reserva de cargos prevista em lei para pessoa com deficiência, para reabilitado da Previdência Social ou para aprendiz, bem como as reservas de cargos previstas na legislação (Art. 116 da Lei n.º 14.133/ 2021); </w:t>
      </w:r>
    </w:p>
    <w:p>
      <w:pPr>
        <w:pStyle w:val="normal1"/>
        <w:numPr>
          <w:ilvl w:val="0"/>
          <w:numId w:val="20"/>
        </w:numPr>
        <w:spacing w:lineRule="auto" w:line="276"/>
        <w:ind w:hanging="360" w:start="720"/>
        <w:jc w:val="both"/>
        <w:rPr>
          <w:sz w:val="22"/>
          <w:szCs w:val="22"/>
          <w:highlight w:val="white"/>
        </w:rPr>
      </w:pPr>
      <w:r>
        <w:rPr>
          <w:sz w:val="22"/>
          <w:szCs w:val="22"/>
          <w:highlight w:val="white"/>
        </w:rPr>
        <w:t xml:space="preserve">Comprovar a reserva de cargos a que se refere à cláusula acima, no prazo fixado pelo fiscal do contrato, com a indicação dos empregados que preencheram as referidas vagas (Art. 116, parágrafo único, da Lei n.º 14.133/2021); </w:t>
      </w:r>
    </w:p>
    <w:p>
      <w:pPr>
        <w:pStyle w:val="normal1"/>
        <w:numPr>
          <w:ilvl w:val="0"/>
          <w:numId w:val="20"/>
        </w:numPr>
        <w:spacing w:lineRule="auto" w:line="276"/>
        <w:ind w:hanging="360" w:start="720"/>
        <w:jc w:val="both"/>
        <w:rPr>
          <w:sz w:val="22"/>
          <w:szCs w:val="22"/>
          <w:highlight w:val="white"/>
        </w:rPr>
      </w:pPr>
      <w:r>
        <w:rPr>
          <w:sz w:val="22"/>
          <w:szCs w:val="22"/>
          <w:highlight w:val="white"/>
        </w:rPr>
        <w:t xml:space="preserve">Guardar sigilo sobre todas as informações obtidas em decorrência do cumprimento do contrato; </w:t>
      </w:r>
    </w:p>
    <w:p>
      <w:pPr>
        <w:pStyle w:val="normal1"/>
        <w:numPr>
          <w:ilvl w:val="0"/>
          <w:numId w:val="20"/>
        </w:numPr>
        <w:spacing w:lineRule="auto" w:line="276"/>
        <w:ind w:hanging="360" w:start="720"/>
        <w:jc w:val="both"/>
        <w:rPr>
          <w:sz w:val="22"/>
          <w:szCs w:val="22"/>
          <w:highlight w:val="white"/>
        </w:rPr>
      </w:pPr>
      <w:r>
        <w:rPr>
          <w:sz w:val="22"/>
          <w:szCs w:val="22"/>
          <w:highlight w:val="white"/>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 </w:t>
      </w:r>
    </w:p>
    <w:p>
      <w:pPr>
        <w:pStyle w:val="normal1"/>
        <w:numPr>
          <w:ilvl w:val="0"/>
          <w:numId w:val="20"/>
        </w:numPr>
        <w:spacing w:lineRule="auto" w:line="276"/>
        <w:ind w:hanging="360" w:start="720"/>
        <w:jc w:val="both"/>
        <w:rPr>
          <w:sz w:val="22"/>
          <w:szCs w:val="22"/>
          <w:highlight w:val="white"/>
        </w:rPr>
      </w:pPr>
      <w:r>
        <w:rPr>
          <w:sz w:val="22"/>
          <w:szCs w:val="22"/>
          <w:highlight w:val="white"/>
        </w:rPr>
        <w:t>Cumprir, além dos postulados legais vigentes de âmbito federal, estadual ou municipal, as normas de segurança do credenciante;</w:t>
      </w:r>
    </w:p>
    <w:p>
      <w:pPr>
        <w:pStyle w:val="normal1"/>
        <w:spacing w:lineRule="auto" w:line="276"/>
        <w:jc w:val="both"/>
        <w:rPr>
          <w:sz w:val="22"/>
          <w:szCs w:val="22"/>
          <w:highlight w:val="white"/>
        </w:rPr>
      </w:pPr>
      <w:r>
        <w:rPr>
          <w:sz w:val="22"/>
          <w:szCs w:val="22"/>
          <w:highlight w:val="white"/>
        </w:rPr>
      </w:r>
    </w:p>
    <w:p>
      <w:pPr>
        <w:pStyle w:val="normal1"/>
        <w:numPr>
          <w:ilvl w:val="1"/>
          <w:numId w:val="23"/>
        </w:numPr>
        <w:spacing w:lineRule="auto" w:line="276"/>
        <w:ind w:hanging="1000" w:start="1567"/>
        <w:jc w:val="both"/>
        <w:rPr>
          <w:b/>
          <w:sz w:val="22"/>
          <w:szCs w:val="22"/>
          <w:highlight w:val="white"/>
        </w:rPr>
      </w:pPr>
      <w:r>
        <w:rPr>
          <w:b/>
          <w:sz w:val="22"/>
          <w:szCs w:val="22"/>
          <w:highlight w:val="white"/>
        </w:rPr>
        <w:t>Do Contratante</w:t>
      </w:r>
    </w:p>
    <w:p>
      <w:pPr>
        <w:pStyle w:val="normal1"/>
        <w:numPr>
          <w:ilvl w:val="0"/>
          <w:numId w:val="10"/>
        </w:numPr>
        <w:spacing w:lineRule="auto" w:line="276"/>
        <w:ind w:hanging="360" w:start="720"/>
        <w:jc w:val="both"/>
        <w:rPr>
          <w:sz w:val="22"/>
          <w:szCs w:val="22"/>
          <w:highlight w:val="white"/>
        </w:rPr>
      </w:pPr>
      <w:r>
        <w:rPr>
          <w:sz w:val="22"/>
          <w:szCs w:val="22"/>
          <w:highlight w:val="white"/>
        </w:rPr>
        <w:t xml:space="preserve">São obrigações do contratante, exigir o cumprimento de todas as obrigações assumidas pelo contratado; </w:t>
      </w:r>
    </w:p>
    <w:p>
      <w:pPr>
        <w:pStyle w:val="normal1"/>
        <w:numPr>
          <w:ilvl w:val="0"/>
          <w:numId w:val="10"/>
        </w:numPr>
        <w:spacing w:lineRule="auto" w:line="276"/>
        <w:ind w:hanging="360" w:start="720"/>
        <w:jc w:val="both"/>
        <w:rPr>
          <w:sz w:val="22"/>
          <w:szCs w:val="22"/>
          <w:highlight w:val="white"/>
        </w:rPr>
      </w:pPr>
      <w:r>
        <w:rPr>
          <w:sz w:val="22"/>
          <w:szCs w:val="22"/>
          <w:highlight w:val="white"/>
        </w:rPr>
        <w:t xml:space="preserve">Receber o objeto no prazo e condições estabelecidas neste Termo de Referência; </w:t>
      </w:r>
    </w:p>
    <w:p>
      <w:pPr>
        <w:pStyle w:val="normal1"/>
        <w:numPr>
          <w:ilvl w:val="0"/>
          <w:numId w:val="10"/>
        </w:numPr>
        <w:spacing w:lineRule="auto" w:line="276"/>
        <w:ind w:hanging="360" w:start="720"/>
        <w:jc w:val="both"/>
        <w:rPr>
          <w:sz w:val="22"/>
          <w:szCs w:val="22"/>
          <w:highlight w:val="white"/>
        </w:rPr>
      </w:pPr>
      <w:r>
        <w:rPr>
          <w:sz w:val="22"/>
          <w:szCs w:val="22"/>
          <w:highlight w:val="white"/>
        </w:rPr>
        <w:t>Notificar o contratado por escrito sobre vícios, defeitos ou incorreções verificadas no objeto fornecido, para que seja por ele substituído, reparado ou corrigido, no total ou em parte, às suas expensas;</w:t>
      </w:r>
    </w:p>
    <w:p>
      <w:pPr>
        <w:pStyle w:val="normal1"/>
        <w:numPr>
          <w:ilvl w:val="0"/>
          <w:numId w:val="10"/>
        </w:numPr>
        <w:spacing w:lineRule="auto" w:line="276"/>
        <w:ind w:hanging="360" w:start="720"/>
        <w:jc w:val="both"/>
        <w:rPr>
          <w:sz w:val="22"/>
          <w:szCs w:val="22"/>
          <w:highlight w:val="white"/>
        </w:rPr>
      </w:pPr>
      <w:r>
        <w:rPr>
          <w:sz w:val="22"/>
          <w:szCs w:val="22"/>
          <w:highlight w:val="white"/>
        </w:rPr>
        <w:t xml:space="preserve">Acompanhar e fiscalizar a execução do contrato e o cumprimento das obrigações pelo contratado; </w:t>
      </w:r>
    </w:p>
    <w:p>
      <w:pPr>
        <w:pStyle w:val="normal1"/>
        <w:numPr>
          <w:ilvl w:val="0"/>
          <w:numId w:val="10"/>
        </w:numPr>
        <w:spacing w:lineRule="auto" w:line="276"/>
        <w:ind w:hanging="360" w:start="720"/>
        <w:jc w:val="both"/>
        <w:rPr>
          <w:sz w:val="22"/>
          <w:szCs w:val="22"/>
          <w:highlight w:val="white"/>
        </w:rPr>
      </w:pPr>
      <w:r>
        <w:rPr>
          <w:sz w:val="22"/>
          <w:szCs w:val="22"/>
          <w:highlight w:val="white"/>
        </w:rPr>
        <w:t xml:space="preserve">Comunicar a empresa para emissão de Nota Fiscal no que for pertinente à parcela incontroversa da execução do objeto, para efeito de liquidação e pagamento, quando houver controvérsia sobre a execução do objeto, quanto à dimensão, qualidade e quantidade, conforme o art. 143 da Lei n.º 14.133/2021; </w:t>
      </w:r>
    </w:p>
    <w:p>
      <w:pPr>
        <w:pStyle w:val="normal1"/>
        <w:numPr>
          <w:ilvl w:val="0"/>
          <w:numId w:val="10"/>
        </w:numPr>
        <w:spacing w:lineRule="auto" w:line="276"/>
        <w:ind w:hanging="360" w:start="720"/>
        <w:jc w:val="both"/>
        <w:rPr>
          <w:sz w:val="22"/>
          <w:szCs w:val="22"/>
          <w:highlight w:val="white"/>
        </w:rPr>
      </w:pPr>
      <w:r>
        <w:rPr>
          <w:sz w:val="22"/>
          <w:szCs w:val="22"/>
          <w:highlight w:val="white"/>
        </w:rPr>
        <w:t xml:space="preserve">Efetuar o pagamento ao contratado do valor correspondente à execução do objeto, no prazo, forma e condições estabelecidos no presente Contrato e no Termo de Referência; </w:t>
      </w:r>
    </w:p>
    <w:p>
      <w:pPr>
        <w:pStyle w:val="normal1"/>
        <w:numPr>
          <w:ilvl w:val="0"/>
          <w:numId w:val="10"/>
        </w:numPr>
        <w:spacing w:lineRule="auto" w:line="276"/>
        <w:ind w:hanging="360" w:start="720"/>
        <w:jc w:val="both"/>
        <w:rPr>
          <w:sz w:val="22"/>
          <w:szCs w:val="22"/>
          <w:highlight w:val="white"/>
        </w:rPr>
      </w:pPr>
      <w:r>
        <w:rPr>
          <w:sz w:val="22"/>
          <w:szCs w:val="22"/>
          <w:highlight w:val="white"/>
        </w:rPr>
        <w:t xml:space="preserve">Aplicar ao contratado as sanções previstas na lei; </w:t>
      </w:r>
    </w:p>
    <w:p>
      <w:pPr>
        <w:pStyle w:val="normal1"/>
        <w:numPr>
          <w:ilvl w:val="0"/>
          <w:numId w:val="10"/>
        </w:numPr>
        <w:spacing w:lineRule="auto" w:line="276"/>
        <w:ind w:hanging="360" w:start="720"/>
        <w:jc w:val="both"/>
        <w:rPr>
          <w:sz w:val="22"/>
          <w:szCs w:val="22"/>
          <w:highlight w:val="white"/>
        </w:rPr>
      </w:pPr>
      <w:r>
        <w:rPr>
          <w:sz w:val="22"/>
          <w:szCs w:val="22"/>
          <w:highlight w:val="white"/>
        </w:rPr>
        <w:t xml:space="preserve">Cientificar o órgão de representação da Controladoria Geral do Município para adoção das medidas cabíveis quando do descumprimento de obrigações pelo contratado; </w:t>
      </w:r>
    </w:p>
    <w:p>
      <w:pPr>
        <w:pStyle w:val="normal1"/>
        <w:numPr>
          <w:ilvl w:val="0"/>
          <w:numId w:val="10"/>
        </w:numPr>
        <w:spacing w:lineRule="auto" w:line="276"/>
        <w:ind w:hanging="360" w:start="720"/>
        <w:jc w:val="both"/>
        <w:rPr>
          <w:sz w:val="22"/>
          <w:szCs w:val="22"/>
          <w:highlight w:val="white"/>
        </w:rPr>
      </w:pPr>
      <w:r>
        <w:rPr>
          <w:sz w:val="22"/>
          <w:szCs w:val="22"/>
          <w:highlight w:val="white"/>
        </w:rPr>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 </w:t>
      </w:r>
    </w:p>
    <w:p>
      <w:pPr>
        <w:pStyle w:val="normal1"/>
        <w:numPr>
          <w:ilvl w:val="0"/>
          <w:numId w:val="10"/>
        </w:numPr>
        <w:spacing w:lineRule="auto" w:line="276"/>
        <w:ind w:hanging="360" w:start="720"/>
        <w:jc w:val="both"/>
        <w:rPr>
          <w:sz w:val="22"/>
          <w:szCs w:val="22"/>
          <w:highlight w:val="white"/>
        </w:rPr>
      </w:pPr>
      <w:r>
        <w:rPr>
          <w:sz w:val="22"/>
          <w:szCs w:val="22"/>
          <w:highlight w:val="white"/>
        </w:rPr>
        <w:t>A administração pública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ormal1"/>
        <w:spacing w:lineRule="auto" w:line="276"/>
        <w:jc w:val="both"/>
        <w:rPr>
          <w:sz w:val="22"/>
          <w:szCs w:val="22"/>
          <w:highlight w:val="white"/>
        </w:rPr>
      </w:pPr>
      <w:r>
        <w:rPr>
          <w:sz w:val="22"/>
          <w:szCs w:val="22"/>
          <w:highlight w:val="white"/>
        </w:rPr>
      </w:r>
    </w:p>
    <w:p>
      <w:pPr>
        <w:pStyle w:val="normal1"/>
        <w:numPr>
          <w:ilvl w:val="0"/>
          <w:numId w:val="23"/>
        </w:numPr>
        <w:spacing w:lineRule="auto" w:line="276"/>
        <w:ind w:hanging="360" w:start="360"/>
        <w:jc w:val="both"/>
        <w:rPr>
          <w:b/>
          <w:sz w:val="22"/>
          <w:szCs w:val="22"/>
          <w:highlight w:val="white"/>
        </w:rPr>
      </w:pPr>
      <w:r>
        <w:rPr>
          <w:b/>
          <w:sz w:val="22"/>
          <w:szCs w:val="22"/>
          <w:highlight w:val="white"/>
        </w:rPr>
        <w:t>DA HIPÓTESE DE DESCREDENCIAMENTO</w:t>
      </w:r>
    </w:p>
    <w:p>
      <w:pPr>
        <w:pStyle w:val="normal1"/>
        <w:numPr>
          <w:ilvl w:val="1"/>
          <w:numId w:val="23"/>
        </w:numPr>
        <w:spacing w:lineRule="auto" w:line="276"/>
        <w:ind w:hanging="1000" w:start="1567"/>
        <w:jc w:val="both"/>
        <w:rPr>
          <w:sz w:val="22"/>
          <w:szCs w:val="22"/>
          <w:highlight w:val="white"/>
        </w:rPr>
      </w:pPr>
      <w:r>
        <w:rPr>
          <w:sz w:val="22"/>
          <w:szCs w:val="22"/>
          <w:highlight w:val="white"/>
        </w:rPr>
        <w:t>O presente credenciamento tem caráter precário. A qualquer momento, o CREDENCIADO pode solicitar descredenciamento, caso não tenha mais interesse. Ademais, o CREDENCIADO ou a administração pública podem denunciar o credenciamento, caso seja constatada qualquer irregularidade na observância e cumprimento das normas fixadas neste Edital ou na legislação pertinente.</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O CREDENCIADO que desejar iniciar o procedimento de descredenciamento deverá solicitá-lo mediante aviso escrito, com antecedência mínima de 30 (trinta) dias. </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A administração pública pode, a qualquer momento, solicitar o descredenciamento, dentre outras hipóteses condizentes com o objeto do credenciamento: </w:t>
      </w:r>
    </w:p>
    <w:p>
      <w:pPr>
        <w:pStyle w:val="normal1"/>
        <w:numPr>
          <w:ilvl w:val="0"/>
          <w:numId w:val="17"/>
        </w:numPr>
        <w:spacing w:lineRule="auto" w:line="276"/>
        <w:ind w:hanging="360" w:start="720"/>
        <w:jc w:val="both"/>
        <w:rPr>
          <w:sz w:val="22"/>
          <w:szCs w:val="22"/>
          <w:highlight w:val="white"/>
        </w:rPr>
      </w:pPr>
      <w:r>
        <w:rPr>
          <w:sz w:val="22"/>
          <w:szCs w:val="22"/>
          <w:highlight w:val="white"/>
        </w:rPr>
        <w:t xml:space="preserve">Por desinteresse da administração no objeto, devidamente fundamentado no processo administrativo respectivo; </w:t>
      </w:r>
    </w:p>
    <w:p>
      <w:pPr>
        <w:pStyle w:val="normal1"/>
        <w:numPr>
          <w:ilvl w:val="0"/>
          <w:numId w:val="17"/>
        </w:numPr>
        <w:spacing w:lineRule="auto" w:line="276"/>
        <w:ind w:hanging="360" w:start="720"/>
        <w:jc w:val="both"/>
        <w:rPr>
          <w:sz w:val="22"/>
          <w:szCs w:val="22"/>
          <w:highlight w:val="white"/>
        </w:rPr>
      </w:pPr>
      <w:r>
        <w:rPr>
          <w:sz w:val="22"/>
          <w:szCs w:val="22"/>
          <w:highlight w:val="white"/>
        </w:rPr>
        <w:t xml:space="preserve">Por descumprimento das condições mínimas para a contratação por parte dos credenciados; </w:t>
      </w:r>
    </w:p>
    <w:p>
      <w:pPr>
        <w:pStyle w:val="normal1"/>
        <w:numPr>
          <w:ilvl w:val="0"/>
          <w:numId w:val="17"/>
        </w:numPr>
        <w:spacing w:lineRule="auto" w:line="276"/>
        <w:ind w:hanging="360" w:start="720"/>
        <w:jc w:val="both"/>
        <w:rPr>
          <w:sz w:val="22"/>
          <w:szCs w:val="22"/>
          <w:highlight w:val="white"/>
        </w:rPr>
      </w:pPr>
      <w:r>
        <w:rPr>
          <w:sz w:val="22"/>
          <w:szCs w:val="22"/>
          <w:highlight w:val="white"/>
        </w:rPr>
        <w:t xml:space="preserve">Pela rescisão do contrato decorrente do credenciamento por culpa do credenciado; </w:t>
      </w:r>
    </w:p>
    <w:p>
      <w:pPr>
        <w:pStyle w:val="normal1"/>
        <w:numPr>
          <w:ilvl w:val="0"/>
          <w:numId w:val="17"/>
        </w:numPr>
        <w:spacing w:lineRule="auto" w:line="276"/>
        <w:ind w:hanging="360" w:start="720"/>
        <w:jc w:val="both"/>
        <w:rPr>
          <w:sz w:val="22"/>
          <w:szCs w:val="22"/>
          <w:highlight w:val="white"/>
        </w:rPr>
      </w:pPr>
      <w:r>
        <w:rPr>
          <w:sz w:val="22"/>
          <w:szCs w:val="22"/>
          <w:highlight w:val="white"/>
        </w:rPr>
        <w:t xml:space="preserve">Pela aplicação das penalidades de impedimento de licitar e contratar com a administração pública ou Declaração de Inidoneidade. </w:t>
      </w:r>
    </w:p>
    <w:p>
      <w:pPr>
        <w:pStyle w:val="normal1"/>
        <w:numPr>
          <w:ilvl w:val="0"/>
          <w:numId w:val="17"/>
        </w:numPr>
        <w:spacing w:lineRule="auto" w:line="276"/>
        <w:ind w:hanging="360" w:start="720"/>
        <w:jc w:val="both"/>
        <w:rPr>
          <w:sz w:val="22"/>
          <w:szCs w:val="22"/>
          <w:highlight w:val="white"/>
        </w:rPr>
      </w:pPr>
      <w:r>
        <w:rPr>
          <w:sz w:val="22"/>
          <w:szCs w:val="22"/>
          <w:highlight w:val="white"/>
        </w:rPr>
        <w:t xml:space="preserve">Constituem ainda motivos para descredenciamento e rescisão contratual as seguintes infrações: </w:t>
      </w:r>
    </w:p>
    <w:p>
      <w:pPr>
        <w:pStyle w:val="normal1"/>
        <w:numPr>
          <w:ilvl w:val="0"/>
          <w:numId w:val="22"/>
        </w:numPr>
        <w:spacing w:lineRule="auto" w:line="276"/>
        <w:ind w:hanging="360" w:start="1854"/>
        <w:jc w:val="both"/>
        <w:rPr>
          <w:sz w:val="22"/>
          <w:szCs w:val="22"/>
          <w:highlight w:val="white"/>
        </w:rPr>
      </w:pPr>
      <w:r>
        <w:rPr>
          <w:sz w:val="22"/>
          <w:szCs w:val="22"/>
          <w:highlight w:val="white"/>
        </w:rPr>
        <w:t xml:space="preserve">Atender aos beneficiários de forma discriminada e prejudicial, devidamente comprovada; </w:t>
      </w:r>
    </w:p>
    <w:p>
      <w:pPr>
        <w:pStyle w:val="normal1"/>
        <w:numPr>
          <w:ilvl w:val="0"/>
          <w:numId w:val="22"/>
        </w:numPr>
        <w:spacing w:lineRule="auto" w:line="276"/>
        <w:ind w:hanging="360" w:start="1854"/>
        <w:jc w:val="both"/>
        <w:rPr>
          <w:sz w:val="22"/>
          <w:szCs w:val="22"/>
          <w:highlight w:val="white"/>
        </w:rPr>
      </w:pPr>
      <w:r>
        <w:rPr>
          <w:sz w:val="22"/>
          <w:szCs w:val="22"/>
          <w:highlight w:val="white"/>
        </w:rPr>
        <w:t xml:space="preserve">Exigir caução para o atendimento aos beneficiários; </w:t>
      </w:r>
    </w:p>
    <w:p>
      <w:pPr>
        <w:pStyle w:val="normal1"/>
        <w:numPr>
          <w:ilvl w:val="0"/>
          <w:numId w:val="22"/>
        </w:numPr>
        <w:spacing w:lineRule="auto" w:line="276"/>
        <w:ind w:hanging="360" w:start="1854"/>
        <w:jc w:val="both"/>
        <w:rPr>
          <w:sz w:val="22"/>
          <w:szCs w:val="22"/>
          <w:highlight w:val="white"/>
        </w:rPr>
      </w:pPr>
      <w:r>
        <w:rPr>
          <w:sz w:val="22"/>
          <w:szCs w:val="22"/>
          <w:highlight w:val="white"/>
        </w:rPr>
        <w:t xml:space="preserve">Cobrar diretamente dos beneficiários valores referentes a serviços prestados a título de complementação de pagamento; </w:t>
      </w:r>
    </w:p>
    <w:p>
      <w:pPr>
        <w:pStyle w:val="normal1"/>
        <w:numPr>
          <w:ilvl w:val="0"/>
          <w:numId w:val="22"/>
        </w:numPr>
        <w:spacing w:lineRule="auto" w:line="276"/>
        <w:ind w:hanging="360" w:start="1854"/>
        <w:jc w:val="both"/>
        <w:rPr>
          <w:sz w:val="22"/>
          <w:szCs w:val="22"/>
          <w:highlight w:val="white"/>
        </w:rPr>
      </w:pPr>
      <w:r>
        <w:rPr>
          <w:sz w:val="22"/>
          <w:szCs w:val="22"/>
          <w:highlight w:val="white"/>
        </w:rPr>
        <w:t xml:space="preserve">Reincidir na cobrança de serviços não executados ou executados irregularmente, devidamente comprovada; </w:t>
      </w:r>
    </w:p>
    <w:p>
      <w:pPr>
        <w:pStyle w:val="normal1"/>
        <w:numPr>
          <w:ilvl w:val="0"/>
          <w:numId w:val="22"/>
        </w:numPr>
        <w:spacing w:lineRule="auto" w:line="276"/>
        <w:ind w:hanging="360" w:start="1854"/>
        <w:jc w:val="both"/>
        <w:rPr>
          <w:sz w:val="22"/>
          <w:szCs w:val="22"/>
          <w:highlight w:val="white"/>
        </w:rPr>
      </w:pPr>
      <w:r>
        <w:rPr>
          <w:sz w:val="22"/>
          <w:szCs w:val="22"/>
          <w:highlight w:val="white"/>
        </w:rPr>
        <w:t xml:space="preserve">Agir comprovadamente de má-fé, com dolo ou fraude, causando prejuízos ao Credenciante ou aos beneficiários; </w:t>
      </w:r>
    </w:p>
    <w:p>
      <w:pPr>
        <w:pStyle w:val="normal1"/>
        <w:numPr>
          <w:ilvl w:val="0"/>
          <w:numId w:val="22"/>
        </w:numPr>
        <w:spacing w:lineRule="auto" w:line="276"/>
        <w:ind w:hanging="360" w:start="1854"/>
        <w:jc w:val="both"/>
        <w:rPr>
          <w:sz w:val="22"/>
          <w:szCs w:val="22"/>
          <w:highlight w:val="white"/>
        </w:rPr>
      </w:pPr>
      <w:r>
        <w:rPr>
          <w:sz w:val="22"/>
          <w:szCs w:val="22"/>
          <w:highlight w:val="white"/>
        </w:rPr>
        <w:t xml:space="preserve">Deixar de comunicar, injustificadamente, a Prefeitura, alteração de dados cadastrais; </w:t>
      </w:r>
    </w:p>
    <w:p>
      <w:pPr>
        <w:pStyle w:val="normal1"/>
        <w:numPr>
          <w:ilvl w:val="0"/>
          <w:numId w:val="22"/>
        </w:numPr>
        <w:spacing w:lineRule="auto" w:line="276"/>
        <w:ind w:hanging="360" w:start="1854"/>
        <w:jc w:val="both"/>
        <w:rPr>
          <w:sz w:val="22"/>
          <w:szCs w:val="22"/>
          <w:highlight w:val="white"/>
        </w:rPr>
      </w:pPr>
      <w:r>
        <w:rPr>
          <w:sz w:val="22"/>
          <w:szCs w:val="22"/>
          <w:highlight w:val="white"/>
        </w:rPr>
        <w:t xml:space="preserve">Deixar de comunicar, previamente, a Prefeitura a alteração de endereço para fins de vistoria; </w:t>
      </w:r>
    </w:p>
    <w:p>
      <w:pPr>
        <w:pStyle w:val="normal1"/>
        <w:numPr>
          <w:ilvl w:val="0"/>
          <w:numId w:val="22"/>
        </w:numPr>
        <w:spacing w:lineRule="auto" w:line="276"/>
        <w:ind w:hanging="360" w:start="1854"/>
        <w:jc w:val="both"/>
        <w:rPr>
          <w:sz w:val="22"/>
          <w:szCs w:val="22"/>
          <w:highlight w:val="white"/>
        </w:rPr>
      </w:pPr>
      <w:r>
        <w:rPr>
          <w:sz w:val="22"/>
          <w:szCs w:val="22"/>
          <w:highlight w:val="white"/>
        </w:rPr>
        <w:t>Deixar de atender ao beneficiário alegando atraso no recebimento dos valores já faturados;</w:t>
      </w:r>
    </w:p>
    <w:p>
      <w:pPr>
        <w:pStyle w:val="normal1"/>
        <w:numPr>
          <w:ilvl w:val="1"/>
          <w:numId w:val="23"/>
        </w:numPr>
        <w:spacing w:lineRule="auto" w:line="276"/>
        <w:ind w:hanging="1000" w:start="1567"/>
        <w:jc w:val="both"/>
        <w:rPr>
          <w:sz w:val="22"/>
          <w:szCs w:val="22"/>
          <w:highlight w:val="white"/>
        </w:rPr>
      </w:pPr>
      <w:r>
        <w:rPr>
          <w:sz w:val="22"/>
          <w:szCs w:val="22"/>
          <w:highlight w:val="white"/>
        </w:rPr>
        <w:t>Fica facultada a defesa prévia do CREDENCIADO, a ser apresentada no prazo de 5 (cinco) dias úteis, contados da notificação de descredenciamento</w:t>
      </w:r>
    </w:p>
    <w:p>
      <w:pPr>
        <w:pStyle w:val="normal1"/>
        <w:spacing w:lineRule="auto" w:line="276"/>
        <w:jc w:val="both"/>
        <w:rPr>
          <w:sz w:val="22"/>
          <w:szCs w:val="22"/>
          <w:highlight w:val="white"/>
        </w:rPr>
      </w:pPr>
      <w:r>
        <w:rPr>
          <w:sz w:val="22"/>
          <w:szCs w:val="22"/>
          <w:highlight w:val="white"/>
        </w:rPr>
      </w:r>
    </w:p>
    <w:p>
      <w:pPr>
        <w:pStyle w:val="normal1"/>
        <w:numPr>
          <w:ilvl w:val="0"/>
          <w:numId w:val="23"/>
        </w:numPr>
        <w:spacing w:lineRule="auto" w:line="276"/>
        <w:ind w:hanging="360" w:start="360"/>
        <w:jc w:val="both"/>
        <w:rPr>
          <w:b/>
          <w:sz w:val="22"/>
          <w:szCs w:val="22"/>
          <w:highlight w:val="white"/>
        </w:rPr>
      </w:pPr>
      <w:r>
        <w:rPr>
          <w:b/>
          <w:sz w:val="22"/>
          <w:szCs w:val="22"/>
          <w:highlight w:val="white"/>
        </w:rPr>
        <w:t>INFRAÇÕES E SANÇÕES ADMINISTRATIVAS</w:t>
      </w:r>
    </w:p>
    <w:p>
      <w:pPr>
        <w:pStyle w:val="normal1"/>
        <w:numPr>
          <w:ilvl w:val="1"/>
          <w:numId w:val="23"/>
        </w:numPr>
        <w:spacing w:lineRule="auto" w:line="276"/>
        <w:ind w:hanging="1000" w:start="1567"/>
        <w:jc w:val="both"/>
        <w:rPr>
          <w:sz w:val="22"/>
          <w:szCs w:val="22"/>
          <w:highlight w:val="white"/>
        </w:rPr>
      </w:pPr>
      <w:r>
        <w:rPr>
          <w:sz w:val="22"/>
          <w:szCs w:val="22"/>
          <w:highlight w:val="white"/>
        </w:rPr>
        <w:t>Comete infração administrativa, nos termos da Lei n.º 14.133/2021, o CONTRATADO que:</w:t>
      </w:r>
    </w:p>
    <w:p>
      <w:pPr>
        <w:pStyle w:val="normal1"/>
        <w:numPr>
          <w:ilvl w:val="0"/>
          <w:numId w:val="1"/>
        </w:numPr>
        <w:spacing w:lineRule="auto" w:line="276"/>
        <w:ind w:hanging="360" w:start="720"/>
        <w:jc w:val="both"/>
        <w:rPr>
          <w:sz w:val="22"/>
          <w:szCs w:val="22"/>
          <w:highlight w:val="white"/>
        </w:rPr>
      </w:pPr>
      <w:r>
        <w:rPr>
          <w:sz w:val="22"/>
          <w:szCs w:val="22"/>
          <w:highlight w:val="white"/>
        </w:rPr>
        <w:t xml:space="preserve">Der causa à inexecução parcial do contrato; </w:t>
      </w:r>
    </w:p>
    <w:p>
      <w:pPr>
        <w:pStyle w:val="normal1"/>
        <w:numPr>
          <w:ilvl w:val="0"/>
          <w:numId w:val="1"/>
        </w:numPr>
        <w:spacing w:lineRule="auto" w:line="276"/>
        <w:ind w:hanging="360" w:start="720"/>
        <w:jc w:val="both"/>
        <w:rPr>
          <w:sz w:val="22"/>
          <w:szCs w:val="22"/>
          <w:highlight w:val="white"/>
        </w:rPr>
      </w:pPr>
      <w:r>
        <w:rPr>
          <w:sz w:val="22"/>
          <w:szCs w:val="22"/>
          <w:highlight w:val="white"/>
        </w:rPr>
        <w:t xml:space="preserve">Der causa à inexecução parcial do contrato que cause grave dano à administração pública ou ao funcionamento dos serviços públicos ou ao interesse coletivo; </w:t>
      </w:r>
    </w:p>
    <w:p>
      <w:pPr>
        <w:pStyle w:val="normal1"/>
        <w:numPr>
          <w:ilvl w:val="0"/>
          <w:numId w:val="1"/>
        </w:numPr>
        <w:spacing w:lineRule="auto" w:line="276"/>
        <w:ind w:hanging="360" w:start="720"/>
        <w:jc w:val="both"/>
        <w:rPr>
          <w:sz w:val="22"/>
          <w:szCs w:val="22"/>
          <w:highlight w:val="white"/>
        </w:rPr>
      </w:pPr>
      <w:r>
        <w:rPr>
          <w:sz w:val="22"/>
          <w:szCs w:val="22"/>
          <w:highlight w:val="white"/>
        </w:rPr>
        <w:t xml:space="preserve">Der causa à inexecução total do contrato; </w:t>
      </w:r>
    </w:p>
    <w:p>
      <w:pPr>
        <w:pStyle w:val="normal1"/>
        <w:numPr>
          <w:ilvl w:val="0"/>
          <w:numId w:val="1"/>
        </w:numPr>
        <w:spacing w:lineRule="auto" w:line="276"/>
        <w:ind w:hanging="360" w:start="720"/>
        <w:jc w:val="both"/>
        <w:rPr>
          <w:sz w:val="22"/>
          <w:szCs w:val="22"/>
          <w:highlight w:val="white"/>
        </w:rPr>
      </w:pPr>
      <w:r>
        <w:rPr>
          <w:sz w:val="22"/>
          <w:szCs w:val="22"/>
          <w:highlight w:val="white"/>
        </w:rPr>
        <w:t xml:space="preserve">Ensejar o retardamento da execução ou da entrega do objeto da contratação sem motivo justificado; </w:t>
      </w:r>
    </w:p>
    <w:p>
      <w:pPr>
        <w:pStyle w:val="normal1"/>
        <w:numPr>
          <w:ilvl w:val="0"/>
          <w:numId w:val="1"/>
        </w:numPr>
        <w:spacing w:lineRule="auto" w:line="276"/>
        <w:ind w:hanging="360" w:start="720"/>
        <w:jc w:val="both"/>
        <w:rPr>
          <w:sz w:val="22"/>
          <w:szCs w:val="22"/>
          <w:highlight w:val="white"/>
        </w:rPr>
      </w:pPr>
      <w:r>
        <w:rPr>
          <w:sz w:val="22"/>
          <w:szCs w:val="22"/>
          <w:highlight w:val="white"/>
        </w:rPr>
        <w:t xml:space="preserve">Apresentar documentação falsa ou prestar declaração falsa durante a execução do contrato; </w:t>
      </w:r>
    </w:p>
    <w:p>
      <w:pPr>
        <w:pStyle w:val="normal1"/>
        <w:numPr>
          <w:ilvl w:val="0"/>
          <w:numId w:val="1"/>
        </w:numPr>
        <w:spacing w:lineRule="auto" w:line="276"/>
        <w:ind w:hanging="360" w:start="720"/>
        <w:jc w:val="both"/>
        <w:rPr>
          <w:sz w:val="22"/>
          <w:szCs w:val="22"/>
          <w:highlight w:val="white"/>
        </w:rPr>
      </w:pPr>
      <w:r>
        <w:rPr>
          <w:sz w:val="22"/>
          <w:szCs w:val="22"/>
          <w:highlight w:val="white"/>
        </w:rPr>
        <w:t xml:space="preserve">Praticar ato fraudulento na execução do contrato; </w:t>
      </w:r>
    </w:p>
    <w:p>
      <w:pPr>
        <w:pStyle w:val="normal1"/>
        <w:numPr>
          <w:ilvl w:val="0"/>
          <w:numId w:val="1"/>
        </w:numPr>
        <w:spacing w:lineRule="auto" w:line="276"/>
        <w:ind w:hanging="360" w:start="720"/>
        <w:jc w:val="both"/>
        <w:rPr>
          <w:sz w:val="22"/>
          <w:szCs w:val="22"/>
          <w:highlight w:val="white"/>
        </w:rPr>
      </w:pPr>
      <w:r>
        <w:rPr>
          <w:sz w:val="22"/>
          <w:szCs w:val="22"/>
          <w:highlight w:val="white"/>
        </w:rPr>
        <w:t xml:space="preserve">Comportar-se de modo inidôneo ou cometer fraude de qualquer natureza; </w:t>
      </w:r>
    </w:p>
    <w:p>
      <w:pPr>
        <w:pStyle w:val="normal1"/>
        <w:numPr>
          <w:ilvl w:val="0"/>
          <w:numId w:val="1"/>
        </w:numPr>
        <w:spacing w:lineRule="auto" w:line="276"/>
        <w:ind w:hanging="360" w:start="720"/>
        <w:jc w:val="both"/>
        <w:rPr>
          <w:sz w:val="22"/>
          <w:szCs w:val="22"/>
          <w:highlight w:val="white"/>
        </w:rPr>
      </w:pPr>
      <w:r>
        <w:rPr>
          <w:sz w:val="22"/>
          <w:szCs w:val="22"/>
          <w:highlight w:val="white"/>
        </w:rPr>
        <w:t xml:space="preserve">Praticar ato lesivo previsto no art. 5º da Lei n.º 12.846, de 1º de agosto de 2013. </w:t>
      </w:r>
    </w:p>
    <w:p>
      <w:pPr>
        <w:pStyle w:val="normal1"/>
        <w:spacing w:lineRule="auto" w:line="276"/>
        <w:jc w:val="both"/>
        <w:rPr>
          <w:sz w:val="22"/>
          <w:szCs w:val="22"/>
          <w:highlight w:val="white"/>
        </w:rPr>
      </w:pPr>
      <w:r>
        <w:rPr>
          <w:sz w:val="22"/>
          <w:szCs w:val="22"/>
          <w:highlight w:val="white"/>
        </w:rPr>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Serão aplicadas ao CONTRATADO que incorrer nas infrações acima descritas as seguintes sanções: </w:t>
      </w:r>
    </w:p>
    <w:p>
      <w:pPr>
        <w:pStyle w:val="normal1"/>
        <w:numPr>
          <w:ilvl w:val="0"/>
          <w:numId w:val="11"/>
        </w:numPr>
        <w:spacing w:lineRule="auto" w:line="276"/>
        <w:ind w:hanging="360" w:start="720"/>
        <w:jc w:val="both"/>
        <w:rPr>
          <w:sz w:val="22"/>
          <w:szCs w:val="22"/>
          <w:highlight w:val="white"/>
        </w:rPr>
      </w:pPr>
      <w:r>
        <w:rPr>
          <w:sz w:val="22"/>
          <w:szCs w:val="22"/>
          <w:highlight w:val="white"/>
        </w:rPr>
        <w:t xml:space="preserve">Advertência, quando o CONTRATADO der causa à inexecução parcial do contrato, sempre que não se justificar a imposição de penalidade mais grave (Art. 156, §2º, da Lei n.º 14.133/2021); </w:t>
      </w:r>
    </w:p>
    <w:p>
      <w:pPr>
        <w:pStyle w:val="normal1"/>
        <w:numPr>
          <w:ilvl w:val="0"/>
          <w:numId w:val="11"/>
        </w:numPr>
        <w:spacing w:lineRule="auto" w:line="276"/>
        <w:ind w:hanging="360" w:start="720"/>
        <w:jc w:val="both"/>
        <w:rPr>
          <w:sz w:val="22"/>
          <w:szCs w:val="22"/>
          <w:highlight w:val="white"/>
        </w:rPr>
      </w:pPr>
      <w:r>
        <w:rPr>
          <w:sz w:val="22"/>
          <w:szCs w:val="22"/>
          <w:highlight w:val="white"/>
        </w:rPr>
        <w:t xml:space="preserve">Impedimento de licitar e contratar, quando praticadas as condutas descritas nas alíneas “b”, “c” e “d” do subitem acima deste contrato, sempre que não se justificar a imposição de penalidade mais grave (Art. 156, § 4º, da Lei n.º 14.133/2021); </w:t>
      </w:r>
    </w:p>
    <w:p>
      <w:pPr>
        <w:pStyle w:val="normal1"/>
        <w:numPr>
          <w:ilvl w:val="0"/>
          <w:numId w:val="11"/>
        </w:numPr>
        <w:spacing w:lineRule="auto" w:line="276"/>
        <w:ind w:hanging="360" w:start="720"/>
        <w:jc w:val="both"/>
        <w:rPr>
          <w:sz w:val="22"/>
          <w:szCs w:val="22"/>
          <w:highlight w:val="white"/>
        </w:rPr>
      </w:pPr>
      <w:r>
        <w:rPr>
          <w:sz w:val="22"/>
          <w:szCs w:val="22"/>
          <w:highlight w:val="white"/>
        </w:rPr>
        <w:t xml:space="preserve">Declaração de inidoneidade para licitar e contratar, quando praticadas as condutas descritas nas alíneas “e”, “f”, “g” e “h” do subitem acima deste contrato, bem como nas alíneas “b”, “c” e “d”, que justifiquem a imposição de penalidade mais grave (Art. 156, §5º, da Lei n.º 14.133/2021). </w:t>
      </w:r>
    </w:p>
    <w:p>
      <w:pPr>
        <w:pStyle w:val="normal1"/>
        <w:numPr>
          <w:ilvl w:val="0"/>
          <w:numId w:val="11"/>
        </w:numPr>
        <w:spacing w:lineRule="auto" w:line="276"/>
        <w:ind w:hanging="360" w:start="720"/>
        <w:jc w:val="both"/>
        <w:rPr>
          <w:sz w:val="22"/>
          <w:szCs w:val="22"/>
          <w:highlight w:val="white"/>
        </w:rPr>
      </w:pPr>
      <w:r>
        <w:rPr>
          <w:sz w:val="22"/>
          <w:szCs w:val="22"/>
          <w:highlight w:val="white"/>
        </w:rPr>
        <w:t xml:space="preserve">Multa: </w:t>
      </w:r>
    </w:p>
    <w:p>
      <w:pPr>
        <w:pStyle w:val="normal1"/>
        <w:spacing w:lineRule="auto" w:line="276"/>
        <w:ind w:hanging="0" w:start="720"/>
        <w:jc w:val="both"/>
        <w:rPr>
          <w:sz w:val="22"/>
          <w:szCs w:val="22"/>
          <w:highlight w:val="white"/>
        </w:rPr>
      </w:pPr>
      <w:r>
        <w:rPr>
          <w:sz w:val="22"/>
          <w:szCs w:val="22"/>
          <w:highlight w:val="white"/>
        </w:rPr>
      </w:r>
    </w:p>
    <w:p>
      <w:pPr>
        <w:pStyle w:val="normal1"/>
        <w:numPr>
          <w:ilvl w:val="0"/>
          <w:numId w:val="16"/>
        </w:numPr>
        <w:spacing w:lineRule="auto" w:line="276"/>
        <w:ind w:hanging="360" w:start="1854"/>
        <w:jc w:val="both"/>
        <w:rPr>
          <w:sz w:val="22"/>
          <w:szCs w:val="22"/>
          <w:highlight w:val="white"/>
        </w:rPr>
      </w:pPr>
      <w:r>
        <w:rPr>
          <w:sz w:val="22"/>
          <w:szCs w:val="22"/>
          <w:highlight w:val="white"/>
        </w:rPr>
        <w:t>Moratória de 01% (um por cento) por dia de atraso injustificado sobre o valor da parcela inadimplida, até o limite de 20 (vinte) dias;</w:t>
      </w:r>
    </w:p>
    <w:p>
      <w:pPr>
        <w:pStyle w:val="normal1"/>
        <w:numPr>
          <w:ilvl w:val="0"/>
          <w:numId w:val="16"/>
        </w:numPr>
        <w:spacing w:lineRule="auto" w:line="276"/>
        <w:ind w:hanging="360" w:start="1854"/>
        <w:jc w:val="both"/>
        <w:rPr>
          <w:sz w:val="22"/>
          <w:szCs w:val="22"/>
          <w:highlight w:val="white"/>
        </w:rPr>
      </w:pPr>
      <w:r>
        <w:rPr>
          <w:sz w:val="22"/>
          <w:szCs w:val="22"/>
          <w:highlight w:val="white"/>
        </w:rPr>
        <w:t xml:space="preserve">O atraso superior a 30 trinta dias autoriza a administração pública a promover a extinção do contrato por descumprimento ou cumprimento irregular de suas cláusulas, conforme dispõe o inciso I do art. 137 da Lei n.º 14.133/2021. </w:t>
      </w:r>
    </w:p>
    <w:p>
      <w:pPr>
        <w:pStyle w:val="normal1"/>
        <w:numPr>
          <w:ilvl w:val="0"/>
          <w:numId w:val="16"/>
        </w:numPr>
        <w:spacing w:lineRule="auto" w:line="276"/>
        <w:ind w:hanging="360" w:start="1854"/>
        <w:jc w:val="both"/>
        <w:rPr>
          <w:sz w:val="22"/>
          <w:szCs w:val="22"/>
          <w:highlight w:val="white"/>
        </w:rPr>
      </w:pPr>
      <w:r>
        <w:rPr>
          <w:sz w:val="22"/>
          <w:szCs w:val="22"/>
          <w:highlight w:val="white"/>
        </w:rPr>
        <w:t xml:space="preserve">Compensatória de 30% (trinta por cento) sobre o valor total do contrato, no caso de inexecução total do objeto. </w:t>
      </w:r>
    </w:p>
    <w:p>
      <w:pPr>
        <w:pStyle w:val="normal1"/>
        <w:spacing w:lineRule="auto" w:line="276"/>
        <w:ind w:hanging="0" w:start="1854"/>
        <w:jc w:val="both"/>
        <w:rPr>
          <w:sz w:val="22"/>
          <w:szCs w:val="22"/>
          <w:highlight w:val="white"/>
        </w:rPr>
      </w:pPr>
      <w:r>
        <w:rPr>
          <w:sz w:val="22"/>
          <w:szCs w:val="22"/>
          <w:highlight w:val="white"/>
        </w:rPr>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A aplicação das sanções previstas neste termo não exclui, em hipótese alguma, a obrigação de reparação integral do dano causado ao credenciante (Art. 156, §9º, da Lei n.º 14.133/2021); </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Todas as sanções previstas neste termo poderão ser aplicadas cumulativamente com a multa (Art. 156, §7º, da Lei n.º 14.133/2021); </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Antes da aplicação da multa será facultada a defesa do interessado no prazo de 15 (quinze) dias úteis, contado da data de sua intimação (Art. 157, da Lei n.º 14.133/2021); </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Se a multa aplicada e as indenizações cabíveis forem superiores ao valor do pagamento eventualmente devido pelo CONTRATANTE ao CONTRATADO, além da perda desse valor, a diferença será descontada da garantia prestada ou será cobrada judicialmente (Art. 156, §8º, da Lei n.º 14.133/2021); </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Previamente ao encaminhamento à cobrança judicial, a multa poderá ser recolhida administrativamente no prazo máximo de 30 [trinta] dias, a contar da data do recebimento da comunicação enviada pela autoridade competente. </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A aplicação das sanções realizar-se-á em processo administrativo que assegure o contraditório e a ampla defesa ao CONTRATADO, observando-se o procedimento previsto no caput e parágrafos do art. 158 da Lei n.º 14.133/2021, para as penalidades de impedimento de licitar e contratar e de declaração de inidoneidade para licitar ou contratar; </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Na aplicação das sanções serão considerados (Art. 156, §1º, da Lei n.º 14.133/2021): </w:t>
      </w:r>
    </w:p>
    <w:p>
      <w:pPr>
        <w:pStyle w:val="normal1"/>
        <w:numPr>
          <w:ilvl w:val="0"/>
          <w:numId w:val="14"/>
        </w:numPr>
        <w:spacing w:lineRule="auto" w:line="276"/>
        <w:ind w:hanging="360" w:start="720"/>
        <w:jc w:val="both"/>
        <w:rPr>
          <w:sz w:val="22"/>
          <w:szCs w:val="22"/>
          <w:highlight w:val="white"/>
        </w:rPr>
      </w:pPr>
      <w:r>
        <w:rPr>
          <w:sz w:val="22"/>
          <w:szCs w:val="22"/>
          <w:highlight w:val="white"/>
        </w:rPr>
        <w:t xml:space="preserve">A natureza e a gravidade da infração cometida; </w:t>
      </w:r>
    </w:p>
    <w:p>
      <w:pPr>
        <w:pStyle w:val="normal1"/>
        <w:numPr>
          <w:ilvl w:val="0"/>
          <w:numId w:val="14"/>
        </w:numPr>
        <w:spacing w:lineRule="auto" w:line="276"/>
        <w:ind w:hanging="360" w:start="720"/>
        <w:jc w:val="both"/>
        <w:rPr>
          <w:sz w:val="22"/>
          <w:szCs w:val="22"/>
          <w:highlight w:val="white"/>
        </w:rPr>
      </w:pPr>
      <w:r>
        <w:rPr>
          <w:sz w:val="22"/>
          <w:szCs w:val="22"/>
          <w:highlight w:val="white"/>
        </w:rPr>
        <w:t xml:space="preserve">As peculiaridades do caso concreto; </w:t>
      </w:r>
    </w:p>
    <w:p>
      <w:pPr>
        <w:pStyle w:val="normal1"/>
        <w:numPr>
          <w:ilvl w:val="0"/>
          <w:numId w:val="14"/>
        </w:numPr>
        <w:spacing w:lineRule="auto" w:line="276"/>
        <w:ind w:hanging="360" w:start="720"/>
        <w:jc w:val="both"/>
        <w:rPr>
          <w:sz w:val="22"/>
          <w:szCs w:val="22"/>
          <w:highlight w:val="white"/>
        </w:rPr>
      </w:pPr>
      <w:r>
        <w:rPr>
          <w:sz w:val="22"/>
          <w:szCs w:val="22"/>
          <w:highlight w:val="white"/>
        </w:rPr>
        <w:t xml:space="preserve">As circunstâncias agravantes ou atenuantes; </w:t>
      </w:r>
    </w:p>
    <w:p>
      <w:pPr>
        <w:pStyle w:val="normal1"/>
        <w:numPr>
          <w:ilvl w:val="0"/>
          <w:numId w:val="14"/>
        </w:numPr>
        <w:spacing w:lineRule="auto" w:line="276"/>
        <w:ind w:hanging="360" w:start="720"/>
        <w:jc w:val="both"/>
        <w:rPr>
          <w:sz w:val="22"/>
          <w:szCs w:val="22"/>
          <w:highlight w:val="white"/>
        </w:rPr>
      </w:pPr>
      <w:r>
        <w:rPr>
          <w:sz w:val="22"/>
          <w:szCs w:val="22"/>
          <w:highlight w:val="white"/>
        </w:rPr>
        <w:t>Os danos que dela provierem para o contratante;</w:t>
      </w:r>
    </w:p>
    <w:p>
      <w:pPr>
        <w:pStyle w:val="normal1"/>
        <w:numPr>
          <w:ilvl w:val="0"/>
          <w:numId w:val="14"/>
        </w:numPr>
        <w:spacing w:lineRule="auto" w:line="276"/>
        <w:ind w:hanging="360" w:start="720"/>
        <w:jc w:val="both"/>
        <w:rPr>
          <w:sz w:val="22"/>
          <w:szCs w:val="22"/>
          <w:highlight w:val="white"/>
        </w:rPr>
      </w:pPr>
      <w:r>
        <w:rPr>
          <w:sz w:val="22"/>
          <w:szCs w:val="22"/>
          <w:highlight w:val="white"/>
        </w:rPr>
        <w:t xml:space="preserve">A implantação ou o aperfeiçoamento de programa de integridade, conforme normas e orientações dos órgãos de controle. </w:t>
      </w:r>
    </w:p>
    <w:p>
      <w:pPr>
        <w:pStyle w:val="normal1"/>
        <w:spacing w:lineRule="auto" w:line="276"/>
        <w:ind w:hanging="0" w:start="720"/>
        <w:jc w:val="both"/>
        <w:rPr>
          <w:sz w:val="22"/>
          <w:szCs w:val="22"/>
          <w:highlight w:val="white"/>
        </w:rPr>
      </w:pPr>
      <w:r>
        <w:rPr>
          <w:sz w:val="22"/>
          <w:szCs w:val="22"/>
          <w:highlight w:val="white"/>
        </w:rPr>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Os atos previstos como infrações administrativas na Lei n.º 14.133/2021,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n.º 14.133/2021); </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pública, à pessoa jurídica sucessora ou à empresa do mesmo ramo com relação de coligação ou controle, de fato ou de direito, com o CONTRATADO, observados, em todos os casos, o contraditório, a ampla defesa e a obrigatoriedade de análise jurídica prévia (Art. 160 da Lei n.º 14.133/2021); </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O contratante deverá, no prazo máximo 30 (trinta)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14.133/2021); </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As sanções de impedimento de licitar e contratar e declaração de inidoneidade para licitar ou contratar são passíveis de reabilitação na forma do art. 163 da Lei n.º 14.133/2021; </w:t>
      </w:r>
    </w:p>
    <w:p>
      <w:pPr>
        <w:pStyle w:val="normal1"/>
        <w:numPr>
          <w:ilvl w:val="1"/>
          <w:numId w:val="23"/>
        </w:numPr>
        <w:spacing w:lineRule="auto" w:line="276"/>
        <w:ind w:hanging="1000" w:start="1567"/>
        <w:jc w:val="both"/>
        <w:rPr>
          <w:sz w:val="22"/>
          <w:szCs w:val="22"/>
          <w:highlight w:val="white"/>
        </w:rPr>
      </w:pPr>
      <w:r>
        <w:rPr>
          <w:sz w:val="22"/>
          <w:szCs w:val="22"/>
          <w:highlight w:val="white"/>
        </w:rPr>
        <w:t>Os débitos do CONTRATADO para com a administração pública credenciante,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credenciante.</w:t>
      </w:r>
    </w:p>
    <w:p>
      <w:pPr>
        <w:pStyle w:val="normal1"/>
        <w:spacing w:lineRule="auto" w:line="276"/>
        <w:jc w:val="both"/>
        <w:rPr>
          <w:sz w:val="22"/>
          <w:szCs w:val="22"/>
          <w:highlight w:val="white"/>
        </w:rPr>
      </w:pPr>
      <w:r>
        <w:rPr>
          <w:sz w:val="22"/>
          <w:szCs w:val="22"/>
          <w:highlight w:val="white"/>
        </w:rPr>
      </w:r>
    </w:p>
    <w:p>
      <w:pPr>
        <w:pStyle w:val="normal1"/>
        <w:numPr>
          <w:ilvl w:val="0"/>
          <w:numId w:val="23"/>
        </w:numPr>
        <w:spacing w:lineRule="auto" w:line="276"/>
        <w:ind w:hanging="360" w:start="360"/>
        <w:jc w:val="both"/>
        <w:rPr>
          <w:b/>
          <w:sz w:val="22"/>
          <w:szCs w:val="22"/>
          <w:highlight w:val="white"/>
        </w:rPr>
      </w:pPr>
      <w:r>
        <w:rPr>
          <w:b/>
          <w:sz w:val="22"/>
          <w:szCs w:val="22"/>
          <w:highlight w:val="white"/>
        </w:rPr>
        <w:t>DA PROTEÇÃO DE DADOS</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A CONTRATADA declara conhecer a Lei n° 13.709, de 14 de agosto de 2018, (Lei Geral de Proteção de Dados – LGPD) e se compromete a adequar todos os procedimentos internos ao disposto na legislação, com o intuito de proteger os dados pessoais que lhe forem repassados, cumprindo as normas de proteção de dados pessoais, jamais colocando, por seus atos ou por sua omissão, a CONTRATANTE em situação de violação de tais regras. </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A CONTRATADA designará Encarregado de Tratamento de Dados Pessoais cuja a identidade e as informações de contato deverão ser divulgadas publicamente, de forma clara e objetiva, preferencialmente seu no sítio eletrônico de acordo com o § 1º. do art. 41 da Lei nº 13.709, de 14 de agosto de 2018. (Lei Geral de Proteção de Dados - LGPD). </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O tratamento de dados pessoais entre a CONTRATANTE e a CONTRATADA se dará com base no art. 7° inciso III - pela administração pública, para o tratamento e uso compartilhado de dados necessários à execução de políticas públicas previstas em leis e regulamentos ou respaldadas em contratos, convênios ou instrumentos congêneres, observadas as disposições do capítulo IV da Lei Geral de Proteção de Dados - LGPD. E também no art. 26 desta mesma lei, que dispõe sobre o uso compartilhado de dados pessoais pelo Poder Público, que deve atender a finalidades específicas de execução de políticas públicas e atribuição legal pelos órgãos e pelas entidades públicas, respeitados os princípios de proteção de dados pessoais elencados no art. 6º dessa Lei. </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A CONTRATADA se comprometerá a manter a CONTRATANTE informada sobre os dados atualizados de contato do Encarregado de Tratamento de Dados Pessoais, sempre que for substituído, independentemente das alterações em sua página eletrônica. </w:t>
      </w:r>
    </w:p>
    <w:p>
      <w:pPr>
        <w:pStyle w:val="normal1"/>
        <w:numPr>
          <w:ilvl w:val="1"/>
          <w:numId w:val="23"/>
        </w:numPr>
        <w:spacing w:lineRule="auto" w:line="276"/>
        <w:ind w:hanging="1000" w:start="1567"/>
        <w:jc w:val="both"/>
        <w:rPr>
          <w:sz w:val="22"/>
          <w:szCs w:val="22"/>
          <w:highlight w:val="white"/>
        </w:rPr>
      </w:pPr>
      <w:r>
        <w:rPr>
          <w:sz w:val="22"/>
          <w:szCs w:val="22"/>
          <w:highlight w:val="white"/>
        </w:rPr>
        <w:t>A CONTRATADA somente poderá tratar dados pessoais dos usuários dos serviços contratados, nos limites e finalidades exclusivas do cumprimento de suas obrigações com base no presente contrato e jamais para nenhuma outra finalidade.</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A CONTRATADA se certificará de que seus empregados, representantes e prepostos agirão de acordo com o presente contrato e com as leis de proteção de dados e eventuais instruções transmitidas pela CONTRATANTE sobre a presente cláusula, comprometendo-se a manter o sigilo e a confidencialidade dos dados pessoais e dos dados pessoais sensíveis repassados em decorrência da execução do objeto contratual, em consonância com o disposto na Lei nº 13.709, de 14 de agosto de 2018, (Lei Geral de Proteção de Dados – LPGD), certificando se a CONTRATADA de que seus empregados, representantes e prepostos assumam compromisso de confidencialidade ou estejam sujeitos às obrigações legais de confidencialidade. </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Se o titular dos dados solicitarem informações à CONTRATADA relativas ao tratamento de dados pessoais, que detiver em decorrência do presente contrato, a CONTRATADA poderá fornecer os dados, observando os princípios e os direitos do titular previstos na LGPD. </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Se terceiros solicitarem informações à CONTRATADA relativas ao tratamento de dados pessoais que detiver em decorrência do presente contrato, a CONTRATADA submeterá esse pedido à apreciação da CONTRATANTE, não podendo, sem instruções prévias da CONTRATANTE, transferir, compartilhar e/ou garantir acesso aos dados pessoais que detenha por força do presente contrato. Sendo, em regra, vedada a transferência das informações a outras pessoas físicas ou jurídicas, salvo aquelas decorrentes de obrigações legais ou para viabilizar o cumprimento do próprio contrato; se a solicitação for realizada por autoridade de proteção de dados, a CONTRATADA informará imediatamente à CONTRATANTE sobre tal pedido e suas decorrências. </w:t>
      </w:r>
    </w:p>
    <w:p>
      <w:pPr>
        <w:pStyle w:val="normal1"/>
        <w:numPr>
          <w:ilvl w:val="1"/>
          <w:numId w:val="23"/>
        </w:numPr>
        <w:spacing w:lineRule="auto" w:line="276"/>
        <w:ind w:hanging="1000" w:start="1567"/>
        <w:jc w:val="both"/>
        <w:rPr>
          <w:sz w:val="22"/>
          <w:szCs w:val="22"/>
          <w:highlight w:val="white"/>
        </w:rPr>
      </w:pPr>
      <w:r>
        <w:rPr>
          <w:sz w:val="22"/>
          <w:szCs w:val="22"/>
          <w:highlight w:val="white"/>
        </w:rPr>
        <w:t>A CONTRATADA prestará assistência à CONTRATANTE no cumprimento das obrigações previstas nas leis de proteção de dados, quando relacionadas ao objeto contratual, especialmente nos casos em que for necessária a assistência da CONTRATADA para que a CONTRATANTE cumpra suas obrigações, incluindo aquelas relativas à segurança do tratamento, violações de dados pessoais, avaliação de impacto de proteção de dados, e consulta prévia a autoridades de proteção de dados, incluindo pedidos de acesso, retificação, bloqueio, restrição, apagamento, portabilidade de dados, ou o exercício de quaisquer outros direitos dos titulares de dados com base nas Leis Aplicáveis à Proteção de Dados.</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Quando solicitada, a CONTRATADA fornecerá à CONTRATANTE, no prazo de 5 (cinco) dias úteis, todas as informações necessárias para comprovar a conformidade das obrigações da CONTRATADA previstas neste contrato com as leis de proteção de dados. </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A CONTRATADA prestará assistência à CONTRATANTE no cumprimento de suas outras obrigações de acordo com as leis de proteção de dados, no caso em que estiver implícita sua assistência e/ou nos casos em que for necessária para que a CONTRATANTE cumpra danos, prejuízos, custos e despesas, incluindo-se honorários advocatícios, multas, penalidades e eventuais dispêndios investigativos relativos a demandas administrativas ou judiciais propostas em face da CONTRATANTE a esse título. </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A CONTRATADA fica obrigada a comunicar à CONTRATANTE, imediatamente ou por escrito, em até 24 horas a contar do momento em que tomou ciência da violação, ou em menor prazo, se assim vier a recomendar ou determinar a Autoridade Nacional de Proteção de Dados - ANPD,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 </w:t>
      </w:r>
    </w:p>
    <w:p>
      <w:pPr>
        <w:pStyle w:val="normal1"/>
        <w:numPr>
          <w:ilvl w:val="1"/>
          <w:numId w:val="23"/>
        </w:numPr>
        <w:spacing w:lineRule="auto" w:line="276"/>
        <w:ind w:hanging="1000" w:start="1567"/>
        <w:jc w:val="both"/>
        <w:rPr>
          <w:sz w:val="22"/>
          <w:szCs w:val="22"/>
          <w:highlight w:val="white"/>
        </w:rPr>
      </w:pPr>
      <w:r>
        <w:rPr>
          <w:sz w:val="22"/>
          <w:szCs w:val="22"/>
          <w:highlight w:val="white"/>
        </w:rPr>
        <w:t xml:space="preserve">A CONTRATADA indenizará a CONTRATANTE, em razão do não cumprimento por parte da CONTRATADA das obrigações previstas nas leis, normas, regulamentos e recomendações das autoridades de proteção de dados com relação ao presente contrato, de quaisquer danos, prejuízos, custos e despesas, incluindo-se honorários advocatícios, multas, penalidades e eventuais dispêndios investigativos relativos a demandas administrativas ou judiciais propostas em face da CONTRATANTE a esse título. </w:t>
      </w:r>
    </w:p>
    <w:p>
      <w:pPr>
        <w:pStyle w:val="normal1"/>
        <w:numPr>
          <w:ilvl w:val="1"/>
          <w:numId w:val="23"/>
        </w:numPr>
        <w:spacing w:lineRule="auto" w:line="276"/>
        <w:ind w:hanging="1000" w:start="1567"/>
        <w:jc w:val="both"/>
        <w:rPr>
          <w:sz w:val="22"/>
          <w:szCs w:val="22"/>
          <w:highlight w:val="white"/>
        </w:rPr>
      </w:pPr>
      <w:r>
        <w:rPr>
          <w:sz w:val="22"/>
          <w:szCs w:val="22"/>
          <w:highlight w:val="white"/>
        </w:rPr>
        <w:t>Encerrada a vigência do contrato ou após a satisfação da finalidade pretendida, a CONTRATADA interromperá o tratamento dos dados pessoais disponibilizados pela SECRETARIA MUNICIPAL DE ASSISTÊNCIA SOCIAL DE FLORIANÓPOLIS e, em no máximo trinta dias, sob instruções e na medida do determinado por este, eliminará completamente os Dados Pessoais e todas as cópias porventura existentes (seja em formato digital ou físico). Salvo quando a CONTRATADA tenha que manter os dados para cumprimento de obrigação legal, suas obrigações concernentes à segurança do tratamento, violações de dados pessoais, avaliação de impacto de proteção de dados e consulta prévia às autoridades de proteção de dados.</w:t>
      </w:r>
    </w:p>
    <w:p>
      <w:pPr>
        <w:pStyle w:val="normal1"/>
        <w:spacing w:lineRule="auto" w:line="276"/>
        <w:ind w:hanging="0" w:start="1567"/>
        <w:jc w:val="both"/>
        <w:rPr>
          <w:sz w:val="22"/>
          <w:szCs w:val="22"/>
          <w:highlight w:val="white"/>
        </w:rPr>
      </w:pPr>
      <w:r>
        <w:rPr>
          <w:sz w:val="22"/>
          <w:szCs w:val="22"/>
          <w:highlight w:val="white"/>
        </w:rPr>
      </w:r>
    </w:p>
    <w:p>
      <w:pPr>
        <w:pStyle w:val="normal1"/>
        <w:numPr>
          <w:ilvl w:val="0"/>
          <w:numId w:val="23"/>
        </w:numPr>
        <w:spacing w:lineRule="auto" w:line="276"/>
        <w:ind w:hanging="360" w:start="360"/>
        <w:jc w:val="both"/>
        <w:rPr>
          <w:b/>
          <w:sz w:val="22"/>
          <w:szCs w:val="22"/>
          <w:highlight w:val="white"/>
        </w:rPr>
      </w:pPr>
      <w:r>
        <w:rPr>
          <w:b/>
          <w:sz w:val="22"/>
          <w:szCs w:val="22"/>
          <w:highlight w:val="white"/>
        </w:rPr>
        <w:t>RELAÇÃO DE ANEXOS</w:t>
      </w:r>
    </w:p>
    <w:p>
      <w:pPr>
        <w:pStyle w:val="normal1"/>
        <w:spacing w:lineRule="auto" w:line="276"/>
        <w:jc w:val="both"/>
        <w:rPr>
          <w:sz w:val="22"/>
          <w:szCs w:val="22"/>
          <w:highlight w:val="white"/>
        </w:rPr>
      </w:pPr>
      <w:r>
        <w:rPr>
          <w:sz w:val="22"/>
          <w:szCs w:val="22"/>
          <w:highlight w:val="white"/>
        </w:rPr>
        <w:t xml:space="preserve">ANEXO I – Requerimento de credenciamento e declarações legais </w:t>
      </w:r>
    </w:p>
    <w:p>
      <w:pPr>
        <w:pStyle w:val="normal1"/>
        <w:spacing w:lineRule="auto" w:line="276"/>
        <w:jc w:val="both"/>
        <w:rPr>
          <w:sz w:val="22"/>
          <w:szCs w:val="22"/>
          <w:highlight w:val="white"/>
        </w:rPr>
      </w:pPr>
      <w:r>
        <w:rPr>
          <w:sz w:val="22"/>
          <w:szCs w:val="22"/>
          <w:highlight w:val="white"/>
        </w:rPr>
        <w:t xml:space="preserve">ANEXO II – Oferta de serviços  </w:t>
      </w:r>
    </w:p>
    <w:p>
      <w:pPr>
        <w:pStyle w:val="normal1"/>
        <w:tabs>
          <w:tab w:val="clear" w:pos="720"/>
          <w:tab w:val="left" w:pos="709" w:leader="none"/>
          <w:tab w:val="left" w:pos="851" w:leader="none"/>
          <w:tab w:val="left" w:pos="993" w:leader="none"/>
        </w:tabs>
        <w:spacing w:lineRule="auto" w:line="276"/>
        <w:ind w:hanging="0" w:start="927"/>
        <w:jc w:val="both"/>
        <w:rPr>
          <w:sz w:val="22"/>
          <w:szCs w:val="22"/>
          <w:highlight w:val="white"/>
        </w:rPr>
      </w:pPr>
      <w:r>
        <w:rPr>
          <w:sz w:val="22"/>
          <w:szCs w:val="22"/>
          <w:highlight w:val="white"/>
        </w:rPr>
      </w:r>
    </w:p>
    <w:p>
      <w:pPr>
        <w:pStyle w:val="normal1"/>
        <w:ind w:end="-28"/>
        <w:rPr>
          <w:b/>
          <w:sz w:val="22"/>
          <w:szCs w:val="22"/>
          <w:highlight w:val="white"/>
        </w:rPr>
      </w:pPr>
      <w:r>
        <w:rPr>
          <w:b/>
          <w:sz w:val="22"/>
          <w:szCs w:val="22"/>
          <w:highlight w:val="white"/>
        </w:rPr>
        <w:t>Equipe técnica Licitações e Contratos SEMAS:</w:t>
      </w:r>
    </w:p>
    <w:p>
      <w:pPr>
        <w:pStyle w:val="normal1"/>
        <w:ind w:end="-28"/>
        <w:rPr>
          <w:sz w:val="22"/>
          <w:szCs w:val="22"/>
          <w:highlight w:val="white"/>
        </w:rPr>
      </w:pPr>
      <w:r>
        <w:rPr>
          <w:sz w:val="22"/>
          <w:szCs w:val="22"/>
          <w:highlight w:val="white"/>
        </w:rPr>
        <w:t>Andréa Pires – Matrícula 15469-5</w:t>
      </w:r>
    </w:p>
    <w:p>
      <w:pPr>
        <w:pStyle w:val="normal1"/>
        <w:ind w:end="-28"/>
        <w:rPr>
          <w:sz w:val="22"/>
          <w:szCs w:val="22"/>
          <w:highlight w:val="white"/>
        </w:rPr>
      </w:pPr>
      <w:r>
        <w:rPr>
          <w:sz w:val="22"/>
          <w:szCs w:val="22"/>
          <w:highlight w:val="white"/>
        </w:rPr>
        <w:t>Geovani da Cruz – Matrícula 76083</w:t>
      </w:r>
    </w:p>
    <w:p>
      <w:pPr>
        <w:pStyle w:val="normal1"/>
        <w:ind w:end="-28"/>
        <w:rPr>
          <w:sz w:val="22"/>
          <w:szCs w:val="22"/>
          <w:highlight w:val="white"/>
        </w:rPr>
      </w:pPr>
      <w:r>
        <w:rPr>
          <w:sz w:val="22"/>
          <w:szCs w:val="22"/>
          <w:highlight w:val="white"/>
        </w:rPr>
        <w:t>Rodrigo Cunha – Matrícula 494617</w:t>
      </w:r>
    </w:p>
    <w:p>
      <w:pPr>
        <w:pStyle w:val="normal1"/>
        <w:tabs>
          <w:tab w:val="clear" w:pos="720"/>
          <w:tab w:val="left" w:pos="709" w:leader="none"/>
          <w:tab w:val="left" w:pos="851" w:leader="none"/>
        </w:tabs>
        <w:spacing w:lineRule="auto" w:line="276"/>
        <w:ind w:hanging="0" w:start="927"/>
        <w:jc w:val="both"/>
        <w:rPr>
          <w:sz w:val="22"/>
          <w:szCs w:val="22"/>
          <w:highlight w:val="white"/>
        </w:rPr>
      </w:pPr>
      <w:r>
        <w:rPr>
          <w:sz w:val="22"/>
          <w:szCs w:val="22"/>
          <w:highlight w:val="white"/>
        </w:rPr>
      </w:r>
    </w:p>
    <w:p>
      <w:pPr>
        <w:pStyle w:val="normal1"/>
        <w:spacing w:lineRule="auto" w:line="276"/>
        <w:ind w:hanging="0" w:start="927"/>
        <w:jc w:val="end"/>
        <w:rPr>
          <w:sz w:val="22"/>
          <w:szCs w:val="22"/>
          <w:highlight w:val="white"/>
        </w:rPr>
      </w:pPr>
      <w:r>
        <w:rPr>
          <w:sz w:val="22"/>
          <w:szCs w:val="22"/>
          <w:highlight w:val="white"/>
        </w:rPr>
        <w:t>Florianópolis, 29 de agosto de 2025.</w:t>
      </w:r>
    </w:p>
    <w:p>
      <w:pPr>
        <w:pStyle w:val="normal1"/>
        <w:spacing w:lineRule="auto" w:line="276"/>
        <w:jc w:val="end"/>
        <w:rPr>
          <w:b/>
          <w:sz w:val="22"/>
          <w:szCs w:val="22"/>
          <w:highlight w:val="white"/>
        </w:rPr>
      </w:pPr>
      <w:r>
        <w:rPr>
          <w:b/>
          <w:sz w:val="22"/>
          <w:szCs w:val="22"/>
          <w:highlight w:val="white"/>
        </w:rPr>
        <w:t xml:space="preserve">(Versão ajustada conforme </w:t>
      </w:r>
    </w:p>
    <w:p>
      <w:pPr>
        <w:pStyle w:val="normal1"/>
        <w:spacing w:lineRule="auto" w:line="276"/>
        <w:jc w:val="end"/>
        <w:rPr>
          <w:b/>
          <w:sz w:val="22"/>
          <w:szCs w:val="22"/>
          <w:highlight w:val="white"/>
        </w:rPr>
      </w:pPr>
      <w:r>
        <w:rPr>
          <w:b/>
          <w:sz w:val="22"/>
          <w:szCs w:val="22"/>
          <w:highlight w:val="white"/>
        </w:rPr>
        <w:t>PTA 171/SMLCP/SULIC/FP/2025)</w:t>
      </w:r>
    </w:p>
    <w:p>
      <w:pPr>
        <w:pStyle w:val="normal1"/>
        <w:spacing w:lineRule="auto" w:line="276"/>
        <w:jc w:val="end"/>
        <w:rPr>
          <w:sz w:val="22"/>
          <w:szCs w:val="22"/>
          <w:highlight w:val="white"/>
        </w:rPr>
      </w:pPr>
      <w:r>
        <w:rPr>
          <w:sz w:val="22"/>
          <w:szCs w:val="22"/>
          <w:highlight w:val="white"/>
        </w:rPr>
      </w:r>
    </w:p>
    <w:p>
      <w:pPr>
        <w:pStyle w:val="normal1"/>
        <w:spacing w:lineRule="auto" w:line="276"/>
        <w:jc w:val="both"/>
        <w:rPr>
          <w:sz w:val="22"/>
          <w:szCs w:val="22"/>
          <w:highlight w:val="white"/>
        </w:rPr>
      </w:pPr>
      <w:r>
        <w:rPr>
          <w:sz w:val="22"/>
          <w:szCs w:val="22"/>
          <w:highlight w:val="white"/>
        </w:rPr>
      </w:r>
    </w:p>
    <w:p>
      <w:pPr>
        <w:pStyle w:val="normal1"/>
        <w:spacing w:lineRule="auto" w:line="276"/>
        <w:jc w:val="both"/>
        <w:rPr>
          <w:sz w:val="22"/>
          <w:szCs w:val="22"/>
          <w:highlight w:val="white"/>
        </w:rPr>
      </w:pPr>
      <w:r>
        <w:rPr>
          <w:sz w:val="22"/>
          <w:szCs w:val="22"/>
          <w:highlight w:val="white"/>
        </w:rPr>
      </w:r>
    </w:p>
    <w:p>
      <w:pPr>
        <w:pStyle w:val="normal1"/>
        <w:spacing w:lineRule="auto" w:line="276"/>
        <w:jc w:val="center"/>
        <w:rPr>
          <w:sz w:val="22"/>
          <w:szCs w:val="22"/>
          <w:highlight w:val="white"/>
        </w:rPr>
      </w:pPr>
      <w:r>
        <w:rPr>
          <w:sz w:val="22"/>
          <w:szCs w:val="22"/>
          <w:highlight w:val="white"/>
        </w:rPr>
        <w:t>Luciane Natalícia dos Passos</w:t>
      </w:r>
    </w:p>
    <w:p>
      <w:pPr>
        <w:pStyle w:val="normal1"/>
        <w:spacing w:lineRule="auto" w:line="276"/>
        <w:jc w:val="center"/>
        <w:rPr>
          <w:sz w:val="22"/>
          <w:szCs w:val="22"/>
          <w:highlight w:val="white"/>
        </w:rPr>
      </w:pPr>
      <w:r>
        <w:rPr>
          <w:sz w:val="22"/>
          <w:szCs w:val="22"/>
          <w:highlight w:val="white"/>
        </w:rPr>
        <w:t>Secretária Municipal de Assistência Social</w:t>
      </w:r>
    </w:p>
    <w:p>
      <w:pPr>
        <w:pStyle w:val="normal1"/>
        <w:spacing w:lineRule="auto" w:line="276"/>
        <w:jc w:val="center"/>
        <w:rPr>
          <w:b/>
          <w:sz w:val="22"/>
          <w:szCs w:val="22"/>
          <w:highlight w:val="white"/>
        </w:rPr>
      </w:pPr>
      <w:r>
        <w:rPr>
          <w:b/>
          <w:sz w:val="22"/>
          <w:szCs w:val="22"/>
          <w:highlight w:val="white"/>
        </w:rPr>
      </w:r>
    </w:p>
    <w:p>
      <w:pPr>
        <w:pStyle w:val="normal1"/>
        <w:spacing w:lineRule="auto" w:line="276"/>
        <w:jc w:val="center"/>
        <w:rPr>
          <w:b/>
          <w:sz w:val="22"/>
          <w:szCs w:val="22"/>
          <w:highlight w:val="white"/>
        </w:rPr>
      </w:pPr>
      <w:r>
        <w:rPr>
          <w:b/>
          <w:sz w:val="22"/>
          <w:szCs w:val="22"/>
          <w:highlight w:val="white"/>
        </w:rPr>
      </w:r>
    </w:p>
    <w:p>
      <w:pPr>
        <w:pStyle w:val="normal1"/>
        <w:spacing w:lineRule="auto" w:line="276"/>
        <w:jc w:val="center"/>
        <w:rPr>
          <w:b/>
          <w:sz w:val="22"/>
          <w:szCs w:val="22"/>
          <w:highlight w:val="white"/>
        </w:rPr>
      </w:pPr>
      <w:r>
        <w:rPr>
          <w:b/>
          <w:sz w:val="22"/>
          <w:szCs w:val="22"/>
          <w:highlight w:val="white"/>
        </w:rPr>
      </w:r>
    </w:p>
    <w:p>
      <w:pPr>
        <w:pStyle w:val="normal1"/>
        <w:spacing w:lineRule="auto" w:line="276"/>
        <w:jc w:val="center"/>
        <w:rPr>
          <w:b/>
          <w:sz w:val="22"/>
          <w:szCs w:val="22"/>
          <w:highlight w:val="white"/>
        </w:rPr>
      </w:pPr>
      <w:r>
        <w:rPr>
          <w:b/>
          <w:sz w:val="22"/>
          <w:szCs w:val="22"/>
          <w:highlight w:val="white"/>
        </w:rPr>
      </w:r>
    </w:p>
    <w:p>
      <w:pPr>
        <w:pStyle w:val="normal1"/>
        <w:spacing w:lineRule="auto" w:line="276"/>
        <w:jc w:val="center"/>
        <w:rPr>
          <w:b/>
          <w:sz w:val="22"/>
          <w:szCs w:val="22"/>
          <w:highlight w:val="white"/>
        </w:rPr>
      </w:pPr>
      <w:r>
        <w:rPr>
          <w:b/>
          <w:sz w:val="22"/>
          <w:szCs w:val="22"/>
          <w:highlight w:val="white"/>
        </w:rPr>
      </w:r>
    </w:p>
    <w:p>
      <w:pPr>
        <w:pStyle w:val="normal1"/>
        <w:spacing w:lineRule="auto" w:line="276"/>
        <w:jc w:val="center"/>
        <w:rPr>
          <w:b/>
          <w:sz w:val="22"/>
          <w:szCs w:val="22"/>
          <w:highlight w:val="white"/>
        </w:rPr>
      </w:pPr>
      <w:r>
        <w:rPr>
          <w:b/>
          <w:sz w:val="22"/>
          <w:szCs w:val="22"/>
          <w:highlight w:val="white"/>
        </w:rPr>
      </w:r>
    </w:p>
    <w:p>
      <w:pPr>
        <w:pStyle w:val="normal1"/>
        <w:spacing w:lineRule="auto" w:line="276"/>
        <w:jc w:val="center"/>
        <w:rPr>
          <w:b/>
          <w:sz w:val="22"/>
          <w:szCs w:val="22"/>
          <w:highlight w:val="white"/>
        </w:rPr>
      </w:pPr>
      <w:r>
        <w:rPr>
          <w:b/>
          <w:sz w:val="22"/>
          <w:szCs w:val="22"/>
          <w:highlight w:val="white"/>
        </w:rPr>
      </w:r>
    </w:p>
    <w:p>
      <w:pPr>
        <w:pStyle w:val="normal1"/>
        <w:spacing w:lineRule="auto" w:line="276"/>
        <w:jc w:val="center"/>
        <w:rPr>
          <w:b/>
          <w:sz w:val="22"/>
          <w:szCs w:val="22"/>
          <w:highlight w:val="white"/>
        </w:rPr>
      </w:pPr>
      <w:r>
        <w:rPr>
          <w:b/>
          <w:sz w:val="22"/>
          <w:szCs w:val="22"/>
          <w:highlight w:val="white"/>
        </w:rPr>
      </w:r>
    </w:p>
    <w:p>
      <w:pPr>
        <w:pStyle w:val="normal1"/>
        <w:spacing w:lineRule="auto" w:line="276"/>
        <w:jc w:val="center"/>
        <w:rPr>
          <w:b/>
          <w:sz w:val="22"/>
          <w:szCs w:val="22"/>
          <w:highlight w:val="white"/>
        </w:rPr>
      </w:pPr>
      <w:r>
        <w:rPr>
          <w:b/>
          <w:sz w:val="22"/>
          <w:szCs w:val="22"/>
          <w:highlight w:val="white"/>
        </w:rPr>
      </w:r>
    </w:p>
    <w:p>
      <w:pPr>
        <w:pStyle w:val="normal1"/>
        <w:spacing w:lineRule="auto" w:line="276"/>
        <w:jc w:val="center"/>
        <w:rPr>
          <w:b/>
          <w:sz w:val="22"/>
          <w:szCs w:val="22"/>
          <w:highlight w:val="white"/>
        </w:rPr>
      </w:pPr>
      <w:r>
        <w:rPr>
          <w:b/>
          <w:sz w:val="22"/>
          <w:szCs w:val="22"/>
          <w:highlight w:val="white"/>
        </w:rPr>
      </w:r>
    </w:p>
    <w:p>
      <w:pPr>
        <w:pStyle w:val="normal1"/>
        <w:spacing w:lineRule="auto" w:line="276"/>
        <w:jc w:val="center"/>
        <w:rPr>
          <w:b/>
          <w:sz w:val="22"/>
          <w:szCs w:val="22"/>
          <w:highlight w:val="white"/>
        </w:rPr>
      </w:pPr>
      <w:r>
        <w:rPr>
          <w:b/>
          <w:sz w:val="22"/>
          <w:szCs w:val="22"/>
          <w:highlight w:val="white"/>
        </w:rPr>
      </w:r>
    </w:p>
    <w:p>
      <w:pPr>
        <w:pStyle w:val="normal1"/>
        <w:spacing w:lineRule="auto" w:line="276"/>
        <w:jc w:val="center"/>
        <w:rPr>
          <w:b/>
          <w:sz w:val="22"/>
          <w:szCs w:val="22"/>
          <w:highlight w:val="white"/>
        </w:rPr>
      </w:pPr>
      <w:r>
        <w:rPr>
          <w:b/>
          <w:sz w:val="22"/>
          <w:szCs w:val="22"/>
          <w:highlight w:val="white"/>
        </w:rPr>
      </w:r>
    </w:p>
    <w:p>
      <w:pPr>
        <w:pStyle w:val="normal1"/>
        <w:spacing w:lineRule="auto" w:line="276"/>
        <w:jc w:val="center"/>
        <w:rPr>
          <w:b/>
          <w:sz w:val="22"/>
          <w:szCs w:val="22"/>
          <w:highlight w:val="white"/>
        </w:rPr>
      </w:pPr>
      <w:r>
        <w:rPr>
          <w:b/>
          <w:sz w:val="22"/>
          <w:szCs w:val="22"/>
          <w:highlight w:val="white"/>
        </w:rPr>
      </w:r>
    </w:p>
    <w:p>
      <w:pPr>
        <w:pStyle w:val="normal1"/>
        <w:spacing w:lineRule="auto" w:line="276"/>
        <w:jc w:val="center"/>
        <w:rPr>
          <w:b/>
          <w:sz w:val="22"/>
          <w:szCs w:val="22"/>
          <w:highlight w:val="white"/>
        </w:rPr>
      </w:pPr>
      <w:r>
        <w:rPr>
          <w:b/>
          <w:sz w:val="22"/>
          <w:szCs w:val="22"/>
          <w:highlight w:val="white"/>
        </w:rPr>
      </w:r>
    </w:p>
    <w:p>
      <w:pPr>
        <w:pStyle w:val="normal1"/>
        <w:spacing w:lineRule="auto" w:line="276"/>
        <w:jc w:val="start"/>
        <w:rPr>
          <w:b/>
          <w:sz w:val="22"/>
          <w:szCs w:val="22"/>
          <w:highlight w:val="white"/>
        </w:rPr>
      </w:pPr>
      <w:r>
        <w:rPr>
          <w:b/>
          <w:sz w:val="22"/>
          <w:szCs w:val="22"/>
          <w:highlight w:val="white"/>
        </w:rPr>
      </w:r>
    </w:p>
    <w:p>
      <w:pPr>
        <w:pStyle w:val="normal1"/>
        <w:spacing w:lineRule="auto" w:line="276"/>
        <w:jc w:val="center"/>
        <w:rPr>
          <w:b/>
          <w:sz w:val="22"/>
          <w:szCs w:val="22"/>
          <w:highlight w:val="white"/>
        </w:rPr>
      </w:pPr>
      <w:r>
        <w:rPr>
          <w:b/>
          <w:sz w:val="22"/>
          <w:szCs w:val="22"/>
          <w:highlight w:val="white"/>
        </w:rPr>
        <w:t>ANEXO I</w:t>
      </w:r>
    </w:p>
    <w:p>
      <w:pPr>
        <w:pStyle w:val="normal1"/>
        <w:spacing w:lineRule="auto" w:line="276"/>
        <w:rPr>
          <w:b/>
          <w:sz w:val="22"/>
          <w:szCs w:val="22"/>
          <w:highlight w:val="white"/>
        </w:rPr>
      </w:pPr>
      <w:r>
        <w:rPr>
          <w:b/>
          <w:sz w:val="22"/>
          <w:szCs w:val="22"/>
          <w:highlight w:val="white"/>
        </w:rPr>
      </w:r>
    </w:p>
    <w:p>
      <w:pPr>
        <w:pStyle w:val="normal1"/>
        <w:spacing w:lineRule="auto" w:line="276"/>
        <w:rPr>
          <w:sz w:val="22"/>
          <w:szCs w:val="22"/>
          <w:highlight w:val="white"/>
          <w:u w:val="single"/>
        </w:rPr>
      </w:pPr>
      <w:r>
        <w:rPr>
          <w:sz w:val="22"/>
          <w:szCs w:val="22"/>
          <w:highlight w:val="white"/>
        </w:rPr>
        <w:t xml:space="preserve">REQUERIMENTO DE CREDENCIAMENTO – EDITAL N° </w:t>
      </w:r>
      <w:r>
        <w:rPr>
          <w:sz w:val="22"/>
          <w:szCs w:val="22"/>
          <w:highlight w:val="white"/>
          <w:u w:val="single"/>
        </w:rPr>
        <w:t xml:space="preserve">       /SMLCP/SULIC/20    .</w:t>
      </w:r>
    </w:p>
    <w:p>
      <w:pPr>
        <w:pStyle w:val="normal1"/>
        <w:spacing w:lineRule="auto" w:line="276"/>
        <w:rPr>
          <w:sz w:val="22"/>
          <w:szCs w:val="22"/>
          <w:highlight w:val="white"/>
          <w:u w:val="single"/>
        </w:rPr>
      </w:pPr>
      <w:r>
        <w:rPr>
          <w:sz w:val="22"/>
          <w:szCs w:val="22"/>
          <w:highlight w:val="white"/>
          <w:u w:val="single"/>
        </w:rPr>
      </w:r>
    </w:p>
    <w:p>
      <w:pPr>
        <w:pStyle w:val="normal1"/>
        <w:spacing w:lineRule="auto" w:line="276"/>
        <w:rPr>
          <w:sz w:val="22"/>
          <w:szCs w:val="22"/>
          <w:highlight w:val="white"/>
        </w:rPr>
      </w:pPr>
      <w:r>
        <w:rPr>
          <w:sz w:val="22"/>
          <w:szCs w:val="22"/>
          <w:highlight w:val="white"/>
        </w:rPr>
        <w:t>DADOS DA PESSOA JURÍDICA</w:t>
      </w:r>
    </w:p>
    <w:tbl>
      <w:tblPr>
        <w:tblStyle w:val="Table5"/>
        <w:tblW w:w="9212" w:type="dxa"/>
        <w:jc w:val="start"/>
        <w:tblInd w:w="-108" w:type="dxa"/>
        <w:tblLayout w:type="fixed"/>
        <w:tblCellMar>
          <w:top w:w="0" w:type="dxa"/>
          <w:start w:w="108" w:type="dxa"/>
          <w:bottom w:w="0" w:type="dxa"/>
          <w:end w:w="108" w:type="dxa"/>
        </w:tblCellMar>
        <w:tblLook w:val="0400"/>
      </w:tblPr>
      <w:tblGrid>
        <w:gridCol w:w="9212"/>
      </w:tblGrid>
      <w:tr>
        <w:trPr>
          <w:trHeight w:val="397" w:hRule="atLeast"/>
        </w:trPr>
        <w:tc>
          <w:tcPr>
            <w:tcW w:w="9212" w:type="dxa"/>
            <w:tcBorders>
              <w:top w:val="single" w:sz="4" w:space="0" w:color="000000"/>
              <w:start w:val="single" w:sz="4" w:space="0" w:color="000000"/>
              <w:bottom w:val="single" w:sz="4" w:space="0" w:color="000000"/>
              <w:end w:val="single" w:sz="4" w:space="0" w:color="000000"/>
            </w:tcBorders>
            <w:vAlign w:val="center"/>
          </w:tcPr>
          <w:p>
            <w:pPr>
              <w:pStyle w:val="normal1"/>
              <w:rPr>
                <w:sz w:val="22"/>
                <w:szCs w:val="22"/>
                <w:highlight w:val="white"/>
              </w:rPr>
            </w:pPr>
            <w:r>
              <w:rPr>
                <w:sz w:val="22"/>
                <w:szCs w:val="22"/>
                <w:highlight w:val="white"/>
              </w:rPr>
              <w:t>Razão Social:</w:t>
            </w:r>
          </w:p>
        </w:tc>
      </w:tr>
      <w:tr>
        <w:trPr>
          <w:trHeight w:val="397" w:hRule="atLeast"/>
        </w:trPr>
        <w:tc>
          <w:tcPr>
            <w:tcW w:w="9212" w:type="dxa"/>
            <w:tcBorders>
              <w:top w:val="single" w:sz="4" w:space="0" w:color="000000"/>
              <w:start w:val="single" w:sz="4" w:space="0" w:color="000000"/>
              <w:bottom w:val="single" w:sz="4" w:space="0" w:color="000000"/>
              <w:end w:val="single" w:sz="4" w:space="0" w:color="000000"/>
            </w:tcBorders>
            <w:vAlign w:val="center"/>
          </w:tcPr>
          <w:p>
            <w:pPr>
              <w:pStyle w:val="normal1"/>
              <w:rPr>
                <w:sz w:val="22"/>
                <w:szCs w:val="22"/>
                <w:highlight w:val="white"/>
              </w:rPr>
            </w:pPr>
            <w:r>
              <w:rPr>
                <w:sz w:val="22"/>
                <w:szCs w:val="22"/>
                <w:highlight w:val="white"/>
              </w:rPr>
              <w:t>CNPJ:</w:t>
            </w:r>
          </w:p>
        </w:tc>
      </w:tr>
      <w:tr>
        <w:trPr>
          <w:trHeight w:val="397" w:hRule="atLeast"/>
        </w:trPr>
        <w:tc>
          <w:tcPr>
            <w:tcW w:w="9212" w:type="dxa"/>
            <w:tcBorders>
              <w:top w:val="single" w:sz="4" w:space="0" w:color="000000"/>
              <w:start w:val="single" w:sz="4" w:space="0" w:color="000000"/>
              <w:bottom w:val="single" w:sz="4" w:space="0" w:color="000000"/>
              <w:end w:val="single" w:sz="4" w:space="0" w:color="000000"/>
            </w:tcBorders>
            <w:vAlign w:val="center"/>
          </w:tcPr>
          <w:p>
            <w:pPr>
              <w:pStyle w:val="normal1"/>
              <w:rPr>
                <w:sz w:val="22"/>
                <w:szCs w:val="22"/>
                <w:highlight w:val="white"/>
              </w:rPr>
            </w:pPr>
            <w:r>
              <w:rPr>
                <w:sz w:val="22"/>
                <w:szCs w:val="22"/>
                <w:highlight w:val="white"/>
              </w:rPr>
              <w:t>N° Inscrição Municipal:</w:t>
            </w:r>
          </w:p>
        </w:tc>
      </w:tr>
      <w:tr>
        <w:trPr>
          <w:trHeight w:val="397" w:hRule="atLeast"/>
        </w:trPr>
        <w:tc>
          <w:tcPr>
            <w:tcW w:w="9212" w:type="dxa"/>
            <w:tcBorders>
              <w:top w:val="single" w:sz="4" w:space="0" w:color="000000"/>
              <w:start w:val="single" w:sz="4" w:space="0" w:color="000000"/>
              <w:bottom w:val="single" w:sz="4" w:space="0" w:color="000000"/>
              <w:end w:val="single" w:sz="4" w:space="0" w:color="000000"/>
            </w:tcBorders>
            <w:vAlign w:val="center"/>
          </w:tcPr>
          <w:p>
            <w:pPr>
              <w:pStyle w:val="normal1"/>
              <w:rPr>
                <w:sz w:val="22"/>
                <w:szCs w:val="22"/>
                <w:highlight w:val="white"/>
              </w:rPr>
            </w:pPr>
            <w:r>
              <w:rPr>
                <w:sz w:val="22"/>
                <w:szCs w:val="22"/>
                <w:highlight w:val="white"/>
              </w:rPr>
              <w:t>Endereço Completo:</w:t>
            </w:r>
          </w:p>
        </w:tc>
      </w:tr>
      <w:tr>
        <w:trPr>
          <w:trHeight w:val="397" w:hRule="atLeast"/>
        </w:trPr>
        <w:tc>
          <w:tcPr>
            <w:tcW w:w="9212" w:type="dxa"/>
            <w:tcBorders>
              <w:top w:val="single" w:sz="4" w:space="0" w:color="000000"/>
              <w:start w:val="single" w:sz="4" w:space="0" w:color="000000"/>
              <w:bottom w:val="single" w:sz="4" w:space="0" w:color="000000"/>
              <w:end w:val="single" w:sz="4" w:space="0" w:color="000000"/>
            </w:tcBorders>
            <w:vAlign w:val="center"/>
          </w:tcPr>
          <w:p>
            <w:pPr>
              <w:pStyle w:val="normal1"/>
              <w:rPr>
                <w:sz w:val="22"/>
                <w:szCs w:val="22"/>
                <w:highlight w:val="white"/>
              </w:rPr>
            </w:pPr>
            <w:r>
              <w:rPr>
                <w:sz w:val="22"/>
                <w:szCs w:val="22"/>
                <w:highlight w:val="white"/>
              </w:rPr>
              <w:t>Telefones:</w:t>
            </w:r>
          </w:p>
        </w:tc>
      </w:tr>
      <w:tr>
        <w:trPr>
          <w:trHeight w:val="397" w:hRule="atLeast"/>
        </w:trPr>
        <w:tc>
          <w:tcPr>
            <w:tcW w:w="9212" w:type="dxa"/>
            <w:tcBorders>
              <w:top w:val="single" w:sz="4" w:space="0" w:color="000000"/>
              <w:start w:val="single" w:sz="4" w:space="0" w:color="000000"/>
              <w:bottom w:val="single" w:sz="4" w:space="0" w:color="000000"/>
              <w:end w:val="single" w:sz="4" w:space="0" w:color="000000"/>
            </w:tcBorders>
            <w:vAlign w:val="center"/>
          </w:tcPr>
          <w:p>
            <w:pPr>
              <w:pStyle w:val="normal1"/>
              <w:rPr>
                <w:sz w:val="22"/>
                <w:szCs w:val="22"/>
                <w:highlight w:val="white"/>
              </w:rPr>
            </w:pPr>
            <w:r>
              <w:rPr>
                <w:sz w:val="22"/>
                <w:szCs w:val="22"/>
                <w:highlight w:val="white"/>
              </w:rPr>
              <w:t>E-mails:</w:t>
            </w:r>
          </w:p>
        </w:tc>
      </w:tr>
    </w:tbl>
    <w:p>
      <w:pPr>
        <w:pStyle w:val="normal1"/>
        <w:spacing w:lineRule="auto" w:line="276"/>
        <w:rPr>
          <w:sz w:val="22"/>
          <w:szCs w:val="22"/>
          <w:highlight w:val="white"/>
        </w:rPr>
      </w:pPr>
      <w:r>
        <w:rPr>
          <w:sz w:val="22"/>
          <w:szCs w:val="22"/>
          <w:highlight w:val="white"/>
        </w:rPr>
      </w:r>
    </w:p>
    <w:p>
      <w:pPr>
        <w:pStyle w:val="normal1"/>
        <w:spacing w:lineRule="auto" w:line="276"/>
        <w:rPr>
          <w:sz w:val="22"/>
          <w:szCs w:val="22"/>
          <w:highlight w:val="white"/>
        </w:rPr>
      </w:pPr>
      <w:r>
        <w:rPr>
          <w:sz w:val="22"/>
          <w:szCs w:val="22"/>
          <w:highlight w:val="white"/>
        </w:rPr>
        <w:t>DADOS BANCÁRIOS DA PESSOA JURÍDICA</w:t>
      </w:r>
    </w:p>
    <w:tbl>
      <w:tblPr>
        <w:tblStyle w:val="Table6"/>
        <w:tblW w:w="9212" w:type="dxa"/>
        <w:jc w:val="start"/>
        <w:tblInd w:w="-108" w:type="dxa"/>
        <w:tblLayout w:type="fixed"/>
        <w:tblCellMar>
          <w:top w:w="0" w:type="dxa"/>
          <w:start w:w="108" w:type="dxa"/>
          <w:bottom w:w="0" w:type="dxa"/>
          <w:end w:w="108" w:type="dxa"/>
        </w:tblCellMar>
        <w:tblLook w:val="0400"/>
      </w:tblPr>
      <w:tblGrid>
        <w:gridCol w:w="3070"/>
        <w:gridCol w:w="3071"/>
        <w:gridCol w:w="3071"/>
      </w:tblGrid>
      <w:tr>
        <w:trPr/>
        <w:tc>
          <w:tcPr>
            <w:tcW w:w="3070" w:type="dxa"/>
            <w:tcBorders>
              <w:top w:val="single" w:sz="4" w:space="0" w:color="000000"/>
              <w:start w:val="single" w:sz="4" w:space="0" w:color="000000"/>
              <w:bottom w:val="single" w:sz="4" w:space="0" w:color="000000"/>
              <w:end w:val="single" w:sz="4" w:space="0" w:color="000000"/>
            </w:tcBorders>
          </w:tcPr>
          <w:p>
            <w:pPr>
              <w:pStyle w:val="normal1"/>
              <w:spacing w:lineRule="auto" w:line="276"/>
              <w:rPr>
                <w:sz w:val="22"/>
                <w:szCs w:val="22"/>
                <w:highlight w:val="white"/>
              </w:rPr>
            </w:pPr>
            <w:r>
              <w:rPr>
                <w:sz w:val="22"/>
                <w:szCs w:val="22"/>
                <w:highlight w:val="white"/>
              </w:rPr>
              <w:t>Banco:</w:t>
            </w:r>
          </w:p>
        </w:tc>
        <w:tc>
          <w:tcPr>
            <w:tcW w:w="3071" w:type="dxa"/>
            <w:tcBorders>
              <w:top w:val="single" w:sz="4" w:space="0" w:color="000000"/>
              <w:start w:val="single" w:sz="4" w:space="0" w:color="000000"/>
              <w:bottom w:val="single" w:sz="4" w:space="0" w:color="000000"/>
              <w:end w:val="single" w:sz="4" w:space="0" w:color="000000"/>
            </w:tcBorders>
          </w:tcPr>
          <w:p>
            <w:pPr>
              <w:pStyle w:val="normal1"/>
              <w:spacing w:lineRule="auto" w:line="276"/>
              <w:rPr>
                <w:sz w:val="22"/>
                <w:szCs w:val="22"/>
                <w:highlight w:val="white"/>
              </w:rPr>
            </w:pPr>
            <w:r>
              <w:rPr>
                <w:sz w:val="22"/>
                <w:szCs w:val="22"/>
                <w:highlight w:val="white"/>
              </w:rPr>
              <w:t>Agência:</w:t>
            </w:r>
          </w:p>
        </w:tc>
        <w:tc>
          <w:tcPr>
            <w:tcW w:w="3071" w:type="dxa"/>
            <w:tcBorders>
              <w:top w:val="single" w:sz="4" w:space="0" w:color="000000"/>
              <w:start w:val="single" w:sz="4" w:space="0" w:color="000000"/>
              <w:bottom w:val="single" w:sz="4" w:space="0" w:color="000000"/>
              <w:end w:val="single" w:sz="4" w:space="0" w:color="000000"/>
            </w:tcBorders>
          </w:tcPr>
          <w:p>
            <w:pPr>
              <w:pStyle w:val="normal1"/>
              <w:spacing w:lineRule="auto" w:line="276"/>
              <w:rPr>
                <w:sz w:val="22"/>
                <w:szCs w:val="22"/>
                <w:highlight w:val="white"/>
              </w:rPr>
            </w:pPr>
            <w:r>
              <w:rPr>
                <w:sz w:val="22"/>
                <w:szCs w:val="22"/>
                <w:highlight w:val="white"/>
              </w:rPr>
              <w:t>Conta:</w:t>
            </w:r>
          </w:p>
        </w:tc>
      </w:tr>
    </w:tbl>
    <w:p>
      <w:pPr>
        <w:pStyle w:val="normal1"/>
        <w:spacing w:lineRule="auto" w:line="276"/>
        <w:rPr>
          <w:sz w:val="22"/>
          <w:szCs w:val="22"/>
          <w:highlight w:val="white"/>
        </w:rPr>
      </w:pPr>
      <w:r>
        <w:rPr>
          <w:sz w:val="22"/>
          <w:szCs w:val="22"/>
          <w:highlight w:val="white"/>
        </w:rPr>
      </w:r>
    </w:p>
    <w:p>
      <w:pPr>
        <w:pStyle w:val="normal1"/>
        <w:spacing w:lineRule="auto" w:line="276"/>
        <w:rPr>
          <w:sz w:val="22"/>
          <w:szCs w:val="22"/>
          <w:highlight w:val="white"/>
        </w:rPr>
      </w:pPr>
      <w:r>
        <w:rPr>
          <w:sz w:val="22"/>
          <w:szCs w:val="22"/>
          <w:highlight w:val="white"/>
        </w:rPr>
        <w:t>DADOS REPRESENTANTES LEGAIS</w:t>
      </w:r>
    </w:p>
    <w:tbl>
      <w:tblPr>
        <w:tblStyle w:val="Table7"/>
        <w:tblW w:w="9212" w:type="dxa"/>
        <w:jc w:val="start"/>
        <w:tblInd w:w="-108" w:type="dxa"/>
        <w:tblLayout w:type="fixed"/>
        <w:tblCellMar>
          <w:top w:w="0" w:type="dxa"/>
          <w:start w:w="108" w:type="dxa"/>
          <w:bottom w:w="0" w:type="dxa"/>
          <w:end w:w="108" w:type="dxa"/>
        </w:tblCellMar>
        <w:tblLook w:val="0400"/>
      </w:tblPr>
      <w:tblGrid>
        <w:gridCol w:w="9212"/>
      </w:tblGrid>
      <w:tr>
        <w:trPr>
          <w:trHeight w:val="397" w:hRule="atLeast"/>
        </w:trPr>
        <w:tc>
          <w:tcPr>
            <w:tcW w:w="9212" w:type="dxa"/>
            <w:tcBorders>
              <w:top w:val="single" w:sz="4" w:space="0" w:color="000000"/>
              <w:start w:val="single" w:sz="4" w:space="0" w:color="000000"/>
              <w:bottom w:val="single" w:sz="4" w:space="0" w:color="000000"/>
              <w:end w:val="single" w:sz="4" w:space="0" w:color="000000"/>
            </w:tcBorders>
            <w:vAlign w:val="center"/>
          </w:tcPr>
          <w:p>
            <w:pPr>
              <w:pStyle w:val="normal1"/>
              <w:rPr>
                <w:sz w:val="22"/>
                <w:szCs w:val="22"/>
                <w:highlight w:val="white"/>
              </w:rPr>
            </w:pPr>
            <w:r>
              <w:rPr>
                <w:sz w:val="22"/>
                <w:szCs w:val="22"/>
                <w:highlight w:val="white"/>
              </w:rPr>
              <w:t>Nome:</w:t>
            </w:r>
          </w:p>
        </w:tc>
      </w:tr>
      <w:tr>
        <w:trPr>
          <w:trHeight w:val="397" w:hRule="atLeast"/>
        </w:trPr>
        <w:tc>
          <w:tcPr>
            <w:tcW w:w="9212" w:type="dxa"/>
            <w:tcBorders>
              <w:top w:val="single" w:sz="4" w:space="0" w:color="000000"/>
              <w:start w:val="single" w:sz="4" w:space="0" w:color="000000"/>
              <w:bottom w:val="single" w:sz="4" w:space="0" w:color="000000"/>
              <w:end w:val="single" w:sz="4" w:space="0" w:color="000000"/>
            </w:tcBorders>
            <w:vAlign w:val="center"/>
          </w:tcPr>
          <w:p>
            <w:pPr>
              <w:pStyle w:val="normal1"/>
              <w:rPr>
                <w:sz w:val="22"/>
                <w:szCs w:val="22"/>
                <w:highlight w:val="white"/>
              </w:rPr>
            </w:pPr>
            <w:r>
              <w:rPr>
                <w:sz w:val="22"/>
                <w:szCs w:val="22"/>
                <w:highlight w:val="white"/>
              </w:rPr>
              <w:t>CPF:</w:t>
            </w:r>
          </w:p>
        </w:tc>
      </w:tr>
      <w:tr>
        <w:trPr>
          <w:trHeight w:val="397" w:hRule="atLeast"/>
        </w:trPr>
        <w:tc>
          <w:tcPr>
            <w:tcW w:w="9212" w:type="dxa"/>
            <w:tcBorders>
              <w:top w:val="single" w:sz="4" w:space="0" w:color="000000"/>
              <w:start w:val="single" w:sz="4" w:space="0" w:color="000000"/>
              <w:bottom w:val="single" w:sz="4" w:space="0" w:color="000000"/>
              <w:end w:val="single" w:sz="4" w:space="0" w:color="000000"/>
            </w:tcBorders>
            <w:vAlign w:val="center"/>
          </w:tcPr>
          <w:p>
            <w:pPr>
              <w:pStyle w:val="normal1"/>
              <w:rPr>
                <w:sz w:val="22"/>
                <w:szCs w:val="22"/>
                <w:highlight w:val="white"/>
              </w:rPr>
            </w:pPr>
            <w:r>
              <w:rPr>
                <w:sz w:val="22"/>
                <w:szCs w:val="22"/>
                <w:highlight w:val="white"/>
              </w:rPr>
              <w:t>Cargo / Função:</w:t>
            </w:r>
          </w:p>
        </w:tc>
      </w:tr>
      <w:tr>
        <w:trPr>
          <w:trHeight w:val="397" w:hRule="atLeast"/>
        </w:trPr>
        <w:tc>
          <w:tcPr>
            <w:tcW w:w="9212" w:type="dxa"/>
            <w:tcBorders>
              <w:top w:val="single" w:sz="4" w:space="0" w:color="000000"/>
              <w:start w:val="single" w:sz="4" w:space="0" w:color="000000"/>
              <w:bottom w:val="single" w:sz="4" w:space="0" w:color="000000"/>
              <w:end w:val="single" w:sz="4" w:space="0" w:color="000000"/>
            </w:tcBorders>
            <w:vAlign w:val="center"/>
          </w:tcPr>
          <w:p>
            <w:pPr>
              <w:pStyle w:val="normal1"/>
              <w:rPr>
                <w:sz w:val="22"/>
                <w:szCs w:val="22"/>
                <w:highlight w:val="white"/>
              </w:rPr>
            </w:pPr>
            <w:r>
              <w:rPr>
                <w:sz w:val="22"/>
                <w:szCs w:val="22"/>
                <w:highlight w:val="white"/>
              </w:rPr>
              <w:t>Nome:</w:t>
            </w:r>
          </w:p>
        </w:tc>
      </w:tr>
      <w:tr>
        <w:trPr>
          <w:trHeight w:val="397" w:hRule="atLeast"/>
        </w:trPr>
        <w:tc>
          <w:tcPr>
            <w:tcW w:w="9212" w:type="dxa"/>
            <w:tcBorders>
              <w:top w:val="single" w:sz="4" w:space="0" w:color="000000"/>
              <w:start w:val="single" w:sz="4" w:space="0" w:color="000000"/>
              <w:bottom w:val="single" w:sz="4" w:space="0" w:color="000000"/>
              <w:end w:val="single" w:sz="4" w:space="0" w:color="000000"/>
            </w:tcBorders>
            <w:vAlign w:val="center"/>
          </w:tcPr>
          <w:p>
            <w:pPr>
              <w:pStyle w:val="normal1"/>
              <w:rPr>
                <w:sz w:val="22"/>
                <w:szCs w:val="22"/>
                <w:highlight w:val="white"/>
              </w:rPr>
            </w:pPr>
            <w:r>
              <w:rPr>
                <w:sz w:val="22"/>
                <w:szCs w:val="22"/>
                <w:highlight w:val="white"/>
              </w:rPr>
              <w:t>CPF:</w:t>
            </w:r>
          </w:p>
        </w:tc>
      </w:tr>
      <w:tr>
        <w:trPr>
          <w:trHeight w:val="397" w:hRule="atLeast"/>
        </w:trPr>
        <w:tc>
          <w:tcPr>
            <w:tcW w:w="9212" w:type="dxa"/>
            <w:tcBorders>
              <w:top w:val="single" w:sz="4" w:space="0" w:color="000000"/>
              <w:start w:val="single" w:sz="4" w:space="0" w:color="000000"/>
              <w:bottom w:val="single" w:sz="4" w:space="0" w:color="000000"/>
              <w:end w:val="single" w:sz="4" w:space="0" w:color="000000"/>
            </w:tcBorders>
            <w:vAlign w:val="center"/>
          </w:tcPr>
          <w:p>
            <w:pPr>
              <w:pStyle w:val="normal1"/>
              <w:rPr>
                <w:sz w:val="22"/>
                <w:szCs w:val="22"/>
                <w:highlight w:val="white"/>
              </w:rPr>
            </w:pPr>
            <w:r>
              <w:rPr>
                <w:sz w:val="22"/>
                <w:szCs w:val="22"/>
                <w:highlight w:val="white"/>
              </w:rPr>
              <w:t>Cargo / Função:</w:t>
            </w:r>
          </w:p>
        </w:tc>
      </w:tr>
    </w:tbl>
    <w:p>
      <w:pPr>
        <w:pStyle w:val="normal1"/>
        <w:spacing w:lineRule="auto" w:line="276"/>
        <w:rPr>
          <w:sz w:val="22"/>
          <w:szCs w:val="22"/>
          <w:highlight w:val="white"/>
        </w:rPr>
      </w:pPr>
      <w:r>
        <w:rPr>
          <w:sz w:val="22"/>
          <w:szCs w:val="22"/>
          <w:highlight w:val="white"/>
        </w:rPr>
      </w:r>
    </w:p>
    <w:p>
      <w:pPr>
        <w:pStyle w:val="normal1"/>
        <w:spacing w:lineRule="auto" w:line="276"/>
        <w:ind w:firstLine="567"/>
        <w:jc w:val="both"/>
        <w:rPr>
          <w:sz w:val="22"/>
          <w:szCs w:val="22"/>
          <w:highlight w:val="white"/>
        </w:rPr>
      </w:pPr>
      <w:r>
        <w:rPr>
          <w:sz w:val="22"/>
          <w:szCs w:val="22"/>
          <w:highlight w:val="white"/>
        </w:rPr>
        <w:t>A empresa acima qualificada vem requerer a inscrição no presente credenciamento e declara expressamente que:</w:t>
      </w:r>
    </w:p>
    <w:p>
      <w:pPr>
        <w:pStyle w:val="normal1"/>
        <w:numPr>
          <w:ilvl w:val="0"/>
          <w:numId w:val="13"/>
        </w:numPr>
        <w:spacing w:lineRule="auto" w:line="276"/>
        <w:ind w:firstLine="567" w:start="709"/>
        <w:jc w:val="both"/>
        <w:rPr>
          <w:sz w:val="22"/>
          <w:szCs w:val="22"/>
          <w:highlight w:val="white"/>
        </w:rPr>
      </w:pPr>
      <w:r>
        <w:rPr>
          <w:sz w:val="22"/>
          <w:szCs w:val="22"/>
          <w:highlight w:val="white"/>
        </w:rPr>
        <w:t>Cumpre e acata as normas estabelecidas no edital, estando plenamente ciente do teor e da extensão deste documento, que cumpre os requisitos de habilitação, que encaminha em anexo os documentos necessários assumindo a responsabilidade pela autenticidade destes, sujeitando-se às penalidades legais;</w:t>
      </w:r>
    </w:p>
    <w:p>
      <w:pPr>
        <w:pStyle w:val="normal1"/>
        <w:numPr>
          <w:ilvl w:val="0"/>
          <w:numId w:val="13"/>
        </w:numPr>
        <w:spacing w:lineRule="auto" w:line="276"/>
        <w:ind w:firstLine="567" w:start="709"/>
        <w:jc w:val="both"/>
        <w:rPr>
          <w:sz w:val="22"/>
          <w:szCs w:val="22"/>
          <w:highlight w:val="white"/>
        </w:rPr>
      </w:pPr>
      <w:r>
        <w:rPr>
          <w:sz w:val="22"/>
          <w:szCs w:val="22"/>
          <w:highlight w:val="white"/>
        </w:rPr>
        <w:t>Não é estrangeira sem representação legal no Brasil com poderes expressos para receber citação e responder administrativa e judicialmente;</w:t>
      </w:r>
    </w:p>
    <w:p>
      <w:pPr>
        <w:pStyle w:val="normal1"/>
        <w:numPr>
          <w:ilvl w:val="0"/>
          <w:numId w:val="13"/>
        </w:numPr>
        <w:spacing w:lineRule="auto" w:line="276"/>
        <w:ind w:firstLine="567" w:start="709"/>
        <w:jc w:val="both"/>
        <w:rPr>
          <w:sz w:val="22"/>
          <w:szCs w:val="22"/>
          <w:highlight w:val="white"/>
        </w:rPr>
      </w:pPr>
      <w:r>
        <w:rPr>
          <w:sz w:val="22"/>
          <w:szCs w:val="22"/>
          <w:highlight w:val="white"/>
        </w:rPr>
        <w:t>Não emprega menores de 18 (dezoito) anos em trabalho noturno, perigoso ou insalubre e de qualquer trabalho a menores de 16 (dezesseis) anos, salvo na condição de aprendiz, a partir de 14 (quatorze) anos, nos termos do art. 7°, XXXIII, da Constituição da República de 1988;</w:t>
      </w:r>
    </w:p>
    <w:p>
      <w:pPr>
        <w:pStyle w:val="normal1"/>
        <w:numPr>
          <w:ilvl w:val="0"/>
          <w:numId w:val="13"/>
        </w:numPr>
        <w:spacing w:lineRule="auto" w:line="276"/>
        <w:ind w:firstLine="567" w:start="709"/>
        <w:jc w:val="both"/>
        <w:rPr>
          <w:sz w:val="22"/>
          <w:szCs w:val="22"/>
          <w:highlight w:val="white"/>
        </w:rPr>
      </w:pPr>
      <w:r>
        <w:rPr>
          <w:sz w:val="22"/>
          <w:szCs w:val="22"/>
          <w:highlight w:val="white"/>
        </w:rPr>
        <w:t>Cumpre as exigências de reserva de cargos para pessoa com deficiência e para reabilitado da Previdência Social, previstas em lei e em outras normas específicas.</w:t>
      </w:r>
    </w:p>
    <w:p>
      <w:pPr>
        <w:pStyle w:val="normal1"/>
        <w:numPr>
          <w:ilvl w:val="0"/>
          <w:numId w:val="13"/>
        </w:numPr>
        <w:spacing w:lineRule="auto" w:line="276"/>
        <w:ind w:firstLine="567" w:start="709"/>
        <w:jc w:val="both"/>
        <w:rPr>
          <w:sz w:val="22"/>
          <w:szCs w:val="22"/>
          <w:highlight w:val="white"/>
        </w:rPr>
      </w:pPr>
      <w:r>
        <w:rPr>
          <w:sz w:val="22"/>
          <w:szCs w:val="22"/>
          <w:highlight w:val="white"/>
        </w:rPr>
        <w:t>Não é inidônea para licitar e contratar com a Administração Pública, nem está suspensa ou impedida de licitar ou contratar com nenhum órgão público, federal, estadual ou municipal;</w:t>
      </w:r>
    </w:p>
    <w:p>
      <w:pPr>
        <w:pStyle w:val="normal1"/>
        <w:numPr>
          <w:ilvl w:val="0"/>
          <w:numId w:val="13"/>
        </w:numPr>
        <w:spacing w:lineRule="auto" w:line="276"/>
        <w:ind w:firstLine="567" w:start="709"/>
        <w:jc w:val="both"/>
        <w:rPr>
          <w:sz w:val="22"/>
          <w:szCs w:val="22"/>
          <w:highlight w:val="white"/>
        </w:rPr>
      </w:pPr>
      <w:r>
        <w:rPr>
          <w:sz w:val="22"/>
          <w:szCs w:val="22"/>
          <w:highlight w:val="white"/>
        </w:rPr>
        <w:t>Não mantém vínculo de natureza técnica, comercial, econômica, financeira, trabalhista ou civil com dirigente do órgão ou entidade contratante ou com agente público que desempenhe função no credenciamento ou atue na fiscalização ou na gestão do contrato, ou que deles seja cônjuge, companheiro ou parente em linha reta, colateral ou por afinidade, até o terceiro grau;</w:t>
      </w:r>
    </w:p>
    <w:p>
      <w:pPr>
        <w:pStyle w:val="normal1"/>
        <w:numPr>
          <w:ilvl w:val="0"/>
          <w:numId w:val="13"/>
        </w:numPr>
        <w:spacing w:lineRule="auto" w:line="276"/>
        <w:ind w:firstLine="567" w:start="709"/>
        <w:jc w:val="both"/>
        <w:rPr>
          <w:sz w:val="22"/>
          <w:szCs w:val="22"/>
          <w:highlight w:val="white"/>
        </w:rPr>
      </w:pPr>
      <w:r>
        <w:rPr>
          <w:sz w:val="22"/>
          <w:szCs w:val="22"/>
          <w:highlight w:val="white"/>
        </w:rPr>
        <w:t>Não possui, nos 5 (cinco) anos anteriores à divulgação do edital, condenação judicial, com trânsito em julgado, por exploração de trabalho infantil, por submissão de trabalhadores a condições análogas às de escravo ou por contratação de adolescentes nos casos vedados pela legislação trabalhista;</w:t>
      </w:r>
    </w:p>
    <w:p>
      <w:pPr>
        <w:pStyle w:val="normal1"/>
        <w:numPr>
          <w:ilvl w:val="0"/>
          <w:numId w:val="13"/>
        </w:numPr>
        <w:spacing w:lineRule="auto" w:line="276"/>
        <w:ind w:firstLine="567" w:start="709"/>
        <w:jc w:val="both"/>
        <w:rPr>
          <w:sz w:val="22"/>
          <w:szCs w:val="22"/>
          <w:highlight w:val="white"/>
        </w:rPr>
      </w:pPr>
      <w:r>
        <w:rPr>
          <w:sz w:val="22"/>
          <w:szCs w:val="22"/>
          <w:highlight w:val="white"/>
        </w:rPr>
        <w:t>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1"/>
        <w:numPr>
          <w:ilvl w:val="0"/>
          <w:numId w:val="13"/>
        </w:numPr>
        <w:spacing w:lineRule="auto" w:line="276"/>
        <w:ind w:firstLine="567" w:start="709"/>
        <w:jc w:val="both"/>
        <w:rPr>
          <w:sz w:val="22"/>
          <w:szCs w:val="22"/>
          <w:highlight w:val="white"/>
        </w:rPr>
      </w:pPr>
      <w:r>
        <w:rPr>
          <w:sz w:val="22"/>
          <w:szCs w:val="22"/>
          <w:highlight w:val="white"/>
        </w:rPr>
        <w:t>Está de acordo com as normas técnicas, princípios, diretrizes definidas pela legislação vigente e que realizará todos os serviços a que se propõe, de acordo com as regras de pactuação dos fluxos assistenciais.</w:t>
      </w:r>
    </w:p>
    <w:p>
      <w:pPr>
        <w:pStyle w:val="normal1"/>
        <w:numPr>
          <w:ilvl w:val="0"/>
          <w:numId w:val="13"/>
        </w:numPr>
        <w:spacing w:lineRule="auto" w:line="276"/>
        <w:ind w:firstLine="567" w:start="709"/>
        <w:jc w:val="both"/>
        <w:rPr>
          <w:sz w:val="22"/>
          <w:szCs w:val="22"/>
          <w:highlight w:val="white"/>
        </w:rPr>
      </w:pPr>
      <w:r>
        <w:rPr>
          <w:sz w:val="22"/>
          <w:szCs w:val="22"/>
          <w:highlight w:val="white"/>
        </w:rPr>
        <w:t>Compromete-se a manter sigilo e confidencialidade de todas as informações – em especial os dados pessoais e os dados pessoais sensíveis – repassadas em decorrência da execução contratual, em consonância com o disposto na Lei n. 13.709/2018, sendo vedado o repasse das informações a outras empresas ou pessoas, salvo aquelas decorrentes de obrigações legais ou para viabilizar o cumprimento do instrumento contratual.</w:t>
      </w:r>
    </w:p>
    <w:p>
      <w:pPr>
        <w:pStyle w:val="normal1"/>
        <w:spacing w:lineRule="auto" w:line="276"/>
        <w:ind w:firstLine="567"/>
        <w:jc w:val="both"/>
        <w:rPr>
          <w:sz w:val="22"/>
          <w:szCs w:val="22"/>
          <w:highlight w:val="white"/>
        </w:rPr>
      </w:pPr>
      <w:r>
        <w:rPr>
          <w:sz w:val="22"/>
          <w:szCs w:val="22"/>
          <w:highlight w:val="white"/>
        </w:rPr>
      </w:r>
    </w:p>
    <w:p>
      <w:pPr>
        <w:pStyle w:val="normal1"/>
        <w:spacing w:lineRule="auto" w:line="276"/>
        <w:jc w:val="both"/>
        <w:rPr>
          <w:sz w:val="22"/>
          <w:szCs w:val="22"/>
          <w:highlight w:val="white"/>
        </w:rPr>
      </w:pPr>
      <w:r>
        <w:rPr>
          <w:sz w:val="22"/>
          <w:szCs w:val="22"/>
          <w:highlight w:val="white"/>
        </w:rPr>
        <w:t>Por ser expressão da verdade, firmamos a presente declaração</w:t>
      </w:r>
    </w:p>
    <w:p>
      <w:pPr>
        <w:pStyle w:val="normal1"/>
        <w:spacing w:lineRule="auto" w:line="276"/>
        <w:ind w:firstLine="567"/>
        <w:jc w:val="both"/>
        <w:rPr>
          <w:sz w:val="22"/>
          <w:szCs w:val="22"/>
          <w:highlight w:val="white"/>
        </w:rPr>
      </w:pPr>
      <w:r>
        <w:rPr>
          <w:sz w:val="22"/>
          <w:szCs w:val="22"/>
          <w:highlight w:val="white"/>
        </w:rPr>
      </w:r>
    </w:p>
    <w:p>
      <w:pPr>
        <w:pStyle w:val="normal1"/>
        <w:spacing w:lineRule="auto" w:line="276"/>
        <w:jc w:val="both"/>
        <w:rPr>
          <w:b/>
          <w:sz w:val="22"/>
          <w:szCs w:val="22"/>
          <w:highlight w:val="white"/>
        </w:rPr>
      </w:pPr>
      <w:r>
        <w:rPr>
          <w:b/>
          <w:sz w:val="22"/>
          <w:szCs w:val="22"/>
          <w:highlight w:val="white"/>
        </w:rPr>
        <w:t>Florianópolis, [DIA] de [MÊS] de [ANO].</w:t>
      </w:r>
    </w:p>
    <w:p>
      <w:pPr>
        <w:pStyle w:val="normal1"/>
        <w:spacing w:lineRule="auto" w:line="276"/>
        <w:ind w:firstLine="567"/>
        <w:jc w:val="both"/>
        <w:rPr>
          <w:sz w:val="22"/>
          <w:szCs w:val="22"/>
          <w:highlight w:val="white"/>
        </w:rPr>
      </w:pPr>
      <w:r>
        <w:rPr>
          <w:sz w:val="22"/>
          <w:szCs w:val="22"/>
          <w:highlight w:val="white"/>
        </w:rPr>
      </w:r>
    </w:p>
    <w:p>
      <w:pPr>
        <w:pStyle w:val="normal1"/>
        <w:spacing w:lineRule="auto" w:line="276"/>
        <w:ind w:firstLine="567"/>
        <w:jc w:val="both"/>
        <w:rPr>
          <w:sz w:val="22"/>
          <w:szCs w:val="22"/>
          <w:highlight w:val="white"/>
        </w:rPr>
      </w:pPr>
      <w:r>
        <w:rPr>
          <w:sz w:val="22"/>
          <w:szCs w:val="22"/>
          <w:highlight w:val="white"/>
        </w:rPr>
      </w:r>
    </w:p>
    <w:p>
      <w:pPr>
        <w:pStyle w:val="normal1"/>
        <w:spacing w:lineRule="auto" w:line="360"/>
        <w:ind w:firstLine="567"/>
        <w:jc w:val="center"/>
        <w:rPr>
          <w:b/>
          <w:sz w:val="22"/>
          <w:szCs w:val="22"/>
          <w:highlight w:val="white"/>
        </w:rPr>
      </w:pPr>
      <w:r>
        <w:rPr>
          <w:b/>
          <w:sz w:val="22"/>
          <w:szCs w:val="22"/>
          <w:highlight w:val="white"/>
        </w:rPr>
        <w:t>[ASSINATURA E DADOS DO REPRESENTANTE LEGAL]</w:t>
      </w:r>
    </w:p>
    <w:p>
      <w:pPr>
        <w:pStyle w:val="normal1"/>
        <w:spacing w:lineRule="auto" w:line="360"/>
        <w:ind w:firstLine="567"/>
        <w:jc w:val="center"/>
        <w:rPr>
          <w:b/>
          <w:sz w:val="22"/>
          <w:szCs w:val="22"/>
          <w:highlight w:val="white"/>
        </w:rPr>
      </w:pPr>
      <w:r>
        <w:rPr>
          <w:b/>
          <w:sz w:val="22"/>
          <w:szCs w:val="22"/>
          <w:highlight w:val="white"/>
        </w:rPr>
        <w:t>Nome:</w:t>
      </w:r>
    </w:p>
    <w:p>
      <w:pPr>
        <w:pStyle w:val="normal1"/>
        <w:spacing w:lineRule="auto" w:line="360"/>
        <w:ind w:firstLine="567"/>
        <w:jc w:val="center"/>
        <w:rPr>
          <w:b/>
          <w:sz w:val="22"/>
          <w:szCs w:val="22"/>
          <w:highlight w:val="white"/>
        </w:rPr>
      </w:pPr>
      <w:r>
        <w:rPr>
          <w:b/>
          <w:sz w:val="22"/>
          <w:szCs w:val="22"/>
          <w:highlight w:val="white"/>
        </w:rPr>
        <w:t>CPF:</w:t>
      </w:r>
    </w:p>
    <w:p>
      <w:pPr>
        <w:pStyle w:val="normal1"/>
        <w:spacing w:lineRule="auto" w:line="276" w:before="0" w:after="200"/>
        <w:rPr>
          <w:sz w:val="22"/>
          <w:szCs w:val="22"/>
          <w:highlight w:val="white"/>
        </w:rPr>
      </w:pPr>
      <w:r>
        <w:rPr>
          <w:sz w:val="22"/>
          <w:szCs w:val="22"/>
          <w:highlight w:val="white"/>
        </w:rPr>
      </w:r>
      <w:r>
        <w:br w:type="page"/>
      </w:r>
    </w:p>
    <w:p>
      <w:pPr>
        <w:pStyle w:val="normal1"/>
        <w:spacing w:lineRule="auto" w:line="276" w:before="0" w:after="0"/>
        <w:jc w:val="center"/>
        <w:rPr>
          <w:b/>
          <w:sz w:val="22"/>
          <w:szCs w:val="22"/>
          <w:highlight w:val="white"/>
        </w:rPr>
      </w:pPr>
      <w:r>
        <w:rPr>
          <w:b/>
          <w:sz w:val="22"/>
          <w:szCs w:val="22"/>
          <w:highlight w:val="white"/>
        </w:rPr>
        <w:t>ANEXO II</w:t>
      </w:r>
    </w:p>
    <w:p>
      <w:pPr>
        <w:pStyle w:val="normal1"/>
        <w:spacing w:lineRule="auto" w:line="276"/>
        <w:jc w:val="center"/>
        <w:rPr>
          <w:b/>
          <w:sz w:val="22"/>
          <w:szCs w:val="22"/>
          <w:highlight w:val="white"/>
        </w:rPr>
      </w:pPr>
      <w:r>
        <w:rPr>
          <w:b/>
          <w:sz w:val="22"/>
          <w:szCs w:val="22"/>
          <w:highlight w:val="white"/>
        </w:rPr>
      </w:r>
    </w:p>
    <w:p>
      <w:pPr>
        <w:pStyle w:val="normal1"/>
        <w:spacing w:lineRule="auto" w:line="276"/>
        <w:jc w:val="center"/>
        <w:rPr>
          <w:b/>
          <w:sz w:val="22"/>
          <w:szCs w:val="22"/>
          <w:highlight w:val="white"/>
        </w:rPr>
      </w:pPr>
      <w:r>
        <w:rPr>
          <w:b/>
          <w:sz w:val="22"/>
          <w:szCs w:val="22"/>
          <w:highlight w:val="white"/>
        </w:rPr>
        <w:t>OFERTA DE SERVIÇOS</w:t>
      </w:r>
    </w:p>
    <w:p>
      <w:pPr>
        <w:pStyle w:val="normal1"/>
        <w:spacing w:lineRule="auto" w:line="276"/>
        <w:jc w:val="center"/>
        <w:rPr>
          <w:b/>
          <w:sz w:val="22"/>
          <w:szCs w:val="22"/>
          <w:highlight w:val="white"/>
        </w:rPr>
      </w:pPr>
      <w:r>
        <w:rPr>
          <w:b/>
          <w:sz w:val="22"/>
          <w:szCs w:val="22"/>
          <w:highlight w:val="white"/>
        </w:rPr>
      </w:r>
    </w:p>
    <w:p>
      <w:pPr>
        <w:pStyle w:val="normal1"/>
        <w:spacing w:lineRule="auto" w:line="276"/>
        <w:rPr>
          <w:b/>
          <w:sz w:val="22"/>
          <w:szCs w:val="22"/>
          <w:highlight w:val="white"/>
        </w:rPr>
      </w:pPr>
      <w:r>
        <w:rPr>
          <w:b/>
          <w:sz w:val="22"/>
          <w:szCs w:val="22"/>
          <w:highlight w:val="white"/>
        </w:rPr>
        <w:t>EDITAL N° _____/SMLCP/SULIC/20____</w:t>
      </w:r>
    </w:p>
    <w:tbl>
      <w:tblPr>
        <w:tblStyle w:val="Table8"/>
        <w:tblW w:w="9288" w:type="dxa"/>
        <w:jc w:val="start"/>
        <w:tblInd w:w="-108" w:type="dxa"/>
        <w:tblLayout w:type="fixed"/>
        <w:tblCellMar>
          <w:top w:w="0" w:type="dxa"/>
          <w:start w:w="108" w:type="dxa"/>
          <w:bottom w:w="0" w:type="dxa"/>
          <w:end w:w="108" w:type="dxa"/>
        </w:tblCellMar>
        <w:tblLook w:val="0400"/>
      </w:tblPr>
      <w:tblGrid>
        <w:gridCol w:w="807"/>
        <w:gridCol w:w="3522"/>
        <w:gridCol w:w="1323"/>
        <w:gridCol w:w="1828"/>
        <w:gridCol w:w="1808"/>
      </w:tblGrid>
      <w:tr>
        <w:trPr>
          <w:trHeight w:val="397" w:hRule="atLeast"/>
        </w:trPr>
        <w:tc>
          <w:tcPr>
            <w:tcW w:w="807" w:type="dxa"/>
            <w:tcBorders>
              <w:top w:val="single" w:sz="4" w:space="0" w:color="000000"/>
              <w:start w:val="single" w:sz="4" w:space="0" w:color="000000"/>
              <w:bottom w:val="single" w:sz="4" w:space="0" w:color="000000"/>
              <w:end w:val="single" w:sz="4" w:space="0" w:color="000000"/>
            </w:tcBorders>
            <w:vAlign w:val="center"/>
          </w:tcPr>
          <w:p>
            <w:pPr>
              <w:pStyle w:val="normal1"/>
              <w:jc w:val="center"/>
              <w:rPr>
                <w:b/>
                <w:sz w:val="22"/>
                <w:szCs w:val="22"/>
                <w:highlight w:val="white"/>
              </w:rPr>
            </w:pPr>
            <w:r>
              <w:rPr>
                <w:b/>
                <w:sz w:val="22"/>
                <w:szCs w:val="22"/>
                <w:highlight w:val="white"/>
              </w:rPr>
              <w:t>Item</w:t>
            </w:r>
          </w:p>
        </w:tc>
        <w:tc>
          <w:tcPr>
            <w:tcW w:w="3522" w:type="dxa"/>
            <w:tcBorders>
              <w:top w:val="single" w:sz="4" w:space="0" w:color="000000"/>
              <w:start w:val="single" w:sz="4" w:space="0" w:color="000000"/>
              <w:bottom w:val="single" w:sz="4" w:space="0" w:color="000000"/>
              <w:end w:val="single" w:sz="4" w:space="0" w:color="000000"/>
            </w:tcBorders>
            <w:vAlign w:val="center"/>
          </w:tcPr>
          <w:p>
            <w:pPr>
              <w:pStyle w:val="normal1"/>
              <w:jc w:val="center"/>
              <w:rPr>
                <w:b/>
                <w:sz w:val="22"/>
                <w:szCs w:val="22"/>
                <w:highlight w:val="white"/>
              </w:rPr>
            </w:pPr>
            <w:r>
              <w:rPr>
                <w:b/>
                <w:sz w:val="22"/>
                <w:szCs w:val="22"/>
                <w:highlight w:val="white"/>
              </w:rPr>
              <w:t>Descrição</w:t>
            </w:r>
          </w:p>
        </w:tc>
        <w:tc>
          <w:tcPr>
            <w:tcW w:w="1323" w:type="dxa"/>
            <w:tcBorders>
              <w:top w:val="single" w:sz="4" w:space="0" w:color="000000"/>
              <w:start w:val="single" w:sz="4" w:space="0" w:color="000000"/>
              <w:bottom w:val="single" w:sz="4" w:space="0" w:color="000000"/>
              <w:end w:val="single" w:sz="4" w:space="0" w:color="000000"/>
            </w:tcBorders>
            <w:vAlign w:val="center"/>
          </w:tcPr>
          <w:p>
            <w:pPr>
              <w:pStyle w:val="normal1"/>
              <w:jc w:val="center"/>
              <w:rPr>
                <w:b/>
                <w:sz w:val="22"/>
                <w:szCs w:val="22"/>
                <w:highlight w:val="white"/>
              </w:rPr>
            </w:pPr>
            <w:r>
              <w:rPr>
                <w:b/>
                <w:sz w:val="22"/>
                <w:szCs w:val="22"/>
                <w:highlight w:val="white"/>
              </w:rPr>
              <w:t>Unidade de medida</w:t>
            </w:r>
          </w:p>
        </w:tc>
        <w:tc>
          <w:tcPr>
            <w:tcW w:w="1828" w:type="dxa"/>
            <w:tcBorders>
              <w:top w:val="single" w:sz="4" w:space="0" w:color="000000"/>
              <w:start w:val="single" w:sz="4" w:space="0" w:color="000000"/>
              <w:bottom w:val="single" w:sz="4" w:space="0" w:color="000000"/>
              <w:end w:val="single" w:sz="4" w:space="0" w:color="000000"/>
            </w:tcBorders>
            <w:vAlign w:val="center"/>
          </w:tcPr>
          <w:p>
            <w:pPr>
              <w:pStyle w:val="normal1"/>
              <w:jc w:val="center"/>
              <w:rPr>
                <w:b/>
                <w:sz w:val="22"/>
                <w:szCs w:val="22"/>
                <w:highlight w:val="white"/>
              </w:rPr>
            </w:pPr>
            <w:r>
              <w:rPr>
                <w:b/>
                <w:sz w:val="22"/>
                <w:szCs w:val="22"/>
                <w:highlight w:val="white"/>
              </w:rPr>
              <w:t>Quantidade</w:t>
            </w:r>
          </w:p>
          <w:p>
            <w:pPr>
              <w:pStyle w:val="normal1"/>
              <w:jc w:val="center"/>
              <w:rPr>
                <w:b/>
                <w:sz w:val="22"/>
                <w:szCs w:val="22"/>
                <w:highlight w:val="white"/>
              </w:rPr>
            </w:pPr>
            <w:r>
              <w:rPr>
                <w:b/>
                <w:sz w:val="22"/>
                <w:szCs w:val="22"/>
                <w:highlight w:val="white"/>
              </w:rPr>
              <w:t>Estimadas (Mensais)</w:t>
            </w:r>
          </w:p>
        </w:tc>
        <w:tc>
          <w:tcPr>
            <w:tcW w:w="1808" w:type="dxa"/>
            <w:tcBorders>
              <w:top w:val="single" w:sz="4" w:space="0" w:color="000000"/>
              <w:start w:val="single" w:sz="4" w:space="0" w:color="000000"/>
              <w:bottom w:val="single" w:sz="4" w:space="0" w:color="000000"/>
              <w:end w:val="single" w:sz="4" w:space="0" w:color="000000"/>
            </w:tcBorders>
            <w:vAlign w:val="center"/>
          </w:tcPr>
          <w:p>
            <w:pPr>
              <w:pStyle w:val="normal1"/>
              <w:jc w:val="center"/>
              <w:rPr>
                <w:b/>
                <w:sz w:val="22"/>
                <w:szCs w:val="22"/>
                <w:highlight w:val="white"/>
              </w:rPr>
            </w:pPr>
            <w:r>
              <w:rPr>
                <w:b/>
                <w:sz w:val="22"/>
                <w:szCs w:val="22"/>
                <w:highlight w:val="white"/>
              </w:rPr>
              <w:t>Capacidade Ofertada (Mensais)</w:t>
            </w:r>
          </w:p>
        </w:tc>
      </w:tr>
      <w:tr>
        <w:trPr>
          <w:trHeight w:val="397" w:hRule="atLeast"/>
        </w:trPr>
        <w:tc>
          <w:tcPr>
            <w:tcW w:w="807" w:type="dxa"/>
            <w:tcBorders>
              <w:top w:val="single" w:sz="4" w:space="0" w:color="000000"/>
              <w:start w:val="single" w:sz="4" w:space="0" w:color="000000"/>
              <w:bottom w:val="single" w:sz="4" w:space="0" w:color="000000"/>
              <w:end w:val="single" w:sz="4" w:space="0" w:color="000000"/>
            </w:tcBorders>
            <w:vAlign w:val="center"/>
          </w:tcPr>
          <w:p>
            <w:pPr>
              <w:pStyle w:val="normal1"/>
              <w:keepNext w:val="true"/>
              <w:widowControl w:val="false"/>
              <w:jc w:val="center"/>
              <w:rPr>
                <w:sz w:val="22"/>
                <w:szCs w:val="22"/>
              </w:rPr>
            </w:pPr>
            <w:r>
              <w:rPr>
                <w:sz w:val="22"/>
                <w:szCs w:val="22"/>
              </w:rPr>
              <w:t>01</w:t>
            </w:r>
          </w:p>
        </w:tc>
        <w:tc>
          <w:tcPr>
            <w:tcW w:w="3522" w:type="dxa"/>
            <w:tcBorders>
              <w:top w:val="single" w:sz="4" w:space="0" w:color="000000"/>
              <w:start w:val="single" w:sz="4" w:space="0" w:color="000000"/>
              <w:bottom w:val="single" w:sz="4" w:space="0" w:color="000000"/>
              <w:end w:val="single" w:sz="4" w:space="0" w:color="000000"/>
            </w:tcBorders>
          </w:tcPr>
          <w:p>
            <w:pPr>
              <w:pStyle w:val="normal1"/>
              <w:widowControl w:val="false"/>
              <w:jc w:val="both"/>
              <w:rPr>
                <w:sz w:val="22"/>
                <w:szCs w:val="22"/>
              </w:rPr>
            </w:pPr>
            <w:r>
              <w:rPr>
                <w:b/>
                <w:sz w:val="22"/>
                <w:szCs w:val="22"/>
              </w:rPr>
              <w:t>Quarto individual:</w:t>
            </w:r>
            <w:r>
              <w:rPr>
                <w:sz w:val="22"/>
                <w:szCs w:val="22"/>
              </w:rPr>
              <w:t xml:space="preserve"> Acomodação para uma pessoa com banheiro sanitário individual ou coletivo, toalhas e amenidades necessárias ao uso como: papel higiênico, sabonete e shampoo  para banho; cama padrão de solteiro, lençol, travesseiros e cobertores; armário ou arara para guardar roupas; incluído café da manhã; ventilador e TV.</w:t>
            </w:r>
          </w:p>
        </w:tc>
        <w:tc>
          <w:tcPr>
            <w:tcW w:w="1323" w:type="dxa"/>
            <w:tcBorders>
              <w:top w:val="single" w:sz="4" w:space="0" w:color="000000"/>
              <w:start w:val="single" w:sz="4" w:space="0" w:color="000000"/>
              <w:bottom w:val="single" w:sz="4" w:space="0" w:color="000000"/>
              <w:end w:val="single" w:sz="4" w:space="0" w:color="000000"/>
            </w:tcBorders>
            <w:vAlign w:val="center"/>
          </w:tcPr>
          <w:p>
            <w:pPr>
              <w:pStyle w:val="normal1"/>
              <w:jc w:val="center"/>
              <w:rPr>
                <w:sz w:val="22"/>
                <w:szCs w:val="22"/>
                <w:highlight w:val="white"/>
              </w:rPr>
            </w:pPr>
            <w:r>
              <w:rPr>
                <w:sz w:val="22"/>
                <w:szCs w:val="22"/>
                <w:highlight w:val="white"/>
              </w:rPr>
              <w:t>DIÁRIA</w:t>
            </w:r>
          </w:p>
        </w:tc>
        <w:tc>
          <w:tcPr>
            <w:tcW w:w="1828" w:type="dxa"/>
            <w:tcBorders>
              <w:top w:val="single" w:sz="4" w:space="0" w:color="000000"/>
              <w:start w:val="single" w:sz="4" w:space="0" w:color="000000"/>
              <w:bottom w:val="single" w:sz="4" w:space="0" w:color="000000"/>
              <w:end w:val="single" w:sz="4" w:space="0" w:color="000000"/>
            </w:tcBorders>
            <w:vAlign w:val="center"/>
          </w:tcPr>
          <w:p>
            <w:pPr>
              <w:pStyle w:val="normal1"/>
              <w:widowControl w:val="false"/>
              <w:jc w:val="center"/>
              <w:rPr>
                <w:sz w:val="22"/>
                <w:szCs w:val="22"/>
              </w:rPr>
            </w:pPr>
            <w:r>
              <w:rPr>
                <w:sz w:val="22"/>
                <w:szCs w:val="22"/>
              </w:rPr>
              <w:t>50</w:t>
            </w:r>
          </w:p>
        </w:tc>
        <w:tc>
          <w:tcPr>
            <w:tcW w:w="1808" w:type="dxa"/>
            <w:tcBorders>
              <w:top w:val="single" w:sz="4" w:space="0" w:color="000000"/>
              <w:start w:val="single" w:sz="4" w:space="0" w:color="000000"/>
              <w:bottom w:val="single" w:sz="4" w:space="0" w:color="000000"/>
              <w:end w:val="single" w:sz="4" w:space="0" w:color="000000"/>
            </w:tcBorders>
            <w:vAlign w:val="center"/>
          </w:tcPr>
          <w:p>
            <w:pPr>
              <w:pStyle w:val="normal1"/>
              <w:jc w:val="center"/>
              <w:rPr>
                <w:b/>
                <w:sz w:val="22"/>
                <w:szCs w:val="22"/>
                <w:highlight w:val="white"/>
              </w:rPr>
            </w:pPr>
            <w:r>
              <w:rPr>
                <w:b/>
                <w:sz w:val="22"/>
                <w:szCs w:val="22"/>
                <w:highlight w:val="white"/>
              </w:rPr>
            </w:r>
          </w:p>
        </w:tc>
      </w:tr>
      <w:tr>
        <w:trPr>
          <w:trHeight w:val="397" w:hRule="atLeast"/>
        </w:trPr>
        <w:tc>
          <w:tcPr>
            <w:tcW w:w="807" w:type="dxa"/>
            <w:tcBorders>
              <w:top w:val="single" w:sz="4" w:space="0" w:color="000000"/>
              <w:start w:val="single" w:sz="4" w:space="0" w:color="000000"/>
              <w:bottom w:val="single" w:sz="4" w:space="0" w:color="000000"/>
              <w:end w:val="single" w:sz="4" w:space="0" w:color="000000"/>
            </w:tcBorders>
            <w:vAlign w:val="center"/>
          </w:tcPr>
          <w:p>
            <w:pPr>
              <w:pStyle w:val="normal1"/>
              <w:keepNext w:val="true"/>
              <w:widowControl w:val="false"/>
              <w:jc w:val="center"/>
              <w:rPr>
                <w:sz w:val="22"/>
                <w:szCs w:val="22"/>
              </w:rPr>
            </w:pPr>
            <w:r>
              <w:rPr>
                <w:sz w:val="22"/>
                <w:szCs w:val="22"/>
              </w:rPr>
              <w:t>02</w:t>
            </w:r>
          </w:p>
        </w:tc>
        <w:tc>
          <w:tcPr>
            <w:tcW w:w="3522" w:type="dxa"/>
            <w:tcBorders>
              <w:top w:val="single" w:sz="4" w:space="0" w:color="000000"/>
              <w:start w:val="single" w:sz="4" w:space="0" w:color="000000"/>
              <w:bottom w:val="single" w:sz="4" w:space="0" w:color="000000"/>
              <w:end w:val="single" w:sz="4" w:space="0" w:color="000000"/>
            </w:tcBorders>
          </w:tcPr>
          <w:p>
            <w:pPr>
              <w:pStyle w:val="normal1"/>
              <w:widowControl w:val="false"/>
              <w:jc w:val="both"/>
              <w:rPr>
                <w:sz w:val="22"/>
                <w:szCs w:val="22"/>
              </w:rPr>
            </w:pPr>
            <w:r>
              <w:rPr>
                <w:b/>
                <w:sz w:val="22"/>
                <w:szCs w:val="22"/>
              </w:rPr>
              <w:t>Quarto duplo:</w:t>
            </w:r>
            <w:r>
              <w:rPr>
                <w:sz w:val="22"/>
                <w:szCs w:val="22"/>
              </w:rPr>
              <w:t xml:space="preserve"> Acomodação para duas pessoas com banheiro sanitário individual ou coletivo, toalhas e amenidades necessárias ao uso como: papel higiênico, sabonete e shampoo para banho; duas camas padrão de solteiro, ou uma de casal,  lençol, travesseiros e cobertores; armário ou arara para guardar roupas; incluído café da manhã; ventilador, e TV.</w:t>
            </w:r>
          </w:p>
        </w:tc>
        <w:tc>
          <w:tcPr>
            <w:tcW w:w="1323" w:type="dxa"/>
            <w:tcBorders>
              <w:top w:val="single" w:sz="4" w:space="0" w:color="000000"/>
              <w:start w:val="single" w:sz="4" w:space="0" w:color="000000"/>
              <w:bottom w:val="single" w:sz="4" w:space="0" w:color="000000"/>
              <w:end w:val="single" w:sz="4" w:space="0" w:color="000000"/>
            </w:tcBorders>
            <w:vAlign w:val="center"/>
          </w:tcPr>
          <w:p>
            <w:pPr>
              <w:pStyle w:val="normal1"/>
              <w:jc w:val="center"/>
              <w:rPr>
                <w:sz w:val="22"/>
                <w:szCs w:val="22"/>
                <w:highlight w:val="white"/>
              </w:rPr>
            </w:pPr>
            <w:r>
              <w:rPr>
                <w:sz w:val="22"/>
                <w:szCs w:val="22"/>
                <w:highlight w:val="white"/>
              </w:rPr>
              <w:t>DIÁRIA</w:t>
            </w:r>
          </w:p>
        </w:tc>
        <w:tc>
          <w:tcPr>
            <w:tcW w:w="1828" w:type="dxa"/>
            <w:tcBorders>
              <w:top w:val="single" w:sz="4" w:space="0" w:color="000000"/>
              <w:start w:val="single" w:sz="4" w:space="0" w:color="000000"/>
              <w:bottom w:val="single" w:sz="4" w:space="0" w:color="000000"/>
              <w:end w:val="single" w:sz="4" w:space="0" w:color="000000"/>
            </w:tcBorders>
            <w:vAlign w:val="center"/>
          </w:tcPr>
          <w:p>
            <w:pPr>
              <w:pStyle w:val="normal1"/>
              <w:widowControl w:val="false"/>
              <w:jc w:val="center"/>
              <w:rPr>
                <w:sz w:val="22"/>
                <w:szCs w:val="22"/>
                <w:highlight w:val="white"/>
              </w:rPr>
            </w:pPr>
            <w:r>
              <w:rPr>
                <w:sz w:val="22"/>
                <w:szCs w:val="22"/>
                <w:highlight w:val="white"/>
              </w:rPr>
              <w:t>100</w:t>
            </w:r>
          </w:p>
        </w:tc>
        <w:tc>
          <w:tcPr>
            <w:tcW w:w="1808" w:type="dxa"/>
            <w:tcBorders>
              <w:top w:val="single" w:sz="4" w:space="0" w:color="000000"/>
              <w:start w:val="single" w:sz="4" w:space="0" w:color="000000"/>
              <w:bottom w:val="single" w:sz="4" w:space="0" w:color="000000"/>
              <w:end w:val="single" w:sz="4" w:space="0" w:color="000000"/>
            </w:tcBorders>
            <w:vAlign w:val="center"/>
          </w:tcPr>
          <w:p>
            <w:pPr>
              <w:pStyle w:val="normal1"/>
              <w:jc w:val="center"/>
              <w:rPr>
                <w:b/>
                <w:sz w:val="22"/>
                <w:szCs w:val="22"/>
                <w:highlight w:val="white"/>
              </w:rPr>
            </w:pPr>
            <w:r>
              <w:rPr>
                <w:b/>
                <w:sz w:val="22"/>
                <w:szCs w:val="22"/>
                <w:highlight w:val="white"/>
              </w:rPr>
            </w:r>
          </w:p>
        </w:tc>
      </w:tr>
      <w:tr>
        <w:trPr>
          <w:trHeight w:val="397" w:hRule="atLeast"/>
        </w:trPr>
        <w:tc>
          <w:tcPr>
            <w:tcW w:w="807" w:type="dxa"/>
            <w:tcBorders>
              <w:top w:val="single" w:sz="4" w:space="0" w:color="000000"/>
              <w:start w:val="single" w:sz="4" w:space="0" w:color="000000"/>
              <w:bottom w:val="single" w:sz="4" w:space="0" w:color="000000"/>
              <w:end w:val="single" w:sz="4" w:space="0" w:color="000000"/>
            </w:tcBorders>
            <w:vAlign w:val="center"/>
          </w:tcPr>
          <w:p>
            <w:pPr>
              <w:pStyle w:val="normal1"/>
              <w:keepNext w:val="true"/>
              <w:widowControl w:val="false"/>
              <w:jc w:val="center"/>
              <w:rPr>
                <w:sz w:val="22"/>
                <w:szCs w:val="22"/>
              </w:rPr>
            </w:pPr>
            <w:r>
              <w:rPr>
                <w:sz w:val="22"/>
                <w:szCs w:val="22"/>
              </w:rPr>
              <w:t>03</w:t>
            </w:r>
          </w:p>
        </w:tc>
        <w:tc>
          <w:tcPr>
            <w:tcW w:w="3522" w:type="dxa"/>
            <w:tcBorders>
              <w:top w:val="single" w:sz="4" w:space="0" w:color="000000"/>
              <w:start w:val="single" w:sz="4" w:space="0" w:color="000000"/>
              <w:bottom w:val="single" w:sz="4" w:space="0" w:color="000000"/>
              <w:end w:val="single" w:sz="4" w:space="0" w:color="000000"/>
            </w:tcBorders>
          </w:tcPr>
          <w:p>
            <w:pPr>
              <w:pStyle w:val="normal1"/>
              <w:widowControl w:val="false"/>
              <w:jc w:val="both"/>
              <w:rPr>
                <w:sz w:val="22"/>
                <w:szCs w:val="22"/>
              </w:rPr>
            </w:pPr>
            <w:r>
              <w:rPr>
                <w:b/>
                <w:sz w:val="22"/>
                <w:szCs w:val="22"/>
              </w:rPr>
              <w:t>Quarto triplo:</w:t>
            </w:r>
            <w:r>
              <w:rPr>
                <w:sz w:val="22"/>
                <w:szCs w:val="22"/>
              </w:rPr>
              <w:t xml:space="preserve"> Acomodação três pessoas com banheiro sanitário individual ou coletivo, toalhas e amenidades necessárias ao uso como: papel higiênico, sabonete e shampoo para banho; camas dispostas conforme a composição familiar; lençol, travesseiros e cobertores; armário ou arara para guardar roupas; incluído café da manhã; ventilador, e TV.</w:t>
            </w:r>
          </w:p>
        </w:tc>
        <w:tc>
          <w:tcPr>
            <w:tcW w:w="1323" w:type="dxa"/>
            <w:tcBorders>
              <w:top w:val="single" w:sz="4" w:space="0" w:color="000000"/>
              <w:start w:val="single" w:sz="4" w:space="0" w:color="000000"/>
              <w:bottom w:val="single" w:sz="4" w:space="0" w:color="000000"/>
              <w:end w:val="single" w:sz="4" w:space="0" w:color="000000"/>
            </w:tcBorders>
            <w:vAlign w:val="center"/>
          </w:tcPr>
          <w:p>
            <w:pPr>
              <w:pStyle w:val="normal1"/>
              <w:jc w:val="center"/>
              <w:rPr>
                <w:sz w:val="22"/>
                <w:szCs w:val="22"/>
                <w:highlight w:val="white"/>
              </w:rPr>
            </w:pPr>
            <w:r>
              <w:rPr>
                <w:sz w:val="22"/>
                <w:szCs w:val="22"/>
                <w:highlight w:val="white"/>
              </w:rPr>
              <w:t>DIÁRIA</w:t>
            </w:r>
          </w:p>
        </w:tc>
        <w:tc>
          <w:tcPr>
            <w:tcW w:w="1828" w:type="dxa"/>
            <w:tcBorders>
              <w:top w:val="single" w:sz="4" w:space="0" w:color="000000"/>
              <w:start w:val="single" w:sz="4" w:space="0" w:color="000000"/>
              <w:bottom w:val="single" w:sz="4" w:space="0" w:color="000000"/>
              <w:end w:val="single" w:sz="4" w:space="0" w:color="000000"/>
            </w:tcBorders>
            <w:vAlign w:val="center"/>
          </w:tcPr>
          <w:p>
            <w:pPr>
              <w:pStyle w:val="normal1"/>
              <w:widowControl w:val="false"/>
              <w:jc w:val="center"/>
              <w:rPr>
                <w:sz w:val="22"/>
                <w:szCs w:val="22"/>
                <w:highlight w:val="white"/>
              </w:rPr>
            </w:pPr>
            <w:r>
              <w:rPr>
                <w:sz w:val="22"/>
                <w:szCs w:val="22"/>
                <w:highlight w:val="white"/>
              </w:rPr>
              <w:t>250</w:t>
            </w:r>
          </w:p>
        </w:tc>
        <w:tc>
          <w:tcPr>
            <w:tcW w:w="1808" w:type="dxa"/>
            <w:tcBorders>
              <w:top w:val="single" w:sz="4" w:space="0" w:color="000000"/>
              <w:start w:val="single" w:sz="4" w:space="0" w:color="000000"/>
              <w:bottom w:val="single" w:sz="4" w:space="0" w:color="000000"/>
              <w:end w:val="single" w:sz="4" w:space="0" w:color="000000"/>
            </w:tcBorders>
            <w:vAlign w:val="center"/>
          </w:tcPr>
          <w:p>
            <w:pPr>
              <w:pStyle w:val="normal1"/>
              <w:jc w:val="center"/>
              <w:rPr>
                <w:b/>
                <w:sz w:val="22"/>
                <w:szCs w:val="22"/>
                <w:highlight w:val="white"/>
              </w:rPr>
            </w:pPr>
            <w:r>
              <w:rPr>
                <w:b/>
                <w:sz w:val="22"/>
                <w:szCs w:val="22"/>
                <w:highlight w:val="white"/>
              </w:rPr>
            </w:r>
          </w:p>
        </w:tc>
      </w:tr>
      <w:tr>
        <w:trPr>
          <w:trHeight w:val="397" w:hRule="atLeast"/>
        </w:trPr>
        <w:tc>
          <w:tcPr>
            <w:tcW w:w="807" w:type="dxa"/>
            <w:tcBorders>
              <w:top w:val="single" w:sz="4" w:space="0" w:color="000000"/>
              <w:start w:val="single" w:sz="4" w:space="0" w:color="000000"/>
              <w:bottom w:val="single" w:sz="4" w:space="0" w:color="000000"/>
              <w:end w:val="single" w:sz="4" w:space="0" w:color="000000"/>
            </w:tcBorders>
            <w:vAlign w:val="center"/>
          </w:tcPr>
          <w:p>
            <w:pPr>
              <w:pStyle w:val="normal1"/>
              <w:keepNext w:val="true"/>
              <w:widowControl w:val="false"/>
              <w:jc w:val="center"/>
              <w:rPr>
                <w:sz w:val="22"/>
                <w:szCs w:val="22"/>
              </w:rPr>
            </w:pPr>
            <w:r>
              <w:rPr>
                <w:sz w:val="22"/>
                <w:szCs w:val="22"/>
              </w:rPr>
              <w:t>04</w:t>
            </w:r>
          </w:p>
        </w:tc>
        <w:tc>
          <w:tcPr>
            <w:tcW w:w="3522" w:type="dxa"/>
            <w:tcBorders>
              <w:top w:val="single" w:sz="4" w:space="0" w:color="000000"/>
              <w:start w:val="single" w:sz="4" w:space="0" w:color="000000"/>
              <w:bottom w:val="single" w:sz="4" w:space="0" w:color="000000"/>
              <w:end w:val="single" w:sz="4" w:space="0" w:color="000000"/>
            </w:tcBorders>
            <w:vAlign w:val="center"/>
          </w:tcPr>
          <w:p>
            <w:pPr>
              <w:pStyle w:val="normal1"/>
              <w:widowControl w:val="false"/>
              <w:jc w:val="center"/>
              <w:rPr>
                <w:b/>
                <w:sz w:val="22"/>
                <w:szCs w:val="22"/>
              </w:rPr>
            </w:pPr>
            <w:r>
              <w:rPr>
                <w:b/>
                <w:sz w:val="22"/>
                <w:szCs w:val="22"/>
              </w:rPr>
              <w:t>REFEIÇÃO – ALMOÇO</w:t>
            </w:r>
          </w:p>
          <w:p>
            <w:pPr>
              <w:pStyle w:val="normal1"/>
              <w:widowControl w:val="false"/>
              <w:jc w:val="center"/>
              <w:rPr>
                <w:b/>
                <w:sz w:val="22"/>
                <w:szCs w:val="22"/>
              </w:rPr>
            </w:pPr>
            <w:r>
              <w:rPr>
                <w:b/>
                <w:sz w:val="22"/>
                <w:szCs w:val="22"/>
              </w:rPr>
              <w:t xml:space="preserve">CONFORME CARDÁPIO SUGERIDO </w:t>
            </w:r>
          </w:p>
        </w:tc>
        <w:tc>
          <w:tcPr>
            <w:tcW w:w="1323" w:type="dxa"/>
            <w:tcBorders>
              <w:top w:val="single" w:sz="4" w:space="0" w:color="000000"/>
              <w:start w:val="single" w:sz="4" w:space="0" w:color="000000"/>
              <w:bottom w:val="single" w:sz="4" w:space="0" w:color="000000"/>
              <w:end w:val="single" w:sz="4" w:space="0" w:color="000000"/>
            </w:tcBorders>
            <w:vAlign w:val="center"/>
          </w:tcPr>
          <w:p>
            <w:pPr>
              <w:pStyle w:val="normal1"/>
              <w:jc w:val="center"/>
              <w:rPr>
                <w:sz w:val="22"/>
                <w:szCs w:val="22"/>
                <w:highlight w:val="white"/>
              </w:rPr>
            </w:pPr>
            <w:r>
              <w:rPr>
                <w:sz w:val="22"/>
                <w:szCs w:val="22"/>
                <w:highlight w:val="white"/>
              </w:rPr>
              <w:t>UNIDADE</w:t>
            </w:r>
          </w:p>
        </w:tc>
        <w:tc>
          <w:tcPr>
            <w:tcW w:w="1828" w:type="dxa"/>
            <w:tcBorders>
              <w:top w:val="single" w:sz="4" w:space="0" w:color="000000"/>
              <w:start w:val="single" w:sz="4" w:space="0" w:color="000000"/>
              <w:bottom w:val="single" w:sz="4" w:space="0" w:color="000000"/>
              <w:end w:val="single" w:sz="4" w:space="0" w:color="000000"/>
            </w:tcBorders>
            <w:vAlign w:val="center"/>
          </w:tcPr>
          <w:p>
            <w:pPr>
              <w:pStyle w:val="normal1"/>
              <w:widowControl w:val="false"/>
              <w:jc w:val="center"/>
              <w:rPr>
                <w:sz w:val="22"/>
                <w:szCs w:val="22"/>
                <w:highlight w:val="white"/>
              </w:rPr>
            </w:pPr>
            <w:r>
              <w:rPr>
                <w:sz w:val="22"/>
                <w:szCs w:val="22"/>
                <w:highlight w:val="white"/>
              </w:rPr>
              <w:t>1000</w:t>
            </w:r>
          </w:p>
        </w:tc>
        <w:tc>
          <w:tcPr>
            <w:tcW w:w="1808" w:type="dxa"/>
            <w:tcBorders>
              <w:top w:val="single" w:sz="4" w:space="0" w:color="000000"/>
              <w:start w:val="single" w:sz="4" w:space="0" w:color="000000"/>
              <w:bottom w:val="single" w:sz="4" w:space="0" w:color="000000"/>
              <w:end w:val="single" w:sz="4" w:space="0" w:color="000000"/>
            </w:tcBorders>
            <w:vAlign w:val="center"/>
          </w:tcPr>
          <w:p>
            <w:pPr>
              <w:pStyle w:val="normal1"/>
              <w:jc w:val="center"/>
              <w:rPr>
                <w:b/>
                <w:sz w:val="22"/>
                <w:szCs w:val="22"/>
                <w:highlight w:val="white"/>
              </w:rPr>
            </w:pPr>
            <w:r>
              <w:rPr>
                <w:b/>
                <w:sz w:val="22"/>
                <w:szCs w:val="22"/>
                <w:highlight w:val="white"/>
              </w:rPr>
            </w:r>
          </w:p>
        </w:tc>
      </w:tr>
      <w:tr>
        <w:trPr>
          <w:trHeight w:val="397" w:hRule="atLeast"/>
        </w:trPr>
        <w:tc>
          <w:tcPr>
            <w:tcW w:w="807" w:type="dxa"/>
            <w:tcBorders>
              <w:top w:val="single" w:sz="4" w:space="0" w:color="000000"/>
              <w:start w:val="single" w:sz="4" w:space="0" w:color="000000"/>
              <w:bottom w:val="single" w:sz="4" w:space="0" w:color="000000"/>
              <w:end w:val="single" w:sz="4" w:space="0" w:color="000000"/>
            </w:tcBorders>
            <w:vAlign w:val="center"/>
          </w:tcPr>
          <w:p>
            <w:pPr>
              <w:pStyle w:val="normal1"/>
              <w:keepNext w:val="true"/>
              <w:widowControl w:val="false"/>
              <w:jc w:val="center"/>
              <w:rPr>
                <w:sz w:val="22"/>
                <w:szCs w:val="22"/>
              </w:rPr>
            </w:pPr>
            <w:r>
              <w:rPr>
                <w:sz w:val="22"/>
                <w:szCs w:val="22"/>
              </w:rPr>
              <w:t>05</w:t>
            </w:r>
          </w:p>
        </w:tc>
        <w:tc>
          <w:tcPr>
            <w:tcW w:w="3522" w:type="dxa"/>
            <w:tcBorders>
              <w:top w:val="single" w:sz="4" w:space="0" w:color="000000"/>
              <w:start w:val="single" w:sz="4" w:space="0" w:color="000000"/>
              <w:bottom w:val="single" w:sz="4" w:space="0" w:color="000000"/>
              <w:end w:val="single" w:sz="4" w:space="0" w:color="000000"/>
            </w:tcBorders>
            <w:vAlign w:val="center"/>
          </w:tcPr>
          <w:p>
            <w:pPr>
              <w:pStyle w:val="normal1"/>
              <w:widowControl w:val="false"/>
              <w:jc w:val="center"/>
              <w:rPr>
                <w:b/>
                <w:sz w:val="22"/>
                <w:szCs w:val="22"/>
              </w:rPr>
            </w:pPr>
            <w:r>
              <w:rPr>
                <w:b/>
                <w:sz w:val="22"/>
                <w:szCs w:val="22"/>
              </w:rPr>
              <w:t>REFEIÇÃO – CAFÉ DA TARDE</w:t>
            </w:r>
          </w:p>
          <w:p>
            <w:pPr>
              <w:pStyle w:val="normal1"/>
              <w:widowControl w:val="false"/>
              <w:jc w:val="center"/>
              <w:rPr>
                <w:b/>
                <w:sz w:val="22"/>
                <w:szCs w:val="22"/>
              </w:rPr>
            </w:pPr>
            <w:r>
              <w:rPr>
                <w:b/>
                <w:sz w:val="22"/>
                <w:szCs w:val="22"/>
              </w:rPr>
              <w:t>CONFORME CARDÁPIO SUGERIDO</w:t>
            </w:r>
          </w:p>
        </w:tc>
        <w:tc>
          <w:tcPr>
            <w:tcW w:w="1323" w:type="dxa"/>
            <w:tcBorders>
              <w:top w:val="single" w:sz="4" w:space="0" w:color="000000"/>
              <w:start w:val="single" w:sz="4" w:space="0" w:color="000000"/>
              <w:bottom w:val="single" w:sz="4" w:space="0" w:color="000000"/>
              <w:end w:val="single" w:sz="4" w:space="0" w:color="000000"/>
            </w:tcBorders>
            <w:vAlign w:val="center"/>
          </w:tcPr>
          <w:p>
            <w:pPr>
              <w:pStyle w:val="normal1"/>
              <w:jc w:val="center"/>
              <w:rPr>
                <w:sz w:val="22"/>
                <w:szCs w:val="22"/>
                <w:highlight w:val="white"/>
              </w:rPr>
            </w:pPr>
            <w:r>
              <w:rPr>
                <w:sz w:val="22"/>
                <w:szCs w:val="22"/>
                <w:highlight w:val="white"/>
              </w:rPr>
              <w:t>UNIDADE</w:t>
            </w:r>
          </w:p>
        </w:tc>
        <w:tc>
          <w:tcPr>
            <w:tcW w:w="1828" w:type="dxa"/>
            <w:tcBorders>
              <w:top w:val="single" w:sz="4" w:space="0" w:color="000000"/>
              <w:start w:val="single" w:sz="4" w:space="0" w:color="000000"/>
              <w:bottom w:val="single" w:sz="4" w:space="0" w:color="000000"/>
              <w:end w:val="single" w:sz="4" w:space="0" w:color="000000"/>
            </w:tcBorders>
            <w:vAlign w:val="center"/>
          </w:tcPr>
          <w:p>
            <w:pPr>
              <w:pStyle w:val="normal1"/>
              <w:widowControl w:val="false"/>
              <w:jc w:val="center"/>
              <w:rPr>
                <w:sz w:val="22"/>
                <w:szCs w:val="22"/>
                <w:highlight w:val="white"/>
              </w:rPr>
            </w:pPr>
            <w:r>
              <w:rPr>
                <w:sz w:val="22"/>
                <w:szCs w:val="22"/>
                <w:highlight w:val="white"/>
              </w:rPr>
              <w:t>1000</w:t>
            </w:r>
          </w:p>
        </w:tc>
        <w:tc>
          <w:tcPr>
            <w:tcW w:w="1808" w:type="dxa"/>
            <w:tcBorders>
              <w:top w:val="single" w:sz="4" w:space="0" w:color="000000"/>
              <w:start w:val="single" w:sz="4" w:space="0" w:color="000000"/>
              <w:bottom w:val="single" w:sz="4" w:space="0" w:color="000000"/>
              <w:end w:val="single" w:sz="4" w:space="0" w:color="000000"/>
            </w:tcBorders>
            <w:vAlign w:val="center"/>
          </w:tcPr>
          <w:p>
            <w:pPr>
              <w:pStyle w:val="normal1"/>
              <w:jc w:val="center"/>
              <w:rPr>
                <w:b/>
                <w:sz w:val="22"/>
                <w:szCs w:val="22"/>
                <w:highlight w:val="white"/>
              </w:rPr>
            </w:pPr>
            <w:r>
              <w:rPr>
                <w:b/>
                <w:sz w:val="22"/>
                <w:szCs w:val="22"/>
                <w:highlight w:val="white"/>
              </w:rPr>
            </w:r>
          </w:p>
        </w:tc>
      </w:tr>
      <w:tr>
        <w:trPr>
          <w:trHeight w:val="397" w:hRule="atLeast"/>
        </w:trPr>
        <w:tc>
          <w:tcPr>
            <w:tcW w:w="807" w:type="dxa"/>
            <w:tcBorders>
              <w:top w:val="single" w:sz="4" w:space="0" w:color="000000"/>
              <w:start w:val="single" w:sz="4" w:space="0" w:color="000000"/>
              <w:bottom w:val="single" w:sz="4" w:space="0" w:color="000000"/>
              <w:end w:val="single" w:sz="4" w:space="0" w:color="000000"/>
            </w:tcBorders>
            <w:vAlign w:val="center"/>
          </w:tcPr>
          <w:p>
            <w:pPr>
              <w:pStyle w:val="normal1"/>
              <w:keepNext w:val="true"/>
              <w:widowControl w:val="false"/>
              <w:jc w:val="center"/>
              <w:rPr>
                <w:sz w:val="22"/>
                <w:szCs w:val="22"/>
              </w:rPr>
            </w:pPr>
            <w:r>
              <w:rPr>
                <w:sz w:val="22"/>
                <w:szCs w:val="22"/>
              </w:rPr>
              <w:t>06</w:t>
            </w:r>
          </w:p>
        </w:tc>
        <w:tc>
          <w:tcPr>
            <w:tcW w:w="3522" w:type="dxa"/>
            <w:tcBorders>
              <w:top w:val="single" w:sz="4" w:space="0" w:color="000000"/>
              <w:start w:val="single" w:sz="4" w:space="0" w:color="000000"/>
              <w:bottom w:val="single" w:sz="4" w:space="0" w:color="000000"/>
              <w:end w:val="single" w:sz="4" w:space="0" w:color="000000"/>
            </w:tcBorders>
            <w:vAlign w:val="center"/>
          </w:tcPr>
          <w:p>
            <w:pPr>
              <w:pStyle w:val="normal1"/>
              <w:widowControl w:val="false"/>
              <w:jc w:val="center"/>
              <w:rPr>
                <w:b/>
                <w:sz w:val="22"/>
                <w:szCs w:val="22"/>
              </w:rPr>
            </w:pPr>
            <w:r>
              <w:rPr>
                <w:b/>
                <w:sz w:val="22"/>
                <w:szCs w:val="22"/>
              </w:rPr>
              <w:t>REFEIÇÃO – JANTAR</w:t>
            </w:r>
          </w:p>
          <w:p>
            <w:pPr>
              <w:pStyle w:val="normal1"/>
              <w:widowControl w:val="false"/>
              <w:jc w:val="center"/>
              <w:rPr>
                <w:b/>
                <w:sz w:val="22"/>
                <w:szCs w:val="22"/>
              </w:rPr>
            </w:pPr>
            <w:r>
              <w:rPr>
                <w:b/>
                <w:sz w:val="22"/>
                <w:szCs w:val="22"/>
              </w:rPr>
              <w:t>CONFORME CARDÁPIO SUGERIDO</w:t>
            </w:r>
          </w:p>
        </w:tc>
        <w:tc>
          <w:tcPr>
            <w:tcW w:w="1323" w:type="dxa"/>
            <w:tcBorders>
              <w:top w:val="single" w:sz="4" w:space="0" w:color="000000"/>
              <w:start w:val="single" w:sz="4" w:space="0" w:color="000000"/>
              <w:bottom w:val="single" w:sz="4" w:space="0" w:color="000000"/>
              <w:end w:val="single" w:sz="4" w:space="0" w:color="000000"/>
            </w:tcBorders>
            <w:vAlign w:val="center"/>
          </w:tcPr>
          <w:p>
            <w:pPr>
              <w:pStyle w:val="normal1"/>
              <w:jc w:val="center"/>
              <w:rPr>
                <w:sz w:val="22"/>
                <w:szCs w:val="22"/>
                <w:highlight w:val="white"/>
              </w:rPr>
            </w:pPr>
            <w:r>
              <w:rPr>
                <w:sz w:val="22"/>
                <w:szCs w:val="22"/>
                <w:highlight w:val="white"/>
              </w:rPr>
              <w:t>UNIDADE</w:t>
            </w:r>
          </w:p>
        </w:tc>
        <w:tc>
          <w:tcPr>
            <w:tcW w:w="1828" w:type="dxa"/>
            <w:tcBorders>
              <w:top w:val="single" w:sz="4" w:space="0" w:color="000000"/>
              <w:start w:val="single" w:sz="4" w:space="0" w:color="000000"/>
              <w:bottom w:val="single" w:sz="4" w:space="0" w:color="000000"/>
              <w:end w:val="single" w:sz="4" w:space="0" w:color="000000"/>
            </w:tcBorders>
            <w:vAlign w:val="center"/>
          </w:tcPr>
          <w:p>
            <w:pPr>
              <w:pStyle w:val="normal1"/>
              <w:widowControl w:val="false"/>
              <w:jc w:val="center"/>
              <w:rPr>
                <w:sz w:val="22"/>
                <w:szCs w:val="22"/>
                <w:highlight w:val="white"/>
              </w:rPr>
            </w:pPr>
            <w:r>
              <w:rPr>
                <w:sz w:val="22"/>
                <w:szCs w:val="22"/>
                <w:highlight w:val="white"/>
              </w:rPr>
              <w:t>1000</w:t>
            </w:r>
          </w:p>
        </w:tc>
        <w:tc>
          <w:tcPr>
            <w:tcW w:w="1808" w:type="dxa"/>
            <w:tcBorders>
              <w:top w:val="single" w:sz="4" w:space="0" w:color="000000"/>
              <w:start w:val="single" w:sz="4" w:space="0" w:color="000000"/>
              <w:bottom w:val="single" w:sz="4" w:space="0" w:color="000000"/>
              <w:end w:val="single" w:sz="4" w:space="0" w:color="000000"/>
            </w:tcBorders>
            <w:vAlign w:val="center"/>
          </w:tcPr>
          <w:p>
            <w:pPr>
              <w:pStyle w:val="normal1"/>
              <w:jc w:val="center"/>
              <w:rPr>
                <w:b/>
                <w:sz w:val="22"/>
                <w:szCs w:val="22"/>
                <w:highlight w:val="white"/>
              </w:rPr>
            </w:pPr>
            <w:r>
              <w:rPr>
                <w:b/>
                <w:sz w:val="22"/>
                <w:szCs w:val="22"/>
                <w:highlight w:val="white"/>
              </w:rPr>
            </w:r>
          </w:p>
        </w:tc>
      </w:tr>
    </w:tbl>
    <w:p>
      <w:pPr>
        <w:pStyle w:val="normal1"/>
        <w:spacing w:lineRule="auto" w:line="276"/>
        <w:rPr>
          <w:b/>
          <w:sz w:val="22"/>
          <w:szCs w:val="22"/>
          <w:highlight w:val="white"/>
        </w:rPr>
      </w:pPr>
      <w:r>
        <w:rPr>
          <w:b/>
          <w:sz w:val="22"/>
          <w:szCs w:val="22"/>
          <w:highlight w:val="white"/>
        </w:rPr>
      </w:r>
    </w:p>
    <w:p>
      <w:pPr>
        <w:pStyle w:val="normal1"/>
        <w:spacing w:lineRule="auto" w:line="276"/>
        <w:rPr>
          <w:b/>
          <w:sz w:val="22"/>
          <w:szCs w:val="22"/>
          <w:highlight w:val="white"/>
        </w:rPr>
      </w:pPr>
      <w:r>
        <w:rPr>
          <w:b/>
          <w:sz w:val="22"/>
          <w:szCs w:val="22"/>
          <w:highlight w:val="white"/>
        </w:rPr>
      </w:r>
    </w:p>
    <w:p>
      <w:pPr>
        <w:pStyle w:val="normal1"/>
        <w:spacing w:lineRule="auto" w:line="276"/>
        <w:rPr>
          <w:b/>
          <w:sz w:val="22"/>
          <w:szCs w:val="22"/>
          <w:highlight w:val="white"/>
        </w:rPr>
      </w:pPr>
      <w:r>
        <w:rPr>
          <w:b/>
          <w:sz w:val="22"/>
          <w:szCs w:val="22"/>
          <w:highlight w:val="white"/>
        </w:rPr>
      </w:r>
    </w:p>
    <w:p>
      <w:pPr>
        <w:pStyle w:val="normal1"/>
        <w:spacing w:lineRule="auto" w:line="276"/>
        <w:rPr>
          <w:b/>
          <w:sz w:val="22"/>
          <w:szCs w:val="22"/>
          <w:highlight w:val="white"/>
        </w:rPr>
      </w:pPr>
      <w:r>
        <w:rPr>
          <w:b/>
          <w:sz w:val="22"/>
          <w:szCs w:val="22"/>
          <w:highlight w:val="white"/>
        </w:rPr>
      </w:r>
    </w:p>
    <w:p>
      <w:pPr>
        <w:pStyle w:val="normal1"/>
        <w:spacing w:lineRule="auto" w:line="276"/>
        <w:jc w:val="end"/>
        <w:rPr>
          <w:b/>
          <w:sz w:val="22"/>
          <w:szCs w:val="22"/>
          <w:highlight w:val="white"/>
        </w:rPr>
      </w:pPr>
      <w:r>
        <w:rPr>
          <w:b/>
          <w:sz w:val="22"/>
          <w:szCs w:val="22"/>
          <w:highlight w:val="white"/>
        </w:rPr>
        <w:t>Florianópolis, [DIA] de [MÊS] de [ANO].</w:t>
      </w:r>
    </w:p>
    <w:p>
      <w:pPr>
        <w:pStyle w:val="normal1"/>
        <w:spacing w:lineRule="auto" w:line="276"/>
        <w:rPr>
          <w:b/>
          <w:sz w:val="22"/>
          <w:szCs w:val="22"/>
          <w:highlight w:val="white"/>
        </w:rPr>
      </w:pPr>
      <w:r>
        <w:rPr>
          <w:b/>
          <w:sz w:val="22"/>
          <w:szCs w:val="22"/>
          <w:highlight w:val="white"/>
        </w:rPr>
      </w:r>
    </w:p>
    <w:p>
      <w:pPr>
        <w:pStyle w:val="normal1"/>
        <w:spacing w:lineRule="auto" w:line="276"/>
        <w:rPr>
          <w:b/>
          <w:sz w:val="22"/>
          <w:szCs w:val="22"/>
          <w:highlight w:val="white"/>
        </w:rPr>
      </w:pPr>
      <w:r>
        <w:rPr>
          <w:b/>
          <w:sz w:val="22"/>
          <w:szCs w:val="22"/>
          <w:highlight w:val="white"/>
        </w:rPr>
      </w:r>
    </w:p>
    <w:p>
      <w:pPr>
        <w:pStyle w:val="normal1"/>
        <w:spacing w:lineRule="auto" w:line="360"/>
        <w:jc w:val="center"/>
        <w:rPr>
          <w:b/>
          <w:sz w:val="22"/>
          <w:szCs w:val="22"/>
          <w:highlight w:val="white"/>
        </w:rPr>
      </w:pPr>
      <w:r>
        <w:rPr>
          <w:b/>
          <w:sz w:val="22"/>
          <w:szCs w:val="22"/>
          <w:highlight w:val="white"/>
        </w:rPr>
        <w:t>[ASSINATURA E DADOS DO REPRESENTANTE LEGAL]</w:t>
      </w:r>
    </w:p>
    <w:p>
      <w:pPr>
        <w:pStyle w:val="normal1"/>
        <w:spacing w:lineRule="auto" w:line="360"/>
        <w:jc w:val="center"/>
        <w:rPr>
          <w:b/>
          <w:sz w:val="22"/>
          <w:szCs w:val="22"/>
          <w:highlight w:val="white"/>
        </w:rPr>
      </w:pPr>
      <w:r>
        <w:rPr>
          <w:b/>
          <w:sz w:val="22"/>
          <w:szCs w:val="22"/>
          <w:highlight w:val="white"/>
        </w:rPr>
        <w:t>Nome:</w:t>
      </w:r>
    </w:p>
    <w:p>
      <w:pPr>
        <w:sectPr>
          <w:headerReference w:type="default" r:id="rId19"/>
          <w:headerReference w:type="first" r:id="rId20"/>
          <w:footerReference w:type="default" r:id="rId21"/>
          <w:footerReference w:type="first" r:id="rId22"/>
          <w:type w:val="nextPage"/>
          <w:pgSz w:w="11906" w:h="16838"/>
          <w:pgMar w:left="1134" w:right="1134" w:gutter="0" w:header="709" w:top="1701" w:footer="437" w:bottom="1134"/>
          <w:pgNumType w:start="1" w:fmt="decimal"/>
          <w:formProt w:val="false"/>
          <w:textDirection w:val="lrTb"/>
          <w:docGrid w:type="default" w:linePitch="100" w:charSpace="0"/>
        </w:sectPr>
        <w:pStyle w:val="normal1"/>
        <w:spacing w:lineRule="auto" w:line="360"/>
        <w:jc w:val="center"/>
        <w:rPr>
          <w:b/>
          <w:sz w:val="22"/>
          <w:szCs w:val="22"/>
          <w:highlight w:val="white"/>
        </w:rPr>
      </w:pPr>
      <w:r>
        <w:rPr>
          <w:b/>
          <w:sz w:val="22"/>
          <w:szCs w:val="22"/>
          <w:highlight w:val="white"/>
        </w:rPr>
        <w:t>CPF:</w:t>
      </w:r>
    </w:p>
    <w:p>
      <w:pPr>
        <w:pStyle w:val="normal1"/>
        <w:spacing w:lineRule="auto" w:line="360"/>
        <w:jc w:val="center"/>
        <w:rPr>
          <w:b w:val="false"/>
          <w:position w:val="0"/>
          <w:sz w:val="22"/>
          <w:sz w:val="22"/>
          <w:szCs w:val="22"/>
          <w:vertAlign w:val="baseline"/>
        </w:rPr>
      </w:pPr>
      <w:r>
        <w:rPr>
          <w:b/>
          <w:position w:val="0"/>
          <w:sz w:val="22"/>
          <w:sz w:val="22"/>
          <w:szCs w:val="22"/>
          <w:vertAlign w:val="baseline"/>
        </w:rPr>
        <w:t>ANEXO II – Minuta de contrato</w:t>
      </w:r>
    </w:p>
    <w:p>
      <w:pPr>
        <w:pStyle w:val="normal1"/>
        <w:spacing w:lineRule="auto" w:line="360"/>
        <w:jc w:val="center"/>
        <w:rPr>
          <w:position w:val="0"/>
          <w:sz w:val="22"/>
          <w:sz w:val="22"/>
          <w:szCs w:val="22"/>
          <w:vertAlign w:val="baseline"/>
        </w:rPr>
      </w:pPr>
      <w:r>
        <w:rPr>
          <w:position w:val="0"/>
          <w:sz w:val="22"/>
          <w:sz w:val="22"/>
          <w:szCs w:val="22"/>
          <w:vertAlign w:val="baseline"/>
        </w:rPr>
      </w:r>
    </w:p>
    <w:p>
      <w:pPr>
        <w:pStyle w:val="normal1"/>
        <w:tabs>
          <w:tab w:val="clear" w:pos="720"/>
          <w:tab w:val="left" w:pos="284" w:leader="none"/>
        </w:tabs>
        <w:spacing w:lineRule="auto" w:line="360" w:before="120" w:after="120"/>
        <w:jc w:val="center"/>
        <w:rPr>
          <w:b w:val="false"/>
          <w:color w:val="000000"/>
          <w:position w:val="0"/>
          <w:sz w:val="22"/>
          <w:sz w:val="22"/>
          <w:szCs w:val="22"/>
          <w:vertAlign w:val="baseline"/>
        </w:rPr>
      </w:pPr>
      <w:r>
        <w:rPr>
          <w:b/>
          <w:color w:val="000000"/>
          <w:position w:val="0"/>
          <w:sz w:val="22"/>
          <w:sz w:val="22"/>
          <w:szCs w:val="22"/>
          <w:vertAlign w:val="baseline"/>
        </w:rPr>
        <w:t>CONTRATO DE PRESTAÇÃO DE SERVIÇOS</w:t>
      </w:r>
    </w:p>
    <w:p>
      <w:pPr>
        <w:pStyle w:val="normal1"/>
        <w:keepNext w:val="false"/>
        <w:keepLines w:val="false"/>
        <w:pageBreakBefore w:val="false"/>
        <w:widowControl/>
        <w:pBdr/>
        <w:shd w:val="clear" w:fill="auto"/>
        <w:spacing w:lineRule="auto" w:line="360" w:before="480" w:after="120"/>
        <w:ind w:hanging="0" w:start="3402" w:end="0"/>
        <w:jc w:val="both"/>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b/>
          <w:i w:val="false"/>
          <w:caps w:val="false"/>
          <w:smallCaps w:val="false"/>
          <w:strike w:val="false"/>
          <w:dstrike w:val="false"/>
          <w:color w:val="000000"/>
          <w:position w:val="0"/>
          <w:sz w:val="22"/>
          <w:sz w:val="22"/>
          <w:szCs w:val="22"/>
          <w:u w:val="none"/>
          <w:shd w:fill="auto" w:val="clear"/>
          <w:vertAlign w:val="baseline"/>
        </w:rPr>
        <w:t xml:space="preserve">CONTRATO ADMINISTRATIVO N.º ......../...., QUE FAZEM ENTRE SI A PREFEITURA MUNICIPAL DE FLORIANÓPOLIS, POR INTERMÉDIO DO (A) ......................................................... E ......................................................... </w:t>
      </w:r>
    </w:p>
    <w:p>
      <w:pPr>
        <w:pStyle w:val="normal1"/>
        <w:spacing w:lineRule="auto" w:line="360" w:before="120" w:after="120"/>
        <w:jc w:val="both"/>
        <w:rPr>
          <w:b/>
          <w:sz w:val="22"/>
          <w:szCs w:val="22"/>
        </w:rPr>
      </w:pPr>
      <w:r>
        <w:rPr>
          <w:color w:val="000000"/>
          <w:position w:val="0"/>
          <w:sz w:val="22"/>
          <w:sz w:val="22"/>
          <w:szCs w:val="22"/>
          <w:vertAlign w:val="baseline"/>
        </w:rPr>
        <w:t>A PREFEITURA MUNICIPAL DE FLORIANÓPOLIS</w:t>
      </w:r>
      <w:r>
        <w:rPr>
          <w:position w:val="0"/>
          <w:sz w:val="22"/>
          <w:sz w:val="22"/>
          <w:szCs w:val="22"/>
          <w:vertAlign w:val="baseline"/>
        </w:rPr>
        <w:t xml:space="preserve"> por intermédio do(a) .................................... (órgão </w:t>
      </w:r>
      <w:r>
        <w:rPr>
          <w:b/>
          <w:position w:val="0"/>
          <w:sz w:val="22"/>
          <w:sz w:val="22"/>
          <w:szCs w:val="22"/>
          <w:vertAlign w:val="baseline"/>
        </w:rPr>
        <w:t>CONTRATANTE</w:t>
      </w:r>
      <w:r>
        <w:rPr>
          <w:position w:val="0"/>
          <w:sz w:val="22"/>
          <w:sz w:val="22"/>
          <w:szCs w:val="22"/>
          <w:vertAlign w:val="baseline"/>
        </w:rPr>
        <w:t xml:space="preserve">), com sede no(a) ....................................................., na cidade de ...................................... /Estado ..., inscrito(a) no CNPJ sob o n.º ................................, neste ato representado(a) pelo(a) ......................... (cargo e nome), nomeado(a) pela Portaria n.º ......, de .....de..................... de 20..., publicada no DOU de .....de............... de ..........., portador da Matrícula Funcional n.º .........., doravante denominado </w:t>
      </w:r>
      <w:r>
        <w:rPr>
          <w:b/>
          <w:position w:val="0"/>
          <w:sz w:val="22"/>
          <w:sz w:val="22"/>
          <w:szCs w:val="22"/>
          <w:vertAlign w:val="baseline"/>
        </w:rPr>
        <w:t>CONTRATANTE</w:t>
      </w:r>
      <w:r>
        <w:rPr>
          <w:position w:val="0"/>
          <w:sz w:val="22"/>
          <w:sz w:val="22"/>
          <w:szCs w:val="22"/>
          <w:vertAlign w:val="baseline"/>
        </w:rPr>
        <w:t xml:space="preserve">, e o(a) ..............................,inscrito(a) no CNPJ/MF sob o n.º ............................, sediado(a) na..................................., em.............................doravante designado </w:t>
      </w:r>
      <w:r>
        <w:rPr>
          <w:b/>
          <w:position w:val="0"/>
          <w:sz w:val="22"/>
          <w:sz w:val="22"/>
          <w:szCs w:val="22"/>
          <w:vertAlign w:val="baseline"/>
        </w:rPr>
        <w:t>CONTRATADO</w:t>
      </w:r>
      <w:r>
        <w:rPr>
          <w:position w:val="0"/>
          <w:sz w:val="22"/>
          <w:sz w:val="22"/>
          <w:szCs w:val="22"/>
          <w:vertAlign w:val="baseline"/>
        </w:rPr>
        <w:t xml:space="preserve">, neste ato representado(a) por.................................. (nome e função do </w:t>
      </w:r>
      <w:r>
        <w:rPr>
          <w:b/>
          <w:position w:val="0"/>
          <w:sz w:val="22"/>
          <w:sz w:val="22"/>
          <w:szCs w:val="22"/>
          <w:vertAlign w:val="baseline"/>
        </w:rPr>
        <w:t>CONTRATADO</w:t>
      </w:r>
      <w:r>
        <w:rPr>
          <w:position w:val="0"/>
          <w:sz w:val="22"/>
          <w:sz w:val="22"/>
          <w:szCs w:val="22"/>
          <w:vertAlign w:val="baseline"/>
        </w:rPr>
        <w:t xml:space="preserve">), conforme atos constitutivos da empresa </w:t>
      </w:r>
      <w:r>
        <w:rPr>
          <w:b/>
          <w:position w:val="0"/>
          <w:sz w:val="22"/>
          <w:sz w:val="22"/>
          <w:szCs w:val="22"/>
          <w:vertAlign w:val="baseline"/>
        </w:rPr>
        <w:t>OU</w:t>
      </w:r>
      <w:r>
        <w:rPr>
          <w:position w:val="0"/>
          <w:sz w:val="22"/>
          <w:sz w:val="22"/>
          <w:szCs w:val="22"/>
          <w:vertAlign w:val="baseline"/>
        </w:rPr>
        <w:t xml:space="preserve"> procuração apresentada nos autos, tendo em vista o que consta no Processo n.º.............................. e em observância às disposições da Lei n.º 14.133, de 1º de abril de 2021, e demais legislação aplicável, resolvem celebrar o presente Termo de Contrato, decorrente do Credenciamento n.º </w:t>
      </w:r>
      <w:r>
        <w:rPr>
          <w:sz w:val="22"/>
          <w:szCs w:val="22"/>
        </w:rPr>
        <w:t>272</w:t>
      </w:r>
      <w:r>
        <w:rPr>
          <w:position w:val="0"/>
          <w:sz w:val="22"/>
          <w:sz w:val="22"/>
          <w:szCs w:val="22"/>
          <w:vertAlign w:val="baseline"/>
        </w:rPr>
        <w:t>/202</w:t>
      </w:r>
      <w:r>
        <w:rPr>
          <w:sz w:val="22"/>
          <w:szCs w:val="22"/>
        </w:rPr>
        <w:t>5</w:t>
      </w:r>
      <w:r>
        <w:rPr>
          <w:position w:val="0"/>
          <w:sz w:val="22"/>
          <w:sz w:val="22"/>
          <w:szCs w:val="22"/>
          <w:vertAlign w:val="baseline"/>
        </w:rPr>
        <w:t>, mediante as cláusulas e condições a seguir enunciadas.</w:t>
      </w:r>
      <w:r>
        <w:rPr>
          <w:b/>
          <w:sz w:val="22"/>
          <w:szCs w:val="22"/>
        </w:rPr>
        <w:t xml:space="preserve"> </w:t>
      </w:r>
    </w:p>
    <w:p>
      <w:pPr>
        <w:pStyle w:val="normal1"/>
        <w:numPr>
          <w:ilvl w:val="0"/>
          <w:numId w:val="27"/>
        </w:numPr>
        <w:spacing w:lineRule="auto" w:line="360" w:before="120" w:after="0"/>
        <w:ind w:hanging="360" w:start="720"/>
        <w:jc w:val="both"/>
        <w:rPr>
          <w:rFonts w:ascii="Arial" w:hAnsi="Arial" w:eastAsia="Arial" w:cs="Arial"/>
          <w:b/>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b/>
          <w:i w:val="false"/>
          <w:caps w:val="false"/>
          <w:smallCaps w:val="false"/>
          <w:strike w:val="false"/>
          <w:dstrike w:val="false"/>
          <w:color w:val="000000"/>
          <w:position w:val="0"/>
          <w:sz w:val="22"/>
          <w:sz w:val="22"/>
          <w:szCs w:val="22"/>
          <w:u w:val="none"/>
          <w:shd w:fill="auto" w:val="clear"/>
          <w:vertAlign w:val="baseline"/>
        </w:rPr>
        <w:t xml:space="preserve">CLÁUSULA PRIMEIRA – OBJETO </w:t>
      </w:r>
    </w:p>
    <w:p>
      <w:pPr>
        <w:pStyle w:val="normal1"/>
        <w:numPr>
          <w:ilvl w:val="1"/>
          <w:numId w:val="27"/>
        </w:numPr>
        <w:spacing w:lineRule="auto" w:line="360" w:before="0" w:after="0"/>
        <w:ind w:hanging="360" w:start="1440"/>
        <w:jc w:val="both"/>
        <w:rPr>
          <w:rFonts w:ascii="Arial" w:hAnsi="Arial" w:eastAsia="Arial" w:cs="Arial"/>
          <w:b/>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Constitui objeto do presente contrato </w:t>
      </w:r>
      <w:r>
        <w:rPr>
          <w:sz w:val="22"/>
          <w:szCs w:val="22"/>
        </w:rPr>
        <w:t>a contratação de instituições especializadas na prestação de serviços de hospedagem, com fornecimento de alimentação a indivíduos e famílias que não se enquadrem nas possibilidades de acolhimento nos equipamentos atualmente existentes na rede de assistência social do município</w:t>
      </w:r>
      <w:r>
        <w:rPr>
          <w:rFonts w:eastAsia="Arial" w:cs="Arial"/>
          <w:b w:val="false"/>
          <w:i w:val="false"/>
          <w:caps w:val="false"/>
          <w:smallCaps w:val="false"/>
          <w:strike w:val="false"/>
          <w:dstrike w:val="false"/>
          <w:color w:val="000000"/>
          <w:position w:val="0"/>
          <w:sz w:val="22"/>
          <w:sz w:val="22"/>
          <w:szCs w:val="22"/>
          <w:u w:val="none"/>
          <w:vertAlign w:val="baseline"/>
        </w:rPr>
        <w:t>.</w:t>
      </w:r>
    </w:p>
    <w:p>
      <w:pPr>
        <w:pStyle w:val="normal1"/>
        <w:numPr>
          <w:ilvl w:val="1"/>
          <w:numId w:val="27"/>
        </w:numPr>
        <w:spacing w:lineRule="auto" w:line="360" w:before="0" w:after="0"/>
        <w:ind w:hanging="360" w:start="1440"/>
        <w:jc w:val="both"/>
        <w:rPr>
          <w:rFonts w:ascii="Arial" w:hAnsi="Arial" w:eastAsia="Arial" w:cs="Arial"/>
          <w:b/>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Vinculam esta contratação, independentemente de transcrição:</w:t>
      </w:r>
    </w:p>
    <w:p>
      <w:pPr>
        <w:pStyle w:val="normal1"/>
        <w:numPr>
          <w:ilvl w:val="2"/>
          <w:numId w:val="27"/>
        </w:numPr>
        <w:spacing w:lineRule="auto" w:line="360" w:before="0" w:after="0"/>
        <w:ind w:hanging="360" w:start="2160"/>
        <w:jc w:val="both"/>
        <w:rPr>
          <w:rFonts w:ascii="Arial" w:hAnsi="Arial" w:eastAsia="Arial" w:cs="Arial"/>
          <w:b/>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O Termo de Referência;</w:t>
      </w:r>
    </w:p>
    <w:p>
      <w:pPr>
        <w:pStyle w:val="normal1"/>
        <w:numPr>
          <w:ilvl w:val="2"/>
          <w:numId w:val="27"/>
        </w:numPr>
        <w:spacing w:lineRule="auto" w:line="360" w:before="0" w:after="0"/>
        <w:ind w:hanging="360" w:start="2160"/>
        <w:jc w:val="both"/>
        <w:rPr>
          <w:rFonts w:ascii="Arial" w:hAnsi="Arial" w:eastAsia="Arial" w:cs="Arial"/>
          <w:b/>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O Edital da Licitação;</w:t>
      </w:r>
    </w:p>
    <w:p>
      <w:pPr>
        <w:pStyle w:val="normal1"/>
        <w:numPr>
          <w:ilvl w:val="2"/>
          <w:numId w:val="27"/>
        </w:numPr>
        <w:spacing w:lineRule="auto" w:line="360" w:before="0" w:after="0"/>
        <w:ind w:hanging="360" w:start="2160"/>
        <w:jc w:val="both"/>
        <w:rPr>
          <w:rFonts w:ascii="Arial" w:hAnsi="Arial" w:eastAsia="Arial" w:cs="Arial"/>
          <w:b/>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A Proposta do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CONTRATADO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w:t>
      </w:r>
    </w:p>
    <w:p>
      <w:pPr>
        <w:pStyle w:val="normal1"/>
        <w:numPr>
          <w:ilvl w:val="2"/>
          <w:numId w:val="27"/>
        </w:numPr>
        <w:spacing w:lineRule="auto" w:line="360" w:before="0" w:after="0"/>
        <w:ind w:hanging="360" w:start="2160"/>
        <w:jc w:val="both"/>
        <w:rPr>
          <w:rFonts w:ascii="Arial" w:hAnsi="Arial" w:eastAsia="Arial" w:cs="Arial"/>
          <w:b/>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Eventuais anexos dos documentos supracitados.</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Em caso de divergência ou duplicidade em relação aos elementos técnicos instrutores, prevalecerá na execução do objeto do contrato a seguinte ordem de prioridade:</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Planilha de quantidades de serviços;</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Nos projetos prevalecerão os elementos de maior detalhamento;</w:t>
      </w:r>
    </w:p>
    <w:p>
      <w:pPr>
        <w:pStyle w:val="normal1"/>
        <w:keepNext w:val="false"/>
        <w:keepLines w:val="false"/>
        <w:pageBreakBefore w:val="false"/>
        <w:widowControl/>
        <w:numPr>
          <w:ilvl w:val="2"/>
          <w:numId w:val="27"/>
        </w:numPr>
        <w:pBdr/>
        <w:shd w:val="clear" w:fill="auto"/>
        <w:spacing w:lineRule="auto" w:line="360" w:before="0" w:after="12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A planilha de quantidades e serviços será orientativa, devendo 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CONTRATADO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tomar por base o(s) projeto(s) constante(s) e os anexos do instrumento convocatório, desde o momento da efetivação de sua proposta no procedimento licitatório até a execução do objeto;</w:t>
      </w:r>
    </w:p>
    <w:p>
      <w:pPr>
        <w:pStyle w:val="normal1"/>
        <w:keepNext w:val="false"/>
        <w:keepLines w:val="false"/>
        <w:pageBreakBefore w:val="false"/>
        <w:widowControl/>
        <w:pBdr/>
        <w:shd w:val="clear" w:fill="auto"/>
        <w:spacing w:lineRule="auto" w:line="360" w:before="120" w:after="120"/>
        <w:ind w:hanging="0" w:start="2160" w:end="0"/>
        <w:jc w:val="both"/>
        <w:rPr>
          <w:sz w:val="22"/>
          <w:szCs w:val="22"/>
        </w:rPr>
      </w:pPr>
      <w:r>
        <w:rPr>
          <w:sz w:val="22"/>
          <w:szCs w:val="22"/>
        </w:rPr>
      </w:r>
    </w:p>
    <w:p>
      <w:pPr>
        <w:pStyle w:val="normal1"/>
        <w:keepNext w:val="false"/>
        <w:keepLines w:val="false"/>
        <w:pageBreakBefore w:val="false"/>
        <w:widowControl/>
        <w:numPr>
          <w:ilvl w:val="0"/>
          <w:numId w:val="27"/>
        </w:numPr>
        <w:pBdr/>
        <w:shd w:val="clear" w:fill="auto"/>
        <w:spacing w:lineRule="auto" w:line="360" w:before="120" w:after="0"/>
        <w:ind w:hanging="360" w:start="720" w:end="0"/>
        <w:jc w:val="both"/>
        <w:rPr>
          <w:b/>
          <w:sz w:val="22"/>
          <w:szCs w:val="22"/>
        </w:rPr>
      </w:pPr>
      <w:r>
        <w:rPr>
          <w:b/>
          <w:sz w:val="22"/>
          <w:szCs w:val="22"/>
        </w:rPr>
        <w:t>CLÁUSULA</w:t>
      </w:r>
      <w:r>
        <w:rPr>
          <w:rFonts w:eastAsia="Arial" w:cs="Arial"/>
          <w:b/>
          <w:i w:val="false"/>
          <w:caps w:val="false"/>
          <w:smallCaps w:val="false"/>
          <w:strike w:val="false"/>
          <w:dstrike w:val="false"/>
          <w:color w:val="000000"/>
          <w:position w:val="0"/>
          <w:sz w:val="22"/>
          <w:sz w:val="22"/>
          <w:szCs w:val="22"/>
          <w:u w:val="none"/>
          <w:shd w:fill="auto" w:val="clear"/>
          <w:vertAlign w:val="baseline"/>
        </w:rPr>
        <w:t xml:space="preserve"> SEGUNDA – MODELOS DE EXECUÇÃO E GESTÃO CONTRATUAIS (Art. 92, IV, VII e XVIII, da Lei n.º 14.133/2021)</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O regime de execução contratual, os modelos de gestão e de execução, assim como os prazos e condições de conclusão, entrega, observando o recebimento do objeto que consta no Termo de Referência, anexo a este contrato.</w:t>
      </w:r>
    </w:p>
    <w:p>
      <w:pPr>
        <w:pStyle w:val="normal1"/>
        <w:keepNext w:val="false"/>
        <w:keepLines w:val="false"/>
        <w:pageBreakBefore w:val="false"/>
        <w:widowControl/>
        <w:numPr>
          <w:ilvl w:val="1"/>
          <w:numId w:val="27"/>
        </w:numPr>
        <w:pBdr/>
        <w:shd w:val="clear" w:fill="auto"/>
        <w:spacing w:lineRule="auto" w:line="360" w:before="0" w:after="12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vertAlign w:val="baseline"/>
        </w:rPr>
        <w:t>O regime de execução é o de empreitada por preço unitário.</w:t>
      </w:r>
    </w:p>
    <w:p>
      <w:pPr>
        <w:pStyle w:val="normal1"/>
        <w:keepNext w:val="false"/>
        <w:keepLines w:val="false"/>
        <w:pageBreakBefore w:val="false"/>
        <w:widowControl/>
        <w:pBdr/>
        <w:shd w:val="clear" w:fill="auto"/>
        <w:spacing w:lineRule="auto" w:line="360" w:before="120" w:after="120"/>
        <w:ind w:hanging="0" w:start="1440" w:end="0"/>
        <w:jc w:val="both"/>
        <w:rPr>
          <w:sz w:val="22"/>
          <w:szCs w:val="22"/>
        </w:rPr>
      </w:pPr>
      <w:r>
        <w:rPr>
          <w:sz w:val="22"/>
          <w:szCs w:val="22"/>
        </w:rPr>
      </w:r>
    </w:p>
    <w:p>
      <w:pPr>
        <w:pStyle w:val="normal1"/>
        <w:keepNext w:val="false"/>
        <w:keepLines w:val="false"/>
        <w:pageBreakBefore w:val="false"/>
        <w:widowControl/>
        <w:numPr>
          <w:ilvl w:val="0"/>
          <w:numId w:val="27"/>
        </w:numPr>
        <w:pBdr/>
        <w:shd w:val="clear" w:fill="auto"/>
        <w:spacing w:lineRule="auto" w:line="360" w:before="120" w:after="0"/>
        <w:ind w:hanging="360" w:start="720" w:end="0"/>
        <w:jc w:val="both"/>
        <w:rPr>
          <w:b/>
          <w:sz w:val="22"/>
          <w:szCs w:val="22"/>
        </w:rPr>
      </w:pPr>
      <w:r>
        <w:rPr>
          <w:rFonts w:eastAsia="Arial" w:cs="Arial"/>
          <w:b/>
          <w:i w:val="false"/>
          <w:caps w:val="false"/>
          <w:smallCaps w:val="false"/>
          <w:strike w:val="false"/>
          <w:dstrike w:val="false"/>
          <w:color w:val="000000"/>
          <w:position w:val="0"/>
          <w:sz w:val="22"/>
          <w:sz w:val="22"/>
          <w:szCs w:val="22"/>
          <w:u w:val="none"/>
          <w:vertAlign w:val="baseline"/>
        </w:rPr>
        <w:t xml:space="preserve">CLÁUSULA TERCEIRA – PREÇO </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vertAlign w:val="baseline"/>
        </w:rPr>
        <w:t>O valor unitário da contratação varia conforme o tipo de serviço</w:t>
      </w:r>
      <w:r>
        <w:rPr>
          <w:sz w:val="22"/>
          <w:szCs w:val="22"/>
        </w:rPr>
        <w:t xml:space="preserve"> executado. </w:t>
      </w:r>
      <w:r>
        <w:rPr>
          <w:rFonts w:eastAsia="Arial" w:cs="Arial"/>
          <w:b/>
          <w:i w:val="false"/>
          <w:caps w:val="false"/>
          <w:smallCaps w:val="false"/>
          <w:strike w:val="false"/>
          <w:dstrike w:val="false"/>
          <w:position w:val="0"/>
          <w:sz w:val="22"/>
          <w:sz w:val="22"/>
          <w:szCs w:val="22"/>
          <w:u w:val="none"/>
          <w:vertAlign w:val="baseline"/>
        </w:rPr>
        <w:t>O valor unitário de cada serviço</w:t>
      </w:r>
      <w:r>
        <w:rPr>
          <w:b/>
          <w:sz w:val="22"/>
          <w:szCs w:val="22"/>
        </w:rPr>
        <w:t xml:space="preserve"> da </w:t>
      </w:r>
      <w:r>
        <w:rPr>
          <w:rFonts w:eastAsia="Arial" w:cs="Arial"/>
          <w:b/>
          <w:i w:val="false"/>
          <w:caps w:val="false"/>
          <w:smallCaps w:val="false"/>
          <w:strike w:val="false"/>
          <w:dstrike w:val="false"/>
          <w:position w:val="0"/>
          <w:sz w:val="22"/>
          <w:sz w:val="22"/>
          <w:szCs w:val="22"/>
          <w:u w:val="none"/>
          <w:vertAlign w:val="baseline"/>
        </w:rPr>
        <w:t>contratação está descrito na tabela “Descrição da especificação do Lote” no Anexo I (Termo de Referência) do Edital</w:t>
      </w:r>
      <w:r>
        <w:rPr>
          <w:rFonts w:eastAsia="Arial" w:cs="Arial"/>
          <w:b w:val="false"/>
          <w:i w:val="false"/>
          <w:caps w:val="false"/>
          <w:smallCaps w:val="false"/>
          <w:strike w:val="false"/>
          <w:dstrike w:val="false"/>
          <w:position w:val="0"/>
          <w:sz w:val="22"/>
          <w:sz w:val="22"/>
          <w:szCs w:val="22"/>
          <w:u w:val="none"/>
          <w:vertAlign w:val="baseline"/>
        </w:rPr>
        <w:t>.</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1"/>
        <w:keepNext w:val="false"/>
        <w:keepLines w:val="false"/>
        <w:pageBreakBefore w:val="false"/>
        <w:widowControl/>
        <w:numPr>
          <w:ilvl w:val="1"/>
          <w:numId w:val="27"/>
        </w:numPr>
        <w:pBdr/>
        <w:shd w:val="clear" w:fill="auto"/>
        <w:spacing w:lineRule="auto" w:line="360" w:before="0" w:after="12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O valor total do edital é meramente estimativo, de forma que os pagamentos devidos ao CONTRATADO dependerão dos quantitativos efetivamente fornecidos.</w:t>
      </w:r>
    </w:p>
    <w:p>
      <w:pPr>
        <w:pStyle w:val="normal1"/>
        <w:keepNext w:val="false"/>
        <w:keepLines w:val="false"/>
        <w:pageBreakBefore w:val="false"/>
        <w:widowControl/>
        <w:pBdr/>
        <w:shd w:val="clear" w:fill="auto"/>
        <w:spacing w:lineRule="auto" w:line="360" w:before="120" w:after="120"/>
        <w:ind w:hanging="0" w:start="1440" w:end="0"/>
        <w:jc w:val="both"/>
        <w:rPr>
          <w:sz w:val="22"/>
          <w:szCs w:val="22"/>
        </w:rPr>
      </w:pPr>
      <w:r>
        <w:rPr>
          <w:sz w:val="22"/>
          <w:szCs w:val="22"/>
        </w:rPr>
      </w:r>
    </w:p>
    <w:p>
      <w:pPr>
        <w:pStyle w:val="normal1"/>
        <w:keepNext w:val="false"/>
        <w:keepLines w:val="false"/>
        <w:pageBreakBefore w:val="false"/>
        <w:widowControl/>
        <w:numPr>
          <w:ilvl w:val="0"/>
          <w:numId w:val="27"/>
        </w:numPr>
        <w:pBdr/>
        <w:shd w:val="clear" w:fill="auto"/>
        <w:spacing w:lineRule="auto" w:line="360" w:before="120" w:after="0"/>
        <w:ind w:hanging="360" w:start="720" w:end="0"/>
        <w:jc w:val="both"/>
        <w:rPr>
          <w:b/>
          <w:sz w:val="22"/>
          <w:szCs w:val="22"/>
        </w:rPr>
      </w:pPr>
      <w:r>
        <w:rPr>
          <w:rFonts w:eastAsia="Arial" w:cs="Arial"/>
          <w:b/>
          <w:i w:val="false"/>
          <w:caps w:val="false"/>
          <w:smallCaps w:val="false"/>
          <w:strike w:val="false"/>
          <w:dstrike w:val="false"/>
          <w:color w:val="000000"/>
          <w:position w:val="0"/>
          <w:sz w:val="22"/>
          <w:sz w:val="22"/>
          <w:szCs w:val="22"/>
          <w:u w:val="none"/>
          <w:shd w:fill="auto" w:val="clear"/>
          <w:vertAlign w:val="baseline"/>
        </w:rPr>
        <w:t>CLÁUSULA QUARTA – CONDIÇÕES DE PAGAMENTO (Art. 92, V e VI, da Lei n.º 14.133/2021)</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As medições dos serviços efetivamente realizados serão medidas entre os dias primeiro e último de cada mês, com exceção da primeira e última que poderão ser fracionadas pelo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CONTRATANTE</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devendo constar da folha de medição o período efetivo da realização dos serviços.</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As medições serão elaboradas com base nos quantitativos e preços unitários constantes da proposta do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CONTRATADO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A parcela fonte dos serviços considerada incompleta, defeituosa ou fora das especificações constante no termo de referência ou projeto básico, assim como das normas técnicas, não será objeto de medição.</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Os pagamentos do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CONTRATADO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serão realizados no dia 22 do mês subsequente ao da entrega dos relatórios com as respectivas notas fiscais, de acordo com a Instrução Normativa n.º 1/SMFPO/GAB/2017; </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No caso das datas descritas recaírem em feriado, final de semana ou que não seja possível o expediente público, será efetivada a ação descrita no próximo dia útil;</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Os pagamentos serão efetuados mediante a apresentação de documentos financeiros que deverão ser entregues na Diretoria Financeira da SMF, dentro das condições exigidas pela legislação vigente, no dia 22 de cada mês, e serão pagas no dia 22 do mês </w:t>
      </w:r>
      <w:r>
        <w:rPr>
          <w:sz w:val="22"/>
          <w:szCs w:val="22"/>
        </w:rPr>
        <w:t>subsequente</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normal1"/>
        <w:keepNext w:val="false"/>
        <w:keepLines w:val="false"/>
        <w:pageBreakBefore w:val="false"/>
        <w:widowControl/>
        <w:numPr>
          <w:ilvl w:val="1"/>
          <w:numId w:val="27"/>
        </w:numPr>
        <w:pBdr/>
        <w:shd w:val="clear" w:fill="auto"/>
        <w:spacing w:lineRule="auto" w:line="360" w:before="0" w:after="12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No que se refere à retenção do imposto de renda na fonte, o município de Florianópolis aplicará o disposto no Decreto municipal n.º 23.946/2022 e na Instrução Normativa n.º 002/SMF/2022, de 05 de maio de 2023 que regulamentam a matéria em função da Decisão do Supremo Tribunal Federal no Recurso Extraordinário n.º 1.293.453/RS, Tema 1130, com repercussão geral.</w:t>
      </w:r>
    </w:p>
    <w:p>
      <w:pPr>
        <w:pStyle w:val="normal1"/>
        <w:keepNext w:val="false"/>
        <w:keepLines w:val="false"/>
        <w:pageBreakBefore w:val="false"/>
        <w:widowControl/>
        <w:pBdr/>
        <w:shd w:val="clear" w:fill="auto"/>
        <w:spacing w:lineRule="auto" w:line="360" w:before="120" w:after="120"/>
        <w:ind w:hanging="0" w:start="1440" w:end="0"/>
        <w:jc w:val="both"/>
        <w:rPr>
          <w:sz w:val="22"/>
          <w:szCs w:val="22"/>
        </w:rPr>
      </w:pPr>
      <w:r>
        <w:rPr>
          <w:sz w:val="22"/>
          <w:szCs w:val="22"/>
        </w:rPr>
      </w:r>
    </w:p>
    <w:p>
      <w:pPr>
        <w:pStyle w:val="normal1"/>
        <w:keepNext w:val="false"/>
        <w:keepLines w:val="false"/>
        <w:pageBreakBefore w:val="false"/>
        <w:widowControl/>
        <w:numPr>
          <w:ilvl w:val="0"/>
          <w:numId w:val="27"/>
        </w:numPr>
        <w:pBdr/>
        <w:shd w:val="clear" w:fill="auto"/>
        <w:spacing w:lineRule="auto" w:line="360" w:before="120" w:after="0"/>
        <w:ind w:hanging="360" w:start="720" w:end="0"/>
        <w:jc w:val="both"/>
        <w:rPr>
          <w:b/>
          <w:sz w:val="22"/>
          <w:szCs w:val="22"/>
        </w:rPr>
      </w:pPr>
      <w:r>
        <w:rPr>
          <w:rFonts w:eastAsia="Arial" w:cs="Arial"/>
          <w:b/>
          <w:i w:val="false"/>
          <w:caps w:val="false"/>
          <w:smallCaps w:val="false"/>
          <w:strike w:val="false"/>
          <w:dstrike w:val="false"/>
          <w:color w:val="000000"/>
          <w:position w:val="0"/>
          <w:sz w:val="22"/>
          <w:sz w:val="22"/>
          <w:szCs w:val="22"/>
          <w:u w:val="none"/>
          <w:shd w:fill="auto" w:val="clear"/>
          <w:vertAlign w:val="baseline"/>
        </w:rPr>
        <w:t>CLÁUSULA QUINTA – REAJUSTE (Art. 92, V, da Lei n.º 14.133/2021)</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sz w:val="22"/>
          <w:szCs w:val="22"/>
        </w:rPr>
        <w:t xml:space="preserve">Os valores estimados no credenciamento que serão contratados pela administração pública, quando for o caso, poderão ser reajustados, para mais ou menos, de acordo com índice IPCA, divulgado pelo IBGE, ou pelo índice que venha a substituí-lo, nos termos fixados em Lei, respeitada a contagem da anualidade e o índice previsto para a contratação. </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sz w:val="22"/>
          <w:szCs w:val="22"/>
        </w:rPr>
        <w:t>Caso o reajuste torne o contrato inviável, deverá ser providenciada a abertura de novo edital de credenciamento, a fim de garantir a participação de novos interessados.</w:t>
      </w:r>
    </w:p>
    <w:p>
      <w:pPr>
        <w:pStyle w:val="normal1"/>
        <w:keepNext w:val="false"/>
        <w:keepLines w:val="false"/>
        <w:pageBreakBefore w:val="false"/>
        <w:widowControl/>
        <w:numPr>
          <w:ilvl w:val="2"/>
          <w:numId w:val="27"/>
        </w:numPr>
        <w:pBdr/>
        <w:shd w:val="clear" w:fill="auto"/>
        <w:spacing w:lineRule="auto" w:line="360" w:before="0" w:after="12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vertAlign w:val="baseline"/>
        </w:rPr>
        <w:t>Para garantir a continuidade da prestação do serviço público, os contratos vigentes poderão ser executados até que sejam firmados novos contratos, em decorrência de novo edital.</w:t>
      </w:r>
    </w:p>
    <w:p>
      <w:pPr>
        <w:pStyle w:val="normal1"/>
        <w:keepNext w:val="false"/>
        <w:keepLines w:val="false"/>
        <w:pageBreakBefore w:val="false"/>
        <w:widowControl/>
        <w:pBdr/>
        <w:shd w:val="clear" w:fill="auto"/>
        <w:spacing w:lineRule="auto" w:line="360" w:before="120" w:after="120"/>
        <w:ind w:hanging="0" w:start="2160" w:end="0"/>
        <w:jc w:val="both"/>
        <w:rPr>
          <w:sz w:val="22"/>
          <w:szCs w:val="22"/>
        </w:rPr>
      </w:pPr>
      <w:r>
        <w:rPr>
          <w:sz w:val="22"/>
          <w:szCs w:val="22"/>
        </w:rPr>
      </w:r>
    </w:p>
    <w:p>
      <w:pPr>
        <w:pStyle w:val="normal1"/>
        <w:keepNext w:val="false"/>
        <w:keepLines w:val="false"/>
        <w:pageBreakBefore w:val="false"/>
        <w:widowControl/>
        <w:pBdr/>
        <w:shd w:val="clear" w:fill="auto"/>
        <w:spacing w:lineRule="auto" w:line="360" w:before="120" w:after="120"/>
        <w:ind w:hanging="0" w:start="2160" w:end="0"/>
        <w:jc w:val="both"/>
        <w:rPr>
          <w:sz w:val="22"/>
          <w:szCs w:val="22"/>
        </w:rPr>
      </w:pPr>
      <w:r>
        <w:rPr>
          <w:sz w:val="22"/>
          <w:szCs w:val="22"/>
        </w:rPr>
      </w:r>
    </w:p>
    <w:p>
      <w:pPr>
        <w:pStyle w:val="normal1"/>
        <w:keepNext w:val="false"/>
        <w:keepLines w:val="false"/>
        <w:pageBreakBefore w:val="false"/>
        <w:widowControl/>
        <w:numPr>
          <w:ilvl w:val="0"/>
          <w:numId w:val="27"/>
        </w:numPr>
        <w:pBdr/>
        <w:shd w:val="clear" w:fill="auto"/>
        <w:spacing w:lineRule="auto" w:line="360" w:before="120" w:after="0"/>
        <w:ind w:hanging="360" w:start="720" w:end="0"/>
        <w:jc w:val="both"/>
        <w:rPr>
          <w:b/>
          <w:sz w:val="22"/>
          <w:szCs w:val="22"/>
        </w:rPr>
      </w:pPr>
      <w:r>
        <w:rPr>
          <w:rFonts w:eastAsia="Arial" w:cs="Arial"/>
          <w:b/>
          <w:i w:val="false"/>
          <w:caps w:val="false"/>
          <w:smallCaps w:val="false"/>
          <w:strike w:val="false"/>
          <w:dstrike w:val="false"/>
          <w:color w:val="000000"/>
          <w:position w:val="0"/>
          <w:sz w:val="22"/>
          <w:sz w:val="22"/>
          <w:szCs w:val="22"/>
          <w:u w:val="none"/>
          <w:shd w:fill="auto" w:val="clear"/>
          <w:vertAlign w:val="baseline"/>
        </w:rPr>
        <w:t>CLÁUSULA SEXTA – ALTERAÇÕES</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Eventuais alterações contratuais reger-se-ão pela disciplina dos arts. 124 e seguintes da Lei n.º 14.133/2021.</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CONTRATADO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é obrigado a aceitar, nas mesmas condições contratuais, os acréscimos ou supressões que se fizerem necessários, até o limite de 25% (vinte e cinco por cento) do valor inicial atualizado do contrato.</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As alterações contratuais deverão ser promovidas mediante celebração de termo aditivo, submetido à prévia aprovação da consultoria jurídica do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CONTRATANTE</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salvo nos casos de justificada necessidade de antecipação de seus efeitos, hipótese em que a formalização do aditivo deverá ocorrer no prazo máximo de 1 (um) mês (Art. 132 da Lei n.º 14.133/ 2021).</w:t>
      </w:r>
    </w:p>
    <w:p>
      <w:pPr>
        <w:pStyle w:val="normal1"/>
        <w:keepNext w:val="false"/>
        <w:keepLines w:val="false"/>
        <w:pageBreakBefore w:val="false"/>
        <w:widowControl/>
        <w:numPr>
          <w:ilvl w:val="1"/>
          <w:numId w:val="27"/>
        </w:numPr>
        <w:pBdr/>
        <w:shd w:val="clear" w:fill="auto"/>
        <w:spacing w:lineRule="auto" w:line="360" w:before="0" w:after="12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Registros que não caracterizam alteração do contrato podem ser realizados por simples apostila, dispensada a celebração de termo aditivo, na forma do art. 136 da Lei n.º 14.133/ 2021.</w:t>
      </w:r>
    </w:p>
    <w:p>
      <w:pPr>
        <w:pStyle w:val="normal1"/>
        <w:keepNext w:val="false"/>
        <w:keepLines w:val="false"/>
        <w:pageBreakBefore w:val="false"/>
        <w:widowControl/>
        <w:pBdr/>
        <w:shd w:val="clear" w:fill="auto"/>
        <w:spacing w:lineRule="auto" w:line="360" w:before="120" w:after="120"/>
        <w:ind w:hanging="0" w:start="1440" w:end="0"/>
        <w:jc w:val="both"/>
        <w:rPr>
          <w:sz w:val="22"/>
          <w:szCs w:val="22"/>
        </w:rPr>
      </w:pPr>
      <w:r>
        <w:rPr>
          <w:sz w:val="22"/>
          <w:szCs w:val="22"/>
        </w:rPr>
      </w:r>
    </w:p>
    <w:p>
      <w:pPr>
        <w:pStyle w:val="normal1"/>
        <w:keepNext w:val="false"/>
        <w:keepLines w:val="false"/>
        <w:pageBreakBefore w:val="false"/>
        <w:widowControl/>
        <w:numPr>
          <w:ilvl w:val="0"/>
          <w:numId w:val="27"/>
        </w:numPr>
        <w:pBdr/>
        <w:shd w:val="clear" w:fill="auto"/>
        <w:spacing w:lineRule="auto" w:line="360" w:before="120" w:after="0"/>
        <w:ind w:hanging="360" w:start="720" w:end="0"/>
        <w:jc w:val="both"/>
        <w:rPr>
          <w:b/>
          <w:sz w:val="22"/>
          <w:szCs w:val="22"/>
        </w:rPr>
      </w:pPr>
      <w:r>
        <w:rPr>
          <w:rFonts w:eastAsia="Arial" w:cs="Arial"/>
          <w:b/>
          <w:i w:val="false"/>
          <w:caps w:val="false"/>
          <w:smallCaps w:val="false"/>
          <w:strike w:val="false"/>
          <w:dstrike w:val="false"/>
          <w:color w:val="000000"/>
          <w:position w:val="0"/>
          <w:sz w:val="22"/>
          <w:sz w:val="22"/>
          <w:szCs w:val="22"/>
          <w:u w:val="none"/>
          <w:shd w:fill="auto" w:val="clear"/>
          <w:vertAlign w:val="baseline"/>
        </w:rPr>
        <w:t>CLÁUSULA SÉTIMA – DO PRAZO DE EXECUÇÃO E DE VIGÊNCIA</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vertAlign w:val="baseline"/>
        </w:rPr>
        <w:t>O prazo de execução do contrato é de 12 (doze) meses, contados a partir da data estabelecida na Ordem de Serviço para início da execução do objeto, e a vigência do contrato se inicia com a publicação do contrato e é de 12 (doze) meses, podendo ser prorrogado mediante assinatura de Termo Aditivo, nos termos do art. 106 da Lei 14.133/2021.</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vertAlign w:val="baseline"/>
        </w:rPr>
        <w:t xml:space="preserve">O </w:t>
      </w:r>
      <w:r>
        <w:rPr>
          <w:rFonts w:eastAsia="Arial" w:cs="Arial"/>
          <w:b/>
          <w:i w:val="false"/>
          <w:caps w:val="false"/>
          <w:smallCaps w:val="false"/>
          <w:strike w:val="false"/>
          <w:dstrike w:val="false"/>
          <w:color w:val="000000"/>
          <w:position w:val="0"/>
          <w:sz w:val="22"/>
          <w:sz w:val="22"/>
          <w:szCs w:val="22"/>
          <w:u w:val="none"/>
          <w:vertAlign w:val="baseline"/>
        </w:rPr>
        <w:t>CONTRATADO</w:t>
      </w:r>
      <w:r>
        <w:rPr>
          <w:rFonts w:eastAsia="Arial" w:cs="Arial"/>
          <w:b w:val="false"/>
          <w:i w:val="false"/>
          <w:caps w:val="false"/>
          <w:smallCaps w:val="false"/>
          <w:strike w:val="false"/>
          <w:dstrike w:val="false"/>
          <w:color w:val="000000"/>
          <w:position w:val="0"/>
          <w:sz w:val="22"/>
          <w:sz w:val="22"/>
          <w:szCs w:val="22"/>
          <w:u w:val="none"/>
          <w:vertAlign w:val="baseline"/>
        </w:rPr>
        <w:t xml:space="preserve"> não tem direito subjetivo à prorrogação contratual.</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vertAlign w:val="baseline"/>
        </w:rPr>
        <w:t xml:space="preserve">A prorrogação de contrato deverá ser promovida mediante celebração de termo aditivo. </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vertAlign w:val="baseline"/>
        </w:rPr>
        <w:t>Nas eventuais prorrogações contratuais, os custos não renováveis já pagos ou amortizados ao longo do primeiro período de vigência da contratação deverão ser reduzidos ou eliminados como condição para a renovação.</w:t>
      </w:r>
    </w:p>
    <w:p>
      <w:pPr>
        <w:pStyle w:val="normal1"/>
        <w:keepNext w:val="false"/>
        <w:keepLines w:val="false"/>
        <w:pageBreakBefore w:val="false"/>
        <w:widowControl/>
        <w:numPr>
          <w:ilvl w:val="1"/>
          <w:numId w:val="27"/>
        </w:numPr>
        <w:pBdr/>
        <w:shd w:val="clear" w:fill="auto"/>
        <w:spacing w:lineRule="auto" w:line="360" w:before="0" w:after="12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vertAlign w:val="baseline"/>
        </w:rPr>
        <w:t xml:space="preserve">O contrato não poderá ser prorrogado quando o </w:t>
      </w:r>
      <w:r>
        <w:rPr>
          <w:rFonts w:eastAsia="Arial" w:cs="Arial"/>
          <w:b/>
          <w:i w:val="false"/>
          <w:caps w:val="false"/>
          <w:smallCaps w:val="false"/>
          <w:strike w:val="false"/>
          <w:dstrike w:val="false"/>
          <w:color w:val="000000"/>
          <w:position w:val="0"/>
          <w:sz w:val="22"/>
          <w:sz w:val="22"/>
          <w:szCs w:val="22"/>
          <w:u w:val="none"/>
          <w:vertAlign w:val="baseline"/>
        </w:rPr>
        <w:t>CONTRATADO</w:t>
      </w:r>
      <w:r>
        <w:rPr>
          <w:rFonts w:eastAsia="Arial" w:cs="Arial"/>
          <w:b w:val="false"/>
          <w:i w:val="false"/>
          <w:caps w:val="false"/>
          <w:smallCaps w:val="false"/>
          <w:strike w:val="false"/>
          <w:dstrike w:val="false"/>
          <w:color w:val="000000"/>
          <w:position w:val="0"/>
          <w:sz w:val="22"/>
          <w:sz w:val="22"/>
          <w:szCs w:val="22"/>
          <w:u w:val="none"/>
          <w:vertAlign w:val="baseline"/>
        </w:rPr>
        <w:t xml:space="preserve"> tiver sido penalizado nas sanções de declaração de inidoneidade ou impedimento de licitar e contratar com poder público, observadas as abrangências de aplicação.</w:t>
      </w:r>
    </w:p>
    <w:p>
      <w:pPr>
        <w:pStyle w:val="normal1"/>
        <w:keepNext w:val="false"/>
        <w:keepLines w:val="false"/>
        <w:pageBreakBefore w:val="false"/>
        <w:widowControl/>
        <w:pBdr/>
        <w:shd w:val="clear" w:fill="auto"/>
        <w:spacing w:lineRule="auto" w:line="360" w:before="120" w:after="120"/>
        <w:ind w:hanging="0" w:start="1440" w:end="0"/>
        <w:jc w:val="both"/>
        <w:rPr>
          <w:sz w:val="22"/>
          <w:szCs w:val="22"/>
        </w:rPr>
      </w:pPr>
      <w:r>
        <w:rPr>
          <w:sz w:val="22"/>
          <w:szCs w:val="22"/>
        </w:rPr>
      </w:r>
    </w:p>
    <w:p>
      <w:pPr>
        <w:pStyle w:val="normal1"/>
        <w:keepNext w:val="false"/>
        <w:keepLines w:val="false"/>
        <w:pageBreakBefore w:val="false"/>
        <w:widowControl/>
        <w:numPr>
          <w:ilvl w:val="0"/>
          <w:numId w:val="27"/>
        </w:numPr>
        <w:pBdr/>
        <w:shd w:val="clear" w:fill="auto"/>
        <w:spacing w:lineRule="auto" w:line="360" w:before="120" w:after="0"/>
        <w:ind w:hanging="360" w:start="720" w:end="0"/>
        <w:jc w:val="both"/>
        <w:rPr>
          <w:b/>
          <w:sz w:val="22"/>
          <w:szCs w:val="22"/>
        </w:rPr>
      </w:pPr>
      <w:r>
        <w:rPr>
          <w:rFonts w:eastAsia="Arial" w:cs="Arial"/>
          <w:b/>
          <w:i w:val="false"/>
          <w:caps w:val="false"/>
          <w:smallCaps w:val="false"/>
          <w:strike w:val="false"/>
          <w:dstrike w:val="false"/>
          <w:color w:val="000000"/>
          <w:position w:val="0"/>
          <w:sz w:val="22"/>
          <w:sz w:val="22"/>
          <w:szCs w:val="22"/>
          <w:u w:val="none"/>
          <w:vertAlign w:val="baseline"/>
        </w:rPr>
        <w:t>CLÁUSULA OITAVA – SUBCONTRATAÇÃO</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position w:val="0"/>
          <w:sz w:val="22"/>
          <w:sz w:val="22"/>
          <w:szCs w:val="22"/>
          <w:vertAlign w:val="baseline"/>
        </w:rPr>
        <w:t>Na execução do contrato e sem prejuízo das responsabilidades contratuais e legais, o contratado poderá subcontratar partes do serviço para as atividades que não constituem o escopo principal do objeto até o limite de 25% do valor total do contrato.</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position w:val="0"/>
          <w:sz w:val="22"/>
          <w:sz w:val="22"/>
          <w:szCs w:val="22"/>
          <w:vertAlign w:val="baseline"/>
        </w:rPr>
        <w:t>O contratado apresentará à Administração documentação que comprove a capacidade técnica do subcontratado, que será avaliada e juntada aos autos do processo correspondente.</w:t>
      </w:r>
    </w:p>
    <w:p>
      <w:pPr>
        <w:pStyle w:val="normal1"/>
        <w:keepNext w:val="false"/>
        <w:keepLines w:val="false"/>
        <w:pageBreakBefore w:val="false"/>
        <w:widowControl/>
        <w:numPr>
          <w:ilvl w:val="1"/>
          <w:numId w:val="27"/>
        </w:numPr>
        <w:pBdr/>
        <w:shd w:val="clear" w:fill="auto"/>
        <w:spacing w:lineRule="auto" w:line="360" w:before="0" w:after="120"/>
        <w:ind w:hanging="360" w:start="1440" w:end="0"/>
        <w:jc w:val="both"/>
        <w:rPr>
          <w:b/>
          <w:sz w:val="22"/>
          <w:szCs w:val="22"/>
        </w:rPr>
      </w:pPr>
      <w:r>
        <w:rPr>
          <w:position w:val="0"/>
          <w:sz w:val="22"/>
          <w:sz w:val="22"/>
          <w:szCs w:val="22"/>
          <w:vertAlign w:val="baseline"/>
        </w:rPr>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pPr>
        <w:pStyle w:val="normal1"/>
        <w:keepNext w:val="false"/>
        <w:keepLines w:val="false"/>
        <w:pageBreakBefore w:val="false"/>
        <w:widowControl/>
        <w:pBdr/>
        <w:shd w:val="clear" w:fill="auto"/>
        <w:spacing w:lineRule="auto" w:line="360" w:before="120" w:after="120"/>
        <w:ind w:hanging="0" w:start="1440" w:end="0"/>
        <w:jc w:val="both"/>
        <w:rPr>
          <w:sz w:val="22"/>
          <w:szCs w:val="22"/>
        </w:rPr>
      </w:pPr>
      <w:r>
        <w:rPr>
          <w:sz w:val="22"/>
          <w:szCs w:val="22"/>
        </w:rPr>
      </w:r>
    </w:p>
    <w:p>
      <w:pPr>
        <w:pStyle w:val="normal1"/>
        <w:keepNext w:val="false"/>
        <w:keepLines w:val="false"/>
        <w:pageBreakBefore w:val="false"/>
        <w:widowControl/>
        <w:numPr>
          <w:ilvl w:val="0"/>
          <w:numId w:val="27"/>
        </w:numPr>
        <w:pBdr/>
        <w:shd w:val="clear" w:fill="auto"/>
        <w:spacing w:lineRule="auto" w:line="360" w:before="120" w:after="0"/>
        <w:ind w:hanging="360" w:start="720" w:end="0"/>
        <w:jc w:val="both"/>
        <w:rPr>
          <w:b/>
          <w:sz w:val="22"/>
          <w:szCs w:val="22"/>
        </w:rPr>
      </w:pPr>
      <w:r>
        <w:rPr>
          <w:rFonts w:eastAsia="Arial" w:cs="Arial"/>
          <w:b/>
          <w:i w:val="false"/>
          <w:caps w:val="false"/>
          <w:smallCaps w:val="false"/>
          <w:strike w:val="false"/>
          <w:dstrike w:val="false"/>
          <w:color w:val="000000"/>
          <w:position w:val="0"/>
          <w:sz w:val="22"/>
          <w:sz w:val="22"/>
          <w:szCs w:val="22"/>
          <w:u w:val="none"/>
          <w:shd w:fill="auto" w:val="clear"/>
          <w:vertAlign w:val="baseline"/>
        </w:rPr>
        <w:t>CLÁUSULA NONA – RECURSOS PARA ATENDER AS DESPESAS</w:t>
      </w:r>
    </w:p>
    <w:p>
      <w:pPr>
        <w:pStyle w:val="normal1"/>
        <w:keepNext w:val="false"/>
        <w:keepLines w:val="false"/>
        <w:pageBreakBefore w:val="false"/>
        <w:widowControl/>
        <w:numPr>
          <w:ilvl w:val="1"/>
          <w:numId w:val="27"/>
        </w:numPr>
        <w:pBdr/>
        <w:shd w:val="clear" w:fill="auto"/>
        <w:spacing w:lineRule="auto" w:line="360" w:before="0" w:after="12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As despesas decorrentes da presente contratação correrão à conta de recursos específicos consignados no orçamento xxxxxxxxxxxxxxx deste exercício, na dotação abaixo discriminada:</w:t>
      </w:r>
    </w:p>
    <w:p>
      <w:pPr>
        <w:pStyle w:val="normal1"/>
        <w:keepNext w:val="false"/>
        <w:keepLines w:val="false"/>
        <w:pageBreakBefore w:val="false"/>
        <w:widowControl/>
        <w:numPr>
          <w:ilvl w:val="1"/>
          <w:numId w:val="4"/>
        </w:numPr>
        <w:pBdr/>
        <w:shd w:val="clear" w:fill="auto"/>
        <w:spacing w:lineRule="auto" w:line="360" w:before="120" w:after="120"/>
        <w:ind w:hanging="0" w:start="709" w:end="0"/>
        <w:jc w:val="both"/>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Órgão/Unidade: </w:t>
      </w:r>
    </w:p>
    <w:p>
      <w:pPr>
        <w:pStyle w:val="normal1"/>
        <w:keepNext w:val="false"/>
        <w:keepLines w:val="false"/>
        <w:pageBreakBefore w:val="false"/>
        <w:widowControl/>
        <w:numPr>
          <w:ilvl w:val="1"/>
          <w:numId w:val="4"/>
        </w:numPr>
        <w:pBdr/>
        <w:shd w:val="clear" w:fill="auto"/>
        <w:spacing w:lineRule="auto" w:line="360" w:before="120" w:after="120"/>
        <w:ind w:hanging="0" w:start="709" w:end="0"/>
        <w:jc w:val="both"/>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Projeto/Atividade: </w:t>
      </w:r>
    </w:p>
    <w:p>
      <w:pPr>
        <w:pStyle w:val="normal1"/>
        <w:keepNext w:val="false"/>
        <w:keepLines w:val="false"/>
        <w:pageBreakBefore w:val="false"/>
        <w:widowControl/>
        <w:numPr>
          <w:ilvl w:val="1"/>
          <w:numId w:val="4"/>
        </w:numPr>
        <w:pBdr/>
        <w:shd w:val="clear" w:fill="auto"/>
        <w:spacing w:lineRule="auto" w:line="360" w:before="120" w:after="120"/>
        <w:ind w:hanging="0" w:start="709" w:end="0"/>
        <w:jc w:val="both"/>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Elemento de Despesa: </w:t>
      </w:r>
    </w:p>
    <w:p>
      <w:pPr>
        <w:pStyle w:val="normal1"/>
        <w:keepNext w:val="false"/>
        <w:keepLines w:val="false"/>
        <w:pageBreakBefore w:val="false"/>
        <w:widowControl/>
        <w:numPr>
          <w:ilvl w:val="1"/>
          <w:numId w:val="4"/>
        </w:numPr>
        <w:pBdr/>
        <w:shd w:val="clear" w:fill="auto"/>
        <w:spacing w:lineRule="auto" w:line="360" w:before="120" w:after="120"/>
        <w:ind w:hanging="0" w:start="709" w:end="0"/>
        <w:jc w:val="both"/>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Fonte de Recurso: </w:t>
      </w:r>
    </w:p>
    <w:p>
      <w:pPr>
        <w:pStyle w:val="normal1"/>
        <w:keepNext w:val="false"/>
        <w:keepLines w:val="false"/>
        <w:pageBreakBefore w:val="false"/>
        <w:widowControl/>
        <w:numPr>
          <w:ilvl w:val="1"/>
          <w:numId w:val="4"/>
        </w:numPr>
        <w:pBdr/>
        <w:shd w:val="clear" w:fill="auto"/>
        <w:spacing w:lineRule="auto" w:line="360" w:before="120" w:after="120"/>
        <w:ind w:hanging="0" w:start="709" w:end="0"/>
        <w:jc w:val="both"/>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Funcional:</w:t>
      </w:r>
    </w:p>
    <w:p>
      <w:pPr>
        <w:pStyle w:val="normal1"/>
        <w:keepNext w:val="false"/>
        <w:keepLines w:val="false"/>
        <w:pageBreakBefore w:val="false"/>
        <w:widowControl/>
        <w:pBdr/>
        <w:shd w:val="clear" w:fill="auto"/>
        <w:spacing w:lineRule="auto" w:line="360" w:before="120" w:after="120"/>
        <w:ind w:hanging="0" w:start="709" w:end="0"/>
        <w:jc w:val="both"/>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sz w:val="22"/>
          <w:szCs w:val="22"/>
        </w:rPr>
        <w:t>Parágrafo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Único: A dotação relativa aos exercícios financeiros subsequentes será indicada após aprovação da Lei Orçamentária respectiva e liberação dos créditos correspondentes, mediante apostilamento.</w:t>
      </w:r>
    </w:p>
    <w:p>
      <w:pPr>
        <w:pStyle w:val="normal1"/>
        <w:keepNext w:val="false"/>
        <w:keepLines w:val="false"/>
        <w:pageBreakBefore w:val="false"/>
        <w:widowControl/>
        <w:pBdr/>
        <w:shd w:val="clear" w:fill="auto"/>
        <w:spacing w:lineRule="auto" w:line="360" w:before="120" w:after="120"/>
        <w:ind w:hanging="0" w:start="709" w:end="0"/>
        <w:jc w:val="both"/>
        <w:rPr>
          <w:sz w:val="22"/>
          <w:szCs w:val="22"/>
        </w:rPr>
      </w:pPr>
      <w:r>
        <w:rPr>
          <w:sz w:val="22"/>
          <w:szCs w:val="22"/>
        </w:rPr>
      </w:r>
    </w:p>
    <w:p>
      <w:pPr>
        <w:pStyle w:val="normal1"/>
        <w:keepNext w:val="false"/>
        <w:keepLines w:val="false"/>
        <w:pageBreakBefore w:val="false"/>
        <w:widowControl/>
        <w:numPr>
          <w:ilvl w:val="0"/>
          <w:numId w:val="27"/>
        </w:numPr>
        <w:pBdr/>
        <w:shd w:val="clear" w:fill="auto"/>
        <w:spacing w:lineRule="auto" w:line="360" w:before="120" w:after="0"/>
        <w:ind w:hanging="360" w:start="720" w:end="0"/>
        <w:jc w:val="both"/>
        <w:rPr>
          <w:b/>
          <w:sz w:val="22"/>
          <w:szCs w:val="22"/>
        </w:rPr>
      </w:pPr>
      <w:r>
        <w:rPr>
          <w:rFonts w:eastAsia="Arial" w:cs="Arial"/>
          <w:b/>
          <w:i w:val="false"/>
          <w:caps w:val="false"/>
          <w:smallCaps w:val="false"/>
          <w:strike w:val="false"/>
          <w:dstrike w:val="false"/>
          <w:color w:val="000000"/>
          <w:position w:val="0"/>
          <w:sz w:val="22"/>
          <w:sz w:val="22"/>
          <w:szCs w:val="22"/>
          <w:u w:val="none"/>
          <w:shd w:fill="auto" w:val="clear"/>
          <w:vertAlign w:val="baseline"/>
        </w:rPr>
        <w:t>CLÁUSULA DÉCIMA – GESTÃO E FISCALIZAÇÃO</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CONTRATANTE</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exercerá ampla gestão e fiscalização do objeto CONTRATADO, o que em nenhuma hipótese eximirá a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CONTRATADA</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das responsabilidades fixadas pelo Código Civil e pelo Código de Defesa do Consumidor.</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A gestão contratual caberá </w:t>
      </w:r>
      <w:r>
        <w:rPr>
          <w:sz w:val="22"/>
          <w:szCs w:val="22"/>
        </w:rPr>
        <w:t>à autoridade</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competente da pasta, sendo de sua competência:</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coordenar as atividades relacionadas à fiscalização técnica, administrativa e setorial;</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acompanhar os registros realizados pelos fiscais do contrato das ocorrências relacionadas à execução do contrato e as medidas adotadas, e informar à autoridade superior do município aquelas que ultrapassarem a sua competência;</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acompanhar a manutenção das condições de habilitação do contratado, para fins de empenho de despesa e de pagamento, e anotar os problemas que obstem o fluxo normal da liquidação e do pagamento da despesa no relatório de riscos eventuais;</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coordenar os atos preparatórios à instrução processual e ao envio da documentação pertinente ao setor de contratos para a formalização dos procedimentos relativos à prorrogação, à alteração, ao reequilíbrio, ao pagamento, à eventual aplicação de sanções e a extinção dos contratos;</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elaborar o relatório final de que trata a alínea “d” do inciso VI do § 3º do art. 174 da Lei nº 14.133, de 2021, com as informações obtidas durante a execução do contrato;</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emitir documento comprobatório da avaliação realizada pelos fiscais técnico, administrativo e setorial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realizar o recebimento definitivo do objeto do contrato referido no art. 25, mediante termo detalhado que comprove o atendimento das exigências contratuais; e</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tomar providências para a formalização de processo administrativo de responsabilização para fins de aplicação de sanções, de que trata o art. 158 da Lei nº 14.133, de 2021.</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A fiscalização contratual ocorrerá simultaneamente por servidores designados, sempre que necessário; sendo o FISCAL ADMINISTRATIVO ou FISCAL SETORIAL e o FISCAL </w:t>
      </w:r>
      <w:r>
        <w:rPr>
          <w:sz w:val="22"/>
          <w:szCs w:val="22"/>
        </w:rPr>
        <w:t>TÉCNICO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A atribuição de Fiscal Técnico deverá ser exercida por servidor designado de cargo técnico, conforme atribuições descritas no Manual De Fiscalização de Contratos da Prefeitura de Florianópolis (de Outubro de 2020).</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Compete ao fiscal técnico:</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O fiscal técnico do contrato acompanhará a execução do contrato, para que sejam cumpridas todas as condições estabelecidas no contrato, de modo a assegurar os melhores resultados para a Administração. </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A fiscalização técnica dos contratos deve avaliar constantemente através do Instrumento de Medição de Resultado (IMR), caso haja previsão no ETP para aferição da qualidade da prestação dos serviços, devendo haver o redimensionamento no pagamento com base nos indicadores estabelecidos. </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Durante a execução do objeto, fase do recebimento provisório, o fiscal técnico designado deverá monitorar constantemente o nível de qualidade dos serviços para evitar a sua degeneração, devendo intervir para requerer à contratada a correção das faltas, falhas e irregularidades constatadas. </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O fiscal técnico do contrato deverá apresentar ao preposto da contratada a avaliação da execução do objeto ou, se for o caso, a avaliação de desempenho e qualidade da prestação dos serviços realizada. </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A contratada poderá apresentar justificativa para a prestação do serviço com menor nível de conformidade, que poderá ser aceita pelo fiscal técnico, desde que comprovada </w:t>
      </w:r>
      <w:r>
        <w:rPr>
          <w:sz w:val="22"/>
          <w:szCs w:val="22"/>
        </w:rPr>
        <w:t>a excepcionalidade</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da ocorrência, resultante exclusivamente de fatores imprevisíveis e alheios ao controle do prestador. </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Na hipótese de comportamento contínuo de desconformidade da prestação do serviço em relação à qualidade exigida, bem como quando esta ultrapassar os níveis mínimos toleráveis previstos nos indicadores, além dos fatores redutores, deve ser aplicado às sanções à contratada de acordo com as regras previstas no ato convocatório. </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É vedada a atribuição à contratada da avaliação de desempenho e qualidade da prestação dos serviços por ela realizada. </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O fiscal técnico poderá realizar a avaliação diária, semanal ou mensal, desde que o período escolhido seja suficiente para avaliar ou, se for o caso, aferir o desempenho e qualidade da prestação dos serviços. </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na Lei n. 14.133/2021.</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A conformidade do material/técnica/equipamento a ser utilizado na execução dos serviços deverá ser verificada juntamente com o documento da Contratada que contenha a relação detalhada destes, de acordo com o estabelecido no edital e na proposta, informando as respectivas quantidades e especificações técnicas, tais como: marca, qualidade e forma de uso. (art. 47, §2º, IN 05/2017) </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A fiscalização de que trata esta cláusula não exclui nem reduz a responsabilidade da Contratada, inclusive perante terceiros, por qualquer irregularidade, ainda que resultante de imperfeições técnicas, vícios anuláveis, ou emprego de material inadequado ou de qualidade inferior e, na ocorrência desta, não implica corresponsabilidade da CONTRATANTE ou de seus agentes, gestores e fiscais, de conformidade. </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 </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Identificada qualquer inexatidão ou irregularidade, o fiscal técnico do contrato emitirá notificações para a correção da execução do contrato, determinando prazo para a correção. (Decreto nº 11.246, de 2022, art. 22, III)</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O fiscal técnico do contrato informará ao gestor do </w:t>
      </w:r>
      <w:r>
        <w:rPr>
          <w:sz w:val="22"/>
          <w:szCs w:val="22"/>
        </w:rPr>
        <w:t>contrato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em tempo hábil, a situação que demandar decisão ou adoção de medidas que ultrapassem sua competência, para que adote as medidas necessárias e saneadoras, se for o caso. (Decreto nº 11.246, de 2022, art. 22, IV);</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No caso de ocorrências que possam inviabilizar a execução do contrato nas datas aprazadas, o fiscal técnico do contrato comunicará o fato imediatamente ao gestor do contrato. (Decreto nº 11.246, de 2022, art. 22, V); </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O fiscal técnico do contrato comunicará ao gestor do contrato, em tempo hábil, o término do contrato sob sua responsabilidade, com vistas à tempestiva renovação ou à prorrogação contratual (Decreto nº 11.246, de 2022, art. 22, VII). </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Para efeito de recebimento provisório, ao final de cada período mensal, 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Compete ao fiscal administrativo: </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 </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 </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A fiscalização administrativa poderá ser efetivada com base em critérios estatísticos, levando-se em consideração falhas que impactem o contrato como um todo e não apenas erros e falhas eventuais no pagamento de alguma vantagem a um determinado empregado. </w:t>
      </w:r>
    </w:p>
    <w:p>
      <w:pPr>
        <w:pStyle w:val="normal1"/>
        <w:keepNext w:val="false"/>
        <w:keepLines w:val="false"/>
        <w:pageBreakBefore w:val="false"/>
        <w:widowControl/>
        <w:numPr>
          <w:ilvl w:val="2"/>
          <w:numId w:val="27"/>
        </w:numPr>
        <w:pBdr/>
        <w:shd w:val="clear" w:fill="auto"/>
        <w:spacing w:lineRule="auto" w:line="360" w:before="0" w:after="12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Na fiscalização do cumprimento das obrigações trabalhistas e sociais exigir-se-á, dentre outras, as seguintes comprovações, com a entrega até o dia trinta do mês seguinte ao da prestação dos serviços ao setor responsável pela fiscalização do contrato dos seguintes documentos, quando não for possível a verificação da regularidade destes no Sistema de Cadastro de Fornecedores (Sicaf):</w:t>
      </w:r>
    </w:p>
    <w:p>
      <w:pPr>
        <w:pStyle w:val="normal1"/>
        <w:keepNext w:val="false"/>
        <w:keepLines w:val="false"/>
        <w:pageBreakBefore w:val="false"/>
        <w:widowControl/>
        <w:numPr>
          <w:ilvl w:val="0"/>
          <w:numId w:val="5"/>
        </w:numPr>
        <w:pBdr/>
        <w:shd w:val="clear" w:fill="auto"/>
        <w:spacing w:lineRule="auto" w:line="360" w:before="120" w:after="120"/>
        <w:ind w:hanging="567" w:start="2268" w:end="0"/>
        <w:jc w:val="both"/>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Certidão Negativa de Débitos relativos a Créditos Tributários Federais e à Dívida Ativa da União (CND);</w:t>
      </w:r>
    </w:p>
    <w:p>
      <w:pPr>
        <w:pStyle w:val="normal1"/>
        <w:keepNext w:val="false"/>
        <w:keepLines w:val="false"/>
        <w:pageBreakBefore w:val="false"/>
        <w:widowControl/>
        <w:numPr>
          <w:ilvl w:val="0"/>
          <w:numId w:val="5"/>
        </w:numPr>
        <w:pBdr/>
        <w:shd w:val="clear" w:fill="auto"/>
        <w:spacing w:lineRule="auto" w:line="360" w:before="120" w:after="120"/>
        <w:ind w:hanging="567" w:start="2268" w:end="0"/>
        <w:jc w:val="both"/>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Certidões que comprovem a regularidade perante as Fazendas Estadual, Distrital e Municipal do domicílio ou sede do CONTRATADO;</w:t>
      </w:r>
    </w:p>
    <w:p>
      <w:pPr>
        <w:pStyle w:val="normal1"/>
        <w:keepNext w:val="false"/>
        <w:keepLines w:val="false"/>
        <w:pageBreakBefore w:val="false"/>
        <w:widowControl/>
        <w:numPr>
          <w:ilvl w:val="0"/>
          <w:numId w:val="5"/>
        </w:numPr>
        <w:pBdr/>
        <w:shd w:val="clear" w:fill="auto"/>
        <w:spacing w:lineRule="auto" w:line="360" w:before="120" w:after="120"/>
        <w:ind w:hanging="567" w:start="2268" w:end="0"/>
        <w:jc w:val="both"/>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Certidão de Regularidade do FGTS (CRF); e </w:t>
      </w:r>
    </w:p>
    <w:p>
      <w:pPr>
        <w:pStyle w:val="normal1"/>
        <w:keepNext w:val="false"/>
        <w:keepLines w:val="false"/>
        <w:pageBreakBefore w:val="false"/>
        <w:widowControl/>
        <w:numPr>
          <w:ilvl w:val="0"/>
          <w:numId w:val="5"/>
        </w:numPr>
        <w:pBdr/>
        <w:shd w:val="clear" w:fill="auto"/>
        <w:spacing w:lineRule="auto" w:line="360" w:before="120" w:after="120"/>
        <w:ind w:hanging="567" w:start="2268" w:end="0"/>
        <w:jc w:val="both"/>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Certidão Negativa de Débitos Trabalhistas (CNDT).</w:t>
      </w:r>
    </w:p>
    <w:p>
      <w:pPr>
        <w:pStyle w:val="normal1"/>
        <w:keepNext w:val="false"/>
        <w:keepLines w:val="false"/>
        <w:pageBreakBefore w:val="false"/>
        <w:widowControl/>
        <w:numPr>
          <w:ilvl w:val="2"/>
          <w:numId w:val="27"/>
        </w:numPr>
        <w:pBdr/>
        <w:shd w:val="clear" w:fill="auto"/>
        <w:spacing w:lineRule="auto" w:line="360" w:before="120" w:after="12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Para efeito de recebimento provisório, ao final de cada período mensal, o fiscal administrativo deverá verificar a efetiva realização dos dispêndios concernentes aos salários e às obrigações trabalhistas, previdenciárias e com o FGTS do mês anterior, dentre outros, emitindo relatório que será encaminhado ao gestor do contrato </w:t>
      </w:r>
    </w:p>
    <w:p>
      <w:pPr>
        <w:pStyle w:val="normal1"/>
        <w:keepNext w:val="false"/>
        <w:keepLines w:val="false"/>
        <w:pageBreakBefore w:val="false"/>
        <w:widowControl/>
        <w:pBdr/>
        <w:shd w:val="clear" w:fill="auto"/>
        <w:spacing w:lineRule="auto" w:line="360" w:before="120" w:after="120"/>
        <w:ind w:hanging="0" w:start="2160" w:end="0"/>
        <w:jc w:val="both"/>
        <w:rPr>
          <w:sz w:val="22"/>
          <w:szCs w:val="22"/>
        </w:rPr>
      </w:pPr>
      <w:r>
        <w:rPr>
          <w:sz w:val="22"/>
          <w:szCs w:val="22"/>
        </w:rPr>
      </w:r>
    </w:p>
    <w:p>
      <w:pPr>
        <w:pStyle w:val="normal1"/>
        <w:keepNext w:val="false"/>
        <w:keepLines w:val="false"/>
        <w:pageBreakBefore w:val="false"/>
        <w:widowControl/>
        <w:numPr>
          <w:ilvl w:val="0"/>
          <w:numId w:val="27"/>
        </w:numPr>
        <w:pBdr/>
        <w:shd w:val="clear" w:fill="auto"/>
        <w:spacing w:lineRule="auto" w:line="360" w:before="120" w:after="0"/>
        <w:ind w:hanging="360" w:start="720" w:end="0"/>
        <w:jc w:val="both"/>
        <w:rPr>
          <w:b/>
          <w:sz w:val="22"/>
          <w:szCs w:val="22"/>
        </w:rPr>
      </w:pPr>
      <w:r>
        <w:rPr>
          <w:rFonts w:eastAsia="Arial" w:cs="Arial"/>
          <w:b/>
          <w:i w:val="false"/>
          <w:caps w:val="false"/>
          <w:smallCaps w:val="false"/>
          <w:strike w:val="false"/>
          <w:dstrike w:val="false"/>
          <w:color w:val="000000"/>
          <w:position w:val="0"/>
          <w:sz w:val="22"/>
          <w:sz w:val="22"/>
          <w:szCs w:val="22"/>
          <w:u w:val="none"/>
          <w:shd w:fill="auto" w:val="clear"/>
          <w:vertAlign w:val="baseline"/>
        </w:rPr>
        <w:t>CLÁUSULA DÉCIMA PRIMEIRA – RESPONSABILIDADES DO CONTRATANTE (Art. 92, X, XI e XIV, da Lei n.º 14.133/2021)</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São obrigações do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CONTRATANTE</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além das previstas no termo de referência:</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Exigir o cumprimento de todas as obrigações assumidas pelo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CONTRATADO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de acordo com o contrato e seus anexos;</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Receber o objeto no prazo e condições estabelecidas no Termo de Referência;</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Notificar 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CONTRATADO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por escrito da ocorrência de eventuais imperfeições, falhas ou irregularidades constatadas no curso da execução dos serviços, fixando prazo para a sua correção, certificando-se de que as soluções por ele propostas sejam as mais adequadas;</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Notificar 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CONTRATADO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por escrito, sobre vícios, defeitos ou incorreções verificadas no objeto fornecido, para que seja por ele substituído, reparado ou corrigido, no total ou em parte, às suas expensas;</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Acompanhar e fiscalizar a execução do contrato e o cumprimento das obrigações pelo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CONTRATADO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Comunicar 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CONTRATADO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para emissão de Nota Fiscal no que se refere à parcela incontroversa da execução do objeto, para efeito de liquidação e pagamento, quando houver controvérsia sobre a execução do objeto, quanto à dimensão, qualidade e quantidade, conforme o art. 143 da Lei n.º 14.133/2021;</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Efetuar o pagamento ao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CONTRATADO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do valor correspondente à execução do objeto, no prazo, forma e condições estabelecidos no presente contrato e no Termo de Referência;</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Aplicar ao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CONTRATADO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as sanções previstas na lei e neste contrato; </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Cientificar o órgão de representação pela Controladoria Geral do Município para adoção das medidas cabíveis quando do descumprimento de obrigações pelo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CONTRATADO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normal1"/>
        <w:keepNext w:val="false"/>
        <w:keepLines w:val="false"/>
        <w:pageBreakBefore w:val="false"/>
        <w:widowControl/>
        <w:numPr>
          <w:ilvl w:val="3"/>
          <w:numId w:val="27"/>
        </w:numPr>
        <w:pBdr/>
        <w:shd w:val="clear" w:fill="auto"/>
        <w:spacing w:lineRule="auto" w:line="360" w:before="0" w:after="0"/>
        <w:ind w:hanging="360" w:start="288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A Administração terá o prazo de 30 dias, a contar da data do protocolo do requerimento para decidir, admitida a prorrogação motivada, por igual período; </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Responder eventuais pedidos de reestabelecimento do equilíbrio econômico-financeiro feitos pelo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CONTRATADO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no prazo máximo de 30 dias;</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Notificar os emitentes das garantias quanto ao início de processo administrativo para apuração de descumprimento de cláusulas contratuais;</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Comunicar 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CONTRATADO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na hipótese de posterior alteração do projeto pelo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CONTRATANTE</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no caso do art. 93, §2º, da Lei n.º 14.133/ 2021;</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Fornecer por escrito as informações necessárias para o desenvolvimento dos serviços objeto do contrato;</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Realizar avaliações periódicas da qualidade dos serviços, após seu recebimento;</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Arquivar, entre outros documentos, as especificações técnicas, orçamentos, termos de recebimento, contratos e aditamentos, relatórios de inspeções técnicas após o recebimento do serviço e notificações expedidas;</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Assegurar que o ambiente de trabalho, inclusive seus equipamentos e instalações, apresentem condições adequadas ao cumprimento, pelo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CONTRATADO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das normas de segurança e saúde no trabalho, quando o serviço for executado em suas dependências, ou em local por ela designado;</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Não responder por quaisquer compromissos assumidos pelo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CONTRATADO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com terceiros, ainda que vinculados à execução do contrato, bem como por qualquer dano causado a terceiros em decorrência de ato do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CONTRATADO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de seus empregados, prepostos ou subordinados;</w:t>
      </w:r>
    </w:p>
    <w:p>
      <w:pPr>
        <w:pStyle w:val="normal1"/>
        <w:keepNext w:val="false"/>
        <w:keepLines w:val="false"/>
        <w:pageBreakBefore w:val="false"/>
        <w:widowControl/>
        <w:numPr>
          <w:ilvl w:val="2"/>
          <w:numId w:val="27"/>
        </w:numPr>
        <w:pBdr/>
        <w:shd w:val="clear" w:fill="auto"/>
        <w:spacing w:lineRule="auto" w:line="360" w:before="0" w:after="12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Previamente à expedição da ordem de serviço, verificar pendências, liberar áreas e/ou adotar providências cabíveis para a regularidade do início da sua execução;</w:t>
      </w:r>
    </w:p>
    <w:p>
      <w:pPr>
        <w:pStyle w:val="normal1"/>
        <w:keepNext w:val="false"/>
        <w:keepLines w:val="false"/>
        <w:pageBreakBefore w:val="false"/>
        <w:widowControl/>
        <w:pBdr/>
        <w:shd w:val="clear" w:fill="auto"/>
        <w:spacing w:lineRule="auto" w:line="360" w:before="120" w:after="120"/>
        <w:ind w:hanging="0" w:start="2160" w:end="0"/>
        <w:jc w:val="both"/>
        <w:rPr>
          <w:sz w:val="22"/>
          <w:szCs w:val="22"/>
        </w:rPr>
      </w:pPr>
      <w:r>
        <w:rPr>
          <w:sz w:val="22"/>
          <w:szCs w:val="22"/>
        </w:rPr>
      </w:r>
    </w:p>
    <w:p>
      <w:pPr>
        <w:pStyle w:val="normal1"/>
        <w:keepNext w:val="false"/>
        <w:keepLines w:val="false"/>
        <w:pageBreakBefore w:val="false"/>
        <w:widowControl/>
        <w:numPr>
          <w:ilvl w:val="0"/>
          <w:numId w:val="27"/>
        </w:numPr>
        <w:pBdr/>
        <w:shd w:val="clear" w:fill="auto"/>
        <w:spacing w:lineRule="auto" w:line="360" w:before="120" w:after="0"/>
        <w:ind w:hanging="360" w:start="720" w:end="0"/>
        <w:jc w:val="both"/>
        <w:rPr>
          <w:b/>
          <w:sz w:val="22"/>
          <w:szCs w:val="22"/>
        </w:rPr>
      </w:pPr>
      <w:r>
        <w:rPr>
          <w:rFonts w:eastAsia="Arial" w:cs="Arial"/>
          <w:b/>
          <w:i w:val="false"/>
          <w:caps w:val="false"/>
          <w:smallCaps w:val="false"/>
          <w:strike w:val="false"/>
          <w:dstrike w:val="false"/>
          <w:color w:val="000000"/>
          <w:position w:val="0"/>
          <w:sz w:val="22"/>
          <w:sz w:val="22"/>
          <w:szCs w:val="22"/>
          <w:u w:val="none"/>
          <w:shd w:fill="auto" w:val="clear"/>
          <w:vertAlign w:val="baseline"/>
        </w:rPr>
        <w:t>CLÁUSULA DÉCIMA SEGUNDA – RESPONSABILIDADES DA CONTRATADA (Art. 92, XIV, XVI e XVII, da Lei n.º 14.133/2021)</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CONTRATADO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deve cumprir todas as obrigações constantes deste contrato e de seus anexos independente de transcrição, assumindo como exclusivamente seus os riscos e as despesas decorrentes da boa e perfeita execução do objeto, observando, ainda, as obrigações a seguir dispostas:</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Manter preposto aceito pela Administração no local do serviço para representá-lo na execução do contrato;</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A indicação ou a manutenção do preposto da empresa poderá ser recusada pelo órgão ou entidade, desde que devidamente justificada, devendo a empresa designar outro para o exercício da atividade.</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Atender às determinações regulares emitidas pelo fiscal do contrato ou autoridade superior (Art. 137, II, da Lei n.º 14.133/2021) e prestar todo esclarecimento ou informação por eles solicitados;</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CONTRATANTE</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que ficará autorizado a descontar dos pagamentos devidos ou da garantia, caso exigida no edital, o valor correspondente aos danos sofridos;</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Efetuar comunicação ao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CONTRATANTE</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assim que tiver ciência da impossibilidade de realização ou finalização do serviço no prazo estabelecido, para adoção de ações de contingência cabíveis;</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Não contratar, durante a vigência do contrato, cônjuge, companheiro ou parente em linha reta, colateral ou por afinidade, até o terceiro grau, de dirigente do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CONTRATANTE</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ou do fiscal ou gestor do contrato, nos termos do art. 48, parágrafo único, da Lei n.º 14.133/2021;</w:t>
      </w:r>
    </w:p>
    <w:p>
      <w:pPr>
        <w:pStyle w:val="normal1"/>
        <w:keepNext w:val="false"/>
        <w:keepLines w:val="false"/>
        <w:pageBreakBefore w:val="false"/>
        <w:widowControl/>
        <w:numPr>
          <w:ilvl w:val="1"/>
          <w:numId w:val="27"/>
        </w:numPr>
        <w:pBdr/>
        <w:shd w:val="clear" w:fill="auto"/>
        <w:spacing w:lineRule="auto" w:line="360" w:before="0" w:after="12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Quando não for possível a verificação da regularidade no Sistema de Cadastro de Fornecedores – SICAF, 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CONTRATADO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deverá entregar ao setor responsável pela fiscalização do contrato, até o dia 30 (trinta) do mês seguinte ao da prestação dos serviços, os seguintes documentos: </w:t>
      </w:r>
    </w:p>
    <w:p>
      <w:pPr>
        <w:pStyle w:val="normal1"/>
        <w:keepNext w:val="false"/>
        <w:keepLines w:val="false"/>
        <w:pageBreakBefore w:val="false"/>
        <w:widowControl/>
        <w:numPr>
          <w:ilvl w:val="0"/>
          <w:numId w:val="8"/>
        </w:numPr>
        <w:pBdr/>
        <w:shd w:val="clear" w:fill="auto"/>
        <w:spacing w:lineRule="auto" w:line="360" w:before="120" w:after="120"/>
        <w:ind w:hanging="0" w:start="1417" w:end="0"/>
        <w:jc w:val="both"/>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Prova de regularidade relativa à Seguridade Social; </w:t>
      </w:r>
    </w:p>
    <w:p>
      <w:pPr>
        <w:pStyle w:val="normal1"/>
        <w:keepNext w:val="false"/>
        <w:keepLines w:val="false"/>
        <w:pageBreakBefore w:val="false"/>
        <w:widowControl/>
        <w:numPr>
          <w:ilvl w:val="0"/>
          <w:numId w:val="8"/>
        </w:numPr>
        <w:pBdr/>
        <w:shd w:val="clear" w:fill="auto"/>
        <w:spacing w:lineRule="auto" w:line="360" w:before="120" w:after="120"/>
        <w:ind w:hanging="0" w:start="1417" w:end="0"/>
        <w:jc w:val="both"/>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Certidão conjunta relativa aos tributos federais e à Dívida Ativa da União;</w:t>
      </w:r>
    </w:p>
    <w:p>
      <w:pPr>
        <w:pStyle w:val="normal1"/>
        <w:keepNext w:val="false"/>
        <w:keepLines w:val="false"/>
        <w:pageBreakBefore w:val="false"/>
        <w:widowControl/>
        <w:numPr>
          <w:ilvl w:val="0"/>
          <w:numId w:val="8"/>
        </w:numPr>
        <w:pBdr/>
        <w:shd w:val="clear" w:fill="auto"/>
        <w:spacing w:lineRule="auto" w:line="360" w:before="120" w:after="120"/>
        <w:ind w:hanging="0" w:start="1417" w:end="0"/>
        <w:jc w:val="both"/>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Certidões que comprovem a regularidade perante a Fazenda Municipal ou Distrital do domicílio ou sede do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CONTRATADO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normal1"/>
        <w:keepNext w:val="false"/>
        <w:keepLines w:val="false"/>
        <w:pageBreakBefore w:val="false"/>
        <w:widowControl/>
        <w:numPr>
          <w:ilvl w:val="0"/>
          <w:numId w:val="8"/>
        </w:numPr>
        <w:pBdr/>
        <w:shd w:val="clear" w:fill="auto"/>
        <w:spacing w:lineRule="auto" w:line="360" w:before="120" w:after="120"/>
        <w:ind w:hanging="0" w:start="1417" w:end="0"/>
        <w:jc w:val="both"/>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Certidão de Regularidade do FGTS – CRF; e</w:t>
      </w:r>
    </w:p>
    <w:p>
      <w:pPr>
        <w:pStyle w:val="normal1"/>
        <w:keepNext w:val="false"/>
        <w:keepLines w:val="false"/>
        <w:pageBreakBefore w:val="false"/>
        <w:widowControl/>
        <w:numPr>
          <w:ilvl w:val="0"/>
          <w:numId w:val="8"/>
        </w:numPr>
        <w:pBdr/>
        <w:shd w:val="clear" w:fill="auto"/>
        <w:spacing w:lineRule="auto" w:line="360" w:before="120" w:after="120"/>
        <w:ind w:hanging="0" w:start="1417" w:end="0"/>
        <w:jc w:val="both"/>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Certidão Negativa de Débitos Trabalhistas – CNDT; </w:t>
      </w:r>
    </w:p>
    <w:p>
      <w:pPr>
        <w:pStyle w:val="normal1"/>
        <w:keepNext w:val="false"/>
        <w:keepLines w:val="false"/>
        <w:pageBreakBefore w:val="false"/>
        <w:widowControl/>
        <w:numPr>
          <w:ilvl w:val="1"/>
          <w:numId w:val="27"/>
        </w:numPr>
        <w:pBdr/>
        <w:shd w:val="clear" w:fill="auto"/>
        <w:spacing w:lineRule="auto" w:line="360" w:before="12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CONTRATANTE</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Comunicar ao Fiscal do contrato, no prazo de 24 (vinte e quatro) horas, qualquer ocorrência anormal ou acidente que se verifique no local dos serviços.</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Prestar todo esclarecimento ou informação solicitada pelo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CONTRATANTE</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ou por seus prepostos, garantindo-lhes o acesso, a qualquer tempo, ao local dos trabalhos, bem como aos documentos relativos à execução do empreendimento;</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Paralisar, por determinação do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CONTRATANTE</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qualquer atividade que não esteja sendo executada de acordo com a boa técnica ou que ponha em risco a segurança de pessoas ou bens de terceiros;</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Promover a guarda, manutenção e vigilância de materiais, ferramentas, e tudo o que for necessário à execução do objeto, durante a vigência do contrato;</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Conduzir os trabalhos com estrita observância às normas da legislação pertinente, cumprindo as determinações dos Poderes Públicos, mantendo sempre limpo o local dos serviços e nas melhores condições de segurança, higiene e disciplina;</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Submeter previamente, por escrito, ao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CONTRATANTE</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para análise e aprovação, quaisquer mudanças nos métodos executivos que fujam às especificações do memorial descritivo ou instrumento congênere;</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Não permitir a utilização de qualquer trabalho do menor de dezesseis anos, exceto na condição de aprendiz para os maiores de quatorze anos, nem permitir a utilização do trabalho do menor de dezoito anos em trabalho noturno, perigoso ou insalubre;</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Manter durante toda a vigência do contrato, em compatibilidade com as obrigações assumidas, todas as condições exigidas para habilitação na licitação; </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Cumprir, durante todo o período de execução do contrato, a reserva de cargos prevista em lei para pessoa com deficiência, para reabilitado da Previdência Social ou para aprendiz, bem como as reservas de cargos previstas na legislação (Art. 116 da Lei n.º 14.133/2021);</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Comprovar a reserva de cargos a que se refere à cláusula acima, no prazo fixado pelo fiscal do contrato, com a indicação dos empregados que preencheram as referidas vagas (Art. 116, parágrafo único da Lei n.º 14.133/2021);</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Guardar sigilo sobre todas as informações obtidas em decorrência do cumprimento do contrato;</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Cumprir, além dos postulados legais vigentes de âmbito federal, estadual ou municipal, as normas de segurança do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CONTRATANTE</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Apresentar os empregados devidamente uniformizados e identificados por meio de crachá, além de provê-los com os Equipamentos de Proteção Individual - EPI, quando for o caso;</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Apresentar ao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CONTRATANTE</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quando for o caso, a relação nominal dos empregados que adentrarão no órgão para a execução do serviço;</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Observar os preceitos da legislação sobre a jornada de trabalho, conforme a categoria profissional;</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Atender às solicitações do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CONTRATANTE</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quanto à substituição dos empregados alocados, no prazo fixado pela fiscalização do contrato, nos casos em que ficar constatado descumprimento das obrigações relativas à execução do serviço, conforme descrito nas especificações do objeto;</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Instruir seus empregados quanto à necessidade de acatar as Normas Internas do </w:t>
      </w:r>
      <w:r>
        <w:rPr>
          <w:rFonts w:eastAsia="Arial" w:cs="Arial"/>
          <w:b/>
          <w:i w:val="false"/>
          <w:caps w:val="false"/>
          <w:smallCaps w:val="false"/>
          <w:strike w:val="false"/>
          <w:dstrike w:val="false"/>
          <w:color w:val="000000"/>
          <w:position w:val="0"/>
          <w:sz w:val="22"/>
          <w:sz w:val="22"/>
          <w:szCs w:val="22"/>
          <w:u w:val="none"/>
          <w:shd w:fill="auto" w:val="clear"/>
          <w:vertAlign w:val="baseline"/>
        </w:rPr>
        <w:t xml:space="preserve">CONTRATANTE, </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quando for o caso;</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Instruir seus empregados a respeito das atividades a serem desempenhadas, alertando-os a não executarem atividades não abrangidas pelo contrato, devendo 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CONTRATADO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relatar ao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CONTRATANTE</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toda e qualquer ocorrência neste sentido, a fim de evitar desvio de função;</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Instruir os seus empregados, quanto à prevenção de incêndios nas áreas do </w:t>
      </w:r>
      <w:r>
        <w:rPr>
          <w:rFonts w:eastAsia="Arial" w:cs="Arial"/>
          <w:b/>
          <w:i w:val="false"/>
          <w:caps w:val="false"/>
          <w:smallCaps w:val="false"/>
          <w:strike w:val="false"/>
          <w:dstrike w:val="false"/>
          <w:color w:val="000000"/>
          <w:position w:val="0"/>
          <w:sz w:val="22"/>
          <w:sz w:val="22"/>
          <w:szCs w:val="22"/>
          <w:u w:val="none"/>
          <w:shd w:fill="auto" w:val="clear"/>
          <w:vertAlign w:val="baseline"/>
        </w:rPr>
        <w:t xml:space="preserve">CONTRATANTE, </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quando for o caso;</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Adotar as providências e precauções necessárias, inclusive consulta nos respectivos órgãos, se necessário for, a fim de que não venham a ser danificadas as redes hidrossanitárias, elétricas e de comunicação, quando for o caso;</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Estar registrado ou inscrito no Conselho Profissional competente, conforme as áreas de atuação previstas no Termo de Referência, em plena validade, quando for o caso;</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Obter junto aos órgãos competentes, conforme o caso, as licenças necessárias e demais documentos e autorizações exigíveis, na forma da legislação aplicável, quando for o caso;</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Refazer, às suas expensas, os trabalhos executados em desacordo com o estabelecido nas especificações, bem como substituir aqueles realizados com materiais defeituosos ou com vício, pelo prazo de disposto no Código de Defesa do Consumidor, contado da data de emissão do Termo de Recebimento Definitivo;</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Responder por qualquer acidente de trabalho na execução dos serviços, por uso indevido de patentes registradas em nome de terceiros, por danos resultantes de defeitos ou incorreções dos serviços ou dos bens do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CONTRATANTE</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de seus funcionários ou de terceiros;</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pPr>
        <w:pStyle w:val="normal1"/>
        <w:keepNext w:val="false"/>
        <w:keepLines w:val="false"/>
        <w:pageBreakBefore w:val="false"/>
        <w:widowControl/>
        <w:numPr>
          <w:ilvl w:val="1"/>
          <w:numId w:val="27"/>
        </w:numPr>
        <w:pBdr/>
        <w:shd w:val="clear" w:fill="auto"/>
        <w:spacing w:lineRule="auto" w:line="360" w:before="0" w:after="12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Em se tratando de atividades que envolvam serviços de natureza intelectual, após a assinatura do contrato, 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CONTRATADO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deverá participar de reunião inicial, devidamente registrada em Ata, para dar início à execução do serviço, com o esclarecimento das obrigações contratuais, em que estejam presentes os técnicos responsáveis pela elaboração do termo de referência, o gestor do contrato, o fiscal técnico do contrato, o fiscal administrativo do contrato, se houver, os técnicos da área requisitante, o preposto da empresa e os gerentes das áreas que executarão os serviços contratados.</w:t>
      </w:r>
    </w:p>
    <w:p>
      <w:pPr>
        <w:pStyle w:val="normal1"/>
        <w:keepNext w:val="false"/>
        <w:keepLines w:val="false"/>
        <w:pageBreakBefore w:val="false"/>
        <w:widowControl/>
        <w:pBdr/>
        <w:shd w:val="clear" w:fill="auto"/>
        <w:spacing w:lineRule="auto" w:line="360" w:before="120" w:after="120"/>
        <w:ind w:hanging="0" w:start="1440" w:end="0"/>
        <w:jc w:val="both"/>
        <w:rPr>
          <w:sz w:val="22"/>
          <w:szCs w:val="22"/>
        </w:rPr>
      </w:pPr>
      <w:r>
        <w:rPr>
          <w:sz w:val="22"/>
          <w:szCs w:val="22"/>
        </w:rPr>
      </w:r>
    </w:p>
    <w:p>
      <w:pPr>
        <w:pStyle w:val="normal1"/>
        <w:keepNext w:val="false"/>
        <w:keepLines w:val="false"/>
        <w:pageBreakBefore w:val="false"/>
        <w:widowControl/>
        <w:numPr>
          <w:ilvl w:val="0"/>
          <w:numId w:val="27"/>
        </w:numPr>
        <w:pBdr/>
        <w:shd w:val="clear" w:fill="auto"/>
        <w:spacing w:lineRule="auto" w:line="360" w:before="120" w:after="0"/>
        <w:ind w:hanging="360" w:start="720" w:end="0"/>
        <w:jc w:val="both"/>
        <w:rPr>
          <w:b/>
          <w:sz w:val="22"/>
          <w:szCs w:val="22"/>
        </w:rPr>
      </w:pPr>
      <w:r>
        <w:rPr>
          <w:rFonts w:eastAsia="Arial" w:cs="Arial"/>
          <w:b/>
          <w:i w:val="false"/>
          <w:caps w:val="false"/>
          <w:smallCaps w:val="false"/>
          <w:strike w:val="false"/>
          <w:dstrike w:val="false"/>
          <w:color w:val="000000"/>
          <w:position w:val="0"/>
          <w:sz w:val="22"/>
          <w:sz w:val="22"/>
          <w:szCs w:val="22"/>
          <w:u w:val="none"/>
          <w:shd w:fill="auto" w:val="clear"/>
          <w:vertAlign w:val="baseline"/>
        </w:rPr>
        <w:t>CLÁUSULA DÉCIMA TERCEIRA – GARANTIA DE EXECUÇÃO (art. 92, XII, da Lei n.º 14.133/2021)</w:t>
      </w:r>
    </w:p>
    <w:p>
      <w:pPr>
        <w:pStyle w:val="normal1"/>
        <w:keepNext w:val="false"/>
        <w:keepLines w:val="false"/>
        <w:pageBreakBefore w:val="false"/>
        <w:widowControl/>
        <w:numPr>
          <w:ilvl w:val="1"/>
          <w:numId w:val="27"/>
        </w:numPr>
        <w:pBdr/>
        <w:shd w:val="clear" w:fill="auto"/>
        <w:spacing w:lineRule="auto" w:line="360" w:before="0" w:after="12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vertAlign w:val="baseline"/>
        </w:rPr>
        <w:t>Não haverá exigência de garantia contratual da execução.</w:t>
      </w:r>
    </w:p>
    <w:p>
      <w:pPr>
        <w:pStyle w:val="normal1"/>
        <w:keepNext w:val="false"/>
        <w:keepLines w:val="false"/>
        <w:pageBreakBefore w:val="false"/>
        <w:widowControl/>
        <w:pBdr/>
        <w:shd w:val="clear" w:fill="auto"/>
        <w:spacing w:lineRule="auto" w:line="360" w:before="120" w:after="120"/>
        <w:ind w:hanging="0" w:start="1440" w:end="0"/>
        <w:jc w:val="both"/>
        <w:rPr>
          <w:sz w:val="22"/>
          <w:szCs w:val="22"/>
        </w:rPr>
      </w:pPr>
      <w:r>
        <w:rPr>
          <w:sz w:val="22"/>
          <w:szCs w:val="22"/>
        </w:rPr>
      </w:r>
    </w:p>
    <w:p>
      <w:pPr>
        <w:pStyle w:val="normal1"/>
        <w:keepNext w:val="false"/>
        <w:keepLines w:val="false"/>
        <w:pageBreakBefore w:val="false"/>
        <w:widowControl/>
        <w:numPr>
          <w:ilvl w:val="0"/>
          <w:numId w:val="27"/>
        </w:numPr>
        <w:pBdr/>
        <w:shd w:val="clear" w:fill="auto"/>
        <w:spacing w:lineRule="auto" w:line="360" w:before="120" w:after="0"/>
        <w:ind w:hanging="360" w:start="720" w:end="0"/>
        <w:jc w:val="both"/>
        <w:rPr>
          <w:b/>
          <w:sz w:val="22"/>
          <w:szCs w:val="22"/>
        </w:rPr>
      </w:pPr>
      <w:r>
        <w:rPr>
          <w:rFonts w:eastAsia="Arial" w:cs="Arial"/>
          <w:b/>
          <w:i w:val="false"/>
          <w:caps w:val="false"/>
          <w:smallCaps w:val="false"/>
          <w:strike w:val="false"/>
          <w:dstrike w:val="false"/>
          <w:color w:val="000000"/>
          <w:position w:val="0"/>
          <w:sz w:val="22"/>
          <w:sz w:val="22"/>
          <w:szCs w:val="22"/>
          <w:u w:val="none"/>
          <w:shd w:fill="auto" w:val="clear"/>
          <w:vertAlign w:val="baseline"/>
        </w:rPr>
        <w:t>CLÁUSULA DÉCIMA QUARTA – OBRIGAÇÕES PERTINENTES À LGPD</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Os dados obtidos somente poderão ser utilizados para as finalidades que justificaram seu acesso e de acordo com a boa-fé e com os princípios do art. 6º da LGPD. </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É vedado o compartilhamento com terceiros dos dados obtidos fora das hipóteses permitidas em Lei.</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A Administração deverá ser informada no prazo de 5 (cinco) dias úteis sobre todos os contratos de suboperação firmados ou que venham a ser celebrados pelo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CONTRATADO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Terminado o tratamento dos dados nos termos do art. 15 da LGPD, é dever do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CONTRATADO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eliminá-los, com exceção das hipóteses do art. 16 da LGPD, incluindo aquelas em que houver necessidade de guarda de documentação para fins de comprovação do cumprimento de obrigações legais ou contratuais e somente enquanto não prescritas essas obrigações. </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É dever do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CONTRATADO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orientar e treinar seus empregados sobre os deveres, requisitos e responsabilidades decorrentes da LGPD. </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CONTRATADO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deverá exigir de suboperadores e </w:t>
      </w:r>
      <w:r>
        <w:rPr>
          <w:rFonts w:eastAsia="Arial" w:cs="Arial"/>
          <w:b/>
          <w:i w:val="false"/>
          <w:caps w:val="false"/>
          <w:smallCaps w:val="false"/>
          <w:strike w:val="false"/>
          <w:dstrike w:val="false"/>
          <w:color w:val="000000"/>
          <w:position w:val="0"/>
          <w:sz w:val="22"/>
          <w:sz w:val="22"/>
          <w:szCs w:val="22"/>
          <w:u w:val="none"/>
          <w:shd w:fill="auto" w:val="clear"/>
          <w:vertAlign w:val="baseline"/>
        </w:rPr>
        <w:t>SUBCONTRATADOS</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o cumprimento dos deveres da presente cláusula, permanecendo integralmente responsável por garantir sua observância.</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CONTRATANTE</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poderá realizar diligência para aferir o cumprimento dessa cláusula, devendo 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CONTRATADO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atender prontamente eventuais pedidos de comprovação formulados. </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CONTRATADO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deverá prestar, no prazo fixado pelo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CONTRATANTE</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prorrogável justificadamente, quaisquer informações acerca dos dados pessoais para cumprimento da LGPD, inclusive quanto à eventual descarte realizado. </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Bancos de dados formados a partir de contratos administrativos, notadamente aqueles que se proponham a armazenar dados pessoais, devem ser mantidos em ambiente virtual controlado, com registro individual rastreável de tratamentos realizados (Art. 37 da LGPD), com cada acesso, data, horário e registro da finalidade, para efeito de responsabilização, em caso de eventuais omissões, desvios ou abusos.</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Os referidos bancos de dados devem ser desenvolvidos em formato interoperável, a fim de garantir a reutilização desses dados pela Administração nas hipóteses previstas na LGPD.</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O contrato está sujeito a ser alterado nos procedimentos pertinentes ao tratamento de dados pessoais, quando indicado pela autoridade competente, em especial ao ANPD por meio de opiniões técnicas ou recomendações, editadas na forma da LGPD.</w:t>
      </w:r>
    </w:p>
    <w:p>
      <w:pPr>
        <w:pStyle w:val="normal1"/>
        <w:keepNext w:val="false"/>
        <w:keepLines w:val="false"/>
        <w:pageBreakBefore w:val="false"/>
        <w:widowControl/>
        <w:numPr>
          <w:ilvl w:val="1"/>
          <w:numId w:val="27"/>
        </w:numPr>
        <w:pBdr/>
        <w:shd w:val="clear" w:fill="auto"/>
        <w:spacing w:lineRule="auto" w:line="360" w:before="0" w:after="12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Os contratos e convênios de que trata o § 1º do art. 26 da LGPD deverão ser comunicados à autoridade nacional.</w:t>
      </w:r>
    </w:p>
    <w:p>
      <w:pPr>
        <w:pStyle w:val="normal1"/>
        <w:keepNext w:val="false"/>
        <w:keepLines w:val="false"/>
        <w:pageBreakBefore w:val="false"/>
        <w:widowControl/>
        <w:pBdr/>
        <w:shd w:val="clear" w:fill="auto"/>
        <w:spacing w:lineRule="auto" w:line="360" w:before="120" w:after="120"/>
        <w:ind w:hanging="0" w:start="1440" w:end="0"/>
        <w:jc w:val="both"/>
        <w:rPr>
          <w:sz w:val="22"/>
          <w:szCs w:val="22"/>
        </w:rPr>
      </w:pPr>
      <w:r>
        <w:rPr>
          <w:sz w:val="22"/>
          <w:szCs w:val="22"/>
        </w:rPr>
      </w:r>
    </w:p>
    <w:p>
      <w:pPr>
        <w:pStyle w:val="normal1"/>
        <w:keepNext w:val="false"/>
        <w:keepLines w:val="false"/>
        <w:pageBreakBefore w:val="false"/>
        <w:widowControl/>
        <w:numPr>
          <w:ilvl w:val="0"/>
          <w:numId w:val="27"/>
        </w:numPr>
        <w:pBdr/>
        <w:shd w:val="clear" w:fill="auto"/>
        <w:spacing w:lineRule="auto" w:line="360" w:before="120" w:after="0"/>
        <w:ind w:hanging="360" w:start="720" w:end="0"/>
        <w:jc w:val="both"/>
        <w:rPr>
          <w:b/>
          <w:sz w:val="22"/>
          <w:szCs w:val="22"/>
        </w:rPr>
      </w:pPr>
      <w:r>
        <w:rPr>
          <w:rFonts w:eastAsia="Arial" w:cs="Arial"/>
          <w:b/>
          <w:i w:val="false"/>
          <w:caps w:val="false"/>
          <w:smallCaps w:val="false"/>
          <w:strike w:val="false"/>
          <w:dstrike w:val="false"/>
          <w:color w:val="000000"/>
          <w:position w:val="0"/>
          <w:sz w:val="22"/>
          <w:sz w:val="22"/>
          <w:szCs w:val="22"/>
          <w:u w:val="none"/>
          <w:shd w:fill="auto" w:val="clear"/>
          <w:vertAlign w:val="baseline"/>
        </w:rPr>
        <w:t>CLÁUSULA DÉCIMA QUINTA – INFRAÇÕES E SANÇÕES ADMINISTRATIVAS (Art. 92, XIV, da Lei n.º 14.133/2021)</w:t>
      </w:r>
    </w:p>
    <w:p>
      <w:pPr>
        <w:pStyle w:val="normal1"/>
        <w:keepNext w:val="false"/>
        <w:keepLines w:val="false"/>
        <w:pageBreakBefore w:val="false"/>
        <w:widowControl/>
        <w:numPr>
          <w:ilvl w:val="1"/>
          <w:numId w:val="27"/>
        </w:numPr>
        <w:pBdr/>
        <w:shd w:val="clear" w:fill="auto"/>
        <w:spacing w:lineRule="auto" w:line="360" w:before="0" w:after="12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Comete infração administrativa, nos termos da Lei n.º 14.133/2021, 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CONTRATADO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que:</w:t>
      </w:r>
    </w:p>
    <w:p>
      <w:pPr>
        <w:pStyle w:val="normal1"/>
        <w:numPr>
          <w:ilvl w:val="2"/>
          <w:numId w:val="2"/>
        </w:numPr>
        <w:spacing w:lineRule="auto" w:line="360" w:before="120" w:after="120"/>
        <w:ind w:hanging="0" w:start="1417"/>
        <w:jc w:val="both"/>
        <w:rPr>
          <w:position w:val="0"/>
          <w:sz w:val="22"/>
          <w:sz w:val="22"/>
          <w:szCs w:val="22"/>
          <w:vertAlign w:val="baseline"/>
        </w:rPr>
      </w:pPr>
      <w:r>
        <w:rPr>
          <w:position w:val="0"/>
          <w:sz w:val="22"/>
          <w:sz w:val="22"/>
          <w:szCs w:val="22"/>
          <w:vertAlign w:val="baseline"/>
        </w:rPr>
        <w:t>Der causa à inexecução parcial do contrato;</w:t>
      </w:r>
    </w:p>
    <w:p>
      <w:pPr>
        <w:pStyle w:val="normal1"/>
        <w:numPr>
          <w:ilvl w:val="2"/>
          <w:numId w:val="2"/>
        </w:numPr>
        <w:spacing w:lineRule="auto" w:line="360" w:before="120" w:after="120"/>
        <w:ind w:hanging="0" w:start="1417"/>
        <w:jc w:val="both"/>
        <w:rPr>
          <w:position w:val="0"/>
          <w:sz w:val="22"/>
          <w:sz w:val="22"/>
          <w:szCs w:val="22"/>
          <w:vertAlign w:val="baseline"/>
        </w:rPr>
      </w:pPr>
      <w:r>
        <w:rPr>
          <w:position w:val="0"/>
          <w:sz w:val="22"/>
          <w:sz w:val="22"/>
          <w:szCs w:val="22"/>
          <w:vertAlign w:val="baseline"/>
        </w:rPr>
        <w:t>Der causa à inexecução parcial do contrato que cause grave dano à Administração ou ao funcionamento dos serviços públicos ou ao interesse coletivo;</w:t>
      </w:r>
    </w:p>
    <w:p>
      <w:pPr>
        <w:pStyle w:val="normal1"/>
        <w:numPr>
          <w:ilvl w:val="2"/>
          <w:numId w:val="2"/>
        </w:numPr>
        <w:spacing w:lineRule="auto" w:line="360" w:before="120" w:after="120"/>
        <w:ind w:hanging="0" w:start="1417"/>
        <w:jc w:val="both"/>
        <w:rPr>
          <w:position w:val="0"/>
          <w:sz w:val="22"/>
          <w:sz w:val="22"/>
          <w:szCs w:val="22"/>
          <w:vertAlign w:val="baseline"/>
        </w:rPr>
      </w:pPr>
      <w:r>
        <w:rPr>
          <w:position w:val="0"/>
          <w:sz w:val="22"/>
          <w:sz w:val="22"/>
          <w:szCs w:val="22"/>
          <w:vertAlign w:val="baseline"/>
        </w:rPr>
        <w:t>Der causa à inexecução total do contrato;</w:t>
      </w:r>
    </w:p>
    <w:p>
      <w:pPr>
        <w:pStyle w:val="normal1"/>
        <w:numPr>
          <w:ilvl w:val="2"/>
          <w:numId w:val="2"/>
        </w:numPr>
        <w:spacing w:lineRule="auto" w:line="360" w:before="120" w:after="120"/>
        <w:ind w:hanging="0" w:start="1417"/>
        <w:jc w:val="both"/>
        <w:rPr>
          <w:position w:val="0"/>
          <w:sz w:val="22"/>
          <w:sz w:val="22"/>
          <w:szCs w:val="22"/>
          <w:vertAlign w:val="baseline"/>
        </w:rPr>
      </w:pPr>
      <w:r>
        <w:rPr>
          <w:position w:val="0"/>
          <w:sz w:val="22"/>
          <w:sz w:val="22"/>
          <w:szCs w:val="22"/>
          <w:vertAlign w:val="baseline"/>
        </w:rPr>
        <w:t>Ensejar o retardamento da execução ou da entrega do objeto da contratação sem motivo justificado;</w:t>
      </w:r>
    </w:p>
    <w:p>
      <w:pPr>
        <w:pStyle w:val="normal1"/>
        <w:numPr>
          <w:ilvl w:val="2"/>
          <w:numId w:val="2"/>
        </w:numPr>
        <w:spacing w:lineRule="auto" w:line="360" w:before="120" w:after="120"/>
        <w:ind w:hanging="0" w:start="1417"/>
        <w:jc w:val="both"/>
        <w:rPr>
          <w:position w:val="0"/>
          <w:sz w:val="22"/>
          <w:sz w:val="22"/>
          <w:szCs w:val="22"/>
          <w:vertAlign w:val="baseline"/>
        </w:rPr>
      </w:pPr>
      <w:r>
        <w:rPr>
          <w:position w:val="0"/>
          <w:sz w:val="22"/>
          <w:sz w:val="22"/>
          <w:szCs w:val="22"/>
          <w:vertAlign w:val="baseline"/>
        </w:rPr>
        <w:t>Apresentar documentação falsa ou prestar declaração falsa durante a execução do contrato;</w:t>
      </w:r>
    </w:p>
    <w:p>
      <w:pPr>
        <w:pStyle w:val="normal1"/>
        <w:numPr>
          <w:ilvl w:val="2"/>
          <w:numId w:val="2"/>
        </w:numPr>
        <w:spacing w:lineRule="auto" w:line="360" w:before="120" w:after="120"/>
        <w:ind w:hanging="0" w:start="1417"/>
        <w:jc w:val="both"/>
        <w:rPr>
          <w:position w:val="0"/>
          <w:sz w:val="22"/>
          <w:sz w:val="22"/>
          <w:szCs w:val="22"/>
          <w:vertAlign w:val="baseline"/>
        </w:rPr>
      </w:pPr>
      <w:r>
        <w:rPr>
          <w:position w:val="0"/>
          <w:sz w:val="22"/>
          <w:sz w:val="22"/>
          <w:szCs w:val="22"/>
          <w:vertAlign w:val="baseline"/>
        </w:rPr>
        <w:t>Praticar ato fraudulento na execução do contrato;</w:t>
      </w:r>
    </w:p>
    <w:p>
      <w:pPr>
        <w:pStyle w:val="normal1"/>
        <w:numPr>
          <w:ilvl w:val="2"/>
          <w:numId w:val="2"/>
        </w:numPr>
        <w:spacing w:lineRule="auto" w:line="360" w:before="120" w:after="120"/>
        <w:ind w:hanging="0" w:start="1417"/>
        <w:jc w:val="both"/>
        <w:rPr>
          <w:position w:val="0"/>
          <w:sz w:val="22"/>
          <w:sz w:val="22"/>
          <w:szCs w:val="22"/>
          <w:vertAlign w:val="baseline"/>
        </w:rPr>
      </w:pPr>
      <w:r>
        <w:rPr>
          <w:position w:val="0"/>
          <w:sz w:val="22"/>
          <w:sz w:val="22"/>
          <w:szCs w:val="22"/>
          <w:vertAlign w:val="baseline"/>
        </w:rPr>
        <w:t>Comportar-se de modo inidôneo ou cometer fraude de qualquer natureza;</w:t>
      </w:r>
    </w:p>
    <w:p>
      <w:pPr>
        <w:pStyle w:val="normal1"/>
        <w:numPr>
          <w:ilvl w:val="2"/>
          <w:numId w:val="2"/>
        </w:numPr>
        <w:spacing w:lineRule="auto" w:line="360" w:before="120" w:after="120"/>
        <w:ind w:hanging="0" w:start="1417"/>
        <w:jc w:val="both"/>
        <w:rPr>
          <w:position w:val="0"/>
          <w:sz w:val="22"/>
          <w:sz w:val="22"/>
          <w:szCs w:val="22"/>
          <w:vertAlign w:val="baseline"/>
        </w:rPr>
      </w:pPr>
      <w:r>
        <w:rPr>
          <w:position w:val="0"/>
          <w:sz w:val="22"/>
          <w:sz w:val="22"/>
          <w:szCs w:val="22"/>
          <w:vertAlign w:val="baseline"/>
        </w:rPr>
        <w:t>Praticar ato lesivo previsto no art. 5º da Lei n.º 12.846, de 1º de agosto de 2013.</w:t>
      </w:r>
    </w:p>
    <w:p>
      <w:pPr>
        <w:pStyle w:val="normal1"/>
        <w:keepNext w:val="false"/>
        <w:keepLines w:val="false"/>
        <w:pageBreakBefore w:val="false"/>
        <w:widowControl/>
        <w:numPr>
          <w:ilvl w:val="1"/>
          <w:numId w:val="27"/>
        </w:numPr>
        <w:pBdr/>
        <w:shd w:val="clear" w:fill="auto"/>
        <w:spacing w:lineRule="auto" w:line="360" w:before="120" w:after="12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Serão aplicadas ao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CONTRATADO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que incorrer nas infrações acima descritas as seguintes sanções:</w:t>
      </w:r>
    </w:p>
    <w:p>
      <w:pPr>
        <w:pStyle w:val="normal1"/>
        <w:numPr>
          <w:ilvl w:val="2"/>
          <w:numId w:val="3"/>
        </w:numPr>
        <w:spacing w:lineRule="auto" w:line="360" w:before="120" w:after="0"/>
        <w:ind w:hanging="0" w:start="1417"/>
        <w:jc w:val="both"/>
        <w:rPr>
          <w:position w:val="0"/>
          <w:sz w:val="22"/>
          <w:sz w:val="22"/>
          <w:szCs w:val="22"/>
          <w:vertAlign w:val="baseline"/>
        </w:rPr>
      </w:pPr>
      <w:bookmarkStart w:id="1" w:name="_heading=h.loatzw75hn8d"/>
      <w:bookmarkEnd w:id="1"/>
      <w:r>
        <w:rPr>
          <w:b/>
          <w:position w:val="0"/>
          <w:sz w:val="22"/>
          <w:sz w:val="22"/>
          <w:szCs w:val="22"/>
          <w:vertAlign w:val="baseline"/>
        </w:rPr>
        <w:t>Advertência</w:t>
      </w:r>
      <w:r>
        <w:rPr>
          <w:position w:val="0"/>
          <w:sz w:val="22"/>
          <w:sz w:val="22"/>
          <w:szCs w:val="22"/>
          <w:vertAlign w:val="baseline"/>
        </w:rPr>
        <w:t xml:space="preserve">, quando o </w:t>
      </w:r>
      <w:r>
        <w:rPr>
          <w:b/>
          <w:position w:val="0"/>
          <w:sz w:val="22"/>
          <w:sz w:val="22"/>
          <w:szCs w:val="22"/>
          <w:vertAlign w:val="baseline"/>
        </w:rPr>
        <w:t>CONTRATADO</w:t>
      </w:r>
      <w:r>
        <w:rPr>
          <w:position w:val="0"/>
          <w:sz w:val="22"/>
          <w:sz w:val="22"/>
          <w:szCs w:val="22"/>
          <w:vertAlign w:val="baseline"/>
        </w:rPr>
        <w:t xml:space="preserve"> der causa à inexecução parcial do contrato, sempre que não se justificar a imposição de penalidade mais grave (Art. 156, §2º, da Lei n.º 14.133/2021);</w:t>
      </w:r>
    </w:p>
    <w:p>
      <w:pPr>
        <w:pStyle w:val="normal1"/>
        <w:numPr>
          <w:ilvl w:val="2"/>
          <w:numId w:val="3"/>
        </w:numPr>
        <w:spacing w:lineRule="auto" w:line="360" w:before="0" w:after="0"/>
        <w:ind w:hanging="0" w:start="1417"/>
        <w:jc w:val="both"/>
        <w:rPr>
          <w:position w:val="0"/>
          <w:sz w:val="22"/>
          <w:sz w:val="22"/>
          <w:szCs w:val="22"/>
          <w:vertAlign w:val="baseline"/>
        </w:rPr>
      </w:pPr>
      <w:r>
        <w:rPr>
          <w:b/>
          <w:position w:val="0"/>
          <w:sz w:val="22"/>
          <w:sz w:val="22"/>
          <w:szCs w:val="22"/>
          <w:vertAlign w:val="baseline"/>
        </w:rPr>
        <w:t>Impedimento de licitar e contratar</w:t>
      </w:r>
      <w:r>
        <w:rPr>
          <w:position w:val="0"/>
          <w:sz w:val="22"/>
          <w:sz w:val="22"/>
          <w:szCs w:val="22"/>
          <w:vertAlign w:val="baseline"/>
        </w:rPr>
        <w:t>, quando praticadas as condutas descritas nas alíneas “b”, “c” e “d” do subitem acima deste contrato, sempre que não se justificar a imposição de penalidade mais grave (Art. 156, § 4º, da Lei n.º 14.133/2021);</w:t>
      </w:r>
    </w:p>
    <w:p>
      <w:pPr>
        <w:pStyle w:val="normal1"/>
        <w:numPr>
          <w:ilvl w:val="2"/>
          <w:numId w:val="3"/>
        </w:numPr>
        <w:spacing w:lineRule="auto" w:line="360" w:before="0" w:after="0"/>
        <w:ind w:hanging="0" w:start="1417"/>
        <w:jc w:val="both"/>
        <w:rPr>
          <w:position w:val="0"/>
          <w:sz w:val="22"/>
          <w:sz w:val="22"/>
          <w:szCs w:val="22"/>
          <w:vertAlign w:val="baseline"/>
        </w:rPr>
      </w:pPr>
      <w:r>
        <w:rPr>
          <w:b/>
          <w:position w:val="0"/>
          <w:sz w:val="22"/>
          <w:sz w:val="22"/>
          <w:szCs w:val="22"/>
          <w:vertAlign w:val="baseline"/>
        </w:rPr>
        <w:t>Declaração de inidoneidade para licitar e contratar</w:t>
      </w:r>
      <w:r>
        <w:rPr>
          <w:position w:val="0"/>
          <w:sz w:val="22"/>
          <w:sz w:val="22"/>
          <w:szCs w:val="22"/>
          <w:vertAlign w:val="baseline"/>
        </w:rPr>
        <w:t>, quando praticadas as condutas descritas nas alíneas “e”, “f”, “g” e “h” do subitem acima deste contrato, bem como nas alíneas “b”, “c” e “d”, que justifiquem a imposição de penalidade mais grave (Art. 156, § 5º, da Lei n.º 14.133/2021).</w:t>
      </w:r>
    </w:p>
    <w:p>
      <w:pPr>
        <w:pStyle w:val="normal1"/>
        <w:numPr>
          <w:ilvl w:val="2"/>
          <w:numId w:val="3"/>
        </w:numPr>
        <w:spacing w:lineRule="auto" w:line="360" w:before="0" w:after="0"/>
        <w:ind w:hanging="0" w:start="1417"/>
        <w:jc w:val="both"/>
        <w:rPr>
          <w:color w:val="000000"/>
          <w:position w:val="0"/>
          <w:sz w:val="22"/>
          <w:sz w:val="22"/>
          <w:szCs w:val="22"/>
          <w:vertAlign w:val="baseline"/>
        </w:rPr>
      </w:pPr>
      <w:r>
        <w:rPr>
          <w:b/>
          <w:position w:val="0"/>
          <w:sz w:val="22"/>
          <w:sz w:val="22"/>
          <w:szCs w:val="22"/>
          <w:vertAlign w:val="baseline"/>
        </w:rPr>
        <w:t>Multa</w:t>
      </w:r>
    </w:p>
    <w:p>
      <w:pPr>
        <w:pStyle w:val="normal1"/>
        <w:numPr>
          <w:ilvl w:val="3"/>
          <w:numId w:val="3"/>
        </w:numPr>
        <w:spacing w:lineRule="auto" w:line="360" w:before="0" w:after="0"/>
        <w:ind w:hanging="0" w:start="1417"/>
        <w:jc w:val="both"/>
        <w:rPr>
          <w:color w:val="000000"/>
          <w:position w:val="0"/>
          <w:sz w:val="22"/>
          <w:sz w:val="22"/>
          <w:szCs w:val="22"/>
          <w:vertAlign w:val="baseline"/>
        </w:rPr>
      </w:pPr>
      <w:r>
        <w:rPr>
          <w:position w:val="0"/>
          <w:sz w:val="22"/>
          <w:sz w:val="22"/>
          <w:szCs w:val="22"/>
          <w:vertAlign w:val="baseline"/>
        </w:rPr>
        <w:t>Moratória de 1,0% (hum por cento) por dia de atraso injustificado sobre o valor da parcela inadimplida, até o limite de 20 (vinte) dias;</w:t>
      </w:r>
    </w:p>
    <w:p>
      <w:pPr>
        <w:pStyle w:val="normal1"/>
        <w:numPr>
          <w:ilvl w:val="3"/>
          <w:numId w:val="3"/>
        </w:numPr>
        <w:spacing w:lineRule="auto" w:line="360" w:before="0" w:after="0"/>
        <w:ind w:hanging="0" w:start="1417"/>
        <w:jc w:val="both"/>
        <w:rPr>
          <w:color w:val="000000"/>
          <w:position w:val="0"/>
          <w:sz w:val="22"/>
          <w:sz w:val="22"/>
          <w:szCs w:val="22"/>
          <w:vertAlign w:val="baseline"/>
        </w:rPr>
      </w:pPr>
      <w:r>
        <w:rPr>
          <w:position w:val="0"/>
          <w:sz w:val="22"/>
          <w:sz w:val="22"/>
          <w:szCs w:val="22"/>
          <w:vertAlign w:val="baseline"/>
        </w:rPr>
        <w:t xml:space="preserve">Compensatória de </w:t>
      </w:r>
      <w:r>
        <w:rPr>
          <w:sz w:val="22"/>
          <w:szCs w:val="22"/>
        </w:rPr>
        <w:t>3</w:t>
      </w:r>
      <w:r>
        <w:rPr>
          <w:position w:val="0"/>
          <w:sz w:val="22"/>
          <w:sz w:val="22"/>
          <w:szCs w:val="22"/>
          <w:vertAlign w:val="baseline"/>
        </w:rPr>
        <w:t>0% (</w:t>
      </w:r>
      <w:r>
        <w:rPr>
          <w:sz w:val="22"/>
          <w:szCs w:val="22"/>
        </w:rPr>
        <w:t>trinta</w:t>
      </w:r>
      <w:r>
        <w:rPr>
          <w:position w:val="0"/>
          <w:sz w:val="22"/>
          <w:sz w:val="22"/>
          <w:szCs w:val="22"/>
          <w:vertAlign w:val="baseline"/>
        </w:rPr>
        <w:t xml:space="preserve"> por cento) sobre o valor total do contrato, no caso de inexecução total do objeto.</w:t>
      </w:r>
    </w:p>
    <w:p>
      <w:pPr>
        <w:pStyle w:val="normal1"/>
        <w:numPr>
          <w:ilvl w:val="2"/>
          <w:numId w:val="3"/>
        </w:numPr>
        <w:spacing w:lineRule="auto" w:line="360" w:before="0" w:after="120"/>
        <w:ind w:hanging="0" w:start="1417"/>
        <w:jc w:val="both"/>
        <w:rPr>
          <w:color w:val="000000"/>
          <w:position w:val="0"/>
          <w:sz w:val="22"/>
          <w:sz w:val="22"/>
          <w:szCs w:val="22"/>
          <w:vertAlign w:val="baseline"/>
        </w:rPr>
      </w:pPr>
      <w:r>
        <w:rPr>
          <w:position w:val="0"/>
          <w:sz w:val="22"/>
          <w:sz w:val="22"/>
          <w:szCs w:val="22"/>
          <w:vertAlign w:val="baseline"/>
        </w:rPr>
        <w:t xml:space="preserve">O atraso superior a 30 (trinta) dias autoriza a Administração a promover a extinção do contrato por descumprimento ou cumprimento irregular de suas cláusulas, conforme dispõe o inciso I do art. 137 da Lei n.º 14.133/2021. </w:t>
      </w:r>
    </w:p>
    <w:p>
      <w:pPr>
        <w:pStyle w:val="normal1"/>
        <w:keepNext w:val="false"/>
        <w:keepLines w:val="false"/>
        <w:pageBreakBefore w:val="false"/>
        <w:widowControl/>
        <w:numPr>
          <w:ilvl w:val="1"/>
          <w:numId w:val="27"/>
        </w:numPr>
        <w:pBdr/>
        <w:shd w:val="clear" w:fill="auto"/>
        <w:spacing w:lineRule="auto" w:line="360" w:before="12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A aplicação das sanções previstas neste contrato não exclui, em hipótese alguma, a obrigação de reparação integral do dano causado ao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CONTRATANTE</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(Art. 156, §9º, da Lei n.º 14.133/2021).</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Todas as sanções previstas neste contrato poderão ser aplicadas cumulativamente com a multa (Art. 156, §7º, da Lei n.º 14.133/2021).</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Antes da aplicação da multa será facultada a defesa do interessado no prazo de 15 (quinze) dias úteis, contado da data de sua intimação (Art. 157 da Lei n.º 14.133/2021).</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Se a multa aplicada e as indenizações cabíveis forem superiores ao valor do pagamento eventualmente devido pelo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CONTRATANTE</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ao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CONTRATADO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além da perda desse valor, a diferença será descontada da garantia prestada ou será cobrada judicialmente (Art. 156, §8º, da Lei n.º 14.133/2021).</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Previamente ao encaminhamento à cobrança judicial, a multa poderá ser recolhida administrativamente no prazo máximo de 20 (vinte) dias, a contar da data do recebimento da comunicação enviada pela autoridade competente.</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A aplicação das sanções realizar-se-á em processo administrativo que assegure o contraditório e a ampla defesa ao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CONTRATADO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observando-se o procedimento previsto no caput e parágrafos do art. 158 da Lei n.º 14.133/2021, para as penalidades de impedimento de licitar e contratar e de declaração de inidoneidade para licitar ou contratar.</w:t>
      </w:r>
    </w:p>
    <w:p>
      <w:pPr>
        <w:pStyle w:val="normal1"/>
        <w:keepNext w:val="false"/>
        <w:keepLines w:val="false"/>
        <w:pageBreakBefore w:val="false"/>
        <w:widowControl/>
        <w:numPr>
          <w:ilvl w:val="1"/>
          <w:numId w:val="27"/>
        </w:numPr>
        <w:pBdr/>
        <w:shd w:val="clear" w:fill="auto"/>
        <w:spacing w:lineRule="auto" w:line="360" w:before="0" w:after="12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Na aplicação das sanções serão considerados (Art. 156, § 1º, da Lei n.º 14.133/2021):</w:t>
      </w:r>
    </w:p>
    <w:p>
      <w:pPr>
        <w:pStyle w:val="normal1"/>
        <w:numPr>
          <w:ilvl w:val="0"/>
          <w:numId w:val="9"/>
        </w:numPr>
        <w:spacing w:lineRule="auto" w:line="360" w:before="120" w:after="0"/>
        <w:ind w:hanging="0" w:start="1417"/>
        <w:jc w:val="both"/>
        <w:rPr>
          <w:position w:val="0"/>
          <w:sz w:val="22"/>
          <w:sz w:val="22"/>
          <w:szCs w:val="22"/>
          <w:vertAlign w:val="baseline"/>
        </w:rPr>
      </w:pPr>
      <w:r>
        <w:rPr>
          <w:position w:val="0"/>
          <w:sz w:val="22"/>
          <w:sz w:val="22"/>
          <w:szCs w:val="22"/>
          <w:vertAlign w:val="baseline"/>
        </w:rPr>
        <w:t>A natureza e a gravidade da infração cometida;</w:t>
      </w:r>
    </w:p>
    <w:p>
      <w:pPr>
        <w:pStyle w:val="normal1"/>
        <w:numPr>
          <w:ilvl w:val="0"/>
          <w:numId w:val="9"/>
        </w:numPr>
        <w:spacing w:lineRule="auto" w:line="360" w:before="0" w:after="0"/>
        <w:ind w:hanging="0" w:start="1417"/>
        <w:jc w:val="both"/>
        <w:rPr>
          <w:position w:val="0"/>
          <w:sz w:val="22"/>
          <w:sz w:val="22"/>
          <w:szCs w:val="22"/>
          <w:vertAlign w:val="baseline"/>
        </w:rPr>
      </w:pPr>
      <w:r>
        <w:rPr>
          <w:position w:val="0"/>
          <w:sz w:val="22"/>
          <w:sz w:val="22"/>
          <w:szCs w:val="22"/>
          <w:vertAlign w:val="baseline"/>
        </w:rPr>
        <w:t>As peculiaridades do caso concreto;</w:t>
      </w:r>
    </w:p>
    <w:p>
      <w:pPr>
        <w:pStyle w:val="normal1"/>
        <w:numPr>
          <w:ilvl w:val="0"/>
          <w:numId w:val="9"/>
        </w:numPr>
        <w:spacing w:lineRule="auto" w:line="360" w:before="0" w:after="0"/>
        <w:ind w:hanging="0" w:start="1417"/>
        <w:jc w:val="both"/>
        <w:rPr>
          <w:position w:val="0"/>
          <w:sz w:val="22"/>
          <w:sz w:val="22"/>
          <w:szCs w:val="22"/>
          <w:vertAlign w:val="baseline"/>
        </w:rPr>
      </w:pPr>
      <w:r>
        <w:rPr>
          <w:position w:val="0"/>
          <w:sz w:val="22"/>
          <w:sz w:val="22"/>
          <w:szCs w:val="22"/>
          <w:vertAlign w:val="baseline"/>
        </w:rPr>
        <w:t>As circunstâncias agravantes ou atenuantes;</w:t>
      </w:r>
    </w:p>
    <w:p>
      <w:pPr>
        <w:pStyle w:val="normal1"/>
        <w:numPr>
          <w:ilvl w:val="0"/>
          <w:numId w:val="9"/>
        </w:numPr>
        <w:spacing w:lineRule="auto" w:line="360" w:before="0" w:after="0"/>
        <w:ind w:hanging="0" w:start="1417"/>
        <w:jc w:val="both"/>
        <w:rPr>
          <w:position w:val="0"/>
          <w:sz w:val="22"/>
          <w:sz w:val="22"/>
          <w:szCs w:val="22"/>
          <w:vertAlign w:val="baseline"/>
        </w:rPr>
      </w:pPr>
      <w:r>
        <w:rPr>
          <w:position w:val="0"/>
          <w:sz w:val="22"/>
          <w:sz w:val="22"/>
          <w:szCs w:val="22"/>
          <w:vertAlign w:val="baseline"/>
        </w:rPr>
        <w:t xml:space="preserve">Os danos que dela provierem para o </w:t>
      </w:r>
      <w:r>
        <w:rPr>
          <w:b/>
          <w:position w:val="0"/>
          <w:sz w:val="22"/>
          <w:sz w:val="22"/>
          <w:szCs w:val="22"/>
          <w:vertAlign w:val="baseline"/>
        </w:rPr>
        <w:t>CONTRATANTE</w:t>
      </w:r>
      <w:r>
        <w:rPr>
          <w:position w:val="0"/>
          <w:sz w:val="22"/>
          <w:sz w:val="22"/>
          <w:szCs w:val="22"/>
          <w:vertAlign w:val="baseline"/>
        </w:rPr>
        <w:t>;</w:t>
      </w:r>
    </w:p>
    <w:p>
      <w:pPr>
        <w:pStyle w:val="normal1"/>
        <w:numPr>
          <w:ilvl w:val="0"/>
          <w:numId w:val="9"/>
        </w:numPr>
        <w:spacing w:lineRule="auto" w:line="360" w:before="0" w:after="120"/>
        <w:ind w:hanging="0" w:start="1417"/>
        <w:jc w:val="both"/>
        <w:rPr>
          <w:position w:val="0"/>
          <w:sz w:val="22"/>
          <w:sz w:val="22"/>
          <w:szCs w:val="22"/>
          <w:vertAlign w:val="baseline"/>
        </w:rPr>
      </w:pPr>
      <w:r>
        <w:rPr>
          <w:position w:val="0"/>
          <w:sz w:val="22"/>
          <w:sz w:val="22"/>
          <w:szCs w:val="22"/>
          <w:vertAlign w:val="baseline"/>
        </w:rPr>
        <w:t>A implantação ou o aperfeiçoamento de programa de integridade, conforme normas e orientações dos órgãos de controle.</w:t>
      </w:r>
    </w:p>
    <w:p>
      <w:pPr>
        <w:pStyle w:val="normal1"/>
        <w:keepNext w:val="false"/>
        <w:keepLines w:val="false"/>
        <w:pageBreakBefore w:val="false"/>
        <w:widowControl/>
        <w:numPr>
          <w:ilvl w:val="1"/>
          <w:numId w:val="27"/>
        </w:numPr>
        <w:pBdr/>
        <w:shd w:val="clear" w:fill="auto"/>
        <w:spacing w:lineRule="auto" w:line="360" w:before="12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Os atos previstos como infrações administrativas na Lei n.º 14.133/2021, ou em outras leis de licitações e contratos da Administração Pública que também sejam tipificados como atos lesivos na Lei n.º 12.846, de 2013, serão apurados e julgados conjuntamente, nos mesmos autos, observados o rito procedimental e autoridade competente definidos na Lei (Art. 159 da Lei n.º 14.133/2021).</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A personalidade jurídica do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CONTRATADO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CONTRATADO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observados, em todos os casos, o contraditório, a ampla defesa e a obrigatoriedade de análise jurídica prévia (Art. 160 da Lei n.º 14.133/2021).</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CONTRATANTE</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14.133/2021).</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As sanções de impedimento de licitar e contratar e declaração de inidoneidade para licitar ou contratar são passíveis de reabilitação na forma do art. 163 da Lei n.º 14.133/2021.</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Os débitos do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CONTRATADO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para com a Administração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CONTRATANTE</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resultantes de multa administrativa e/ou indenizações, não inscritos em dívida ativa, poderão ser compensados, total ou parcialmente, com os créditos devidos pelo referido órgão decorrentes deste mesmo contrato ou de outros contratos administrativos que 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CONTRATADO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possua com o mesmo órgão, ora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CONTRATANTE</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na forma da Instrução Normativa SEGES/ME n.º 26, de 13 de abril de 2022. </w:t>
      </w:r>
    </w:p>
    <w:p>
      <w:pPr>
        <w:pStyle w:val="normal1"/>
        <w:keepNext w:val="false"/>
        <w:keepLines w:val="false"/>
        <w:pageBreakBefore w:val="false"/>
        <w:widowControl/>
        <w:numPr>
          <w:ilvl w:val="0"/>
          <w:numId w:val="27"/>
        </w:numPr>
        <w:pBdr/>
        <w:shd w:val="clear" w:fill="auto"/>
        <w:spacing w:lineRule="auto" w:line="360" w:before="0" w:after="0"/>
        <w:ind w:hanging="360" w:start="720" w:end="0"/>
        <w:jc w:val="both"/>
        <w:rPr>
          <w:b/>
          <w:sz w:val="22"/>
          <w:szCs w:val="22"/>
        </w:rPr>
      </w:pPr>
      <w:r>
        <w:rPr>
          <w:rFonts w:eastAsia="Arial" w:cs="Arial"/>
          <w:b/>
          <w:i w:val="false"/>
          <w:caps w:val="false"/>
          <w:smallCaps w:val="false"/>
          <w:strike w:val="false"/>
          <w:dstrike w:val="false"/>
          <w:color w:val="000000"/>
          <w:position w:val="0"/>
          <w:sz w:val="22"/>
          <w:sz w:val="22"/>
          <w:szCs w:val="22"/>
          <w:u w:val="none"/>
          <w:shd w:fill="auto" w:val="clear"/>
          <w:vertAlign w:val="baseline"/>
        </w:rPr>
        <w:t>CLÁUSULA DÉCIMA SEXTA – EXTINÇÃO CONTRATUAL</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O contrato será extinto quando vencido o prazo nele estipulado, independentemente de terem sido cumpridas ou não as obrigações de ambas as partes contraentes.</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O contrato poderá ser extinto antes do prazo nele fixado, sem ônus para 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CONTRATANTE</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quando esta não dispuser de créditos orçamentários para sua continuidade ou quando entender que o contrato não mais lhe oferece vantagem.</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A extinção nesta hipótese ocorrerá na próxima data de aniversário do contrato, desde que haja a notificação do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CONTRATADO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pelo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CONTRATANTE</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nesse sentido com pelo menos 2 (dois) meses de antecedência desse dia.</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Caso a notificação da não-continuidade do contrato de que trata este subitem ocorra com menos de 2 (dois) meses da data de aniversário, a extinção contratual ocorrerá após 2 (dois) meses da data da comunicação.</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O contrato poderá ser extinto antes de cumpridas as obrigações nele estipuladas, ou antes do prazo nele fixado, por algum dos motivos previstos no art. 137 da Lei n.º 14.133/21, bem como amigavelmente, assegurados o contraditório e a ampla defesa.</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Nesta hipótese, aplicam-se também os arts. 138 e 139 da mesma Lei;</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A alteração social ou a modificação da finalidade ou da estrutura da empresa não ensejará a extinção se não restringir sua capacidade de concluir o contrato;</w:t>
      </w:r>
    </w:p>
    <w:p>
      <w:pPr>
        <w:pStyle w:val="normal1"/>
        <w:keepNext w:val="false"/>
        <w:keepLines w:val="false"/>
        <w:pageBreakBefore w:val="false"/>
        <w:widowControl/>
        <w:numPr>
          <w:ilvl w:val="3"/>
          <w:numId w:val="27"/>
        </w:numPr>
        <w:pBdr/>
        <w:shd w:val="clear" w:fill="auto"/>
        <w:spacing w:lineRule="auto" w:line="360" w:before="0" w:after="0"/>
        <w:ind w:hanging="360" w:start="288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Se a operação implicar mudança da pessoa jurídica contratada, deverá ser formalizado termo aditivo para alteração subjetiva.</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O termo de extinção, sempre que possível, será precedido:</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Balanço dos eventos contratuais já cumpridos ou parcialmente cumpridos;</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Relação dos pagamentos já efetuados e ainda devidos;</w:t>
      </w:r>
    </w:p>
    <w:p>
      <w:pPr>
        <w:pStyle w:val="normal1"/>
        <w:keepNext w:val="false"/>
        <w:keepLines w:val="false"/>
        <w:pageBreakBefore w:val="false"/>
        <w:widowControl/>
        <w:numPr>
          <w:ilvl w:val="2"/>
          <w:numId w:val="27"/>
        </w:numPr>
        <w:pBdr/>
        <w:shd w:val="clear" w:fill="auto"/>
        <w:spacing w:lineRule="auto" w:line="360" w:before="0" w:after="0"/>
        <w:ind w:hanging="360" w:start="216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Indenizações e multas.</w:t>
      </w:r>
    </w:p>
    <w:p>
      <w:pPr>
        <w:pStyle w:val="normal1"/>
        <w:keepNext w:val="false"/>
        <w:keepLines w:val="false"/>
        <w:pageBreakBefore w:val="false"/>
        <w:widowControl/>
        <w:numPr>
          <w:ilvl w:val="1"/>
          <w:numId w:val="27"/>
        </w:numPr>
        <w:pBdr/>
        <w:shd w:val="clear" w:fill="auto"/>
        <w:spacing w:lineRule="auto" w:line="360" w:before="0" w:after="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A extinção do contrato não configura óbice para o reconhecimento do desequilíbrio econômico-financeiro, hipótese em que será concedida indenização por meio de termo indenizatório (Art. 131, caput, da Lei n.º 14.133/2021).</w:t>
      </w:r>
    </w:p>
    <w:p>
      <w:pPr>
        <w:pStyle w:val="normal1"/>
        <w:keepNext w:val="false"/>
        <w:keepLines w:val="false"/>
        <w:pageBreakBefore w:val="false"/>
        <w:widowControl/>
        <w:numPr>
          <w:ilvl w:val="1"/>
          <w:numId w:val="27"/>
        </w:numPr>
        <w:pBdr/>
        <w:shd w:val="clear" w:fill="auto"/>
        <w:spacing w:lineRule="auto" w:line="360" w:before="0" w:after="12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O contrato poderá ser extinto caso se constate que 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CONTRATADO</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mantém vínculo de natureza técnica, comercial, econômica, financeira, trabalhista ou civil com dirigente do órgão ou entidade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CONTRATANTE</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ou com agente público que tenha desempenhado função na licitação ou atue na fiscalização ou na gestão do contrato, ou que deles seja cônjuge, companheiro ou parente em linha reta, colateral ou por afinidade, até o terceiro grau (Art. 14, IV, da Lei n.º 14.133/2021).</w:t>
      </w:r>
    </w:p>
    <w:p>
      <w:pPr>
        <w:pStyle w:val="normal1"/>
        <w:keepNext w:val="false"/>
        <w:keepLines w:val="false"/>
        <w:pageBreakBefore w:val="false"/>
        <w:widowControl/>
        <w:pBdr/>
        <w:shd w:val="clear" w:fill="auto"/>
        <w:spacing w:lineRule="auto" w:line="360" w:before="120" w:after="120"/>
        <w:ind w:hanging="0" w:start="1440" w:end="0"/>
        <w:jc w:val="both"/>
        <w:rPr>
          <w:sz w:val="22"/>
          <w:szCs w:val="22"/>
        </w:rPr>
      </w:pPr>
      <w:r>
        <w:rPr>
          <w:sz w:val="22"/>
          <w:szCs w:val="22"/>
        </w:rPr>
      </w:r>
    </w:p>
    <w:p>
      <w:pPr>
        <w:pStyle w:val="normal1"/>
        <w:keepNext w:val="false"/>
        <w:keepLines w:val="false"/>
        <w:pageBreakBefore w:val="false"/>
        <w:widowControl/>
        <w:numPr>
          <w:ilvl w:val="0"/>
          <w:numId w:val="27"/>
        </w:numPr>
        <w:pBdr/>
        <w:shd w:val="clear" w:fill="auto"/>
        <w:spacing w:lineRule="auto" w:line="360" w:before="120" w:after="0"/>
        <w:ind w:hanging="360" w:start="720" w:end="0"/>
        <w:jc w:val="both"/>
        <w:rPr>
          <w:b/>
          <w:sz w:val="22"/>
          <w:szCs w:val="22"/>
        </w:rPr>
      </w:pPr>
      <w:r>
        <w:rPr>
          <w:rFonts w:eastAsia="Arial" w:cs="Arial"/>
          <w:b/>
          <w:i w:val="false"/>
          <w:caps w:val="false"/>
          <w:smallCaps w:val="false"/>
          <w:strike w:val="false"/>
          <w:dstrike w:val="false"/>
          <w:color w:val="000000"/>
          <w:position w:val="0"/>
          <w:sz w:val="22"/>
          <w:sz w:val="22"/>
          <w:szCs w:val="22"/>
          <w:u w:val="none"/>
          <w:shd w:fill="auto" w:val="clear"/>
          <w:vertAlign w:val="baseline"/>
        </w:rPr>
        <w:t>CLÁUSULA DÉCIMA SÉTIMA – LEGISLAÇÃO APLICÁVEL</w:t>
      </w:r>
    </w:p>
    <w:p>
      <w:pPr>
        <w:pStyle w:val="normal1"/>
        <w:keepNext w:val="false"/>
        <w:keepLines w:val="false"/>
        <w:pageBreakBefore w:val="false"/>
        <w:widowControl/>
        <w:numPr>
          <w:ilvl w:val="1"/>
          <w:numId w:val="27"/>
        </w:numPr>
        <w:pBdr/>
        <w:shd w:val="clear" w:fill="auto"/>
        <w:spacing w:lineRule="auto" w:line="360" w:before="0" w:after="12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Nos termos do previsto no artigo 92, III, da Lei n.º 14.133/2021, aplica-se ao presente contrato a presente legislação:</w:t>
      </w:r>
    </w:p>
    <w:p>
      <w:pPr>
        <w:pStyle w:val="normal1"/>
        <w:keepNext w:val="false"/>
        <w:keepLines w:val="false"/>
        <w:pageBreakBefore w:val="false"/>
        <w:widowControl/>
        <w:numPr>
          <w:ilvl w:val="0"/>
          <w:numId w:val="7"/>
        </w:numPr>
        <w:pBdr/>
        <w:shd w:val="clear" w:fill="auto"/>
        <w:spacing w:lineRule="auto" w:line="360" w:before="120" w:after="120"/>
        <w:ind w:hanging="0" w:start="1417" w:end="0"/>
        <w:jc w:val="both"/>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Lei n.º 14.133/2021;</w:t>
      </w:r>
    </w:p>
    <w:p>
      <w:pPr>
        <w:pStyle w:val="normal1"/>
        <w:keepNext w:val="false"/>
        <w:keepLines w:val="false"/>
        <w:pageBreakBefore w:val="false"/>
        <w:widowControl/>
        <w:numPr>
          <w:ilvl w:val="0"/>
          <w:numId w:val="7"/>
        </w:numPr>
        <w:pBdr/>
        <w:shd w:val="clear" w:fill="auto"/>
        <w:spacing w:lineRule="auto" w:line="360" w:before="120" w:after="120"/>
        <w:ind w:hanging="0" w:start="1417" w:end="0"/>
        <w:jc w:val="both"/>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Lei Complementar n.º 123/2006;</w:t>
      </w:r>
    </w:p>
    <w:p>
      <w:pPr>
        <w:pStyle w:val="normal1"/>
        <w:keepNext w:val="false"/>
        <w:keepLines w:val="false"/>
        <w:pageBreakBefore w:val="false"/>
        <w:widowControl/>
        <w:numPr>
          <w:ilvl w:val="0"/>
          <w:numId w:val="7"/>
        </w:numPr>
        <w:pBdr/>
        <w:shd w:val="clear" w:fill="auto"/>
        <w:spacing w:lineRule="auto" w:line="360" w:before="120" w:after="120"/>
        <w:ind w:hanging="0" w:start="1417" w:end="0"/>
        <w:jc w:val="both"/>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Lei n.º 13.709/2018 (LGPD);</w:t>
      </w:r>
    </w:p>
    <w:p>
      <w:pPr>
        <w:pStyle w:val="normal1"/>
        <w:keepNext w:val="false"/>
        <w:keepLines w:val="false"/>
        <w:pageBreakBefore w:val="false"/>
        <w:widowControl/>
        <w:numPr>
          <w:ilvl w:val="0"/>
          <w:numId w:val="7"/>
        </w:numPr>
        <w:pBdr/>
        <w:shd w:val="clear" w:fill="auto"/>
        <w:spacing w:lineRule="auto" w:line="360" w:before="120" w:after="120"/>
        <w:ind w:hanging="0" w:start="1417" w:end="0"/>
        <w:jc w:val="both"/>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Código de Defesa do Consumidor;</w:t>
      </w:r>
    </w:p>
    <w:p>
      <w:pPr>
        <w:pStyle w:val="normal1"/>
        <w:keepNext w:val="false"/>
        <w:keepLines w:val="false"/>
        <w:pageBreakBefore w:val="false"/>
        <w:widowControl/>
        <w:numPr>
          <w:ilvl w:val="0"/>
          <w:numId w:val="7"/>
        </w:numPr>
        <w:pBdr/>
        <w:shd w:val="clear" w:fill="auto"/>
        <w:spacing w:lineRule="auto" w:line="360" w:before="120" w:after="120"/>
        <w:ind w:hanging="0" w:start="1417" w:end="0"/>
        <w:jc w:val="both"/>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Código Civil;</w:t>
      </w:r>
    </w:p>
    <w:p>
      <w:pPr>
        <w:pStyle w:val="normal1"/>
        <w:keepNext w:val="false"/>
        <w:keepLines w:val="false"/>
        <w:pageBreakBefore w:val="false"/>
        <w:widowControl/>
        <w:numPr>
          <w:ilvl w:val="0"/>
          <w:numId w:val="7"/>
        </w:numPr>
        <w:pBdr/>
        <w:shd w:val="clear" w:fill="auto"/>
        <w:spacing w:lineRule="auto" w:line="360" w:before="120" w:after="120"/>
        <w:ind w:hanging="0" w:start="1417" w:end="0"/>
        <w:jc w:val="both"/>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Código Penal;</w:t>
      </w:r>
    </w:p>
    <w:p>
      <w:pPr>
        <w:pStyle w:val="normal1"/>
        <w:keepNext w:val="false"/>
        <w:keepLines w:val="false"/>
        <w:pageBreakBefore w:val="false"/>
        <w:widowControl/>
        <w:numPr>
          <w:ilvl w:val="0"/>
          <w:numId w:val="7"/>
        </w:numPr>
        <w:pBdr/>
        <w:shd w:val="clear" w:fill="auto"/>
        <w:spacing w:lineRule="auto" w:line="360" w:before="120" w:after="120"/>
        <w:ind w:hanging="0" w:start="1417" w:end="0"/>
        <w:jc w:val="both"/>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Código Processo Civil;</w:t>
      </w:r>
    </w:p>
    <w:p>
      <w:pPr>
        <w:pStyle w:val="normal1"/>
        <w:keepNext w:val="false"/>
        <w:keepLines w:val="false"/>
        <w:pageBreakBefore w:val="false"/>
        <w:widowControl/>
        <w:numPr>
          <w:ilvl w:val="0"/>
          <w:numId w:val="7"/>
        </w:numPr>
        <w:pBdr/>
        <w:shd w:val="clear" w:fill="auto"/>
        <w:spacing w:lineRule="auto" w:line="360" w:before="120" w:after="120"/>
        <w:ind w:hanging="0" w:start="1417" w:end="0"/>
        <w:jc w:val="both"/>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Código Processo Penal;</w:t>
      </w:r>
    </w:p>
    <w:p>
      <w:pPr>
        <w:pStyle w:val="normal1"/>
        <w:keepNext w:val="false"/>
        <w:keepLines w:val="false"/>
        <w:pageBreakBefore w:val="false"/>
        <w:widowControl/>
        <w:numPr>
          <w:ilvl w:val="0"/>
          <w:numId w:val="7"/>
        </w:numPr>
        <w:pBdr/>
        <w:shd w:val="clear" w:fill="auto"/>
        <w:spacing w:lineRule="auto" w:line="360" w:before="120" w:after="120"/>
        <w:ind w:hanging="0" w:start="1417" w:end="0"/>
        <w:jc w:val="both"/>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Legislação trabalhista e previdenciária;</w:t>
      </w:r>
    </w:p>
    <w:p>
      <w:pPr>
        <w:pStyle w:val="normal1"/>
        <w:keepNext w:val="false"/>
        <w:keepLines w:val="false"/>
        <w:pageBreakBefore w:val="false"/>
        <w:widowControl/>
        <w:numPr>
          <w:ilvl w:val="0"/>
          <w:numId w:val="7"/>
        </w:numPr>
        <w:pBdr/>
        <w:shd w:val="clear" w:fill="auto"/>
        <w:spacing w:lineRule="auto" w:line="360" w:before="120" w:after="120"/>
        <w:ind w:hanging="0" w:start="1417" w:end="0"/>
        <w:jc w:val="both"/>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Estatuto da Criança e do Adolescente; </w:t>
      </w:r>
    </w:p>
    <w:p>
      <w:pPr>
        <w:pStyle w:val="normal1"/>
        <w:keepNext w:val="false"/>
        <w:keepLines w:val="false"/>
        <w:pageBreakBefore w:val="false"/>
        <w:widowControl/>
        <w:numPr>
          <w:ilvl w:val="0"/>
          <w:numId w:val="7"/>
        </w:numPr>
        <w:pBdr/>
        <w:shd w:val="clear" w:fill="auto"/>
        <w:spacing w:lineRule="auto" w:line="360" w:before="120" w:after="120"/>
        <w:ind w:hanging="0" w:start="1417" w:end="0"/>
        <w:jc w:val="both"/>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Lei Federal n.º 12.846/2013; e</w:t>
      </w:r>
    </w:p>
    <w:p>
      <w:pPr>
        <w:pStyle w:val="normal1"/>
        <w:keepNext w:val="false"/>
        <w:keepLines w:val="false"/>
        <w:pageBreakBefore w:val="false"/>
        <w:widowControl/>
        <w:numPr>
          <w:ilvl w:val="0"/>
          <w:numId w:val="7"/>
        </w:numPr>
        <w:pBdr/>
        <w:shd w:val="clear" w:fill="auto"/>
        <w:spacing w:lineRule="auto" w:line="360" w:before="120" w:after="120"/>
        <w:ind w:hanging="0" w:start="1417" w:end="0"/>
        <w:jc w:val="both"/>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Demais normas aplicáveis.</w:t>
      </w:r>
    </w:p>
    <w:p>
      <w:pPr>
        <w:pStyle w:val="normal1"/>
        <w:keepNext w:val="false"/>
        <w:keepLines w:val="false"/>
        <w:pageBreakBefore w:val="false"/>
        <w:widowControl/>
        <w:pBdr/>
        <w:shd w:val="clear" w:fill="auto"/>
        <w:spacing w:lineRule="auto" w:line="360" w:before="120" w:after="120"/>
        <w:ind w:hanging="0" w:start="720" w:end="0"/>
        <w:jc w:val="both"/>
        <w:rPr>
          <w:sz w:val="22"/>
          <w:szCs w:val="22"/>
        </w:rPr>
      </w:pPr>
      <w:r>
        <w:rPr>
          <w:sz w:val="22"/>
          <w:szCs w:val="22"/>
        </w:rPr>
      </w:r>
    </w:p>
    <w:p>
      <w:pPr>
        <w:pStyle w:val="normal1"/>
        <w:keepNext w:val="false"/>
        <w:keepLines w:val="false"/>
        <w:pageBreakBefore w:val="false"/>
        <w:widowControl/>
        <w:numPr>
          <w:ilvl w:val="0"/>
          <w:numId w:val="27"/>
        </w:numPr>
        <w:pBdr/>
        <w:shd w:val="clear" w:fill="auto"/>
        <w:spacing w:lineRule="auto" w:line="360" w:before="120" w:after="0"/>
        <w:ind w:hanging="360" w:start="720" w:end="0"/>
        <w:jc w:val="both"/>
        <w:rPr>
          <w:b/>
          <w:sz w:val="22"/>
          <w:szCs w:val="22"/>
        </w:rPr>
      </w:pPr>
      <w:r>
        <w:rPr>
          <w:rFonts w:eastAsia="Arial" w:cs="Arial"/>
          <w:b/>
          <w:i w:val="false"/>
          <w:caps w:val="false"/>
          <w:smallCaps w:val="false"/>
          <w:strike w:val="false"/>
          <w:dstrike w:val="false"/>
          <w:color w:val="000000"/>
          <w:position w:val="0"/>
          <w:sz w:val="22"/>
          <w:sz w:val="22"/>
          <w:szCs w:val="22"/>
          <w:u w:val="none"/>
          <w:shd w:fill="auto" w:val="clear"/>
          <w:vertAlign w:val="baseline"/>
        </w:rPr>
        <w:t>CLÁUSULA DÉCIMA OITAVA – DOS CASOS OMISSOS (Art. 92, III, da Lei n.º 14.133/2021)</w:t>
      </w:r>
    </w:p>
    <w:p>
      <w:pPr>
        <w:pStyle w:val="normal1"/>
        <w:keepNext w:val="false"/>
        <w:keepLines w:val="false"/>
        <w:pageBreakBefore w:val="false"/>
        <w:widowControl/>
        <w:numPr>
          <w:ilvl w:val="1"/>
          <w:numId w:val="27"/>
        </w:numPr>
        <w:pBdr/>
        <w:shd w:val="clear" w:fill="auto"/>
        <w:spacing w:lineRule="auto" w:line="360" w:before="0" w:after="12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Os casos omissos serão decididos pelo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CONTRATANTE</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segundo as disposições contidas na Lei n.º 14.133/2021, e demais normas federais e municipais aplicáveis e, subsidiariamente, segundo as disposições contidas na Lei n.º 8.078, de 1990 – Código de Defesa do Consumidor – e normas e princípios gerais dos contratos.</w:t>
      </w:r>
    </w:p>
    <w:p>
      <w:pPr>
        <w:pStyle w:val="normal1"/>
        <w:keepNext w:val="false"/>
        <w:keepLines w:val="false"/>
        <w:pageBreakBefore w:val="false"/>
        <w:widowControl/>
        <w:pBdr/>
        <w:shd w:val="clear" w:fill="auto"/>
        <w:spacing w:lineRule="auto" w:line="360" w:before="120" w:after="120"/>
        <w:ind w:hanging="0" w:start="1440" w:end="0"/>
        <w:jc w:val="both"/>
        <w:rPr>
          <w:sz w:val="22"/>
          <w:szCs w:val="22"/>
        </w:rPr>
      </w:pPr>
      <w:r>
        <w:rPr>
          <w:sz w:val="22"/>
          <w:szCs w:val="22"/>
        </w:rPr>
      </w:r>
    </w:p>
    <w:p>
      <w:pPr>
        <w:pStyle w:val="normal1"/>
        <w:keepNext w:val="false"/>
        <w:keepLines w:val="false"/>
        <w:pageBreakBefore w:val="false"/>
        <w:widowControl/>
        <w:numPr>
          <w:ilvl w:val="0"/>
          <w:numId w:val="27"/>
        </w:numPr>
        <w:pBdr/>
        <w:shd w:val="clear" w:fill="auto"/>
        <w:spacing w:lineRule="auto" w:line="360" w:before="120" w:after="0"/>
        <w:ind w:hanging="360" w:start="720" w:end="0"/>
        <w:jc w:val="both"/>
        <w:rPr>
          <w:b/>
          <w:sz w:val="22"/>
          <w:szCs w:val="22"/>
        </w:rPr>
      </w:pPr>
      <w:r>
        <w:rPr>
          <w:rFonts w:eastAsia="Arial" w:cs="Arial"/>
          <w:b/>
          <w:i w:val="false"/>
          <w:caps w:val="false"/>
          <w:smallCaps w:val="false"/>
          <w:strike w:val="false"/>
          <w:dstrike w:val="false"/>
          <w:color w:val="000000"/>
          <w:position w:val="0"/>
          <w:sz w:val="22"/>
          <w:sz w:val="22"/>
          <w:szCs w:val="22"/>
          <w:u w:val="none"/>
          <w:shd w:fill="auto" w:val="clear"/>
          <w:vertAlign w:val="baseline"/>
        </w:rPr>
        <w:t>CLÁUSULA DÉCIMA NONA – PUBLICAÇÃO</w:t>
      </w:r>
    </w:p>
    <w:p>
      <w:pPr>
        <w:pStyle w:val="normal1"/>
        <w:keepNext w:val="false"/>
        <w:keepLines w:val="false"/>
        <w:pageBreakBefore w:val="false"/>
        <w:widowControl/>
        <w:numPr>
          <w:ilvl w:val="1"/>
          <w:numId w:val="27"/>
        </w:numPr>
        <w:pBdr/>
        <w:shd w:val="clear" w:fill="auto"/>
        <w:spacing w:lineRule="auto" w:line="360" w:before="0" w:after="12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Incumbirá ao </w:t>
      </w:r>
      <w:r>
        <w:rPr>
          <w:rFonts w:eastAsia="Arial" w:cs="Arial"/>
          <w:b/>
          <w:i w:val="false"/>
          <w:caps w:val="false"/>
          <w:smallCaps w:val="false"/>
          <w:strike w:val="false"/>
          <w:dstrike w:val="false"/>
          <w:color w:val="000000"/>
          <w:position w:val="0"/>
          <w:sz w:val="22"/>
          <w:sz w:val="22"/>
          <w:szCs w:val="22"/>
          <w:u w:val="none"/>
          <w:shd w:fill="auto" w:val="clear"/>
          <w:vertAlign w:val="baseline"/>
        </w:rPr>
        <w:t>CONTRATANTE</w:t>
      </w:r>
      <w:r>
        <w:rPr>
          <w:rFonts w:eastAsia="Arial" w:cs="Arial"/>
          <w:b w:val="false"/>
          <w:i w:val="false"/>
          <w:caps w:val="false"/>
          <w:smallCaps w:val="false"/>
          <w:strike w:val="false"/>
          <w:dstrike w:val="false"/>
          <w:color w:val="000000"/>
          <w:position w:val="0"/>
          <w:sz w:val="22"/>
          <w:sz w:val="22"/>
          <w:szCs w:val="22"/>
          <w:u w:val="none"/>
          <w:shd w:fill="auto" w:val="clear"/>
          <w:vertAlign w:val="baseline"/>
        </w:rPr>
        <w:t xml:space="preserve"> divulgar o presente instrumento no respectivo sítio oficial na Internet, em atenção ao art. 91, caput da Lei n.º 14.133/2021.</w:t>
      </w:r>
    </w:p>
    <w:p>
      <w:pPr>
        <w:pStyle w:val="normal1"/>
        <w:keepNext w:val="false"/>
        <w:keepLines w:val="false"/>
        <w:pageBreakBefore w:val="false"/>
        <w:widowControl/>
        <w:pBdr/>
        <w:shd w:val="clear" w:fill="auto"/>
        <w:spacing w:lineRule="auto" w:line="360" w:before="120" w:after="120"/>
        <w:ind w:hanging="0" w:start="1440" w:end="0"/>
        <w:jc w:val="both"/>
        <w:rPr>
          <w:sz w:val="22"/>
          <w:szCs w:val="22"/>
        </w:rPr>
      </w:pPr>
      <w:r>
        <w:rPr>
          <w:sz w:val="22"/>
          <w:szCs w:val="22"/>
        </w:rPr>
      </w:r>
    </w:p>
    <w:p>
      <w:pPr>
        <w:pStyle w:val="normal1"/>
        <w:keepNext w:val="false"/>
        <w:keepLines w:val="false"/>
        <w:pageBreakBefore w:val="false"/>
        <w:widowControl/>
        <w:pBdr/>
        <w:shd w:val="clear" w:fill="auto"/>
        <w:spacing w:lineRule="auto" w:line="360" w:before="120" w:after="120"/>
        <w:ind w:hanging="0" w:start="1440" w:end="0"/>
        <w:jc w:val="both"/>
        <w:rPr>
          <w:sz w:val="22"/>
          <w:szCs w:val="22"/>
        </w:rPr>
      </w:pPr>
      <w:r>
        <w:rPr>
          <w:sz w:val="22"/>
          <w:szCs w:val="22"/>
        </w:rPr>
      </w:r>
    </w:p>
    <w:p>
      <w:pPr>
        <w:pStyle w:val="normal1"/>
        <w:keepNext w:val="false"/>
        <w:keepLines w:val="false"/>
        <w:pageBreakBefore w:val="false"/>
        <w:widowControl/>
        <w:pBdr/>
        <w:shd w:val="clear" w:fill="auto"/>
        <w:spacing w:lineRule="auto" w:line="360" w:before="120" w:after="120"/>
        <w:ind w:hanging="0" w:start="1440" w:end="0"/>
        <w:jc w:val="both"/>
        <w:rPr>
          <w:sz w:val="22"/>
          <w:szCs w:val="22"/>
        </w:rPr>
      </w:pPr>
      <w:r>
        <w:rPr>
          <w:sz w:val="22"/>
          <w:szCs w:val="22"/>
        </w:rPr>
      </w:r>
    </w:p>
    <w:p>
      <w:pPr>
        <w:pStyle w:val="normal1"/>
        <w:keepNext w:val="false"/>
        <w:keepLines w:val="false"/>
        <w:pageBreakBefore w:val="false"/>
        <w:widowControl/>
        <w:numPr>
          <w:ilvl w:val="0"/>
          <w:numId w:val="27"/>
        </w:numPr>
        <w:pBdr/>
        <w:shd w:val="clear" w:fill="auto"/>
        <w:spacing w:lineRule="auto" w:line="360" w:before="120" w:after="0"/>
        <w:ind w:hanging="360" w:start="720" w:end="0"/>
        <w:jc w:val="both"/>
        <w:rPr>
          <w:b/>
          <w:sz w:val="22"/>
          <w:szCs w:val="22"/>
        </w:rPr>
      </w:pPr>
      <w:r>
        <w:rPr>
          <w:rFonts w:eastAsia="Arial" w:cs="Arial"/>
          <w:b/>
          <w:i w:val="false"/>
          <w:caps w:val="false"/>
          <w:smallCaps w:val="false"/>
          <w:strike w:val="false"/>
          <w:dstrike w:val="false"/>
          <w:color w:val="000000"/>
          <w:position w:val="0"/>
          <w:sz w:val="22"/>
          <w:sz w:val="22"/>
          <w:szCs w:val="22"/>
          <w:u w:val="none"/>
          <w:shd w:fill="auto" w:val="clear"/>
          <w:vertAlign w:val="baseline"/>
        </w:rPr>
        <w:t>CLÁUSULA VIGÉSIMA – FORO (Art. 92, §1º, da Lei n.º 14.133/2021)</w:t>
      </w:r>
    </w:p>
    <w:p>
      <w:pPr>
        <w:pStyle w:val="normal1"/>
        <w:keepNext w:val="false"/>
        <w:keepLines w:val="false"/>
        <w:pageBreakBefore w:val="false"/>
        <w:widowControl/>
        <w:numPr>
          <w:ilvl w:val="1"/>
          <w:numId w:val="27"/>
        </w:numPr>
        <w:pBdr/>
        <w:shd w:val="clear" w:fill="auto"/>
        <w:spacing w:lineRule="auto" w:line="360" w:before="0" w:after="120"/>
        <w:ind w:hanging="360" w:start="1440" w:end="0"/>
        <w:jc w:val="both"/>
        <w:rPr>
          <w:b/>
          <w:sz w:val="22"/>
          <w:szCs w:val="22"/>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Fica eleito o Foro da Capital, para dirimir os litígios que decorrerem da execução deste Termo de Contrato que não puderem ser compostos pela conciliação, conforme art. 92, §1º, da Lei n.º 14.133/2021.</w:t>
      </w:r>
    </w:p>
    <w:p>
      <w:pPr>
        <w:pStyle w:val="normal1"/>
        <w:keepNext w:val="false"/>
        <w:keepLines w:val="false"/>
        <w:pageBreakBefore w:val="false"/>
        <w:widowControl/>
        <w:pBdr/>
        <w:shd w:val="clear" w:fill="auto"/>
        <w:spacing w:lineRule="auto" w:line="360" w:before="0" w:after="288"/>
        <w:ind w:hanging="0" w:start="-567" w:end="0"/>
        <w:jc w:val="end"/>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t>[Local], [dia] de [mês] de [ano]</w:t>
      </w:r>
    </w:p>
    <w:p>
      <w:pPr>
        <w:pStyle w:val="normal1"/>
        <w:keepNext w:val="false"/>
        <w:keepLines w:val="false"/>
        <w:pageBreakBefore w:val="false"/>
        <w:widowControl/>
        <w:pBdr/>
        <w:shd w:val="clear" w:fill="auto"/>
        <w:spacing w:lineRule="auto" w:line="360" w:before="0" w:after="288"/>
        <w:ind w:hanging="0" w:start="-567" w:end="0"/>
        <w:jc w:val="end"/>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b w:val="false"/>
          <w:i w:val="false"/>
          <w:caps w:val="false"/>
          <w:smallCaps w:val="false"/>
          <w:strike w:val="false"/>
          <w:dstrike w:val="false"/>
          <w:color w:val="000000"/>
          <w:position w:val="0"/>
          <w:sz w:val="22"/>
          <w:sz w:val="22"/>
          <w:szCs w:val="22"/>
          <w:u w:val="none"/>
          <w:shd w:fill="auto" w:val="clear"/>
          <w:vertAlign w:val="baseline"/>
        </w:rPr>
      </w:r>
    </w:p>
    <w:p>
      <w:pPr>
        <w:pStyle w:val="normal1"/>
        <w:spacing w:lineRule="auto" w:line="360" w:before="120" w:after="120"/>
        <w:jc w:val="both"/>
        <w:rPr>
          <w:position w:val="0"/>
          <w:sz w:val="22"/>
          <w:sz w:val="22"/>
          <w:szCs w:val="22"/>
          <w:vertAlign w:val="baseline"/>
        </w:rPr>
      </w:pPr>
      <w:r>
        <w:rPr>
          <w:position w:val="0"/>
          <w:sz w:val="22"/>
          <w:sz w:val="22"/>
          <w:szCs w:val="22"/>
          <w:vertAlign w:val="baseline"/>
        </w:rPr>
        <w:t>_________________________</w:t>
      </w:r>
    </w:p>
    <w:p>
      <w:pPr>
        <w:pStyle w:val="normal1"/>
        <w:spacing w:lineRule="auto" w:line="360" w:before="120" w:after="120"/>
        <w:jc w:val="both"/>
        <w:rPr>
          <w:position w:val="0"/>
          <w:sz w:val="22"/>
          <w:sz w:val="22"/>
          <w:szCs w:val="22"/>
          <w:vertAlign w:val="baseline"/>
        </w:rPr>
      </w:pPr>
      <w:r>
        <w:rPr>
          <w:position w:val="0"/>
          <w:sz w:val="22"/>
          <w:sz w:val="22"/>
          <w:szCs w:val="22"/>
          <w:vertAlign w:val="baseline"/>
        </w:rPr>
        <w:t>Representante legal do CONTRATANTE</w:t>
      </w:r>
    </w:p>
    <w:p>
      <w:pPr>
        <w:pStyle w:val="normal1"/>
        <w:spacing w:lineRule="auto" w:line="360" w:before="120" w:after="120"/>
        <w:jc w:val="both"/>
        <w:rPr>
          <w:position w:val="0"/>
          <w:sz w:val="22"/>
          <w:sz w:val="22"/>
          <w:szCs w:val="22"/>
          <w:vertAlign w:val="baseline"/>
        </w:rPr>
      </w:pPr>
      <w:r>
        <w:rPr>
          <w:position w:val="0"/>
          <w:sz w:val="22"/>
          <w:sz w:val="22"/>
          <w:szCs w:val="22"/>
          <w:vertAlign w:val="baseline"/>
        </w:rPr>
      </w:r>
    </w:p>
    <w:p>
      <w:pPr>
        <w:pStyle w:val="normal1"/>
        <w:spacing w:lineRule="auto" w:line="360" w:before="120" w:after="120"/>
        <w:jc w:val="both"/>
        <w:rPr>
          <w:position w:val="0"/>
          <w:sz w:val="22"/>
          <w:sz w:val="22"/>
          <w:szCs w:val="22"/>
          <w:vertAlign w:val="baseline"/>
        </w:rPr>
      </w:pPr>
      <w:r>
        <w:rPr>
          <w:position w:val="0"/>
          <w:sz w:val="22"/>
          <w:sz w:val="22"/>
          <w:szCs w:val="22"/>
          <w:vertAlign w:val="baseline"/>
        </w:rPr>
      </w:r>
    </w:p>
    <w:p>
      <w:pPr>
        <w:pStyle w:val="normal1"/>
        <w:spacing w:lineRule="auto" w:line="360" w:before="120" w:after="120"/>
        <w:jc w:val="both"/>
        <w:rPr>
          <w:position w:val="0"/>
          <w:sz w:val="22"/>
          <w:sz w:val="22"/>
          <w:szCs w:val="22"/>
          <w:vertAlign w:val="baseline"/>
        </w:rPr>
      </w:pPr>
      <w:r>
        <w:rPr>
          <w:position w:val="0"/>
          <w:sz w:val="22"/>
          <w:sz w:val="22"/>
          <w:szCs w:val="22"/>
          <w:vertAlign w:val="baseline"/>
        </w:rPr>
      </w:r>
    </w:p>
    <w:p>
      <w:pPr>
        <w:pStyle w:val="normal1"/>
        <w:spacing w:lineRule="auto" w:line="360" w:before="120" w:after="120"/>
        <w:jc w:val="both"/>
        <w:rPr>
          <w:position w:val="0"/>
          <w:sz w:val="22"/>
          <w:sz w:val="22"/>
          <w:szCs w:val="22"/>
          <w:vertAlign w:val="baseline"/>
        </w:rPr>
      </w:pPr>
      <w:r>
        <w:rPr>
          <w:position w:val="0"/>
          <w:sz w:val="22"/>
          <w:sz w:val="22"/>
          <w:szCs w:val="22"/>
          <w:vertAlign w:val="baseline"/>
        </w:rPr>
        <w:t>_________________________</w:t>
      </w:r>
    </w:p>
    <w:p>
      <w:pPr>
        <w:pStyle w:val="normal1"/>
        <w:spacing w:lineRule="auto" w:line="360" w:before="120" w:after="120"/>
        <w:jc w:val="both"/>
        <w:rPr>
          <w:position w:val="0"/>
          <w:sz w:val="22"/>
          <w:sz w:val="22"/>
          <w:szCs w:val="22"/>
          <w:vertAlign w:val="baseline"/>
        </w:rPr>
      </w:pPr>
      <w:r>
        <w:rPr>
          <w:position w:val="0"/>
          <w:sz w:val="22"/>
          <w:sz w:val="22"/>
          <w:szCs w:val="22"/>
          <w:vertAlign w:val="baseline"/>
        </w:rPr>
        <w:t>Representante legal do CONTRATADO</w:t>
      </w:r>
    </w:p>
    <w:p>
      <w:pPr>
        <w:pStyle w:val="normal1"/>
        <w:spacing w:lineRule="auto" w:line="360" w:before="120" w:after="120"/>
        <w:jc w:val="both"/>
        <w:rPr>
          <w:position w:val="0"/>
          <w:sz w:val="22"/>
          <w:sz w:val="22"/>
          <w:szCs w:val="22"/>
          <w:vertAlign w:val="baseline"/>
        </w:rPr>
      </w:pPr>
      <w:r>
        <w:rPr>
          <w:position w:val="0"/>
          <w:sz w:val="22"/>
          <w:sz w:val="22"/>
          <w:szCs w:val="22"/>
          <w:vertAlign w:val="baseline"/>
        </w:rPr>
      </w:r>
    </w:p>
    <w:p>
      <w:pPr>
        <w:pStyle w:val="normal1"/>
        <w:spacing w:lineRule="auto" w:line="360" w:before="120" w:after="120"/>
        <w:jc w:val="both"/>
        <w:rPr>
          <w:position w:val="0"/>
          <w:sz w:val="22"/>
          <w:sz w:val="22"/>
          <w:szCs w:val="22"/>
          <w:vertAlign w:val="baseline"/>
        </w:rPr>
      </w:pPr>
      <w:r>
        <w:rPr>
          <w:position w:val="0"/>
          <w:sz w:val="22"/>
          <w:sz w:val="22"/>
          <w:szCs w:val="22"/>
          <w:vertAlign w:val="baseline"/>
        </w:rPr>
      </w:r>
    </w:p>
    <w:p>
      <w:pPr>
        <w:pStyle w:val="normal1"/>
        <w:spacing w:lineRule="auto" w:line="360" w:before="120" w:after="120"/>
        <w:jc w:val="both"/>
        <w:rPr>
          <w:position w:val="0"/>
          <w:sz w:val="22"/>
          <w:sz w:val="22"/>
          <w:szCs w:val="22"/>
          <w:vertAlign w:val="baseline"/>
        </w:rPr>
      </w:pPr>
      <w:r>
        <w:rPr>
          <w:position w:val="0"/>
          <w:sz w:val="22"/>
          <w:sz w:val="22"/>
          <w:szCs w:val="22"/>
          <w:vertAlign w:val="baseline"/>
        </w:rPr>
      </w:r>
    </w:p>
    <w:p>
      <w:pPr>
        <w:pStyle w:val="normal1"/>
        <w:spacing w:lineRule="auto" w:line="360" w:before="120" w:after="120"/>
        <w:jc w:val="both"/>
        <w:rPr>
          <w:position w:val="0"/>
          <w:sz w:val="22"/>
          <w:sz w:val="22"/>
          <w:szCs w:val="22"/>
          <w:vertAlign w:val="baseline"/>
        </w:rPr>
      </w:pPr>
      <w:r>
        <w:rPr>
          <w:position w:val="0"/>
          <w:sz w:val="22"/>
          <w:sz w:val="22"/>
          <w:szCs w:val="22"/>
          <w:vertAlign w:val="baseline"/>
        </w:rPr>
        <w:t>TESTEMUNHAS:</w:t>
      </w:r>
    </w:p>
    <w:p>
      <w:pPr>
        <w:pStyle w:val="normal1"/>
        <w:spacing w:lineRule="auto" w:line="360" w:before="120" w:after="120"/>
        <w:jc w:val="both"/>
        <w:rPr>
          <w:position w:val="0"/>
          <w:sz w:val="22"/>
          <w:sz w:val="22"/>
          <w:szCs w:val="22"/>
          <w:vertAlign w:val="baseline"/>
        </w:rPr>
      </w:pPr>
      <w:r>
        <w:rPr>
          <w:position w:val="0"/>
          <w:sz w:val="22"/>
          <w:sz w:val="22"/>
          <w:szCs w:val="22"/>
          <w:vertAlign w:val="baseline"/>
        </w:rPr>
      </w:r>
    </w:p>
    <w:p>
      <w:pPr>
        <w:pStyle w:val="normal1"/>
        <w:spacing w:lineRule="auto" w:line="360" w:before="120" w:after="120"/>
        <w:jc w:val="both"/>
        <w:rPr>
          <w:position w:val="0"/>
          <w:sz w:val="22"/>
          <w:sz w:val="22"/>
          <w:szCs w:val="22"/>
          <w:vertAlign w:val="baseline"/>
        </w:rPr>
      </w:pPr>
      <w:r>
        <w:rPr>
          <w:position w:val="0"/>
          <w:sz w:val="22"/>
          <w:sz w:val="22"/>
          <w:szCs w:val="22"/>
          <w:vertAlign w:val="baseline"/>
        </w:rPr>
        <w:t>1-</w:t>
      </w:r>
    </w:p>
    <w:p>
      <w:pPr>
        <w:pStyle w:val="normal1"/>
        <w:spacing w:lineRule="auto" w:line="360" w:before="120" w:after="120"/>
        <w:jc w:val="both"/>
        <w:rPr>
          <w:position w:val="0"/>
          <w:sz w:val="22"/>
          <w:sz w:val="22"/>
          <w:szCs w:val="22"/>
          <w:vertAlign w:val="baseline"/>
        </w:rPr>
      </w:pPr>
      <w:r>
        <w:rPr>
          <w:position w:val="0"/>
          <w:sz w:val="22"/>
          <w:sz w:val="22"/>
          <w:szCs w:val="22"/>
          <w:vertAlign w:val="baseline"/>
        </w:rPr>
      </w:r>
    </w:p>
    <w:p>
      <w:pPr>
        <w:pStyle w:val="normal1"/>
        <w:spacing w:lineRule="auto" w:line="360" w:before="120" w:after="120"/>
        <w:jc w:val="both"/>
        <w:rPr>
          <w:b w:val="false"/>
          <w:position w:val="0"/>
          <w:sz w:val="22"/>
          <w:sz w:val="22"/>
          <w:szCs w:val="22"/>
          <w:vertAlign w:val="baseline"/>
        </w:rPr>
      </w:pPr>
      <w:r>
        <w:rPr>
          <w:position w:val="0"/>
          <w:sz w:val="22"/>
          <w:sz w:val="22"/>
          <w:szCs w:val="22"/>
          <w:vertAlign w:val="baseline"/>
        </w:rPr>
        <w:t xml:space="preserve">2- </w:t>
      </w:r>
    </w:p>
    <w:p>
      <w:pPr>
        <w:pStyle w:val="normal1"/>
        <w:spacing w:lineRule="auto" w:line="360"/>
        <w:jc w:val="center"/>
        <w:rPr>
          <w:color w:val="000000"/>
          <w:position w:val="0"/>
          <w:sz w:val="22"/>
          <w:sz w:val="22"/>
          <w:szCs w:val="22"/>
          <w:vertAlign w:val="baseline"/>
        </w:rPr>
      </w:pPr>
      <w:r>
        <w:rPr>
          <w:color w:val="000000"/>
          <w:position w:val="0"/>
          <w:sz w:val="22"/>
          <w:sz w:val="22"/>
          <w:szCs w:val="22"/>
          <w:vertAlign w:val="baseline"/>
        </w:rPr>
      </w:r>
    </w:p>
    <w:sectPr>
      <w:headerReference w:type="default" r:id="rId23"/>
      <w:headerReference w:type="first" r:id="rId24"/>
      <w:footerReference w:type="default" r:id="rId25"/>
      <w:footerReference w:type="first" r:id="rId26"/>
      <w:type w:val="nextPage"/>
      <w:pgSz w:w="11906" w:h="16838"/>
      <w:pgMar w:left="1134" w:right="1134" w:gutter="0" w:header="709" w:top="1701" w:footer="437" w:bottom="1134"/>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Arial">
    <w:charset w:val="00" w:characterSet="windows-1252"/>
    <w:family w:val="roman"/>
    <w:pitch w:val="variable"/>
  </w:font>
  <w:font w:name="Trebuchet MS">
    <w:charset w:val="00" w:characterSet="windows-1252"/>
    <w:family w:val="roman"/>
    <w:pitch w:val="variable"/>
  </w:font>
  <w:font w:name="Liberation Sans">
    <w:altName w:val="Arial"/>
    <w:charset w:val="00" w:characterSet="windows-1252"/>
    <w:family w:val="swiss"/>
    <w:pitch w:val="variable"/>
  </w:font>
  <w:font w:name="Georgia">
    <w:charset w:val="00" w:characterSet="windows-1252"/>
    <w:family w:val="roman"/>
    <w:pitch w:val="variable"/>
  </w:font>
  <w:font w:name="Wingdings">
    <w:charset w:val="02"/>
    <w:family w:val="auto"/>
    <w:pitch w:val="default"/>
  </w:font>
  <w:font w:name="OpenSymbol">
    <w:altName w:val="Arial Unicode MS"/>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tabs>
        <w:tab w:val="clear" w:pos="720"/>
        <w:tab w:val="center" w:pos="4252" w:leader="none"/>
        <w:tab w:val="right" w:pos="8504" w:leader="none"/>
      </w:tabs>
      <w:rPr/>
    </w:pPr>
    <w:r>
      <w:rPr/>
      <w:drawing>
        <wp:inline distT="0" distB="0" distL="0" distR="0">
          <wp:extent cx="2228850" cy="619125"/>
          <wp:effectExtent l="0" t="0" r="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pic:cNvPicPr>
                    <a:picLocks noChangeAspect="1" noChangeArrowheads="1"/>
                  </pic:cNvPicPr>
                </pic:nvPicPr>
                <pic:blipFill>
                  <a:blip r:embed="rId1"/>
                  <a:stretch>
                    <a:fillRect/>
                  </a:stretch>
                </pic:blipFill>
                <pic:spPr bwMode="auto">
                  <a:xfrm>
                    <a:off x="0" y="0"/>
                    <a:ext cx="2228850" cy="619125"/>
                  </a:xfrm>
                  <a:prstGeom prst="rect">
                    <a:avLst/>
                  </a:prstGeom>
                  <a:noFill/>
                </pic:spPr>
              </pic:pic>
            </a:graphicData>
          </a:graphic>
        </wp:inline>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tabs>
        <w:tab w:val="clear" w:pos="720"/>
        <w:tab w:val="center" w:pos="4252" w:leader="none"/>
        <w:tab w:val="right" w:pos="8504" w:leader="none"/>
      </w:tabs>
      <w:rPr/>
    </w:pPr>
    <w:r>
      <w:rPr/>
      <w:drawing>
        <wp:inline distT="0" distB="0" distL="0" distR="0">
          <wp:extent cx="2228850" cy="619125"/>
          <wp:effectExtent l="0" t="0" r="0" b="0"/>
          <wp:docPr id="5" name="image2.png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png Copia 1"/>
                  <pic:cNvPicPr>
                    <a:picLocks noChangeAspect="1" noChangeArrowheads="1"/>
                  </pic:cNvPicPr>
                </pic:nvPicPr>
                <pic:blipFill>
                  <a:blip r:embed="rId1"/>
                  <a:stretch>
                    <a:fillRect/>
                  </a:stretch>
                </pic:blipFill>
                <pic:spPr bwMode="auto">
                  <a:xfrm>
                    <a:off x="0" y="0"/>
                    <a:ext cx="2228850" cy="619125"/>
                  </a:xfrm>
                  <a:prstGeom prst="rect">
                    <a:avLst/>
                  </a:prstGeom>
                  <a:noFill/>
                </pic:spPr>
              </pic:pic>
            </a:graphicData>
          </a:graphic>
        </wp:inline>
      </w:drawing>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tabs>
        <w:tab w:val="clear" w:pos="720"/>
        <w:tab w:val="center" w:pos="4252" w:leader="none"/>
        <w:tab w:val="right" w:pos="8504" w:leader="none"/>
      </w:tabs>
      <w:rPr/>
    </w:pPr>
    <w:r>
      <w:rPr/>
      <w:drawing>
        <wp:inline distT="0" distB="0" distL="0" distR="0">
          <wp:extent cx="2228850" cy="619125"/>
          <wp:effectExtent l="0" t="0" r="0" b="0"/>
          <wp:docPr id="6" name="image2.png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Copia 1 Copia 1"/>
                  <pic:cNvPicPr>
                    <a:picLocks noChangeAspect="1" noChangeArrowheads="1"/>
                  </pic:cNvPicPr>
                </pic:nvPicPr>
                <pic:blipFill>
                  <a:blip r:embed="rId1"/>
                  <a:stretch>
                    <a:fillRect/>
                  </a:stretch>
                </pic:blipFill>
                <pic:spPr bwMode="auto">
                  <a:xfrm>
                    <a:off x="0" y="0"/>
                    <a:ext cx="2228850" cy="619125"/>
                  </a:xfrm>
                  <a:prstGeom prst="rect">
                    <a:avLst/>
                  </a:prstGeom>
                  <a:noFill/>
                </pic:spPr>
              </pic:pic>
            </a:graphicData>
          </a:graphic>
        </wp:inline>
      </w:drawing>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start"/>
      <w:pPr>
        <w:tabs>
          <w:tab w:val="num" w:pos="0"/>
        </w:tabs>
        <w:ind w:start="720" w:hanging="360"/>
      </w:pPr>
      <w:rPr>
        <w:u w:val="none"/>
      </w:rPr>
    </w:lvl>
    <w:lvl w:ilvl="1">
      <w:start w:val="1"/>
      <w:numFmt w:val="lowerLetter"/>
      <w:lvlText w:val="%2."/>
      <w:lvlJc w:val="start"/>
      <w:pPr>
        <w:tabs>
          <w:tab w:val="num" w:pos="0"/>
        </w:tabs>
        <w:ind w:start="1440" w:hanging="360"/>
      </w:pPr>
      <w:rPr>
        <w:u w:val="none"/>
      </w:rPr>
    </w:lvl>
    <w:lvl w:ilvl="2">
      <w:start w:val="1"/>
      <w:numFmt w:val="lowerRoman"/>
      <w:lvlText w:val="%3."/>
      <w:lvlJc w:val="end"/>
      <w:pPr>
        <w:tabs>
          <w:tab w:val="num" w:pos="0"/>
        </w:tabs>
        <w:ind w:start="2160" w:hanging="180"/>
      </w:pPr>
      <w:rPr>
        <w:u w:val="none"/>
      </w:rPr>
    </w:lvl>
    <w:lvl w:ilvl="3">
      <w:start w:val="1"/>
      <w:numFmt w:val="decimal"/>
      <w:lvlText w:val="%4."/>
      <w:lvlJc w:val="start"/>
      <w:pPr>
        <w:tabs>
          <w:tab w:val="num" w:pos="0"/>
        </w:tabs>
        <w:ind w:start="2880" w:hanging="360"/>
      </w:pPr>
      <w:rPr>
        <w:u w:val="none"/>
      </w:rPr>
    </w:lvl>
    <w:lvl w:ilvl="4">
      <w:start w:val="1"/>
      <w:numFmt w:val="lowerLetter"/>
      <w:lvlText w:val="%5."/>
      <w:lvlJc w:val="start"/>
      <w:pPr>
        <w:tabs>
          <w:tab w:val="num" w:pos="0"/>
        </w:tabs>
        <w:ind w:start="3600" w:hanging="360"/>
      </w:pPr>
      <w:rPr>
        <w:u w:val="none"/>
      </w:rPr>
    </w:lvl>
    <w:lvl w:ilvl="5">
      <w:start w:val="1"/>
      <w:numFmt w:val="lowerRoman"/>
      <w:lvlText w:val="%6."/>
      <w:lvlJc w:val="end"/>
      <w:pPr>
        <w:tabs>
          <w:tab w:val="num" w:pos="0"/>
        </w:tabs>
        <w:ind w:start="4320" w:hanging="180"/>
      </w:pPr>
      <w:rPr>
        <w:u w:val="none"/>
      </w:rPr>
    </w:lvl>
    <w:lvl w:ilvl="6">
      <w:start w:val="1"/>
      <w:numFmt w:val="decimal"/>
      <w:lvlText w:val="%7."/>
      <w:lvlJc w:val="start"/>
      <w:pPr>
        <w:tabs>
          <w:tab w:val="num" w:pos="0"/>
        </w:tabs>
        <w:ind w:start="5040" w:hanging="360"/>
      </w:pPr>
      <w:rPr>
        <w:u w:val="none"/>
      </w:rPr>
    </w:lvl>
    <w:lvl w:ilvl="7">
      <w:start w:val="1"/>
      <w:numFmt w:val="lowerLetter"/>
      <w:lvlText w:val="%8."/>
      <w:lvlJc w:val="start"/>
      <w:pPr>
        <w:tabs>
          <w:tab w:val="num" w:pos="0"/>
        </w:tabs>
        <w:ind w:start="5760" w:hanging="360"/>
      </w:pPr>
      <w:rPr>
        <w:u w:val="none"/>
      </w:rPr>
    </w:lvl>
    <w:lvl w:ilvl="8">
      <w:start w:val="1"/>
      <w:numFmt w:val="lowerRoman"/>
      <w:lvlText w:val="%9."/>
      <w:lvlJc w:val="end"/>
      <w:pPr>
        <w:tabs>
          <w:tab w:val="num" w:pos="0"/>
        </w:tabs>
        <w:ind w:start="6480" w:hanging="180"/>
      </w:pPr>
      <w:rPr>
        <w:u w:val="none"/>
      </w:rPr>
    </w:lvl>
  </w:abstractNum>
  <w:abstractNum w:abstractNumId="2">
    <w:lvl w:ilvl="0">
      <w:start w:val="19"/>
      <w:numFmt w:val="decimal"/>
      <w:lvlText w:val="%1."/>
      <w:lvlJc w:val="start"/>
      <w:pPr>
        <w:tabs>
          <w:tab w:val="num" w:pos="0"/>
        </w:tabs>
        <w:ind w:start="360" w:hanging="360"/>
      </w:pPr>
      <w:rPr>
        <w:vertAlign w:val="baseline"/>
        <w:position w:val="0"/>
        <w:sz w:val="20"/>
      </w:rPr>
    </w:lvl>
    <w:lvl w:ilvl="1">
      <w:start w:val="1"/>
      <w:numFmt w:val="decimal"/>
      <w:lvlText w:val="%1.%2."/>
      <w:lvlJc w:val="start"/>
      <w:pPr>
        <w:tabs>
          <w:tab w:val="num" w:pos="0"/>
        </w:tabs>
        <w:ind w:start="792" w:hanging="432"/>
      </w:pPr>
      <w:rPr>
        <w:vertAlign w:val="baseline"/>
        <w:position w:val="0"/>
        <w:sz w:val="20"/>
        <w:i w:val="false"/>
        <w:b w:val="false"/>
      </w:rPr>
    </w:lvl>
    <w:lvl w:ilvl="2">
      <w:start w:val="1"/>
      <w:numFmt w:val="lowerLetter"/>
      <w:lvlText w:val="%3)"/>
      <w:lvlJc w:val="start"/>
      <w:pPr>
        <w:tabs>
          <w:tab w:val="num" w:pos="0"/>
        </w:tabs>
        <w:ind w:start="1213" w:hanging="504"/>
      </w:pPr>
      <w:rPr>
        <w:vertAlign w:val="baseline"/>
        <w:position w:val="0"/>
        <w:sz w:val="20"/>
        <w:b w:val="false"/>
      </w:rPr>
    </w:lvl>
    <w:lvl w:ilvl="3">
      <w:start w:val="1"/>
      <w:numFmt w:val="decimal"/>
      <w:lvlText w:val="%1.%2.%3.%4."/>
      <w:lvlJc w:val="start"/>
      <w:pPr>
        <w:tabs>
          <w:tab w:val="num" w:pos="0"/>
        </w:tabs>
        <w:ind w:start="1728" w:hanging="648"/>
      </w:pPr>
      <w:rPr>
        <w:vertAlign w:val="baseline"/>
        <w:position w:val="0"/>
        <w:sz w:val="20"/>
      </w:rPr>
    </w:lvl>
    <w:lvl w:ilvl="4">
      <w:start w:val="1"/>
      <w:numFmt w:val="decimal"/>
      <w:lvlText w:val="%1.%2.%3.%4.%5."/>
      <w:lvlJc w:val="start"/>
      <w:pPr>
        <w:tabs>
          <w:tab w:val="num" w:pos="0"/>
        </w:tabs>
        <w:ind w:start="2232" w:hanging="792"/>
      </w:pPr>
      <w:rPr>
        <w:vertAlign w:val="baseline"/>
        <w:position w:val="0"/>
        <w:sz w:val="20"/>
      </w:rPr>
    </w:lvl>
    <w:lvl w:ilvl="5">
      <w:start w:val="1"/>
      <w:numFmt w:val="decimal"/>
      <w:lvlText w:val="%1.%2.%3.%4.%5.%6."/>
      <w:lvlJc w:val="start"/>
      <w:pPr>
        <w:tabs>
          <w:tab w:val="num" w:pos="0"/>
        </w:tabs>
        <w:ind w:start="2736" w:hanging="936"/>
      </w:pPr>
      <w:rPr>
        <w:vertAlign w:val="baseline"/>
        <w:position w:val="0"/>
        <w:sz w:val="20"/>
      </w:rPr>
    </w:lvl>
    <w:lvl w:ilvl="6">
      <w:start w:val="1"/>
      <w:numFmt w:val="decimal"/>
      <w:lvlText w:val="%1.%2.%3.%4.%5.%6.%7."/>
      <w:lvlJc w:val="start"/>
      <w:pPr>
        <w:tabs>
          <w:tab w:val="num" w:pos="0"/>
        </w:tabs>
        <w:ind w:start="3240" w:hanging="1080"/>
      </w:pPr>
      <w:rPr>
        <w:vertAlign w:val="baseline"/>
        <w:position w:val="0"/>
        <w:sz w:val="20"/>
      </w:rPr>
    </w:lvl>
    <w:lvl w:ilvl="7">
      <w:start w:val="1"/>
      <w:numFmt w:val="decimal"/>
      <w:lvlText w:val="%1.%2.%3.%4.%5.%6.%7.%8."/>
      <w:lvlJc w:val="start"/>
      <w:pPr>
        <w:tabs>
          <w:tab w:val="num" w:pos="0"/>
        </w:tabs>
        <w:ind w:start="3744" w:hanging="1224"/>
      </w:pPr>
      <w:rPr>
        <w:vertAlign w:val="baseline"/>
        <w:position w:val="0"/>
        <w:sz w:val="20"/>
      </w:rPr>
    </w:lvl>
    <w:lvl w:ilvl="8">
      <w:start w:val="1"/>
      <w:numFmt w:val="decimal"/>
      <w:lvlText w:val="%1.%2.%3.%4.%5.%6.%7.%8.%9."/>
      <w:lvlJc w:val="start"/>
      <w:pPr>
        <w:tabs>
          <w:tab w:val="num" w:pos="0"/>
        </w:tabs>
        <w:ind w:start="4320" w:hanging="1440"/>
      </w:pPr>
      <w:rPr>
        <w:vertAlign w:val="baseline"/>
        <w:position w:val="0"/>
        <w:sz w:val="20"/>
      </w:rPr>
    </w:lvl>
  </w:abstractNum>
  <w:abstractNum w:abstractNumId="3">
    <w:lvl w:ilvl="0">
      <w:start w:val="1"/>
      <w:numFmt w:val="decimal"/>
      <w:lvlText w:val="%1)"/>
      <w:lvlJc w:val="start"/>
      <w:pPr>
        <w:tabs>
          <w:tab w:val="num" w:pos="0"/>
        </w:tabs>
        <w:ind w:start="360" w:hanging="360"/>
      </w:pPr>
      <w:rPr>
        <w:vertAlign w:val="baseline"/>
        <w:position w:val="0"/>
        <w:sz w:val="20"/>
      </w:rPr>
    </w:lvl>
    <w:lvl w:ilvl="1">
      <w:start w:val="1"/>
      <w:numFmt w:val="lowerLetter"/>
      <w:lvlText w:val="%2)"/>
      <w:lvlJc w:val="start"/>
      <w:pPr>
        <w:tabs>
          <w:tab w:val="num" w:pos="0"/>
        </w:tabs>
        <w:ind w:start="720" w:hanging="360"/>
      </w:pPr>
      <w:rPr>
        <w:vertAlign w:val="baseline"/>
        <w:position w:val="0"/>
        <w:sz w:val="20"/>
      </w:rPr>
    </w:lvl>
    <w:lvl w:ilvl="2">
      <w:start w:val="1"/>
      <w:numFmt w:val="lowerRoman"/>
      <w:lvlText w:val="%3)"/>
      <w:lvlJc w:val="start"/>
      <w:pPr>
        <w:tabs>
          <w:tab w:val="num" w:pos="0"/>
        </w:tabs>
        <w:ind w:start="1080" w:hanging="360"/>
      </w:pPr>
      <w:rPr>
        <w:vertAlign w:val="baseline"/>
        <w:position w:val="0"/>
        <w:sz w:val="20"/>
      </w:rPr>
    </w:lvl>
    <w:lvl w:ilvl="3">
      <w:start w:val="1"/>
      <w:numFmt w:val="decimal"/>
      <w:lvlText w:val="(%4)"/>
      <w:lvlJc w:val="start"/>
      <w:pPr>
        <w:tabs>
          <w:tab w:val="num" w:pos="0"/>
        </w:tabs>
        <w:ind w:start="1440" w:hanging="360"/>
      </w:pPr>
      <w:rPr>
        <w:vertAlign w:val="baseline"/>
        <w:position w:val="0"/>
        <w:sz w:val="20"/>
        <w:i w:val="false"/>
      </w:rPr>
    </w:lvl>
    <w:lvl w:ilvl="4">
      <w:start w:val="1"/>
      <w:numFmt w:val="lowerLetter"/>
      <w:lvlText w:val="(%5)"/>
      <w:lvlJc w:val="start"/>
      <w:pPr>
        <w:tabs>
          <w:tab w:val="num" w:pos="0"/>
        </w:tabs>
        <w:ind w:start="1800" w:hanging="360"/>
      </w:pPr>
      <w:rPr>
        <w:vertAlign w:val="baseline"/>
        <w:position w:val="0"/>
        <w:sz w:val="20"/>
      </w:rPr>
    </w:lvl>
    <w:lvl w:ilvl="5">
      <w:start w:val="1"/>
      <w:numFmt w:val="lowerRoman"/>
      <w:lvlText w:val="(%6)"/>
      <w:lvlJc w:val="start"/>
      <w:pPr>
        <w:tabs>
          <w:tab w:val="num" w:pos="0"/>
        </w:tabs>
        <w:ind w:start="2160" w:hanging="360"/>
      </w:pPr>
      <w:rPr>
        <w:vertAlign w:val="baseline"/>
        <w:position w:val="0"/>
        <w:sz w:val="20"/>
      </w:rPr>
    </w:lvl>
    <w:lvl w:ilvl="6">
      <w:start w:val="1"/>
      <w:numFmt w:val="decimal"/>
      <w:lvlText w:val="%7."/>
      <w:lvlJc w:val="start"/>
      <w:pPr>
        <w:tabs>
          <w:tab w:val="num" w:pos="0"/>
        </w:tabs>
        <w:ind w:start="2520" w:hanging="360"/>
      </w:pPr>
      <w:rPr>
        <w:vertAlign w:val="baseline"/>
        <w:position w:val="0"/>
        <w:sz w:val="20"/>
      </w:rPr>
    </w:lvl>
    <w:lvl w:ilvl="7">
      <w:start w:val="1"/>
      <w:numFmt w:val="lowerLetter"/>
      <w:lvlText w:val="%8."/>
      <w:lvlJc w:val="start"/>
      <w:pPr>
        <w:tabs>
          <w:tab w:val="num" w:pos="0"/>
        </w:tabs>
        <w:ind w:start="2880" w:hanging="360"/>
      </w:pPr>
      <w:rPr>
        <w:vertAlign w:val="baseline"/>
        <w:position w:val="0"/>
        <w:sz w:val="20"/>
      </w:rPr>
    </w:lvl>
    <w:lvl w:ilvl="8">
      <w:start w:val="1"/>
      <w:numFmt w:val="lowerRoman"/>
      <w:lvlText w:val="%9."/>
      <w:lvlJc w:val="start"/>
      <w:pPr>
        <w:tabs>
          <w:tab w:val="num" w:pos="0"/>
        </w:tabs>
        <w:ind w:start="3240" w:hanging="360"/>
      </w:pPr>
      <w:rPr>
        <w:vertAlign w:val="baseline"/>
        <w:position w:val="0"/>
        <w:sz w:val="20"/>
      </w:rPr>
    </w:lvl>
  </w:abstractNum>
  <w:abstractNum w:abstractNumId="4">
    <w:lvl w:ilvl="0">
      <w:start w:val="1"/>
      <w:numFmt w:val="decimal"/>
      <w:lvlText w:val="%1."/>
      <w:lvlJc w:val="start"/>
      <w:pPr>
        <w:tabs>
          <w:tab w:val="num" w:pos="0"/>
        </w:tabs>
        <w:ind w:start="405" w:hanging="405"/>
      </w:pPr>
      <w:rPr>
        <w:vertAlign w:val="baseline"/>
        <w:position w:val="0"/>
        <w:sz w:val="20"/>
        <w:color w:val="000000"/>
      </w:rPr>
    </w:lvl>
    <w:lvl w:ilvl="1">
      <w:start w:val="1"/>
      <w:numFmt w:val="upperRoman"/>
      <w:lvlText w:val="%2."/>
      <w:lvlJc w:val="end"/>
      <w:pPr>
        <w:tabs>
          <w:tab w:val="num" w:pos="0"/>
        </w:tabs>
        <w:ind w:start="689" w:hanging="405"/>
      </w:pPr>
      <w:rPr>
        <w:vertAlign w:val="baseline"/>
        <w:position w:val="0"/>
        <w:sz w:val="20"/>
        <w:i w:val="false"/>
        <w:color w:val="000000"/>
      </w:rPr>
    </w:lvl>
    <w:lvl w:ilvl="2">
      <w:start w:val="1"/>
      <w:numFmt w:val="decimal"/>
      <w:lvlText w:val="%1.%2.%3."/>
      <w:lvlJc w:val="start"/>
      <w:pPr>
        <w:tabs>
          <w:tab w:val="num" w:pos="0"/>
        </w:tabs>
        <w:ind w:start="720" w:hanging="720"/>
      </w:pPr>
      <w:rPr>
        <w:vertAlign w:val="baseline"/>
        <w:position w:val="0"/>
        <w:sz w:val="20"/>
        <w:color w:val="000000"/>
      </w:rPr>
    </w:lvl>
    <w:lvl w:ilvl="3">
      <w:start w:val="1"/>
      <w:numFmt w:val="decimal"/>
      <w:lvlText w:val="%1.%2.%3.%4."/>
      <w:lvlJc w:val="start"/>
      <w:pPr>
        <w:tabs>
          <w:tab w:val="num" w:pos="0"/>
        </w:tabs>
        <w:ind w:start="720" w:hanging="720"/>
      </w:pPr>
      <w:rPr>
        <w:vertAlign w:val="baseline"/>
        <w:position w:val="0"/>
        <w:sz w:val="20"/>
        <w:color w:val="000000"/>
      </w:rPr>
    </w:lvl>
    <w:lvl w:ilvl="4">
      <w:start w:val="1"/>
      <w:numFmt w:val="decimal"/>
      <w:lvlText w:val="%1.%2.%3.%4.%5."/>
      <w:lvlJc w:val="start"/>
      <w:pPr>
        <w:tabs>
          <w:tab w:val="num" w:pos="0"/>
        </w:tabs>
        <w:ind w:start="1080" w:hanging="1080"/>
      </w:pPr>
      <w:rPr>
        <w:vertAlign w:val="baseline"/>
        <w:position w:val="0"/>
        <w:sz w:val="20"/>
        <w:color w:val="000000"/>
      </w:rPr>
    </w:lvl>
    <w:lvl w:ilvl="5">
      <w:start w:val="1"/>
      <w:numFmt w:val="decimal"/>
      <w:lvlText w:val="%1.%2.%3.%4.%5.%6."/>
      <w:lvlJc w:val="start"/>
      <w:pPr>
        <w:tabs>
          <w:tab w:val="num" w:pos="0"/>
        </w:tabs>
        <w:ind w:start="1080" w:hanging="1080"/>
      </w:pPr>
      <w:rPr>
        <w:vertAlign w:val="baseline"/>
        <w:position w:val="0"/>
        <w:sz w:val="20"/>
        <w:color w:val="000000"/>
      </w:rPr>
    </w:lvl>
    <w:lvl w:ilvl="6">
      <w:start w:val="1"/>
      <w:numFmt w:val="decimal"/>
      <w:lvlText w:val="%1.%2.%3.%4.%5.%6.%7."/>
      <w:lvlJc w:val="start"/>
      <w:pPr>
        <w:tabs>
          <w:tab w:val="num" w:pos="0"/>
        </w:tabs>
        <w:ind w:start="1440" w:hanging="1440"/>
      </w:pPr>
      <w:rPr>
        <w:vertAlign w:val="baseline"/>
        <w:position w:val="0"/>
        <w:sz w:val="20"/>
        <w:color w:val="000000"/>
      </w:rPr>
    </w:lvl>
    <w:lvl w:ilvl="7">
      <w:start w:val="1"/>
      <w:numFmt w:val="decimal"/>
      <w:lvlText w:val="%1.%2.%3.%4.%5.%6.%7.%8."/>
      <w:lvlJc w:val="start"/>
      <w:pPr>
        <w:tabs>
          <w:tab w:val="num" w:pos="0"/>
        </w:tabs>
        <w:ind w:start="1440" w:hanging="1440"/>
      </w:pPr>
      <w:rPr>
        <w:vertAlign w:val="baseline"/>
        <w:position w:val="0"/>
        <w:sz w:val="20"/>
        <w:color w:val="000000"/>
      </w:rPr>
    </w:lvl>
    <w:lvl w:ilvl="8">
      <w:start w:val="1"/>
      <w:numFmt w:val="decimal"/>
      <w:lvlText w:val="%1.%2.%3.%4.%5.%6.%7.%8.%9."/>
      <w:lvlJc w:val="start"/>
      <w:pPr>
        <w:tabs>
          <w:tab w:val="num" w:pos="0"/>
        </w:tabs>
        <w:ind w:start="1800" w:hanging="1800"/>
      </w:pPr>
      <w:rPr>
        <w:vertAlign w:val="baseline"/>
        <w:position w:val="0"/>
        <w:sz w:val="20"/>
        <w:color w:val="000000"/>
      </w:rPr>
    </w:lvl>
  </w:abstractNum>
  <w:abstractNum w:abstractNumId="5">
    <w:lvl w:ilvl="0">
      <w:start w:val="1"/>
      <w:numFmt w:val="lowerLetter"/>
      <w:lvlText w:val="%1."/>
      <w:lvlJc w:val="start"/>
      <w:pPr>
        <w:tabs>
          <w:tab w:val="num" w:pos="0"/>
        </w:tabs>
        <w:ind w:start="720" w:hanging="360"/>
      </w:pPr>
      <w:rPr>
        <w:vertAlign w:val="baseline"/>
        <w:position w:val="0"/>
        <w:sz w:val="20"/>
      </w:rPr>
    </w:lvl>
    <w:lvl w:ilvl="1">
      <w:start w:val="1"/>
      <w:numFmt w:val="lowerLetter"/>
      <w:lvlText w:val="%2."/>
      <w:lvlJc w:val="start"/>
      <w:pPr>
        <w:tabs>
          <w:tab w:val="num" w:pos="0"/>
        </w:tabs>
        <w:ind w:start="1440" w:hanging="360"/>
      </w:pPr>
      <w:rPr>
        <w:vertAlign w:val="baseline"/>
        <w:position w:val="0"/>
        <w:sz w:val="20"/>
      </w:rPr>
    </w:lvl>
    <w:lvl w:ilvl="2">
      <w:start w:val="1"/>
      <w:numFmt w:val="lowerRoman"/>
      <w:lvlText w:val="%3."/>
      <w:lvlJc w:val="end"/>
      <w:pPr>
        <w:tabs>
          <w:tab w:val="num" w:pos="0"/>
        </w:tabs>
        <w:ind w:start="2160" w:hanging="180"/>
      </w:pPr>
      <w:rPr>
        <w:vertAlign w:val="baseline"/>
        <w:position w:val="0"/>
        <w:sz w:val="20"/>
      </w:rPr>
    </w:lvl>
    <w:lvl w:ilvl="3">
      <w:start w:val="1"/>
      <w:numFmt w:val="decimal"/>
      <w:lvlText w:val="%4."/>
      <w:lvlJc w:val="start"/>
      <w:pPr>
        <w:tabs>
          <w:tab w:val="num" w:pos="0"/>
        </w:tabs>
        <w:ind w:start="2880" w:hanging="360"/>
      </w:pPr>
      <w:rPr>
        <w:vertAlign w:val="baseline"/>
        <w:position w:val="0"/>
        <w:sz w:val="20"/>
      </w:rPr>
    </w:lvl>
    <w:lvl w:ilvl="4">
      <w:start w:val="1"/>
      <w:numFmt w:val="lowerLetter"/>
      <w:lvlText w:val="%5."/>
      <w:lvlJc w:val="start"/>
      <w:pPr>
        <w:tabs>
          <w:tab w:val="num" w:pos="0"/>
        </w:tabs>
        <w:ind w:start="3600" w:hanging="360"/>
      </w:pPr>
      <w:rPr>
        <w:vertAlign w:val="baseline"/>
        <w:position w:val="0"/>
        <w:sz w:val="20"/>
      </w:rPr>
    </w:lvl>
    <w:lvl w:ilvl="5">
      <w:start w:val="1"/>
      <w:numFmt w:val="lowerRoman"/>
      <w:lvlText w:val="%6."/>
      <w:lvlJc w:val="end"/>
      <w:pPr>
        <w:tabs>
          <w:tab w:val="num" w:pos="0"/>
        </w:tabs>
        <w:ind w:start="4320" w:hanging="180"/>
      </w:pPr>
      <w:rPr>
        <w:vertAlign w:val="baseline"/>
        <w:position w:val="0"/>
        <w:sz w:val="20"/>
      </w:rPr>
    </w:lvl>
    <w:lvl w:ilvl="6">
      <w:start w:val="1"/>
      <w:numFmt w:val="decimal"/>
      <w:lvlText w:val="%7."/>
      <w:lvlJc w:val="start"/>
      <w:pPr>
        <w:tabs>
          <w:tab w:val="num" w:pos="0"/>
        </w:tabs>
        <w:ind w:start="5040" w:hanging="360"/>
      </w:pPr>
      <w:rPr>
        <w:vertAlign w:val="baseline"/>
        <w:position w:val="0"/>
        <w:sz w:val="20"/>
      </w:rPr>
    </w:lvl>
    <w:lvl w:ilvl="7">
      <w:start w:val="1"/>
      <w:numFmt w:val="lowerLetter"/>
      <w:lvlText w:val="%8."/>
      <w:lvlJc w:val="start"/>
      <w:pPr>
        <w:tabs>
          <w:tab w:val="num" w:pos="0"/>
        </w:tabs>
        <w:ind w:start="5760" w:hanging="360"/>
      </w:pPr>
      <w:rPr>
        <w:vertAlign w:val="baseline"/>
        <w:position w:val="0"/>
        <w:sz w:val="20"/>
      </w:rPr>
    </w:lvl>
    <w:lvl w:ilvl="8">
      <w:start w:val="1"/>
      <w:numFmt w:val="lowerRoman"/>
      <w:lvlText w:val="%9."/>
      <w:lvlJc w:val="end"/>
      <w:pPr>
        <w:tabs>
          <w:tab w:val="num" w:pos="0"/>
        </w:tabs>
        <w:ind w:start="6480" w:hanging="180"/>
      </w:pPr>
      <w:rPr>
        <w:vertAlign w:val="baseline"/>
        <w:position w:val="0"/>
        <w:sz w:val="20"/>
      </w:rPr>
    </w:lvl>
  </w:abstractNum>
  <w:abstractNum w:abstractNumId="6">
    <w:lvl w:ilvl="0">
      <w:start w:val="1"/>
      <w:numFmt w:val="decimal"/>
      <w:lvlText w:val="%1."/>
      <w:lvlJc w:val="start"/>
      <w:pPr>
        <w:tabs>
          <w:tab w:val="num" w:pos="0"/>
        </w:tabs>
        <w:ind w:start="360" w:hanging="360"/>
      </w:pPr>
      <w:rPr>
        <w:vertAlign w:val="baseline"/>
        <w:position w:val="0"/>
        <w:sz w:val="20"/>
      </w:rPr>
    </w:lvl>
    <w:lvl w:ilvl="1">
      <w:start w:val="1"/>
      <w:numFmt w:val="decimal"/>
      <w:lvlText w:val="%1.%2."/>
      <w:lvlJc w:val="start"/>
      <w:pPr>
        <w:tabs>
          <w:tab w:val="num" w:pos="0"/>
        </w:tabs>
        <w:ind w:start="792" w:hanging="432"/>
      </w:pPr>
      <w:rPr>
        <w:vertAlign w:val="baseline"/>
        <w:position w:val="0"/>
        <w:sz w:val="20"/>
        <w:b w:val="false"/>
      </w:rPr>
    </w:lvl>
    <w:lvl w:ilvl="2">
      <w:start w:val="1"/>
      <w:numFmt w:val="decimal"/>
      <w:lvlText w:val="%1.%2.%3."/>
      <w:lvlJc w:val="start"/>
      <w:pPr>
        <w:tabs>
          <w:tab w:val="num" w:pos="0"/>
        </w:tabs>
        <w:ind w:start="1224" w:hanging="504"/>
      </w:pPr>
      <w:rPr>
        <w:vertAlign w:val="baseline"/>
        <w:position w:val="0"/>
        <w:sz w:val="20"/>
        <w:shd w:fill="auto" w:val="clear"/>
      </w:rPr>
    </w:lvl>
    <w:lvl w:ilvl="3">
      <w:start w:val="1"/>
      <w:numFmt w:val="decimal"/>
      <w:lvlText w:val="%1.%2.%3.%4."/>
      <w:lvlJc w:val="start"/>
      <w:pPr>
        <w:tabs>
          <w:tab w:val="num" w:pos="0"/>
        </w:tabs>
        <w:ind w:start="1728" w:hanging="648"/>
      </w:pPr>
      <w:rPr>
        <w:vertAlign w:val="baseline"/>
        <w:position w:val="0"/>
        <w:sz w:val="20"/>
      </w:rPr>
    </w:lvl>
    <w:lvl w:ilvl="4">
      <w:start w:val="1"/>
      <w:numFmt w:val="decimal"/>
      <w:lvlText w:val="%1.%2.%3.%4.%5."/>
      <w:lvlJc w:val="start"/>
      <w:pPr>
        <w:tabs>
          <w:tab w:val="num" w:pos="0"/>
        </w:tabs>
        <w:ind w:start="2232" w:hanging="792"/>
      </w:pPr>
      <w:rPr>
        <w:vertAlign w:val="baseline"/>
        <w:position w:val="0"/>
        <w:sz w:val="20"/>
      </w:rPr>
    </w:lvl>
    <w:lvl w:ilvl="5">
      <w:start w:val="1"/>
      <w:numFmt w:val="decimal"/>
      <w:lvlText w:val="%1.%2.%3.%4.%5.%6."/>
      <w:lvlJc w:val="start"/>
      <w:pPr>
        <w:tabs>
          <w:tab w:val="num" w:pos="0"/>
        </w:tabs>
        <w:ind w:start="2736" w:hanging="936"/>
      </w:pPr>
      <w:rPr>
        <w:vertAlign w:val="baseline"/>
        <w:position w:val="0"/>
        <w:sz w:val="20"/>
      </w:rPr>
    </w:lvl>
    <w:lvl w:ilvl="6">
      <w:start w:val="1"/>
      <w:numFmt w:val="decimal"/>
      <w:lvlText w:val="%1.%2.%3.%4.%5.%6.%7."/>
      <w:lvlJc w:val="start"/>
      <w:pPr>
        <w:tabs>
          <w:tab w:val="num" w:pos="0"/>
        </w:tabs>
        <w:ind w:start="3240" w:hanging="1080"/>
      </w:pPr>
      <w:rPr>
        <w:vertAlign w:val="baseline"/>
        <w:position w:val="0"/>
        <w:sz w:val="20"/>
      </w:rPr>
    </w:lvl>
    <w:lvl w:ilvl="7">
      <w:start w:val="1"/>
      <w:numFmt w:val="decimal"/>
      <w:lvlText w:val="%1.%2.%3.%4.%5.%6.%7.%8."/>
      <w:lvlJc w:val="start"/>
      <w:pPr>
        <w:tabs>
          <w:tab w:val="num" w:pos="0"/>
        </w:tabs>
        <w:ind w:start="3744" w:hanging="1224"/>
      </w:pPr>
      <w:rPr>
        <w:vertAlign w:val="baseline"/>
        <w:position w:val="0"/>
        <w:sz w:val="20"/>
      </w:rPr>
    </w:lvl>
    <w:lvl w:ilvl="8">
      <w:start w:val="1"/>
      <w:numFmt w:val="decimal"/>
      <w:lvlText w:val="%1.%2.%3.%4.%5.%6.%7.%8.%9."/>
      <w:lvlJc w:val="start"/>
      <w:pPr>
        <w:tabs>
          <w:tab w:val="num" w:pos="0"/>
        </w:tabs>
        <w:ind w:start="4320" w:hanging="1440"/>
      </w:pPr>
      <w:rPr>
        <w:vertAlign w:val="baseline"/>
        <w:position w:val="0"/>
        <w:sz w:val="20"/>
      </w:rPr>
    </w:lvl>
  </w:abstractNum>
  <w:abstractNum w:abstractNumId="7">
    <w:lvl w:ilvl="0">
      <w:start w:val="1"/>
      <w:numFmt w:val="lowerLetter"/>
      <w:lvlText w:val="%1)"/>
      <w:lvlJc w:val="start"/>
      <w:pPr>
        <w:tabs>
          <w:tab w:val="num" w:pos="0"/>
        </w:tabs>
        <w:ind w:start="720" w:hanging="360"/>
      </w:pPr>
      <w:rPr>
        <w:vertAlign w:val="baseline"/>
        <w:position w:val="0"/>
        <w:sz w:val="20"/>
      </w:rPr>
    </w:lvl>
    <w:lvl w:ilvl="1">
      <w:start w:val="1"/>
      <w:numFmt w:val="lowerLetter"/>
      <w:lvlText w:val="%2."/>
      <w:lvlJc w:val="start"/>
      <w:pPr>
        <w:tabs>
          <w:tab w:val="num" w:pos="0"/>
        </w:tabs>
        <w:ind w:start="1440" w:hanging="360"/>
      </w:pPr>
      <w:rPr>
        <w:vertAlign w:val="baseline"/>
        <w:position w:val="0"/>
        <w:sz w:val="20"/>
      </w:rPr>
    </w:lvl>
    <w:lvl w:ilvl="2">
      <w:start w:val="1"/>
      <w:numFmt w:val="lowerRoman"/>
      <w:lvlText w:val="%3."/>
      <w:lvlJc w:val="end"/>
      <w:pPr>
        <w:tabs>
          <w:tab w:val="num" w:pos="0"/>
        </w:tabs>
        <w:ind w:start="2160" w:hanging="180"/>
      </w:pPr>
      <w:rPr>
        <w:vertAlign w:val="baseline"/>
        <w:position w:val="0"/>
        <w:sz w:val="20"/>
      </w:rPr>
    </w:lvl>
    <w:lvl w:ilvl="3">
      <w:start w:val="1"/>
      <w:numFmt w:val="decimal"/>
      <w:lvlText w:val="%4."/>
      <w:lvlJc w:val="start"/>
      <w:pPr>
        <w:tabs>
          <w:tab w:val="num" w:pos="0"/>
        </w:tabs>
        <w:ind w:start="2880" w:hanging="360"/>
      </w:pPr>
      <w:rPr>
        <w:vertAlign w:val="baseline"/>
        <w:position w:val="0"/>
        <w:sz w:val="20"/>
      </w:rPr>
    </w:lvl>
    <w:lvl w:ilvl="4">
      <w:start w:val="1"/>
      <w:numFmt w:val="lowerLetter"/>
      <w:lvlText w:val="%5."/>
      <w:lvlJc w:val="start"/>
      <w:pPr>
        <w:tabs>
          <w:tab w:val="num" w:pos="0"/>
        </w:tabs>
        <w:ind w:start="3600" w:hanging="360"/>
      </w:pPr>
      <w:rPr>
        <w:vertAlign w:val="baseline"/>
        <w:position w:val="0"/>
        <w:sz w:val="20"/>
      </w:rPr>
    </w:lvl>
    <w:lvl w:ilvl="5">
      <w:start w:val="1"/>
      <w:numFmt w:val="lowerRoman"/>
      <w:lvlText w:val="%6."/>
      <w:lvlJc w:val="end"/>
      <w:pPr>
        <w:tabs>
          <w:tab w:val="num" w:pos="0"/>
        </w:tabs>
        <w:ind w:start="4320" w:hanging="180"/>
      </w:pPr>
      <w:rPr>
        <w:vertAlign w:val="baseline"/>
        <w:position w:val="0"/>
        <w:sz w:val="20"/>
      </w:rPr>
    </w:lvl>
    <w:lvl w:ilvl="6">
      <w:start w:val="1"/>
      <w:numFmt w:val="decimal"/>
      <w:lvlText w:val="%7."/>
      <w:lvlJc w:val="start"/>
      <w:pPr>
        <w:tabs>
          <w:tab w:val="num" w:pos="0"/>
        </w:tabs>
        <w:ind w:start="5040" w:hanging="360"/>
      </w:pPr>
      <w:rPr>
        <w:vertAlign w:val="baseline"/>
        <w:position w:val="0"/>
        <w:sz w:val="20"/>
      </w:rPr>
    </w:lvl>
    <w:lvl w:ilvl="7">
      <w:start w:val="1"/>
      <w:numFmt w:val="lowerLetter"/>
      <w:lvlText w:val="%8."/>
      <w:lvlJc w:val="start"/>
      <w:pPr>
        <w:tabs>
          <w:tab w:val="num" w:pos="0"/>
        </w:tabs>
        <w:ind w:start="5760" w:hanging="360"/>
      </w:pPr>
      <w:rPr>
        <w:vertAlign w:val="baseline"/>
        <w:position w:val="0"/>
        <w:sz w:val="20"/>
      </w:rPr>
    </w:lvl>
    <w:lvl w:ilvl="8">
      <w:start w:val="1"/>
      <w:numFmt w:val="lowerRoman"/>
      <w:lvlText w:val="%9."/>
      <w:lvlJc w:val="end"/>
      <w:pPr>
        <w:tabs>
          <w:tab w:val="num" w:pos="0"/>
        </w:tabs>
        <w:ind w:start="6480" w:hanging="180"/>
      </w:pPr>
      <w:rPr>
        <w:vertAlign w:val="baseline"/>
        <w:position w:val="0"/>
        <w:sz w:val="20"/>
      </w:rPr>
    </w:lvl>
  </w:abstractNum>
  <w:abstractNum w:abstractNumId="8">
    <w:lvl w:ilvl="0">
      <w:start w:val="1"/>
      <w:numFmt w:val="lowerLetter"/>
      <w:lvlText w:val="%1)"/>
      <w:lvlJc w:val="start"/>
      <w:pPr>
        <w:tabs>
          <w:tab w:val="num" w:pos="0"/>
        </w:tabs>
        <w:ind w:start="1287" w:hanging="360"/>
      </w:pPr>
      <w:rPr>
        <w:vertAlign w:val="baseline"/>
        <w:position w:val="0"/>
        <w:sz w:val="20"/>
      </w:rPr>
    </w:lvl>
    <w:lvl w:ilvl="1">
      <w:start w:val="1"/>
      <w:numFmt w:val="lowerLetter"/>
      <w:lvlText w:val="%2."/>
      <w:lvlJc w:val="start"/>
      <w:pPr>
        <w:tabs>
          <w:tab w:val="num" w:pos="0"/>
        </w:tabs>
        <w:ind w:start="2007" w:hanging="360"/>
      </w:pPr>
      <w:rPr>
        <w:vertAlign w:val="baseline"/>
        <w:position w:val="0"/>
        <w:sz w:val="20"/>
      </w:rPr>
    </w:lvl>
    <w:lvl w:ilvl="2">
      <w:start w:val="1"/>
      <w:numFmt w:val="lowerRoman"/>
      <w:lvlText w:val="%3."/>
      <w:lvlJc w:val="end"/>
      <w:pPr>
        <w:tabs>
          <w:tab w:val="num" w:pos="0"/>
        </w:tabs>
        <w:ind w:start="2727" w:hanging="180"/>
      </w:pPr>
      <w:rPr>
        <w:vertAlign w:val="baseline"/>
        <w:position w:val="0"/>
        <w:sz w:val="20"/>
      </w:rPr>
    </w:lvl>
    <w:lvl w:ilvl="3">
      <w:start w:val="1"/>
      <w:numFmt w:val="decimal"/>
      <w:lvlText w:val="%4."/>
      <w:lvlJc w:val="start"/>
      <w:pPr>
        <w:tabs>
          <w:tab w:val="num" w:pos="0"/>
        </w:tabs>
        <w:ind w:start="3447" w:hanging="360"/>
      </w:pPr>
      <w:rPr>
        <w:vertAlign w:val="baseline"/>
        <w:position w:val="0"/>
        <w:sz w:val="20"/>
      </w:rPr>
    </w:lvl>
    <w:lvl w:ilvl="4">
      <w:start w:val="1"/>
      <w:numFmt w:val="lowerLetter"/>
      <w:lvlText w:val="%5."/>
      <w:lvlJc w:val="start"/>
      <w:pPr>
        <w:tabs>
          <w:tab w:val="num" w:pos="0"/>
        </w:tabs>
        <w:ind w:start="4167" w:hanging="360"/>
      </w:pPr>
      <w:rPr>
        <w:vertAlign w:val="baseline"/>
        <w:position w:val="0"/>
        <w:sz w:val="20"/>
      </w:rPr>
    </w:lvl>
    <w:lvl w:ilvl="5">
      <w:start w:val="1"/>
      <w:numFmt w:val="lowerRoman"/>
      <w:lvlText w:val="%6."/>
      <w:lvlJc w:val="end"/>
      <w:pPr>
        <w:tabs>
          <w:tab w:val="num" w:pos="0"/>
        </w:tabs>
        <w:ind w:start="4887" w:hanging="180"/>
      </w:pPr>
      <w:rPr>
        <w:vertAlign w:val="baseline"/>
        <w:position w:val="0"/>
        <w:sz w:val="20"/>
      </w:rPr>
    </w:lvl>
    <w:lvl w:ilvl="6">
      <w:start w:val="1"/>
      <w:numFmt w:val="decimal"/>
      <w:lvlText w:val="%7."/>
      <w:lvlJc w:val="start"/>
      <w:pPr>
        <w:tabs>
          <w:tab w:val="num" w:pos="0"/>
        </w:tabs>
        <w:ind w:start="5607" w:hanging="360"/>
      </w:pPr>
      <w:rPr>
        <w:vertAlign w:val="baseline"/>
        <w:position w:val="0"/>
        <w:sz w:val="20"/>
      </w:rPr>
    </w:lvl>
    <w:lvl w:ilvl="7">
      <w:start w:val="1"/>
      <w:numFmt w:val="lowerLetter"/>
      <w:lvlText w:val="%8."/>
      <w:lvlJc w:val="start"/>
      <w:pPr>
        <w:tabs>
          <w:tab w:val="num" w:pos="0"/>
        </w:tabs>
        <w:ind w:start="6327" w:hanging="360"/>
      </w:pPr>
      <w:rPr>
        <w:vertAlign w:val="baseline"/>
        <w:position w:val="0"/>
        <w:sz w:val="20"/>
      </w:rPr>
    </w:lvl>
    <w:lvl w:ilvl="8">
      <w:start w:val="1"/>
      <w:numFmt w:val="lowerRoman"/>
      <w:lvlText w:val="%9."/>
      <w:lvlJc w:val="end"/>
      <w:pPr>
        <w:tabs>
          <w:tab w:val="num" w:pos="0"/>
        </w:tabs>
        <w:ind w:start="7047" w:hanging="180"/>
      </w:pPr>
      <w:rPr>
        <w:vertAlign w:val="baseline"/>
        <w:position w:val="0"/>
        <w:sz w:val="20"/>
      </w:rPr>
    </w:lvl>
  </w:abstractNum>
  <w:abstractNum w:abstractNumId="9">
    <w:lvl w:ilvl="0">
      <w:start w:val="1"/>
      <w:numFmt w:val="lowerLetter"/>
      <w:lvlText w:val="%1)"/>
      <w:lvlJc w:val="start"/>
      <w:pPr>
        <w:tabs>
          <w:tab w:val="num" w:pos="0"/>
        </w:tabs>
        <w:ind w:start="1436" w:hanging="360"/>
      </w:pPr>
      <w:rPr>
        <w:vertAlign w:val="baseline"/>
        <w:position w:val="0"/>
        <w:sz w:val="20"/>
      </w:rPr>
    </w:lvl>
    <w:lvl w:ilvl="1">
      <w:start w:val="1"/>
      <w:numFmt w:val="lowerLetter"/>
      <w:lvlText w:val="%2."/>
      <w:lvlJc w:val="start"/>
      <w:pPr>
        <w:tabs>
          <w:tab w:val="num" w:pos="0"/>
        </w:tabs>
        <w:ind w:start="2156" w:hanging="360"/>
      </w:pPr>
      <w:rPr>
        <w:vertAlign w:val="baseline"/>
        <w:position w:val="0"/>
        <w:sz w:val="20"/>
      </w:rPr>
    </w:lvl>
    <w:lvl w:ilvl="2">
      <w:start w:val="1"/>
      <w:numFmt w:val="lowerRoman"/>
      <w:lvlText w:val="%3."/>
      <w:lvlJc w:val="end"/>
      <w:pPr>
        <w:tabs>
          <w:tab w:val="num" w:pos="0"/>
        </w:tabs>
        <w:ind w:start="2876" w:hanging="180"/>
      </w:pPr>
      <w:rPr>
        <w:vertAlign w:val="baseline"/>
        <w:position w:val="0"/>
        <w:sz w:val="20"/>
      </w:rPr>
    </w:lvl>
    <w:lvl w:ilvl="3">
      <w:start w:val="1"/>
      <w:numFmt w:val="decimal"/>
      <w:lvlText w:val="%4."/>
      <w:lvlJc w:val="start"/>
      <w:pPr>
        <w:tabs>
          <w:tab w:val="num" w:pos="0"/>
        </w:tabs>
        <w:ind w:start="3596" w:hanging="360"/>
      </w:pPr>
      <w:rPr>
        <w:vertAlign w:val="baseline"/>
        <w:position w:val="0"/>
        <w:sz w:val="20"/>
      </w:rPr>
    </w:lvl>
    <w:lvl w:ilvl="4">
      <w:start w:val="1"/>
      <w:numFmt w:val="lowerLetter"/>
      <w:lvlText w:val="%5."/>
      <w:lvlJc w:val="start"/>
      <w:pPr>
        <w:tabs>
          <w:tab w:val="num" w:pos="0"/>
        </w:tabs>
        <w:ind w:start="4316" w:hanging="360"/>
      </w:pPr>
      <w:rPr>
        <w:vertAlign w:val="baseline"/>
        <w:position w:val="0"/>
        <w:sz w:val="20"/>
      </w:rPr>
    </w:lvl>
    <w:lvl w:ilvl="5">
      <w:start w:val="1"/>
      <w:numFmt w:val="lowerRoman"/>
      <w:lvlText w:val="%6."/>
      <w:lvlJc w:val="end"/>
      <w:pPr>
        <w:tabs>
          <w:tab w:val="num" w:pos="0"/>
        </w:tabs>
        <w:ind w:start="5036" w:hanging="180"/>
      </w:pPr>
      <w:rPr>
        <w:vertAlign w:val="baseline"/>
        <w:position w:val="0"/>
        <w:sz w:val="20"/>
      </w:rPr>
    </w:lvl>
    <w:lvl w:ilvl="6">
      <w:start w:val="1"/>
      <w:numFmt w:val="decimal"/>
      <w:lvlText w:val="%7."/>
      <w:lvlJc w:val="start"/>
      <w:pPr>
        <w:tabs>
          <w:tab w:val="num" w:pos="0"/>
        </w:tabs>
        <w:ind w:start="5756" w:hanging="360"/>
      </w:pPr>
      <w:rPr>
        <w:vertAlign w:val="baseline"/>
        <w:position w:val="0"/>
        <w:sz w:val="20"/>
      </w:rPr>
    </w:lvl>
    <w:lvl w:ilvl="7">
      <w:start w:val="1"/>
      <w:numFmt w:val="lowerLetter"/>
      <w:lvlText w:val="%8."/>
      <w:lvlJc w:val="start"/>
      <w:pPr>
        <w:tabs>
          <w:tab w:val="num" w:pos="0"/>
        </w:tabs>
        <w:ind w:start="6476" w:hanging="360"/>
      </w:pPr>
      <w:rPr>
        <w:vertAlign w:val="baseline"/>
        <w:position w:val="0"/>
        <w:sz w:val="20"/>
      </w:rPr>
    </w:lvl>
    <w:lvl w:ilvl="8">
      <w:start w:val="1"/>
      <w:numFmt w:val="lowerRoman"/>
      <w:lvlText w:val="%9."/>
      <w:lvlJc w:val="end"/>
      <w:pPr>
        <w:tabs>
          <w:tab w:val="num" w:pos="0"/>
        </w:tabs>
        <w:ind w:start="7196" w:hanging="180"/>
      </w:pPr>
      <w:rPr>
        <w:vertAlign w:val="baseline"/>
        <w:position w:val="0"/>
        <w:sz w:val="20"/>
      </w:rPr>
    </w:lvl>
  </w:abstractNum>
  <w:abstractNum w:abstractNumId="10">
    <w:lvl w:ilvl="0">
      <w:start w:val="1"/>
      <w:numFmt w:val="lowerLetter"/>
      <w:lvlText w:val="%1)"/>
      <w:lvlJc w:val="start"/>
      <w:pPr>
        <w:tabs>
          <w:tab w:val="num" w:pos="0"/>
        </w:tabs>
        <w:ind w:start="720" w:hanging="360"/>
      </w:pPr>
      <w:rPr>
        <w:u w:val="none"/>
      </w:rPr>
    </w:lvl>
    <w:lvl w:ilvl="1">
      <w:start w:val="1"/>
      <w:numFmt w:val="lowerLetter"/>
      <w:lvlText w:val="%2."/>
      <w:lvlJc w:val="start"/>
      <w:pPr>
        <w:tabs>
          <w:tab w:val="num" w:pos="0"/>
        </w:tabs>
        <w:ind w:start="1440" w:hanging="360"/>
      </w:pPr>
      <w:rPr>
        <w:u w:val="none"/>
      </w:rPr>
    </w:lvl>
    <w:lvl w:ilvl="2">
      <w:start w:val="1"/>
      <w:numFmt w:val="lowerRoman"/>
      <w:lvlText w:val="%3."/>
      <w:lvlJc w:val="end"/>
      <w:pPr>
        <w:tabs>
          <w:tab w:val="num" w:pos="0"/>
        </w:tabs>
        <w:ind w:start="2160" w:hanging="180"/>
      </w:pPr>
      <w:rPr>
        <w:u w:val="none"/>
      </w:rPr>
    </w:lvl>
    <w:lvl w:ilvl="3">
      <w:start w:val="1"/>
      <w:numFmt w:val="decimal"/>
      <w:lvlText w:val="%4."/>
      <w:lvlJc w:val="start"/>
      <w:pPr>
        <w:tabs>
          <w:tab w:val="num" w:pos="0"/>
        </w:tabs>
        <w:ind w:start="2880" w:hanging="360"/>
      </w:pPr>
      <w:rPr>
        <w:u w:val="none"/>
      </w:rPr>
    </w:lvl>
    <w:lvl w:ilvl="4">
      <w:start w:val="1"/>
      <w:numFmt w:val="lowerLetter"/>
      <w:lvlText w:val="%5."/>
      <w:lvlJc w:val="start"/>
      <w:pPr>
        <w:tabs>
          <w:tab w:val="num" w:pos="0"/>
        </w:tabs>
        <w:ind w:start="3600" w:hanging="360"/>
      </w:pPr>
      <w:rPr>
        <w:u w:val="none"/>
      </w:rPr>
    </w:lvl>
    <w:lvl w:ilvl="5">
      <w:start w:val="1"/>
      <w:numFmt w:val="lowerRoman"/>
      <w:lvlText w:val="%6."/>
      <w:lvlJc w:val="end"/>
      <w:pPr>
        <w:tabs>
          <w:tab w:val="num" w:pos="0"/>
        </w:tabs>
        <w:ind w:start="4320" w:hanging="180"/>
      </w:pPr>
      <w:rPr>
        <w:u w:val="none"/>
      </w:rPr>
    </w:lvl>
    <w:lvl w:ilvl="6">
      <w:start w:val="1"/>
      <w:numFmt w:val="decimal"/>
      <w:lvlText w:val="%7."/>
      <w:lvlJc w:val="start"/>
      <w:pPr>
        <w:tabs>
          <w:tab w:val="num" w:pos="0"/>
        </w:tabs>
        <w:ind w:start="5040" w:hanging="360"/>
      </w:pPr>
      <w:rPr>
        <w:u w:val="none"/>
      </w:rPr>
    </w:lvl>
    <w:lvl w:ilvl="7">
      <w:start w:val="1"/>
      <w:numFmt w:val="lowerLetter"/>
      <w:lvlText w:val="%8."/>
      <w:lvlJc w:val="start"/>
      <w:pPr>
        <w:tabs>
          <w:tab w:val="num" w:pos="0"/>
        </w:tabs>
        <w:ind w:start="5760" w:hanging="360"/>
      </w:pPr>
      <w:rPr>
        <w:u w:val="none"/>
      </w:rPr>
    </w:lvl>
    <w:lvl w:ilvl="8">
      <w:start w:val="1"/>
      <w:numFmt w:val="lowerRoman"/>
      <w:lvlText w:val="%9."/>
      <w:lvlJc w:val="end"/>
      <w:pPr>
        <w:tabs>
          <w:tab w:val="num" w:pos="0"/>
        </w:tabs>
        <w:ind w:start="6480" w:hanging="180"/>
      </w:pPr>
      <w:rPr>
        <w:u w:val="none"/>
      </w:rPr>
    </w:lvl>
  </w:abstractNum>
  <w:abstractNum w:abstractNumId="11">
    <w:lvl w:ilvl="0">
      <w:start w:val="1"/>
      <w:numFmt w:val="lowerLetter"/>
      <w:lvlText w:val="%1)"/>
      <w:lvlJc w:val="start"/>
      <w:pPr>
        <w:tabs>
          <w:tab w:val="num" w:pos="0"/>
        </w:tabs>
        <w:ind w:start="720" w:hanging="360"/>
      </w:pPr>
      <w:rPr>
        <w:u w:val="none"/>
      </w:rPr>
    </w:lvl>
    <w:lvl w:ilvl="1">
      <w:start w:val="1"/>
      <w:numFmt w:val="lowerLetter"/>
      <w:lvlText w:val="%2."/>
      <w:lvlJc w:val="start"/>
      <w:pPr>
        <w:tabs>
          <w:tab w:val="num" w:pos="0"/>
        </w:tabs>
        <w:ind w:start="1440" w:hanging="360"/>
      </w:pPr>
      <w:rPr>
        <w:u w:val="none"/>
      </w:rPr>
    </w:lvl>
    <w:lvl w:ilvl="2">
      <w:start w:val="1"/>
      <w:numFmt w:val="lowerRoman"/>
      <w:lvlText w:val="%3."/>
      <w:lvlJc w:val="end"/>
      <w:pPr>
        <w:tabs>
          <w:tab w:val="num" w:pos="0"/>
        </w:tabs>
        <w:ind w:start="2160" w:hanging="180"/>
      </w:pPr>
      <w:rPr>
        <w:u w:val="none"/>
      </w:rPr>
    </w:lvl>
    <w:lvl w:ilvl="3">
      <w:start w:val="1"/>
      <w:numFmt w:val="decimal"/>
      <w:lvlText w:val="%4."/>
      <w:lvlJc w:val="start"/>
      <w:pPr>
        <w:tabs>
          <w:tab w:val="num" w:pos="0"/>
        </w:tabs>
        <w:ind w:start="2880" w:hanging="360"/>
      </w:pPr>
      <w:rPr>
        <w:u w:val="none"/>
      </w:rPr>
    </w:lvl>
    <w:lvl w:ilvl="4">
      <w:start w:val="1"/>
      <w:numFmt w:val="lowerLetter"/>
      <w:lvlText w:val="%5."/>
      <w:lvlJc w:val="start"/>
      <w:pPr>
        <w:tabs>
          <w:tab w:val="num" w:pos="0"/>
        </w:tabs>
        <w:ind w:start="3600" w:hanging="360"/>
      </w:pPr>
      <w:rPr>
        <w:u w:val="none"/>
      </w:rPr>
    </w:lvl>
    <w:lvl w:ilvl="5">
      <w:start w:val="1"/>
      <w:numFmt w:val="lowerRoman"/>
      <w:lvlText w:val="%6."/>
      <w:lvlJc w:val="end"/>
      <w:pPr>
        <w:tabs>
          <w:tab w:val="num" w:pos="0"/>
        </w:tabs>
        <w:ind w:start="4320" w:hanging="180"/>
      </w:pPr>
      <w:rPr>
        <w:u w:val="none"/>
      </w:rPr>
    </w:lvl>
    <w:lvl w:ilvl="6">
      <w:start w:val="1"/>
      <w:numFmt w:val="decimal"/>
      <w:lvlText w:val="%7."/>
      <w:lvlJc w:val="start"/>
      <w:pPr>
        <w:tabs>
          <w:tab w:val="num" w:pos="0"/>
        </w:tabs>
        <w:ind w:start="5040" w:hanging="360"/>
      </w:pPr>
      <w:rPr>
        <w:u w:val="none"/>
      </w:rPr>
    </w:lvl>
    <w:lvl w:ilvl="7">
      <w:start w:val="1"/>
      <w:numFmt w:val="lowerLetter"/>
      <w:lvlText w:val="%8."/>
      <w:lvlJc w:val="start"/>
      <w:pPr>
        <w:tabs>
          <w:tab w:val="num" w:pos="0"/>
        </w:tabs>
        <w:ind w:start="5760" w:hanging="360"/>
      </w:pPr>
      <w:rPr>
        <w:u w:val="none"/>
      </w:rPr>
    </w:lvl>
    <w:lvl w:ilvl="8">
      <w:start w:val="1"/>
      <w:numFmt w:val="lowerRoman"/>
      <w:lvlText w:val="%9."/>
      <w:lvlJc w:val="end"/>
      <w:pPr>
        <w:tabs>
          <w:tab w:val="num" w:pos="0"/>
        </w:tabs>
        <w:ind w:start="6480" w:hanging="180"/>
      </w:pPr>
      <w:rPr>
        <w:u w:val="none"/>
      </w:rPr>
    </w:lvl>
  </w:abstractNum>
  <w:abstractNum w:abstractNumId="12">
    <w:lvl w:ilvl="0">
      <w:start w:val="1"/>
      <w:numFmt w:val="lowerLetter"/>
      <w:lvlText w:val="%1)"/>
      <w:lvlJc w:val="start"/>
      <w:pPr>
        <w:tabs>
          <w:tab w:val="num" w:pos="0"/>
        </w:tabs>
        <w:ind w:start="720" w:hanging="360"/>
      </w:pPr>
      <w:rPr>
        <w:u w:val="none"/>
      </w:rPr>
    </w:lvl>
    <w:lvl w:ilvl="1">
      <w:start w:val="1"/>
      <w:numFmt w:val="lowerLetter"/>
      <w:lvlText w:val="%2."/>
      <w:lvlJc w:val="start"/>
      <w:pPr>
        <w:tabs>
          <w:tab w:val="num" w:pos="0"/>
        </w:tabs>
        <w:ind w:start="1440" w:hanging="360"/>
      </w:pPr>
      <w:rPr>
        <w:u w:val="none"/>
      </w:rPr>
    </w:lvl>
    <w:lvl w:ilvl="2">
      <w:start w:val="1"/>
      <w:numFmt w:val="lowerRoman"/>
      <w:lvlText w:val="%3."/>
      <w:lvlJc w:val="end"/>
      <w:pPr>
        <w:tabs>
          <w:tab w:val="num" w:pos="0"/>
        </w:tabs>
        <w:ind w:start="2160" w:hanging="180"/>
      </w:pPr>
      <w:rPr>
        <w:u w:val="none"/>
      </w:rPr>
    </w:lvl>
    <w:lvl w:ilvl="3">
      <w:start w:val="1"/>
      <w:numFmt w:val="decimal"/>
      <w:lvlText w:val="%4."/>
      <w:lvlJc w:val="start"/>
      <w:pPr>
        <w:tabs>
          <w:tab w:val="num" w:pos="0"/>
        </w:tabs>
        <w:ind w:start="2880" w:hanging="360"/>
      </w:pPr>
      <w:rPr>
        <w:u w:val="none"/>
      </w:rPr>
    </w:lvl>
    <w:lvl w:ilvl="4">
      <w:start w:val="1"/>
      <w:numFmt w:val="lowerLetter"/>
      <w:lvlText w:val="%5."/>
      <w:lvlJc w:val="start"/>
      <w:pPr>
        <w:tabs>
          <w:tab w:val="num" w:pos="0"/>
        </w:tabs>
        <w:ind w:start="3600" w:hanging="360"/>
      </w:pPr>
      <w:rPr>
        <w:u w:val="none"/>
      </w:rPr>
    </w:lvl>
    <w:lvl w:ilvl="5">
      <w:start w:val="1"/>
      <w:numFmt w:val="lowerRoman"/>
      <w:lvlText w:val="%6."/>
      <w:lvlJc w:val="end"/>
      <w:pPr>
        <w:tabs>
          <w:tab w:val="num" w:pos="0"/>
        </w:tabs>
        <w:ind w:start="4320" w:hanging="180"/>
      </w:pPr>
      <w:rPr>
        <w:u w:val="none"/>
      </w:rPr>
    </w:lvl>
    <w:lvl w:ilvl="6">
      <w:start w:val="1"/>
      <w:numFmt w:val="decimal"/>
      <w:lvlText w:val="%7."/>
      <w:lvlJc w:val="start"/>
      <w:pPr>
        <w:tabs>
          <w:tab w:val="num" w:pos="0"/>
        </w:tabs>
        <w:ind w:start="5040" w:hanging="360"/>
      </w:pPr>
      <w:rPr>
        <w:u w:val="none"/>
      </w:rPr>
    </w:lvl>
    <w:lvl w:ilvl="7">
      <w:start w:val="1"/>
      <w:numFmt w:val="lowerLetter"/>
      <w:lvlText w:val="%8."/>
      <w:lvlJc w:val="start"/>
      <w:pPr>
        <w:tabs>
          <w:tab w:val="num" w:pos="0"/>
        </w:tabs>
        <w:ind w:start="5760" w:hanging="360"/>
      </w:pPr>
      <w:rPr>
        <w:u w:val="none"/>
      </w:rPr>
    </w:lvl>
    <w:lvl w:ilvl="8">
      <w:start w:val="1"/>
      <w:numFmt w:val="lowerRoman"/>
      <w:lvlText w:val="%9."/>
      <w:lvlJc w:val="end"/>
      <w:pPr>
        <w:tabs>
          <w:tab w:val="num" w:pos="0"/>
        </w:tabs>
        <w:ind w:start="6480" w:hanging="180"/>
      </w:pPr>
      <w:rPr>
        <w:u w:val="none"/>
      </w:rPr>
    </w:lvl>
  </w:abstractNum>
  <w:abstractNum w:abstractNumId="13">
    <w:lvl w:ilvl="0">
      <w:start w:val="1"/>
      <w:numFmt w:val="decimal"/>
      <w:lvlText w:val="%1."/>
      <w:lvlJc w:val="start"/>
      <w:pPr>
        <w:tabs>
          <w:tab w:val="num" w:pos="0"/>
        </w:tabs>
        <w:ind w:start="720" w:hanging="180"/>
      </w:pPr>
      <w:rPr>
        <w:u w:val="none"/>
      </w:rPr>
    </w:lvl>
    <w:lvl w:ilvl="1">
      <w:start w:val="1"/>
      <w:numFmt w:val="lowerLetter"/>
      <w:lvlText w:val="%2."/>
      <w:lvlJc w:val="start"/>
      <w:pPr>
        <w:tabs>
          <w:tab w:val="num" w:pos="0"/>
        </w:tabs>
        <w:ind w:start="1440" w:hanging="360"/>
      </w:pPr>
      <w:rPr>
        <w:u w:val="none"/>
      </w:rPr>
    </w:lvl>
    <w:lvl w:ilvl="2">
      <w:start w:val="1"/>
      <w:numFmt w:val="lowerRoman"/>
      <w:lvlText w:val="%3."/>
      <w:lvlJc w:val="end"/>
      <w:pPr>
        <w:tabs>
          <w:tab w:val="num" w:pos="0"/>
        </w:tabs>
        <w:ind w:start="2160" w:hanging="180"/>
      </w:pPr>
      <w:rPr>
        <w:u w:val="none"/>
      </w:rPr>
    </w:lvl>
    <w:lvl w:ilvl="3">
      <w:start w:val="1"/>
      <w:numFmt w:val="decimal"/>
      <w:lvlText w:val="%4."/>
      <w:lvlJc w:val="start"/>
      <w:pPr>
        <w:tabs>
          <w:tab w:val="num" w:pos="0"/>
        </w:tabs>
        <w:ind w:start="2880" w:hanging="360"/>
      </w:pPr>
      <w:rPr>
        <w:u w:val="none"/>
      </w:rPr>
    </w:lvl>
    <w:lvl w:ilvl="4">
      <w:start w:val="1"/>
      <w:numFmt w:val="lowerLetter"/>
      <w:lvlText w:val="%5."/>
      <w:lvlJc w:val="start"/>
      <w:pPr>
        <w:tabs>
          <w:tab w:val="num" w:pos="0"/>
        </w:tabs>
        <w:ind w:start="3600" w:hanging="360"/>
      </w:pPr>
      <w:rPr>
        <w:u w:val="none"/>
      </w:rPr>
    </w:lvl>
    <w:lvl w:ilvl="5">
      <w:start w:val="1"/>
      <w:numFmt w:val="lowerRoman"/>
      <w:lvlText w:val="%6."/>
      <w:lvlJc w:val="end"/>
      <w:pPr>
        <w:tabs>
          <w:tab w:val="num" w:pos="0"/>
        </w:tabs>
        <w:ind w:start="4320" w:hanging="180"/>
      </w:pPr>
      <w:rPr>
        <w:u w:val="none"/>
      </w:rPr>
    </w:lvl>
    <w:lvl w:ilvl="6">
      <w:start w:val="1"/>
      <w:numFmt w:val="decimal"/>
      <w:lvlText w:val="%7."/>
      <w:lvlJc w:val="start"/>
      <w:pPr>
        <w:tabs>
          <w:tab w:val="num" w:pos="0"/>
        </w:tabs>
        <w:ind w:start="5040" w:hanging="360"/>
      </w:pPr>
      <w:rPr>
        <w:u w:val="none"/>
      </w:rPr>
    </w:lvl>
    <w:lvl w:ilvl="7">
      <w:start w:val="1"/>
      <w:numFmt w:val="lowerLetter"/>
      <w:lvlText w:val="%8."/>
      <w:lvlJc w:val="start"/>
      <w:pPr>
        <w:tabs>
          <w:tab w:val="num" w:pos="0"/>
        </w:tabs>
        <w:ind w:start="5760" w:hanging="360"/>
      </w:pPr>
      <w:rPr>
        <w:u w:val="none"/>
      </w:rPr>
    </w:lvl>
    <w:lvl w:ilvl="8">
      <w:start w:val="1"/>
      <w:numFmt w:val="lowerRoman"/>
      <w:lvlText w:val="%9."/>
      <w:lvlJc w:val="end"/>
      <w:pPr>
        <w:tabs>
          <w:tab w:val="num" w:pos="0"/>
        </w:tabs>
        <w:ind w:start="6480" w:hanging="180"/>
      </w:pPr>
      <w:rPr>
        <w:u w:val="none"/>
      </w:rPr>
    </w:lvl>
  </w:abstractNum>
  <w:abstractNum w:abstractNumId="14">
    <w:lvl w:ilvl="0">
      <w:start w:val="1"/>
      <w:numFmt w:val="lowerLetter"/>
      <w:lvlText w:val="%1)"/>
      <w:lvlJc w:val="start"/>
      <w:pPr>
        <w:tabs>
          <w:tab w:val="num" w:pos="0"/>
        </w:tabs>
        <w:ind w:start="720" w:hanging="360"/>
      </w:pPr>
      <w:rPr>
        <w:u w:val="none"/>
      </w:rPr>
    </w:lvl>
    <w:lvl w:ilvl="1">
      <w:start w:val="1"/>
      <w:numFmt w:val="lowerLetter"/>
      <w:lvlText w:val="%2."/>
      <w:lvlJc w:val="start"/>
      <w:pPr>
        <w:tabs>
          <w:tab w:val="num" w:pos="0"/>
        </w:tabs>
        <w:ind w:start="1440" w:hanging="360"/>
      </w:pPr>
      <w:rPr>
        <w:u w:val="none"/>
      </w:rPr>
    </w:lvl>
    <w:lvl w:ilvl="2">
      <w:start w:val="1"/>
      <w:numFmt w:val="lowerRoman"/>
      <w:lvlText w:val="%3."/>
      <w:lvlJc w:val="end"/>
      <w:pPr>
        <w:tabs>
          <w:tab w:val="num" w:pos="0"/>
        </w:tabs>
        <w:ind w:start="2160" w:hanging="180"/>
      </w:pPr>
      <w:rPr>
        <w:u w:val="none"/>
      </w:rPr>
    </w:lvl>
    <w:lvl w:ilvl="3">
      <w:start w:val="1"/>
      <w:numFmt w:val="decimal"/>
      <w:lvlText w:val="%4."/>
      <w:lvlJc w:val="start"/>
      <w:pPr>
        <w:tabs>
          <w:tab w:val="num" w:pos="0"/>
        </w:tabs>
        <w:ind w:start="2880" w:hanging="360"/>
      </w:pPr>
      <w:rPr>
        <w:u w:val="none"/>
      </w:rPr>
    </w:lvl>
    <w:lvl w:ilvl="4">
      <w:start w:val="1"/>
      <w:numFmt w:val="lowerLetter"/>
      <w:lvlText w:val="%5."/>
      <w:lvlJc w:val="start"/>
      <w:pPr>
        <w:tabs>
          <w:tab w:val="num" w:pos="0"/>
        </w:tabs>
        <w:ind w:start="3600" w:hanging="360"/>
      </w:pPr>
      <w:rPr>
        <w:u w:val="none"/>
      </w:rPr>
    </w:lvl>
    <w:lvl w:ilvl="5">
      <w:start w:val="1"/>
      <w:numFmt w:val="lowerRoman"/>
      <w:lvlText w:val="%6."/>
      <w:lvlJc w:val="end"/>
      <w:pPr>
        <w:tabs>
          <w:tab w:val="num" w:pos="0"/>
        </w:tabs>
        <w:ind w:start="4320" w:hanging="180"/>
      </w:pPr>
      <w:rPr>
        <w:u w:val="none"/>
      </w:rPr>
    </w:lvl>
    <w:lvl w:ilvl="6">
      <w:start w:val="1"/>
      <w:numFmt w:val="decimal"/>
      <w:lvlText w:val="%7."/>
      <w:lvlJc w:val="start"/>
      <w:pPr>
        <w:tabs>
          <w:tab w:val="num" w:pos="0"/>
        </w:tabs>
        <w:ind w:start="5040" w:hanging="360"/>
      </w:pPr>
      <w:rPr>
        <w:u w:val="none"/>
      </w:rPr>
    </w:lvl>
    <w:lvl w:ilvl="7">
      <w:start w:val="1"/>
      <w:numFmt w:val="lowerLetter"/>
      <w:lvlText w:val="%8."/>
      <w:lvlJc w:val="start"/>
      <w:pPr>
        <w:tabs>
          <w:tab w:val="num" w:pos="0"/>
        </w:tabs>
        <w:ind w:start="5760" w:hanging="360"/>
      </w:pPr>
      <w:rPr>
        <w:u w:val="none"/>
      </w:rPr>
    </w:lvl>
    <w:lvl w:ilvl="8">
      <w:start w:val="1"/>
      <w:numFmt w:val="lowerRoman"/>
      <w:lvlText w:val="%9."/>
      <w:lvlJc w:val="end"/>
      <w:pPr>
        <w:tabs>
          <w:tab w:val="num" w:pos="0"/>
        </w:tabs>
        <w:ind w:start="6480" w:hanging="180"/>
      </w:pPr>
      <w:rPr>
        <w:u w:val="none"/>
      </w:rPr>
    </w:lvl>
  </w:abstractNum>
  <w:abstractNum w:abstractNumId="15">
    <w:lvl w:ilvl="0">
      <w:start w:val="1"/>
      <w:numFmt w:val="upperRoman"/>
      <w:lvlText w:val="%1."/>
      <w:lvlJc w:val="end"/>
      <w:pPr>
        <w:tabs>
          <w:tab w:val="num" w:pos="0"/>
        </w:tabs>
        <w:ind w:start="1854" w:hanging="360"/>
      </w:pPr>
      <w:rPr>
        <w:u w:val="none"/>
      </w:rPr>
    </w:lvl>
    <w:lvl w:ilvl="1">
      <w:start w:val="1"/>
      <w:numFmt w:val="lowerLetter"/>
      <w:lvlText w:val="%2."/>
      <w:lvlJc w:val="start"/>
      <w:pPr>
        <w:tabs>
          <w:tab w:val="num" w:pos="0"/>
        </w:tabs>
        <w:ind w:start="2574" w:hanging="360"/>
      </w:pPr>
      <w:rPr>
        <w:u w:val="none"/>
      </w:rPr>
    </w:lvl>
    <w:lvl w:ilvl="2">
      <w:start w:val="1"/>
      <w:numFmt w:val="lowerRoman"/>
      <w:lvlText w:val="%3."/>
      <w:lvlJc w:val="end"/>
      <w:pPr>
        <w:tabs>
          <w:tab w:val="num" w:pos="0"/>
        </w:tabs>
        <w:ind w:start="3294" w:hanging="180"/>
      </w:pPr>
      <w:rPr>
        <w:u w:val="none"/>
      </w:rPr>
    </w:lvl>
    <w:lvl w:ilvl="3">
      <w:start w:val="1"/>
      <w:numFmt w:val="decimal"/>
      <w:lvlText w:val="%4."/>
      <w:lvlJc w:val="start"/>
      <w:pPr>
        <w:tabs>
          <w:tab w:val="num" w:pos="0"/>
        </w:tabs>
        <w:ind w:start="4014" w:hanging="360"/>
      </w:pPr>
      <w:rPr>
        <w:u w:val="none"/>
      </w:rPr>
    </w:lvl>
    <w:lvl w:ilvl="4">
      <w:start w:val="1"/>
      <w:numFmt w:val="lowerLetter"/>
      <w:lvlText w:val="%5."/>
      <w:lvlJc w:val="start"/>
      <w:pPr>
        <w:tabs>
          <w:tab w:val="num" w:pos="0"/>
        </w:tabs>
        <w:ind w:start="4734" w:hanging="360"/>
      </w:pPr>
      <w:rPr>
        <w:u w:val="none"/>
      </w:rPr>
    </w:lvl>
    <w:lvl w:ilvl="5">
      <w:start w:val="1"/>
      <w:numFmt w:val="lowerRoman"/>
      <w:lvlText w:val="%6."/>
      <w:lvlJc w:val="end"/>
      <w:pPr>
        <w:tabs>
          <w:tab w:val="num" w:pos="0"/>
        </w:tabs>
        <w:ind w:start="5454" w:hanging="180"/>
      </w:pPr>
      <w:rPr>
        <w:u w:val="none"/>
      </w:rPr>
    </w:lvl>
    <w:lvl w:ilvl="6">
      <w:start w:val="1"/>
      <w:numFmt w:val="decimal"/>
      <w:lvlText w:val="%7."/>
      <w:lvlJc w:val="start"/>
      <w:pPr>
        <w:tabs>
          <w:tab w:val="num" w:pos="0"/>
        </w:tabs>
        <w:ind w:start="6174" w:hanging="360"/>
      </w:pPr>
      <w:rPr>
        <w:u w:val="none"/>
      </w:rPr>
    </w:lvl>
    <w:lvl w:ilvl="7">
      <w:start w:val="1"/>
      <w:numFmt w:val="lowerLetter"/>
      <w:lvlText w:val="%8."/>
      <w:lvlJc w:val="start"/>
      <w:pPr>
        <w:tabs>
          <w:tab w:val="num" w:pos="0"/>
        </w:tabs>
        <w:ind w:start="6894" w:hanging="360"/>
      </w:pPr>
      <w:rPr>
        <w:u w:val="none"/>
      </w:rPr>
    </w:lvl>
    <w:lvl w:ilvl="8">
      <w:start w:val="1"/>
      <w:numFmt w:val="lowerRoman"/>
      <w:lvlText w:val="%9."/>
      <w:lvlJc w:val="end"/>
      <w:pPr>
        <w:tabs>
          <w:tab w:val="num" w:pos="0"/>
        </w:tabs>
        <w:ind w:start="7614" w:hanging="180"/>
      </w:pPr>
      <w:rPr>
        <w:u w:val="none"/>
      </w:rPr>
    </w:lvl>
  </w:abstractNum>
  <w:abstractNum w:abstractNumId="16">
    <w:lvl w:ilvl="0">
      <w:start w:val="1"/>
      <w:numFmt w:val="upperRoman"/>
      <w:lvlText w:val="%1."/>
      <w:lvlJc w:val="end"/>
      <w:pPr>
        <w:tabs>
          <w:tab w:val="num" w:pos="0"/>
        </w:tabs>
        <w:ind w:start="1854" w:hanging="360"/>
      </w:pPr>
      <w:rPr>
        <w:u w:val="none"/>
      </w:rPr>
    </w:lvl>
    <w:lvl w:ilvl="1">
      <w:start w:val="1"/>
      <w:numFmt w:val="lowerLetter"/>
      <w:lvlText w:val="%2."/>
      <w:lvlJc w:val="start"/>
      <w:pPr>
        <w:tabs>
          <w:tab w:val="num" w:pos="0"/>
        </w:tabs>
        <w:ind w:start="2574" w:hanging="360"/>
      </w:pPr>
      <w:rPr>
        <w:u w:val="none"/>
      </w:rPr>
    </w:lvl>
    <w:lvl w:ilvl="2">
      <w:start w:val="1"/>
      <w:numFmt w:val="lowerRoman"/>
      <w:lvlText w:val="%3."/>
      <w:lvlJc w:val="end"/>
      <w:pPr>
        <w:tabs>
          <w:tab w:val="num" w:pos="0"/>
        </w:tabs>
        <w:ind w:start="3294" w:hanging="180"/>
      </w:pPr>
      <w:rPr>
        <w:u w:val="none"/>
      </w:rPr>
    </w:lvl>
    <w:lvl w:ilvl="3">
      <w:start w:val="1"/>
      <w:numFmt w:val="decimal"/>
      <w:lvlText w:val="%4."/>
      <w:lvlJc w:val="start"/>
      <w:pPr>
        <w:tabs>
          <w:tab w:val="num" w:pos="0"/>
        </w:tabs>
        <w:ind w:start="4014" w:hanging="360"/>
      </w:pPr>
      <w:rPr>
        <w:u w:val="none"/>
      </w:rPr>
    </w:lvl>
    <w:lvl w:ilvl="4">
      <w:start w:val="1"/>
      <w:numFmt w:val="lowerLetter"/>
      <w:lvlText w:val="%5."/>
      <w:lvlJc w:val="start"/>
      <w:pPr>
        <w:tabs>
          <w:tab w:val="num" w:pos="0"/>
        </w:tabs>
        <w:ind w:start="4734" w:hanging="360"/>
      </w:pPr>
      <w:rPr>
        <w:u w:val="none"/>
      </w:rPr>
    </w:lvl>
    <w:lvl w:ilvl="5">
      <w:start w:val="1"/>
      <w:numFmt w:val="lowerRoman"/>
      <w:lvlText w:val="%6."/>
      <w:lvlJc w:val="end"/>
      <w:pPr>
        <w:tabs>
          <w:tab w:val="num" w:pos="0"/>
        </w:tabs>
        <w:ind w:start="5454" w:hanging="180"/>
      </w:pPr>
      <w:rPr>
        <w:u w:val="none"/>
      </w:rPr>
    </w:lvl>
    <w:lvl w:ilvl="6">
      <w:start w:val="1"/>
      <w:numFmt w:val="decimal"/>
      <w:lvlText w:val="%7."/>
      <w:lvlJc w:val="start"/>
      <w:pPr>
        <w:tabs>
          <w:tab w:val="num" w:pos="0"/>
        </w:tabs>
        <w:ind w:start="6174" w:hanging="360"/>
      </w:pPr>
      <w:rPr>
        <w:u w:val="none"/>
      </w:rPr>
    </w:lvl>
    <w:lvl w:ilvl="7">
      <w:start w:val="1"/>
      <w:numFmt w:val="lowerLetter"/>
      <w:lvlText w:val="%8."/>
      <w:lvlJc w:val="start"/>
      <w:pPr>
        <w:tabs>
          <w:tab w:val="num" w:pos="0"/>
        </w:tabs>
        <w:ind w:start="6894" w:hanging="360"/>
      </w:pPr>
      <w:rPr>
        <w:u w:val="none"/>
      </w:rPr>
    </w:lvl>
    <w:lvl w:ilvl="8">
      <w:start w:val="1"/>
      <w:numFmt w:val="lowerRoman"/>
      <w:lvlText w:val="%9."/>
      <w:lvlJc w:val="end"/>
      <w:pPr>
        <w:tabs>
          <w:tab w:val="num" w:pos="0"/>
        </w:tabs>
        <w:ind w:start="7614" w:hanging="180"/>
      </w:pPr>
      <w:rPr>
        <w:u w:val="none"/>
      </w:rPr>
    </w:lvl>
  </w:abstractNum>
  <w:abstractNum w:abstractNumId="17">
    <w:lvl w:ilvl="0">
      <w:start w:val="1"/>
      <w:numFmt w:val="lowerLetter"/>
      <w:lvlText w:val="%1)"/>
      <w:lvlJc w:val="start"/>
      <w:pPr>
        <w:tabs>
          <w:tab w:val="num" w:pos="0"/>
        </w:tabs>
        <w:ind w:start="720" w:hanging="360"/>
      </w:pPr>
      <w:rPr>
        <w:u w:val="none"/>
      </w:rPr>
    </w:lvl>
    <w:lvl w:ilvl="1">
      <w:start w:val="1"/>
      <w:numFmt w:val="lowerLetter"/>
      <w:lvlText w:val="%2."/>
      <w:lvlJc w:val="start"/>
      <w:pPr>
        <w:tabs>
          <w:tab w:val="num" w:pos="0"/>
        </w:tabs>
        <w:ind w:start="1440" w:hanging="360"/>
      </w:pPr>
      <w:rPr>
        <w:u w:val="none"/>
      </w:rPr>
    </w:lvl>
    <w:lvl w:ilvl="2">
      <w:start w:val="1"/>
      <w:numFmt w:val="lowerRoman"/>
      <w:lvlText w:val="%3."/>
      <w:lvlJc w:val="end"/>
      <w:pPr>
        <w:tabs>
          <w:tab w:val="num" w:pos="0"/>
        </w:tabs>
        <w:ind w:start="2160" w:hanging="180"/>
      </w:pPr>
      <w:rPr>
        <w:u w:val="none"/>
      </w:rPr>
    </w:lvl>
    <w:lvl w:ilvl="3">
      <w:start w:val="1"/>
      <w:numFmt w:val="decimal"/>
      <w:lvlText w:val="%4."/>
      <w:lvlJc w:val="start"/>
      <w:pPr>
        <w:tabs>
          <w:tab w:val="num" w:pos="0"/>
        </w:tabs>
        <w:ind w:start="2880" w:hanging="360"/>
      </w:pPr>
      <w:rPr>
        <w:u w:val="none"/>
      </w:rPr>
    </w:lvl>
    <w:lvl w:ilvl="4">
      <w:start w:val="1"/>
      <w:numFmt w:val="lowerLetter"/>
      <w:lvlText w:val="%5."/>
      <w:lvlJc w:val="start"/>
      <w:pPr>
        <w:tabs>
          <w:tab w:val="num" w:pos="0"/>
        </w:tabs>
        <w:ind w:start="3600" w:hanging="360"/>
      </w:pPr>
      <w:rPr>
        <w:u w:val="none"/>
      </w:rPr>
    </w:lvl>
    <w:lvl w:ilvl="5">
      <w:start w:val="1"/>
      <w:numFmt w:val="lowerRoman"/>
      <w:lvlText w:val="%6."/>
      <w:lvlJc w:val="end"/>
      <w:pPr>
        <w:tabs>
          <w:tab w:val="num" w:pos="0"/>
        </w:tabs>
        <w:ind w:start="4320" w:hanging="180"/>
      </w:pPr>
      <w:rPr>
        <w:u w:val="none"/>
      </w:rPr>
    </w:lvl>
    <w:lvl w:ilvl="6">
      <w:start w:val="1"/>
      <w:numFmt w:val="decimal"/>
      <w:lvlText w:val="%7."/>
      <w:lvlJc w:val="start"/>
      <w:pPr>
        <w:tabs>
          <w:tab w:val="num" w:pos="0"/>
        </w:tabs>
        <w:ind w:start="5040" w:hanging="360"/>
      </w:pPr>
      <w:rPr>
        <w:u w:val="none"/>
      </w:rPr>
    </w:lvl>
    <w:lvl w:ilvl="7">
      <w:start w:val="1"/>
      <w:numFmt w:val="lowerLetter"/>
      <w:lvlText w:val="%8."/>
      <w:lvlJc w:val="start"/>
      <w:pPr>
        <w:tabs>
          <w:tab w:val="num" w:pos="0"/>
        </w:tabs>
        <w:ind w:start="5760" w:hanging="360"/>
      </w:pPr>
      <w:rPr>
        <w:u w:val="none"/>
      </w:rPr>
    </w:lvl>
    <w:lvl w:ilvl="8">
      <w:start w:val="1"/>
      <w:numFmt w:val="lowerRoman"/>
      <w:lvlText w:val="%9."/>
      <w:lvlJc w:val="end"/>
      <w:pPr>
        <w:tabs>
          <w:tab w:val="num" w:pos="0"/>
        </w:tabs>
        <w:ind w:start="6480" w:hanging="180"/>
      </w:pPr>
      <w:rPr>
        <w:u w:val="none"/>
      </w:rPr>
    </w:lvl>
  </w:abstractNum>
  <w:abstractNum w:abstractNumId="18">
    <w:lvl w:ilvl="0">
      <w:start w:val="1"/>
      <w:numFmt w:val="decimal"/>
      <w:lvlText w:val="%1)"/>
      <w:lvlJc w:val="start"/>
      <w:pPr>
        <w:tabs>
          <w:tab w:val="num" w:pos="0"/>
        </w:tabs>
        <w:ind w:start="720" w:hanging="360"/>
      </w:pPr>
      <w:rPr>
        <w:u w:val="none"/>
      </w:rPr>
    </w:lvl>
    <w:lvl w:ilvl="1">
      <w:start w:val="1"/>
      <w:numFmt w:val="lowerLetter"/>
      <w:lvlText w:val="%2."/>
      <w:lvlJc w:val="start"/>
      <w:pPr>
        <w:tabs>
          <w:tab w:val="num" w:pos="0"/>
        </w:tabs>
        <w:ind w:start="1440" w:hanging="360"/>
      </w:pPr>
      <w:rPr>
        <w:u w:val="none"/>
      </w:rPr>
    </w:lvl>
    <w:lvl w:ilvl="2">
      <w:start w:val="1"/>
      <w:numFmt w:val="lowerRoman"/>
      <w:lvlText w:val="%3."/>
      <w:lvlJc w:val="end"/>
      <w:pPr>
        <w:tabs>
          <w:tab w:val="num" w:pos="0"/>
        </w:tabs>
        <w:ind w:start="2160" w:hanging="180"/>
      </w:pPr>
      <w:rPr>
        <w:u w:val="none"/>
      </w:rPr>
    </w:lvl>
    <w:lvl w:ilvl="3">
      <w:start w:val="1"/>
      <w:numFmt w:val="decimal"/>
      <w:lvlText w:val="%4."/>
      <w:lvlJc w:val="start"/>
      <w:pPr>
        <w:tabs>
          <w:tab w:val="num" w:pos="0"/>
        </w:tabs>
        <w:ind w:start="2880" w:hanging="360"/>
      </w:pPr>
      <w:rPr>
        <w:u w:val="none"/>
      </w:rPr>
    </w:lvl>
    <w:lvl w:ilvl="4">
      <w:start w:val="1"/>
      <w:numFmt w:val="lowerLetter"/>
      <w:lvlText w:val="%5."/>
      <w:lvlJc w:val="start"/>
      <w:pPr>
        <w:tabs>
          <w:tab w:val="num" w:pos="0"/>
        </w:tabs>
        <w:ind w:start="3600" w:hanging="360"/>
      </w:pPr>
      <w:rPr>
        <w:u w:val="none"/>
      </w:rPr>
    </w:lvl>
    <w:lvl w:ilvl="5">
      <w:start w:val="1"/>
      <w:numFmt w:val="lowerRoman"/>
      <w:lvlText w:val="%6."/>
      <w:lvlJc w:val="end"/>
      <w:pPr>
        <w:tabs>
          <w:tab w:val="num" w:pos="0"/>
        </w:tabs>
        <w:ind w:start="4320" w:hanging="180"/>
      </w:pPr>
      <w:rPr>
        <w:u w:val="none"/>
      </w:rPr>
    </w:lvl>
    <w:lvl w:ilvl="6">
      <w:start w:val="1"/>
      <w:numFmt w:val="decimal"/>
      <w:lvlText w:val="%7."/>
      <w:lvlJc w:val="start"/>
      <w:pPr>
        <w:tabs>
          <w:tab w:val="num" w:pos="0"/>
        </w:tabs>
        <w:ind w:start="5040" w:hanging="360"/>
      </w:pPr>
      <w:rPr>
        <w:u w:val="none"/>
      </w:rPr>
    </w:lvl>
    <w:lvl w:ilvl="7">
      <w:start w:val="1"/>
      <w:numFmt w:val="lowerLetter"/>
      <w:lvlText w:val="%8."/>
      <w:lvlJc w:val="start"/>
      <w:pPr>
        <w:tabs>
          <w:tab w:val="num" w:pos="0"/>
        </w:tabs>
        <w:ind w:start="5760" w:hanging="360"/>
      </w:pPr>
      <w:rPr>
        <w:u w:val="none"/>
      </w:rPr>
    </w:lvl>
    <w:lvl w:ilvl="8">
      <w:start w:val="1"/>
      <w:numFmt w:val="lowerRoman"/>
      <w:lvlText w:val="%9."/>
      <w:lvlJc w:val="end"/>
      <w:pPr>
        <w:tabs>
          <w:tab w:val="num" w:pos="0"/>
        </w:tabs>
        <w:ind w:start="6480" w:hanging="180"/>
      </w:pPr>
      <w:rPr>
        <w:u w:val="none"/>
      </w:rPr>
    </w:lvl>
  </w:abstractNum>
  <w:abstractNum w:abstractNumId="19">
    <w:lvl w:ilvl="0">
      <w:start w:val="1"/>
      <w:numFmt w:val="bullet"/>
      <w:lvlText w:val=""/>
      <w:lvlJc w:val="start"/>
      <w:pPr>
        <w:tabs>
          <w:tab w:val="num" w:pos="0"/>
        </w:tabs>
        <w:ind w:start="1854" w:hanging="360"/>
      </w:pPr>
      <w:rPr>
        <w:rFonts w:ascii="Wingdings" w:hAnsi="Wingdings" w:cs="Wingdings" w:hint="default"/>
        <w:u w:val="none"/>
      </w:rPr>
    </w:lvl>
    <w:lvl w:ilvl="1">
      <w:start w:val="1"/>
      <w:numFmt w:val="bullet"/>
      <w:lvlText w:val="o"/>
      <w:lvlJc w:val="start"/>
      <w:pPr>
        <w:tabs>
          <w:tab w:val="num" w:pos="0"/>
        </w:tabs>
        <w:ind w:start="2574" w:hanging="360"/>
      </w:pPr>
      <w:rPr>
        <w:rFonts w:ascii="OpenSymbol" w:hAnsi="OpenSymbol" w:cs="OpenSymbol" w:hint="default"/>
        <w:u w:val="none"/>
      </w:rPr>
    </w:lvl>
    <w:lvl w:ilvl="2">
      <w:start w:val="1"/>
      <w:numFmt w:val="bullet"/>
      <w:lvlText w:val="▪"/>
      <w:lvlJc w:val="start"/>
      <w:pPr>
        <w:tabs>
          <w:tab w:val="num" w:pos="0"/>
        </w:tabs>
        <w:ind w:start="3294" w:hanging="360"/>
      </w:pPr>
      <w:rPr>
        <w:rFonts w:ascii="OpenSymbol" w:hAnsi="OpenSymbol" w:cs="OpenSymbol" w:hint="default"/>
        <w:u w:val="none"/>
      </w:rPr>
    </w:lvl>
    <w:lvl w:ilvl="3">
      <w:start w:val="1"/>
      <w:numFmt w:val="bullet"/>
      <w:lvlText w:val=""/>
      <w:lvlJc w:val="start"/>
      <w:pPr>
        <w:tabs>
          <w:tab w:val="num" w:pos="0"/>
        </w:tabs>
        <w:ind w:start="4014" w:hanging="360"/>
      </w:pPr>
      <w:rPr>
        <w:rFonts w:ascii="Wingdings" w:hAnsi="Wingdings" w:cs="Wingdings" w:hint="default"/>
        <w:u w:val="none"/>
      </w:rPr>
    </w:lvl>
    <w:lvl w:ilvl="4">
      <w:start w:val="1"/>
      <w:numFmt w:val="bullet"/>
      <w:lvlText w:val="o"/>
      <w:lvlJc w:val="start"/>
      <w:pPr>
        <w:tabs>
          <w:tab w:val="num" w:pos="0"/>
        </w:tabs>
        <w:ind w:start="4734" w:hanging="360"/>
      </w:pPr>
      <w:rPr>
        <w:rFonts w:ascii="OpenSymbol" w:hAnsi="OpenSymbol" w:cs="OpenSymbol" w:hint="default"/>
        <w:u w:val="none"/>
      </w:rPr>
    </w:lvl>
    <w:lvl w:ilvl="5">
      <w:start w:val="1"/>
      <w:numFmt w:val="bullet"/>
      <w:lvlText w:val="▪"/>
      <w:lvlJc w:val="start"/>
      <w:pPr>
        <w:tabs>
          <w:tab w:val="num" w:pos="0"/>
        </w:tabs>
        <w:ind w:start="5454" w:hanging="360"/>
      </w:pPr>
      <w:rPr>
        <w:rFonts w:ascii="OpenSymbol" w:hAnsi="OpenSymbol" w:cs="OpenSymbol" w:hint="default"/>
        <w:u w:val="none"/>
      </w:rPr>
    </w:lvl>
    <w:lvl w:ilvl="6">
      <w:start w:val="1"/>
      <w:numFmt w:val="bullet"/>
      <w:lvlText w:val=""/>
      <w:lvlJc w:val="start"/>
      <w:pPr>
        <w:tabs>
          <w:tab w:val="num" w:pos="0"/>
        </w:tabs>
        <w:ind w:start="6174" w:hanging="360"/>
      </w:pPr>
      <w:rPr>
        <w:rFonts w:ascii="Wingdings" w:hAnsi="Wingdings" w:cs="Wingdings" w:hint="default"/>
        <w:u w:val="none"/>
      </w:rPr>
    </w:lvl>
    <w:lvl w:ilvl="7">
      <w:start w:val="1"/>
      <w:numFmt w:val="bullet"/>
      <w:lvlText w:val="o"/>
      <w:lvlJc w:val="start"/>
      <w:pPr>
        <w:tabs>
          <w:tab w:val="num" w:pos="0"/>
        </w:tabs>
        <w:ind w:start="6894" w:hanging="360"/>
      </w:pPr>
      <w:rPr>
        <w:rFonts w:ascii="OpenSymbol" w:hAnsi="OpenSymbol" w:cs="OpenSymbol" w:hint="default"/>
        <w:u w:val="none"/>
      </w:rPr>
    </w:lvl>
    <w:lvl w:ilvl="8">
      <w:start w:val="1"/>
      <w:numFmt w:val="bullet"/>
      <w:lvlText w:val="▪"/>
      <w:lvlJc w:val="start"/>
      <w:pPr>
        <w:tabs>
          <w:tab w:val="num" w:pos="0"/>
        </w:tabs>
        <w:ind w:start="7614" w:hanging="360"/>
      </w:pPr>
      <w:rPr>
        <w:rFonts w:ascii="OpenSymbol" w:hAnsi="OpenSymbol" w:cs="OpenSymbol" w:hint="default"/>
        <w:u w:val="none"/>
      </w:rPr>
    </w:lvl>
  </w:abstractNum>
  <w:abstractNum w:abstractNumId="20">
    <w:lvl w:ilvl="0">
      <w:start w:val="1"/>
      <w:numFmt w:val="lowerLetter"/>
      <w:lvlText w:val="%1)"/>
      <w:lvlJc w:val="start"/>
      <w:pPr>
        <w:tabs>
          <w:tab w:val="num" w:pos="0"/>
        </w:tabs>
        <w:ind w:start="720" w:hanging="360"/>
      </w:pPr>
      <w:rPr>
        <w:u w:val="none"/>
      </w:rPr>
    </w:lvl>
    <w:lvl w:ilvl="1">
      <w:start w:val="1"/>
      <w:numFmt w:val="lowerLetter"/>
      <w:lvlText w:val="%2."/>
      <w:lvlJc w:val="start"/>
      <w:pPr>
        <w:tabs>
          <w:tab w:val="num" w:pos="0"/>
        </w:tabs>
        <w:ind w:start="1440" w:hanging="360"/>
      </w:pPr>
      <w:rPr>
        <w:u w:val="none"/>
      </w:rPr>
    </w:lvl>
    <w:lvl w:ilvl="2">
      <w:start w:val="1"/>
      <w:numFmt w:val="lowerRoman"/>
      <w:lvlText w:val="%3."/>
      <w:lvlJc w:val="end"/>
      <w:pPr>
        <w:tabs>
          <w:tab w:val="num" w:pos="0"/>
        </w:tabs>
        <w:ind w:start="2160" w:hanging="180"/>
      </w:pPr>
      <w:rPr>
        <w:u w:val="none"/>
      </w:rPr>
    </w:lvl>
    <w:lvl w:ilvl="3">
      <w:start w:val="1"/>
      <w:numFmt w:val="decimal"/>
      <w:lvlText w:val="%4."/>
      <w:lvlJc w:val="start"/>
      <w:pPr>
        <w:tabs>
          <w:tab w:val="num" w:pos="0"/>
        </w:tabs>
        <w:ind w:start="2880" w:hanging="360"/>
      </w:pPr>
      <w:rPr>
        <w:u w:val="none"/>
      </w:rPr>
    </w:lvl>
    <w:lvl w:ilvl="4">
      <w:start w:val="1"/>
      <w:numFmt w:val="lowerLetter"/>
      <w:lvlText w:val="%5."/>
      <w:lvlJc w:val="start"/>
      <w:pPr>
        <w:tabs>
          <w:tab w:val="num" w:pos="0"/>
        </w:tabs>
        <w:ind w:start="3600" w:hanging="360"/>
      </w:pPr>
      <w:rPr>
        <w:u w:val="none"/>
      </w:rPr>
    </w:lvl>
    <w:lvl w:ilvl="5">
      <w:start w:val="1"/>
      <w:numFmt w:val="lowerRoman"/>
      <w:lvlText w:val="%6."/>
      <w:lvlJc w:val="end"/>
      <w:pPr>
        <w:tabs>
          <w:tab w:val="num" w:pos="0"/>
        </w:tabs>
        <w:ind w:start="4320" w:hanging="180"/>
      </w:pPr>
      <w:rPr>
        <w:u w:val="none"/>
      </w:rPr>
    </w:lvl>
    <w:lvl w:ilvl="6">
      <w:start w:val="1"/>
      <w:numFmt w:val="decimal"/>
      <w:lvlText w:val="%7."/>
      <w:lvlJc w:val="start"/>
      <w:pPr>
        <w:tabs>
          <w:tab w:val="num" w:pos="0"/>
        </w:tabs>
        <w:ind w:start="5040" w:hanging="360"/>
      </w:pPr>
      <w:rPr>
        <w:u w:val="none"/>
      </w:rPr>
    </w:lvl>
    <w:lvl w:ilvl="7">
      <w:start w:val="1"/>
      <w:numFmt w:val="lowerLetter"/>
      <w:lvlText w:val="%8."/>
      <w:lvlJc w:val="start"/>
      <w:pPr>
        <w:tabs>
          <w:tab w:val="num" w:pos="0"/>
        </w:tabs>
        <w:ind w:start="5760" w:hanging="360"/>
      </w:pPr>
      <w:rPr>
        <w:u w:val="none"/>
      </w:rPr>
    </w:lvl>
    <w:lvl w:ilvl="8">
      <w:start w:val="1"/>
      <w:numFmt w:val="lowerRoman"/>
      <w:lvlText w:val="%9."/>
      <w:lvlJc w:val="end"/>
      <w:pPr>
        <w:tabs>
          <w:tab w:val="num" w:pos="0"/>
        </w:tabs>
        <w:ind w:start="6480" w:hanging="180"/>
      </w:pPr>
      <w:rPr>
        <w:u w:val="none"/>
      </w:rPr>
    </w:lvl>
  </w:abstractNum>
  <w:abstractNum w:abstractNumId="21">
    <w:lvl w:ilvl="0">
      <w:start w:val="1"/>
      <w:numFmt w:val="lowerLetter"/>
      <w:lvlText w:val="%1)"/>
      <w:lvlJc w:val="start"/>
      <w:pPr>
        <w:tabs>
          <w:tab w:val="num" w:pos="0"/>
        </w:tabs>
        <w:ind w:start="720" w:hanging="360"/>
      </w:pPr>
      <w:rPr>
        <w:u w:val="none"/>
      </w:rPr>
    </w:lvl>
    <w:lvl w:ilvl="1">
      <w:start w:val="1"/>
      <w:numFmt w:val="lowerLetter"/>
      <w:lvlText w:val="%2."/>
      <w:lvlJc w:val="start"/>
      <w:pPr>
        <w:tabs>
          <w:tab w:val="num" w:pos="0"/>
        </w:tabs>
        <w:ind w:start="1440" w:hanging="360"/>
      </w:pPr>
      <w:rPr>
        <w:u w:val="none"/>
      </w:rPr>
    </w:lvl>
    <w:lvl w:ilvl="2">
      <w:start w:val="1"/>
      <w:numFmt w:val="lowerRoman"/>
      <w:lvlText w:val="%3."/>
      <w:lvlJc w:val="end"/>
      <w:pPr>
        <w:tabs>
          <w:tab w:val="num" w:pos="0"/>
        </w:tabs>
        <w:ind w:start="2160" w:hanging="180"/>
      </w:pPr>
      <w:rPr>
        <w:u w:val="none"/>
      </w:rPr>
    </w:lvl>
    <w:lvl w:ilvl="3">
      <w:start w:val="1"/>
      <w:numFmt w:val="decimal"/>
      <w:lvlText w:val="%4."/>
      <w:lvlJc w:val="start"/>
      <w:pPr>
        <w:tabs>
          <w:tab w:val="num" w:pos="0"/>
        </w:tabs>
        <w:ind w:start="2880" w:hanging="360"/>
      </w:pPr>
      <w:rPr>
        <w:u w:val="none"/>
      </w:rPr>
    </w:lvl>
    <w:lvl w:ilvl="4">
      <w:start w:val="1"/>
      <w:numFmt w:val="lowerLetter"/>
      <w:lvlText w:val="%5."/>
      <w:lvlJc w:val="start"/>
      <w:pPr>
        <w:tabs>
          <w:tab w:val="num" w:pos="0"/>
        </w:tabs>
        <w:ind w:start="3600" w:hanging="360"/>
      </w:pPr>
      <w:rPr>
        <w:u w:val="none"/>
      </w:rPr>
    </w:lvl>
    <w:lvl w:ilvl="5">
      <w:start w:val="1"/>
      <w:numFmt w:val="lowerRoman"/>
      <w:lvlText w:val="%6."/>
      <w:lvlJc w:val="end"/>
      <w:pPr>
        <w:tabs>
          <w:tab w:val="num" w:pos="0"/>
        </w:tabs>
        <w:ind w:start="4320" w:hanging="180"/>
      </w:pPr>
      <w:rPr>
        <w:u w:val="none"/>
      </w:rPr>
    </w:lvl>
    <w:lvl w:ilvl="6">
      <w:start w:val="1"/>
      <w:numFmt w:val="decimal"/>
      <w:lvlText w:val="%7."/>
      <w:lvlJc w:val="start"/>
      <w:pPr>
        <w:tabs>
          <w:tab w:val="num" w:pos="0"/>
        </w:tabs>
        <w:ind w:start="5040" w:hanging="360"/>
      </w:pPr>
      <w:rPr>
        <w:u w:val="none"/>
      </w:rPr>
    </w:lvl>
    <w:lvl w:ilvl="7">
      <w:start w:val="1"/>
      <w:numFmt w:val="lowerLetter"/>
      <w:lvlText w:val="%8."/>
      <w:lvlJc w:val="start"/>
      <w:pPr>
        <w:tabs>
          <w:tab w:val="num" w:pos="0"/>
        </w:tabs>
        <w:ind w:start="5760" w:hanging="360"/>
      </w:pPr>
      <w:rPr>
        <w:u w:val="none"/>
      </w:rPr>
    </w:lvl>
    <w:lvl w:ilvl="8">
      <w:start w:val="1"/>
      <w:numFmt w:val="lowerRoman"/>
      <w:lvlText w:val="%9."/>
      <w:lvlJc w:val="end"/>
      <w:pPr>
        <w:tabs>
          <w:tab w:val="num" w:pos="0"/>
        </w:tabs>
        <w:ind w:start="6480" w:hanging="180"/>
      </w:pPr>
      <w:rPr>
        <w:u w:val="none"/>
      </w:rPr>
    </w:lvl>
  </w:abstractNum>
  <w:abstractNum w:abstractNumId="22">
    <w:lvl w:ilvl="0">
      <w:start w:val="1"/>
      <w:numFmt w:val="upperRoman"/>
      <w:lvlText w:val="%1."/>
      <w:lvlJc w:val="end"/>
      <w:pPr>
        <w:tabs>
          <w:tab w:val="num" w:pos="0"/>
        </w:tabs>
        <w:ind w:start="1854" w:hanging="360"/>
      </w:pPr>
      <w:rPr>
        <w:u w:val="none"/>
      </w:rPr>
    </w:lvl>
    <w:lvl w:ilvl="1">
      <w:start w:val="1"/>
      <w:numFmt w:val="lowerLetter"/>
      <w:lvlText w:val="%2."/>
      <w:lvlJc w:val="start"/>
      <w:pPr>
        <w:tabs>
          <w:tab w:val="num" w:pos="0"/>
        </w:tabs>
        <w:ind w:start="2574" w:hanging="360"/>
      </w:pPr>
      <w:rPr>
        <w:u w:val="none"/>
      </w:rPr>
    </w:lvl>
    <w:lvl w:ilvl="2">
      <w:start w:val="1"/>
      <w:numFmt w:val="lowerRoman"/>
      <w:lvlText w:val="%3."/>
      <w:lvlJc w:val="end"/>
      <w:pPr>
        <w:tabs>
          <w:tab w:val="num" w:pos="0"/>
        </w:tabs>
        <w:ind w:start="3294" w:hanging="180"/>
      </w:pPr>
      <w:rPr>
        <w:u w:val="none"/>
      </w:rPr>
    </w:lvl>
    <w:lvl w:ilvl="3">
      <w:start w:val="1"/>
      <w:numFmt w:val="decimal"/>
      <w:lvlText w:val="%4."/>
      <w:lvlJc w:val="start"/>
      <w:pPr>
        <w:tabs>
          <w:tab w:val="num" w:pos="0"/>
        </w:tabs>
        <w:ind w:start="4014" w:hanging="360"/>
      </w:pPr>
      <w:rPr>
        <w:u w:val="none"/>
      </w:rPr>
    </w:lvl>
    <w:lvl w:ilvl="4">
      <w:start w:val="1"/>
      <w:numFmt w:val="lowerLetter"/>
      <w:lvlText w:val="%5."/>
      <w:lvlJc w:val="start"/>
      <w:pPr>
        <w:tabs>
          <w:tab w:val="num" w:pos="0"/>
        </w:tabs>
        <w:ind w:start="4734" w:hanging="360"/>
      </w:pPr>
      <w:rPr>
        <w:u w:val="none"/>
      </w:rPr>
    </w:lvl>
    <w:lvl w:ilvl="5">
      <w:start w:val="1"/>
      <w:numFmt w:val="lowerRoman"/>
      <w:lvlText w:val="%6."/>
      <w:lvlJc w:val="end"/>
      <w:pPr>
        <w:tabs>
          <w:tab w:val="num" w:pos="0"/>
        </w:tabs>
        <w:ind w:start="5454" w:hanging="180"/>
      </w:pPr>
      <w:rPr>
        <w:u w:val="none"/>
      </w:rPr>
    </w:lvl>
    <w:lvl w:ilvl="6">
      <w:start w:val="1"/>
      <w:numFmt w:val="decimal"/>
      <w:lvlText w:val="%7."/>
      <w:lvlJc w:val="start"/>
      <w:pPr>
        <w:tabs>
          <w:tab w:val="num" w:pos="0"/>
        </w:tabs>
        <w:ind w:start="6174" w:hanging="360"/>
      </w:pPr>
      <w:rPr>
        <w:u w:val="none"/>
      </w:rPr>
    </w:lvl>
    <w:lvl w:ilvl="7">
      <w:start w:val="1"/>
      <w:numFmt w:val="lowerLetter"/>
      <w:lvlText w:val="%8."/>
      <w:lvlJc w:val="start"/>
      <w:pPr>
        <w:tabs>
          <w:tab w:val="num" w:pos="0"/>
        </w:tabs>
        <w:ind w:start="6894" w:hanging="360"/>
      </w:pPr>
      <w:rPr>
        <w:u w:val="none"/>
      </w:rPr>
    </w:lvl>
    <w:lvl w:ilvl="8">
      <w:start w:val="1"/>
      <w:numFmt w:val="lowerRoman"/>
      <w:lvlText w:val="%9."/>
      <w:lvlJc w:val="end"/>
      <w:pPr>
        <w:tabs>
          <w:tab w:val="num" w:pos="0"/>
        </w:tabs>
        <w:ind w:start="7614" w:hanging="180"/>
      </w:pPr>
      <w:rPr>
        <w:u w:val="none"/>
      </w:rPr>
    </w:lvl>
  </w:abstractNum>
  <w:abstractNum w:abstractNumId="23">
    <w:lvl w:ilvl="0">
      <w:start w:val="1"/>
      <w:numFmt w:val="decimal"/>
      <w:lvlText w:val="%1."/>
      <w:lvlJc w:val="start"/>
      <w:pPr>
        <w:tabs>
          <w:tab w:val="num" w:pos="0"/>
        </w:tabs>
        <w:ind w:start="360" w:hanging="360"/>
      </w:pPr>
      <w:rPr>
        <w:u w:val="none"/>
      </w:rPr>
    </w:lvl>
    <w:lvl w:ilvl="1">
      <w:start w:val="1"/>
      <w:numFmt w:val="decimal"/>
      <w:lvlText w:val="%1.%2."/>
      <w:lvlJc w:val="start"/>
      <w:pPr>
        <w:tabs>
          <w:tab w:val="num" w:pos="0"/>
        </w:tabs>
        <w:ind w:start="1567" w:hanging="432"/>
      </w:pPr>
      <w:rPr>
        <w:u w:val="none"/>
      </w:rPr>
    </w:lvl>
    <w:lvl w:ilvl="2">
      <w:start w:val="1"/>
      <w:numFmt w:val="decimal"/>
      <w:lvlText w:val="%1.%2.%3."/>
      <w:lvlJc w:val="start"/>
      <w:pPr>
        <w:tabs>
          <w:tab w:val="num" w:pos="0"/>
        </w:tabs>
        <w:ind w:start="1418" w:hanging="284"/>
      </w:pPr>
      <w:rPr>
        <w:u w:val="none"/>
      </w:rPr>
    </w:lvl>
    <w:lvl w:ilvl="3">
      <w:start w:val="1"/>
      <w:numFmt w:val="decimal"/>
      <w:lvlText w:val="%1.%2.%3.%4."/>
      <w:lvlJc w:val="start"/>
      <w:pPr>
        <w:tabs>
          <w:tab w:val="num" w:pos="0"/>
        </w:tabs>
        <w:ind w:start="1728" w:hanging="648"/>
      </w:pPr>
      <w:rPr>
        <w:u w:val="none"/>
      </w:rPr>
    </w:lvl>
    <w:lvl w:ilvl="4">
      <w:start w:val="1"/>
      <w:numFmt w:val="decimal"/>
      <w:lvlText w:val="%1.%2.%3.%4.%5."/>
      <w:lvlJc w:val="start"/>
      <w:pPr>
        <w:tabs>
          <w:tab w:val="num" w:pos="0"/>
        </w:tabs>
        <w:ind w:start="2232" w:hanging="792"/>
      </w:pPr>
      <w:rPr>
        <w:u w:val="none"/>
      </w:rPr>
    </w:lvl>
    <w:lvl w:ilvl="5">
      <w:start w:val="1"/>
      <w:numFmt w:val="decimal"/>
      <w:lvlText w:val="%1.%2.%3.%4.%5.%6."/>
      <w:lvlJc w:val="start"/>
      <w:pPr>
        <w:tabs>
          <w:tab w:val="num" w:pos="0"/>
        </w:tabs>
        <w:ind w:start="2736" w:hanging="936"/>
      </w:pPr>
      <w:rPr>
        <w:u w:val="none"/>
      </w:rPr>
    </w:lvl>
    <w:lvl w:ilvl="6">
      <w:start w:val="1"/>
      <w:numFmt w:val="decimal"/>
      <w:lvlText w:val="%1.%2.%3.%4.%5.%6.%7."/>
      <w:lvlJc w:val="start"/>
      <w:pPr>
        <w:tabs>
          <w:tab w:val="num" w:pos="0"/>
        </w:tabs>
        <w:ind w:start="3240" w:hanging="1080"/>
      </w:pPr>
      <w:rPr>
        <w:u w:val="none"/>
      </w:rPr>
    </w:lvl>
    <w:lvl w:ilvl="7">
      <w:start w:val="1"/>
      <w:numFmt w:val="decimal"/>
      <w:lvlText w:val="%1.%2.%3.%4.%5.%6.%7.%8."/>
      <w:lvlJc w:val="start"/>
      <w:pPr>
        <w:tabs>
          <w:tab w:val="num" w:pos="0"/>
        </w:tabs>
        <w:ind w:start="3744" w:hanging="1224"/>
      </w:pPr>
      <w:rPr>
        <w:u w:val="none"/>
      </w:rPr>
    </w:lvl>
    <w:lvl w:ilvl="8">
      <w:start w:val="1"/>
      <w:numFmt w:val="decimal"/>
      <w:lvlText w:val="%1.%2.%3.%4.%5.%6.%7.%8.%9."/>
      <w:lvlJc w:val="start"/>
      <w:pPr>
        <w:tabs>
          <w:tab w:val="num" w:pos="0"/>
        </w:tabs>
        <w:ind w:start="4320" w:hanging="1440"/>
      </w:pPr>
      <w:rPr>
        <w:u w:val="none"/>
      </w:rPr>
    </w:lvl>
  </w:abstractNum>
  <w:abstractNum w:abstractNumId="24">
    <w:lvl w:ilvl="0">
      <w:start w:val="1"/>
      <w:numFmt w:val="lowerLetter"/>
      <w:lvlText w:val="%1)"/>
      <w:lvlJc w:val="start"/>
      <w:pPr>
        <w:tabs>
          <w:tab w:val="num" w:pos="0"/>
        </w:tabs>
        <w:ind w:start="720" w:hanging="360"/>
      </w:pPr>
      <w:rPr>
        <w:u w:val="none"/>
      </w:rPr>
    </w:lvl>
    <w:lvl w:ilvl="1">
      <w:start w:val="1"/>
      <w:numFmt w:val="lowerLetter"/>
      <w:lvlText w:val="%2."/>
      <w:lvlJc w:val="start"/>
      <w:pPr>
        <w:tabs>
          <w:tab w:val="num" w:pos="0"/>
        </w:tabs>
        <w:ind w:start="1440" w:hanging="360"/>
      </w:pPr>
      <w:rPr>
        <w:u w:val="none"/>
      </w:rPr>
    </w:lvl>
    <w:lvl w:ilvl="2">
      <w:start w:val="1"/>
      <w:numFmt w:val="lowerRoman"/>
      <w:lvlText w:val="%3."/>
      <w:lvlJc w:val="end"/>
      <w:pPr>
        <w:tabs>
          <w:tab w:val="num" w:pos="0"/>
        </w:tabs>
        <w:ind w:start="2160" w:hanging="180"/>
      </w:pPr>
      <w:rPr>
        <w:u w:val="none"/>
      </w:rPr>
    </w:lvl>
    <w:lvl w:ilvl="3">
      <w:start w:val="1"/>
      <w:numFmt w:val="decimal"/>
      <w:lvlText w:val="%4."/>
      <w:lvlJc w:val="start"/>
      <w:pPr>
        <w:tabs>
          <w:tab w:val="num" w:pos="0"/>
        </w:tabs>
        <w:ind w:start="2880" w:hanging="360"/>
      </w:pPr>
      <w:rPr>
        <w:u w:val="none"/>
      </w:rPr>
    </w:lvl>
    <w:lvl w:ilvl="4">
      <w:start w:val="1"/>
      <w:numFmt w:val="lowerLetter"/>
      <w:lvlText w:val="%5."/>
      <w:lvlJc w:val="start"/>
      <w:pPr>
        <w:tabs>
          <w:tab w:val="num" w:pos="0"/>
        </w:tabs>
        <w:ind w:start="3600" w:hanging="360"/>
      </w:pPr>
      <w:rPr>
        <w:u w:val="none"/>
      </w:rPr>
    </w:lvl>
    <w:lvl w:ilvl="5">
      <w:start w:val="1"/>
      <w:numFmt w:val="lowerRoman"/>
      <w:lvlText w:val="%6."/>
      <w:lvlJc w:val="end"/>
      <w:pPr>
        <w:tabs>
          <w:tab w:val="num" w:pos="0"/>
        </w:tabs>
        <w:ind w:start="4320" w:hanging="180"/>
      </w:pPr>
      <w:rPr>
        <w:u w:val="none"/>
      </w:rPr>
    </w:lvl>
    <w:lvl w:ilvl="6">
      <w:start w:val="1"/>
      <w:numFmt w:val="decimal"/>
      <w:lvlText w:val="%7."/>
      <w:lvlJc w:val="start"/>
      <w:pPr>
        <w:tabs>
          <w:tab w:val="num" w:pos="0"/>
        </w:tabs>
        <w:ind w:start="5040" w:hanging="360"/>
      </w:pPr>
      <w:rPr>
        <w:u w:val="none"/>
      </w:rPr>
    </w:lvl>
    <w:lvl w:ilvl="7">
      <w:start w:val="1"/>
      <w:numFmt w:val="lowerLetter"/>
      <w:lvlText w:val="%8."/>
      <w:lvlJc w:val="start"/>
      <w:pPr>
        <w:tabs>
          <w:tab w:val="num" w:pos="0"/>
        </w:tabs>
        <w:ind w:start="5760" w:hanging="360"/>
      </w:pPr>
      <w:rPr>
        <w:u w:val="none"/>
      </w:rPr>
    </w:lvl>
    <w:lvl w:ilvl="8">
      <w:start w:val="1"/>
      <w:numFmt w:val="lowerRoman"/>
      <w:lvlText w:val="%9."/>
      <w:lvlJc w:val="end"/>
      <w:pPr>
        <w:tabs>
          <w:tab w:val="num" w:pos="0"/>
        </w:tabs>
        <w:ind w:start="6480" w:hanging="180"/>
      </w:pPr>
      <w:rPr>
        <w:u w:val="none"/>
      </w:rPr>
    </w:lvl>
  </w:abstractNum>
  <w:abstractNum w:abstractNumId="25">
    <w:lvl w:ilvl="0">
      <w:start w:val="1"/>
      <w:numFmt w:val="upperRoman"/>
      <w:lvlText w:val="%1."/>
      <w:lvlJc w:val="end"/>
      <w:pPr>
        <w:tabs>
          <w:tab w:val="num" w:pos="0"/>
        </w:tabs>
        <w:ind w:start="1854" w:hanging="360"/>
      </w:pPr>
      <w:rPr>
        <w:u w:val="none"/>
      </w:rPr>
    </w:lvl>
    <w:lvl w:ilvl="1">
      <w:start w:val="1"/>
      <w:numFmt w:val="lowerLetter"/>
      <w:lvlText w:val="%2."/>
      <w:lvlJc w:val="start"/>
      <w:pPr>
        <w:tabs>
          <w:tab w:val="num" w:pos="0"/>
        </w:tabs>
        <w:ind w:start="2574" w:hanging="360"/>
      </w:pPr>
      <w:rPr>
        <w:u w:val="none"/>
      </w:rPr>
    </w:lvl>
    <w:lvl w:ilvl="2">
      <w:start w:val="1"/>
      <w:numFmt w:val="lowerRoman"/>
      <w:lvlText w:val="%3."/>
      <w:lvlJc w:val="end"/>
      <w:pPr>
        <w:tabs>
          <w:tab w:val="num" w:pos="0"/>
        </w:tabs>
        <w:ind w:start="3294" w:hanging="180"/>
      </w:pPr>
      <w:rPr>
        <w:u w:val="none"/>
      </w:rPr>
    </w:lvl>
    <w:lvl w:ilvl="3">
      <w:start w:val="1"/>
      <w:numFmt w:val="decimal"/>
      <w:lvlText w:val="%4."/>
      <w:lvlJc w:val="start"/>
      <w:pPr>
        <w:tabs>
          <w:tab w:val="num" w:pos="0"/>
        </w:tabs>
        <w:ind w:start="4014" w:hanging="360"/>
      </w:pPr>
      <w:rPr>
        <w:u w:val="none"/>
      </w:rPr>
    </w:lvl>
    <w:lvl w:ilvl="4">
      <w:start w:val="1"/>
      <w:numFmt w:val="lowerLetter"/>
      <w:lvlText w:val="%5."/>
      <w:lvlJc w:val="start"/>
      <w:pPr>
        <w:tabs>
          <w:tab w:val="num" w:pos="0"/>
        </w:tabs>
        <w:ind w:start="4734" w:hanging="360"/>
      </w:pPr>
      <w:rPr>
        <w:u w:val="none"/>
      </w:rPr>
    </w:lvl>
    <w:lvl w:ilvl="5">
      <w:start w:val="1"/>
      <w:numFmt w:val="lowerRoman"/>
      <w:lvlText w:val="%6."/>
      <w:lvlJc w:val="end"/>
      <w:pPr>
        <w:tabs>
          <w:tab w:val="num" w:pos="0"/>
        </w:tabs>
        <w:ind w:start="5454" w:hanging="180"/>
      </w:pPr>
      <w:rPr>
        <w:u w:val="none"/>
      </w:rPr>
    </w:lvl>
    <w:lvl w:ilvl="6">
      <w:start w:val="1"/>
      <w:numFmt w:val="decimal"/>
      <w:lvlText w:val="%7."/>
      <w:lvlJc w:val="start"/>
      <w:pPr>
        <w:tabs>
          <w:tab w:val="num" w:pos="0"/>
        </w:tabs>
        <w:ind w:start="6174" w:hanging="360"/>
      </w:pPr>
      <w:rPr>
        <w:u w:val="none"/>
      </w:rPr>
    </w:lvl>
    <w:lvl w:ilvl="7">
      <w:start w:val="1"/>
      <w:numFmt w:val="lowerLetter"/>
      <w:lvlText w:val="%8."/>
      <w:lvlJc w:val="start"/>
      <w:pPr>
        <w:tabs>
          <w:tab w:val="num" w:pos="0"/>
        </w:tabs>
        <w:ind w:start="6894" w:hanging="360"/>
      </w:pPr>
      <w:rPr>
        <w:u w:val="none"/>
      </w:rPr>
    </w:lvl>
    <w:lvl w:ilvl="8">
      <w:start w:val="1"/>
      <w:numFmt w:val="lowerRoman"/>
      <w:lvlText w:val="%9."/>
      <w:lvlJc w:val="end"/>
      <w:pPr>
        <w:tabs>
          <w:tab w:val="num" w:pos="0"/>
        </w:tabs>
        <w:ind w:start="7614" w:hanging="180"/>
      </w:pPr>
      <w:rPr>
        <w:u w:val="none"/>
      </w:rPr>
    </w:lvl>
  </w:abstractNum>
  <w:abstractNum w:abstractNumId="26">
    <w:lvl w:ilvl="0">
      <w:start w:val="1"/>
      <w:numFmt w:val="upperRoman"/>
      <w:lvlText w:val="%1."/>
      <w:lvlJc w:val="end"/>
      <w:pPr>
        <w:tabs>
          <w:tab w:val="num" w:pos="0"/>
        </w:tabs>
        <w:ind w:start="1854" w:hanging="360"/>
      </w:pPr>
      <w:rPr>
        <w:u w:val="none"/>
      </w:rPr>
    </w:lvl>
    <w:lvl w:ilvl="1">
      <w:start w:val="1"/>
      <w:numFmt w:val="lowerLetter"/>
      <w:lvlText w:val="%2."/>
      <w:lvlJc w:val="start"/>
      <w:pPr>
        <w:tabs>
          <w:tab w:val="num" w:pos="0"/>
        </w:tabs>
        <w:ind w:start="2574" w:hanging="360"/>
      </w:pPr>
      <w:rPr>
        <w:u w:val="none"/>
      </w:rPr>
    </w:lvl>
    <w:lvl w:ilvl="2">
      <w:start w:val="1"/>
      <w:numFmt w:val="lowerRoman"/>
      <w:lvlText w:val="%3."/>
      <w:lvlJc w:val="end"/>
      <w:pPr>
        <w:tabs>
          <w:tab w:val="num" w:pos="0"/>
        </w:tabs>
        <w:ind w:start="3294" w:hanging="180"/>
      </w:pPr>
      <w:rPr>
        <w:u w:val="none"/>
      </w:rPr>
    </w:lvl>
    <w:lvl w:ilvl="3">
      <w:start w:val="1"/>
      <w:numFmt w:val="decimal"/>
      <w:lvlText w:val="%4."/>
      <w:lvlJc w:val="start"/>
      <w:pPr>
        <w:tabs>
          <w:tab w:val="num" w:pos="0"/>
        </w:tabs>
        <w:ind w:start="4014" w:hanging="360"/>
      </w:pPr>
      <w:rPr>
        <w:u w:val="none"/>
      </w:rPr>
    </w:lvl>
    <w:lvl w:ilvl="4">
      <w:start w:val="1"/>
      <w:numFmt w:val="lowerLetter"/>
      <w:lvlText w:val="%5."/>
      <w:lvlJc w:val="start"/>
      <w:pPr>
        <w:tabs>
          <w:tab w:val="num" w:pos="0"/>
        </w:tabs>
        <w:ind w:start="4734" w:hanging="360"/>
      </w:pPr>
      <w:rPr>
        <w:u w:val="none"/>
      </w:rPr>
    </w:lvl>
    <w:lvl w:ilvl="5">
      <w:start w:val="1"/>
      <w:numFmt w:val="lowerRoman"/>
      <w:lvlText w:val="%6."/>
      <w:lvlJc w:val="end"/>
      <w:pPr>
        <w:tabs>
          <w:tab w:val="num" w:pos="0"/>
        </w:tabs>
        <w:ind w:start="5454" w:hanging="180"/>
      </w:pPr>
      <w:rPr>
        <w:u w:val="none"/>
      </w:rPr>
    </w:lvl>
    <w:lvl w:ilvl="6">
      <w:start w:val="1"/>
      <w:numFmt w:val="decimal"/>
      <w:lvlText w:val="%7."/>
      <w:lvlJc w:val="start"/>
      <w:pPr>
        <w:tabs>
          <w:tab w:val="num" w:pos="0"/>
        </w:tabs>
        <w:ind w:start="6174" w:hanging="360"/>
      </w:pPr>
      <w:rPr>
        <w:u w:val="none"/>
      </w:rPr>
    </w:lvl>
    <w:lvl w:ilvl="7">
      <w:start w:val="1"/>
      <w:numFmt w:val="lowerLetter"/>
      <w:lvlText w:val="%8."/>
      <w:lvlJc w:val="start"/>
      <w:pPr>
        <w:tabs>
          <w:tab w:val="num" w:pos="0"/>
        </w:tabs>
        <w:ind w:start="6894" w:hanging="360"/>
      </w:pPr>
      <w:rPr>
        <w:u w:val="none"/>
      </w:rPr>
    </w:lvl>
    <w:lvl w:ilvl="8">
      <w:start w:val="1"/>
      <w:numFmt w:val="lowerRoman"/>
      <w:lvlText w:val="%9."/>
      <w:lvlJc w:val="end"/>
      <w:pPr>
        <w:tabs>
          <w:tab w:val="num" w:pos="0"/>
        </w:tabs>
        <w:ind w:start="7614" w:hanging="180"/>
      </w:pPr>
      <w:rPr>
        <w:u w:val="none"/>
      </w:rPr>
    </w:lvl>
  </w:abstractNum>
  <w:abstractNum w:abstractNumId="27">
    <w:lvl w:ilvl="0">
      <w:start w:val="1"/>
      <w:numFmt w:val="decimal"/>
      <w:lvlText w:val="%1."/>
      <w:lvlJc w:val="end"/>
      <w:pPr>
        <w:tabs>
          <w:tab w:val="num" w:pos="0"/>
        </w:tabs>
        <w:ind w:start="720" w:hanging="360"/>
      </w:pPr>
      <w:rPr>
        <w:u w:val="none"/>
      </w:rPr>
    </w:lvl>
    <w:lvl w:ilvl="1">
      <w:start w:val="1"/>
      <w:numFmt w:val="decimal"/>
      <w:lvlText w:val="%1.%2."/>
      <w:lvlJc w:val="end"/>
      <w:pPr>
        <w:tabs>
          <w:tab w:val="num" w:pos="0"/>
        </w:tabs>
        <w:ind w:start="1440" w:hanging="360"/>
      </w:pPr>
      <w:rPr>
        <w:u w:val="none"/>
      </w:rPr>
    </w:lvl>
    <w:lvl w:ilvl="2">
      <w:start w:val="1"/>
      <w:numFmt w:val="decimal"/>
      <w:lvlText w:val="%1.%2.%3."/>
      <w:lvlJc w:val="end"/>
      <w:pPr>
        <w:tabs>
          <w:tab w:val="num" w:pos="0"/>
        </w:tabs>
        <w:ind w:start="2160" w:hanging="360"/>
      </w:pPr>
      <w:rPr>
        <w:u w:val="none"/>
      </w:rPr>
    </w:lvl>
    <w:lvl w:ilvl="3">
      <w:start w:val="1"/>
      <w:numFmt w:val="decimal"/>
      <w:lvlText w:val="%1.%2.%3.%4."/>
      <w:lvlJc w:val="end"/>
      <w:pPr>
        <w:tabs>
          <w:tab w:val="num" w:pos="0"/>
        </w:tabs>
        <w:ind w:start="2880" w:hanging="360"/>
      </w:pPr>
      <w:rPr>
        <w:u w:val="none"/>
      </w:rPr>
    </w:lvl>
    <w:lvl w:ilvl="4">
      <w:start w:val="1"/>
      <w:numFmt w:val="decimal"/>
      <w:lvlText w:val="%1.%2.%3.%4.%5."/>
      <w:lvlJc w:val="end"/>
      <w:pPr>
        <w:tabs>
          <w:tab w:val="num" w:pos="0"/>
        </w:tabs>
        <w:ind w:start="3600" w:hanging="360"/>
      </w:pPr>
      <w:rPr>
        <w:u w:val="none"/>
      </w:rPr>
    </w:lvl>
    <w:lvl w:ilvl="5">
      <w:start w:val="1"/>
      <w:numFmt w:val="decimal"/>
      <w:lvlText w:val="%1.%2.%3.%4.%5.%6."/>
      <w:lvlJc w:val="end"/>
      <w:pPr>
        <w:tabs>
          <w:tab w:val="num" w:pos="0"/>
        </w:tabs>
        <w:ind w:start="4320" w:hanging="360"/>
      </w:pPr>
      <w:rPr>
        <w:u w:val="none"/>
      </w:rPr>
    </w:lvl>
    <w:lvl w:ilvl="6">
      <w:start w:val="1"/>
      <w:numFmt w:val="decimal"/>
      <w:lvlText w:val="%1.%2.%3.%4.%5.%6.%7."/>
      <w:lvlJc w:val="end"/>
      <w:pPr>
        <w:tabs>
          <w:tab w:val="num" w:pos="0"/>
        </w:tabs>
        <w:ind w:start="5040" w:hanging="360"/>
      </w:pPr>
      <w:rPr>
        <w:u w:val="none"/>
      </w:rPr>
    </w:lvl>
    <w:lvl w:ilvl="7">
      <w:start w:val="1"/>
      <w:numFmt w:val="decimal"/>
      <w:lvlText w:val="%1.%2.%3.%4.%5.%6.%7.%8."/>
      <w:lvlJc w:val="end"/>
      <w:pPr>
        <w:tabs>
          <w:tab w:val="num" w:pos="0"/>
        </w:tabs>
        <w:ind w:start="5760" w:hanging="360"/>
      </w:pPr>
      <w:rPr>
        <w:u w:val="none"/>
      </w:rPr>
    </w:lvl>
    <w:lvl w:ilvl="8">
      <w:start w:val="1"/>
      <w:numFmt w:val="decimal"/>
      <w:lvlText w:val="%1.%2.%3.%4.%5.%6.%7.%8.%9."/>
      <w:lvlJc w:val="end"/>
      <w:pPr>
        <w:tabs>
          <w:tab w:val="num" w:pos="0"/>
        </w:tabs>
        <w:ind w:start="6480" w:hanging="360"/>
      </w:pPr>
      <w:rPr>
        <w:u w:val="none"/>
      </w:rPr>
    </w:lvl>
  </w:abstractNum>
  <w:abstractNum w:abstractNumId="28">
    <w:lvl w:ilvl="0">
      <w:start w:val="1"/>
      <w:numFmt w:val="upperRoman"/>
      <w:lvlText w:val="%1."/>
      <w:lvlJc w:val="end"/>
      <w:pPr>
        <w:tabs>
          <w:tab w:val="num" w:pos="0"/>
        </w:tabs>
        <w:ind w:start="1854" w:hanging="360"/>
      </w:pPr>
      <w:rPr>
        <w:u w:val="none"/>
      </w:rPr>
    </w:lvl>
    <w:lvl w:ilvl="1">
      <w:start w:val="1"/>
      <w:numFmt w:val="lowerLetter"/>
      <w:lvlText w:val="%2."/>
      <w:lvlJc w:val="start"/>
      <w:pPr>
        <w:tabs>
          <w:tab w:val="num" w:pos="0"/>
        </w:tabs>
        <w:ind w:start="2574" w:hanging="360"/>
      </w:pPr>
      <w:rPr>
        <w:u w:val="none"/>
      </w:rPr>
    </w:lvl>
    <w:lvl w:ilvl="2">
      <w:start w:val="1"/>
      <w:numFmt w:val="lowerRoman"/>
      <w:lvlText w:val="%3."/>
      <w:lvlJc w:val="end"/>
      <w:pPr>
        <w:tabs>
          <w:tab w:val="num" w:pos="0"/>
        </w:tabs>
        <w:ind w:start="3294" w:hanging="180"/>
      </w:pPr>
      <w:rPr>
        <w:u w:val="none"/>
      </w:rPr>
    </w:lvl>
    <w:lvl w:ilvl="3">
      <w:start w:val="1"/>
      <w:numFmt w:val="decimal"/>
      <w:lvlText w:val="%4."/>
      <w:lvlJc w:val="start"/>
      <w:pPr>
        <w:tabs>
          <w:tab w:val="num" w:pos="0"/>
        </w:tabs>
        <w:ind w:start="4014" w:hanging="360"/>
      </w:pPr>
      <w:rPr>
        <w:u w:val="none"/>
      </w:rPr>
    </w:lvl>
    <w:lvl w:ilvl="4">
      <w:start w:val="1"/>
      <w:numFmt w:val="lowerLetter"/>
      <w:lvlText w:val="%5."/>
      <w:lvlJc w:val="start"/>
      <w:pPr>
        <w:tabs>
          <w:tab w:val="num" w:pos="0"/>
        </w:tabs>
        <w:ind w:start="4734" w:hanging="360"/>
      </w:pPr>
      <w:rPr>
        <w:u w:val="none"/>
      </w:rPr>
    </w:lvl>
    <w:lvl w:ilvl="5">
      <w:start w:val="1"/>
      <w:numFmt w:val="lowerRoman"/>
      <w:lvlText w:val="%6."/>
      <w:lvlJc w:val="end"/>
      <w:pPr>
        <w:tabs>
          <w:tab w:val="num" w:pos="0"/>
        </w:tabs>
        <w:ind w:start="5454" w:hanging="180"/>
      </w:pPr>
      <w:rPr>
        <w:u w:val="none"/>
      </w:rPr>
    </w:lvl>
    <w:lvl w:ilvl="6">
      <w:start w:val="1"/>
      <w:numFmt w:val="decimal"/>
      <w:lvlText w:val="%7."/>
      <w:lvlJc w:val="start"/>
      <w:pPr>
        <w:tabs>
          <w:tab w:val="num" w:pos="0"/>
        </w:tabs>
        <w:ind w:start="6174" w:hanging="360"/>
      </w:pPr>
      <w:rPr>
        <w:u w:val="none"/>
      </w:rPr>
    </w:lvl>
    <w:lvl w:ilvl="7">
      <w:start w:val="1"/>
      <w:numFmt w:val="lowerLetter"/>
      <w:lvlText w:val="%8."/>
      <w:lvlJc w:val="start"/>
      <w:pPr>
        <w:tabs>
          <w:tab w:val="num" w:pos="0"/>
        </w:tabs>
        <w:ind w:start="6894" w:hanging="360"/>
      </w:pPr>
      <w:rPr>
        <w:u w:val="none"/>
      </w:rPr>
    </w:lvl>
    <w:lvl w:ilvl="8">
      <w:start w:val="1"/>
      <w:numFmt w:val="lowerRoman"/>
      <w:lvlText w:val="%9."/>
      <w:lvlJc w:val="end"/>
      <w:pPr>
        <w:tabs>
          <w:tab w:val="num" w:pos="0"/>
        </w:tabs>
        <w:ind w:start="7614" w:hanging="180"/>
      </w:pPr>
      <w:rPr>
        <w:u w:val="none"/>
      </w:rPr>
    </w:lvl>
  </w:abstractNum>
  <w:abstractNum w:abstractNumId="29">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bering>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lang w:val="en-US" w:eastAsia="zh-CN" w:bidi="hi-IN"/>
      </w:rPr>
    </w:rPrDefault>
    <w:pPrDefault>
      <w:pPr>
        <w:suppressAutoHyphens w:val="true"/>
      </w:pPr>
    </w:pPrDefault>
  </w:docDefaults>
  <w:style w:type="paragraph" w:styleId="Normal">
    <w:name w:val="Normal"/>
    <w:qFormat/>
    <w:pPr>
      <w:widowControl/>
      <w:bidi w:val="0"/>
      <w:spacing w:before="0" w:after="0"/>
      <w:jc w:val="start"/>
    </w:pPr>
    <w:rPr>
      <w:rFonts w:ascii="Arial" w:hAnsi="Arial" w:eastAsia="Arial" w:cs="Arial"/>
      <w:color w:val="auto"/>
      <w:kern w:val="0"/>
      <w:sz w:val="20"/>
      <w:szCs w:val="20"/>
      <w:lang w:val="en-US" w:eastAsia="zh-CN" w:bidi="hi-IN"/>
    </w:rPr>
  </w:style>
  <w:style w:type="paragraph" w:styleId="Heading1">
    <w:name w:val="heading 1"/>
    <w:basedOn w:val="normal1"/>
    <w:next w:val="normal1"/>
    <w:qFormat/>
    <w:pPr>
      <w:keepNext w:val="true"/>
      <w:keepLines/>
      <w:pageBreakBefore w:val="false"/>
      <w:widowControl w:val="false"/>
      <w:pBdr/>
      <w:shd w:val="clear" w:fill="auto"/>
      <w:spacing w:lineRule="auto" w:line="240" w:before="480" w:after="120"/>
      <w:ind w:hanging="0" w:start="0" w:end="0"/>
      <w:jc w:val="start"/>
    </w:pPr>
    <w:rPr>
      <w:rFonts w:ascii="Trebuchet MS" w:hAnsi="Trebuchet MS" w:eastAsia="Trebuchet MS" w:cs="Trebuchet MS"/>
      <w:b/>
      <w:i w:val="false"/>
      <w:caps w:val="false"/>
      <w:smallCaps w:val="false"/>
      <w:strike w:val="false"/>
      <w:dstrike w:val="false"/>
      <w:color w:val="000000"/>
      <w:position w:val="0"/>
      <w:sz w:val="48"/>
      <w:sz w:val="48"/>
      <w:szCs w:val="48"/>
      <w:u w:val="none"/>
      <w:shd w:fill="auto" w:val="clear"/>
      <w:vertAlign w:val="baseline"/>
    </w:rPr>
  </w:style>
  <w:style w:type="paragraph" w:styleId="Heading2">
    <w:name w:val="heading 2"/>
    <w:basedOn w:val="normal1"/>
    <w:next w:val="normal1"/>
    <w:qFormat/>
    <w:pPr>
      <w:keepNext w:val="true"/>
      <w:keepLines/>
      <w:pageBreakBefore w:val="false"/>
      <w:widowControl w:val="false"/>
      <w:pBdr/>
      <w:shd w:val="clear" w:fill="auto"/>
      <w:spacing w:lineRule="auto" w:line="240" w:before="360" w:after="80"/>
      <w:ind w:hanging="0" w:start="0" w:end="0"/>
      <w:jc w:val="start"/>
    </w:pPr>
    <w:rPr>
      <w:rFonts w:ascii="Trebuchet MS" w:hAnsi="Trebuchet MS" w:eastAsia="Trebuchet MS" w:cs="Trebuchet MS"/>
      <w:b/>
      <w:i w:val="false"/>
      <w:caps w:val="false"/>
      <w:smallCaps w:val="false"/>
      <w:strike w:val="false"/>
      <w:dstrike w:val="false"/>
      <w:color w:val="000000"/>
      <w:position w:val="0"/>
      <w:sz w:val="36"/>
      <w:sz w:val="36"/>
      <w:szCs w:val="36"/>
      <w:u w:val="none"/>
      <w:shd w:fill="auto" w:val="clear"/>
      <w:vertAlign w:val="baseline"/>
    </w:rPr>
  </w:style>
  <w:style w:type="paragraph" w:styleId="Heading3">
    <w:name w:val="heading 3"/>
    <w:basedOn w:val="normal1"/>
    <w:next w:val="normal1"/>
    <w:qFormat/>
    <w:pPr>
      <w:keepNext w:val="true"/>
      <w:keepLines/>
      <w:pageBreakBefore w:val="false"/>
      <w:widowControl w:val="false"/>
      <w:pBdr/>
      <w:shd w:val="clear" w:fill="auto"/>
      <w:spacing w:lineRule="auto" w:line="240" w:before="280" w:after="80"/>
      <w:ind w:hanging="0" w:start="0" w:end="0"/>
      <w:jc w:val="start"/>
    </w:pPr>
    <w:rPr>
      <w:rFonts w:ascii="Trebuchet MS" w:hAnsi="Trebuchet MS" w:eastAsia="Trebuchet MS" w:cs="Trebuchet MS"/>
      <w:b/>
      <w:i w:val="false"/>
      <w:caps w:val="false"/>
      <w:smallCaps w:val="false"/>
      <w:strike w:val="false"/>
      <w:dstrike w:val="false"/>
      <w:color w:val="000000"/>
      <w:position w:val="0"/>
      <w:sz w:val="28"/>
      <w:sz w:val="28"/>
      <w:szCs w:val="28"/>
      <w:u w:val="none"/>
      <w:shd w:fill="auto" w:val="clear"/>
      <w:vertAlign w:val="baseline"/>
    </w:rPr>
  </w:style>
  <w:style w:type="paragraph" w:styleId="Heading4">
    <w:name w:val="heading 4"/>
    <w:basedOn w:val="normal1"/>
    <w:next w:val="normal1"/>
    <w:qFormat/>
    <w:pPr>
      <w:keepNext w:val="true"/>
      <w:keepLines/>
      <w:pageBreakBefore w:val="false"/>
      <w:widowControl w:val="false"/>
      <w:pBdr/>
      <w:shd w:val="clear" w:fill="auto"/>
      <w:spacing w:lineRule="auto" w:line="240" w:before="240" w:after="40"/>
      <w:ind w:hanging="0" w:start="0" w:end="0"/>
      <w:jc w:val="start"/>
    </w:pPr>
    <w:rPr>
      <w:rFonts w:ascii="Trebuchet MS" w:hAnsi="Trebuchet MS" w:eastAsia="Trebuchet MS" w:cs="Trebuchet MS"/>
      <w:b/>
      <w:i w:val="false"/>
      <w:caps w:val="false"/>
      <w:smallCaps w:val="false"/>
      <w:strike w:val="false"/>
      <w:dstrike w:val="false"/>
      <w:color w:val="000000"/>
      <w:position w:val="0"/>
      <w:sz w:val="24"/>
      <w:sz w:val="24"/>
      <w:szCs w:val="24"/>
      <w:u w:val="none"/>
      <w:shd w:fill="auto" w:val="clear"/>
      <w:vertAlign w:val="baseline"/>
    </w:rPr>
  </w:style>
  <w:style w:type="paragraph" w:styleId="Heading5">
    <w:name w:val="heading 5"/>
    <w:basedOn w:val="normal1"/>
    <w:next w:val="normal1"/>
    <w:qFormat/>
    <w:pPr>
      <w:keepNext w:val="true"/>
      <w:keepLines/>
      <w:pageBreakBefore w:val="false"/>
      <w:widowControl w:val="false"/>
      <w:pBdr/>
      <w:shd w:val="clear" w:fill="auto"/>
      <w:spacing w:lineRule="auto" w:line="240" w:before="220" w:after="40"/>
      <w:ind w:hanging="0" w:start="0" w:end="0"/>
      <w:jc w:val="start"/>
    </w:pPr>
    <w:rPr>
      <w:rFonts w:ascii="Trebuchet MS" w:hAnsi="Trebuchet MS" w:eastAsia="Trebuchet MS" w:cs="Trebuchet MS"/>
      <w:b/>
      <w:i w:val="false"/>
      <w:caps w:val="false"/>
      <w:smallCaps w:val="false"/>
      <w:strike w:val="false"/>
      <w:dstrike w:val="false"/>
      <w:color w:val="000000"/>
      <w:position w:val="0"/>
      <w:sz w:val="22"/>
      <w:sz w:val="22"/>
      <w:szCs w:val="22"/>
      <w:u w:val="none"/>
      <w:shd w:fill="auto" w:val="clear"/>
      <w:vertAlign w:val="baseline"/>
    </w:rPr>
  </w:style>
  <w:style w:type="paragraph" w:styleId="Heading6">
    <w:name w:val="heading 6"/>
    <w:basedOn w:val="normal1"/>
    <w:next w:val="normal1"/>
    <w:qFormat/>
    <w:pPr>
      <w:keepNext w:val="true"/>
      <w:keepLines/>
      <w:pageBreakBefore w:val="false"/>
      <w:widowControl w:val="false"/>
      <w:pBdr/>
      <w:shd w:val="clear" w:fill="auto"/>
      <w:spacing w:lineRule="auto" w:line="240" w:before="200" w:after="40"/>
      <w:ind w:hanging="0" w:start="0" w:end="0"/>
      <w:jc w:val="start"/>
    </w:pPr>
    <w:rPr>
      <w:rFonts w:ascii="Trebuchet MS" w:hAnsi="Trebuchet MS" w:eastAsia="Trebuchet MS" w:cs="Trebuchet MS"/>
      <w:b/>
      <w:i w:val="false"/>
      <w:caps w:val="false"/>
      <w:smallCaps w:val="false"/>
      <w:strike w:val="false"/>
      <w:dstrike w:val="false"/>
      <w:color w:val="000000"/>
      <w:position w:val="0"/>
      <w:sz w:val="20"/>
      <w:sz w:val="20"/>
      <w:szCs w:val="20"/>
      <w:u w:val="none"/>
      <w:shd w:fill="auto" w:val="clear"/>
      <w:vertAlign w:val="baseline"/>
    </w:rPr>
  </w:style>
  <w:style w:type="character" w:styleId="Hyperlink">
    <w:name w:val="Hyperlink"/>
    <w:rPr>
      <w:color w:val="000080"/>
      <w:u w:val="single"/>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normal1" w:default="1">
    <w:name w:val="normal1"/>
    <w:qFormat/>
    <w:pPr>
      <w:widowControl/>
      <w:bidi w:val="0"/>
      <w:spacing w:before="0" w:after="0"/>
      <w:jc w:val="start"/>
    </w:pPr>
    <w:rPr>
      <w:rFonts w:ascii="Arial" w:hAnsi="Arial" w:eastAsia="Arial" w:cs="Arial"/>
      <w:color w:val="auto"/>
      <w:kern w:val="0"/>
      <w:sz w:val="20"/>
      <w:szCs w:val="20"/>
      <w:lang w:val="en-US" w:eastAsia="zh-CN" w:bidi="hi-IN"/>
    </w:rPr>
  </w:style>
  <w:style w:type="paragraph" w:styleId="Title">
    <w:name w:val="Title"/>
    <w:basedOn w:val="normal1"/>
    <w:next w:val="normal1"/>
    <w:qFormat/>
    <w:pPr>
      <w:keepNext w:val="true"/>
      <w:keepLines/>
      <w:pageBreakBefore w:val="false"/>
      <w:spacing w:lineRule="auto" w:line="240" w:before="480" w:after="120"/>
    </w:pPr>
    <w:rPr>
      <w:b/>
      <w:sz w:val="72"/>
      <w:szCs w:val="72"/>
    </w:rPr>
  </w:style>
  <w:style w:type="paragraph" w:styleId="Subtitle">
    <w:name w:val="Subtitle"/>
    <w:basedOn w:val="normal1"/>
    <w:next w:val="normal1"/>
    <w:qFormat/>
    <w:pPr>
      <w:keepNext w:val="true"/>
      <w:keepLines/>
      <w:pageBreakBefore w:val="false"/>
      <w:spacing w:lineRule="auto" w:line="240" w:before="360" w:after="80"/>
    </w:pPr>
    <w:rPr>
      <w:rFonts w:ascii="Georgia" w:hAnsi="Georgia" w:eastAsia="Georgia" w:cs="Georgia"/>
      <w:i/>
      <w:color w:val="666666"/>
      <w:sz w:val="48"/>
      <w:szCs w:val="48"/>
    </w:rPr>
  </w:style>
  <w:style w:type="paragraph" w:styleId="Cabealhoerodap">
    <w:name w:val="Cabeçalho e rodapé"/>
    <w:basedOn w:val="Normal"/>
    <w:qFormat/>
    <w:pPr/>
    <w:rPr/>
  </w:style>
  <w:style w:type="paragraph" w:styleId="Header">
    <w:name w:val="header"/>
    <w:basedOn w:val="Cabealhoerodap"/>
    <w:pPr/>
    <w:rPr/>
  </w:style>
  <w:style w:type="paragraph" w:styleId="Footer">
    <w:name w:val="footer"/>
    <w:basedOn w:val="Cabealhoerodap"/>
    <w:pPr/>
    <w:rPr/>
  </w:style>
  <w:style w:type="table" w:default="1" w:styleId="TableNormal">
    <w:name w:val="TableNormal"/>
    <w:tblPr>
      <w:tblCellMar>
        <w:top w:w="100" w:type="dxa"/>
        <w:left w:w="100" w:type="dxa"/>
        <w:bottom w:w="100" w:type="dxa"/>
        <w:right w:w="100" w:type="dxa"/>
      </w:tblCellMar>
    </w:tblPr>
  </w:style>
  <w:style w:type="table" w:default="1" w:styleId="TableNormal">
    <w:name w:val="TableNormal"/>
    <w:tblPr>
      <w:tblCellMar>
        <w:top w:w="100" w:type="dxa"/>
        <w:left w:w="100" w:type="dxa"/>
        <w:bottom w:w="100" w:type="dxa"/>
        <w:right w:w="10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gerencialicitacao@pmf.sc.gov.br" TargetMode="External"/><Relationship Id="rId3" Type="http://schemas.openxmlformats.org/officeDocument/2006/relationships/hyperlink" Target="mailto:gerencialicitacao@pmf.sc.gov.br" TargetMode="External"/><Relationship Id="rId4" Type="http://schemas.openxmlformats.org/officeDocument/2006/relationships/hyperlink" Target="mailto:gerencialicitacao@pmf.sc.gov.br" TargetMode="External"/><Relationship Id="rId5" Type="http://schemas.openxmlformats.org/officeDocument/2006/relationships/hyperlink" Target="mailto:gerencialicitacao@pmf.sc.gov.br" TargetMode="Externa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header" Target="header3.xm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hyperlink" Target="mailto:gerencialicitacao@pmf.sc.gov.br" TargetMode="External"/><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hyperlink" Target="mailto:gerencialicitacao@pmf.sc.gov.br" TargetMode="External"/><Relationship Id="rId17" Type="http://schemas.openxmlformats.org/officeDocument/2006/relationships/hyperlink" Target="mailto:gerencialicitacao@pmf.sc.gov.br" TargetMode="External"/><Relationship Id="rId18" Type="http://schemas.openxmlformats.org/officeDocument/2006/relationships/hyperlink" Target="mailto:gerencialicitacao@pmf.sc.gov.br" TargetMode="External"/><Relationship Id="rId19" Type="http://schemas.openxmlformats.org/officeDocument/2006/relationships/header" Target="header4.xml"/><Relationship Id="rId20" Type="http://schemas.openxmlformats.org/officeDocument/2006/relationships/header" Target="header5.xml"/><Relationship Id="rId21" Type="http://schemas.openxmlformats.org/officeDocument/2006/relationships/footer" Target="footer4.xml"/><Relationship Id="rId22" Type="http://schemas.openxmlformats.org/officeDocument/2006/relationships/footer" Target="footer5.xml"/><Relationship Id="rId23" Type="http://schemas.openxmlformats.org/officeDocument/2006/relationships/header" Target="header6.xml"/><Relationship Id="rId24" Type="http://schemas.openxmlformats.org/officeDocument/2006/relationships/header" Target="header7.xml"/><Relationship Id="rId25" Type="http://schemas.openxmlformats.org/officeDocument/2006/relationships/footer" Target="footer6.xml"/><Relationship Id="rId26" Type="http://schemas.openxmlformats.org/officeDocument/2006/relationships/footer" Target="footer7.xml"/><Relationship Id="rId27" Type="http://schemas.openxmlformats.org/officeDocument/2006/relationships/numbering" Target="numbering.xml"/><Relationship Id="rId28" Type="http://schemas.openxmlformats.org/officeDocument/2006/relationships/fontTable" Target="fontTable.xml"/><Relationship Id="rId29" Type="http://schemas.openxmlformats.org/officeDocument/2006/relationships/settings" Target="settings.xml"/><Relationship Id="rId30" Type="http://schemas.openxmlformats.org/officeDocument/2006/relationships/theme" Target="theme/theme1.xml"/><Relationship Id="rId31"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4.xml.rels><?xml version="1.0" encoding="UTF-8"?>
<Relationships xmlns="http://schemas.openxmlformats.org/package/2006/relationships"><Relationship Id="rId1" Type="http://schemas.openxmlformats.org/officeDocument/2006/relationships/image" Target="media/image1.png"/>
</Relationships>
</file>

<file path=word/_rels/header6.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hD83iEnIDjGRm+QQdegJqJp7Iztg==">CgMxLjAyDmgudnltamh6cmlqZnA3Mg5oLmxvYXR6dzc1aG44ZDgAciExLWFqTm5JYVFXY2pFdmh1MUU4aldWeW5UZnNKN05lTVI=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0</TotalTime>
  <Application>LibreOffice/25.8.1.1$Windows_X86_64 LibreOffice_project/54047653041915e595ad4e45cccea684809c77b5</Application>
  <AppVersion>15.0000</AppVersion>
  <Pages>74</Pages>
  <Words>24311</Words>
  <Characters>140274</Characters>
  <CharactersWithSpaces>163241</CharactersWithSpaces>
  <Paragraphs>1128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2025-09-18T15:11:05Z</dcterms:modified>
  <cp:revision>1</cp:revision>
  <dc:subject/>
  <dc:title/>
</cp:coreProperties>
</file>