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98D55A" w14:textId="7AA6B174" w:rsidR="00987EDF" w:rsidRPr="00627882" w:rsidRDefault="00987EDF" w:rsidP="002D217D">
      <w:pPr>
        <w:pStyle w:val="Default"/>
        <w:spacing w:line="360" w:lineRule="auto"/>
        <w:jc w:val="center"/>
        <w:rPr>
          <w:b/>
          <w:color w:val="auto"/>
        </w:rPr>
      </w:pPr>
      <w:r w:rsidRPr="00627882">
        <w:rPr>
          <w:b/>
          <w:color w:val="auto"/>
        </w:rPr>
        <w:t>JUSTIFICATIVA DE ESCOLHA DO</w:t>
      </w:r>
      <w:r w:rsidR="00FD3958" w:rsidRPr="00627882">
        <w:rPr>
          <w:b/>
          <w:color w:val="auto"/>
        </w:rPr>
        <w:t>S</w:t>
      </w:r>
      <w:r w:rsidRPr="00627882">
        <w:rPr>
          <w:b/>
          <w:color w:val="auto"/>
        </w:rPr>
        <w:t xml:space="preserve"> CONTRATADO</w:t>
      </w:r>
      <w:r w:rsidR="00FD3958" w:rsidRPr="00627882">
        <w:rPr>
          <w:b/>
          <w:color w:val="auto"/>
        </w:rPr>
        <w:t>S</w:t>
      </w:r>
      <w:r w:rsidRPr="00627882">
        <w:rPr>
          <w:b/>
          <w:color w:val="auto"/>
        </w:rPr>
        <w:t xml:space="preserve"> E VALOR</w:t>
      </w:r>
      <w:r w:rsidR="00FD3958" w:rsidRPr="00627882">
        <w:rPr>
          <w:b/>
          <w:color w:val="auto"/>
        </w:rPr>
        <w:t>ES</w:t>
      </w:r>
    </w:p>
    <w:p w14:paraId="6278A0A0" w14:textId="0C771F34" w:rsidR="0093393D" w:rsidRPr="00802A86" w:rsidRDefault="00987EDF" w:rsidP="0093393D">
      <w:pPr>
        <w:pStyle w:val="Default"/>
        <w:spacing w:line="360" w:lineRule="auto"/>
        <w:jc w:val="center"/>
        <w:rPr>
          <w:b/>
          <w:color w:val="auto"/>
        </w:rPr>
      </w:pPr>
      <w:r w:rsidRPr="00802A86">
        <w:rPr>
          <w:b/>
          <w:color w:val="auto"/>
        </w:rPr>
        <w:t>Processo Interno nº</w:t>
      </w:r>
      <w:r w:rsidR="0067399A" w:rsidRPr="00802A86">
        <w:rPr>
          <w:b/>
          <w:color w:val="auto"/>
        </w:rPr>
        <w:t xml:space="preserve"> </w:t>
      </w:r>
      <w:r w:rsidR="00802A86" w:rsidRPr="00802A86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00039811/2026</w:t>
      </w:r>
    </w:p>
    <w:p w14:paraId="29E5C827" w14:textId="77777777" w:rsidR="00987EDF" w:rsidRPr="00802A86" w:rsidRDefault="00987EDF" w:rsidP="003A7432">
      <w:pPr>
        <w:pStyle w:val="Default"/>
        <w:numPr>
          <w:ilvl w:val="0"/>
          <w:numId w:val="2"/>
        </w:numPr>
        <w:spacing w:before="480" w:after="240" w:line="360" w:lineRule="auto"/>
        <w:ind w:left="284" w:hanging="284"/>
        <w:jc w:val="both"/>
        <w:rPr>
          <w:b/>
          <w:bCs/>
          <w:color w:val="auto"/>
        </w:rPr>
      </w:pPr>
      <w:r w:rsidRPr="00802A86">
        <w:rPr>
          <w:b/>
          <w:bCs/>
          <w:color w:val="auto"/>
        </w:rPr>
        <w:t>DA NECESSIDADE DO OBJETO</w:t>
      </w:r>
    </w:p>
    <w:p w14:paraId="7FE5B82A" w14:textId="487ECC71" w:rsidR="00EE4A41" w:rsidRPr="00FD5295" w:rsidRDefault="007F0DDF" w:rsidP="00CF196E">
      <w:pPr>
        <w:pStyle w:val="Default"/>
        <w:spacing w:before="120" w:after="120" w:line="360" w:lineRule="auto"/>
        <w:ind w:firstLine="709"/>
        <w:jc w:val="both"/>
        <w:rPr>
          <w:color w:val="auto"/>
        </w:rPr>
      </w:pPr>
      <w:r w:rsidRPr="00B41929">
        <w:rPr>
          <w:color w:val="auto"/>
        </w:rPr>
        <w:t>Trata</w:t>
      </w:r>
      <w:r w:rsidR="00A63774" w:rsidRPr="00B41929">
        <w:rPr>
          <w:color w:val="auto"/>
        </w:rPr>
        <w:t xml:space="preserve"> os presentes autos de procedimentos que tem por objeto a</w:t>
      </w:r>
      <w:r w:rsidRPr="00B41929">
        <w:rPr>
          <w:color w:val="auto"/>
        </w:rPr>
        <w:t xml:space="preserve"> </w:t>
      </w:r>
      <w:r w:rsidR="00C21877" w:rsidRPr="00B41929">
        <w:rPr>
          <w:rFonts w:asciiTheme="minorHAnsi" w:hAnsiTheme="minorHAnsi" w:cstheme="minorHAnsi"/>
          <w:color w:val="auto"/>
        </w:rPr>
        <w:t xml:space="preserve">aquisição </w:t>
      </w:r>
      <w:r w:rsidR="00B41929" w:rsidRPr="00B41929">
        <w:rPr>
          <w:rFonts w:asciiTheme="minorHAnsi" w:hAnsiTheme="minorHAnsi" w:cstheme="minorHAnsi"/>
          <w:color w:val="auto"/>
        </w:rPr>
        <w:t>de materiais institucionais</w:t>
      </w:r>
      <w:r w:rsidR="00A90274">
        <w:rPr>
          <w:rFonts w:asciiTheme="minorHAnsi" w:hAnsiTheme="minorHAnsi" w:cstheme="minorHAnsi"/>
          <w:color w:val="auto"/>
        </w:rPr>
        <w:t>,</w:t>
      </w:r>
      <w:r w:rsidR="00B41929" w:rsidRPr="00B41929">
        <w:rPr>
          <w:rFonts w:asciiTheme="minorHAnsi" w:hAnsiTheme="minorHAnsi" w:cstheme="minorHAnsi"/>
          <w:color w:val="auto"/>
        </w:rPr>
        <w:t xml:space="preserve"> </w:t>
      </w:r>
      <w:r w:rsidR="00A90274">
        <w:rPr>
          <w:rFonts w:asciiTheme="minorHAnsi" w:hAnsiTheme="minorHAnsi" w:cstheme="minorHAnsi"/>
          <w:color w:val="auto"/>
        </w:rPr>
        <w:t xml:space="preserve">através de </w:t>
      </w:r>
      <w:r w:rsidR="00A90274" w:rsidRPr="00B37E41">
        <w:rPr>
          <w:rFonts w:asciiTheme="minorHAnsi" w:hAnsiTheme="minorHAnsi" w:cstheme="minorHAnsi"/>
        </w:rPr>
        <w:t>dispensa eletrônica em razão do valor</w:t>
      </w:r>
      <w:r w:rsidR="00A90274">
        <w:rPr>
          <w:rFonts w:asciiTheme="minorHAnsi" w:hAnsiTheme="minorHAnsi" w:cstheme="minorHAnsi"/>
        </w:rPr>
        <w:t>,</w:t>
      </w:r>
      <w:r w:rsidR="00A90274" w:rsidRPr="00B41929">
        <w:rPr>
          <w:rFonts w:asciiTheme="minorHAnsi" w:hAnsiTheme="minorHAnsi" w:cstheme="minorHAnsi"/>
          <w:color w:val="auto"/>
        </w:rPr>
        <w:t xml:space="preserve"> </w:t>
      </w:r>
      <w:r w:rsidR="00C21877" w:rsidRPr="00B41929">
        <w:rPr>
          <w:rFonts w:asciiTheme="minorHAnsi" w:hAnsiTheme="minorHAnsi" w:cstheme="minorHAnsi"/>
          <w:color w:val="auto"/>
        </w:rPr>
        <w:t xml:space="preserve">destinados à distribuição em eventos institucionais promovidos pela Secretaria </w:t>
      </w:r>
      <w:r w:rsidR="00C21877" w:rsidRPr="00FD5295">
        <w:rPr>
          <w:rFonts w:asciiTheme="minorHAnsi" w:hAnsiTheme="minorHAnsi" w:cstheme="minorHAnsi"/>
          <w:color w:val="auto"/>
        </w:rPr>
        <w:t>Municipal de Saúde em 2026</w:t>
      </w:r>
      <w:r w:rsidR="00CA5AF3" w:rsidRPr="00FD5295">
        <w:rPr>
          <w:color w:val="auto"/>
        </w:rPr>
        <w:t xml:space="preserve">, </w:t>
      </w:r>
      <w:r w:rsidR="00CF196E" w:rsidRPr="00FD5295">
        <w:rPr>
          <w:color w:val="auto"/>
        </w:rPr>
        <w:t>conforme condições, quantidades e exigências estabelecidas nos documentos abaixo:</w:t>
      </w:r>
    </w:p>
    <w:p w14:paraId="2AD7118E" w14:textId="4E233803" w:rsidR="00D95DC4" w:rsidRPr="00E569D8" w:rsidRDefault="00CF196E" w:rsidP="00CF196E">
      <w:pPr>
        <w:pStyle w:val="Default"/>
        <w:numPr>
          <w:ilvl w:val="0"/>
          <w:numId w:val="4"/>
        </w:numPr>
        <w:spacing w:before="120" w:after="120" w:line="360" w:lineRule="auto"/>
        <w:ind w:left="993" w:hanging="284"/>
        <w:jc w:val="both"/>
        <w:rPr>
          <w:color w:val="auto"/>
        </w:rPr>
      </w:pPr>
      <w:r w:rsidRPr="00E569D8">
        <w:rPr>
          <w:color w:val="auto"/>
        </w:rPr>
        <w:t xml:space="preserve">Documento de </w:t>
      </w:r>
      <w:r w:rsidR="0067399A" w:rsidRPr="00E569D8">
        <w:rPr>
          <w:color w:val="auto"/>
        </w:rPr>
        <w:t xml:space="preserve">Solicitação de </w:t>
      </w:r>
      <w:r w:rsidR="00A63774" w:rsidRPr="00E569D8">
        <w:rPr>
          <w:color w:val="auto"/>
        </w:rPr>
        <w:t>Compra</w:t>
      </w:r>
      <w:r w:rsidR="0067399A" w:rsidRPr="00E569D8">
        <w:rPr>
          <w:color w:val="auto"/>
        </w:rPr>
        <w:t xml:space="preserve"> nº</w:t>
      </w:r>
      <w:r w:rsidR="00EE4A41" w:rsidRPr="00E569D8">
        <w:rPr>
          <w:color w:val="auto"/>
        </w:rPr>
        <w:t xml:space="preserve"> </w:t>
      </w:r>
      <w:r w:rsidR="00CF74ED" w:rsidRPr="00B41929">
        <w:rPr>
          <w:color w:val="auto"/>
        </w:rPr>
        <w:t>30</w:t>
      </w:r>
      <w:r w:rsidR="00CC3482" w:rsidRPr="00B41929">
        <w:rPr>
          <w:color w:val="auto"/>
        </w:rPr>
        <w:t>/</w:t>
      </w:r>
      <w:r w:rsidR="00EE4A41" w:rsidRPr="00B41929">
        <w:rPr>
          <w:color w:val="auto"/>
        </w:rPr>
        <w:t>202</w:t>
      </w:r>
      <w:r w:rsidR="00627882" w:rsidRPr="00B41929">
        <w:rPr>
          <w:color w:val="auto"/>
        </w:rPr>
        <w:t>6</w:t>
      </w:r>
      <w:r w:rsidRPr="00B41929">
        <w:rPr>
          <w:color w:val="auto"/>
        </w:rPr>
        <w:t xml:space="preserve"> </w:t>
      </w:r>
    </w:p>
    <w:p w14:paraId="17C93673" w14:textId="77777777" w:rsidR="0067399A" w:rsidRPr="00E569D8" w:rsidRDefault="0067399A" w:rsidP="00CF196E">
      <w:pPr>
        <w:pStyle w:val="Default"/>
        <w:numPr>
          <w:ilvl w:val="0"/>
          <w:numId w:val="4"/>
        </w:numPr>
        <w:spacing w:before="120" w:after="120" w:line="360" w:lineRule="auto"/>
        <w:ind w:left="993" w:hanging="284"/>
        <w:jc w:val="both"/>
        <w:rPr>
          <w:color w:val="auto"/>
        </w:rPr>
      </w:pPr>
      <w:r w:rsidRPr="00E569D8">
        <w:rPr>
          <w:color w:val="auto"/>
        </w:rPr>
        <w:t>Termo de referência</w:t>
      </w:r>
    </w:p>
    <w:p w14:paraId="1D3AA6A8" w14:textId="1FFE963D" w:rsidR="0067399A" w:rsidRPr="0054728B" w:rsidRDefault="0067399A" w:rsidP="00CF196E">
      <w:pPr>
        <w:pStyle w:val="Default"/>
        <w:numPr>
          <w:ilvl w:val="0"/>
          <w:numId w:val="4"/>
        </w:numPr>
        <w:spacing w:before="120" w:after="120" w:line="360" w:lineRule="auto"/>
        <w:ind w:left="993" w:hanging="284"/>
        <w:jc w:val="both"/>
        <w:rPr>
          <w:color w:val="auto"/>
        </w:rPr>
      </w:pPr>
      <w:r w:rsidRPr="00E569D8">
        <w:rPr>
          <w:color w:val="auto"/>
        </w:rPr>
        <w:t xml:space="preserve">Nota </w:t>
      </w:r>
      <w:r w:rsidRPr="0054728B">
        <w:rPr>
          <w:color w:val="auto"/>
        </w:rPr>
        <w:t>de Bloqueio nº</w:t>
      </w:r>
      <w:r w:rsidR="0070027E" w:rsidRPr="0054728B">
        <w:rPr>
          <w:color w:val="auto"/>
        </w:rPr>
        <w:t xml:space="preserve"> </w:t>
      </w:r>
      <w:r w:rsidR="00CF74ED" w:rsidRPr="0054728B">
        <w:rPr>
          <w:color w:val="auto"/>
        </w:rPr>
        <w:t>996236</w:t>
      </w:r>
      <w:r w:rsidR="0054728B" w:rsidRPr="0054728B">
        <w:rPr>
          <w:color w:val="auto"/>
        </w:rPr>
        <w:t>, 1076020, 1076019, 1077234 e 1075926</w:t>
      </w:r>
    </w:p>
    <w:p w14:paraId="6E183C71" w14:textId="77777777" w:rsidR="00EE4A41" w:rsidRPr="0013483A" w:rsidRDefault="00EE4A41" w:rsidP="00CF196E">
      <w:pPr>
        <w:pStyle w:val="Default"/>
        <w:numPr>
          <w:ilvl w:val="0"/>
          <w:numId w:val="4"/>
        </w:numPr>
        <w:spacing w:before="120" w:after="120" w:line="360" w:lineRule="auto"/>
        <w:ind w:left="993" w:hanging="284"/>
        <w:jc w:val="both"/>
        <w:rPr>
          <w:color w:val="auto"/>
        </w:rPr>
      </w:pPr>
      <w:r w:rsidRPr="0054728B">
        <w:rPr>
          <w:color w:val="auto"/>
        </w:rPr>
        <w:t xml:space="preserve">Certidões de regularidade fiscal </w:t>
      </w:r>
      <w:r w:rsidRPr="0013483A">
        <w:rPr>
          <w:color w:val="auto"/>
        </w:rPr>
        <w:t>e habilitação jurídica</w:t>
      </w:r>
    </w:p>
    <w:p w14:paraId="3B6A0A7E" w14:textId="6E81A873" w:rsidR="00D80C81" w:rsidRPr="00802A86" w:rsidRDefault="00932351" w:rsidP="00CF196E">
      <w:pPr>
        <w:pStyle w:val="Default"/>
        <w:numPr>
          <w:ilvl w:val="0"/>
          <w:numId w:val="4"/>
        </w:numPr>
        <w:spacing w:before="120" w:after="120" w:line="360" w:lineRule="auto"/>
        <w:ind w:left="993" w:hanging="284"/>
        <w:jc w:val="both"/>
        <w:rPr>
          <w:color w:val="auto"/>
        </w:rPr>
      </w:pPr>
      <w:r w:rsidRPr="0013483A">
        <w:rPr>
          <w:color w:val="auto"/>
        </w:rPr>
        <w:t xml:space="preserve">Valor Total da </w:t>
      </w:r>
      <w:r w:rsidRPr="00802A86">
        <w:rPr>
          <w:color w:val="auto"/>
        </w:rPr>
        <w:t xml:space="preserve">Contratação: R$ </w:t>
      </w:r>
      <w:r w:rsidR="00802A86" w:rsidRPr="00802A86">
        <w:rPr>
          <w:color w:val="auto"/>
        </w:rPr>
        <w:t>61</w:t>
      </w:r>
      <w:r w:rsidR="00CF74ED" w:rsidRPr="00802A86">
        <w:rPr>
          <w:color w:val="auto"/>
        </w:rPr>
        <w:t>.</w:t>
      </w:r>
      <w:r w:rsidR="00802A86" w:rsidRPr="00802A86">
        <w:rPr>
          <w:color w:val="auto"/>
        </w:rPr>
        <w:t>024</w:t>
      </w:r>
      <w:r w:rsidR="00CF74ED" w:rsidRPr="00802A86">
        <w:rPr>
          <w:color w:val="auto"/>
        </w:rPr>
        <w:t>,00</w:t>
      </w:r>
    </w:p>
    <w:p w14:paraId="3393F9DB" w14:textId="058342D5" w:rsidR="00643FB2" w:rsidRPr="00802A86" w:rsidRDefault="00643FB2" w:rsidP="003A7432">
      <w:pPr>
        <w:pStyle w:val="Default"/>
        <w:numPr>
          <w:ilvl w:val="0"/>
          <w:numId w:val="2"/>
        </w:numPr>
        <w:spacing w:before="480" w:after="240" w:line="360" w:lineRule="auto"/>
        <w:ind w:left="284" w:hanging="284"/>
        <w:jc w:val="both"/>
        <w:rPr>
          <w:b/>
          <w:bCs/>
          <w:color w:val="auto"/>
        </w:rPr>
      </w:pPr>
      <w:r w:rsidRPr="00802A86">
        <w:rPr>
          <w:b/>
          <w:bCs/>
          <w:color w:val="auto"/>
        </w:rPr>
        <w:t>DA DISPENSA DE LICITAÇÃO</w:t>
      </w:r>
    </w:p>
    <w:p w14:paraId="7D2E0ECE" w14:textId="53758297" w:rsidR="00CF196E" w:rsidRPr="00627882" w:rsidRDefault="00CF196E" w:rsidP="00E81390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09"/>
        <w:jc w:val="both"/>
        <w:rPr>
          <w:rFonts w:ascii="Calibri" w:eastAsia="Arial" w:hAnsi="Calibri" w:cs="Calibri"/>
          <w:sz w:val="24"/>
          <w:szCs w:val="24"/>
        </w:rPr>
      </w:pPr>
      <w:r w:rsidRPr="00627882">
        <w:rPr>
          <w:rFonts w:ascii="Calibri" w:eastAsia="Arial" w:hAnsi="Calibri" w:cs="Calibri"/>
          <w:sz w:val="24"/>
          <w:szCs w:val="24"/>
        </w:rPr>
        <w:t>Objetivo da Licitação é contratar a proposta mais vantajosa primando pelos princípios da legalidade, impess</w:t>
      </w:r>
      <w:r w:rsidR="00B35D87" w:rsidRPr="00627882">
        <w:rPr>
          <w:rFonts w:ascii="Calibri" w:eastAsia="Arial" w:hAnsi="Calibri" w:cs="Calibri"/>
          <w:sz w:val="24"/>
          <w:szCs w:val="24"/>
        </w:rPr>
        <w:t>oalidade, igualdade, moralidade</w:t>
      </w:r>
      <w:r w:rsidRPr="00627882">
        <w:rPr>
          <w:rFonts w:ascii="Calibri" w:eastAsia="Arial" w:hAnsi="Calibri" w:cs="Calibri"/>
          <w:sz w:val="24"/>
          <w:szCs w:val="24"/>
        </w:rPr>
        <w:t xml:space="preserve"> e publicidade. Licitar é a regra. Conforme reza o artigo 37, inciso XXI, da Constituição Federal de 1988, no qual determina que as obras, os serviços, compras e alienações devem ocorrer por meio de licitações.</w:t>
      </w:r>
    </w:p>
    <w:p w14:paraId="6AFAE560" w14:textId="5BD5AEB1" w:rsidR="00CF196E" w:rsidRPr="00627882" w:rsidRDefault="00CF196E" w:rsidP="00E81390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2268"/>
        <w:jc w:val="both"/>
        <w:rPr>
          <w:rFonts w:ascii="Calibri" w:eastAsia="Arial" w:hAnsi="Calibri" w:cs="Calibri"/>
          <w:sz w:val="24"/>
          <w:szCs w:val="24"/>
        </w:rPr>
      </w:pPr>
      <w:r w:rsidRPr="00627882">
        <w:rPr>
          <w:rFonts w:ascii="Calibri" w:eastAsia="Arial" w:hAnsi="Calibri" w:cs="Calibri"/>
          <w:sz w:val="24"/>
          <w:szCs w:val="24"/>
        </w:rPr>
        <w:t xml:space="preserve">(...)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econômicas indispensáveis à garantia do cumprimento das obrigações.” </w:t>
      </w:r>
    </w:p>
    <w:p w14:paraId="3F8186C2" w14:textId="52CB6D2A" w:rsidR="00CF196E" w:rsidRPr="00627882" w:rsidRDefault="00CF196E" w:rsidP="0013043D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09"/>
        <w:jc w:val="both"/>
        <w:rPr>
          <w:rFonts w:ascii="Calibri" w:eastAsia="Arial" w:hAnsi="Calibri" w:cs="Calibri"/>
          <w:sz w:val="24"/>
          <w:szCs w:val="24"/>
        </w:rPr>
      </w:pPr>
      <w:r w:rsidRPr="00627882">
        <w:rPr>
          <w:rFonts w:ascii="Calibri" w:eastAsia="Arial" w:hAnsi="Calibri" w:cs="Calibri"/>
          <w:sz w:val="24"/>
          <w:szCs w:val="24"/>
        </w:rPr>
        <w:t xml:space="preserve">Entretanto há requisições que por características específicas tornam-se impossíveis ou inviáveis as licitações nos trâmites usuais. Na ocorrência de licitações inviáveis ou impossíveis a lei previu exceções às regras, as Dispensas de Licitações e a Inexigibilidade de licitação. </w:t>
      </w:r>
    </w:p>
    <w:p w14:paraId="02A5D8A7" w14:textId="1DFEB352" w:rsidR="00ED76BA" w:rsidRPr="00EE5CB6" w:rsidRDefault="00291476" w:rsidP="00ED76BA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708"/>
        <w:jc w:val="both"/>
        <w:rPr>
          <w:rFonts w:ascii="Calibri" w:eastAsia="Arial" w:hAnsi="Calibri" w:cs="Calibri"/>
          <w:sz w:val="24"/>
          <w:szCs w:val="24"/>
        </w:rPr>
      </w:pPr>
      <w:r w:rsidRPr="00EE5CB6">
        <w:rPr>
          <w:rFonts w:ascii="Calibri" w:eastAsia="Arial" w:hAnsi="Calibri" w:cs="Calibri"/>
          <w:sz w:val="24"/>
          <w:szCs w:val="24"/>
        </w:rPr>
        <w:lastRenderedPageBreak/>
        <w:t xml:space="preserve">Nesse sentido, o FUNDO MUNICIPAL DE SAÚDE justifica que a pretendida aquisição de materiais será realizada mediante Dispensa de Licitação por menor valor, encontrando respaldo no art. 75, inciso II, da Lei nº 14.133/2021. Trata-se de itens que não são </w:t>
      </w:r>
      <w:bookmarkStart w:id="0" w:name="_GoBack"/>
      <w:bookmarkEnd w:id="0"/>
      <w:r w:rsidRPr="00EE5CB6">
        <w:rPr>
          <w:rFonts w:ascii="Calibri" w:eastAsia="Arial" w:hAnsi="Calibri" w:cs="Calibri"/>
          <w:sz w:val="24"/>
          <w:szCs w:val="24"/>
        </w:rPr>
        <w:t>adquiridos de forma regular ou habitual por este Fundo, não compondo o rol de compras rotineiras da Secretaria Municipal de Saúde. A aquisição atende a uma necessidade específica e pontual, voltada ao apoio das ações de acolhimento, capacitação, integração institucional e valorização dos profissionais da rede de Atenção Primária à Saúde (APS).</w:t>
      </w:r>
    </w:p>
    <w:p w14:paraId="4CA4658B" w14:textId="77777777" w:rsidR="00C52742" w:rsidRDefault="00C52742" w:rsidP="00C52742">
      <w:pPr>
        <w:pStyle w:val="Corpodetexto"/>
        <w:spacing w:before="119" w:line="360" w:lineRule="auto"/>
        <w:ind w:left="1080" w:right="136"/>
        <w:jc w:val="both"/>
      </w:pPr>
      <w:r w:rsidRPr="000D778F">
        <w:t>Art. 75. É dispensável a licitação:</w:t>
      </w:r>
    </w:p>
    <w:p w14:paraId="57267C8A" w14:textId="4BD96E42" w:rsidR="004E2558" w:rsidRPr="004E2558" w:rsidRDefault="00291476" w:rsidP="00291476">
      <w:pPr>
        <w:pStyle w:val="PargrafodaLista"/>
        <w:spacing w:before="120" w:after="120" w:line="360" w:lineRule="auto"/>
        <w:ind w:left="1080"/>
        <w:jc w:val="both"/>
        <w:rPr>
          <w:rFonts w:cstheme="minorHAnsi"/>
          <w:color w:val="FF0000"/>
          <w:sz w:val="20"/>
          <w:szCs w:val="20"/>
        </w:rPr>
      </w:pPr>
      <w:r w:rsidRPr="00291476">
        <w:rPr>
          <w:rFonts w:ascii="Calibri" w:hAnsi="Calibri" w:cs="Calibri"/>
          <w:sz w:val="24"/>
          <w:szCs w:val="24"/>
        </w:rPr>
        <w:t>II – para contratação que envolva valores inferiores a R$ 50.000,00 (cinquenta mil reais), no caso de outros serviços e compras</w:t>
      </w:r>
      <w:r>
        <w:rPr>
          <w:rFonts w:ascii="Calibri" w:hAnsi="Calibri" w:cs="Calibri"/>
          <w:sz w:val="24"/>
          <w:szCs w:val="24"/>
        </w:rPr>
        <w:t xml:space="preserve"> </w:t>
      </w:r>
      <w:r w:rsidRPr="00291476">
        <w:rPr>
          <w:rFonts w:ascii="Calibri" w:hAnsi="Calibri" w:cs="Calibri"/>
          <w:i/>
          <w:sz w:val="24"/>
          <w:szCs w:val="24"/>
        </w:rPr>
        <w:t>(atualizado para R$ 65.492,11 pelo Decreto nº 12.807, de 29 de dezembro de 2025).</w:t>
      </w:r>
    </w:p>
    <w:p w14:paraId="36460C92" w14:textId="65687BD6" w:rsidR="0055116D" w:rsidRDefault="00DC589D" w:rsidP="003A7432">
      <w:pPr>
        <w:pStyle w:val="Default"/>
        <w:numPr>
          <w:ilvl w:val="0"/>
          <w:numId w:val="2"/>
        </w:numPr>
        <w:spacing w:before="480" w:after="240" w:line="360" w:lineRule="auto"/>
        <w:ind w:left="284" w:hanging="284"/>
        <w:jc w:val="both"/>
        <w:rPr>
          <w:b/>
          <w:bCs/>
          <w:color w:val="auto"/>
        </w:rPr>
      </w:pPr>
      <w:r w:rsidRPr="00627882">
        <w:rPr>
          <w:b/>
          <w:bCs/>
          <w:color w:val="auto"/>
        </w:rPr>
        <w:t>DA RAZ</w:t>
      </w:r>
      <w:r w:rsidR="00344E98" w:rsidRPr="00627882">
        <w:rPr>
          <w:b/>
          <w:bCs/>
          <w:color w:val="auto"/>
        </w:rPr>
        <w:t xml:space="preserve">ÃO </w:t>
      </w:r>
      <w:r w:rsidRPr="00627882">
        <w:rPr>
          <w:b/>
          <w:bCs/>
          <w:color w:val="auto"/>
        </w:rPr>
        <w:t>DA ESCOLHA DO FORNECEDOR</w:t>
      </w:r>
    </w:p>
    <w:p w14:paraId="7632A5EF" w14:textId="123799F9" w:rsidR="00441B0B" w:rsidRDefault="00441B0B" w:rsidP="00441B0B">
      <w:pPr>
        <w:pStyle w:val="Corpodetexto"/>
        <w:spacing w:line="360" w:lineRule="auto"/>
        <w:ind w:right="135" w:firstLine="171"/>
        <w:jc w:val="both"/>
      </w:pPr>
      <w:r>
        <w:t xml:space="preserve">No </w:t>
      </w:r>
      <w:r w:rsidRPr="00DB3E71">
        <w:t>caso em questão verifica-se, por se tratar de situação de dispensa de licitação a ser realizada de forma eletrônica, que o fornecedor será escolhido mediante cotação eletrônica, pelo critério menor preço, a</w:t>
      </w:r>
      <w:r>
        <w:t xml:space="preserve"> ser baseado pela média de preços estipulada por meio de cotação com empresas especializadas no ramo, bem como, através de pesquisa de preços no Banco de Preços que compõe a instrução do processo.</w:t>
      </w:r>
    </w:p>
    <w:p w14:paraId="1014BC09" w14:textId="067E62A4" w:rsidR="00441B0B" w:rsidRDefault="00441B0B" w:rsidP="00441B0B">
      <w:pPr>
        <w:pStyle w:val="Corpodetexto"/>
        <w:spacing w:line="360" w:lineRule="auto"/>
        <w:ind w:right="135" w:firstLine="171"/>
        <w:jc w:val="both"/>
      </w:pPr>
      <w:r>
        <w:t>Nesse sentido, conforme padronização recomendada pela Instrução Normativa Federal nº 65/2021, justificamos que a pesquisa de preços foi realizada no site Banco de Preços™, disponível no link: https://www.bancodeprecos.com.br/. A partir dos orçamentos coletados, elaborou-se a planilha de composição de custo optando-se pelo uso da média aritmética simples para determinar a estimativa de valor da presente aquisição.</w:t>
      </w:r>
    </w:p>
    <w:p w14:paraId="7942DCEB" w14:textId="77777777" w:rsidR="00344E98" w:rsidRPr="00377F83" w:rsidRDefault="00344E98" w:rsidP="003A7432">
      <w:pPr>
        <w:pStyle w:val="Default"/>
        <w:numPr>
          <w:ilvl w:val="0"/>
          <w:numId w:val="2"/>
        </w:numPr>
        <w:spacing w:before="480" w:after="240" w:line="360" w:lineRule="auto"/>
        <w:ind w:left="284" w:hanging="284"/>
        <w:jc w:val="both"/>
        <w:rPr>
          <w:b/>
          <w:bCs/>
          <w:color w:val="auto"/>
        </w:rPr>
      </w:pPr>
      <w:r w:rsidRPr="00627882">
        <w:rPr>
          <w:b/>
          <w:bCs/>
          <w:color w:val="auto"/>
        </w:rPr>
        <w:t xml:space="preserve">DA NÃO </w:t>
      </w:r>
      <w:r w:rsidRPr="00377F83">
        <w:rPr>
          <w:b/>
          <w:bCs/>
          <w:color w:val="auto"/>
        </w:rPr>
        <w:t>OCORRÊNCIA DE FRAGMENTAÇÃO</w:t>
      </w:r>
    </w:p>
    <w:p w14:paraId="7919DFB6" w14:textId="77777777" w:rsidR="004B1712" w:rsidRPr="00377F83" w:rsidRDefault="004B1712" w:rsidP="004B1712">
      <w:pPr>
        <w:pStyle w:val="Corpodetexto"/>
        <w:ind w:left="848"/>
      </w:pPr>
      <w:r w:rsidRPr="00377F83">
        <w:t>Conforme dispõe o art. 75:</w:t>
      </w:r>
    </w:p>
    <w:p w14:paraId="70A84CFD" w14:textId="77777777" w:rsidR="004B1712" w:rsidRPr="00377F83" w:rsidRDefault="004B1712" w:rsidP="004B1712">
      <w:pPr>
        <w:pStyle w:val="Corpodetexto"/>
        <w:spacing w:before="91"/>
      </w:pPr>
    </w:p>
    <w:p w14:paraId="039E7A21" w14:textId="77777777" w:rsidR="004B1712" w:rsidRPr="00377F83" w:rsidRDefault="004B1712" w:rsidP="004B1712">
      <w:pPr>
        <w:spacing w:before="1" w:line="355" w:lineRule="auto"/>
        <w:ind w:left="2408" w:right="142"/>
        <w:jc w:val="both"/>
        <w:rPr>
          <w:sz w:val="24"/>
          <w:szCs w:val="24"/>
        </w:rPr>
      </w:pPr>
      <w:r w:rsidRPr="00377F83">
        <w:rPr>
          <w:sz w:val="24"/>
          <w:szCs w:val="24"/>
        </w:rPr>
        <w:t xml:space="preserve">§ 1º Para fins de aferição dos valores que atendam aos limites referidos nos </w:t>
      </w:r>
      <w:r w:rsidRPr="00377F83">
        <w:rPr>
          <w:rFonts w:ascii="Calibri" w:hAnsi="Calibri"/>
          <w:sz w:val="24"/>
          <w:szCs w:val="24"/>
        </w:rPr>
        <w:t xml:space="preserve">incisos I e II </w:t>
      </w:r>
      <w:r w:rsidRPr="00377F83">
        <w:rPr>
          <w:sz w:val="24"/>
          <w:szCs w:val="24"/>
        </w:rPr>
        <w:t xml:space="preserve">do </w:t>
      </w:r>
      <w:r w:rsidRPr="00377F83">
        <w:rPr>
          <w:rFonts w:ascii="Calibri" w:hAnsi="Calibri"/>
          <w:sz w:val="24"/>
          <w:szCs w:val="24"/>
        </w:rPr>
        <w:t xml:space="preserve">caput </w:t>
      </w:r>
      <w:r w:rsidRPr="00377F83">
        <w:rPr>
          <w:sz w:val="24"/>
          <w:szCs w:val="24"/>
        </w:rPr>
        <w:t>deste artigo, deverão ser observados:</w:t>
      </w:r>
    </w:p>
    <w:p w14:paraId="71BFECF9" w14:textId="77777777" w:rsidR="004B1712" w:rsidRPr="00377F83" w:rsidRDefault="004B1712" w:rsidP="004B1712">
      <w:pPr>
        <w:pStyle w:val="PargrafodaLista"/>
        <w:widowControl w:val="0"/>
        <w:numPr>
          <w:ilvl w:val="0"/>
          <w:numId w:val="6"/>
        </w:numPr>
        <w:tabs>
          <w:tab w:val="left" w:pos="2556"/>
        </w:tabs>
        <w:autoSpaceDE w:val="0"/>
        <w:autoSpaceDN w:val="0"/>
        <w:spacing w:before="224" w:after="0" w:line="360" w:lineRule="auto"/>
        <w:ind w:right="143" w:firstLine="0"/>
        <w:jc w:val="both"/>
        <w:rPr>
          <w:sz w:val="24"/>
          <w:szCs w:val="24"/>
        </w:rPr>
      </w:pPr>
      <w:r w:rsidRPr="00377F83">
        <w:rPr>
          <w:sz w:val="24"/>
          <w:szCs w:val="24"/>
        </w:rPr>
        <w:t>- o somatório do que for despendido no exercício financeiro pela respectiva unidade gestora;</w:t>
      </w:r>
    </w:p>
    <w:p w14:paraId="6AF2F401" w14:textId="77777777" w:rsidR="004B1712" w:rsidRPr="00377F83" w:rsidRDefault="004B1712" w:rsidP="004B1712">
      <w:pPr>
        <w:pStyle w:val="PargrafodaLista"/>
        <w:widowControl w:val="0"/>
        <w:numPr>
          <w:ilvl w:val="0"/>
          <w:numId w:val="6"/>
        </w:numPr>
        <w:tabs>
          <w:tab w:val="left" w:pos="2568"/>
        </w:tabs>
        <w:autoSpaceDE w:val="0"/>
        <w:autoSpaceDN w:val="0"/>
        <w:spacing w:before="220" w:after="0" w:line="360" w:lineRule="auto"/>
        <w:ind w:right="141" w:firstLine="0"/>
        <w:jc w:val="both"/>
        <w:rPr>
          <w:sz w:val="24"/>
          <w:szCs w:val="24"/>
        </w:rPr>
      </w:pPr>
      <w:r w:rsidRPr="00377F83">
        <w:rPr>
          <w:sz w:val="24"/>
          <w:szCs w:val="24"/>
        </w:rPr>
        <w:lastRenderedPageBreak/>
        <w:t>- o somatório da despesa realizada com objetos de mesma natureza, entendidos como tais aqueles relativos a contratações no mesmo ramo de atividade.</w:t>
      </w:r>
    </w:p>
    <w:p w14:paraId="0587CBC5" w14:textId="77777777" w:rsidR="004B1712" w:rsidRPr="00377F83" w:rsidRDefault="004B1712" w:rsidP="004B1712">
      <w:pPr>
        <w:tabs>
          <w:tab w:val="left" w:pos="2568"/>
        </w:tabs>
        <w:spacing w:before="220" w:line="360" w:lineRule="auto"/>
        <w:ind w:left="2408" w:right="141"/>
        <w:jc w:val="both"/>
        <w:rPr>
          <w:sz w:val="24"/>
          <w:szCs w:val="24"/>
        </w:rPr>
      </w:pPr>
    </w:p>
    <w:p w14:paraId="45A0EC5A" w14:textId="77777777" w:rsidR="004B1712" w:rsidRPr="00377F83" w:rsidRDefault="004B1712" w:rsidP="004B1712">
      <w:pPr>
        <w:pStyle w:val="Corpodetexto"/>
        <w:spacing w:line="360" w:lineRule="auto"/>
        <w:ind w:left="1" w:right="135" w:firstLine="708"/>
        <w:jc w:val="both"/>
      </w:pPr>
      <w:r w:rsidRPr="00377F83">
        <w:t>No caso em questão se verifica a análise dos incisos I e II, do parágrafo primeiro, do art. 75 da Lei 14.133/2021. Inobstante o fato de a presente contratação estar dentro dos limites estabelecidos, o que justifica a contratação direta, vale tecer alguns comentários a despeito de eventual fragmentação de despesa, o que ensejaria afronta a Lei de Licitações, conforme disciplinado no art. 178 da referida Lei.</w:t>
      </w:r>
    </w:p>
    <w:p w14:paraId="64DECD25" w14:textId="77777777" w:rsidR="00344E98" w:rsidRPr="00627882" w:rsidRDefault="00344E98" w:rsidP="00B870C4">
      <w:pPr>
        <w:spacing w:before="120" w:after="120" w:line="360" w:lineRule="auto"/>
        <w:ind w:firstLine="708"/>
        <w:jc w:val="both"/>
        <w:rPr>
          <w:rFonts w:ascii="Calibri" w:eastAsia="Arial" w:hAnsi="Calibri" w:cs="Calibri"/>
          <w:sz w:val="24"/>
          <w:szCs w:val="24"/>
        </w:rPr>
      </w:pPr>
      <w:r w:rsidRPr="00377F83">
        <w:rPr>
          <w:rFonts w:ascii="Calibri" w:eastAsia="Arial" w:hAnsi="Calibri" w:cs="Calibri"/>
          <w:sz w:val="24"/>
          <w:szCs w:val="24"/>
        </w:rPr>
        <w:t>Tanto a doutrina quanto a jurisprudência ressaltam a importância de se observar as quantidades a serem adquiridas com base no consumo estimado durante o processo de compras</w:t>
      </w:r>
      <w:r w:rsidRPr="00627882">
        <w:rPr>
          <w:rFonts w:ascii="Calibri" w:eastAsia="Arial" w:hAnsi="Calibri" w:cs="Calibri"/>
          <w:sz w:val="24"/>
          <w:szCs w:val="24"/>
        </w:rPr>
        <w:t>. Nesse sentido, é fundamental que haja um planejamento adequado para a realização dessas aquisições, o qual deve estar alinhado ao princípio da anualidade do orçamento. Portanto, o agente público não pode justificar o fracionamento da despesa com múltiplas aquisições ou contratações durante o mesmo exercício fiscal, utilizando uma modalidade de licitação inferior àquela exigida para o total da despesa no ano, especialmente quando isso decorre da falta de planejamento. Essa orientação, presente no manual do Tribunal de Contas da União (TCU), ressalta a necessidade de uma gestão responsável e criteriosa dos recursos públicos, visando sempre à eficiência e à conformidade com as normas vigentes.</w:t>
      </w:r>
    </w:p>
    <w:p w14:paraId="5270EE2A" w14:textId="77777777" w:rsidR="00344E98" w:rsidRPr="00627882" w:rsidRDefault="00344E98" w:rsidP="00B870C4">
      <w:pPr>
        <w:spacing w:before="120" w:after="120" w:line="360" w:lineRule="auto"/>
        <w:ind w:firstLine="708"/>
        <w:jc w:val="both"/>
        <w:rPr>
          <w:rFonts w:ascii="Calibri" w:eastAsia="Arial" w:hAnsi="Calibri" w:cs="Calibri"/>
          <w:i/>
          <w:sz w:val="24"/>
          <w:szCs w:val="24"/>
        </w:rPr>
      </w:pPr>
      <w:r w:rsidRPr="00627882">
        <w:rPr>
          <w:rFonts w:ascii="Calibri" w:eastAsia="Arial" w:hAnsi="Calibri" w:cs="Calibri"/>
          <w:sz w:val="24"/>
          <w:szCs w:val="24"/>
        </w:rPr>
        <w:t xml:space="preserve">Sobre a contratação indevida sem a observância do procedimento licitatório, fracionando as despesas, Jorge Ulysses </w:t>
      </w:r>
      <w:proofErr w:type="spellStart"/>
      <w:r w:rsidRPr="00627882">
        <w:rPr>
          <w:rFonts w:ascii="Calibri" w:eastAsia="Arial" w:hAnsi="Calibri" w:cs="Calibri"/>
          <w:sz w:val="24"/>
          <w:szCs w:val="24"/>
        </w:rPr>
        <w:t>Jacoby</w:t>
      </w:r>
      <w:proofErr w:type="spellEnd"/>
      <w:r w:rsidRPr="00627882">
        <w:rPr>
          <w:rFonts w:ascii="Calibri" w:eastAsia="Arial" w:hAnsi="Calibri" w:cs="Calibri"/>
          <w:sz w:val="24"/>
          <w:szCs w:val="24"/>
        </w:rPr>
        <w:t xml:space="preserve"> Fernandes, traz  que </w:t>
      </w:r>
      <w:r w:rsidRPr="00627882">
        <w:rPr>
          <w:rFonts w:ascii="Calibri" w:eastAsia="Arial" w:hAnsi="Calibri" w:cs="Calibri"/>
          <w:i/>
          <w:sz w:val="24"/>
          <w:szCs w:val="24"/>
        </w:rPr>
        <w:t>“O parcelamento de despesa, quer com o objetivo de evitar modalidade mais ampla de licitação, quer com o de possibilitar-lhe a dispensa, constitui infração legal” (...)</w:t>
      </w:r>
      <w:r w:rsidRPr="00627882">
        <w:rPr>
          <w:rFonts w:ascii="Calibri" w:eastAsia="Arial" w:hAnsi="Calibri" w:cs="Calibri"/>
          <w:sz w:val="24"/>
          <w:szCs w:val="24"/>
        </w:rPr>
        <w:t xml:space="preserve"> e também o TCU firmou entendimento de que </w:t>
      </w:r>
      <w:r w:rsidRPr="00627882">
        <w:rPr>
          <w:rFonts w:ascii="Calibri" w:eastAsia="Arial" w:hAnsi="Calibri" w:cs="Calibri"/>
          <w:i/>
          <w:sz w:val="24"/>
          <w:szCs w:val="24"/>
        </w:rPr>
        <w:t>“as compras devem ser estimadas para todo o exercício e há de ser preservada a modalidade correta para o objeto total, que agruparia todos os itens”.</w:t>
      </w:r>
    </w:p>
    <w:p w14:paraId="516DA669" w14:textId="77777777" w:rsidR="00344E98" w:rsidRPr="00627882" w:rsidRDefault="00344E98" w:rsidP="00B870C4">
      <w:pPr>
        <w:spacing w:before="120" w:after="120" w:line="360" w:lineRule="auto"/>
        <w:ind w:firstLine="708"/>
        <w:jc w:val="both"/>
        <w:rPr>
          <w:rFonts w:ascii="Calibri" w:eastAsia="Arial" w:hAnsi="Calibri" w:cs="Calibri"/>
          <w:sz w:val="24"/>
          <w:szCs w:val="24"/>
        </w:rPr>
      </w:pPr>
      <w:r w:rsidRPr="00627882">
        <w:rPr>
          <w:rFonts w:ascii="Calibri" w:eastAsia="Arial" w:hAnsi="Calibri" w:cs="Calibri"/>
          <w:sz w:val="24"/>
          <w:szCs w:val="24"/>
        </w:rPr>
        <w:t>Essa orientação foi consagrada também em publicação oficial do TCU intitulada Licitações e Contratos – Orientações Básicas, Brasília:</w:t>
      </w:r>
    </w:p>
    <w:p w14:paraId="7695EC39" w14:textId="4D4FBC55" w:rsidR="00344E98" w:rsidRPr="00627882" w:rsidRDefault="00344E98" w:rsidP="00B870C4">
      <w:pPr>
        <w:spacing w:before="120" w:after="120" w:line="360" w:lineRule="auto"/>
        <w:ind w:left="2260"/>
        <w:jc w:val="both"/>
        <w:rPr>
          <w:rFonts w:ascii="Calibri" w:eastAsia="Arial" w:hAnsi="Calibri" w:cs="Calibri"/>
          <w:i/>
          <w:sz w:val="24"/>
          <w:szCs w:val="24"/>
        </w:rPr>
      </w:pPr>
      <w:r w:rsidRPr="00627882">
        <w:rPr>
          <w:rFonts w:ascii="Calibri" w:eastAsia="Arial" w:hAnsi="Calibri" w:cs="Calibri"/>
          <w:i/>
          <w:sz w:val="24"/>
          <w:szCs w:val="24"/>
        </w:rPr>
        <w:t>“Atente para o fato de que, atingindo o limite legalmente fixado para dispensa de licitação, as demais contratações para serviços da mesma natureza deverão observar a obrigatoriedade da realização de certame licitatório, evitando a ocorrência de fracionamento de despesa.</w:t>
      </w:r>
      <w:r w:rsidR="006D2F01" w:rsidRPr="00627882">
        <w:rPr>
          <w:rFonts w:ascii="Calibri" w:eastAsia="Arial" w:hAnsi="Calibri" w:cs="Calibri"/>
          <w:i/>
          <w:sz w:val="24"/>
          <w:szCs w:val="24"/>
        </w:rPr>
        <w:t>” Acórdão 73/2003 – Segunda Câmara.</w:t>
      </w:r>
    </w:p>
    <w:p w14:paraId="70943DFD" w14:textId="06F8FA19" w:rsidR="00344E98" w:rsidRPr="00627882" w:rsidRDefault="00344E98" w:rsidP="00B870C4">
      <w:pPr>
        <w:spacing w:before="120" w:after="120" w:line="360" w:lineRule="auto"/>
        <w:ind w:left="2267"/>
        <w:jc w:val="both"/>
        <w:rPr>
          <w:rFonts w:ascii="Calibri" w:eastAsia="Arial" w:hAnsi="Calibri" w:cs="Calibri"/>
          <w:i/>
          <w:sz w:val="24"/>
          <w:szCs w:val="24"/>
        </w:rPr>
      </w:pPr>
      <w:r w:rsidRPr="00627882">
        <w:rPr>
          <w:rFonts w:ascii="Calibri" w:eastAsia="Arial" w:hAnsi="Calibri" w:cs="Calibri"/>
          <w:i/>
          <w:sz w:val="24"/>
          <w:szCs w:val="24"/>
        </w:rPr>
        <w:t xml:space="preserve">“Realize, nas compras a serem efetuadas, prévio planejamento para todo o exercício, licitando em conjunto materiais de uma mesma espécie, cujos potenciais </w:t>
      </w:r>
      <w:r w:rsidRPr="00627882">
        <w:rPr>
          <w:rFonts w:ascii="Calibri" w:eastAsia="Arial" w:hAnsi="Calibri" w:cs="Calibri"/>
          <w:i/>
          <w:sz w:val="24"/>
          <w:szCs w:val="24"/>
        </w:rPr>
        <w:lastRenderedPageBreak/>
        <w:t>fornecedores sejam os mesmos, de forma a racionalizá-las e evitar a fuga da modalidade licitatória prevista no regulamento próprio por fragmentação de despesas</w:t>
      </w:r>
      <w:r w:rsidR="006D2F01" w:rsidRPr="00627882">
        <w:rPr>
          <w:rFonts w:ascii="Calibri" w:eastAsia="Arial" w:hAnsi="Calibri" w:cs="Calibri"/>
          <w:i/>
          <w:sz w:val="24"/>
          <w:szCs w:val="24"/>
        </w:rPr>
        <w:t>.</w:t>
      </w:r>
      <w:r w:rsidRPr="00627882">
        <w:rPr>
          <w:rFonts w:ascii="Calibri" w:eastAsia="Arial" w:hAnsi="Calibri" w:cs="Calibri"/>
          <w:i/>
          <w:sz w:val="24"/>
          <w:szCs w:val="24"/>
        </w:rPr>
        <w:t>” Acórdão 407/2008 – Primeira Câmara.</w:t>
      </w:r>
    </w:p>
    <w:p w14:paraId="021B19B6" w14:textId="77777777" w:rsidR="00344E98" w:rsidRPr="00627882" w:rsidRDefault="00344E98" w:rsidP="00B870C4">
      <w:pPr>
        <w:spacing w:before="120" w:after="120" w:line="360" w:lineRule="auto"/>
        <w:ind w:firstLine="708"/>
        <w:jc w:val="both"/>
        <w:rPr>
          <w:rFonts w:ascii="Calibri" w:eastAsia="Arial" w:hAnsi="Calibri" w:cs="Calibri"/>
          <w:sz w:val="24"/>
          <w:szCs w:val="24"/>
        </w:rPr>
      </w:pPr>
      <w:r w:rsidRPr="00627882">
        <w:rPr>
          <w:rFonts w:ascii="Calibri" w:eastAsia="Arial" w:hAnsi="Calibri" w:cs="Calibri"/>
          <w:sz w:val="24"/>
          <w:szCs w:val="24"/>
        </w:rPr>
        <w:t>Na contratação pretendida, é importante enfatizar que não houve fracionamento de despesa, uma vez que todos os cenários foram devidamente considerados e contemplados. O fracionamento ilegal de despesa ocorre quando se divide o valor global da contratação de objetos de mesma natureza, semelhança ou afinidade, a fim de contornar as modalidades licitatórias apropriadas. No entanto, no planejamento desta contratação, foram levadas em conta todas as possíveis situações que poderiam levar ao fracionamento, e medidas foram adotadas para garantir que a integridade do processo licitatório fosse preservada. Dessa forma, asseguramos que a contratação será conduzida de acordo com os princípios da legalidade, transparência e eficiência, sem recorrer a práticas que possam comprometer a lisura e a adequação do procedimento licitatório.</w:t>
      </w:r>
    </w:p>
    <w:p w14:paraId="36CBBA76" w14:textId="11DB71C3" w:rsidR="003A3276" w:rsidRPr="003A3276" w:rsidRDefault="005E56A1" w:rsidP="003A3276">
      <w:pPr>
        <w:pStyle w:val="Default"/>
        <w:numPr>
          <w:ilvl w:val="0"/>
          <w:numId w:val="2"/>
        </w:numPr>
        <w:spacing w:before="480" w:after="240" w:line="360" w:lineRule="auto"/>
        <w:ind w:left="284" w:hanging="284"/>
        <w:jc w:val="both"/>
        <w:rPr>
          <w:b/>
          <w:bCs/>
          <w:color w:val="auto"/>
        </w:rPr>
      </w:pPr>
      <w:r w:rsidRPr="001524C9">
        <w:rPr>
          <w:b/>
          <w:bCs/>
          <w:color w:val="auto"/>
        </w:rPr>
        <w:t>CONCLUSÃO</w:t>
      </w:r>
    </w:p>
    <w:p w14:paraId="40BD026E" w14:textId="77777777" w:rsidR="003A3276" w:rsidRDefault="003A3276" w:rsidP="003A3276">
      <w:pPr>
        <w:pStyle w:val="Corpodetexto"/>
        <w:spacing w:line="360" w:lineRule="auto"/>
        <w:ind w:left="140" w:right="137" w:firstLine="708"/>
        <w:jc w:val="both"/>
      </w:pPr>
      <w:r>
        <w:t>Em relação aos preços, verifica-se que eles estão compatíveis com a realidade do mercado em se tratando de produto similar, podendo a Secretaria Municipal de Saúde adquiri-lo</w:t>
      </w:r>
      <w:r w:rsidRPr="00E64183">
        <w:t xml:space="preserve"> </w:t>
      </w:r>
      <w:r>
        <w:t>sem qualquer afronta à lei de regência dos certames licitatórios.</w:t>
      </w:r>
    </w:p>
    <w:p w14:paraId="2E130D54" w14:textId="77777777" w:rsidR="003A3276" w:rsidRDefault="003A3276" w:rsidP="003A3276">
      <w:pPr>
        <w:pStyle w:val="Corpodetexto"/>
        <w:spacing w:before="119" w:line="360" w:lineRule="auto"/>
        <w:ind w:left="140" w:right="136" w:firstLine="708"/>
        <w:jc w:val="both"/>
      </w:pPr>
      <w:r>
        <w:t>Em relação à observância do não fracionamento, foi observado o planejamento adequado para a realização dessa contratação, não incorrendo no fracionamento da despesa durante o exercício fiscal corrente.</w:t>
      </w:r>
    </w:p>
    <w:p w14:paraId="2BF3216A" w14:textId="020EA07F" w:rsidR="003A3276" w:rsidRDefault="003A3276" w:rsidP="003A3276">
      <w:pPr>
        <w:pStyle w:val="Corpodetexto"/>
        <w:spacing w:before="121" w:line="360" w:lineRule="auto"/>
        <w:ind w:left="140" w:right="136" w:firstLine="708"/>
        <w:jc w:val="both"/>
      </w:pPr>
      <w:r>
        <w:t>Do acima exposto, relativamente ao fornecimento dos materiais em questão, é decisão discricionária da Secretária</w:t>
      </w:r>
      <w:r w:rsidRPr="00E64183">
        <w:t xml:space="preserve"> </w:t>
      </w:r>
      <w:r>
        <w:t>Municipal</w:t>
      </w:r>
      <w:r w:rsidRPr="00E64183">
        <w:t xml:space="preserve"> </w:t>
      </w:r>
      <w:r>
        <w:t>de</w:t>
      </w:r>
      <w:r w:rsidRPr="00E64183">
        <w:t xml:space="preserve"> </w:t>
      </w:r>
      <w:r>
        <w:t>Saúde</w:t>
      </w:r>
      <w:r w:rsidRPr="00E64183">
        <w:t xml:space="preserve"> </w:t>
      </w:r>
      <w:r>
        <w:t>optar</w:t>
      </w:r>
      <w:r w:rsidRPr="00E64183">
        <w:t xml:space="preserve"> </w:t>
      </w:r>
      <w:r>
        <w:t>pela presente contratação, ante a criteriosa análise de toda a documentação acostada aos autos que instruem o presente processo.</w:t>
      </w:r>
    </w:p>
    <w:p w14:paraId="15F12494" w14:textId="5EFE8875" w:rsidR="008A2048" w:rsidRPr="00EE5CB6" w:rsidRDefault="008A2048" w:rsidP="00FF61DF">
      <w:pPr>
        <w:autoSpaceDE w:val="0"/>
        <w:autoSpaceDN w:val="0"/>
        <w:adjustRightInd w:val="0"/>
        <w:spacing w:before="480" w:after="480" w:line="360" w:lineRule="auto"/>
        <w:ind w:firstLine="709"/>
        <w:jc w:val="right"/>
        <w:rPr>
          <w:rFonts w:ascii="Calibri" w:hAnsi="Calibri" w:cs="Calibri"/>
          <w:iCs/>
          <w:sz w:val="24"/>
          <w:szCs w:val="24"/>
        </w:rPr>
      </w:pPr>
      <w:r w:rsidRPr="00EE5CB6">
        <w:rPr>
          <w:rFonts w:ascii="Calibri" w:hAnsi="Calibri" w:cs="Calibri"/>
          <w:iCs/>
          <w:sz w:val="24"/>
          <w:szCs w:val="24"/>
        </w:rPr>
        <w:t xml:space="preserve">Florianópolis, </w:t>
      </w:r>
      <w:r w:rsidR="00F02A39" w:rsidRPr="00EE5CB6">
        <w:rPr>
          <w:rFonts w:ascii="Calibri" w:hAnsi="Calibri" w:cs="Calibri"/>
          <w:iCs/>
          <w:sz w:val="24"/>
          <w:szCs w:val="24"/>
        </w:rPr>
        <w:t>2</w:t>
      </w:r>
      <w:r w:rsidR="00EE5CB6" w:rsidRPr="00EE5CB6">
        <w:rPr>
          <w:rFonts w:ascii="Calibri" w:hAnsi="Calibri" w:cs="Calibri"/>
          <w:iCs/>
          <w:sz w:val="24"/>
          <w:szCs w:val="24"/>
        </w:rPr>
        <w:t>5</w:t>
      </w:r>
      <w:r w:rsidRPr="00EE5CB6">
        <w:rPr>
          <w:rFonts w:ascii="Calibri" w:hAnsi="Calibri" w:cs="Calibri"/>
          <w:iCs/>
          <w:sz w:val="24"/>
          <w:szCs w:val="24"/>
        </w:rPr>
        <w:t xml:space="preserve"> de</w:t>
      </w:r>
      <w:r w:rsidR="00FD3958" w:rsidRPr="00EE5CB6">
        <w:rPr>
          <w:rFonts w:ascii="Calibri" w:hAnsi="Calibri" w:cs="Calibri"/>
          <w:iCs/>
          <w:sz w:val="24"/>
          <w:szCs w:val="24"/>
        </w:rPr>
        <w:t xml:space="preserve"> </w:t>
      </w:r>
      <w:r w:rsidR="00EE5CB6" w:rsidRPr="00EE5CB6">
        <w:rPr>
          <w:rFonts w:ascii="Calibri" w:hAnsi="Calibri" w:cs="Calibri"/>
          <w:iCs/>
          <w:sz w:val="24"/>
          <w:szCs w:val="24"/>
        </w:rPr>
        <w:t>fevereiro</w:t>
      </w:r>
      <w:r w:rsidRPr="00EE5CB6">
        <w:rPr>
          <w:rFonts w:ascii="Calibri" w:hAnsi="Calibri" w:cs="Calibri"/>
          <w:iCs/>
          <w:sz w:val="24"/>
          <w:szCs w:val="24"/>
        </w:rPr>
        <w:t xml:space="preserve"> de 202</w:t>
      </w:r>
      <w:r w:rsidR="00627882" w:rsidRPr="00EE5CB6">
        <w:rPr>
          <w:rFonts w:ascii="Calibri" w:hAnsi="Calibri" w:cs="Calibri"/>
          <w:iCs/>
          <w:sz w:val="24"/>
          <w:szCs w:val="24"/>
        </w:rPr>
        <w:t>6</w:t>
      </w:r>
      <w:r w:rsidRPr="00EE5CB6">
        <w:rPr>
          <w:rFonts w:ascii="Calibri" w:hAnsi="Calibri" w:cs="Calibri"/>
          <w:iCs/>
          <w:sz w:val="24"/>
          <w:szCs w:val="24"/>
        </w:rPr>
        <w:t>.</w:t>
      </w:r>
    </w:p>
    <w:p w14:paraId="0DEA86B1" w14:textId="6381E74C" w:rsidR="00CA0F41" w:rsidRPr="00EE5CB6" w:rsidRDefault="00936865" w:rsidP="00BD2B1A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iCs/>
          <w:sz w:val="24"/>
          <w:szCs w:val="24"/>
        </w:rPr>
      </w:pPr>
      <w:r w:rsidRPr="00EE5CB6">
        <w:rPr>
          <w:rFonts w:ascii="Calibri" w:hAnsi="Calibri" w:cs="Calibri"/>
          <w:b/>
          <w:iCs/>
          <w:sz w:val="24"/>
          <w:szCs w:val="24"/>
        </w:rPr>
        <w:t>ALMIR ADIR GENTIL</w:t>
      </w:r>
    </w:p>
    <w:p w14:paraId="584D5F51" w14:textId="2D381673" w:rsidR="00CA0F41" w:rsidRPr="00627882" w:rsidRDefault="001851D1" w:rsidP="007258FC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  <w:r w:rsidRPr="00627882">
        <w:rPr>
          <w:rFonts w:ascii="Calibri" w:hAnsi="Calibri" w:cs="Calibri"/>
          <w:iCs/>
          <w:sz w:val="24"/>
          <w:szCs w:val="24"/>
        </w:rPr>
        <w:t>Secretário</w:t>
      </w:r>
      <w:r w:rsidR="0042254C" w:rsidRPr="00627882">
        <w:rPr>
          <w:rFonts w:ascii="Calibri" w:hAnsi="Calibri" w:cs="Calibri"/>
          <w:iCs/>
          <w:sz w:val="24"/>
          <w:szCs w:val="24"/>
        </w:rPr>
        <w:t xml:space="preserve"> Municipal </w:t>
      </w:r>
      <w:r w:rsidRPr="00627882">
        <w:rPr>
          <w:rFonts w:ascii="Calibri" w:hAnsi="Calibri" w:cs="Calibri"/>
          <w:iCs/>
          <w:sz w:val="24"/>
          <w:szCs w:val="24"/>
        </w:rPr>
        <w:t xml:space="preserve">de </w:t>
      </w:r>
      <w:r w:rsidR="00CA0F41" w:rsidRPr="00627882">
        <w:rPr>
          <w:rFonts w:ascii="Calibri" w:hAnsi="Calibri" w:cs="Calibri"/>
          <w:iCs/>
          <w:sz w:val="24"/>
          <w:szCs w:val="24"/>
        </w:rPr>
        <w:t>Saúde</w:t>
      </w:r>
    </w:p>
    <w:sectPr w:rsidR="00CA0F41" w:rsidRPr="00627882" w:rsidSect="002D217D">
      <w:headerReference w:type="default" r:id="rId8"/>
      <w:footerReference w:type="default" r:id="rId9"/>
      <w:pgSz w:w="11906" w:h="16838"/>
      <w:pgMar w:top="1701" w:right="851" w:bottom="851" w:left="85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3FF7DD" w14:textId="77777777" w:rsidR="00554721" w:rsidRDefault="00554721" w:rsidP="00EE66B3">
      <w:pPr>
        <w:spacing w:after="0" w:line="240" w:lineRule="auto"/>
      </w:pPr>
      <w:r>
        <w:separator/>
      </w:r>
    </w:p>
  </w:endnote>
  <w:endnote w:type="continuationSeparator" w:id="0">
    <w:p w14:paraId="3C592B3B" w14:textId="77777777" w:rsidR="00554721" w:rsidRDefault="00554721" w:rsidP="00EE6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EF474" w14:textId="76EE577C" w:rsidR="008B5E2A" w:rsidRPr="008B5E2A" w:rsidRDefault="00366B67" w:rsidP="008B5E2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i/>
        <w:color w:val="000000"/>
        <w:sz w:val="16"/>
        <w:szCs w:val="16"/>
      </w:rPr>
      <w:t>Red. ASSCOM/OMGFP</w:t>
    </w:r>
    <w:r w:rsidR="008B5E2A" w:rsidRPr="008B5E2A">
      <w:rPr>
        <w:rFonts w:ascii="Arial" w:hAnsi="Arial" w:cs="Arial"/>
        <w:i/>
        <w:color w:val="000000"/>
        <w:sz w:val="16"/>
        <w:szCs w:val="16"/>
      </w:rPr>
      <w:tab/>
    </w:r>
    <w:r w:rsidR="008B5E2A" w:rsidRPr="008B5E2A">
      <w:rPr>
        <w:rFonts w:ascii="Arial" w:hAnsi="Arial" w:cs="Arial"/>
        <w:i/>
        <w:color w:val="000000"/>
        <w:sz w:val="16"/>
        <w:szCs w:val="16"/>
      </w:rPr>
      <w:tab/>
      <w:t xml:space="preserve">Página </w:t>
    </w:r>
    <w:r w:rsidR="008B5E2A" w:rsidRPr="008B5E2A">
      <w:rPr>
        <w:rFonts w:ascii="Arial" w:hAnsi="Arial" w:cs="Arial"/>
        <w:i/>
        <w:color w:val="000000"/>
        <w:sz w:val="16"/>
        <w:szCs w:val="16"/>
      </w:rPr>
      <w:fldChar w:fldCharType="begin"/>
    </w:r>
    <w:r w:rsidR="008B5E2A" w:rsidRPr="008B5E2A">
      <w:rPr>
        <w:rFonts w:ascii="Arial" w:hAnsi="Arial" w:cs="Arial"/>
        <w:i/>
        <w:color w:val="000000"/>
        <w:sz w:val="16"/>
        <w:szCs w:val="16"/>
      </w:rPr>
      <w:instrText>PAGE</w:instrText>
    </w:r>
    <w:r w:rsidR="008B5E2A" w:rsidRPr="008B5E2A">
      <w:rPr>
        <w:rFonts w:ascii="Arial" w:hAnsi="Arial" w:cs="Arial"/>
        <w:i/>
        <w:color w:val="000000"/>
        <w:sz w:val="16"/>
        <w:szCs w:val="16"/>
      </w:rPr>
      <w:fldChar w:fldCharType="separate"/>
    </w:r>
    <w:r w:rsidR="00DB3E71">
      <w:rPr>
        <w:rFonts w:ascii="Arial" w:hAnsi="Arial" w:cs="Arial"/>
        <w:i/>
        <w:noProof/>
        <w:color w:val="000000"/>
        <w:sz w:val="16"/>
        <w:szCs w:val="16"/>
      </w:rPr>
      <w:t>4</w:t>
    </w:r>
    <w:r w:rsidR="008B5E2A" w:rsidRPr="008B5E2A">
      <w:rPr>
        <w:rFonts w:ascii="Arial" w:hAnsi="Arial" w:cs="Arial"/>
        <w:i/>
        <w:color w:val="000000"/>
        <w:sz w:val="16"/>
        <w:szCs w:val="16"/>
      </w:rPr>
      <w:fldChar w:fldCharType="end"/>
    </w:r>
    <w:r w:rsidR="008B5E2A" w:rsidRPr="008B5E2A">
      <w:rPr>
        <w:rFonts w:ascii="Arial" w:hAnsi="Arial" w:cs="Arial"/>
        <w:i/>
        <w:color w:val="000000"/>
        <w:sz w:val="16"/>
        <w:szCs w:val="16"/>
      </w:rPr>
      <w:t xml:space="preserve"> de </w:t>
    </w:r>
    <w:r w:rsidR="008B5E2A" w:rsidRPr="008B5E2A">
      <w:rPr>
        <w:rFonts w:ascii="Arial" w:hAnsi="Arial" w:cs="Arial"/>
        <w:i/>
        <w:color w:val="000000"/>
        <w:sz w:val="16"/>
        <w:szCs w:val="16"/>
      </w:rPr>
      <w:fldChar w:fldCharType="begin"/>
    </w:r>
    <w:r w:rsidR="008B5E2A" w:rsidRPr="008B5E2A">
      <w:rPr>
        <w:rFonts w:ascii="Arial" w:hAnsi="Arial" w:cs="Arial"/>
        <w:i/>
        <w:color w:val="000000"/>
        <w:sz w:val="16"/>
        <w:szCs w:val="16"/>
      </w:rPr>
      <w:instrText>NUMPAGES</w:instrText>
    </w:r>
    <w:r w:rsidR="008B5E2A" w:rsidRPr="008B5E2A">
      <w:rPr>
        <w:rFonts w:ascii="Arial" w:hAnsi="Arial" w:cs="Arial"/>
        <w:i/>
        <w:color w:val="000000"/>
        <w:sz w:val="16"/>
        <w:szCs w:val="16"/>
      </w:rPr>
      <w:fldChar w:fldCharType="separate"/>
    </w:r>
    <w:r w:rsidR="00DB3E71">
      <w:rPr>
        <w:rFonts w:ascii="Arial" w:hAnsi="Arial" w:cs="Arial"/>
        <w:i/>
        <w:noProof/>
        <w:color w:val="000000"/>
        <w:sz w:val="16"/>
        <w:szCs w:val="16"/>
      </w:rPr>
      <w:t>4</w:t>
    </w:r>
    <w:r w:rsidR="008B5E2A" w:rsidRPr="008B5E2A">
      <w:rPr>
        <w:rFonts w:ascii="Arial" w:hAnsi="Arial" w:cs="Arial"/>
        <w:i/>
        <w:color w:val="000000"/>
        <w:sz w:val="16"/>
        <w:szCs w:val="16"/>
      </w:rPr>
      <w:fldChar w:fldCharType="end"/>
    </w:r>
  </w:p>
  <w:p w14:paraId="3AE4B413" w14:textId="77777777" w:rsidR="008B5E2A" w:rsidRDefault="008B5E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6305C" w14:textId="77777777" w:rsidR="00554721" w:rsidRDefault="00554721" w:rsidP="00EE66B3">
      <w:pPr>
        <w:spacing w:after="0" w:line="240" w:lineRule="auto"/>
      </w:pPr>
      <w:r>
        <w:separator/>
      </w:r>
    </w:p>
  </w:footnote>
  <w:footnote w:type="continuationSeparator" w:id="0">
    <w:p w14:paraId="2C34353C" w14:textId="77777777" w:rsidR="00554721" w:rsidRDefault="00554721" w:rsidP="00EE6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43AE3" w14:textId="77777777" w:rsidR="00EE66B3" w:rsidRDefault="00EE66B3">
    <w:pPr>
      <w:pStyle w:val="Cabealho"/>
    </w:pPr>
    <w:r>
      <w:rPr>
        <w:rFonts w:ascii="Arial" w:eastAsia="Arial" w:hAnsi="Arial" w:cs="Arial"/>
        <w:b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ED31CC2" wp14:editId="052F9FB3">
          <wp:simplePos x="0" y="0"/>
          <wp:positionH relativeFrom="column">
            <wp:posOffset>-103063</wp:posOffset>
          </wp:positionH>
          <wp:positionV relativeFrom="paragraph">
            <wp:posOffset>-251432</wp:posOffset>
          </wp:positionV>
          <wp:extent cx="2226365" cy="707666"/>
          <wp:effectExtent l="0" t="0" r="254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9167" cy="724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2D390F"/>
    <w:multiLevelType w:val="hybridMultilevel"/>
    <w:tmpl w:val="792C2CEE"/>
    <w:lvl w:ilvl="0" w:tplc="19764D14">
      <w:start w:val="1"/>
      <w:numFmt w:val="upperRoman"/>
      <w:lvlText w:val="%1"/>
      <w:lvlJc w:val="left"/>
      <w:pPr>
        <w:ind w:left="2408" w:hanging="1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9F6F6BC">
      <w:numFmt w:val="bullet"/>
      <w:lvlText w:val="•"/>
      <w:lvlJc w:val="left"/>
      <w:pPr>
        <w:ind w:left="3038" w:hanging="149"/>
      </w:pPr>
      <w:rPr>
        <w:lang w:val="pt-PT" w:eastAsia="en-US" w:bidi="ar-SA"/>
      </w:rPr>
    </w:lvl>
    <w:lvl w:ilvl="2" w:tplc="48B495CA">
      <w:numFmt w:val="bullet"/>
      <w:lvlText w:val="•"/>
      <w:lvlJc w:val="left"/>
      <w:pPr>
        <w:ind w:left="3677" w:hanging="149"/>
      </w:pPr>
      <w:rPr>
        <w:lang w:val="pt-PT" w:eastAsia="en-US" w:bidi="ar-SA"/>
      </w:rPr>
    </w:lvl>
    <w:lvl w:ilvl="3" w:tplc="EAD6BDF4">
      <w:numFmt w:val="bullet"/>
      <w:lvlText w:val="•"/>
      <w:lvlJc w:val="left"/>
      <w:pPr>
        <w:ind w:left="4316" w:hanging="149"/>
      </w:pPr>
      <w:rPr>
        <w:lang w:val="pt-PT" w:eastAsia="en-US" w:bidi="ar-SA"/>
      </w:rPr>
    </w:lvl>
    <w:lvl w:ilvl="4" w:tplc="D8C0C138">
      <w:numFmt w:val="bullet"/>
      <w:lvlText w:val="•"/>
      <w:lvlJc w:val="left"/>
      <w:pPr>
        <w:ind w:left="4955" w:hanging="149"/>
      </w:pPr>
      <w:rPr>
        <w:lang w:val="pt-PT" w:eastAsia="en-US" w:bidi="ar-SA"/>
      </w:rPr>
    </w:lvl>
    <w:lvl w:ilvl="5" w:tplc="F27638C6">
      <w:numFmt w:val="bullet"/>
      <w:lvlText w:val="•"/>
      <w:lvlJc w:val="left"/>
      <w:pPr>
        <w:ind w:left="5594" w:hanging="149"/>
      </w:pPr>
      <w:rPr>
        <w:lang w:val="pt-PT" w:eastAsia="en-US" w:bidi="ar-SA"/>
      </w:rPr>
    </w:lvl>
    <w:lvl w:ilvl="6" w:tplc="654EC642">
      <w:numFmt w:val="bullet"/>
      <w:lvlText w:val="•"/>
      <w:lvlJc w:val="left"/>
      <w:pPr>
        <w:ind w:left="6233" w:hanging="149"/>
      </w:pPr>
      <w:rPr>
        <w:lang w:val="pt-PT" w:eastAsia="en-US" w:bidi="ar-SA"/>
      </w:rPr>
    </w:lvl>
    <w:lvl w:ilvl="7" w:tplc="699E6100">
      <w:numFmt w:val="bullet"/>
      <w:lvlText w:val="•"/>
      <w:lvlJc w:val="left"/>
      <w:pPr>
        <w:ind w:left="6871" w:hanging="149"/>
      </w:pPr>
      <w:rPr>
        <w:lang w:val="pt-PT" w:eastAsia="en-US" w:bidi="ar-SA"/>
      </w:rPr>
    </w:lvl>
    <w:lvl w:ilvl="8" w:tplc="D86427CE">
      <w:numFmt w:val="bullet"/>
      <w:lvlText w:val="•"/>
      <w:lvlJc w:val="left"/>
      <w:pPr>
        <w:ind w:left="7510" w:hanging="149"/>
      </w:pPr>
      <w:rPr>
        <w:lang w:val="pt-PT" w:eastAsia="en-US" w:bidi="ar-SA"/>
      </w:rPr>
    </w:lvl>
  </w:abstractNum>
  <w:abstractNum w:abstractNumId="1">
    <w:nsid w:val="3F6B3C14"/>
    <w:multiLevelType w:val="hybridMultilevel"/>
    <w:tmpl w:val="5CDE2F56"/>
    <w:lvl w:ilvl="0" w:tplc="E2CA015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245B7"/>
    <w:multiLevelType w:val="hybridMultilevel"/>
    <w:tmpl w:val="659A3188"/>
    <w:lvl w:ilvl="0" w:tplc="0416000F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55D19"/>
    <w:multiLevelType w:val="multilevel"/>
    <w:tmpl w:val="9426E7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933767"/>
    <w:multiLevelType w:val="multilevel"/>
    <w:tmpl w:val="2F785F5A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5">
    <w:nsid w:val="766C6A87"/>
    <w:multiLevelType w:val="hybridMultilevel"/>
    <w:tmpl w:val="15E42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16D"/>
    <w:rsid w:val="000245AA"/>
    <w:rsid w:val="00031B47"/>
    <w:rsid w:val="000411D7"/>
    <w:rsid w:val="0004338F"/>
    <w:rsid w:val="000663FA"/>
    <w:rsid w:val="00067461"/>
    <w:rsid w:val="00071B2E"/>
    <w:rsid w:val="00083F4D"/>
    <w:rsid w:val="0008490B"/>
    <w:rsid w:val="00085E64"/>
    <w:rsid w:val="000D5FFE"/>
    <w:rsid w:val="000E5C0A"/>
    <w:rsid w:val="000F4204"/>
    <w:rsid w:val="001136CB"/>
    <w:rsid w:val="00113AB7"/>
    <w:rsid w:val="0012661F"/>
    <w:rsid w:val="0013043D"/>
    <w:rsid w:val="00132C4F"/>
    <w:rsid w:val="00133E0B"/>
    <w:rsid w:val="0013483A"/>
    <w:rsid w:val="00141DA2"/>
    <w:rsid w:val="00142641"/>
    <w:rsid w:val="00144431"/>
    <w:rsid w:val="001524C9"/>
    <w:rsid w:val="001563A3"/>
    <w:rsid w:val="001851D1"/>
    <w:rsid w:val="001B235C"/>
    <w:rsid w:val="001B5D03"/>
    <w:rsid w:val="001B73A1"/>
    <w:rsid w:val="001B73EC"/>
    <w:rsid w:val="001C727B"/>
    <w:rsid w:val="001D0EAB"/>
    <w:rsid w:val="001D1644"/>
    <w:rsid w:val="001F0E06"/>
    <w:rsid w:val="001F6C03"/>
    <w:rsid w:val="00206D3D"/>
    <w:rsid w:val="002207BC"/>
    <w:rsid w:val="00224430"/>
    <w:rsid w:val="00226C0E"/>
    <w:rsid w:val="0025637D"/>
    <w:rsid w:val="00262ADA"/>
    <w:rsid w:val="0026573F"/>
    <w:rsid w:val="00273B14"/>
    <w:rsid w:val="00291476"/>
    <w:rsid w:val="002A715E"/>
    <w:rsid w:val="002B44C9"/>
    <w:rsid w:val="002D217D"/>
    <w:rsid w:val="002D47EB"/>
    <w:rsid w:val="002E7C1C"/>
    <w:rsid w:val="002F713A"/>
    <w:rsid w:val="00300084"/>
    <w:rsid w:val="00307554"/>
    <w:rsid w:val="00314F70"/>
    <w:rsid w:val="00330EAB"/>
    <w:rsid w:val="00344E98"/>
    <w:rsid w:val="00366B67"/>
    <w:rsid w:val="00377F83"/>
    <w:rsid w:val="00381629"/>
    <w:rsid w:val="00391738"/>
    <w:rsid w:val="00391870"/>
    <w:rsid w:val="0039197E"/>
    <w:rsid w:val="003A3276"/>
    <w:rsid w:val="003A7432"/>
    <w:rsid w:val="003C16F4"/>
    <w:rsid w:val="003D3189"/>
    <w:rsid w:val="00411060"/>
    <w:rsid w:val="00415B95"/>
    <w:rsid w:val="00417CC5"/>
    <w:rsid w:val="0042254C"/>
    <w:rsid w:val="00424538"/>
    <w:rsid w:val="00431D4B"/>
    <w:rsid w:val="00434834"/>
    <w:rsid w:val="00441703"/>
    <w:rsid w:val="00441B0B"/>
    <w:rsid w:val="0044312B"/>
    <w:rsid w:val="00446D15"/>
    <w:rsid w:val="00455CDD"/>
    <w:rsid w:val="00477AF7"/>
    <w:rsid w:val="004825D8"/>
    <w:rsid w:val="00491640"/>
    <w:rsid w:val="004A53D4"/>
    <w:rsid w:val="004B1712"/>
    <w:rsid w:val="004C183E"/>
    <w:rsid w:val="004C2076"/>
    <w:rsid w:val="004E046E"/>
    <w:rsid w:val="004E2558"/>
    <w:rsid w:val="00536A63"/>
    <w:rsid w:val="0054187B"/>
    <w:rsid w:val="00542889"/>
    <w:rsid w:val="00545ACC"/>
    <w:rsid w:val="0054728B"/>
    <w:rsid w:val="0055116D"/>
    <w:rsid w:val="00554721"/>
    <w:rsid w:val="005571AC"/>
    <w:rsid w:val="00582633"/>
    <w:rsid w:val="00590FE1"/>
    <w:rsid w:val="005A2AA0"/>
    <w:rsid w:val="005B1F3A"/>
    <w:rsid w:val="005D18CF"/>
    <w:rsid w:val="005D1B3F"/>
    <w:rsid w:val="005D677F"/>
    <w:rsid w:val="005E56A1"/>
    <w:rsid w:val="006027DD"/>
    <w:rsid w:val="00626FB7"/>
    <w:rsid w:val="00627882"/>
    <w:rsid w:val="006379F3"/>
    <w:rsid w:val="00643FB2"/>
    <w:rsid w:val="006471C7"/>
    <w:rsid w:val="00667C90"/>
    <w:rsid w:val="00672E40"/>
    <w:rsid w:val="0067399A"/>
    <w:rsid w:val="00676418"/>
    <w:rsid w:val="0068223E"/>
    <w:rsid w:val="006A3ABF"/>
    <w:rsid w:val="006A488D"/>
    <w:rsid w:val="006B2FF8"/>
    <w:rsid w:val="006D2412"/>
    <w:rsid w:val="006D2F01"/>
    <w:rsid w:val="006E27D1"/>
    <w:rsid w:val="0070027E"/>
    <w:rsid w:val="0071002D"/>
    <w:rsid w:val="00717B8D"/>
    <w:rsid w:val="007258FC"/>
    <w:rsid w:val="00735E9B"/>
    <w:rsid w:val="00746716"/>
    <w:rsid w:val="007524A1"/>
    <w:rsid w:val="00753711"/>
    <w:rsid w:val="00757FBF"/>
    <w:rsid w:val="00767042"/>
    <w:rsid w:val="00767A0D"/>
    <w:rsid w:val="00780F10"/>
    <w:rsid w:val="0079616A"/>
    <w:rsid w:val="007B1203"/>
    <w:rsid w:val="007C4138"/>
    <w:rsid w:val="007C6C50"/>
    <w:rsid w:val="007F0DDF"/>
    <w:rsid w:val="00802A86"/>
    <w:rsid w:val="0082146D"/>
    <w:rsid w:val="0085680F"/>
    <w:rsid w:val="008809F7"/>
    <w:rsid w:val="00891873"/>
    <w:rsid w:val="008A2048"/>
    <w:rsid w:val="008B1B09"/>
    <w:rsid w:val="008B2F8C"/>
    <w:rsid w:val="008B5E2A"/>
    <w:rsid w:val="008C4656"/>
    <w:rsid w:val="008E15C6"/>
    <w:rsid w:val="00900455"/>
    <w:rsid w:val="00902851"/>
    <w:rsid w:val="00907924"/>
    <w:rsid w:val="00920011"/>
    <w:rsid w:val="00932351"/>
    <w:rsid w:val="0093393D"/>
    <w:rsid w:val="009348AA"/>
    <w:rsid w:val="00936406"/>
    <w:rsid w:val="00936865"/>
    <w:rsid w:val="009370B8"/>
    <w:rsid w:val="00963BCC"/>
    <w:rsid w:val="00977163"/>
    <w:rsid w:val="00984C66"/>
    <w:rsid w:val="00987EDF"/>
    <w:rsid w:val="009A0D9F"/>
    <w:rsid w:val="009D666D"/>
    <w:rsid w:val="009E0468"/>
    <w:rsid w:val="009E4EAC"/>
    <w:rsid w:val="009E6004"/>
    <w:rsid w:val="009F34A0"/>
    <w:rsid w:val="00A025CE"/>
    <w:rsid w:val="00A22739"/>
    <w:rsid w:val="00A344F5"/>
    <w:rsid w:val="00A52E14"/>
    <w:rsid w:val="00A63269"/>
    <w:rsid w:val="00A63774"/>
    <w:rsid w:val="00A90274"/>
    <w:rsid w:val="00AC23E1"/>
    <w:rsid w:val="00AF784C"/>
    <w:rsid w:val="00B07CB6"/>
    <w:rsid w:val="00B305BE"/>
    <w:rsid w:val="00B30C4F"/>
    <w:rsid w:val="00B35D87"/>
    <w:rsid w:val="00B3701E"/>
    <w:rsid w:val="00B4092A"/>
    <w:rsid w:val="00B41929"/>
    <w:rsid w:val="00B63DFF"/>
    <w:rsid w:val="00B67408"/>
    <w:rsid w:val="00B7472E"/>
    <w:rsid w:val="00B870C4"/>
    <w:rsid w:val="00BA58AC"/>
    <w:rsid w:val="00BD2B1A"/>
    <w:rsid w:val="00BE0F28"/>
    <w:rsid w:val="00BE6448"/>
    <w:rsid w:val="00BF1991"/>
    <w:rsid w:val="00C16A5A"/>
    <w:rsid w:val="00C21877"/>
    <w:rsid w:val="00C32406"/>
    <w:rsid w:val="00C52742"/>
    <w:rsid w:val="00C73C1C"/>
    <w:rsid w:val="00C76297"/>
    <w:rsid w:val="00CA0F41"/>
    <w:rsid w:val="00CA46E2"/>
    <w:rsid w:val="00CA5AF3"/>
    <w:rsid w:val="00CB4B72"/>
    <w:rsid w:val="00CC3482"/>
    <w:rsid w:val="00CC5E6F"/>
    <w:rsid w:val="00CD1F09"/>
    <w:rsid w:val="00CD5B8A"/>
    <w:rsid w:val="00CE3441"/>
    <w:rsid w:val="00CF196E"/>
    <w:rsid w:val="00CF36B2"/>
    <w:rsid w:val="00CF74ED"/>
    <w:rsid w:val="00D10E16"/>
    <w:rsid w:val="00D123C9"/>
    <w:rsid w:val="00D15033"/>
    <w:rsid w:val="00D268AA"/>
    <w:rsid w:val="00D27BC2"/>
    <w:rsid w:val="00D27F14"/>
    <w:rsid w:val="00D4219F"/>
    <w:rsid w:val="00D44E33"/>
    <w:rsid w:val="00D56F6E"/>
    <w:rsid w:val="00D6256D"/>
    <w:rsid w:val="00D80C81"/>
    <w:rsid w:val="00D8210E"/>
    <w:rsid w:val="00D8322D"/>
    <w:rsid w:val="00D84CE7"/>
    <w:rsid w:val="00D9317F"/>
    <w:rsid w:val="00D94D1E"/>
    <w:rsid w:val="00D95DC4"/>
    <w:rsid w:val="00DA2163"/>
    <w:rsid w:val="00DA33DC"/>
    <w:rsid w:val="00DA65BC"/>
    <w:rsid w:val="00DA727B"/>
    <w:rsid w:val="00DB14D2"/>
    <w:rsid w:val="00DB3E71"/>
    <w:rsid w:val="00DC589D"/>
    <w:rsid w:val="00DD18E9"/>
    <w:rsid w:val="00DD5B1B"/>
    <w:rsid w:val="00DF5E24"/>
    <w:rsid w:val="00E4520D"/>
    <w:rsid w:val="00E569D8"/>
    <w:rsid w:val="00E61A04"/>
    <w:rsid w:val="00E620A3"/>
    <w:rsid w:val="00E81390"/>
    <w:rsid w:val="00E818F2"/>
    <w:rsid w:val="00E858F5"/>
    <w:rsid w:val="00EA004A"/>
    <w:rsid w:val="00EA589D"/>
    <w:rsid w:val="00ED76BA"/>
    <w:rsid w:val="00EE4A41"/>
    <w:rsid w:val="00EE5CB6"/>
    <w:rsid w:val="00EE66B3"/>
    <w:rsid w:val="00EF538C"/>
    <w:rsid w:val="00EF7A27"/>
    <w:rsid w:val="00F02A39"/>
    <w:rsid w:val="00F368E9"/>
    <w:rsid w:val="00F43EFE"/>
    <w:rsid w:val="00F6104B"/>
    <w:rsid w:val="00F64BAB"/>
    <w:rsid w:val="00F67005"/>
    <w:rsid w:val="00F715EF"/>
    <w:rsid w:val="00F83067"/>
    <w:rsid w:val="00F832B4"/>
    <w:rsid w:val="00FC33F1"/>
    <w:rsid w:val="00FC38B1"/>
    <w:rsid w:val="00FD01CC"/>
    <w:rsid w:val="00FD3958"/>
    <w:rsid w:val="00FD5295"/>
    <w:rsid w:val="00FF61DF"/>
    <w:rsid w:val="00FF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E1E0511"/>
  <w15:chartTrackingRefBased/>
  <w15:docId w15:val="{D00471AF-6CE2-4AB5-B0E4-D3A7BAEF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E56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511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602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E66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66B3"/>
  </w:style>
  <w:style w:type="paragraph" w:styleId="Rodap">
    <w:name w:val="footer"/>
    <w:basedOn w:val="Normal"/>
    <w:link w:val="RodapChar"/>
    <w:uiPriority w:val="99"/>
    <w:unhideWhenUsed/>
    <w:rsid w:val="00EE66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66B3"/>
  </w:style>
  <w:style w:type="character" w:customStyle="1" w:styleId="Ttulo1Char">
    <w:name w:val="Título 1 Char"/>
    <w:basedOn w:val="Fontepargpadro"/>
    <w:link w:val="Ttulo1"/>
    <w:uiPriority w:val="9"/>
    <w:rsid w:val="005E56A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2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2048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8A204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204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204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204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2048"/>
    <w:rPr>
      <w:b/>
      <w:bCs/>
      <w:sz w:val="20"/>
      <w:szCs w:val="20"/>
    </w:rPr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1"/>
    <w:qFormat/>
    <w:rsid w:val="00A63774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626FB7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366B67"/>
    <w:pPr>
      <w:widowControl w:val="0"/>
      <w:autoSpaceDE w:val="0"/>
      <w:autoSpaceDN w:val="0"/>
      <w:spacing w:after="0" w:line="240" w:lineRule="auto"/>
      <w:ind w:left="113"/>
    </w:pPr>
    <w:rPr>
      <w:rFonts w:ascii="Calibri" w:eastAsia="Calibri" w:hAnsi="Calibri" w:cs="Calibri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66B67"/>
    <w:rPr>
      <w:rFonts w:ascii="Calibri" w:eastAsia="Calibri" w:hAnsi="Calibri" w:cs="Calibri"/>
      <w:sz w:val="24"/>
      <w:szCs w:val="24"/>
    </w:rPr>
  </w:style>
  <w:style w:type="character" w:styleId="Forte">
    <w:name w:val="Strong"/>
    <w:basedOn w:val="Fontepargpadro"/>
    <w:uiPriority w:val="22"/>
    <w:qFormat/>
    <w:rsid w:val="00366B67"/>
    <w:rPr>
      <w:b/>
      <w:bCs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link w:val="PargrafodaLista"/>
    <w:uiPriority w:val="1"/>
    <w:locked/>
    <w:rsid w:val="004B1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0F612-EBE7-4E56-839F-04F08D0CB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1277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Pacifico</dc:creator>
  <cp:keywords/>
  <dc:description/>
  <cp:lastModifiedBy>OLIVIA MARIA GUEDIN FAGUNDES PAULA</cp:lastModifiedBy>
  <cp:revision>9</cp:revision>
  <cp:lastPrinted>2026-01-21T19:18:00Z</cp:lastPrinted>
  <dcterms:created xsi:type="dcterms:W3CDTF">2026-02-25T14:43:00Z</dcterms:created>
  <dcterms:modified xsi:type="dcterms:W3CDTF">2026-03-06T16:02:00Z</dcterms:modified>
</cp:coreProperties>
</file>