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23.odttf" ContentType="application/vnd.openxmlformats-officedocument.obfuscatedFont"/>
  <Override PartName="/word/fonts/font18.odttf" ContentType="application/vnd.openxmlformats-officedocument.obfuscatedFont"/>
  <Override PartName="/word/fonts/font22.odttf" ContentType="application/vnd.openxmlformats-officedocument.obfuscatedFont"/>
  <Override PartName="/word/fonts/font19.odttf" ContentType="application/vnd.openxmlformats-officedocument.obfuscatedFont"/>
  <Override PartName="/word/fonts/font20.odttf" ContentType="application/vnd.openxmlformats-officedocument.obfuscatedFont"/>
  <Override PartName="/word/fonts/font21.odttf" ContentType="application/vnd.openxmlformats-officedocument.obfuscatedFont"/>
  <Override PartName="/word/fonts/font24.odttf" ContentType="application/vnd.openxmlformats-officedocument.obfuscatedFont"/>
  <Override PartName="/word/fonts/font25.odttf" ContentType="application/vnd.openxmlformats-officedocument.obfuscatedFont"/>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ind w:hanging="0"/>
        <w:jc w:val="center"/>
        <w:rPr>
          <w:b/>
          <w:bCs/>
          <w:sz w:val="28"/>
          <w:szCs w:val="28"/>
        </w:rPr>
      </w:pPr>
      <w:r>
        <w:rPr>
          <w:b/>
          <w:bCs/>
          <w:sz w:val="28"/>
          <w:szCs w:val="28"/>
        </w:rPr>
        <w:t>EDITAL DE PREGÃO ELETRÔNICO Nº 186/2026</w:t>
      </w:r>
    </w:p>
    <w:p>
      <w:pPr>
        <w:pStyle w:val="normal1"/>
        <w:ind w:hanging="0"/>
        <w:jc w:val="both"/>
        <w:rPr>
          <w:b/>
          <w:bCs/>
          <w:sz w:val="44"/>
          <w:szCs w:val="44"/>
        </w:rPr>
      </w:pPr>
      <w:r>
        <w:rPr>
          <w:b/>
          <w:bCs/>
          <w:sz w:val="44"/>
          <w:szCs w:val="44"/>
        </w:rPr>
      </w:r>
    </w:p>
    <w:tbl>
      <w:tblPr>
        <w:tblStyle w:val="Table1"/>
        <w:tblW w:w="9060" w:type="dxa"/>
        <w:jc w:val="start"/>
        <w:tblInd w:w="0" w:type="dxa"/>
        <w:tblLayout w:type="fixed"/>
        <w:tblCellMar>
          <w:top w:w="100" w:type="dxa"/>
          <w:start w:w="100" w:type="dxa"/>
          <w:bottom w:w="100" w:type="dxa"/>
          <w:end w:w="100" w:type="dxa"/>
        </w:tblCellMar>
        <w:tblLook w:val="0600"/>
      </w:tblPr>
      <w:tblGrid>
        <w:gridCol w:w="2265"/>
        <w:gridCol w:w="2428"/>
        <w:gridCol w:w="2102"/>
        <w:gridCol w:w="2265"/>
      </w:tblGrid>
      <w:tr>
        <w:trPr>
          <w:trHeight w:val="465" w:hRule="atLeast"/>
        </w:trPr>
        <w:tc>
          <w:tcPr>
            <w:tcW w:w="9060" w:type="dxa"/>
            <w:gridSpan w:val="4"/>
            <w:tcBorders>
              <w:top w:val="single" w:sz="8" w:space="0" w:color="000000"/>
              <w:start w:val="single" w:sz="8" w:space="0" w:color="000000"/>
              <w:bottom w:val="single" w:sz="8" w:space="0" w:color="000000"/>
              <w:end w:val="single" w:sz="8" w:space="0" w:color="000000"/>
            </w:tcBorders>
            <w:shd w:fill="auto" w:val="clear"/>
          </w:tcPr>
          <w:p>
            <w:pPr>
              <w:pStyle w:val="normal1"/>
              <w:keepNext w:val="false"/>
              <w:keepLines w:val="false"/>
              <w:widowControl w:val="false"/>
              <w:shd w:val="clear" w:fill="auto"/>
              <w:spacing w:lineRule="auto" w:line="240" w:before="0" w:after="0"/>
              <w:ind w:hanging="0" w:start="0" w:end="0"/>
              <w:jc w:val="center"/>
              <w:rPr>
                <w:b/>
                <w:bCs/>
                <w:sz w:val="22"/>
                <w:szCs w:val="22"/>
              </w:rPr>
            </w:pPr>
            <w:sdt>
              <w:sdtPr>
                <w:tag w:val="goog_rdk_0"/>
                <w:id w:val="1486284956"/>
                <w:lock w:val="contentLocked"/>
                <w:text/>
              </w:sdtPr>
              <w:sdtContent>
                <w:r>
                  <w:rPr>
                    <w:b/>
                    <w:bCs/>
                    <w:sz w:val="22"/>
                    <w:szCs w:val="22"/>
                  </w:rPr>
                </w:r>
                <w:r>
                  <w:rPr>
                    <w:b/>
                    <w:bCs/>
                    <w:sz w:val="22"/>
                    <w:szCs w:val="22"/>
                  </w:rPr>
                  <w:t>RESUMO DO EDITAL</w:t>
                </w:r>
              </w:sdtContent>
            </w:sdt>
          </w:p>
        </w:tc>
      </w:tr>
      <w:tr>
        <w:trPr>
          <w:trHeight w:val="640" w:hRule="atLeast"/>
        </w:trPr>
        <w:tc>
          <w:tcPr>
            <w:tcW w:w="9060" w:type="dxa"/>
            <w:gridSpan w:val="4"/>
            <w:vMerge w:val="restart"/>
            <w:tcBorders>
              <w:top w:val="single" w:sz="8" w:space="0" w:color="000000"/>
              <w:start w:val="single" w:sz="8" w:space="0" w:color="000000"/>
              <w:bottom w:val="single" w:sz="8" w:space="0" w:color="000000"/>
              <w:end w:val="single" w:sz="8" w:space="0" w:color="000000"/>
            </w:tcBorders>
            <w:shd w:fill="auto" w:val="clear"/>
          </w:tcPr>
          <w:p>
            <w:pPr>
              <w:pStyle w:val="normal1"/>
              <w:keepNext w:val="false"/>
              <w:keepLines w:val="false"/>
              <w:widowControl w:val="false"/>
              <w:shd w:val="clear" w:fill="auto"/>
              <w:spacing w:lineRule="auto" w:line="240" w:before="0" w:after="0"/>
              <w:ind w:hanging="0" w:start="0" w:end="0"/>
              <w:jc w:val="both"/>
              <w:rPr>
                <w:sz w:val="22"/>
                <w:szCs w:val="22"/>
              </w:rPr>
            </w:pPr>
            <w:r>
              <w:rPr>
                <w:b/>
                <w:bCs/>
                <w:sz w:val="22"/>
                <w:szCs w:val="22"/>
              </w:rPr>
              <w:t>Objeto:</w:t>
            </w:r>
            <w:r>
              <w:rPr>
                <w:sz w:val="22"/>
                <w:szCs w:val="22"/>
              </w:rPr>
              <w:t xml:space="preserve"> Contratação de empresa especializada na prestação de serviços de show de luzes, montagem e operação técnica para atender um evento do calendário de aniversário de 100 anos da Ponte Hercílio Luz 2026 a ser realizado na Beira Mar Continental Florianópolis/SC, no dia 16/05/2026.</w:t>
            </w:r>
          </w:p>
          <w:p>
            <w:pPr>
              <w:pStyle w:val="normal1"/>
              <w:keepNext w:val="false"/>
              <w:keepLines w:val="false"/>
              <w:widowControl w:val="false"/>
              <w:shd w:val="clear" w:fill="auto"/>
              <w:spacing w:lineRule="auto" w:line="240" w:before="0" w:after="0"/>
              <w:ind w:hanging="0" w:start="0" w:end="0"/>
              <w:jc w:val="start"/>
              <w:rPr>
                <w:sz w:val="22"/>
                <w:szCs w:val="22"/>
              </w:rPr>
            </w:pPr>
            <w:r>
              <w:rPr>
                <w:b/>
                <w:bCs/>
                <w:sz w:val="22"/>
                <w:szCs w:val="22"/>
              </w:rPr>
              <w:t xml:space="preserve">Valor: </w:t>
            </w:r>
            <w:r>
              <w:rPr>
                <w:sz w:val="22"/>
                <w:szCs w:val="22"/>
              </w:rPr>
              <w:t>R$ 181.640,01 (cento e oitenta e um mil seiscentos e quarenta reais e um centavo)</w:t>
            </w:r>
          </w:p>
          <w:p>
            <w:pPr>
              <w:pStyle w:val="normal1"/>
              <w:keepNext w:val="false"/>
              <w:keepLines w:val="false"/>
              <w:widowControl w:val="false"/>
              <w:shd w:val="clear" w:fill="auto"/>
              <w:spacing w:lineRule="auto" w:line="240" w:before="0" w:after="0"/>
              <w:ind w:hanging="0" w:start="0" w:end="0"/>
              <w:jc w:val="start"/>
              <w:rPr>
                <w:sz w:val="22"/>
                <w:szCs w:val="22"/>
              </w:rPr>
            </w:pPr>
            <w:r>
              <w:rPr>
                <w:b/>
                <w:bCs/>
                <w:sz w:val="22"/>
                <w:szCs w:val="22"/>
              </w:rPr>
              <w:t>Início do recebimento das propostas:</w:t>
            </w:r>
            <w:r>
              <w:rPr>
                <w:sz w:val="22"/>
                <w:szCs w:val="22"/>
              </w:rPr>
              <w:t xml:space="preserve"> 28/04/2026 às 18h. (horário de Brasília/DF)</w:t>
            </w:r>
          </w:p>
          <w:p>
            <w:pPr>
              <w:pStyle w:val="normal1"/>
              <w:keepNext w:val="false"/>
              <w:keepLines w:val="false"/>
              <w:widowControl w:val="false"/>
              <w:shd w:val="clear" w:fill="auto"/>
              <w:spacing w:lineRule="auto" w:line="240" w:before="0" w:after="0"/>
              <w:ind w:hanging="0" w:start="0" w:end="0"/>
              <w:jc w:val="start"/>
              <w:rPr>
                <w:sz w:val="22"/>
                <w:szCs w:val="22"/>
              </w:rPr>
            </w:pPr>
            <w:r>
              <w:rPr>
                <w:b/>
                <w:bCs/>
                <w:sz w:val="22"/>
                <w:szCs w:val="22"/>
              </w:rPr>
              <w:t>Data da sessão pública:</w:t>
            </w:r>
            <w:r>
              <w:rPr>
                <w:sz w:val="22"/>
                <w:szCs w:val="22"/>
              </w:rPr>
              <w:t xml:space="preserve"> 13/05/2026 às 10h. (horário de Brasília/DF)</w:t>
            </w:r>
          </w:p>
          <w:p>
            <w:pPr>
              <w:pStyle w:val="normal1"/>
              <w:keepNext w:val="false"/>
              <w:keepLines w:val="false"/>
              <w:widowControl w:val="false"/>
              <w:shd w:val="clear" w:fill="auto"/>
              <w:spacing w:lineRule="auto" w:line="240" w:before="0" w:after="0"/>
              <w:ind w:hanging="0" w:start="0" w:end="0"/>
              <w:jc w:val="start"/>
              <w:rPr>
                <w:sz w:val="22"/>
                <w:szCs w:val="22"/>
              </w:rPr>
            </w:pPr>
            <w:r>
              <w:rPr>
                <w:b/>
                <w:bCs/>
                <w:sz w:val="22"/>
                <w:szCs w:val="22"/>
              </w:rPr>
              <w:t>Endereço Eletrônico:</w:t>
            </w:r>
            <w:r>
              <w:rPr>
                <w:sz w:val="22"/>
                <w:szCs w:val="22"/>
              </w:rPr>
              <w:t xml:space="preserve"> </w:t>
            </w:r>
            <w:hyperlink r:id="rId2">
              <w:r>
                <w:rPr>
                  <w:rStyle w:val="Style3"/>
                  <w:color w:val="1155CC"/>
                  <w:sz w:val="22"/>
                  <w:szCs w:val="22"/>
                  <w:u w:val="single"/>
                </w:rPr>
                <w:t>https://wbc.pmf.sc.gov.br/</w:t>
              </w:r>
            </w:hyperlink>
          </w:p>
        </w:tc>
      </w:tr>
      <w:tr>
        <w:trPr>
          <w:trHeight w:val="640" w:hRule="atLeast"/>
        </w:trPr>
        <w:tc>
          <w:tcPr>
            <w:tcW w:w="9060" w:type="dxa"/>
            <w:gridSpan w:val="4"/>
            <w:vMerge w:val="continue"/>
            <w:tcBorders>
              <w:top w:val="single" w:sz="8" w:space="0" w:color="000000"/>
              <w:start w:val="single" w:sz="8" w:space="0" w:color="000000"/>
              <w:bottom w:val="single" w:sz="8" w:space="0" w:color="000000"/>
              <w:end w:val="single" w:sz="8" w:space="0" w:color="000000"/>
            </w:tcBorders>
            <w:shd w:fill="auto" w:val="clear"/>
          </w:tcPr>
          <w:p>
            <w:pPr>
              <w:pStyle w:val="normal1"/>
              <w:keepNext w:val="false"/>
              <w:keepLines w:val="false"/>
              <w:widowControl w:val="false"/>
              <w:shd w:val="clear" w:fill="auto"/>
              <w:spacing w:lineRule="auto" w:line="276" w:before="0" w:after="0"/>
              <w:ind w:hanging="0" w:start="0" w:end="0"/>
              <w:jc w:val="start"/>
              <w:rPr>
                <w:sz w:val="22"/>
                <w:szCs w:val="22"/>
              </w:rPr>
            </w:pPr>
            <w:r>
              <w:rPr>
                <w:sz w:val="22"/>
                <w:szCs w:val="22"/>
              </w:rPr>
            </w:r>
          </w:p>
        </w:tc>
      </w:tr>
      <w:tr>
        <w:trPr>
          <w:trHeight w:val="400" w:hRule="atLeast"/>
        </w:trPr>
        <w:tc>
          <w:tcPr>
            <w:tcW w:w="2265" w:type="dxa"/>
            <w:tcBorders>
              <w:top w:val="single" w:sz="8" w:space="0" w:color="000000"/>
              <w:start w:val="single" w:sz="8" w:space="0" w:color="000000"/>
              <w:bottom w:val="single" w:sz="8" w:space="0" w:color="000000"/>
              <w:end w:val="single" w:sz="8" w:space="0" w:color="000000"/>
            </w:tcBorders>
            <w:shd w:fill="auto" w:val="clear"/>
          </w:tcPr>
          <w:p>
            <w:pPr>
              <w:pStyle w:val="normal1"/>
              <w:keepNext w:val="false"/>
              <w:keepLines w:val="false"/>
              <w:widowControl w:val="false"/>
              <w:shd w:val="clear" w:fill="auto"/>
              <w:spacing w:lineRule="auto" w:line="240" w:before="0" w:after="0"/>
              <w:ind w:hanging="0" w:start="0" w:end="0"/>
              <w:jc w:val="center"/>
              <w:rPr>
                <w:b/>
                <w:bCs/>
                <w:sz w:val="22"/>
                <w:szCs w:val="22"/>
              </w:rPr>
            </w:pPr>
            <w:r>
              <w:rPr>
                <w:b/>
                <w:bCs/>
                <w:sz w:val="22"/>
                <w:szCs w:val="22"/>
              </w:rPr>
              <w:t>Julgamento</w:t>
            </w:r>
          </w:p>
        </w:tc>
        <w:tc>
          <w:tcPr>
            <w:tcW w:w="2428" w:type="dxa"/>
            <w:tcBorders>
              <w:top w:val="single" w:sz="8" w:space="0" w:color="000000"/>
              <w:start w:val="single" w:sz="8" w:space="0" w:color="000000"/>
              <w:bottom w:val="single" w:sz="8" w:space="0" w:color="000000"/>
              <w:end w:val="single" w:sz="8" w:space="0" w:color="000000"/>
            </w:tcBorders>
            <w:shd w:fill="auto" w:val="clear"/>
          </w:tcPr>
          <w:p>
            <w:pPr>
              <w:pStyle w:val="normal1"/>
              <w:keepNext w:val="false"/>
              <w:keepLines w:val="false"/>
              <w:widowControl w:val="false"/>
              <w:shd w:val="clear" w:fill="auto"/>
              <w:spacing w:lineRule="auto" w:line="240" w:before="0" w:after="0"/>
              <w:ind w:hanging="0" w:start="0" w:end="0"/>
              <w:jc w:val="center"/>
              <w:rPr>
                <w:b/>
                <w:bCs/>
                <w:sz w:val="22"/>
                <w:szCs w:val="22"/>
              </w:rPr>
            </w:pPr>
            <w:r>
              <w:rPr>
                <w:b/>
                <w:bCs/>
                <w:sz w:val="22"/>
                <w:szCs w:val="22"/>
              </w:rPr>
              <w:t>Registro de Preços</w:t>
            </w:r>
          </w:p>
        </w:tc>
        <w:tc>
          <w:tcPr>
            <w:tcW w:w="2102" w:type="dxa"/>
            <w:tcBorders>
              <w:top w:val="single" w:sz="8" w:space="0" w:color="000000"/>
              <w:start w:val="single" w:sz="8" w:space="0" w:color="000000"/>
              <w:bottom w:val="single" w:sz="8" w:space="0" w:color="000000"/>
              <w:end w:val="single" w:sz="8" w:space="0" w:color="000000"/>
            </w:tcBorders>
            <w:shd w:fill="auto" w:val="clear"/>
          </w:tcPr>
          <w:p>
            <w:pPr>
              <w:pStyle w:val="normal1"/>
              <w:keepNext w:val="false"/>
              <w:keepLines w:val="false"/>
              <w:widowControl w:val="false"/>
              <w:shd w:val="clear" w:fill="auto"/>
              <w:spacing w:lineRule="auto" w:line="240" w:before="0" w:after="0"/>
              <w:ind w:hanging="0" w:start="0" w:end="0"/>
              <w:jc w:val="center"/>
              <w:rPr>
                <w:b/>
                <w:bCs/>
                <w:sz w:val="22"/>
                <w:szCs w:val="22"/>
              </w:rPr>
            </w:pPr>
            <w:r>
              <w:rPr>
                <w:b/>
                <w:bCs/>
                <w:sz w:val="22"/>
                <w:szCs w:val="22"/>
              </w:rPr>
              <w:t>Amostra</w:t>
            </w:r>
          </w:p>
        </w:tc>
        <w:tc>
          <w:tcPr>
            <w:tcW w:w="2265" w:type="dxa"/>
            <w:tcBorders>
              <w:top w:val="single" w:sz="8" w:space="0" w:color="000000"/>
              <w:start w:val="single" w:sz="8" w:space="0" w:color="000000"/>
              <w:bottom w:val="single" w:sz="8" w:space="0" w:color="000000"/>
              <w:end w:val="single" w:sz="8" w:space="0" w:color="000000"/>
            </w:tcBorders>
            <w:shd w:fill="auto" w:val="clear"/>
          </w:tcPr>
          <w:p>
            <w:pPr>
              <w:pStyle w:val="normal1"/>
              <w:widowControl w:val="false"/>
              <w:ind w:hanging="0"/>
              <w:jc w:val="center"/>
              <w:rPr>
                <w:b/>
                <w:bCs/>
                <w:sz w:val="22"/>
                <w:szCs w:val="22"/>
              </w:rPr>
            </w:pPr>
            <w:r>
              <w:rPr>
                <w:b/>
                <w:bCs/>
                <w:sz w:val="22"/>
                <w:szCs w:val="22"/>
              </w:rPr>
              <w:t>Prova de Conceito</w:t>
            </w:r>
          </w:p>
        </w:tc>
      </w:tr>
      <w:tr>
        <w:trPr/>
        <w:tc>
          <w:tcPr>
            <w:tcW w:w="2265" w:type="dxa"/>
            <w:tcBorders>
              <w:top w:val="single" w:sz="8" w:space="0" w:color="000000"/>
              <w:start w:val="single" w:sz="8" w:space="0" w:color="000000"/>
              <w:bottom w:val="single" w:sz="8" w:space="0" w:color="000000"/>
              <w:end w:val="single" w:sz="8" w:space="0" w:color="000000"/>
            </w:tcBorders>
            <w:shd w:fill="auto" w:val="clear"/>
          </w:tcPr>
          <w:p>
            <w:pPr>
              <w:pStyle w:val="normal1"/>
              <w:keepNext w:val="false"/>
              <w:keepLines w:val="false"/>
              <w:widowControl w:val="false"/>
              <w:shd w:val="clear" w:fill="auto"/>
              <w:spacing w:lineRule="auto" w:line="240" w:before="0" w:after="0"/>
              <w:ind w:hanging="0" w:start="0" w:end="0"/>
              <w:jc w:val="center"/>
              <w:rPr>
                <w:sz w:val="22"/>
                <w:szCs w:val="22"/>
              </w:rPr>
            </w:pPr>
            <w:r>
              <w:rPr>
                <w:sz w:val="22"/>
                <w:szCs w:val="22"/>
              </w:rPr>
              <w:t>Menor preço global</w:t>
            </w:r>
          </w:p>
        </w:tc>
        <w:tc>
          <w:tcPr>
            <w:tcW w:w="2428" w:type="dxa"/>
            <w:tcBorders>
              <w:top w:val="single" w:sz="8" w:space="0" w:color="000000"/>
              <w:start w:val="single" w:sz="8" w:space="0" w:color="000000"/>
              <w:bottom w:val="single" w:sz="8" w:space="0" w:color="000000"/>
              <w:end w:val="single" w:sz="8" w:space="0" w:color="000000"/>
            </w:tcBorders>
            <w:shd w:fill="auto" w:val="clear"/>
          </w:tcPr>
          <w:p>
            <w:pPr>
              <w:pStyle w:val="normal1"/>
              <w:keepNext w:val="false"/>
              <w:keepLines w:val="false"/>
              <w:widowControl w:val="false"/>
              <w:shd w:val="clear" w:fill="auto"/>
              <w:spacing w:lineRule="auto" w:line="240" w:before="0" w:after="0"/>
              <w:ind w:hanging="0" w:start="0" w:end="0"/>
              <w:jc w:val="center"/>
              <w:rPr>
                <w:sz w:val="22"/>
                <w:szCs w:val="22"/>
              </w:rPr>
            </w:pPr>
            <w:r>
              <w:rPr>
                <w:sz w:val="22"/>
                <w:szCs w:val="22"/>
              </w:rPr>
              <w:t>Não</w:t>
            </w:r>
          </w:p>
        </w:tc>
        <w:tc>
          <w:tcPr>
            <w:tcW w:w="2102" w:type="dxa"/>
            <w:tcBorders>
              <w:top w:val="single" w:sz="8" w:space="0" w:color="000000"/>
              <w:start w:val="single" w:sz="8" w:space="0" w:color="000000"/>
              <w:bottom w:val="single" w:sz="8" w:space="0" w:color="000000"/>
              <w:end w:val="single" w:sz="8" w:space="0" w:color="000000"/>
            </w:tcBorders>
            <w:shd w:fill="auto" w:val="clear"/>
          </w:tcPr>
          <w:p>
            <w:pPr>
              <w:pStyle w:val="normal1"/>
              <w:widowControl w:val="false"/>
              <w:ind w:hanging="0"/>
              <w:jc w:val="center"/>
              <w:rPr>
                <w:sz w:val="22"/>
                <w:szCs w:val="22"/>
              </w:rPr>
            </w:pPr>
            <w:r>
              <w:rPr>
                <w:sz w:val="22"/>
                <w:szCs w:val="22"/>
              </w:rPr>
              <w:t>Sim</w:t>
            </w:r>
          </w:p>
        </w:tc>
        <w:tc>
          <w:tcPr>
            <w:tcW w:w="2265" w:type="dxa"/>
            <w:tcBorders>
              <w:top w:val="single" w:sz="8" w:space="0" w:color="000000"/>
              <w:start w:val="single" w:sz="8" w:space="0" w:color="000000"/>
              <w:bottom w:val="single" w:sz="8" w:space="0" w:color="000000"/>
              <w:end w:val="single" w:sz="8" w:space="0" w:color="000000"/>
            </w:tcBorders>
            <w:shd w:fill="auto" w:val="clear"/>
          </w:tcPr>
          <w:p>
            <w:pPr>
              <w:pStyle w:val="normal1"/>
              <w:widowControl w:val="false"/>
              <w:ind w:hanging="0"/>
              <w:jc w:val="center"/>
              <w:rPr>
                <w:sz w:val="22"/>
                <w:szCs w:val="22"/>
              </w:rPr>
            </w:pPr>
            <w:r>
              <w:rPr>
                <w:sz w:val="22"/>
                <w:szCs w:val="22"/>
              </w:rPr>
              <w:t>Não</w:t>
            </w:r>
          </w:p>
        </w:tc>
      </w:tr>
      <w:tr>
        <w:trPr>
          <w:trHeight w:val="420" w:hRule="atLeast"/>
        </w:trPr>
        <w:tc>
          <w:tcPr>
            <w:tcW w:w="9060" w:type="dxa"/>
            <w:gridSpan w:val="4"/>
            <w:tcBorders>
              <w:top w:val="single" w:sz="8" w:space="0" w:color="000000"/>
              <w:start w:val="single" w:sz="8" w:space="0" w:color="000000"/>
              <w:bottom w:val="single" w:sz="8" w:space="0" w:color="000000"/>
              <w:end w:val="single" w:sz="8" w:space="0" w:color="000000"/>
            </w:tcBorders>
            <w:shd w:fill="auto" w:val="clear"/>
          </w:tcPr>
          <w:p>
            <w:pPr>
              <w:pStyle w:val="normal1"/>
              <w:keepNext w:val="false"/>
              <w:keepLines w:val="false"/>
              <w:widowControl w:val="false"/>
              <w:shd w:val="clear" w:fill="auto"/>
              <w:spacing w:lineRule="auto" w:line="240" w:before="0" w:after="0"/>
              <w:ind w:hanging="0" w:start="0" w:end="0"/>
              <w:jc w:val="center"/>
              <w:rPr>
                <w:b/>
                <w:bCs/>
                <w:sz w:val="22"/>
                <w:szCs w:val="22"/>
              </w:rPr>
            </w:pPr>
            <w:r>
              <w:rPr>
                <w:b/>
                <w:bCs/>
                <w:sz w:val="22"/>
                <w:szCs w:val="22"/>
              </w:rPr>
              <w:t>DOCUMENTOS DE HABILITAÇÃO (VEJA ITEM 9)</w:t>
            </w:r>
          </w:p>
        </w:tc>
      </w:tr>
      <w:tr>
        <w:trPr>
          <w:trHeight w:val="1410" w:hRule="atLeast"/>
        </w:trPr>
        <w:tc>
          <w:tcPr>
            <w:tcW w:w="4693" w:type="dxa"/>
            <w:gridSpan w:val="2"/>
            <w:tcBorders>
              <w:top w:val="single" w:sz="8" w:space="0" w:color="000000"/>
              <w:start w:val="single" w:sz="8" w:space="0" w:color="000000"/>
              <w:bottom w:val="single" w:sz="8" w:space="0" w:color="000000"/>
              <w:end w:val="single" w:sz="8" w:space="0" w:color="000000"/>
            </w:tcBorders>
            <w:shd w:fill="auto" w:val="clear"/>
          </w:tcPr>
          <w:p>
            <w:pPr>
              <w:pStyle w:val="normal1"/>
              <w:widowControl w:val="false"/>
              <w:ind w:hanging="0"/>
              <w:rPr>
                <w:sz w:val="22"/>
                <w:szCs w:val="22"/>
              </w:rPr>
            </w:pPr>
            <w:r>
              <w:rPr>
                <w:sz w:val="22"/>
                <w:szCs w:val="22"/>
              </w:rPr>
              <w:t>CND Federal</w:t>
            </w:r>
          </w:p>
          <w:p>
            <w:pPr>
              <w:pStyle w:val="normal1"/>
              <w:widowControl w:val="false"/>
              <w:ind w:hanging="0"/>
              <w:rPr>
                <w:sz w:val="22"/>
                <w:szCs w:val="22"/>
              </w:rPr>
            </w:pPr>
            <w:r>
              <w:rPr>
                <w:sz w:val="22"/>
                <w:szCs w:val="22"/>
              </w:rPr>
              <w:t>CND Estadual</w:t>
            </w:r>
          </w:p>
          <w:p>
            <w:pPr>
              <w:pStyle w:val="normal1"/>
              <w:widowControl w:val="false"/>
              <w:ind w:hanging="0"/>
              <w:rPr>
                <w:sz w:val="22"/>
                <w:szCs w:val="22"/>
              </w:rPr>
            </w:pPr>
            <w:r>
              <w:rPr>
                <w:sz w:val="22"/>
                <w:szCs w:val="22"/>
              </w:rPr>
              <w:t>CND Municipal</w:t>
            </w:r>
          </w:p>
          <w:p>
            <w:pPr>
              <w:pStyle w:val="normal1"/>
              <w:widowControl w:val="false"/>
              <w:ind w:hanging="0"/>
              <w:rPr>
                <w:sz w:val="22"/>
                <w:szCs w:val="22"/>
              </w:rPr>
            </w:pPr>
            <w:r>
              <w:rPr>
                <w:sz w:val="22"/>
                <w:szCs w:val="22"/>
              </w:rPr>
              <w:t>CND FGTS</w:t>
            </w:r>
          </w:p>
          <w:p>
            <w:pPr>
              <w:pStyle w:val="normal1"/>
              <w:widowControl w:val="false"/>
              <w:ind w:hanging="0"/>
              <w:rPr>
                <w:b/>
                <w:bCs/>
                <w:sz w:val="22"/>
                <w:szCs w:val="22"/>
              </w:rPr>
            </w:pPr>
            <w:r>
              <w:rPr>
                <w:sz w:val="22"/>
                <w:szCs w:val="22"/>
              </w:rPr>
              <w:t>CND Trabalhista</w:t>
            </w:r>
          </w:p>
        </w:tc>
        <w:tc>
          <w:tcPr>
            <w:tcW w:w="4367" w:type="dxa"/>
            <w:gridSpan w:val="2"/>
            <w:tcBorders>
              <w:top w:val="single" w:sz="8" w:space="0" w:color="000000"/>
              <w:start w:val="single" w:sz="8" w:space="0" w:color="000000"/>
              <w:bottom w:val="single" w:sz="8" w:space="0" w:color="000000"/>
              <w:end w:val="single" w:sz="8" w:space="0" w:color="000000"/>
            </w:tcBorders>
            <w:shd w:fill="auto" w:val="clear"/>
          </w:tcPr>
          <w:p>
            <w:pPr>
              <w:pStyle w:val="normal1"/>
              <w:widowControl w:val="false"/>
              <w:ind w:hanging="0"/>
              <w:rPr>
                <w:sz w:val="22"/>
                <w:szCs w:val="22"/>
              </w:rPr>
            </w:pPr>
            <w:r>
              <w:rPr>
                <w:sz w:val="22"/>
                <w:szCs w:val="22"/>
              </w:rPr>
              <w:t>Contrato Social</w:t>
            </w:r>
          </w:p>
          <w:p>
            <w:pPr>
              <w:pStyle w:val="normal1"/>
              <w:widowControl w:val="false"/>
              <w:ind w:hanging="0"/>
              <w:rPr>
                <w:sz w:val="22"/>
                <w:szCs w:val="22"/>
              </w:rPr>
            </w:pPr>
            <w:r>
              <w:rPr>
                <w:sz w:val="22"/>
                <w:szCs w:val="22"/>
              </w:rPr>
              <w:t>Certidão Simplificada</w:t>
            </w:r>
          </w:p>
          <w:p>
            <w:pPr>
              <w:pStyle w:val="normal1"/>
              <w:widowControl w:val="false"/>
              <w:ind w:hanging="0"/>
              <w:rPr>
                <w:sz w:val="22"/>
                <w:szCs w:val="22"/>
              </w:rPr>
            </w:pPr>
            <w:r>
              <w:rPr>
                <w:sz w:val="22"/>
                <w:szCs w:val="22"/>
              </w:rPr>
              <w:t>Certidão de Falência</w:t>
            </w:r>
          </w:p>
          <w:p>
            <w:pPr>
              <w:pStyle w:val="normal1"/>
              <w:widowControl w:val="false"/>
              <w:ind w:hanging="0"/>
              <w:rPr>
                <w:b/>
                <w:bCs/>
                <w:sz w:val="22"/>
                <w:szCs w:val="22"/>
              </w:rPr>
            </w:pPr>
            <w:r>
              <w:rPr>
                <w:sz w:val="22"/>
                <w:szCs w:val="22"/>
              </w:rPr>
              <w:t>Documentos Técnicos (Conforme Item 9.2)</w:t>
            </w:r>
          </w:p>
        </w:tc>
      </w:tr>
      <w:tr>
        <w:trPr/>
        <w:tc>
          <w:tcPr>
            <w:tcW w:w="2265" w:type="dxa"/>
            <w:tcBorders>
              <w:top w:val="single" w:sz="8" w:space="0" w:color="000000"/>
              <w:start w:val="single" w:sz="8" w:space="0" w:color="000000"/>
              <w:bottom w:val="single" w:sz="8" w:space="0" w:color="000000"/>
              <w:end w:val="single" w:sz="8" w:space="0" w:color="000000"/>
            </w:tcBorders>
            <w:shd w:fill="auto" w:val="clear"/>
          </w:tcPr>
          <w:p>
            <w:pPr>
              <w:pStyle w:val="normal1"/>
              <w:keepNext w:val="false"/>
              <w:keepLines w:val="false"/>
              <w:widowControl w:val="false"/>
              <w:shd w:val="clear" w:fill="auto"/>
              <w:spacing w:lineRule="auto" w:line="240" w:before="0" w:after="0"/>
              <w:ind w:hanging="0" w:start="0" w:end="0"/>
              <w:jc w:val="center"/>
              <w:rPr>
                <w:b/>
                <w:bCs/>
                <w:sz w:val="22"/>
                <w:szCs w:val="22"/>
              </w:rPr>
            </w:pPr>
            <w:r>
              <w:rPr>
                <w:b/>
                <w:bCs/>
                <w:sz w:val="22"/>
                <w:szCs w:val="22"/>
              </w:rPr>
              <w:t>Licitação Exclusiva ME/EPP</w:t>
            </w:r>
          </w:p>
        </w:tc>
        <w:tc>
          <w:tcPr>
            <w:tcW w:w="2428" w:type="dxa"/>
            <w:tcBorders>
              <w:top w:val="single" w:sz="8" w:space="0" w:color="000000"/>
              <w:start w:val="single" w:sz="8" w:space="0" w:color="000000"/>
              <w:bottom w:val="single" w:sz="8" w:space="0" w:color="000000"/>
              <w:end w:val="single" w:sz="8" w:space="0" w:color="000000"/>
            </w:tcBorders>
            <w:shd w:fill="auto" w:val="clear"/>
          </w:tcPr>
          <w:p>
            <w:pPr>
              <w:pStyle w:val="normal1"/>
              <w:keepNext w:val="false"/>
              <w:keepLines w:val="false"/>
              <w:widowControl w:val="false"/>
              <w:shd w:val="clear" w:fill="auto"/>
              <w:spacing w:lineRule="auto" w:line="240" w:before="0" w:after="0"/>
              <w:ind w:hanging="0" w:start="0" w:end="0"/>
              <w:jc w:val="center"/>
              <w:rPr>
                <w:b/>
                <w:bCs/>
                <w:sz w:val="22"/>
                <w:szCs w:val="22"/>
              </w:rPr>
            </w:pPr>
            <w:r>
              <w:rPr>
                <w:b/>
                <w:bCs/>
                <w:sz w:val="22"/>
                <w:szCs w:val="22"/>
              </w:rPr>
              <w:t>Ampla Concorrência</w:t>
            </w:r>
          </w:p>
        </w:tc>
        <w:tc>
          <w:tcPr>
            <w:tcW w:w="2102" w:type="dxa"/>
            <w:tcBorders>
              <w:top w:val="single" w:sz="8" w:space="0" w:color="000000"/>
              <w:start w:val="single" w:sz="8" w:space="0" w:color="000000"/>
              <w:bottom w:val="single" w:sz="8" w:space="0" w:color="000000"/>
              <w:end w:val="single" w:sz="8" w:space="0" w:color="000000"/>
            </w:tcBorders>
            <w:shd w:fill="auto" w:val="clear"/>
          </w:tcPr>
          <w:p>
            <w:pPr>
              <w:pStyle w:val="normal1"/>
              <w:keepNext w:val="false"/>
              <w:keepLines w:val="false"/>
              <w:widowControl w:val="false"/>
              <w:shd w:val="clear" w:fill="auto"/>
              <w:spacing w:lineRule="auto" w:line="240" w:before="0" w:after="0"/>
              <w:ind w:hanging="0" w:start="0" w:end="0"/>
              <w:jc w:val="center"/>
              <w:rPr>
                <w:b/>
                <w:bCs/>
                <w:sz w:val="22"/>
                <w:szCs w:val="22"/>
              </w:rPr>
            </w:pPr>
            <w:r>
              <w:rPr>
                <w:b/>
                <w:bCs/>
                <w:sz w:val="22"/>
                <w:szCs w:val="22"/>
              </w:rPr>
              <w:t>Pedido de esclarecimento</w:t>
            </w:r>
          </w:p>
        </w:tc>
        <w:tc>
          <w:tcPr>
            <w:tcW w:w="2265" w:type="dxa"/>
            <w:tcBorders>
              <w:top w:val="single" w:sz="8" w:space="0" w:color="000000"/>
              <w:start w:val="single" w:sz="8" w:space="0" w:color="000000"/>
              <w:bottom w:val="single" w:sz="8" w:space="0" w:color="000000"/>
              <w:end w:val="single" w:sz="8" w:space="0" w:color="000000"/>
            </w:tcBorders>
            <w:shd w:fill="auto" w:val="clear"/>
          </w:tcPr>
          <w:p>
            <w:pPr>
              <w:pStyle w:val="normal1"/>
              <w:keepNext w:val="false"/>
              <w:keepLines w:val="false"/>
              <w:widowControl w:val="false"/>
              <w:shd w:val="clear" w:fill="auto"/>
              <w:spacing w:lineRule="auto" w:line="240" w:before="0" w:after="0"/>
              <w:ind w:hanging="0" w:start="0" w:end="0"/>
              <w:jc w:val="center"/>
              <w:rPr>
                <w:b/>
                <w:bCs/>
                <w:sz w:val="22"/>
                <w:szCs w:val="22"/>
              </w:rPr>
            </w:pPr>
            <w:r>
              <w:rPr>
                <w:b/>
                <w:bCs/>
                <w:sz w:val="22"/>
                <w:szCs w:val="22"/>
              </w:rPr>
              <w:t>Impugnação</w:t>
            </w:r>
          </w:p>
        </w:tc>
      </w:tr>
      <w:tr>
        <w:trPr/>
        <w:tc>
          <w:tcPr>
            <w:tcW w:w="2265" w:type="dxa"/>
            <w:tcBorders>
              <w:top w:val="single" w:sz="8" w:space="0" w:color="000000"/>
              <w:start w:val="single" w:sz="8" w:space="0" w:color="000000"/>
              <w:bottom w:val="single" w:sz="8" w:space="0" w:color="000000"/>
              <w:end w:val="single" w:sz="8" w:space="0" w:color="000000"/>
            </w:tcBorders>
            <w:shd w:fill="auto" w:val="clear"/>
          </w:tcPr>
          <w:p>
            <w:pPr>
              <w:pStyle w:val="normal1"/>
              <w:widowControl w:val="false"/>
              <w:ind w:hanging="0"/>
              <w:jc w:val="center"/>
              <w:rPr>
                <w:b/>
                <w:bCs/>
                <w:sz w:val="22"/>
                <w:szCs w:val="22"/>
              </w:rPr>
            </w:pPr>
            <w:r>
              <w:rPr>
                <w:sz w:val="22"/>
                <w:szCs w:val="22"/>
              </w:rPr>
              <w:t>Não</w:t>
            </w:r>
          </w:p>
        </w:tc>
        <w:tc>
          <w:tcPr>
            <w:tcW w:w="2428" w:type="dxa"/>
            <w:tcBorders>
              <w:top w:val="single" w:sz="8" w:space="0" w:color="000000"/>
              <w:start w:val="single" w:sz="8" w:space="0" w:color="000000"/>
              <w:bottom w:val="single" w:sz="8" w:space="0" w:color="000000"/>
              <w:end w:val="single" w:sz="8" w:space="0" w:color="000000"/>
            </w:tcBorders>
            <w:shd w:fill="auto" w:val="clear"/>
          </w:tcPr>
          <w:p>
            <w:pPr>
              <w:pStyle w:val="normal1"/>
              <w:widowControl w:val="false"/>
              <w:ind w:hanging="0"/>
              <w:jc w:val="center"/>
              <w:rPr>
                <w:b/>
                <w:bCs/>
                <w:sz w:val="22"/>
                <w:szCs w:val="22"/>
              </w:rPr>
            </w:pPr>
            <w:r>
              <w:rPr>
                <w:sz w:val="22"/>
                <w:szCs w:val="22"/>
              </w:rPr>
              <w:t>Sim</w:t>
            </w:r>
          </w:p>
        </w:tc>
        <w:tc>
          <w:tcPr>
            <w:tcW w:w="2102" w:type="dxa"/>
            <w:tcBorders>
              <w:top w:val="single" w:sz="8" w:space="0" w:color="000000"/>
              <w:start w:val="single" w:sz="8" w:space="0" w:color="000000"/>
              <w:bottom w:val="single" w:sz="8" w:space="0" w:color="000000"/>
              <w:end w:val="single" w:sz="8" w:space="0" w:color="000000"/>
            </w:tcBorders>
            <w:shd w:fill="auto" w:val="clear"/>
          </w:tcPr>
          <w:p>
            <w:pPr>
              <w:pStyle w:val="normal1"/>
              <w:keepNext w:val="false"/>
              <w:keepLines w:val="false"/>
              <w:widowControl w:val="false"/>
              <w:shd w:val="clear" w:fill="auto"/>
              <w:spacing w:lineRule="auto" w:line="240" w:before="0" w:after="0"/>
              <w:ind w:hanging="0" w:start="0" w:end="0"/>
              <w:jc w:val="center"/>
              <w:rPr>
                <w:sz w:val="22"/>
                <w:szCs w:val="22"/>
              </w:rPr>
            </w:pPr>
            <w:r>
              <w:rPr>
                <w:sz w:val="22"/>
                <w:szCs w:val="22"/>
              </w:rPr>
              <w:t>Até 08/05/2026</w:t>
            </w:r>
          </w:p>
        </w:tc>
        <w:tc>
          <w:tcPr>
            <w:tcW w:w="2265" w:type="dxa"/>
            <w:tcBorders>
              <w:top w:val="single" w:sz="8" w:space="0" w:color="000000"/>
              <w:start w:val="single" w:sz="8" w:space="0" w:color="000000"/>
              <w:bottom w:val="single" w:sz="8" w:space="0" w:color="000000"/>
              <w:end w:val="single" w:sz="8" w:space="0" w:color="000000"/>
            </w:tcBorders>
            <w:shd w:fill="auto" w:val="clear"/>
          </w:tcPr>
          <w:p>
            <w:pPr>
              <w:pStyle w:val="normal1"/>
              <w:keepNext w:val="false"/>
              <w:keepLines w:val="false"/>
              <w:widowControl w:val="false"/>
              <w:shd w:val="clear" w:fill="auto"/>
              <w:spacing w:lineRule="auto" w:line="240" w:before="0" w:after="0"/>
              <w:ind w:hanging="0" w:start="0" w:end="0"/>
              <w:jc w:val="center"/>
              <w:rPr>
                <w:sz w:val="22"/>
                <w:szCs w:val="22"/>
              </w:rPr>
            </w:pPr>
            <w:r>
              <w:rPr>
                <w:sz w:val="22"/>
                <w:szCs w:val="22"/>
              </w:rPr>
              <w:t>Até 08/05/2026</w:t>
            </w:r>
          </w:p>
        </w:tc>
      </w:tr>
      <w:tr>
        <w:trPr>
          <w:trHeight w:val="420" w:hRule="atLeast"/>
        </w:trPr>
        <w:tc>
          <w:tcPr>
            <w:tcW w:w="9060" w:type="dxa"/>
            <w:gridSpan w:val="4"/>
            <w:tcBorders>
              <w:top w:val="single" w:sz="8" w:space="0" w:color="000000"/>
              <w:start w:val="single" w:sz="8" w:space="0" w:color="000000"/>
              <w:bottom w:val="single" w:sz="8" w:space="0" w:color="000000"/>
              <w:end w:val="single" w:sz="8" w:space="0" w:color="000000"/>
            </w:tcBorders>
            <w:shd w:fill="auto" w:val="clear"/>
          </w:tcPr>
          <w:p>
            <w:pPr>
              <w:pStyle w:val="normal1"/>
              <w:keepNext w:val="false"/>
              <w:keepLines w:val="false"/>
              <w:widowControl w:val="false"/>
              <w:shd w:val="clear" w:fill="auto"/>
              <w:spacing w:lineRule="auto" w:line="240" w:before="0" w:after="0"/>
              <w:ind w:hanging="0" w:start="0" w:end="0"/>
              <w:jc w:val="center"/>
              <w:rPr>
                <w:b/>
                <w:bCs/>
                <w:sz w:val="22"/>
                <w:szCs w:val="22"/>
              </w:rPr>
            </w:pPr>
            <w:r>
              <w:rPr>
                <w:b/>
                <w:bCs/>
                <w:sz w:val="22"/>
                <w:szCs w:val="22"/>
              </w:rPr>
              <w:t>OBSERVAÇÕES GERAIS</w:t>
            </w:r>
          </w:p>
        </w:tc>
      </w:tr>
      <w:tr>
        <w:trPr>
          <w:trHeight w:val="1680" w:hRule="atLeast"/>
        </w:trPr>
        <w:tc>
          <w:tcPr>
            <w:tcW w:w="9060" w:type="dxa"/>
            <w:gridSpan w:val="4"/>
            <w:tcBorders>
              <w:top w:val="single" w:sz="8" w:space="0" w:color="000000"/>
              <w:start w:val="single" w:sz="8" w:space="0" w:color="000000"/>
              <w:bottom w:val="single" w:sz="8" w:space="0" w:color="000000"/>
              <w:end w:val="single" w:sz="8" w:space="0" w:color="000000"/>
            </w:tcBorders>
            <w:shd w:fill="auto" w:val="clear"/>
          </w:tcPr>
          <w:p>
            <w:pPr>
              <w:pStyle w:val="normal1"/>
              <w:keepNext w:val="false"/>
              <w:keepLines w:val="false"/>
              <w:widowControl w:val="false"/>
              <w:numPr>
                <w:ilvl w:val="0"/>
                <w:numId w:val="24"/>
              </w:numPr>
              <w:shd w:val="clear" w:fill="auto"/>
              <w:spacing w:lineRule="auto" w:line="240" w:before="0" w:after="0"/>
              <w:ind w:hanging="360" w:start="720" w:end="0"/>
              <w:jc w:val="start"/>
              <w:rPr>
                <w:sz w:val="22"/>
                <w:szCs w:val="22"/>
              </w:rPr>
            </w:pPr>
            <w:r>
              <w:rPr>
                <w:sz w:val="22"/>
                <w:szCs w:val="22"/>
              </w:rPr>
              <w:t>A disputa dar-se-á pelo modo ABERTO</w:t>
            </w:r>
          </w:p>
          <w:p>
            <w:pPr>
              <w:pStyle w:val="normal1"/>
              <w:keepNext w:val="false"/>
              <w:keepLines w:val="false"/>
              <w:widowControl w:val="false"/>
              <w:numPr>
                <w:ilvl w:val="0"/>
                <w:numId w:val="24"/>
              </w:numPr>
              <w:shd w:val="clear" w:fill="auto"/>
              <w:spacing w:lineRule="auto" w:line="240" w:before="0" w:after="0"/>
              <w:ind w:hanging="360" w:start="720" w:end="0"/>
              <w:jc w:val="start"/>
              <w:rPr>
                <w:b/>
                <w:bCs/>
                <w:sz w:val="22"/>
                <w:szCs w:val="22"/>
                <w:shd w:fill="FFF2CC" w:val="clear"/>
              </w:rPr>
            </w:pPr>
            <w:r>
              <w:rPr>
                <w:b/>
                <w:bCs/>
                <w:sz w:val="22"/>
                <w:szCs w:val="22"/>
                <w:shd w:fill="FFF2CC" w:val="clear"/>
              </w:rPr>
              <w:t>Não anexe nenhum documento no sistema, sob pena de desclassificação.</w:t>
            </w:r>
          </w:p>
          <w:p>
            <w:pPr>
              <w:pStyle w:val="normal1"/>
              <w:keepNext w:val="false"/>
              <w:keepLines w:val="false"/>
              <w:widowControl w:val="false"/>
              <w:numPr>
                <w:ilvl w:val="0"/>
                <w:numId w:val="24"/>
              </w:numPr>
              <w:shd w:val="clear" w:fill="auto"/>
              <w:spacing w:lineRule="auto" w:line="240" w:before="0" w:after="0"/>
              <w:ind w:hanging="360" w:start="720" w:end="0"/>
              <w:jc w:val="both"/>
              <w:rPr>
                <w:sz w:val="22"/>
                <w:szCs w:val="22"/>
              </w:rPr>
            </w:pPr>
            <w:r>
              <w:rPr>
                <w:sz w:val="22"/>
                <w:szCs w:val="22"/>
              </w:rPr>
              <w:t xml:space="preserve">Os documentos de proposta e habilitação devem ser inseridos em até 02h (duas horas) horas </w:t>
            </w:r>
            <w:r>
              <w:rPr>
                <w:sz w:val="22"/>
                <w:szCs w:val="22"/>
                <w:u w:val="single"/>
              </w:rPr>
              <w:t>após</w:t>
            </w:r>
            <w:r>
              <w:rPr>
                <w:sz w:val="22"/>
                <w:szCs w:val="22"/>
              </w:rPr>
              <w:t xml:space="preserve"> a solicitação do Pregoeiro, dentro do Portal wbc.</w:t>
            </w:r>
          </w:p>
        </w:tc>
      </w:tr>
    </w:tbl>
    <w:p>
      <w:pPr>
        <w:pStyle w:val="normal1"/>
        <w:ind w:hanging="0"/>
        <w:jc w:val="both"/>
        <w:rPr>
          <w:b/>
          <w:bCs/>
          <w:sz w:val="44"/>
          <w:szCs w:val="44"/>
        </w:rPr>
      </w:pPr>
      <w:r>
        <w:rPr>
          <w:b/>
          <w:bCs/>
          <w:sz w:val="44"/>
          <w:szCs w:val="44"/>
        </w:rPr>
      </w:r>
    </w:p>
    <w:p>
      <w:pPr>
        <w:pStyle w:val="normal1"/>
        <w:spacing w:lineRule="auto" w:line="360"/>
        <w:ind w:firstLine="567"/>
        <w:jc w:val="center"/>
        <w:rPr>
          <w:b/>
          <w:bCs/>
          <w:sz w:val="28"/>
          <w:szCs w:val="28"/>
        </w:rPr>
      </w:pPr>
      <w:r>
        <w:rPr>
          <w:b/>
          <w:bCs/>
          <w:sz w:val="28"/>
          <w:szCs w:val="28"/>
        </w:rPr>
      </w:r>
    </w:p>
    <w:p>
      <w:pPr>
        <w:pStyle w:val="normal1"/>
        <w:spacing w:lineRule="auto" w:line="360"/>
        <w:ind w:firstLine="567"/>
        <w:jc w:val="center"/>
        <w:rPr>
          <w:b/>
          <w:bCs/>
          <w:sz w:val="28"/>
          <w:szCs w:val="28"/>
        </w:rPr>
      </w:pPr>
      <w:r>
        <w:rPr>
          <w:b/>
          <w:bCs/>
          <w:sz w:val="28"/>
          <w:szCs w:val="28"/>
        </w:rPr>
      </w:r>
    </w:p>
    <w:p>
      <w:pPr>
        <w:pStyle w:val="normal1"/>
        <w:spacing w:lineRule="auto" w:line="360"/>
        <w:ind w:firstLine="567"/>
        <w:jc w:val="center"/>
        <w:rPr>
          <w:b/>
          <w:bCs/>
          <w:sz w:val="28"/>
          <w:szCs w:val="28"/>
        </w:rPr>
      </w:pPr>
      <w:r>
        <w:rPr>
          <w:b/>
          <w:bCs/>
          <w:sz w:val="28"/>
          <w:szCs w:val="28"/>
        </w:rPr>
      </w:r>
    </w:p>
    <w:p>
      <w:pPr>
        <w:pStyle w:val="normal1"/>
        <w:spacing w:lineRule="auto" w:line="360"/>
        <w:ind w:firstLine="567"/>
        <w:jc w:val="center"/>
        <w:rPr>
          <w:b/>
          <w:bCs/>
          <w:sz w:val="28"/>
          <w:szCs w:val="28"/>
        </w:rPr>
      </w:pPr>
      <w:r>
        <w:rPr>
          <w:b/>
          <w:bCs/>
          <w:sz w:val="28"/>
          <w:szCs w:val="28"/>
        </w:rPr>
      </w:r>
    </w:p>
    <w:p>
      <w:pPr>
        <w:pStyle w:val="normal1"/>
        <w:spacing w:lineRule="auto" w:line="360"/>
        <w:ind w:firstLine="567"/>
        <w:jc w:val="center"/>
        <w:rPr>
          <w:b/>
          <w:bCs/>
          <w:sz w:val="28"/>
          <w:szCs w:val="28"/>
        </w:rPr>
      </w:pPr>
      <w:r>
        <w:rPr>
          <w:b/>
          <w:bCs/>
          <w:sz w:val="28"/>
          <w:szCs w:val="28"/>
        </w:rPr>
      </w:r>
    </w:p>
    <w:p>
      <w:pPr>
        <w:pStyle w:val="normal1"/>
        <w:spacing w:lineRule="auto" w:line="360"/>
        <w:ind w:firstLine="567"/>
        <w:jc w:val="center"/>
        <w:rPr>
          <w:b/>
          <w:bCs/>
          <w:sz w:val="28"/>
          <w:szCs w:val="28"/>
        </w:rPr>
      </w:pPr>
      <w:r>
        <w:rPr>
          <w:b/>
          <w:bCs/>
          <w:sz w:val="28"/>
          <w:szCs w:val="28"/>
        </w:rPr>
      </w:r>
    </w:p>
    <w:p>
      <w:pPr>
        <w:pStyle w:val="normal1"/>
        <w:spacing w:lineRule="auto" w:line="360"/>
        <w:ind w:firstLine="567"/>
        <w:jc w:val="center"/>
        <w:rPr>
          <w:b/>
          <w:bCs/>
          <w:sz w:val="28"/>
          <w:szCs w:val="28"/>
        </w:rPr>
      </w:pPr>
      <w:r>
        <w:rPr>
          <w:b/>
          <w:bCs/>
          <w:sz w:val="28"/>
          <w:szCs w:val="28"/>
        </w:rPr>
      </w:r>
    </w:p>
    <w:p>
      <w:pPr>
        <w:pStyle w:val="normal1"/>
        <w:spacing w:lineRule="auto" w:line="360"/>
        <w:ind w:firstLine="567"/>
        <w:jc w:val="center"/>
        <w:rPr>
          <w:color w:val="000000"/>
          <w:sz w:val="22"/>
          <w:szCs w:val="22"/>
        </w:rPr>
      </w:pPr>
      <w:r>
        <w:rPr>
          <w:b/>
          <w:bCs/>
          <w:color w:val="000000"/>
          <w:sz w:val="22"/>
          <w:szCs w:val="22"/>
        </w:rPr>
        <w:t>PREFEITURA MUNICIPAL DE FLORIANÓPOLIS</w:t>
      </w:r>
    </w:p>
    <w:p>
      <w:pPr>
        <w:pStyle w:val="normal1"/>
        <w:spacing w:lineRule="auto" w:line="360"/>
        <w:ind w:firstLine="567"/>
        <w:jc w:val="center"/>
        <w:rPr>
          <w:color w:val="000000"/>
          <w:sz w:val="22"/>
          <w:szCs w:val="22"/>
        </w:rPr>
      </w:pPr>
      <w:r>
        <w:rPr>
          <w:color w:val="000000"/>
          <w:sz w:val="22"/>
          <w:szCs w:val="22"/>
        </w:rPr>
      </w:r>
    </w:p>
    <w:p>
      <w:pPr>
        <w:pStyle w:val="normal1"/>
        <w:spacing w:lineRule="auto" w:line="360"/>
        <w:ind w:firstLine="567"/>
        <w:jc w:val="center"/>
        <w:rPr>
          <w:sz w:val="22"/>
          <w:szCs w:val="22"/>
        </w:rPr>
      </w:pPr>
      <w:r>
        <w:rPr>
          <w:b/>
          <w:bCs/>
          <w:color w:val="000000"/>
          <w:sz w:val="22"/>
          <w:szCs w:val="22"/>
        </w:rPr>
        <w:t>EDITAL DE PREGÃO ELETRÔNICO</w:t>
      </w:r>
      <w:r>
        <w:rPr>
          <w:b/>
          <w:bCs/>
          <w:sz w:val="22"/>
          <w:szCs w:val="22"/>
        </w:rPr>
        <w:t xml:space="preserve"> </w:t>
      </w:r>
    </w:p>
    <w:p>
      <w:pPr>
        <w:pStyle w:val="normal1"/>
        <w:spacing w:lineRule="auto" w:line="360"/>
        <w:ind w:firstLine="567"/>
        <w:jc w:val="center"/>
        <w:rPr>
          <w:sz w:val="22"/>
          <w:szCs w:val="22"/>
        </w:rPr>
      </w:pPr>
      <w:r>
        <w:rPr>
          <w:b/>
          <w:bCs/>
          <w:sz w:val="22"/>
          <w:szCs w:val="22"/>
        </w:rPr>
        <w:t>Nº 186/SMLCP/SULIC/2026</w:t>
      </w:r>
    </w:p>
    <w:p>
      <w:pPr>
        <w:pStyle w:val="normal1"/>
        <w:spacing w:lineRule="auto" w:line="360"/>
        <w:ind w:firstLine="567"/>
        <w:jc w:val="center"/>
        <w:rPr>
          <w:sz w:val="22"/>
          <w:szCs w:val="22"/>
        </w:rPr>
      </w:pPr>
      <w:r>
        <w:rPr>
          <w:sz w:val="22"/>
          <w:szCs w:val="22"/>
        </w:rPr>
      </w:r>
    </w:p>
    <w:p>
      <w:pPr>
        <w:pStyle w:val="normal1"/>
        <w:spacing w:lineRule="auto" w:line="360" w:before="120" w:after="120"/>
        <w:ind w:hanging="0"/>
        <w:jc w:val="both"/>
        <w:rPr>
          <w:b/>
          <w:bCs/>
          <w:color w:val="000000"/>
          <w:sz w:val="22"/>
          <w:szCs w:val="22"/>
        </w:rPr>
      </w:pPr>
      <w:r>
        <w:rPr>
          <w:b/>
          <w:bCs/>
          <w:sz w:val="22"/>
          <w:szCs w:val="22"/>
        </w:rPr>
        <w:t xml:space="preserve">Torna-se público que a Secretaria Municipal de Turismo, Desenvolvimento Econômico e Inovação, por meio da Secretaria Municipal de Licitações, Contratos e Parcerias, sediada na Rua Conselheiro Mafra, 656, sala 501, Centro, Florianópolis/SC, CEP 88010-914, realizará licitação, </w:t>
      </w:r>
      <w:r>
        <w:rPr>
          <w:b/>
          <w:bCs/>
          <w:color w:val="000000"/>
          <w:sz w:val="22"/>
          <w:szCs w:val="22"/>
        </w:rPr>
        <w:t xml:space="preserve">na modalidade PREGÃO, na forma ELETRÔNICA, nos termos da Lei nº 14.133, de 2021, do decreto Municipal 24.954 de </w:t>
      </w:r>
      <w:r>
        <w:rPr>
          <w:b/>
          <w:bCs/>
          <w:sz w:val="22"/>
          <w:szCs w:val="22"/>
        </w:rPr>
        <w:t xml:space="preserve">2023, </w:t>
      </w:r>
      <w:r>
        <w:rPr>
          <w:b/>
          <w:bCs/>
          <w:color w:val="000000"/>
          <w:sz w:val="22"/>
          <w:szCs w:val="22"/>
        </w:rPr>
        <w:t>e demais legislação aplicáveis e, ainda, de acordo com as condições estabelecidas neste Edital.</w:t>
      </w:r>
    </w:p>
    <w:p>
      <w:pPr>
        <w:pStyle w:val="normal1"/>
        <w:numPr>
          <w:ilvl w:val="0"/>
          <w:numId w:val="22"/>
        </w:numPr>
        <w:spacing w:lineRule="auto" w:line="360" w:before="240" w:after="120"/>
        <w:ind w:hanging="0" w:start="0"/>
        <w:jc w:val="both"/>
        <w:rPr>
          <w:color w:val="000000"/>
          <w:sz w:val="22"/>
          <w:szCs w:val="22"/>
        </w:rPr>
      </w:pPr>
      <w:r>
        <w:rPr>
          <w:b/>
          <w:bCs/>
          <w:color w:val="000000"/>
          <w:sz w:val="22"/>
          <w:szCs w:val="22"/>
        </w:rPr>
        <w:t>DAS DISPOSIÇÕES PRELIMINARES</w:t>
      </w:r>
    </w:p>
    <w:p>
      <w:pPr>
        <w:pStyle w:val="normal1"/>
        <w:numPr>
          <w:ilvl w:val="1"/>
          <w:numId w:val="23"/>
        </w:numPr>
        <w:shd w:val="clear" w:fill="FFFFFF"/>
        <w:spacing w:lineRule="auto" w:line="360" w:before="120" w:after="120"/>
        <w:ind w:hanging="0" w:start="1145"/>
        <w:jc w:val="both"/>
        <w:rPr/>
      </w:pPr>
      <w:r>
        <w:rPr>
          <w:color w:val="000000"/>
          <w:sz w:val="22"/>
          <w:szCs w:val="22"/>
        </w:rPr>
        <w:t xml:space="preserve"> </w:t>
      </w:r>
      <w:r>
        <w:rPr>
          <w:color w:val="000000"/>
          <w:sz w:val="22"/>
          <w:szCs w:val="22"/>
        </w:rPr>
        <w:t>O Pregão será realizado em sessão pública, por meio da utilização de recursos de tecnologia da informação - INTERNET, utilizando-se, para tanto, métodos de autenticação de acesso e recursos de criptografia, garantindo segurança em todas as fases do certame.</w:t>
      </w:r>
    </w:p>
    <w:p>
      <w:pPr>
        <w:pStyle w:val="normal1"/>
        <w:numPr>
          <w:ilvl w:val="1"/>
          <w:numId w:val="23"/>
        </w:numPr>
        <w:shd w:val="clear" w:fill="FFFFFF"/>
        <w:spacing w:lineRule="auto" w:line="360" w:before="120" w:after="120"/>
        <w:ind w:hanging="0" w:start="1145"/>
        <w:jc w:val="both"/>
        <w:rPr/>
      </w:pPr>
      <w:r>
        <w:rPr>
          <w:color w:val="000000"/>
          <w:sz w:val="22"/>
          <w:szCs w:val="22"/>
        </w:rPr>
        <w:t xml:space="preserve"> </w:t>
      </w:r>
      <w:r>
        <w:rPr>
          <w:color w:val="000000"/>
          <w:sz w:val="22"/>
          <w:szCs w:val="22"/>
        </w:rPr>
        <w:t xml:space="preserve">Os trabalhos serão conduzidos por servidor público, denominado PREGOEIRO, mediante a inserção e monitoramento de dados gerados ou transferidos para o aplicativo Bolsa Eletrônica de Compras, constante da página eletrônica do Município de Florianópolis, qual seja: </w:t>
      </w:r>
      <w:hyperlink r:id="rId3">
        <w:r>
          <w:rPr>
            <w:rStyle w:val="Style3"/>
            <w:b/>
            <w:bCs/>
            <w:color w:val="1155CC"/>
            <w:sz w:val="22"/>
            <w:szCs w:val="22"/>
            <w:u w:val="single"/>
          </w:rPr>
          <w:t>https://wbc.pmf.sc.gov.br/</w:t>
        </w:r>
      </w:hyperlink>
    </w:p>
    <w:p>
      <w:pPr>
        <w:pStyle w:val="normal1"/>
        <w:numPr>
          <w:ilvl w:val="0"/>
          <w:numId w:val="23"/>
        </w:numPr>
        <w:spacing w:lineRule="auto" w:line="360" w:before="240" w:after="120"/>
        <w:ind w:hanging="0" w:start="720"/>
        <w:jc w:val="both"/>
        <w:rPr>
          <w:color w:val="000000"/>
          <w:sz w:val="22"/>
          <w:szCs w:val="22"/>
        </w:rPr>
      </w:pPr>
      <w:r>
        <w:rPr>
          <w:b/>
          <w:bCs/>
          <w:color w:val="000000"/>
          <w:sz w:val="22"/>
          <w:szCs w:val="22"/>
        </w:rPr>
        <w:t>DO OBJETO</w:t>
      </w:r>
    </w:p>
    <w:p>
      <w:pPr>
        <w:pStyle w:val="normal1"/>
        <w:numPr>
          <w:ilvl w:val="1"/>
          <w:numId w:val="23"/>
        </w:numPr>
        <w:shd w:val="clear" w:fill="FFFFFF"/>
        <w:spacing w:lineRule="auto" w:line="360" w:before="120" w:after="120"/>
        <w:ind w:hanging="0" w:start="1145"/>
        <w:jc w:val="both"/>
        <w:rPr/>
      </w:pPr>
      <w:r>
        <w:rPr>
          <w:color w:val="000000"/>
          <w:sz w:val="22"/>
          <w:szCs w:val="22"/>
        </w:rPr>
        <w:t xml:space="preserve"> </w:t>
      </w:r>
      <w:r>
        <w:rPr>
          <w:color w:val="000000"/>
          <w:sz w:val="22"/>
          <w:szCs w:val="22"/>
        </w:rPr>
        <w:t xml:space="preserve">O presente pregão eletrônico tem como objeto </w:t>
      </w:r>
      <w:r>
        <w:rPr>
          <w:sz w:val="22"/>
          <w:szCs w:val="22"/>
        </w:rPr>
        <w:t xml:space="preserve">a </w:t>
      </w:r>
      <w:r>
        <w:rPr>
          <w:b/>
          <w:bCs/>
          <w:sz w:val="22"/>
          <w:szCs w:val="22"/>
        </w:rPr>
        <w:t>Contratação de empresa especializada na prestação de serviços de show de luzes, montagem e operação técnica para atender um evento do calendário de aniversário de 100 anos da Ponte Hercílio Luz 2026 a ser realizado na Beira Mar Continental Florianópolis/SC, no dia 16/05/2026</w:t>
      </w:r>
      <w:r>
        <w:rPr>
          <w:color w:val="000000"/>
          <w:sz w:val="22"/>
          <w:szCs w:val="22"/>
        </w:rPr>
        <w:t>, conforme especificações, quantitativos e condições estabelecidas nos Anexos e nas condições previstas neste Edital.</w:t>
      </w:r>
    </w:p>
    <w:p>
      <w:pPr>
        <w:pStyle w:val="normal1"/>
        <w:numPr>
          <w:ilvl w:val="1"/>
          <w:numId w:val="23"/>
        </w:numPr>
        <w:shd w:val="clear" w:fill="FFFFFF"/>
        <w:spacing w:lineRule="auto" w:line="360" w:before="120" w:after="120"/>
        <w:ind w:hanging="0" w:start="1145"/>
        <w:jc w:val="both"/>
        <w:rPr/>
      </w:pPr>
      <w:r>
        <w:rPr>
          <w:sz w:val="22"/>
          <w:szCs w:val="22"/>
        </w:rPr>
        <w:t xml:space="preserve">A licitação será dividida em um único item, conforme tabela </w:t>
      </w:r>
      <w:r>
        <w:rPr>
          <w:b/>
          <w:bCs/>
          <w:sz w:val="22"/>
          <w:szCs w:val="22"/>
        </w:rPr>
        <w:t xml:space="preserve">DESCRIÇÃO DA ESPECIFICAÇÃO DO SERVIÇO, </w:t>
      </w:r>
      <w:r>
        <w:rPr>
          <w:sz w:val="22"/>
          <w:szCs w:val="22"/>
        </w:rPr>
        <w:t xml:space="preserve">constante do Termo de Referência. </w:t>
      </w:r>
    </w:p>
    <w:p>
      <w:pPr>
        <w:pStyle w:val="normal1"/>
        <w:numPr>
          <w:ilvl w:val="0"/>
          <w:numId w:val="23"/>
        </w:numPr>
        <w:spacing w:lineRule="auto" w:line="360" w:before="240" w:after="120"/>
        <w:ind w:hanging="0" w:start="720"/>
        <w:jc w:val="both"/>
        <w:rPr>
          <w:color w:val="000000"/>
          <w:sz w:val="22"/>
          <w:szCs w:val="22"/>
        </w:rPr>
      </w:pPr>
      <w:r>
        <w:rPr>
          <w:b/>
          <w:bCs/>
          <w:color w:val="000000"/>
          <w:sz w:val="22"/>
          <w:szCs w:val="22"/>
        </w:rPr>
        <w:t>DO RECEBIMENTO E ABERTURA DAS PROPOSTAS E DA REFERÊNCIA DE TEMPO</w:t>
      </w:r>
    </w:p>
    <w:p>
      <w:pPr>
        <w:pStyle w:val="normal1"/>
        <w:numPr>
          <w:ilvl w:val="1"/>
          <w:numId w:val="23"/>
        </w:numPr>
        <w:shd w:val="clear" w:fill="FFFFFF"/>
        <w:spacing w:lineRule="auto" w:line="360" w:before="120" w:after="120"/>
        <w:ind w:hanging="0" w:start="1145"/>
        <w:jc w:val="both"/>
        <w:rPr/>
      </w:pPr>
      <w:r>
        <w:rPr>
          <w:b/>
          <w:bCs/>
          <w:color w:val="000000"/>
          <w:sz w:val="22"/>
          <w:szCs w:val="22"/>
        </w:rPr>
        <w:t xml:space="preserve"> </w:t>
      </w:r>
      <w:r>
        <w:rPr>
          <w:b/>
          <w:bCs/>
          <w:color w:val="000000"/>
          <w:sz w:val="22"/>
          <w:szCs w:val="22"/>
        </w:rPr>
        <w:t>Recebimento das propostas: De 28 de abril de 202</w:t>
      </w:r>
      <w:r>
        <w:rPr>
          <w:b/>
          <w:bCs/>
          <w:sz w:val="22"/>
          <w:szCs w:val="22"/>
        </w:rPr>
        <w:t>6</w:t>
      </w:r>
      <w:r>
        <w:rPr>
          <w:b/>
          <w:bCs/>
          <w:color w:val="000000"/>
          <w:sz w:val="22"/>
          <w:szCs w:val="22"/>
        </w:rPr>
        <w:t xml:space="preserve"> às 18h até dia 13 de maio de 202</w:t>
      </w:r>
      <w:r>
        <w:rPr>
          <w:b/>
          <w:bCs/>
          <w:sz w:val="22"/>
          <w:szCs w:val="22"/>
        </w:rPr>
        <w:t>6</w:t>
      </w:r>
      <w:r>
        <w:rPr>
          <w:b/>
          <w:bCs/>
          <w:color w:val="000000"/>
          <w:sz w:val="22"/>
          <w:szCs w:val="22"/>
        </w:rPr>
        <w:t>, às 10h.</w:t>
      </w:r>
    </w:p>
    <w:p>
      <w:pPr>
        <w:pStyle w:val="normal1"/>
        <w:numPr>
          <w:ilvl w:val="1"/>
          <w:numId w:val="23"/>
        </w:numPr>
        <w:shd w:val="clear" w:fill="FFFFFF"/>
        <w:spacing w:lineRule="auto" w:line="360" w:before="120" w:after="120"/>
        <w:ind w:hanging="0" w:start="1145"/>
        <w:jc w:val="both"/>
        <w:rPr/>
      </w:pPr>
      <w:r>
        <w:rPr>
          <w:b/>
          <w:bCs/>
          <w:color w:val="000000"/>
          <w:sz w:val="22"/>
          <w:szCs w:val="22"/>
        </w:rPr>
        <w:t xml:space="preserve"> </w:t>
      </w:r>
      <w:r>
        <w:rPr>
          <w:b/>
          <w:bCs/>
          <w:color w:val="000000"/>
          <w:sz w:val="22"/>
          <w:szCs w:val="22"/>
        </w:rPr>
        <w:t>Abertura das propostas: Dia 13 de maio de 202</w:t>
      </w:r>
      <w:r>
        <w:rPr>
          <w:b/>
          <w:bCs/>
          <w:sz w:val="22"/>
          <w:szCs w:val="22"/>
        </w:rPr>
        <w:t>6</w:t>
      </w:r>
      <w:r>
        <w:rPr>
          <w:b/>
          <w:bCs/>
          <w:color w:val="000000"/>
          <w:sz w:val="22"/>
          <w:szCs w:val="22"/>
        </w:rPr>
        <w:t>, às 1</w:t>
      </w:r>
      <w:r>
        <w:rPr>
          <w:b/>
          <w:bCs/>
          <w:color w:val="000000"/>
          <w:sz w:val="22"/>
          <w:szCs w:val="22"/>
        </w:rPr>
        <w:t>0</w:t>
      </w:r>
      <w:r>
        <w:rPr>
          <w:b/>
          <w:bCs/>
          <w:color w:val="000000"/>
          <w:sz w:val="22"/>
          <w:szCs w:val="22"/>
        </w:rPr>
        <w:t>h.</w:t>
      </w:r>
    </w:p>
    <w:p>
      <w:pPr>
        <w:pStyle w:val="normal1"/>
        <w:numPr>
          <w:ilvl w:val="1"/>
          <w:numId w:val="23"/>
        </w:numPr>
        <w:shd w:val="clear" w:fill="FFFFFF"/>
        <w:spacing w:lineRule="auto" w:line="360" w:before="120" w:after="120"/>
        <w:ind w:hanging="0" w:start="1145"/>
        <w:jc w:val="both"/>
        <w:rPr/>
      </w:pPr>
      <w:r>
        <w:rPr>
          <w:b/>
          <w:bCs/>
          <w:color w:val="000000"/>
          <w:sz w:val="22"/>
          <w:szCs w:val="22"/>
        </w:rPr>
        <w:t xml:space="preserve"> </w:t>
      </w:r>
      <w:r>
        <w:rPr>
          <w:b/>
          <w:bCs/>
          <w:color w:val="000000"/>
          <w:sz w:val="22"/>
          <w:szCs w:val="22"/>
        </w:rPr>
        <w:t>Início da sessão da disputa de preços: Dia 13 de maio de 202</w:t>
      </w:r>
      <w:r>
        <w:rPr>
          <w:b/>
          <w:bCs/>
          <w:sz w:val="22"/>
          <w:szCs w:val="22"/>
        </w:rPr>
        <w:t>6</w:t>
      </w:r>
      <w:r>
        <w:rPr>
          <w:b/>
          <w:bCs/>
          <w:color w:val="000000"/>
          <w:sz w:val="22"/>
          <w:szCs w:val="22"/>
        </w:rPr>
        <w:t>, às 1</w:t>
      </w:r>
      <w:r>
        <w:rPr>
          <w:b/>
          <w:bCs/>
          <w:color w:val="000000"/>
          <w:sz w:val="22"/>
          <w:szCs w:val="22"/>
        </w:rPr>
        <w:t>0</w:t>
      </w:r>
      <w:r>
        <w:rPr>
          <w:b/>
          <w:bCs/>
          <w:color w:val="000000"/>
          <w:sz w:val="22"/>
          <w:szCs w:val="22"/>
        </w:rPr>
        <w:t>h01min.</w:t>
      </w:r>
    </w:p>
    <w:p>
      <w:pPr>
        <w:pStyle w:val="normal1"/>
        <w:numPr>
          <w:ilvl w:val="1"/>
          <w:numId w:val="23"/>
        </w:numPr>
        <w:shd w:val="clear" w:fill="FFFFFF"/>
        <w:spacing w:lineRule="auto" w:line="360" w:before="120" w:after="120"/>
        <w:ind w:hanging="0" w:start="1145"/>
        <w:jc w:val="both"/>
        <w:rPr/>
      </w:pPr>
      <w:r>
        <w:rPr>
          <w:color w:val="000000"/>
          <w:sz w:val="22"/>
          <w:szCs w:val="22"/>
        </w:rPr>
        <w:t xml:space="preserve"> </w:t>
      </w:r>
      <w:r>
        <w:rPr>
          <w:color w:val="000000"/>
          <w:sz w:val="22"/>
          <w:szCs w:val="22"/>
        </w:rPr>
        <w:t xml:space="preserve">O fornecedor deverá observar, rigorosamente, as datas e os horários limites previstos para o recebimento e a abertura da proposta, atentando, também, para o </w:t>
      </w:r>
      <w:r>
        <w:rPr>
          <w:sz w:val="22"/>
          <w:szCs w:val="22"/>
        </w:rPr>
        <w:t>início</w:t>
      </w:r>
      <w:r>
        <w:rPr>
          <w:color w:val="000000"/>
          <w:sz w:val="22"/>
          <w:szCs w:val="22"/>
        </w:rPr>
        <w:t xml:space="preserve"> da disputa.</w:t>
      </w:r>
    </w:p>
    <w:p>
      <w:pPr>
        <w:pStyle w:val="normal1"/>
        <w:numPr>
          <w:ilvl w:val="1"/>
          <w:numId w:val="23"/>
        </w:numPr>
        <w:spacing w:lineRule="auto" w:line="360" w:before="120" w:after="120"/>
        <w:ind w:hanging="0" w:start="1145"/>
        <w:jc w:val="both"/>
        <w:rPr/>
      </w:pPr>
      <w:r>
        <w:rPr>
          <w:color w:val="000000"/>
          <w:sz w:val="22"/>
          <w:szCs w:val="22"/>
        </w:rPr>
        <w:t xml:space="preserve"> </w:t>
      </w:r>
      <w:r>
        <w:rPr>
          <w:color w:val="000000"/>
          <w:sz w:val="22"/>
          <w:szCs w:val="22"/>
        </w:rPr>
        <w:t>Todas as referências de tempo no Edital, no Aviso e durante a Sessão Pública, observarão, obrigatoriamente, o horário de Brasília – DF e, dessa forma, serão registradas no sistema eletrônico e na documentação relativa ao certame.</w:t>
      </w:r>
    </w:p>
    <w:p>
      <w:pPr>
        <w:pStyle w:val="normal1"/>
        <w:numPr>
          <w:ilvl w:val="1"/>
          <w:numId w:val="23"/>
        </w:numPr>
        <w:spacing w:lineRule="auto" w:line="360" w:before="120" w:after="120"/>
        <w:ind w:hanging="0" w:start="1145"/>
        <w:jc w:val="both"/>
        <w:rPr/>
      </w:pPr>
      <w:r>
        <w:rPr>
          <w:color w:val="000000"/>
          <w:sz w:val="22"/>
          <w:szCs w:val="22"/>
        </w:rPr>
        <w:t xml:space="preserve"> </w:t>
      </w:r>
      <w:r>
        <w:rPr>
          <w:color w:val="000000"/>
          <w:sz w:val="22"/>
          <w:szCs w:val="22"/>
        </w:rPr>
        <w:t xml:space="preserve">Formalização de consultas: observado o prazo de até 03 (três) dias úteis antes da data fixada para recebimento das propostas, qualquer pessoa poderá formular consultas pelo e-mail: </w:t>
      </w:r>
      <w:r>
        <w:rPr>
          <w:b/>
          <w:bCs/>
          <w:color w:val="000000"/>
          <w:sz w:val="22"/>
          <w:szCs w:val="22"/>
        </w:rPr>
        <w:t>pregao.florianopolis@pmf.sc.gov.br</w:t>
      </w:r>
      <w:r>
        <w:rPr>
          <w:color w:val="000000"/>
          <w:sz w:val="22"/>
          <w:szCs w:val="22"/>
        </w:rPr>
        <w:t xml:space="preserve">. </w:t>
      </w:r>
    </w:p>
    <w:p>
      <w:pPr>
        <w:pStyle w:val="normal1"/>
        <w:numPr>
          <w:ilvl w:val="2"/>
          <w:numId w:val="23"/>
        </w:numPr>
        <w:spacing w:lineRule="auto" w:line="360" w:before="120" w:after="120"/>
        <w:ind w:hanging="0" w:start="1145"/>
        <w:jc w:val="both"/>
        <w:rPr>
          <w:sz w:val="22"/>
          <w:szCs w:val="22"/>
        </w:rPr>
      </w:pPr>
      <w:r>
        <w:rPr>
          <w:color w:val="000000"/>
          <w:sz w:val="22"/>
          <w:szCs w:val="22"/>
        </w:rPr>
        <w:t xml:space="preserve">As respostas aos questionamentos serão disponibilizadas no </w:t>
      </w:r>
      <w:hyperlink r:id="rId4">
        <w:r>
          <w:rPr>
            <w:rStyle w:val="Style3"/>
            <w:b/>
            <w:bCs/>
            <w:color w:val="1155CC"/>
            <w:sz w:val="22"/>
            <w:szCs w:val="22"/>
            <w:u w:val="single"/>
          </w:rPr>
          <w:t>https://wbc.pmf.sc.gov.br/</w:t>
        </w:r>
      </w:hyperlink>
      <w:r>
        <w:rPr>
          <w:b/>
          <w:bCs/>
          <w:sz w:val="22"/>
          <w:szCs w:val="22"/>
        </w:rPr>
        <w:t xml:space="preserve"> </w:t>
      </w:r>
      <w:r>
        <w:rPr>
          <w:color w:val="000000"/>
          <w:sz w:val="22"/>
          <w:szCs w:val="22"/>
        </w:rPr>
        <w:t>no link “Edital na íntegra anexos”, devendo os interessados consultar periodicamente.</w:t>
      </w:r>
    </w:p>
    <w:p>
      <w:pPr>
        <w:pStyle w:val="normal1"/>
        <w:numPr>
          <w:ilvl w:val="0"/>
          <w:numId w:val="23"/>
        </w:numPr>
        <w:spacing w:lineRule="auto" w:line="360" w:before="240" w:after="120"/>
        <w:ind w:hanging="0" w:start="720"/>
        <w:jc w:val="both"/>
        <w:rPr>
          <w:color w:val="000000"/>
          <w:sz w:val="22"/>
          <w:szCs w:val="22"/>
        </w:rPr>
      </w:pPr>
      <w:r>
        <w:rPr>
          <w:b/>
          <w:bCs/>
          <w:color w:val="000000"/>
          <w:sz w:val="22"/>
          <w:szCs w:val="22"/>
        </w:rPr>
        <w:t>DAS CONDIÇÕES DE PARTICIPAÇÃO</w:t>
      </w:r>
    </w:p>
    <w:p>
      <w:pPr>
        <w:pStyle w:val="normal1"/>
        <w:numPr>
          <w:ilvl w:val="1"/>
          <w:numId w:val="23"/>
        </w:numPr>
        <w:spacing w:lineRule="auto" w:line="360" w:before="120" w:after="120"/>
        <w:ind w:hanging="0" w:start="1145"/>
        <w:jc w:val="both"/>
        <w:rPr/>
      </w:pPr>
      <w:r>
        <w:rPr>
          <w:color w:val="000000"/>
          <w:sz w:val="22"/>
          <w:szCs w:val="22"/>
        </w:rPr>
        <w:t xml:space="preserve">Poderão participar deste </w:t>
      </w:r>
      <w:r>
        <w:rPr>
          <w:sz w:val="22"/>
          <w:szCs w:val="22"/>
        </w:rPr>
        <w:t>certame</w:t>
      </w:r>
      <w:r>
        <w:rPr>
          <w:color w:val="000000"/>
          <w:sz w:val="22"/>
          <w:szCs w:val="22"/>
        </w:rPr>
        <w:t xml:space="preserve"> os interessados cujo ramo de atividade seja compatível com o objeto da licitação e que estiverem previamente credenciados no Sistema de WBC </w:t>
      </w:r>
      <w:r>
        <w:rPr>
          <w:sz w:val="22"/>
          <w:szCs w:val="22"/>
        </w:rPr>
        <w:t>(</w:t>
      </w:r>
      <w:hyperlink r:id="rId5">
        <w:r>
          <w:rPr>
            <w:rStyle w:val="Style3"/>
            <w:b/>
            <w:bCs/>
            <w:color w:val="1155CC"/>
            <w:sz w:val="22"/>
            <w:szCs w:val="22"/>
            <w:u w:val="single"/>
          </w:rPr>
          <w:t>https://wbc.pmf.sc.gov.br/</w:t>
        </w:r>
      </w:hyperlink>
      <w:r>
        <w:rPr>
          <w:color w:val="000000"/>
          <w:sz w:val="22"/>
          <w:szCs w:val="22"/>
        </w:rPr>
        <w:t xml:space="preserve">). Para acesso ao sistema eletrônico, os interessados em participar do pregão eletrônico para Contratação, deverão dispor de chave de identificação e senha pessoal e intransferível, obtida no momento de seu credenciamento. </w:t>
      </w:r>
    </w:p>
    <w:p>
      <w:pPr>
        <w:pStyle w:val="normal1"/>
        <w:numPr>
          <w:ilvl w:val="1"/>
          <w:numId w:val="23"/>
        </w:numPr>
        <w:spacing w:lineRule="auto" w:line="360" w:before="120" w:after="120"/>
        <w:ind w:hanging="0" w:start="1145"/>
        <w:jc w:val="both"/>
        <w:rPr/>
      </w:pPr>
      <w:r>
        <w:rPr>
          <w:sz w:val="22"/>
          <w:szCs w:val="22"/>
        </w:rPr>
        <w:t>O licitante deverá comunicar imediatamente ao provedor do sistema qualquer acontecimento que possa comprometer o sigilo ou a segurança, para imediato bloqueio de acesso.</w:t>
      </w:r>
    </w:p>
    <w:p>
      <w:pPr>
        <w:pStyle w:val="normal1"/>
        <w:numPr>
          <w:ilvl w:val="1"/>
          <w:numId w:val="23"/>
        </w:numPr>
        <w:spacing w:lineRule="auto" w:line="360" w:before="120" w:after="120"/>
        <w:ind w:hanging="0" w:start="1145"/>
        <w:jc w:val="both"/>
        <w:rPr/>
      </w:pPr>
      <w:r>
        <w:rPr>
          <w:sz w:val="22"/>
          <w:szCs w:val="22"/>
        </w:rPr>
        <w:t xml:space="preserve"> </w:t>
      </w:r>
      <w:r>
        <w:rPr>
          <w:sz w:val="22"/>
          <w:szCs w:val="22"/>
        </w:rPr>
        <w:t xml:space="preserve">A participação no pregão eletrônico para Contratação se dará por meio de digitação de senha pessoal e intransferível do representante credenciado e subsequente encaminhamento da proposta de preços, exclusivamente por meio do sistema eletrônico, observado data e horário limites estabelecidos. </w:t>
      </w:r>
    </w:p>
    <w:p>
      <w:pPr>
        <w:pStyle w:val="normal1"/>
        <w:numPr>
          <w:ilvl w:val="1"/>
          <w:numId w:val="23"/>
        </w:numPr>
        <w:spacing w:lineRule="auto" w:line="360" w:before="120" w:after="120"/>
        <w:ind w:hanging="0" w:start="1145"/>
        <w:jc w:val="both"/>
        <w:rPr/>
      </w:pPr>
      <w:r>
        <w:rPr>
          <w:sz w:val="22"/>
          <w:szCs w:val="22"/>
        </w:rPr>
        <w:t xml:space="preserve">O encaminhamento de propostas pressupõe o pleno conhecimento e atendimento às exigências de habilitação previstas no Edital. </w:t>
      </w:r>
    </w:p>
    <w:p>
      <w:pPr>
        <w:pStyle w:val="normal1"/>
        <w:numPr>
          <w:ilvl w:val="1"/>
          <w:numId w:val="23"/>
        </w:numPr>
        <w:spacing w:lineRule="auto" w:line="360" w:before="120" w:after="120"/>
        <w:ind w:hanging="0" w:start="1145"/>
        <w:jc w:val="both"/>
        <w:rPr/>
      </w:pPr>
      <w:r>
        <w:rPr>
          <w:sz w:val="22"/>
          <w:szCs w:val="22"/>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pPr>
        <w:pStyle w:val="normal1"/>
        <w:numPr>
          <w:ilvl w:val="1"/>
          <w:numId w:val="23"/>
        </w:numPr>
        <w:spacing w:lineRule="auto" w:line="360" w:before="120" w:after="120"/>
        <w:ind w:hanging="0" w:start="1145"/>
        <w:jc w:val="both"/>
        <w:rPr/>
      </w:pPr>
      <w:r>
        <w:rPr>
          <w:sz w:val="22"/>
          <w:szCs w:val="22"/>
        </w:rPr>
        <w:t>Será concedido tratamento favorecido para as microempresas e empresas de pequeno porte, para as sociedades cooperativas mencionadas no artigo 16 da Lei nº 14.133, de 2021 , para o agricultor familiar, o produtor rural pessoa física e para o microempreendedor individual - MEI, nos limites previstos da Lei Complementar nº 123/2006.</w:t>
      </w:r>
    </w:p>
    <w:p>
      <w:pPr>
        <w:pStyle w:val="normal1"/>
        <w:numPr>
          <w:ilvl w:val="1"/>
          <w:numId w:val="23"/>
        </w:numPr>
        <w:spacing w:lineRule="auto" w:line="360" w:before="120" w:after="120"/>
        <w:ind w:hanging="0" w:start="1145"/>
        <w:jc w:val="both"/>
        <w:rPr/>
      </w:pPr>
      <w:r>
        <w:rPr>
          <w:color w:val="000000"/>
          <w:sz w:val="22"/>
          <w:szCs w:val="22"/>
        </w:rPr>
        <w:t>Não poderão disputar esta licitação:</w:t>
      </w:r>
    </w:p>
    <w:p>
      <w:pPr>
        <w:pStyle w:val="normal1"/>
        <w:numPr>
          <w:ilvl w:val="2"/>
          <w:numId w:val="23"/>
        </w:numPr>
        <w:spacing w:lineRule="auto" w:line="360" w:before="120" w:after="120"/>
        <w:ind w:hanging="720" w:start="1780"/>
        <w:jc w:val="both"/>
        <w:rPr>
          <w:sz w:val="22"/>
          <w:szCs w:val="22"/>
        </w:rPr>
      </w:pPr>
      <w:r>
        <w:rPr>
          <w:color w:val="000000"/>
          <w:sz w:val="22"/>
          <w:szCs w:val="22"/>
        </w:rPr>
        <w:t>Aquele que não atenda às condições deste Edital e seu(s) anexo(s);</w:t>
      </w:r>
    </w:p>
    <w:p>
      <w:pPr>
        <w:pStyle w:val="normal1"/>
        <w:numPr>
          <w:ilvl w:val="2"/>
          <w:numId w:val="23"/>
        </w:numPr>
        <w:spacing w:lineRule="auto" w:line="360" w:before="120" w:after="120"/>
        <w:ind w:hanging="720" w:start="1780"/>
        <w:jc w:val="both"/>
        <w:rPr>
          <w:sz w:val="22"/>
          <w:szCs w:val="22"/>
        </w:rPr>
      </w:pPr>
      <w:r>
        <w:rPr>
          <w:sz w:val="22"/>
          <w:szCs w:val="22"/>
        </w:rPr>
        <w:t>Sociedade que desempenhe atividade incompatível com o objeto da licitação;</w:t>
      </w:r>
    </w:p>
    <w:p>
      <w:pPr>
        <w:pStyle w:val="normal1"/>
        <w:numPr>
          <w:ilvl w:val="2"/>
          <w:numId w:val="23"/>
        </w:numPr>
        <w:spacing w:lineRule="auto" w:line="360" w:before="120" w:after="120"/>
        <w:ind w:hanging="720" w:start="1780"/>
        <w:jc w:val="both"/>
        <w:rPr>
          <w:sz w:val="22"/>
          <w:szCs w:val="22"/>
        </w:rPr>
      </w:pPr>
      <w:r>
        <w:rPr>
          <w:color w:val="000000"/>
          <w:sz w:val="22"/>
          <w:szCs w:val="22"/>
        </w:rPr>
        <w:t>Autor do anteprojeto, do projeto básico ou do projeto executivo, pessoa física ou jurídica, quando a licitação versar sobre serviços ou fornecimento de bens a ele relacionados;</w:t>
      </w:r>
    </w:p>
    <w:p>
      <w:pPr>
        <w:pStyle w:val="normal1"/>
        <w:numPr>
          <w:ilvl w:val="2"/>
          <w:numId w:val="23"/>
        </w:numPr>
        <w:spacing w:lineRule="auto" w:line="360" w:before="120" w:after="120"/>
        <w:ind w:hanging="720" w:start="1780"/>
        <w:jc w:val="both"/>
        <w:rPr>
          <w:sz w:val="22"/>
          <w:szCs w:val="22"/>
        </w:rPr>
      </w:pPr>
      <w:r>
        <w:rPr>
          <w:color w:val="000000"/>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pPr>
        <w:pStyle w:val="normal1"/>
        <w:numPr>
          <w:ilvl w:val="2"/>
          <w:numId w:val="23"/>
        </w:numPr>
        <w:spacing w:lineRule="auto" w:line="360" w:before="120" w:after="120"/>
        <w:ind w:hanging="720" w:start="1780"/>
        <w:jc w:val="both"/>
        <w:rPr>
          <w:sz w:val="22"/>
          <w:szCs w:val="22"/>
        </w:rPr>
      </w:pPr>
      <w:r>
        <w:rPr>
          <w:color w:val="000000"/>
          <w:sz w:val="22"/>
          <w:szCs w:val="22"/>
        </w:rPr>
        <w:t>Pessoa física ou jurídica que se encontre, ao tempo da licitação, impossibilitada de participar da licitação em decorrência de sanção que lhe foi imposta;</w:t>
      </w:r>
    </w:p>
    <w:p>
      <w:pPr>
        <w:pStyle w:val="normal1"/>
        <w:numPr>
          <w:ilvl w:val="2"/>
          <w:numId w:val="23"/>
        </w:numPr>
        <w:spacing w:lineRule="auto" w:line="360" w:before="120" w:after="120"/>
        <w:ind w:hanging="720" w:start="1780"/>
        <w:jc w:val="both"/>
        <w:rPr>
          <w:sz w:val="22"/>
          <w:szCs w:val="22"/>
        </w:rPr>
      </w:pPr>
      <w:r>
        <w:rPr>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1"/>
        <w:numPr>
          <w:ilvl w:val="2"/>
          <w:numId w:val="23"/>
        </w:numPr>
        <w:spacing w:lineRule="auto" w:line="360" w:before="120" w:after="120"/>
        <w:ind w:hanging="720" w:start="1780"/>
        <w:jc w:val="both"/>
        <w:rPr>
          <w:sz w:val="22"/>
          <w:szCs w:val="22"/>
        </w:rPr>
      </w:pPr>
      <w:r>
        <w:rPr>
          <w:color w:val="000000"/>
          <w:sz w:val="22"/>
          <w:szCs w:val="22"/>
        </w:rPr>
        <w:t>Empresas controladoras, controladas ou coligadas, nos termos da Lei nº 6.404, de 15 de dezembro de 1976, concorrendo entre si;</w:t>
      </w:r>
    </w:p>
    <w:p>
      <w:pPr>
        <w:pStyle w:val="normal1"/>
        <w:numPr>
          <w:ilvl w:val="2"/>
          <w:numId w:val="23"/>
        </w:numPr>
        <w:spacing w:lineRule="auto" w:line="360" w:before="120" w:after="120"/>
        <w:ind w:hanging="720" w:start="1780"/>
        <w:jc w:val="both"/>
        <w:rPr>
          <w:sz w:val="22"/>
          <w:szCs w:val="22"/>
        </w:rPr>
      </w:pPr>
      <w:r>
        <w:rPr>
          <w:color w:val="000000"/>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1"/>
        <w:numPr>
          <w:ilvl w:val="1"/>
          <w:numId w:val="23"/>
        </w:numPr>
        <w:spacing w:lineRule="auto" w:line="360" w:before="120" w:after="120"/>
        <w:ind w:hanging="0" w:start="1145"/>
        <w:jc w:val="both"/>
        <w:rPr/>
      </w:pPr>
      <w:r>
        <w:rPr>
          <w:sz w:val="22"/>
          <w:szCs w:val="22"/>
        </w:rPr>
        <w:t>O impedimento de que trata o item 4.7.5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1"/>
        <w:numPr>
          <w:ilvl w:val="1"/>
          <w:numId w:val="23"/>
        </w:numPr>
        <w:spacing w:lineRule="auto" w:line="360" w:before="120" w:after="120"/>
        <w:ind w:hanging="0" w:start="1145"/>
        <w:jc w:val="both"/>
        <w:rPr/>
      </w:pPr>
      <w:r>
        <w:rPr>
          <w:sz w:val="22"/>
          <w:szCs w:val="22"/>
        </w:rPr>
        <w:t>A critério da Administração e exclusivamente a seu serviço, o autor dos projetos e a empresa a que se referem os itens 4.7.3 e 4.7.4 poderão participar no apoio das atividades de planejamento da contratação, de execução da licitação ou de gestão do contrato, desde que sob supervisão exclusiva de agentes públicos do órgão ou entidade.</w:t>
      </w:r>
    </w:p>
    <w:p>
      <w:pPr>
        <w:pStyle w:val="normal1"/>
        <w:numPr>
          <w:ilvl w:val="1"/>
          <w:numId w:val="23"/>
        </w:numPr>
        <w:spacing w:lineRule="auto" w:line="360" w:before="120" w:after="120"/>
        <w:ind w:hanging="0" w:start="1145"/>
        <w:jc w:val="both"/>
        <w:rPr/>
      </w:pPr>
      <w:r>
        <w:rPr>
          <w:sz w:val="22"/>
          <w:szCs w:val="22"/>
        </w:rPr>
        <w:t>Equiparam-se aos autores do projeto as empresas integrantes do mesmo grupo econômico.</w:t>
      </w:r>
    </w:p>
    <w:p>
      <w:pPr>
        <w:pStyle w:val="normal1"/>
        <w:numPr>
          <w:ilvl w:val="1"/>
          <w:numId w:val="23"/>
        </w:numPr>
        <w:spacing w:lineRule="auto" w:line="360" w:before="120" w:after="120"/>
        <w:ind w:hanging="0" w:start="1145"/>
        <w:jc w:val="both"/>
        <w:rPr/>
      </w:pPr>
      <w:r>
        <w:rPr>
          <w:sz w:val="22"/>
          <w:szCs w:val="22"/>
        </w:rPr>
        <w:t>O disposto nos itens 4.7.3 e 4.7.4 não impede a licitação</w:t>
      </w:r>
      <w:r>
        <w:rPr>
          <w:color w:val="000000"/>
          <w:sz w:val="22"/>
          <w:szCs w:val="22"/>
        </w:rPr>
        <w:t xml:space="preserve"> ou a contratação de serviço que inclua como encargo do contratado a elaboração do projeto básico e do projeto executivo, nas contratações integradas, e do projeto executivo, nos demais regimes de execução.</w:t>
      </w:r>
    </w:p>
    <w:p>
      <w:pPr>
        <w:pStyle w:val="normal1"/>
        <w:numPr>
          <w:ilvl w:val="1"/>
          <w:numId w:val="23"/>
        </w:numPr>
        <w:spacing w:lineRule="auto" w:line="360" w:before="120" w:after="120"/>
        <w:ind w:hanging="0" w:start="1145"/>
        <w:jc w:val="both"/>
        <w:rPr/>
      </w:pPr>
      <w:r>
        <w:rPr>
          <w:color w:val="000000"/>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normal1"/>
        <w:numPr>
          <w:ilvl w:val="1"/>
          <w:numId w:val="23"/>
        </w:numPr>
        <w:spacing w:lineRule="auto" w:line="360" w:before="120" w:after="120"/>
        <w:ind w:hanging="0" w:start="1145"/>
        <w:jc w:val="both"/>
        <w:rPr/>
      </w:pPr>
      <w:r>
        <w:rPr>
          <w:color w:val="000000"/>
          <w:sz w:val="22"/>
          <w:szCs w:val="22"/>
        </w:rPr>
        <w:t xml:space="preserve">A vedação de que trata o item </w:t>
      </w:r>
      <w:r>
        <w:rPr>
          <w:sz w:val="22"/>
          <w:szCs w:val="22"/>
        </w:rPr>
        <w:t>4.7.6  estende-se a terceiro</w:t>
      </w:r>
      <w:r>
        <w:rPr>
          <w:color w:val="000000"/>
          <w:sz w:val="22"/>
          <w:szCs w:val="22"/>
        </w:rPr>
        <w:t xml:space="preserve"> que </w:t>
      </w:r>
      <w:r>
        <w:rPr>
          <w:sz w:val="22"/>
          <w:szCs w:val="22"/>
        </w:rPr>
        <w:t>auxilia</w:t>
      </w:r>
      <w:r>
        <w:rPr>
          <w:color w:val="000000"/>
          <w:sz w:val="22"/>
          <w:szCs w:val="22"/>
        </w:rPr>
        <w:t xml:space="preserve"> a condução da contratação na qualidade de integrante de Comissão de Licitação, profissional especializado ou funcionário ou representante de empresa que preste assessoria técnica.</w:t>
      </w:r>
    </w:p>
    <w:p>
      <w:pPr>
        <w:pStyle w:val="normal1"/>
        <w:numPr>
          <w:ilvl w:val="0"/>
          <w:numId w:val="23"/>
        </w:numPr>
        <w:spacing w:lineRule="auto" w:line="360" w:before="240" w:after="120"/>
        <w:ind w:hanging="0" w:start="720"/>
        <w:jc w:val="both"/>
        <w:rPr>
          <w:color w:val="000000"/>
          <w:sz w:val="22"/>
          <w:szCs w:val="22"/>
        </w:rPr>
      </w:pPr>
      <w:r>
        <w:rPr>
          <w:b/>
          <w:bCs/>
          <w:color w:val="000000"/>
          <w:sz w:val="22"/>
          <w:szCs w:val="22"/>
        </w:rPr>
        <w:t>DA APRESENTAÇÃO DA PROPOSTA</w:t>
      </w:r>
    </w:p>
    <w:p>
      <w:pPr>
        <w:pStyle w:val="normal1"/>
        <w:numPr>
          <w:ilvl w:val="1"/>
          <w:numId w:val="23"/>
        </w:numPr>
        <w:spacing w:lineRule="auto" w:line="360" w:before="120" w:after="120"/>
        <w:ind w:hanging="0" w:start="1145"/>
        <w:jc w:val="both"/>
        <w:rPr/>
      </w:pPr>
      <w:r>
        <w:rPr>
          <w:color w:val="000000"/>
          <w:sz w:val="22"/>
          <w:szCs w:val="22"/>
        </w:rPr>
        <w:t>Na presente licitação, a fase de habilitação sucederá as fases de apresentação de propostas e lances e de julgamento.</w:t>
      </w:r>
    </w:p>
    <w:p>
      <w:pPr>
        <w:pStyle w:val="normal1"/>
        <w:numPr>
          <w:ilvl w:val="1"/>
          <w:numId w:val="23"/>
        </w:numPr>
        <w:spacing w:lineRule="auto" w:line="360" w:before="120" w:after="120"/>
        <w:ind w:hanging="0" w:start="1145"/>
        <w:jc w:val="both"/>
        <w:rPr/>
      </w:pPr>
      <w:r>
        <w:rPr>
          <w:color w:val="FF0000"/>
          <w:sz w:val="22"/>
          <w:szCs w:val="22"/>
        </w:rPr>
        <w:t xml:space="preserve"> </w:t>
      </w:r>
      <w:r>
        <w:rPr>
          <w:sz w:val="22"/>
          <w:szCs w:val="22"/>
        </w:rPr>
        <w:t>Os licitantes encaminharão, exclusivamente por meio do sistema, proposta com preço e a marca se o sistema assim o requerer, até a data e o horário estabelecidos em edital, quando, então, encerrar-se-á automaticamente a etapa de registro de proposta.</w:t>
      </w:r>
    </w:p>
    <w:p>
      <w:pPr>
        <w:pStyle w:val="normal1"/>
        <w:numPr>
          <w:ilvl w:val="1"/>
          <w:numId w:val="23"/>
        </w:numPr>
        <w:spacing w:lineRule="auto" w:line="360" w:before="120" w:after="120"/>
        <w:ind w:hanging="0" w:start="1145"/>
        <w:jc w:val="both"/>
        <w:rPr/>
      </w:pPr>
      <w:r>
        <w:rPr>
          <w:color w:val="000000"/>
          <w:sz w:val="22"/>
          <w:szCs w:val="22"/>
        </w:rPr>
        <w:t>No cadastramento da proposta inicial, o licitante declarará, em campo próprio do sistema, que:</w:t>
      </w:r>
    </w:p>
    <w:p>
      <w:pPr>
        <w:pStyle w:val="normal1"/>
        <w:numPr>
          <w:ilvl w:val="2"/>
          <w:numId w:val="23"/>
        </w:numPr>
        <w:spacing w:lineRule="auto" w:line="360" w:before="120" w:after="120"/>
        <w:ind w:hanging="720" w:start="1780"/>
        <w:jc w:val="both"/>
        <w:rPr>
          <w:sz w:val="22"/>
          <w:szCs w:val="22"/>
        </w:rPr>
      </w:pPr>
      <w:r>
        <w:rPr>
          <w:color w:val="000000"/>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1"/>
        <w:numPr>
          <w:ilvl w:val="2"/>
          <w:numId w:val="23"/>
        </w:numPr>
        <w:spacing w:lineRule="auto" w:line="360" w:before="120" w:after="120"/>
        <w:ind w:hanging="720" w:start="1780"/>
        <w:jc w:val="both"/>
        <w:rPr>
          <w:sz w:val="22"/>
          <w:szCs w:val="22"/>
        </w:rPr>
      </w:pPr>
      <w:r>
        <w:rPr>
          <w:color w:val="000000"/>
          <w:sz w:val="22"/>
          <w:szCs w:val="22"/>
        </w:rPr>
        <w:t>Não emprega menor de 18 anos em trabalho noturno, perigoso ou insalubre e não emprega menor de 16 anos, salvo menor, a partir de 14 anos, na condição de aprendiz, nos termos do artigo 7°, XXXIII, da Constituição;</w:t>
      </w:r>
    </w:p>
    <w:p>
      <w:pPr>
        <w:pStyle w:val="normal1"/>
        <w:numPr>
          <w:ilvl w:val="2"/>
          <w:numId w:val="23"/>
        </w:numPr>
        <w:spacing w:lineRule="auto" w:line="360" w:before="120" w:after="120"/>
        <w:ind w:hanging="720" w:start="1780"/>
        <w:jc w:val="both"/>
        <w:rPr>
          <w:sz w:val="22"/>
          <w:szCs w:val="22"/>
        </w:rPr>
      </w:pPr>
      <w:r>
        <w:rPr>
          <w:color w:val="000000"/>
          <w:sz w:val="22"/>
          <w:szCs w:val="22"/>
        </w:rPr>
        <w:t>Não possui empregados executando trabalho degradante ou forçado, observando o disposto nos incisos III e IV do art. 1º e no inciso III do art. 5º da Constituição Federal</w:t>
      </w:r>
    </w:p>
    <w:p>
      <w:pPr>
        <w:pStyle w:val="normal1"/>
        <w:numPr>
          <w:ilvl w:val="2"/>
          <w:numId w:val="23"/>
        </w:numPr>
        <w:spacing w:lineRule="auto" w:line="360" w:before="120" w:after="120"/>
        <w:ind w:hanging="720" w:start="1780"/>
        <w:jc w:val="both"/>
        <w:rPr>
          <w:sz w:val="22"/>
          <w:szCs w:val="22"/>
        </w:rPr>
      </w:pPr>
      <w:r>
        <w:rPr>
          <w:color w:val="000000"/>
          <w:sz w:val="22"/>
          <w:szCs w:val="22"/>
        </w:rPr>
        <w:t>Cumpre as exigências de reserva de cargos para pessoa com deficiência e para reabilitado da Previdência Social, previstas em lei e em outras normas específicas.</w:t>
      </w:r>
    </w:p>
    <w:p>
      <w:pPr>
        <w:pStyle w:val="normal1"/>
        <w:numPr>
          <w:ilvl w:val="1"/>
          <w:numId w:val="23"/>
        </w:numPr>
        <w:spacing w:lineRule="auto" w:line="360" w:before="120" w:after="120"/>
        <w:ind w:hanging="0" w:start="1145"/>
        <w:jc w:val="both"/>
        <w:rPr/>
      </w:pPr>
      <w:r>
        <w:rPr>
          <w:sz w:val="22"/>
          <w:szCs w:val="22"/>
        </w:rPr>
        <w:t>O licitante organizado em cooperativa deverá declarar, ainda, em campo próprio do sistema, que cumpre os requisitos estabelecidos no artigo 16 da Lei nº 14.133, de 2021.</w:t>
      </w:r>
    </w:p>
    <w:p>
      <w:pPr>
        <w:pStyle w:val="normal1"/>
        <w:numPr>
          <w:ilvl w:val="1"/>
          <w:numId w:val="23"/>
        </w:numPr>
        <w:spacing w:lineRule="auto" w:line="360" w:before="120" w:after="120"/>
        <w:ind w:hanging="0" w:start="1145"/>
        <w:jc w:val="both"/>
        <w:rPr/>
      </w:pPr>
      <w:r>
        <w:rPr>
          <w:b/>
          <w:bCs/>
          <w:sz w:val="22"/>
          <w:szCs w:val="22"/>
        </w:rPr>
        <w:t>Caso o certame tenha cotas reservada e exclusivas</w:t>
      </w:r>
      <w:r>
        <w:rPr>
          <w:sz w:val="22"/>
          <w:szCs w:val="22"/>
        </w:rPr>
        <w:t>, o  fornecedor quando enquadrado como microempresa, empresa de pequeno porte ou sociedade cooperativa deverá declarar, ainda, em campo próprio do sistema, que cumpre os requisitos estabelecidos no artigo 3° da Lei Complementar nº 123, de 2006, estando apto a usufruir do tratamento favorecido estabelecido em seus arts. 42 a 49, observado o disposto nos §§ 1º ao 3º do art. 4º, da Lei n.º 14.133, de 2021.</w:t>
      </w:r>
    </w:p>
    <w:p>
      <w:pPr>
        <w:pStyle w:val="normal1"/>
        <w:numPr>
          <w:ilvl w:val="1"/>
          <w:numId w:val="23"/>
        </w:numPr>
        <w:spacing w:lineRule="auto" w:line="360" w:before="120" w:after="120"/>
        <w:ind w:hanging="0" w:start="1145"/>
        <w:jc w:val="both"/>
        <w:rPr/>
      </w:pPr>
      <w:r>
        <w:rPr>
          <w:sz w:val="22"/>
          <w:szCs w:val="22"/>
        </w:rPr>
        <w:t>A falsidade da declaração de que trata os itens 5.3 a 5.5 sujeitará o licitante às sanções previstas na Lei nº 14.133, de 2021, e neste Edital.</w:t>
      </w:r>
    </w:p>
    <w:p>
      <w:pPr>
        <w:pStyle w:val="normal1"/>
        <w:numPr>
          <w:ilvl w:val="1"/>
          <w:numId w:val="23"/>
        </w:numPr>
        <w:spacing w:lineRule="auto" w:line="360" w:before="120" w:after="120"/>
        <w:ind w:hanging="0" w:start="1145"/>
        <w:jc w:val="both"/>
        <w:rPr/>
      </w:pPr>
      <w:r>
        <w:rPr>
          <w:color w:val="000000"/>
          <w:sz w:val="22"/>
          <w:szCs w:val="22"/>
        </w:rPr>
        <w:t>Até a abertura da sessão pública, os licitantes poderão retirar ou substituir a proposta anteriormente inserida no sistema.</w:t>
      </w:r>
    </w:p>
    <w:p>
      <w:pPr>
        <w:pStyle w:val="normal1"/>
        <w:numPr>
          <w:ilvl w:val="1"/>
          <w:numId w:val="23"/>
        </w:numPr>
        <w:spacing w:lineRule="auto" w:line="360" w:before="120" w:after="120"/>
        <w:ind w:hanging="0" w:start="1145"/>
        <w:jc w:val="both"/>
        <w:rPr/>
      </w:pPr>
      <w:r>
        <w:rPr>
          <w:color w:val="000000"/>
          <w:sz w:val="22"/>
          <w:szCs w:val="22"/>
        </w:rPr>
        <w:t xml:space="preserve">Não será estabelecida, </w:t>
      </w:r>
      <w:r>
        <w:rPr>
          <w:sz w:val="22"/>
          <w:szCs w:val="22"/>
        </w:rPr>
        <w:t>nesta</w:t>
      </w:r>
      <w:r>
        <w:rPr>
          <w:color w:val="000000"/>
          <w:sz w:val="22"/>
          <w:szCs w:val="22"/>
        </w:rPr>
        <w:t xml:space="preserve"> etapa do certame, ordem de classificação entre as propostas apresentadas, o que somente ocorrerá após a realização dos procedimentos de negociação e julgamento da proposta.</w:t>
      </w:r>
    </w:p>
    <w:p>
      <w:pPr>
        <w:pStyle w:val="normal1"/>
        <w:numPr>
          <w:ilvl w:val="1"/>
          <w:numId w:val="23"/>
        </w:numPr>
        <w:spacing w:lineRule="auto" w:line="360" w:before="120" w:after="120"/>
        <w:ind w:hanging="0" w:start="1145"/>
        <w:jc w:val="both"/>
        <w:rPr/>
      </w:pPr>
      <w:r>
        <w:rPr>
          <w:color w:val="000000"/>
          <w:sz w:val="22"/>
          <w:szCs w:val="22"/>
        </w:rPr>
        <w:t>Os documentos que compõem a habilitação do licitante melhor classificado somente serão disponibilizados para avaliação do pregoeiro e para acesso público após o encerramento do envio de lances.</w:t>
      </w:r>
    </w:p>
    <w:p>
      <w:pPr>
        <w:pStyle w:val="normal1"/>
        <w:numPr>
          <w:ilvl w:val="1"/>
          <w:numId w:val="23"/>
        </w:numPr>
        <w:spacing w:lineRule="auto" w:line="360" w:before="120" w:after="120"/>
        <w:ind w:hanging="0" w:start="1145"/>
        <w:jc w:val="both"/>
        <w:rPr/>
      </w:pPr>
      <w:r>
        <w:rPr>
          <w:color w:val="000000"/>
          <w:sz w:val="22"/>
          <w:szCs w:val="22"/>
        </w:rPr>
        <w:t xml:space="preserve">Na descrição dos materiais que, em ocorrendo diferenças entre as especificações constantes do presente edital e a descrição dos materiais no sistema eletrônico, prevalecerão sempre as constantes deste edital. </w:t>
      </w:r>
    </w:p>
    <w:p>
      <w:pPr>
        <w:pStyle w:val="normal1"/>
        <w:numPr>
          <w:ilvl w:val="1"/>
          <w:numId w:val="23"/>
        </w:numPr>
        <w:spacing w:lineRule="auto" w:line="360" w:before="120" w:after="120"/>
        <w:ind w:hanging="0" w:start="1145"/>
        <w:jc w:val="both"/>
        <w:rPr/>
      </w:pPr>
      <w:r>
        <w:rPr>
          <w:color w:val="000000"/>
          <w:sz w:val="22"/>
          <w:szCs w:val="22"/>
        </w:rPr>
        <w:t>A condição de microempresa e empresa de pequeno porte, para efeito do tratamento diferenciado previsto na Lei Complementar n.º 123/2006,</w:t>
      </w:r>
      <w:r>
        <w:rPr>
          <w:b/>
          <w:bCs/>
          <w:sz w:val="22"/>
          <w:szCs w:val="22"/>
        </w:rPr>
        <w:t xml:space="preserve"> se for o caso do certame,</w:t>
      </w:r>
      <w:r>
        <w:rPr>
          <w:color w:val="000000"/>
          <w:sz w:val="22"/>
          <w:szCs w:val="22"/>
        </w:rPr>
        <w:t xml:space="preserve"> deverá ser informada no acesso ao Pregão, marcando-se a opção “sim” quando solicitado pelo sistema.</w:t>
      </w:r>
    </w:p>
    <w:p>
      <w:pPr>
        <w:pStyle w:val="normal1"/>
        <w:numPr>
          <w:ilvl w:val="1"/>
          <w:numId w:val="23"/>
        </w:numPr>
        <w:spacing w:lineRule="auto" w:line="360" w:before="120" w:after="120"/>
        <w:ind w:hanging="0" w:start="1145"/>
        <w:jc w:val="both"/>
        <w:rPr/>
      </w:pPr>
      <w:r>
        <w:rPr>
          <w:color w:val="000000"/>
          <w:sz w:val="22"/>
          <w:szCs w:val="22"/>
        </w:rPr>
        <w:t xml:space="preserve">Desde que disponibilizada a funcionalidade no sistema, o licitante poderá parametrizar o seu valor final mínimo quando do cadastramento da proposta e obedecerá às seguintes regras: </w:t>
      </w:r>
    </w:p>
    <w:p>
      <w:pPr>
        <w:pStyle w:val="normal1"/>
        <w:keepNext w:val="false"/>
        <w:keepLines w:val="false"/>
        <w:pageBreakBefore w:val="false"/>
        <w:widowControl/>
        <w:numPr>
          <w:ilvl w:val="2"/>
          <w:numId w:val="23"/>
        </w:numPr>
        <w:shd w:val="clear" w:fill="auto"/>
        <w:spacing w:lineRule="auto" w:line="360" w:before="120" w:after="120"/>
        <w:ind w:hanging="720" w:start="1780" w:end="0"/>
        <w:jc w:val="both"/>
        <w:rPr>
          <w:sz w:val="22"/>
          <w:szCs w:val="22"/>
        </w:rPr>
      </w:pPr>
      <w:r>
        <w:rPr>
          <w:color w:val="000000"/>
          <w:sz w:val="22"/>
          <w:szCs w:val="22"/>
        </w:rPr>
        <w:t>A aplicação do intervalo mínimo de diferença de valores entre os lances, que incidirá tanto em relação aos lances intermediários quanto em relação ao lance que cobrir a melhor oferta; e</w:t>
      </w:r>
    </w:p>
    <w:p>
      <w:pPr>
        <w:pStyle w:val="normal1"/>
        <w:keepNext w:val="false"/>
        <w:keepLines w:val="false"/>
        <w:pageBreakBefore w:val="false"/>
        <w:widowControl/>
        <w:numPr>
          <w:ilvl w:val="2"/>
          <w:numId w:val="23"/>
        </w:numPr>
        <w:shd w:val="clear" w:fill="auto"/>
        <w:spacing w:lineRule="auto" w:line="360" w:before="120" w:after="120"/>
        <w:ind w:hanging="720" w:start="1780" w:end="0"/>
        <w:jc w:val="both"/>
        <w:rPr>
          <w:sz w:val="22"/>
          <w:szCs w:val="22"/>
        </w:rPr>
      </w:pPr>
      <w:r>
        <w:rPr>
          <w:color w:val="000000"/>
          <w:sz w:val="22"/>
          <w:szCs w:val="22"/>
        </w:rPr>
        <w:t>Os lances serão de envio automático pelo sistema, respeitado o valor final mínimo, caso estabelecido, e o intervalo de que trata o subitem acima.</w:t>
      </w:r>
    </w:p>
    <w:p>
      <w:pPr>
        <w:pStyle w:val="normal1"/>
        <w:numPr>
          <w:ilvl w:val="1"/>
          <w:numId w:val="23"/>
        </w:numPr>
        <w:spacing w:lineRule="auto" w:line="360" w:before="120" w:after="120"/>
        <w:ind w:hanging="0" w:start="1145"/>
        <w:jc w:val="both"/>
        <w:rPr/>
      </w:pPr>
      <w:r>
        <w:rPr>
          <w:color w:val="000000"/>
          <w:sz w:val="22"/>
          <w:szCs w:val="22"/>
        </w:rPr>
        <w:t>O valor final mínimo</w:t>
      </w:r>
      <w:r>
        <w:rPr>
          <w:sz w:val="22"/>
          <w:szCs w:val="22"/>
        </w:rPr>
        <w:t xml:space="preserve"> </w:t>
      </w:r>
      <w:r>
        <w:rPr>
          <w:color w:val="000000"/>
          <w:sz w:val="22"/>
          <w:szCs w:val="22"/>
        </w:rPr>
        <w:t>parametrizado no sistema poderá ser alterado pelo fornecedor durante a fase de disputa, sendo vedado</w:t>
      </w:r>
      <w:r>
        <w:rPr>
          <w:sz w:val="22"/>
          <w:szCs w:val="22"/>
        </w:rPr>
        <w:t xml:space="preserve"> v</w:t>
      </w:r>
      <w:r>
        <w:rPr>
          <w:color w:val="000000"/>
          <w:sz w:val="22"/>
          <w:szCs w:val="22"/>
        </w:rPr>
        <w:t>alor superior a lance já registrado pelo fornecedor no sistema, quando adotado o critério de julgamento por menor preço; e</w:t>
      </w:r>
    </w:p>
    <w:p>
      <w:pPr>
        <w:pStyle w:val="normal1"/>
        <w:numPr>
          <w:ilvl w:val="1"/>
          <w:numId w:val="23"/>
        </w:numPr>
        <w:spacing w:lineRule="auto" w:line="360" w:before="120" w:after="120"/>
        <w:ind w:hanging="0" w:start="1145"/>
        <w:jc w:val="both"/>
        <w:rPr/>
      </w:pPr>
      <w:r>
        <w:rPr>
          <w:color w:val="000000"/>
          <w:sz w:val="22"/>
          <w:szCs w:val="22"/>
        </w:rPr>
        <w:t>O valor final mínimo parametrizado na forma d</w:t>
      </w:r>
      <w:r>
        <w:rPr>
          <w:sz w:val="22"/>
          <w:szCs w:val="22"/>
        </w:rPr>
        <w:t xml:space="preserve">o item 5.13, </w:t>
      </w:r>
      <w:r>
        <w:rPr>
          <w:color w:val="000000"/>
          <w:sz w:val="22"/>
          <w:szCs w:val="22"/>
        </w:rPr>
        <w:t>possuirá caráter sigiloso para os demais fornecedores e para o órgão ou entidade promotora da licitação, podendo ser disponibilizado estritamente e permanentemente aos órgãos de controle externo e interno.</w:t>
      </w:r>
    </w:p>
    <w:p>
      <w:pPr>
        <w:pStyle w:val="normal1"/>
        <w:numPr>
          <w:ilvl w:val="1"/>
          <w:numId w:val="23"/>
        </w:numPr>
        <w:spacing w:lineRule="auto" w:line="360" w:before="120" w:after="120"/>
        <w:ind w:hanging="0" w:start="1145"/>
        <w:jc w:val="both"/>
        <w:rPr/>
      </w:pPr>
      <w:r>
        <w:rPr>
          <w:color w:val="000000"/>
          <w:sz w:val="22"/>
          <w:szCs w:val="22"/>
        </w:rPr>
        <w:t>O prazo de validade da proposta não será inferior a 60 (sessenta) dias, a contar da data de sua apresentação.</w:t>
      </w:r>
    </w:p>
    <w:p>
      <w:pPr>
        <w:pStyle w:val="normal1"/>
        <w:numPr>
          <w:ilvl w:val="1"/>
          <w:numId w:val="23"/>
        </w:numPr>
        <w:spacing w:lineRule="auto" w:line="360" w:before="120" w:after="120"/>
        <w:ind w:hanging="0" w:start="1145"/>
        <w:jc w:val="both"/>
        <w:rPr/>
      </w:pPr>
      <w:r>
        <w:rPr>
          <w:sz w:val="22"/>
          <w:szCs w:val="22"/>
        </w:rPr>
        <w:t>Todas as especificações do objeto contidas na proposta vinculam o licitante.</w:t>
      </w:r>
    </w:p>
    <w:p>
      <w:pPr>
        <w:pStyle w:val="normal1"/>
        <w:numPr>
          <w:ilvl w:val="1"/>
          <w:numId w:val="23"/>
        </w:numPr>
        <w:spacing w:lineRule="auto" w:line="360" w:before="120" w:after="120"/>
        <w:ind w:hanging="0" w:start="1145"/>
        <w:jc w:val="both"/>
        <w:rPr/>
      </w:pPr>
      <w:r>
        <w:rPr>
          <w:sz w:val="22"/>
          <w:szCs w:val="22"/>
        </w:rPr>
        <w:t>Nos valores propostos estarão inclusos todos os custos operacionais, encargos previdenciários, trabalhistas, tributários, comerciais e quaisquer outros que incidam direta ou indiretamente na execução do objeto.</w:t>
      </w:r>
    </w:p>
    <w:p>
      <w:pPr>
        <w:pStyle w:val="normal1"/>
        <w:numPr>
          <w:ilvl w:val="1"/>
          <w:numId w:val="23"/>
        </w:numPr>
        <w:spacing w:lineRule="auto" w:line="360" w:before="120" w:after="120"/>
        <w:ind w:hanging="0" w:start="1145"/>
        <w:jc w:val="both"/>
        <w:rPr/>
      </w:pPr>
      <w:r>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normal1"/>
        <w:numPr>
          <w:ilvl w:val="0"/>
          <w:numId w:val="23"/>
        </w:numPr>
        <w:spacing w:lineRule="auto" w:line="360" w:before="240" w:after="120"/>
        <w:ind w:hanging="0" w:start="720"/>
        <w:jc w:val="both"/>
        <w:rPr>
          <w:color w:val="000000"/>
          <w:sz w:val="22"/>
          <w:szCs w:val="22"/>
        </w:rPr>
      </w:pPr>
      <w:r>
        <w:rPr>
          <w:b/>
          <w:bCs/>
          <w:color w:val="000000"/>
          <w:sz w:val="22"/>
          <w:szCs w:val="22"/>
        </w:rPr>
        <w:t>DOS PROCEDIMENTOS</w:t>
      </w:r>
    </w:p>
    <w:p>
      <w:pPr>
        <w:pStyle w:val="normal1"/>
        <w:numPr>
          <w:ilvl w:val="1"/>
          <w:numId w:val="23"/>
        </w:numPr>
        <w:spacing w:lineRule="auto" w:line="360" w:before="120" w:after="120"/>
        <w:ind w:hanging="0" w:start="1145"/>
        <w:jc w:val="both"/>
        <w:rPr/>
      </w:pPr>
      <w:r>
        <w:rPr>
          <w:color w:val="000000"/>
          <w:sz w:val="22"/>
          <w:szCs w:val="22"/>
        </w:rPr>
        <w:t>O sistema disponibilizará campo próprio para troca de mensagens entre o Pregoeiro e os licitantes.</w:t>
      </w:r>
    </w:p>
    <w:p>
      <w:pPr>
        <w:pStyle w:val="normal1"/>
        <w:numPr>
          <w:ilvl w:val="1"/>
          <w:numId w:val="23"/>
        </w:numPr>
        <w:spacing w:lineRule="auto" w:line="360" w:before="120" w:after="120"/>
        <w:ind w:hanging="0" w:start="1145"/>
        <w:jc w:val="both"/>
        <w:rPr/>
      </w:pPr>
      <w:r>
        <w:rPr>
          <w:color w:val="000000"/>
          <w:sz w:val="22"/>
          <w:szCs w:val="22"/>
        </w:rPr>
        <w:t xml:space="preserve">Iniciada a etapa competitiva, os licitantes deverão encaminhar lances exclusivamente por meio de sistema eletrônico, sendo imediatamente informados do seu recebimento e do valor consignado no registro. </w:t>
      </w:r>
    </w:p>
    <w:p>
      <w:pPr>
        <w:pStyle w:val="normal1"/>
        <w:numPr>
          <w:ilvl w:val="1"/>
          <w:numId w:val="23"/>
        </w:numPr>
        <w:spacing w:lineRule="auto" w:line="360" w:before="120" w:after="120"/>
        <w:ind w:hanging="0" w:start="1145"/>
        <w:jc w:val="both"/>
        <w:rPr/>
      </w:pPr>
      <w:r>
        <w:rPr>
          <w:color w:val="000000"/>
          <w:sz w:val="22"/>
          <w:szCs w:val="22"/>
        </w:rPr>
        <w:t xml:space="preserve">O registro da proposta e o lance deverão ser ofertados pelo </w:t>
      </w:r>
      <w:r>
        <w:rPr>
          <w:b/>
          <w:bCs/>
          <w:color w:val="000000"/>
          <w:sz w:val="22"/>
          <w:szCs w:val="22"/>
        </w:rPr>
        <w:t>valor global.</w:t>
      </w:r>
    </w:p>
    <w:p>
      <w:pPr>
        <w:pStyle w:val="normal1"/>
        <w:numPr>
          <w:ilvl w:val="1"/>
          <w:numId w:val="23"/>
        </w:numPr>
        <w:spacing w:lineRule="auto" w:line="360" w:before="120" w:after="120"/>
        <w:ind w:hanging="0" w:start="1145"/>
        <w:jc w:val="both"/>
        <w:rPr/>
      </w:pPr>
      <w:r>
        <w:rPr>
          <w:color w:val="000000"/>
          <w:sz w:val="22"/>
          <w:szCs w:val="22"/>
        </w:rPr>
        <w:t>Os licitantes poderão oferecer lances sucessivos, observando o horário fixado para abertura da sessão e as regras estabelecidas no Edital.</w:t>
      </w:r>
    </w:p>
    <w:p>
      <w:pPr>
        <w:pStyle w:val="normal1"/>
        <w:numPr>
          <w:ilvl w:val="1"/>
          <w:numId w:val="23"/>
        </w:numPr>
        <w:spacing w:lineRule="auto" w:line="360" w:before="120" w:after="120"/>
        <w:ind w:hanging="0" w:start="1145"/>
        <w:jc w:val="both"/>
        <w:rPr/>
      </w:pPr>
      <w:r>
        <w:rPr>
          <w:color w:val="000000"/>
          <w:sz w:val="22"/>
          <w:szCs w:val="22"/>
        </w:rPr>
        <w:t xml:space="preserve">O licitante somente poderá oferecer lance de </w:t>
      </w:r>
      <w:r>
        <w:rPr>
          <w:b/>
          <w:bCs/>
          <w:color w:val="000000"/>
          <w:sz w:val="22"/>
          <w:szCs w:val="22"/>
        </w:rPr>
        <w:t xml:space="preserve">menor preço </w:t>
      </w:r>
      <w:r>
        <w:rPr>
          <w:color w:val="000000"/>
          <w:sz w:val="22"/>
          <w:szCs w:val="22"/>
        </w:rPr>
        <w:t xml:space="preserve">ao último por ele ofertado e registrado pelo sistema. </w:t>
      </w:r>
    </w:p>
    <w:p>
      <w:pPr>
        <w:pStyle w:val="normal1"/>
        <w:numPr>
          <w:ilvl w:val="1"/>
          <w:numId w:val="23"/>
        </w:numPr>
        <w:spacing w:lineRule="auto" w:line="360" w:before="120" w:after="120"/>
        <w:ind w:hanging="0" w:start="1145"/>
        <w:jc w:val="both"/>
        <w:rPr/>
      </w:pPr>
      <w:bookmarkStart w:id="0" w:name="_heading=h.1ci93xb"/>
      <w:bookmarkEnd w:id="0"/>
      <w:r>
        <w:rPr>
          <w:color w:val="000000"/>
          <w:sz w:val="22"/>
          <w:szCs w:val="22"/>
        </w:rPr>
        <w:t>O intervalo mínimo de diferença de valores ou percentuais entre os lances, que incidirá tanto em relação aos lances intermediários quanto em relação à proposta que cobrir a melhor oferta deverá ser de R$0,01 (um centavo) de valor inferior</w:t>
      </w:r>
      <w:r>
        <w:rPr>
          <w:sz w:val="22"/>
          <w:szCs w:val="22"/>
        </w:rPr>
        <w:t>.</w:t>
      </w:r>
    </w:p>
    <w:p>
      <w:pPr>
        <w:pStyle w:val="normal1"/>
        <w:numPr>
          <w:ilvl w:val="1"/>
          <w:numId w:val="23"/>
        </w:numPr>
        <w:spacing w:lineRule="auto" w:line="360" w:before="120" w:after="120"/>
        <w:ind w:hanging="0" w:start="1145"/>
        <w:jc w:val="both"/>
        <w:rPr/>
      </w:pPr>
      <w:r>
        <w:rPr>
          <w:color w:val="000000"/>
          <w:sz w:val="22"/>
          <w:szCs w:val="22"/>
        </w:rPr>
        <w:t>A sessão de lances se dará nos termos do art. 22 da I</w:t>
      </w:r>
      <w:r>
        <w:rPr>
          <w:sz w:val="22"/>
          <w:szCs w:val="22"/>
        </w:rPr>
        <w:t>nstrução Normativa n.</w:t>
      </w:r>
      <w:r>
        <w:rPr>
          <w:color w:val="000000"/>
          <w:sz w:val="22"/>
          <w:szCs w:val="22"/>
        </w:rPr>
        <w:t xml:space="preserve"> 73/2022, no modo </w:t>
      </w:r>
      <w:r>
        <w:rPr>
          <w:sz w:val="22"/>
          <w:szCs w:val="22"/>
        </w:rPr>
        <w:t>aberto, com o rito a seguir.</w:t>
      </w:r>
    </w:p>
    <w:p>
      <w:pPr>
        <w:pStyle w:val="normal1"/>
        <w:numPr>
          <w:ilvl w:val="1"/>
          <w:numId w:val="23"/>
        </w:numPr>
        <w:shd w:val="clear" w:fill="FFFFFF"/>
        <w:spacing w:lineRule="auto" w:line="420" w:before="0" w:after="300"/>
        <w:ind w:hanging="0" w:start="1145"/>
        <w:jc w:val="both"/>
        <w:rPr/>
      </w:pPr>
      <w:r>
        <w:rPr>
          <w:color w:val="555555"/>
          <w:sz w:val="22"/>
          <w:szCs w:val="22"/>
        </w:rPr>
        <w:t xml:space="preserve"> </w:t>
      </w:r>
      <w:r>
        <w:rPr>
          <w:sz w:val="22"/>
          <w:szCs w:val="22"/>
        </w:rPr>
        <w:t>No modo de disputa aberto, a etapa de envio de lances durará dez minutos e, após isso, será prorrogada automaticamente pelo sistema quando houver lance ofertado nos últimos dois minutos do período de duração desta etapa.</w:t>
      </w:r>
    </w:p>
    <w:p>
      <w:pPr>
        <w:pStyle w:val="normal1"/>
        <w:shd w:val="clear" w:fill="FFFFFF"/>
        <w:spacing w:lineRule="auto" w:line="420" w:before="0" w:after="300"/>
        <w:ind w:hanging="0" w:start="1145"/>
        <w:jc w:val="both"/>
        <w:rPr>
          <w:sz w:val="22"/>
          <w:szCs w:val="22"/>
        </w:rPr>
      </w:pPr>
      <w:r>
        <w:rPr>
          <w:sz w:val="22"/>
          <w:szCs w:val="22"/>
        </w:rPr>
        <w:t>6.8.1. A prorrogação automática da etapa de envio de lances será de dois minutos e ocorrerá sucessivamente sempre que houver lances enviados neste período de prorrogação, inclusive quando se tratar de lances intermediários.</w:t>
      </w:r>
    </w:p>
    <w:p>
      <w:pPr>
        <w:pStyle w:val="normal1"/>
        <w:shd w:val="clear" w:fill="FFFFFF"/>
        <w:spacing w:lineRule="auto" w:line="420" w:before="0" w:after="300"/>
        <w:ind w:hanging="0" w:start="1145"/>
        <w:jc w:val="both"/>
        <w:rPr/>
      </w:pPr>
      <w:r>
        <w:rPr>
          <w:sz w:val="22"/>
          <w:szCs w:val="22"/>
        </w:rPr>
        <w:t>6.8.2. Na hipótese de não haver novos lances na forma estabelecida nos subitens anteriores, a etapa será encerrada automaticamente, e o sistema ordenará e divulgará os lances.</w:t>
      </w:r>
    </w:p>
    <w:p>
      <w:pPr>
        <w:pStyle w:val="normal1"/>
        <w:numPr>
          <w:ilvl w:val="1"/>
          <w:numId w:val="23"/>
        </w:numPr>
        <w:spacing w:lineRule="auto" w:line="360" w:before="120" w:after="120"/>
        <w:ind w:hanging="0" w:start="1145"/>
        <w:jc w:val="both"/>
        <w:rPr/>
      </w:pPr>
      <w:r>
        <w:rPr>
          <w:color w:val="000000"/>
          <w:sz w:val="22"/>
          <w:szCs w:val="22"/>
        </w:rPr>
        <w:t>Durante o transcurso da sessão pública, os licitantes serão informados, em tempo real, do valor do</w:t>
      </w:r>
      <w:r>
        <w:rPr>
          <w:b/>
          <w:bCs/>
          <w:color w:val="000000"/>
          <w:sz w:val="22"/>
          <w:szCs w:val="22"/>
        </w:rPr>
        <w:t xml:space="preserve"> menor lance registrado</w:t>
      </w:r>
      <w:r>
        <w:rPr>
          <w:color w:val="000000"/>
          <w:sz w:val="22"/>
          <w:szCs w:val="22"/>
        </w:rPr>
        <w:t xml:space="preserve">, vedada a identificação do licitante. </w:t>
      </w:r>
    </w:p>
    <w:p>
      <w:pPr>
        <w:pStyle w:val="normal1"/>
        <w:numPr>
          <w:ilvl w:val="1"/>
          <w:numId w:val="23"/>
        </w:numPr>
        <w:spacing w:lineRule="auto" w:line="360" w:before="120" w:after="120"/>
        <w:ind w:hanging="0" w:start="1145"/>
        <w:jc w:val="both"/>
        <w:rPr/>
      </w:pPr>
      <w:r>
        <w:rPr>
          <w:color w:val="000000"/>
          <w:sz w:val="22"/>
          <w:szCs w:val="22"/>
        </w:rPr>
        <w:t>Em caso de falha no sistema, os lances em desacordo com os subitens anteriores deverão ser desconsiderados pelo pregoeiro, devendo a ocorrência ser comunicada imediatamente à Superintendência de Licitações e Contratos.</w:t>
      </w:r>
    </w:p>
    <w:p>
      <w:pPr>
        <w:pStyle w:val="normal1"/>
        <w:numPr>
          <w:ilvl w:val="1"/>
          <w:numId w:val="23"/>
        </w:numPr>
        <w:spacing w:lineRule="auto" w:line="360" w:before="120" w:after="120"/>
        <w:ind w:hanging="0" w:start="1145"/>
        <w:jc w:val="both"/>
        <w:rPr/>
      </w:pPr>
      <w:r>
        <w:rPr>
          <w:color w:val="000000"/>
          <w:sz w:val="22"/>
          <w:szCs w:val="22"/>
        </w:rPr>
        <w:t xml:space="preserve">Na hipótese do subitem anterior, a ocorrência será registrada em campo próprio do sistema. </w:t>
      </w:r>
    </w:p>
    <w:p>
      <w:pPr>
        <w:pStyle w:val="normal1"/>
        <w:numPr>
          <w:ilvl w:val="1"/>
          <w:numId w:val="23"/>
        </w:numPr>
        <w:spacing w:lineRule="auto" w:line="360" w:before="120" w:after="120"/>
        <w:ind w:hanging="0" w:start="1145"/>
        <w:jc w:val="both"/>
        <w:rPr/>
      </w:pPr>
      <w:r>
        <w:rPr>
          <w:color w:val="000000"/>
          <w:sz w:val="22"/>
          <w:szCs w:val="22"/>
        </w:rPr>
        <w:t>Em caso de falha no sistema, os lances em desacordo com os subitens anteriores deverão ser desconsiderados pelo pregoeiro, devendo a ocorrência ser comunicada imediatamente à SMLCP.</w:t>
      </w:r>
    </w:p>
    <w:p>
      <w:pPr>
        <w:pStyle w:val="normal1"/>
        <w:numPr>
          <w:ilvl w:val="1"/>
          <w:numId w:val="23"/>
        </w:numPr>
        <w:spacing w:lineRule="auto" w:line="360" w:before="120" w:after="120"/>
        <w:ind w:hanging="0" w:start="1145"/>
        <w:jc w:val="both"/>
        <w:rPr/>
      </w:pPr>
      <w:r>
        <w:rPr>
          <w:color w:val="000000"/>
          <w:sz w:val="22"/>
          <w:szCs w:val="22"/>
        </w:rPr>
        <w:t>No caso de haver desconexão do Pregoeiro com o sistema eletrônico, no decorrer da etapa competitiva do Pregão, o sistema poderá permanecer acessível aos licitantes para o recebimento dos lances, retomando o Pregoeiro, quando possível, à sua atuação no certame, sem prejuízo dos atos realizados.</w:t>
      </w:r>
    </w:p>
    <w:p>
      <w:pPr>
        <w:pStyle w:val="normal1"/>
        <w:numPr>
          <w:ilvl w:val="1"/>
          <w:numId w:val="23"/>
        </w:numPr>
        <w:spacing w:lineRule="auto" w:line="360" w:before="120" w:after="120"/>
        <w:ind w:hanging="0" w:start="1145"/>
        <w:jc w:val="both"/>
        <w:rPr/>
      </w:pPr>
      <w:r>
        <w:rPr>
          <w:color w:val="000000"/>
          <w:sz w:val="22"/>
          <w:szCs w:val="22"/>
        </w:rPr>
        <w:t>Persistindo a desconexão por tempo superior a 10 (dez) minutos, a sessão do pregão será suspensa, reiniciando somente após comunicação expressa aos participantes.</w:t>
      </w:r>
    </w:p>
    <w:p>
      <w:pPr>
        <w:pStyle w:val="normal1"/>
        <w:numPr>
          <w:ilvl w:val="1"/>
          <w:numId w:val="23"/>
        </w:numPr>
        <w:spacing w:lineRule="auto" w:line="360" w:before="120" w:after="120"/>
        <w:ind w:hanging="0" w:start="1145"/>
        <w:jc w:val="both"/>
        <w:rPr/>
      </w:pPr>
      <w:r>
        <w:rPr>
          <w:color w:val="000000"/>
          <w:sz w:val="22"/>
          <w:szCs w:val="22"/>
        </w:rPr>
        <w:t>Caso o licitante não apresente lances, concorrerá com o valor de sua proposta.</w:t>
      </w:r>
    </w:p>
    <w:p>
      <w:pPr>
        <w:pStyle w:val="normal1"/>
        <w:numPr>
          <w:ilvl w:val="1"/>
          <w:numId w:val="23"/>
        </w:numPr>
        <w:spacing w:lineRule="auto" w:line="360" w:before="120" w:after="120"/>
        <w:ind w:hanging="0" w:start="1145"/>
        <w:jc w:val="both"/>
        <w:rPr/>
      </w:pPr>
      <w:r>
        <w:rPr>
          <w:sz w:val="22"/>
          <w:szCs w:val="22"/>
        </w:rPr>
        <w:t xml:space="preserve">Em relação a itens </w:t>
      </w:r>
      <w:r>
        <w:rPr>
          <w:b/>
          <w:bCs/>
          <w:sz w:val="22"/>
          <w:szCs w:val="22"/>
        </w:rPr>
        <w:t>não exclusivos para participação de microempresas e empresas de pequeno porte</w:t>
      </w:r>
      <w:r>
        <w:rPr>
          <w:sz w:val="22"/>
          <w:szCs w:val="22"/>
        </w:rPr>
        <w:t>, uma vez encerrada a etapa de lances, será efetivada a verificação automática, junto à Receita Federal, do porte da entidade empresarial, caso a contratação não se enquadre nas vedações dos §§1º e 2º do art. 4º da Lei nº 14.133, de 2021. O sistema identifica em coluna própria às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pPr>
        <w:pStyle w:val="normal1"/>
        <w:numPr>
          <w:ilvl w:val="1"/>
          <w:numId w:val="23"/>
        </w:numPr>
        <w:spacing w:lineRule="auto" w:line="360" w:before="120" w:after="120"/>
        <w:ind w:hanging="0" w:start="1145"/>
        <w:jc w:val="both"/>
        <w:rPr/>
      </w:pPr>
      <w:r>
        <w:rPr>
          <w:color w:val="000000"/>
          <w:sz w:val="22"/>
          <w:szCs w:val="22"/>
        </w:rPr>
        <w:t>Só poderá haver empate entre propostas iguais (não seguidas de lances), ou entre lances finais da fase fechada do modo de disputa aberto e fechado.</w:t>
      </w:r>
    </w:p>
    <w:p>
      <w:pPr>
        <w:pStyle w:val="normal1"/>
        <w:numPr>
          <w:ilvl w:val="1"/>
          <w:numId w:val="23"/>
        </w:numPr>
        <w:spacing w:lineRule="auto" w:line="360" w:before="120" w:after="120"/>
        <w:ind w:hanging="0" w:start="1145"/>
        <w:jc w:val="both"/>
        <w:rPr/>
      </w:pPr>
      <w:r>
        <w:rPr>
          <w:color w:val="000000"/>
          <w:sz w:val="22"/>
          <w:szCs w:val="22"/>
        </w:rPr>
        <w:t>Havendo eventual empate entre propostas ou lances, o critério de desempate será aquele previsto no art. 60 da Lei nº 14.133, de 2021.</w:t>
      </w:r>
    </w:p>
    <w:p>
      <w:pPr>
        <w:pStyle w:val="normal1"/>
        <w:numPr>
          <w:ilvl w:val="1"/>
          <w:numId w:val="23"/>
        </w:numPr>
        <w:spacing w:lineRule="auto" w:line="360" w:before="120" w:after="120"/>
        <w:ind w:hanging="0" w:start="1145"/>
        <w:jc w:val="both"/>
        <w:rPr/>
      </w:pPr>
      <w:r>
        <w:rPr>
          <w:color w:val="000000"/>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pStyle w:val="normal1"/>
        <w:numPr>
          <w:ilvl w:val="2"/>
          <w:numId w:val="23"/>
        </w:numPr>
        <w:spacing w:lineRule="auto" w:line="360" w:before="120" w:after="120"/>
        <w:ind w:hanging="720" w:start="1780"/>
        <w:jc w:val="both"/>
        <w:rPr>
          <w:sz w:val="22"/>
          <w:szCs w:val="22"/>
        </w:rPr>
      </w:pPr>
      <w:r>
        <w:rPr>
          <w:color w:val="000000"/>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ou desconto mínimo definido pela Administração.</w:t>
      </w:r>
    </w:p>
    <w:p>
      <w:pPr>
        <w:pStyle w:val="normal1"/>
        <w:numPr>
          <w:ilvl w:val="2"/>
          <w:numId w:val="23"/>
        </w:numPr>
        <w:spacing w:lineRule="auto" w:line="360" w:before="120" w:after="120"/>
        <w:ind w:hanging="720" w:start="1780"/>
        <w:jc w:val="both"/>
        <w:rPr>
          <w:sz w:val="22"/>
          <w:szCs w:val="22"/>
        </w:rPr>
      </w:pPr>
      <w:r>
        <w:rPr>
          <w:color w:val="000000"/>
          <w:sz w:val="22"/>
          <w:szCs w:val="22"/>
        </w:rPr>
        <w:t>A negociação será realizada por meio do sistema, podendo ser acompanhada pelos demais licitantes.</w:t>
      </w:r>
    </w:p>
    <w:p>
      <w:pPr>
        <w:pStyle w:val="normal1"/>
        <w:numPr>
          <w:ilvl w:val="2"/>
          <w:numId w:val="23"/>
        </w:numPr>
        <w:spacing w:lineRule="auto" w:line="360" w:before="120" w:after="120"/>
        <w:ind w:hanging="720" w:start="1780"/>
        <w:jc w:val="both"/>
        <w:rPr>
          <w:sz w:val="22"/>
          <w:szCs w:val="22"/>
        </w:rPr>
      </w:pPr>
      <w:bookmarkStart w:id="1" w:name="_heading=h.3o7alnk"/>
      <w:bookmarkEnd w:id="1"/>
      <w:r>
        <w:rPr>
          <w:color w:val="000000"/>
          <w:sz w:val="22"/>
          <w:szCs w:val="22"/>
        </w:rPr>
        <w:t>O resultado da negociação será divulgado a todos os licitantes e anexado aos autos do processo licitatório.</w:t>
      </w:r>
    </w:p>
    <w:p>
      <w:pPr>
        <w:pStyle w:val="normal1"/>
        <w:numPr>
          <w:ilvl w:val="2"/>
          <w:numId w:val="23"/>
        </w:numPr>
        <w:spacing w:lineRule="auto" w:line="360" w:before="120" w:after="120"/>
        <w:ind w:hanging="720" w:start="1780"/>
        <w:jc w:val="both"/>
        <w:rPr>
          <w:sz w:val="22"/>
          <w:szCs w:val="22"/>
        </w:rPr>
      </w:pPr>
      <w:r>
        <w:rPr>
          <w:sz w:val="22"/>
          <w:szCs w:val="22"/>
        </w:rPr>
        <w:t xml:space="preserve">O pregoeiro solicitará ao licitante mais bem classificado que, no </w:t>
      </w:r>
      <w:r>
        <w:rPr>
          <w:b/>
          <w:bCs/>
          <w:sz w:val="22"/>
          <w:szCs w:val="22"/>
        </w:rPr>
        <w:t xml:space="preserve">prazo de 2 (duas) </w:t>
      </w:r>
      <w:r>
        <w:rPr>
          <w:sz w:val="22"/>
          <w:szCs w:val="22"/>
        </w:rPr>
        <w:t>horas, envie a proposta adequada ao último lance ofertado após a negociação realizada.</w:t>
      </w:r>
    </w:p>
    <w:p>
      <w:pPr>
        <w:pStyle w:val="normal1"/>
        <w:numPr>
          <w:ilvl w:val="2"/>
          <w:numId w:val="23"/>
        </w:numPr>
        <w:spacing w:lineRule="auto" w:line="360" w:before="120" w:after="120"/>
        <w:ind w:hanging="720" w:start="1780"/>
        <w:jc w:val="both"/>
        <w:rPr>
          <w:sz w:val="22"/>
          <w:szCs w:val="22"/>
        </w:rPr>
      </w:pPr>
      <w:r>
        <w:rPr>
          <w:color w:val="000000"/>
          <w:sz w:val="22"/>
          <w:szCs w:val="22"/>
        </w:rPr>
        <w:t>É facultado ao pregoeiro prorrogar o prazo estabelecido, a partir de solicitação fundamentada feita no chat pelo licitante, antes de findo o prazo.</w:t>
      </w:r>
    </w:p>
    <w:p>
      <w:pPr>
        <w:pStyle w:val="normal1"/>
        <w:numPr>
          <w:ilvl w:val="1"/>
          <w:numId w:val="23"/>
        </w:numPr>
        <w:spacing w:lineRule="auto" w:line="360" w:before="120" w:after="120"/>
        <w:ind w:hanging="0" w:start="1145"/>
        <w:jc w:val="both"/>
        <w:rPr/>
      </w:pPr>
      <w:r>
        <w:rPr>
          <w:color w:val="000000"/>
          <w:sz w:val="22"/>
          <w:szCs w:val="22"/>
        </w:rPr>
        <w:t>Após a negociação do preço, o Pregoeiro iniciará a fase de aceitação e julgamento da proposta.</w:t>
      </w:r>
    </w:p>
    <w:p>
      <w:pPr>
        <w:pStyle w:val="normal1"/>
        <w:numPr>
          <w:ilvl w:val="0"/>
          <w:numId w:val="23"/>
        </w:numPr>
        <w:spacing w:lineRule="auto" w:line="360" w:before="240" w:after="120"/>
        <w:ind w:hanging="0" w:start="720"/>
        <w:jc w:val="both"/>
        <w:rPr>
          <w:color w:val="000000"/>
          <w:sz w:val="22"/>
          <w:szCs w:val="22"/>
        </w:rPr>
      </w:pPr>
      <w:r>
        <w:rPr>
          <w:b/>
          <w:bCs/>
          <w:color w:val="000000"/>
          <w:sz w:val="22"/>
          <w:szCs w:val="22"/>
        </w:rPr>
        <w:t>DA FASE DE JULGAMENTO</w:t>
      </w:r>
    </w:p>
    <w:p>
      <w:pPr>
        <w:pStyle w:val="normal1"/>
        <w:numPr>
          <w:ilvl w:val="1"/>
          <w:numId w:val="23"/>
        </w:numPr>
        <w:spacing w:lineRule="auto" w:line="360" w:before="120" w:after="120"/>
        <w:ind w:hanging="0" w:start="1145"/>
        <w:jc w:val="both"/>
        <w:rPr/>
      </w:pPr>
      <w:r>
        <w:rPr>
          <w:color w:val="000000"/>
          <w:sz w:val="22"/>
          <w:szCs w:val="22"/>
        </w:rPr>
        <w:t>Encerrada a etapa de negociação, o pregoeiro verificará se o licitante provisoriamente classificado em primeiro lugar atende às condições de participação no certame, conforme previsto no art. 14 da Lei nº 14.133/2021, legislação disposta no edital, especialmente quanto à existência de sanção que impeça a participação no certame ou a futura contratação, mediante a consulta aos seguintes cadastros:</w:t>
      </w:r>
    </w:p>
    <w:p>
      <w:pPr>
        <w:pStyle w:val="normal1"/>
        <w:spacing w:lineRule="auto" w:line="360" w:before="120" w:after="120"/>
        <w:ind w:hanging="0" w:start="170"/>
        <w:jc w:val="both"/>
        <w:rPr>
          <w:color w:val="000000"/>
          <w:sz w:val="22"/>
          <w:szCs w:val="22"/>
        </w:rPr>
      </w:pPr>
      <w:r>
        <w:rPr>
          <w:color w:val="000000"/>
          <w:sz w:val="22"/>
          <w:szCs w:val="22"/>
        </w:rPr>
        <w:t xml:space="preserve">a) Cadastro Nacional de Empresas Inidôneas e Suspensas - CEIS, mantido pela Controladoria-Geral da União (https://www.portaltransparencia.gov.br/sancoes/ceis); e </w:t>
      </w:r>
    </w:p>
    <w:p>
      <w:pPr>
        <w:pStyle w:val="normal1"/>
        <w:spacing w:lineRule="auto" w:line="360" w:before="120" w:after="120"/>
        <w:ind w:hanging="0" w:start="170"/>
        <w:jc w:val="both"/>
        <w:rPr>
          <w:color w:val="000000"/>
          <w:sz w:val="22"/>
          <w:szCs w:val="22"/>
        </w:rPr>
      </w:pPr>
      <w:r>
        <w:rPr>
          <w:color w:val="000000"/>
          <w:sz w:val="22"/>
          <w:szCs w:val="22"/>
        </w:rPr>
        <w:t>b) Cadastro Nacional de Empresas Punidas – CNEP, mantido pela Controladoria-Geral da União (https://www.portaltransparencia.gov.br/sancoes/cnep).</w:t>
      </w:r>
    </w:p>
    <w:p>
      <w:pPr>
        <w:pStyle w:val="normal1"/>
        <w:numPr>
          <w:ilvl w:val="1"/>
          <w:numId w:val="23"/>
        </w:numPr>
        <w:spacing w:lineRule="auto" w:line="360" w:before="120" w:after="120"/>
        <w:ind w:hanging="0" w:start="1145"/>
        <w:jc w:val="both"/>
        <w:rPr/>
      </w:pPr>
      <w:r>
        <w:rPr>
          <w:color w:val="000000"/>
          <w:sz w:val="22"/>
          <w:szCs w:val="22"/>
        </w:rPr>
        <w:t>A consulta aos cadastros será realizada em nome da empresa licitante e também de seu sócio majoritário, por força da vedação de que trata o artigo 12 da Lei n° 8.429, de 1992.</w:t>
      </w:r>
    </w:p>
    <w:p>
      <w:pPr>
        <w:pStyle w:val="normal1"/>
        <w:numPr>
          <w:ilvl w:val="1"/>
          <w:numId w:val="23"/>
        </w:numPr>
        <w:spacing w:lineRule="auto" w:line="360" w:before="120" w:after="120"/>
        <w:ind w:hanging="0" w:start="1145"/>
        <w:jc w:val="both"/>
        <w:rPr/>
      </w:pPr>
      <w:r>
        <w:rPr>
          <w:color w:val="000000"/>
          <w:sz w:val="22"/>
          <w:szCs w:val="22"/>
        </w:rPr>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pPr>
        <w:pStyle w:val="normal1"/>
        <w:numPr>
          <w:ilvl w:val="2"/>
          <w:numId w:val="23"/>
        </w:numPr>
        <w:spacing w:lineRule="auto" w:line="360" w:before="120" w:after="120"/>
        <w:ind w:hanging="720" w:start="1780"/>
        <w:jc w:val="both"/>
        <w:rPr>
          <w:sz w:val="22"/>
          <w:szCs w:val="22"/>
        </w:rPr>
      </w:pPr>
      <w:r>
        <w:rPr>
          <w:color w:val="000000"/>
          <w:sz w:val="22"/>
          <w:szCs w:val="22"/>
        </w:rPr>
        <w:t>A tentativa de burla será verificada por meio dos vínculos societários, linhas de fornecimento similares, dentre outros. (IN nº 3/2018, art. 29, §1º).</w:t>
      </w:r>
    </w:p>
    <w:p>
      <w:pPr>
        <w:pStyle w:val="normal1"/>
        <w:numPr>
          <w:ilvl w:val="2"/>
          <w:numId w:val="23"/>
        </w:numPr>
        <w:spacing w:lineRule="auto" w:line="360" w:before="120" w:after="120"/>
        <w:ind w:hanging="720" w:start="1780"/>
        <w:jc w:val="both"/>
        <w:rPr>
          <w:sz w:val="22"/>
          <w:szCs w:val="22"/>
        </w:rPr>
      </w:pPr>
      <w:r>
        <w:rPr>
          <w:color w:val="000000"/>
          <w:sz w:val="22"/>
          <w:szCs w:val="22"/>
        </w:rPr>
        <w:t>O licitante será convocado para manifestação previamente a uma eventual desclassificação. (IN nº 3/2018, art. 29, §2º).</w:t>
      </w:r>
    </w:p>
    <w:p>
      <w:pPr>
        <w:pStyle w:val="normal1"/>
        <w:numPr>
          <w:ilvl w:val="2"/>
          <w:numId w:val="23"/>
        </w:numPr>
        <w:spacing w:lineRule="auto" w:line="360" w:before="120" w:after="120"/>
        <w:ind w:hanging="720" w:start="1780"/>
        <w:jc w:val="both"/>
        <w:rPr>
          <w:sz w:val="22"/>
          <w:szCs w:val="22"/>
        </w:rPr>
      </w:pPr>
      <w:r>
        <w:rPr>
          <w:color w:val="000000"/>
          <w:sz w:val="22"/>
          <w:szCs w:val="22"/>
        </w:rPr>
        <w:t>Constatada a existência de sanção, o licitante será reputado inabilitado, por falta de condição de participação.</w:t>
      </w:r>
    </w:p>
    <w:p>
      <w:pPr>
        <w:pStyle w:val="normal1"/>
        <w:numPr>
          <w:ilvl w:val="1"/>
          <w:numId w:val="23"/>
        </w:numPr>
        <w:spacing w:lineRule="auto" w:line="360" w:before="120" w:after="120"/>
        <w:ind w:hanging="0" w:start="1145"/>
        <w:jc w:val="both"/>
        <w:rPr/>
      </w:pPr>
      <w:r>
        <w:rPr>
          <w:color w:val="000000"/>
          <w:sz w:val="22"/>
          <w:szCs w:val="22"/>
        </w:rPr>
        <w:t>Caso atendidas as condições de participação, será iniciado o procedimento de habilitação.</w:t>
      </w:r>
    </w:p>
    <w:p>
      <w:pPr>
        <w:pStyle w:val="normal1"/>
        <w:numPr>
          <w:ilvl w:val="1"/>
          <w:numId w:val="23"/>
        </w:numPr>
        <w:spacing w:lineRule="auto" w:line="360" w:before="120" w:after="120"/>
        <w:ind w:hanging="0" w:start="1145"/>
        <w:jc w:val="both"/>
        <w:rPr/>
      </w:pPr>
      <w:r>
        <w:rPr>
          <w:sz w:val="22"/>
          <w:szCs w:val="22"/>
        </w:rPr>
        <w:t>Caso o licitante provisoriamente classificado em primeiro lugar tenha se utilizado de algum tratamento favorecido às ME/EPPs, o pregoeiro verificará se faz jus ao benefício, em conformidade com disposto neste edital.</w:t>
      </w:r>
    </w:p>
    <w:p>
      <w:pPr>
        <w:pStyle w:val="normal1"/>
        <w:numPr>
          <w:ilvl w:val="1"/>
          <w:numId w:val="23"/>
        </w:numPr>
        <w:spacing w:lineRule="auto" w:line="360" w:before="120" w:after="120"/>
        <w:ind w:hanging="0" w:start="1145"/>
        <w:jc w:val="both"/>
        <w:rPr/>
      </w:pPr>
      <w:r>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pPr>
        <w:pStyle w:val="normal1"/>
        <w:numPr>
          <w:ilvl w:val="1"/>
          <w:numId w:val="23"/>
        </w:numPr>
        <w:spacing w:lineRule="auto" w:line="360" w:before="120" w:after="120"/>
        <w:ind w:hanging="0" w:start="1145"/>
        <w:jc w:val="both"/>
        <w:rPr/>
      </w:pPr>
      <w:r>
        <w:rPr>
          <w:color w:val="000000"/>
          <w:sz w:val="22"/>
          <w:szCs w:val="22"/>
        </w:rPr>
        <w:t xml:space="preserve">Será desclassificada a proposta vencedora que: </w:t>
      </w:r>
    </w:p>
    <w:p>
      <w:pPr>
        <w:pStyle w:val="normal1"/>
        <w:numPr>
          <w:ilvl w:val="2"/>
          <w:numId w:val="23"/>
        </w:numPr>
        <w:spacing w:lineRule="auto" w:line="360" w:before="120" w:after="120"/>
        <w:ind w:hanging="720" w:start="1780"/>
        <w:jc w:val="both"/>
        <w:rPr>
          <w:sz w:val="22"/>
          <w:szCs w:val="22"/>
        </w:rPr>
      </w:pPr>
      <w:r>
        <w:rPr>
          <w:color w:val="000000"/>
          <w:sz w:val="22"/>
          <w:szCs w:val="22"/>
        </w:rPr>
        <w:t>Contiver vícios insanáveis;</w:t>
      </w:r>
    </w:p>
    <w:p>
      <w:pPr>
        <w:pStyle w:val="normal1"/>
        <w:numPr>
          <w:ilvl w:val="2"/>
          <w:numId w:val="23"/>
        </w:numPr>
        <w:spacing w:lineRule="auto" w:line="360" w:before="120" w:after="120"/>
        <w:ind w:hanging="720" w:start="1780"/>
        <w:jc w:val="both"/>
        <w:rPr>
          <w:sz w:val="22"/>
          <w:szCs w:val="22"/>
        </w:rPr>
      </w:pPr>
      <w:r>
        <w:rPr>
          <w:color w:val="000000"/>
          <w:sz w:val="22"/>
          <w:szCs w:val="22"/>
        </w:rPr>
        <w:t>Não obedecer às especificações técnicas contidas no Termo de Referência;</w:t>
      </w:r>
    </w:p>
    <w:p>
      <w:pPr>
        <w:pStyle w:val="normal1"/>
        <w:numPr>
          <w:ilvl w:val="2"/>
          <w:numId w:val="23"/>
        </w:numPr>
        <w:spacing w:lineRule="auto" w:line="360" w:before="120" w:after="120"/>
        <w:ind w:hanging="720" w:start="1780"/>
        <w:jc w:val="both"/>
        <w:rPr>
          <w:sz w:val="22"/>
          <w:szCs w:val="22"/>
        </w:rPr>
      </w:pPr>
      <w:r>
        <w:rPr>
          <w:color w:val="000000"/>
          <w:sz w:val="22"/>
          <w:szCs w:val="22"/>
        </w:rPr>
        <w:t>Apresentar preços inexequíveis ou permanecerem acima do preço máximo definido para a contratação;</w:t>
      </w:r>
    </w:p>
    <w:p>
      <w:pPr>
        <w:pStyle w:val="normal1"/>
        <w:numPr>
          <w:ilvl w:val="2"/>
          <w:numId w:val="23"/>
        </w:numPr>
        <w:spacing w:lineRule="auto" w:line="360" w:before="120" w:after="120"/>
        <w:ind w:hanging="720" w:start="1780"/>
        <w:jc w:val="both"/>
        <w:rPr>
          <w:sz w:val="22"/>
          <w:szCs w:val="22"/>
        </w:rPr>
      </w:pPr>
      <w:r>
        <w:rPr>
          <w:color w:val="000000"/>
          <w:sz w:val="22"/>
          <w:szCs w:val="22"/>
        </w:rPr>
        <w:t>Não tiverem sua exequibilidade demonstrada, quando exigido pela Administração;</w:t>
      </w:r>
    </w:p>
    <w:p>
      <w:pPr>
        <w:pStyle w:val="normal1"/>
        <w:numPr>
          <w:ilvl w:val="2"/>
          <w:numId w:val="23"/>
        </w:numPr>
        <w:spacing w:lineRule="auto" w:line="360" w:before="120" w:after="120"/>
        <w:ind w:hanging="720" w:start="1780"/>
        <w:jc w:val="both"/>
        <w:rPr>
          <w:sz w:val="22"/>
          <w:szCs w:val="22"/>
        </w:rPr>
      </w:pPr>
      <w:r>
        <w:rPr>
          <w:color w:val="000000"/>
          <w:sz w:val="22"/>
          <w:szCs w:val="22"/>
        </w:rPr>
        <w:t>Apresentar desconformidade com quaisquer outras exigências deste Edital ou seus anexos, desde que insanável.</w:t>
      </w:r>
    </w:p>
    <w:p>
      <w:pPr>
        <w:pStyle w:val="normal1"/>
        <w:numPr>
          <w:ilvl w:val="1"/>
          <w:numId w:val="23"/>
        </w:numPr>
        <w:spacing w:lineRule="auto" w:line="360" w:before="120" w:after="120"/>
        <w:ind w:hanging="0" w:start="1145"/>
        <w:jc w:val="both"/>
        <w:rPr/>
      </w:pPr>
      <w:r>
        <w:rPr>
          <w:color w:val="000000"/>
          <w:sz w:val="22"/>
          <w:szCs w:val="22"/>
        </w:rPr>
        <w:t>No caso de bens e serviços em geral, é indício de inexequibilidade das propostas valores inferiores a 50% (cinquenta por cento) do valor orçado pela Administração.</w:t>
      </w:r>
    </w:p>
    <w:p>
      <w:pPr>
        <w:pStyle w:val="normal1"/>
        <w:numPr>
          <w:ilvl w:val="2"/>
          <w:numId w:val="23"/>
        </w:numPr>
        <w:spacing w:lineRule="auto" w:line="360" w:before="120" w:after="120"/>
        <w:ind w:hanging="720" w:start="1780"/>
        <w:jc w:val="both"/>
        <w:rPr>
          <w:sz w:val="22"/>
          <w:szCs w:val="22"/>
        </w:rPr>
      </w:pPr>
      <w:r>
        <w:rPr>
          <w:color w:val="000000"/>
          <w:sz w:val="22"/>
          <w:szCs w:val="22"/>
        </w:rPr>
        <w:t>A inexequibilidade, na hipótese de que trata o caput, só será considerada após diligência do pregoeiro, que comprove:</w:t>
      </w:r>
    </w:p>
    <w:p>
      <w:pPr>
        <w:pStyle w:val="normal1"/>
        <w:numPr>
          <w:ilvl w:val="3"/>
          <w:numId w:val="23"/>
        </w:numPr>
        <w:spacing w:lineRule="auto" w:line="360" w:before="120" w:after="120"/>
        <w:ind w:hanging="720" w:start="1894"/>
        <w:jc w:val="both"/>
        <w:rPr>
          <w:color w:val="000000"/>
          <w:sz w:val="22"/>
          <w:szCs w:val="22"/>
        </w:rPr>
      </w:pPr>
      <w:r>
        <w:rPr>
          <w:color w:val="000000"/>
          <w:sz w:val="22"/>
          <w:szCs w:val="22"/>
        </w:rPr>
        <w:t>Que o custo do licitante ultrapassa o valor da proposta; e</w:t>
      </w:r>
    </w:p>
    <w:p>
      <w:pPr>
        <w:pStyle w:val="normal1"/>
        <w:numPr>
          <w:ilvl w:val="3"/>
          <w:numId w:val="23"/>
        </w:numPr>
        <w:spacing w:lineRule="auto" w:line="360" w:before="120" w:after="120"/>
        <w:ind w:hanging="720" w:start="1894"/>
        <w:jc w:val="both"/>
        <w:rPr>
          <w:color w:val="000000"/>
          <w:sz w:val="22"/>
          <w:szCs w:val="22"/>
        </w:rPr>
      </w:pPr>
      <w:r>
        <w:rPr>
          <w:sz w:val="22"/>
          <w:szCs w:val="22"/>
        </w:rPr>
        <w:t>Inexistem</w:t>
      </w:r>
      <w:r>
        <w:rPr>
          <w:color w:val="000000"/>
          <w:sz w:val="22"/>
          <w:szCs w:val="22"/>
        </w:rPr>
        <w:t xml:space="preserve"> custos de oportunidade capazes de justificar o vulto da oferta.</w:t>
      </w:r>
    </w:p>
    <w:p>
      <w:pPr>
        <w:pStyle w:val="normal1"/>
        <w:numPr>
          <w:ilvl w:val="1"/>
          <w:numId w:val="23"/>
        </w:numPr>
        <w:spacing w:lineRule="auto" w:line="360" w:before="120" w:after="120"/>
        <w:ind w:hanging="0" w:start="1145"/>
        <w:jc w:val="both"/>
        <w:rPr/>
      </w:pPr>
      <w:r>
        <w:rPr>
          <w:color w:val="000000"/>
          <w:sz w:val="22"/>
          <w:szCs w:val="22"/>
        </w:rPr>
        <w:t>Se houver indícios de inexequibilidade da proposta de preço, ou em caso da necessidade de esclarecimentos complementares, poderão ser efetuadas diligências, para que a empresa comprove a exequibilidade da proposta.</w:t>
      </w:r>
    </w:p>
    <w:p>
      <w:pPr>
        <w:pStyle w:val="normal1"/>
        <w:numPr>
          <w:ilvl w:val="1"/>
          <w:numId w:val="23"/>
        </w:numPr>
        <w:spacing w:lineRule="auto" w:line="360" w:before="120" w:after="120"/>
        <w:ind w:hanging="0" w:start="1145"/>
        <w:jc w:val="both"/>
        <w:rPr/>
      </w:pPr>
      <w:r>
        <w:rPr>
          <w:b/>
          <w:bCs/>
          <w:sz w:val="22"/>
          <w:szCs w:val="22"/>
        </w:rPr>
        <w:t xml:space="preserve">Caso o </w:t>
      </w:r>
      <w:r>
        <w:rPr>
          <w:sz w:val="22"/>
          <w:szCs w:val="22"/>
        </w:rPr>
        <w:t xml:space="preserve">Termo de Referência exija a apresentação de </w:t>
      </w:r>
      <w:r>
        <w:rPr>
          <w:b/>
          <w:bCs/>
          <w:sz w:val="22"/>
          <w:szCs w:val="22"/>
        </w:rPr>
        <w:t>amostra</w:t>
      </w:r>
      <w:r>
        <w:rPr>
          <w:sz w:val="22"/>
          <w:szCs w:val="22"/>
        </w:rPr>
        <w:t xml:space="preserve"> e/ou </w:t>
      </w:r>
      <w:r>
        <w:rPr>
          <w:b/>
          <w:bCs/>
          <w:sz w:val="22"/>
          <w:szCs w:val="22"/>
        </w:rPr>
        <w:t>execução de prova de conceito</w:t>
      </w:r>
      <w:r>
        <w:rPr>
          <w:sz w:val="22"/>
          <w:szCs w:val="22"/>
        </w:rPr>
        <w:t>, o licitante classificado em primeiro lugar deverá apresentá-la, sob pena de não aceitação da proposta.</w:t>
      </w:r>
    </w:p>
    <w:p>
      <w:pPr>
        <w:pStyle w:val="normal1"/>
        <w:numPr>
          <w:ilvl w:val="0"/>
          <w:numId w:val="23"/>
        </w:numPr>
        <w:spacing w:lineRule="auto" w:line="360" w:before="240" w:after="120"/>
        <w:ind w:hanging="0" w:start="720"/>
        <w:jc w:val="both"/>
        <w:rPr>
          <w:color w:val="000000"/>
          <w:sz w:val="22"/>
          <w:szCs w:val="22"/>
        </w:rPr>
      </w:pPr>
      <w:r>
        <w:rPr>
          <w:b/>
          <w:bCs/>
          <w:sz w:val="22"/>
          <w:szCs w:val="22"/>
        </w:rPr>
        <w:t>D</w:t>
      </w:r>
      <w:r>
        <w:rPr>
          <w:b/>
          <w:bCs/>
          <w:color w:val="000000"/>
          <w:sz w:val="22"/>
          <w:szCs w:val="22"/>
        </w:rPr>
        <w:t>OS CRITÉRIOS DE JULGAMENTO</w:t>
      </w:r>
    </w:p>
    <w:p>
      <w:pPr>
        <w:pStyle w:val="normal1"/>
        <w:numPr>
          <w:ilvl w:val="1"/>
          <w:numId w:val="23"/>
        </w:numPr>
        <w:spacing w:lineRule="auto" w:line="360" w:before="120" w:after="120"/>
        <w:ind w:hanging="0" w:start="1145"/>
        <w:jc w:val="both"/>
        <w:rPr/>
      </w:pPr>
      <w:r>
        <w:rPr>
          <w:color w:val="000000"/>
          <w:sz w:val="22"/>
          <w:szCs w:val="22"/>
        </w:rPr>
        <w:t xml:space="preserve">Para julgamento das Propostas o Pregoeiro levará em consideração </w:t>
      </w:r>
      <w:r>
        <w:rPr>
          <w:b/>
          <w:bCs/>
          <w:color w:val="000000"/>
          <w:sz w:val="22"/>
          <w:szCs w:val="22"/>
        </w:rPr>
        <w:t>o menor preço, devendo a proposta ser registrada no sistema pelo menor preço global.</w:t>
      </w:r>
    </w:p>
    <w:p>
      <w:pPr>
        <w:pStyle w:val="normal1"/>
        <w:numPr>
          <w:ilvl w:val="1"/>
          <w:numId w:val="23"/>
        </w:numPr>
        <w:spacing w:lineRule="auto" w:line="360" w:before="120" w:after="120"/>
        <w:ind w:hanging="0" w:start="1145"/>
        <w:jc w:val="both"/>
        <w:rPr/>
      </w:pPr>
      <w:r>
        <w:rPr>
          <w:color w:val="000000"/>
          <w:sz w:val="22"/>
          <w:szCs w:val="22"/>
        </w:rPr>
        <w:t>Não será considerada qualquer oferta ou vantagem não prevista neste Edital.</w:t>
      </w:r>
    </w:p>
    <w:p>
      <w:pPr>
        <w:pStyle w:val="normal1"/>
        <w:numPr>
          <w:ilvl w:val="1"/>
          <w:numId w:val="23"/>
        </w:numPr>
        <w:spacing w:lineRule="auto" w:line="360" w:before="120" w:after="120"/>
        <w:ind w:hanging="0" w:start="1145"/>
        <w:jc w:val="both"/>
        <w:rPr/>
      </w:pPr>
      <w:r>
        <w:rPr>
          <w:color w:val="000000"/>
          <w:sz w:val="22"/>
          <w:szCs w:val="22"/>
        </w:rPr>
        <w:t>Se a proposta ou o lance de</w:t>
      </w:r>
      <w:r>
        <w:rPr>
          <w:b/>
          <w:bCs/>
          <w:color w:val="000000"/>
          <w:sz w:val="22"/>
          <w:szCs w:val="22"/>
        </w:rPr>
        <w:t xml:space="preserve"> menor valor</w:t>
      </w:r>
      <w:r>
        <w:rPr>
          <w:color w:val="000000"/>
          <w:sz w:val="22"/>
          <w:szCs w:val="22"/>
        </w:rPr>
        <w:t>, após a fase de lances, não for aceitável, o Pregoeiro examinará a proposta ou o lance subsequente, verificando a sua compatibilidade, na ordem de classificação, e assim sucessivamente, até a apuração de uma proposta ou lance que atenda ao Edital. O Pregoeiro poderá negociar com o participante para que seja obtido preço melhor.</w:t>
      </w:r>
    </w:p>
    <w:p>
      <w:pPr>
        <w:pStyle w:val="normal1"/>
        <w:numPr>
          <w:ilvl w:val="1"/>
          <w:numId w:val="23"/>
        </w:numPr>
        <w:spacing w:lineRule="auto" w:line="360" w:before="120" w:after="120"/>
        <w:ind w:hanging="0" w:start="1145"/>
        <w:jc w:val="both"/>
        <w:rPr/>
      </w:pPr>
      <w:r>
        <w:rPr>
          <w:color w:val="000000"/>
          <w:sz w:val="22"/>
          <w:szCs w:val="22"/>
        </w:rPr>
        <w:t xml:space="preserve">A cotação deverá ser em moeda corrente nacional com </w:t>
      </w:r>
      <w:r>
        <w:rPr>
          <w:sz w:val="22"/>
          <w:szCs w:val="22"/>
        </w:rPr>
        <w:t xml:space="preserve">até 02 (duas) </w:t>
      </w:r>
      <w:r>
        <w:rPr>
          <w:color w:val="000000"/>
          <w:sz w:val="22"/>
          <w:szCs w:val="22"/>
        </w:rPr>
        <w:t>casas decimais após a vírgula.</w:t>
      </w:r>
    </w:p>
    <w:p>
      <w:pPr>
        <w:pStyle w:val="normal1"/>
        <w:numPr>
          <w:ilvl w:val="1"/>
          <w:numId w:val="23"/>
        </w:numPr>
        <w:spacing w:lineRule="auto" w:line="360" w:before="120" w:after="120"/>
        <w:ind w:hanging="0" w:start="1145"/>
        <w:jc w:val="both"/>
        <w:rPr/>
      </w:pPr>
      <w:r>
        <w:rPr>
          <w:color w:val="000000"/>
          <w:sz w:val="22"/>
          <w:szCs w:val="22"/>
        </w:rPr>
        <w:t xml:space="preserve">Constatando o atendimento das exigências fixadas no Edital, o objeto será adjudicado ao autor da proposta ou lance de </w:t>
      </w:r>
      <w:r>
        <w:rPr>
          <w:b/>
          <w:bCs/>
          <w:color w:val="000000"/>
          <w:sz w:val="22"/>
          <w:szCs w:val="22"/>
        </w:rPr>
        <w:t>menor valor.</w:t>
      </w:r>
    </w:p>
    <w:p>
      <w:pPr>
        <w:pStyle w:val="normal1"/>
        <w:numPr>
          <w:ilvl w:val="1"/>
          <w:numId w:val="23"/>
        </w:numPr>
        <w:spacing w:lineRule="auto" w:line="360" w:before="120" w:after="120"/>
        <w:ind w:hanging="0" w:start="1145"/>
        <w:jc w:val="both"/>
        <w:rPr/>
      </w:pPr>
      <w:r>
        <w:rPr>
          <w:color w:val="000000"/>
          <w:sz w:val="22"/>
          <w:szCs w:val="22"/>
        </w:rPr>
        <w:t xml:space="preserve">Após declarada(s) a(s) empresa(s) vencedora(s), será(ão) incluída(s) na ata, observada a ordem de classificação. </w:t>
      </w:r>
    </w:p>
    <w:p>
      <w:pPr>
        <w:pStyle w:val="normal1"/>
        <w:numPr>
          <w:ilvl w:val="1"/>
          <w:numId w:val="23"/>
        </w:numPr>
        <w:spacing w:lineRule="auto" w:line="360" w:before="120" w:after="120"/>
        <w:ind w:hanging="0" w:start="1145"/>
        <w:jc w:val="both"/>
        <w:rPr/>
      </w:pPr>
      <w:r>
        <w:rPr>
          <w:b/>
          <w:bCs/>
          <w:sz w:val="22"/>
          <w:szCs w:val="22"/>
        </w:rPr>
        <w:t>Caso haja divisão de cotas, e se a mesma empresa vencer a cota reservada e a cota por ampla concorrência</w:t>
      </w:r>
      <w:r>
        <w:rPr>
          <w:sz w:val="22"/>
          <w:szCs w:val="22"/>
        </w:rPr>
        <w:t xml:space="preserve">, a contratação das cotas deverá ocorrer pelo </w:t>
      </w:r>
      <w:r>
        <w:rPr>
          <w:b/>
          <w:bCs/>
          <w:sz w:val="22"/>
          <w:szCs w:val="22"/>
        </w:rPr>
        <w:t>menor preço ou maior desconto</w:t>
      </w:r>
      <w:r>
        <w:rPr>
          <w:sz w:val="22"/>
          <w:szCs w:val="22"/>
        </w:rPr>
        <w:t>.</w:t>
      </w:r>
    </w:p>
    <w:p>
      <w:pPr>
        <w:pStyle w:val="normal1"/>
        <w:numPr>
          <w:ilvl w:val="1"/>
          <w:numId w:val="23"/>
        </w:numPr>
        <w:spacing w:lineRule="auto" w:line="360" w:before="120" w:after="120"/>
        <w:ind w:hanging="0" w:start="1145"/>
        <w:jc w:val="both"/>
        <w:rPr/>
      </w:pPr>
      <w:r>
        <w:rPr>
          <w:sz w:val="22"/>
          <w:szCs w:val="22"/>
        </w:rPr>
        <w:t>Nos itens/lotes definidos como reservados/exclusivos para ME/EPP, caso não haja um mínimo de 3 (três) fornecedores competitivos enquadrados como microempresas ou empresas de pequeno porte capazes de cumprir as exigências estabelecidas no instrumento convocatório, não será aplicada a exclusividade, ou seja, a participação na licitação será estendida a todas as empresas interessadas, independente do enquadramento.</w:t>
      </w:r>
    </w:p>
    <w:p>
      <w:pPr>
        <w:pStyle w:val="normal1"/>
        <w:numPr>
          <w:ilvl w:val="0"/>
          <w:numId w:val="23"/>
        </w:numPr>
        <w:spacing w:lineRule="auto" w:line="360" w:before="240" w:after="120"/>
        <w:ind w:hanging="0" w:start="720"/>
        <w:jc w:val="both"/>
        <w:rPr>
          <w:color w:val="000000"/>
          <w:sz w:val="22"/>
          <w:szCs w:val="22"/>
        </w:rPr>
      </w:pPr>
      <w:r>
        <w:rPr>
          <w:b/>
          <w:bCs/>
          <w:color w:val="000000"/>
          <w:sz w:val="22"/>
          <w:szCs w:val="22"/>
        </w:rPr>
        <w:t>DA FASE DE HABILITAÇÃO</w:t>
      </w:r>
    </w:p>
    <w:p>
      <w:pPr>
        <w:pStyle w:val="normal1"/>
        <w:numPr>
          <w:ilvl w:val="1"/>
          <w:numId w:val="23"/>
        </w:numPr>
        <w:spacing w:lineRule="auto" w:line="360" w:before="120" w:after="120"/>
        <w:ind w:hanging="0" w:start="1145"/>
        <w:jc w:val="both"/>
        <w:rPr/>
      </w:pPr>
      <w:r>
        <w:rPr>
          <w:color w:val="000000"/>
          <w:sz w:val="22"/>
          <w:szCs w:val="22"/>
        </w:rPr>
        <w:t>Os documentos previstos no Termo de Referência, necessários e suficientes para demonstrar a capacidade do licitante de realizar o objeto da licitação, serão exigidos para fins de habilitação, nos termos dos arts. 62 a 70 da Lei nº 14.133, de 2021.</w:t>
      </w:r>
    </w:p>
    <w:p>
      <w:pPr>
        <w:pStyle w:val="normal1"/>
        <w:numPr>
          <w:ilvl w:val="2"/>
          <w:numId w:val="23"/>
        </w:numPr>
        <w:spacing w:lineRule="auto" w:line="360" w:before="120" w:after="120"/>
        <w:ind w:hanging="720" w:start="1780"/>
        <w:jc w:val="both"/>
        <w:rPr>
          <w:sz w:val="22"/>
          <w:szCs w:val="22"/>
        </w:rPr>
      </w:pPr>
      <w:r>
        <w:rPr>
          <w:color w:val="000000"/>
          <w:sz w:val="22"/>
          <w:szCs w:val="22"/>
        </w:rPr>
        <w:t>A documentação exigida para fins de habilitação jurídica, fiscal, social, trabalhista e econômica finan</w:t>
      </w:r>
      <w:r>
        <w:rPr>
          <w:sz w:val="22"/>
          <w:szCs w:val="22"/>
        </w:rPr>
        <w:t>ceira</w:t>
      </w:r>
      <w:r>
        <w:rPr>
          <w:color w:val="000000"/>
          <w:sz w:val="22"/>
          <w:szCs w:val="22"/>
        </w:rPr>
        <w:t>, conforme relação abaixo, poder</w:t>
      </w:r>
      <w:r>
        <w:rPr>
          <w:sz w:val="22"/>
          <w:szCs w:val="22"/>
        </w:rPr>
        <w:t>á</w:t>
      </w:r>
      <w:r>
        <w:rPr>
          <w:color w:val="000000"/>
          <w:sz w:val="22"/>
          <w:szCs w:val="22"/>
        </w:rPr>
        <w:t xml:space="preserve"> ser substituída pelo registro cadastral no SICAF; </w:t>
      </w:r>
    </w:p>
    <w:p>
      <w:pPr>
        <w:pStyle w:val="normal1"/>
        <w:numPr>
          <w:ilvl w:val="2"/>
          <w:numId w:val="23"/>
        </w:numPr>
        <w:spacing w:lineRule="auto" w:line="360" w:before="120" w:after="120"/>
        <w:ind w:hanging="720" w:start="1780"/>
        <w:jc w:val="both"/>
        <w:rPr>
          <w:sz w:val="22"/>
          <w:szCs w:val="22"/>
        </w:rPr>
      </w:pPr>
      <w:r>
        <w:rPr>
          <w:color w:val="000000"/>
          <w:sz w:val="22"/>
          <w:szCs w:val="22"/>
        </w:rPr>
        <w:t>Prova de regularidade para com a Fazenda Federal (Certidão Negativa de Débitos ou Positiva com Efeitos de Negativa relativos aos Tributos Federais e à Dívida Ativa da União), a qual a abrange, inclusive, as contribuições sociais previstas na Lei nº 8.212/1991;</w:t>
      </w:r>
    </w:p>
    <w:p>
      <w:pPr>
        <w:pStyle w:val="normal1"/>
        <w:numPr>
          <w:ilvl w:val="2"/>
          <w:numId w:val="23"/>
        </w:numPr>
        <w:spacing w:lineRule="auto" w:line="360" w:before="120" w:after="120"/>
        <w:ind w:hanging="720" w:start="1780"/>
        <w:jc w:val="both"/>
        <w:rPr>
          <w:sz w:val="22"/>
          <w:szCs w:val="22"/>
        </w:rPr>
      </w:pPr>
      <w:r>
        <w:rPr>
          <w:color w:val="000000"/>
          <w:sz w:val="22"/>
          <w:szCs w:val="22"/>
        </w:rPr>
        <w:t>Prova de regularidade fiscal para com a Fazenda Estadual do domicílio ou sede da licitante, expedida pelo órgão competente;</w:t>
      </w:r>
    </w:p>
    <w:p>
      <w:pPr>
        <w:pStyle w:val="normal1"/>
        <w:numPr>
          <w:ilvl w:val="2"/>
          <w:numId w:val="23"/>
        </w:numPr>
        <w:spacing w:lineRule="auto" w:line="360" w:before="120" w:after="120"/>
        <w:ind w:hanging="720" w:start="1780"/>
        <w:jc w:val="both"/>
        <w:rPr>
          <w:sz w:val="22"/>
          <w:szCs w:val="22"/>
        </w:rPr>
      </w:pPr>
      <w:r>
        <w:rPr>
          <w:color w:val="000000"/>
          <w:sz w:val="22"/>
          <w:szCs w:val="22"/>
        </w:rPr>
        <w:t>Prova de regularidade fiscal para com a Fazenda Municipal do domicílio ou sede da licitante, expedida pelo órgão competente;</w:t>
      </w:r>
    </w:p>
    <w:p>
      <w:pPr>
        <w:pStyle w:val="normal1"/>
        <w:numPr>
          <w:ilvl w:val="2"/>
          <w:numId w:val="23"/>
        </w:numPr>
        <w:spacing w:lineRule="auto" w:line="360" w:before="120" w:after="120"/>
        <w:ind w:hanging="720" w:start="1780"/>
        <w:jc w:val="both"/>
        <w:rPr>
          <w:sz w:val="22"/>
          <w:szCs w:val="22"/>
        </w:rPr>
      </w:pPr>
      <w:r>
        <w:rPr>
          <w:color w:val="000000"/>
          <w:sz w:val="22"/>
          <w:szCs w:val="22"/>
        </w:rPr>
        <w:t>No caso de Municípios que mantêm Cadastro Mobiliário e Imobiliário separados, deverão ser apresentados os comprovantes referentes a cada um dos cadastros;</w:t>
      </w:r>
    </w:p>
    <w:p>
      <w:pPr>
        <w:pStyle w:val="normal1"/>
        <w:numPr>
          <w:ilvl w:val="2"/>
          <w:numId w:val="23"/>
        </w:numPr>
        <w:spacing w:lineRule="auto" w:line="360" w:before="120" w:after="120"/>
        <w:ind w:hanging="720" w:start="1780"/>
        <w:jc w:val="both"/>
        <w:rPr>
          <w:sz w:val="22"/>
          <w:szCs w:val="22"/>
        </w:rPr>
      </w:pPr>
      <w:r>
        <w:rPr>
          <w:color w:val="000000"/>
          <w:sz w:val="22"/>
          <w:szCs w:val="22"/>
        </w:rPr>
        <w:t>Prova de regularidade relativa ao Fundo de Garantia por Tempo de Serviço – FGTS;</w:t>
      </w:r>
    </w:p>
    <w:p>
      <w:pPr>
        <w:pStyle w:val="normal1"/>
        <w:numPr>
          <w:ilvl w:val="2"/>
          <w:numId w:val="23"/>
        </w:numPr>
        <w:spacing w:lineRule="auto" w:line="360" w:before="120" w:after="120"/>
        <w:ind w:hanging="720" w:start="1780"/>
        <w:jc w:val="both"/>
        <w:rPr>
          <w:sz w:val="22"/>
          <w:szCs w:val="22"/>
        </w:rPr>
      </w:pPr>
      <w:r>
        <w:rPr>
          <w:color w:val="000000"/>
          <w:sz w:val="22"/>
          <w:szCs w:val="22"/>
        </w:rPr>
        <w:t xml:space="preserve">Certidão Negativa de Falência, expedida pelo distribuidor do Foro da sede da matriz da Pessoa Jurídica ou de execução patrimonial, expedida no domicílio da pessoa jurídica; </w:t>
      </w:r>
    </w:p>
    <w:p>
      <w:pPr>
        <w:pStyle w:val="normal1"/>
        <w:numPr>
          <w:ilvl w:val="2"/>
          <w:numId w:val="23"/>
        </w:numPr>
        <w:spacing w:lineRule="auto" w:line="360" w:before="120" w:after="120"/>
        <w:ind w:hanging="720" w:start="1780"/>
        <w:jc w:val="both"/>
        <w:rPr>
          <w:sz w:val="22"/>
          <w:szCs w:val="22"/>
        </w:rPr>
      </w:pPr>
      <w:r>
        <w:rPr>
          <w:color w:val="000000"/>
          <w:sz w:val="22"/>
          <w:szCs w:val="22"/>
        </w:rPr>
        <w:t>A licitante deverá apresentar a Certidão Negativa de Débitos Trabalhista, expedida pelo Tribunal Superior do Trabalho ou Tribunal Regional do Trabalho;</w:t>
      </w:r>
    </w:p>
    <w:p>
      <w:pPr>
        <w:pStyle w:val="normal1"/>
        <w:numPr>
          <w:ilvl w:val="2"/>
          <w:numId w:val="23"/>
        </w:numPr>
        <w:spacing w:lineRule="auto" w:line="360" w:before="120" w:after="120"/>
        <w:ind w:hanging="720" w:start="1780"/>
        <w:jc w:val="both"/>
        <w:rPr>
          <w:sz w:val="22"/>
          <w:szCs w:val="22"/>
        </w:rPr>
      </w:pPr>
      <w:r>
        <w:rPr>
          <w:color w:val="000000"/>
          <w:sz w:val="22"/>
          <w:szCs w:val="22"/>
        </w:rPr>
        <w:t>Ato constitutivo, estatuto ou contrato social em vigor, devidamente registrado, em se tratando de sociedades comerciais, e, no caso de sociedades por ações, acompanhado de documentos de eleição de seus administradores, bem como das respectivas alterações, caso existam;</w:t>
      </w:r>
    </w:p>
    <w:p>
      <w:pPr>
        <w:pStyle w:val="normal1"/>
        <w:numPr>
          <w:ilvl w:val="2"/>
          <w:numId w:val="23"/>
        </w:numPr>
        <w:spacing w:lineRule="auto" w:line="360" w:before="120" w:after="120"/>
        <w:ind w:hanging="720" w:start="1780"/>
        <w:jc w:val="both"/>
        <w:rPr>
          <w:sz w:val="22"/>
          <w:szCs w:val="22"/>
        </w:rPr>
      </w:pPr>
      <w:r>
        <w:rPr>
          <w:color w:val="000000"/>
          <w:sz w:val="22"/>
          <w:szCs w:val="22"/>
        </w:rPr>
        <w:t>Certidão simplificada emitida pela Junta Comercial da sede da licitante. (Documento exigido para fins de contratação, sem causa de inabilitação).</w:t>
      </w:r>
    </w:p>
    <w:p>
      <w:pPr>
        <w:pStyle w:val="normal1"/>
        <w:numPr>
          <w:ilvl w:val="2"/>
          <w:numId w:val="23"/>
        </w:numPr>
        <w:spacing w:lineRule="auto" w:line="360" w:before="120" w:after="120"/>
        <w:ind w:hanging="720" w:start="1780"/>
        <w:jc w:val="both"/>
        <w:rPr>
          <w:sz w:val="22"/>
          <w:szCs w:val="22"/>
        </w:rPr>
      </w:pPr>
      <w:r>
        <w:rPr>
          <w:sz w:val="22"/>
          <w:szCs w:val="22"/>
        </w:rPr>
        <w:t>Os documentos cujo prazo de validade não esteja fixado terão o prazo de 60 (sessenta) dias a partir de sua emissão. (Exceto aquele previsto no subitem que solicita o “Atestado de capacidade técnica”).</w:t>
      </w:r>
    </w:p>
    <w:p>
      <w:pPr>
        <w:pStyle w:val="normal1"/>
        <w:numPr>
          <w:ilvl w:val="1"/>
          <w:numId w:val="23"/>
        </w:numPr>
        <w:spacing w:lineRule="auto" w:line="360" w:before="120" w:after="120"/>
        <w:ind w:hanging="0" w:start="1145"/>
        <w:jc w:val="both"/>
        <w:rPr/>
      </w:pPr>
      <w:r>
        <w:rPr>
          <w:color w:val="FF0000"/>
        </w:rPr>
        <w:t xml:space="preserve">    </w:t>
      </w:r>
      <w:r>
        <w:rPr>
          <w:sz w:val="22"/>
          <w:szCs w:val="22"/>
        </w:rPr>
        <w:t>Para fins de</w:t>
      </w:r>
      <w:r>
        <w:rPr>
          <w:b/>
          <w:bCs/>
          <w:sz w:val="22"/>
          <w:szCs w:val="22"/>
        </w:rPr>
        <w:t xml:space="preserve"> Habilitação Técnica, as empresas,</w:t>
      </w:r>
      <w:r>
        <w:rPr>
          <w:sz w:val="22"/>
          <w:szCs w:val="22"/>
        </w:rPr>
        <w:t xml:space="preserve"> cadastradas ou não no SICAF, relativamente aos itens dispostos neste edital  e no Termo de referência, deverão comprovar, se for o caso, com os seguintes documentos:</w:t>
      </w:r>
    </w:p>
    <w:p>
      <w:pPr>
        <w:pStyle w:val="normal1"/>
        <w:numPr>
          <w:ilvl w:val="2"/>
          <w:numId w:val="23"/>
        </w:numPr>
        <w:spacing w:lineRule="auto" w:line="360" w:before="120" w:after="120"/>
        <w:ind w:hanging="720" w:start="1780"/>
        <w:jc w:val="both"/>
        <w:rPr>
          <w:sz w:val="22"/>
          <w:szCs w:val="22"/>
        </w:rPr>
      </w:pPr>
      <w:r>
        <w:rPr>
          <w:b/>
          <w:bCs/>
          <w:sz w:val="22"/>
          <w:szCs w:val="22"/>
        </w:rPr>
        <w:t>Qualificação técnica do proponente</w:t>
      </w:r>
    </w:p>
    <w:p>
      <w:pPr>
        <w:pStyle w:val="normal1"/>
        <w:numPr>
          <w:ilvl w:val="3"/>
          <w:numId w:val="23"/>
        </w:numPr>
        <w:spacing w:lineRule="auto" w:line="360"/>
        <w:ind w:hanging="647" w:start="2448"/>
        <w:jc w:val="both"/>
        <w:rPr>
          <w:sz w:val="22"/>
          <w:szCs w:val="22"/>
        </w:rPr>
      </w:pPr>
      <w:r>
        <w:rPr>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pPr>
        <w:pStyle w:val="normal1"/>
        <w:numPr>
          <w:ilvl w:val="4"/>
          <w:numId w:val="23"/>
        </w:numPr>
        <w:spacing w:lineRule="auto" w:line="360"/>
        <w:ind w:hanging="792" w:start="2952"/>
        <w:jc w:val="both"/>
        <w:rPr>
          <w:sz w:val="22"/>
          <w:szCs w:val="22"/>
        </w:rPr>
      </w:pPr>
      <w:r>
        <w:rPr>
          <w:sz w:val="22"/>
          <w:szCs w:val="22"/>
        </w:rPr>
        <w:t>Para fins da comprovação de que trata este subitem, os atestados deverão  dizer  respeito  a  contratos  executados  com  as  seguintes características mínimas:</w:t>
      </w:r>
    </w:p>
    <w:p>
      <w:pPr>
        <w:pStyle w:val="normal1"/>
        <w:numPr>
          <w:ilvl w:val="5"/>
          <w:numId w:val="23"/>
        </w:numPr>
        <w:spacing w:lineRule="auto" w:line="360"/>
        <w:ind w:hanging="934" w:start="3456"/>
        <w:jc w:val="both"/>
        <w:rPr>
          <w:sz w:val="22"/>
          <w:szCs w:val="22"/>
        </w:rPr>
      </w:pPr>
      <w:r>
        <w:rPr>
          <w:sz w:val="22"/>
          <w:szCs w:val="22"/>
        </w:rPr>
        <w:t>Atestados de capacidade técnica emitidos por pessoa jurídica de direito público ou privado, que comprovem a execução de serviços similares em natureza e vulto, envolvendo produção de  eventos  de  grande  porte  com  montagem  de  estruturas,  operação técnica e coordenação de equipes.</w:t>
      </w:r>
    </w:p>
    <w:p>
      <w:pPr>
        <w:pStyle w:val="normal1"/>
        <w:numPr>
          <w:ilvl w:val="5"/>
          <w:numId w:val="23"/>
        </w:numPr>
        <w:spacing w:lineRule="auto" w:line="360"/>
        <w:ind w:hanging="934" w:start="3456"/>
        <w:jc w:val="both"/>
        <w:rPr>
          <w:sz w:val="22"/>
          <w:szCs w:val="22"/>
        </w:rPr>
      </w:pPr>
      <w:r>
        <w:rPr>
          <w:sz w:val="22"/>
          <w:szCs w:val="22"/>
        </w:rPr>
        <w:t>Portfólio  institucional  contendo  registros  fotográficos,  vídeos  ou materiais de divulgação de eventos realizados, com indicação de datas, locais, público estimado e escopo executado.</w:t>
      </w:r>
    </w:p>
    <w:p>
      <w:pPr>
        <w:pStyle w:val="normal1"/>
        <w:numPr>
          <w:ilvl w:val="5"/>
          <w:numId w:val="23"/>
        </w:numPr>
        <w:spacing w:lineRule="auto" w:line="360"/>
        <w:ind w:hanging="934" w:start="3456"/>
        <w:jc w:val="both"/>
        <w:rPr>
          <w:sz w:val="22"/>
          <w:szCs w:val="22"/>
        </w:rPr>
      </w:pPr>
      <w:r>
        <w:rPr>
          <w:sz w:val="22"/>
          <w:szCs w:val="22"/>
        </w:rPr>
        <w:t>Declaração  de  disponibilidade  de  equipe  técnica especializada, com   identificação  dos   profissionais   responsáveis   pelas   áreas  de produção  executiva,  operação  técnica,  segurança,  limpeza,  apoio logístico e gerenciamento de riscos.</w:t>
      </w:r>
    </w:p>
    <w:p>
      <w:pPr>
        <w:pStyle w:val="normal1"/>
        <w:numPr>
          <w:ilvl w:val="5"/>
          <w:numId w:val="23"/>
        </w:numPr>
        <w:spacing w:lineRule="auto" w:line="360"/>
        <w:ind w:hanging="934" w:start="3456"/>
        <w:jc w:val="both"/>
        <w:rPr>
          <w:sz w:val="22"/>
          <w:szCs w:val="22"/>
        </w:rPr>
      </w:pPr>
      <w:r>
        <w:rPr>
          <w:sz w:val="22"/>
          <w:szCs w:val="22"/>
        </w:rPr>
        <w:t>Relação de  equipamentos e  estruturas  próprias ou  contratadas, com  especificações  técnicas  compatíveis  com  os  requisitos  mínimos definidos neste Termo de Referência.</w:t>
      </w:r>
    </w:p>
    <w:p>
      <w:pPr>
        <w:pStyle w:val="normal1"/>
        <w:numPr>
          <w:ilvl w:val="5"/>
          <w:numId w:val="23"/>
        </w:numPr>
        <w:spacing w:lineRule="auto" w:line="360"/>
        <w:ind w:hanging="934" w:start="3456"/>
        <w:jc w:val="both"/>
        <w:rPr>
          <w:sz w:val="22"/>
          <w:szCs w:val="22"/>
        </w:rPr>
      </w:pPr>
      <w:r>
        <w:rPr>
          <w:sz w:val="22"/>
          <w:szCs w:val="22"/>
        </w:rPr>
        <w:t>Comprovação  de  registro  ou  inscrição  em  entidade  profissional ou associação de produtores culturais, quando aplicável.</w:t>
      </w:r>
    </w:p>
    <w:p>
      <w:pPr>
        <w:pStyle w:val="normal1"/>
        <w:keepNext w:val="false"/>
        <w:keepLines w:val="false"/>
        <w:pageBreakBefore w:val="false"/>
        <w:widowControl/>
        <w:numPr>
          <w:ilvl w:val="3"/>
          <w:numId w:val="23"/>
        </w:numPr>
        <w:shd w:val="clear" w:fill="auto"/>
        <w:spacing w:lineRule="auto" w:line="360" w:before="0" w:after="0"/>
        <w:ind w:hanging="647" w:start="2448" w:end="0"/>
        <w:jc w:val="both"/>
        <w:rPr>
          <w:sz w:val="22"/>
          <w:szCs w:val="22"/>
        </w:rPr>
      </w:pPr>
      <w:r>
        <w:rPr>
          <w:sz w:val="22"/>
          <w:szCs w:val="22"/>
        </w:rPr>
        <w:t>Será admitida, para fins  de comprovação de  quantitativo  mínimo,  a apresentação  e  o  somatório  de  diferentes  atestados  executados  de forma concomitante.</w:t>
      </w:r>
    </w:p>
    <w:p>
      <w:pPr>
        <w:pStyle w:val="normal1"/>
        <w:numPr>
          <w:ilvl w:val="3"/>
          <w:numId w:val="23"/>
        </w:numPr>
        <w:spacing w:lineRule="auto" w:line="360" w:before="0" w:after="360"/>
        <w:ind w:hanging="647" w:start="2448"/>
        <w:jc w:val="both"/>
        <w:rPr>
          <w:sz w:val="22"/>
          <w:szCs w:val="22"/>
        </w:rPr>
      </w:pPr>
      <w:r>
        <w:rPr>
          <w:sz w:val="22"/>
          <w:szCs w:val="22"/>
        </w:rPr>
        <w:t>Os  atestados  de  capacidade  técnica  poderão  ser  apresentados  em nome da matriz ou da filial do fornecedor.</w:t>
      </w:r>
    </w:p>
    <w:p>
      <w:pPr>
        <w:pStyle w:val="normal1"/>
        <w:numPr>
          <w:ilvl w:val="3"/>
          <w:numId w:val="23"/>
        </w:numPr>
        <w:spacing w:lineRule="auto" w:line="360" w:before="0" w:after="360"/>
        <w:ind w:hanging="647" w:start="2448"/>
        <w:jc w:val="both"/>
        <w:rPr>
          <w:sz w:val="22"/>
          <w:szCs w:val="22"/>
        </w:rPr>
      </w:pPr>
      <w:r>
        <w:rPr>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pPr>
        <w:pStyle w:val="normal1"/>
        <w:numPr>
          <w:ilvl w:val="1"/>
          <w:numId w:val="23"/>
        </w:numPr>
        <w:spacing w:lineRule="auto" w:line="360" w:before="120" w:after="120"/>
        <w:ind w:hanging="0" w:start="1145"/>
        <w:jc w:val="both"/>
        <w:rPr/>
      </w:pPr>
      <w:r>
        <w:rPr>
          <w:color w:val="000000"/>
          <w:sz w:val="22"/>
          <w:szCs w:val="22"/>
        </w:rPr>
        <w:t xml:space="preserve">Quando, e se permitida a participação de empresas estrangeiras que não funcionem no País, as exigências de habilitação serão atendidas mediante documentos equivalentes, inicialmente apresentados em tradução livre. </w:t>
      </w:r>
    </w:p>
    <w:p>
      <w:pPr>
        <w:pStyle w:val="normal1"/>
        <w:numPr>
          <w:ilvl w:val="2"/>
          <w:numId w:val="23"/>
        </w:numPr>
        <w:spacing w:lineRule="auto" w:line="360" w:before="120" w:after="120"/>
        <w:ind w:hanging="720" w:start="1780"/>
        <w:jc w:val="both"/>
        <w:rPr>
          <w:sz w:val="22"/>
          <w:szCs w:val="22"/>
        </w:rPr>
      </w:pPr>
      <w:r>
        <w:rPr>
          <w:color w:val="000000"/>
          <w:sz w:val="22"/>
          <w:szCs w:val="22"/>
        </w:rPr>
        <w:t xml:space="preserve">Na hipótese de o licitante vencedor ser empresa estrangeira que não </w:t>
      </w:r>
      <w:r>
        <w:rPr>
          <w:sz w:val="22"/>
          <w:szCs w:val="22"/>
        </w:rPr>
        <w:t>funcionem</w:t>
      </w:r>
      <w:r>
        <w:rPr>
          <w:color w:val="000000"/>
          <w:sz w:val="22"/>
          <w:szCs w:val="22"/>
        </w:rPr>
        <w:t xml:space="preserv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ormal1"/>
        <w:numPr>
          <w:ilvl w:val="1"/>
          <w:numId w:val="23"/>
        </w:numPr>
        <w:spacing w:lineRule="auto" w:line="360" w:before="120" w:after="120"/>
        <w:ind w:hanging="0" w:start="1145"/>
        <w:jc w:val="both"/>
        <w:rPr/>
      </w:pPr>
      <w:r>
        <w:rPr>
          <w:color w:val="000000"/>
          <w:sz w:val="22"/>
          <w:szCs w:val="22"/>
        </w:rPr>
        <w:t>Quando, e se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ormal1"/>
        <w:numPr>
          <w:ilvl w:val="2"/>
          <w:numId w:val="23"/>
        </w:numPr>
        <w:spacing w:lineRule="auto" w:line="360" w:before="120" w:after="120"/>
        <w:ind w:hanging="720" w:start="1780"/>
        <w:jc w:val="both"/>
        <w:rPr>
          <w:sz w:val="22"/>
          <w:szCs w:val="22"/>
        </w:rPr>
      </w:pPr>
      <w:r>
        <w:rPr>
          <w:color w:val="000000"/>
          <w:sz w:val="22"/>
          <w:szCs w:val="22"/>
        </w:rPr>
        <w:t>Se o consórcio não for formado integralmente por microempresas ou empresas de pequeno porte e o termo de referência exigir requisitos de habilitação econômico-financeira, haverá um acréscimo de 10% a 30%, com justificativa, para o consórcio em relação ao valor exigido para os licitantes individuais.</w:t>
      </w:r>
    </w:p>
    <w:p>
      <w:pPr>
        <w:pStyle w:val="normal1"/>
        <w:numPr>
          <w:ilvl w:val="1"/>
          <w:numId w:val="23"/>
        </w:numPr>
        <w:spacing w:lineRule="auto" w:line="360" w:before="120" w:after="120"/>
        <w:ind w:hanging="0" w:start="1145"/>
        <w:jc w:val="both"/>
        <w:rPr/>
      </w:pPr>
      <w:r>
        <w:rPr>
          <w:color w:val="000000"/>
          <w:sz w:val="22"/>
          <w:szCs w:val="22"/>
        </w:rPr>
        <w:t>Os documentos exigidos para fins de habilitação poderão ser apresentados em original, por cópia com conferência de autenticidade, passível de diligência pelo agente de contratação.</w:t>
      </w:r>
    </w:p>
    <w:p>
      <w:pPr>
        <w:pStyle w:val="normal1"/>
        <w:numPr>
          <w:ilvl w:val="1"/>
          <w:numId w:val="23"/>
        </w:numPr>
        <w:spacing w:lineRule="auto" w:line="360" w:before="120" w:after="120"/>
        <w:ind w:hanging="0" w:start="1145"/>
        <w:jc w:val="both"/>
        <w:rPr/>
      </w:pPr>
      <w:r>
        <w:rPr>
          <w:color w:val="000000"/>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pPr>
        <w:pStyle w:val="normal1"/>
        <w:numPr>
          <w:ilvl w:val="1"/>
          <w:numId w:val="23"/>
        </w:numPr>
        <w:spacing w:lineRule="auto" w:line="360" w:before="120" w:after="120"/>
        <w:ind w:hanging="0" w:start="1145"/>
        <w:jc w:val="both"/>
        <w:rPr/>
      </w:pPr>
      <w:r>
        <w:rPr>
          <w:color w:val="000000"/>
          <w:sz w:val="22"/>
          <w:szCs w:val="22"/>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que se tornem desatualizados. (IN nº 3/2018, art. 7º, caput).</w:t>
      </w:r>
    </w:p>
    <w:p>
      <w:pPr>
        <w:pStyle w:val="normal1"/>
        <w:numPr>
          <w:ilvl w:val="2"/>
          <w:numId w:val="23"/>
        </w:numPr>
        <w:spacing w:lineRule="auto" w:line="360" w:before="120" w:after="120"/>
        <w:ind w:hanging="720" w:start="1780"/>
        <w:jc w:val="both"/>
        <w:rPr>
          <w:sz w:val="22"/>
          <w:szCs w:val="22"/>
        </w:rPr>
      </w:pPr>
      <w:r>
        <w:rPr>
          <w:color w:val="000000"/>
          <w:sz w:val="22"/>
          <w:szCs w:val="22"/>
        </w:rPr>
        <w:t>A não observância do disposto no item anterior poderá ensejar desclassificação no momento da habilitação. (IN nº 3/2018, art. 7º, parágrafo único).</w:t>
      </w:r>
    </w:p>
    <w:p>
      <w:pPr>
        <w:pStyle w:val="normal1"/>
        <w:numPr>
          <w:ilvl w:val="1"/>
          <w:numId w:val="23"/>
        </w:numPr>
        <w:spacing w:lineRule="auto" w:line="360" w:before="120" w:after="120"/>
        <w:ind w:hanging="0" w:start="1145"/>
        <w:jc w:val="both"/>
        <w:rPr/>
      </w:pPr>
      <w:bookmarkStart w:id="2" w:name="_heading=h.2grqrue"/>
      <w:bookmarkEnd w:id="2"/>
      <w:r>
        <w:rPr>
          <w:color w:val="000000"/>
          <w:sz w:val="22"/>
          <w:szCs w:val="22"/>
        </w:rPr>
        <w:t>A verificação pelo agente de contratação, em sítios eletrônicos oficiais de órgãos e entidades emissores de certidões constitui meio legal de prova, para fins de habilitação.</w:t>
      </w:r>
    </w:p>
    <w:p>
      <w:pPr>
        <w:pStyle w:val="normal1"/>
        <w:numPr>
          <w:ilvl w:val="2"/>
          <w:numId w:val="23"/>
        </w:numPr>
        <w:spacing w:lineRule="auto" w:line="360" w:before="120" w:after="120"/>
        <w:ind w:hanging="720" w:start="1780"/>
        <w:jc w:val="both"/>
        <w:rPr>
          <w:sz w:val="22"/>
          <w:szCs w:val="22"/>
        </w:rPr>
      </w:pPr>
      <w:r>
        <w:rPr>
          <w:color w:val="000000"/>
          <w:sz w:val="22"/>
          <w:szCs w:val="22"/>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pPr>
        <w:pStyle w:val="normal1"/>
        <w:numPr>
          <w:ilvl w:val="1"/>
          <w:numId w:val="23"/>
        </w:numPr>
        <w:spacing w:lineRule="auto" w:line="360" w:before="120" w:after="120"/>
        <w:ind w:hanging="0" w:start="1145"/>
        <w:jc w:val="both"/>
        <w:rPr/>
      </w:pPr>
      <w:r>
        <w:rPr>
          <w:color w:val="000000"/>
          <w:sz w:val="22"/>
          <w:szCs w:val="22"/>
        </w:rPr>
        <w:t>A verificação no SICAF ou a exigência dos documentos nele não contidos somente será feita em relação ao licitante vencedor.</w:t>
      </w:r>
    </w:p>
    <w:p>
      <w:pPr>
        <w:pStyle w:val="normal1"/>
        <w:numPr>
          <w:ilvl w:val="2"/>
          <w:numId w:val="23"/>
        </w:numPr>
        <w:spacing w:lineRule="auto" w:line="360" w:before="120" w:after="120"/>
        <w:ind w:hanging="720" w:start="1780"/>
        <w:jc w:val="both"/>
        <w:rPr>
          <w:sz w:val="22"/>
          <w:szCs w:val="22"/>
        </w:rPr>
      </w:pPr>
      <w:r>
        <w:rPr>
          <w:color w:val="000000"/>
          <w:sz w:val="22"/>
          <w:szCs w:val="22"/>
        </w:rPr>
        <w:t>Os documentos relativos à regularidade fiscal que constem do Termo de Referência somente serão exigidos, em qualquer caso, em momento posterior ao julgamento das propostas, e apenas do licitante mais bem classificado.</w:t>
      </w:r>
    </w:p>
    <w:p>
      <w:pPr>
        <w:pStyle w:val="normal1"/>
        <w:numPr>
          <w:ilvl w:val="2"/>
          <w:numId w:val="23"/>
        </w:numPr>
        <w:spacing w:lineRule="auto" w:line="360" w:before="120" w:after="120"/>
        <w:ind w:hanging="720" w:start="1780"/>
        <w:jc w:val="both"/>
        <w:rPr>
          <w:sz w:val="22"/>
          <w:szCs w:val="22"/>
        </w:rPr>
      </w:pPr>
      <w:r>
        <w:rPr>
          <w:color w:val="000000"/>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pPr>
        <w:pStyle w:val="normal1"/>
        <w:numPr>
          <w:ilvl w:val="1"/>
          <w:numId w:val="23"/>
        </w:numPr>
        <w:spacing w:lineRule="auto" w:line="360" w:before="120" w:after="120"/>
        <w:ind w:hanging="0" w:start="1145"/>
        <w:jc w:val="both"/>
        <w:rPr/>
      </w:pPr>
      <w:r>
        <w:rPr>
          <w:color w:val="000000"/>
          <w:sz w:val="22"/>
          <w:szCs w:val="22"/>
        </w:rPr>
        <w:t>Após a entrega dos documentos para habilitação, não será permitida a substituição ou a apresentação de novos documentos, salvo em sede de diligência, para (Lei 14.133/21, art. 64, e IN 73/2022, art. 39, §4º):</w:t>
      </w:r>
    </w:p>
    <w:p>
      <w:pPr>
        <w:pStyle w:val="normal1"/>
        <w:numPr>
          <w:ilvl w:val="2"/>
          <w:numId w:val="23"/>
        </w:numPr>
        <w:spacing w:lineRule="auto" w:line="360" w:before="120" w:after="120"/>
        <w:ind w:hanging="720" w:start="1780"/>
        <w:jc w:val="both"/>
        <w:rPr>
          <w:sz w:val="22"/>
          <w:szCs w:val="22"/>
        </w:rPr>
      </w:pPr>
      <w:r>
        <w:rPr>
          <w:color w:val="000000"/>
          <w:sz w:val="22"/>
          <w:szCs w:val="22"/>
        </w:rPr>
        <w:t>Complementação de informações acerca dos documentos já apresentados pelos licitantes e desde que necessária para apurar fatos existentes à época da abertura do certame; e</w:t>
      </w:r>
    </w:p>
    <w:p>
      <w:pPr>
        <w:pStyle w:val="normal1"/>
        <w:numPr>
          <w:ilvl w:val="2"/>
          <w:numId w:val="23"/>
        </w:numPr>
        <w:spacing w:lineRule="auto" w:line="360" w:before="120" w:after="120"/>
        <w:ind w:hanging="720" w:start="1780"/>
        <w:jc w:val="both"/>
        <w:rPr>
          <w:sz w:val="22"/>
          <w:szCs w:val="22"/>
        </w:rPr>
      </w:pPr>
      <w:bookmarkStart w:id="3" w:name="_heading=h.vx1227"/>
      <w:bookmarkEnd w:id="3"/>
      <w:r>
        <w:rPr>
          <w:color w:val="000000"/>
          <w:sz w:val="22"/>
          <w:szCs w:val="22"/>
        </w:rPr>
        <w:t>Atualização de documentos cuja validade tenha expirado após a data de recebimento das propostas.</w:t>
      </w:r>
    </w:p>
    <w:p>
      <w:pPr>
        <w:pStyle w:val="normal1"/>
        <w:numPr>
          <w:ilvl w:val="1"/>
          <w:numId w:val="23"/>
        </w:numPr>
        <w:spacing w:lineRule="auto" w:line="360" w:before="120" w:after="120"/>
        <w:ind w:hanging="0" w:start="1145"/>
        <w:jc w:val="both"/>
        <w:rPr/>
      </w:pPr>
      <w:bookmarkStart w:id="4" w:name="_heading=h.3fwokq0"/>
      <w:bookmarkEnd w:id="4"/>
      <w:r>
        <w:rPr>
          <w:color w:val="000000"/>
          <w:sz w:val="22"/>
          <w:szCs w:val="22"/>
        </w:rPr>
        <w:t>Na análise dos documentos de habilitação, o agente de contratação poderá sanar erros ou falhas, que não alterem a substância dos documentos e sua validade jurídica, mediante decisão fundamentada, registrada em ata e acessível a todos, atribuindo-lhes eﬁcácia para fins de habilitação e classificação.</w:t>
      </w:r>
    </w:p>
    <w:p>
      <w:pPr>
        <w:pStyle w:val="normal1"/>
        <w:numPr>
          <w:ilvl w:val="1"/>
          <w:numId w:val="23"/>
        </w:numPr>
        <w:spacing w:lineRule="auto" w:line="360" w:before="120" w:after="120"/>
        <w:ind w:hanging="0" w:start="1145"/>
        <w:jc w:val="both"/>
        <w:rPr/>
      </w:pPr>
      <w:bookmarkStart w:id="5" w:name="_heading=h.1v1yuxt"/>
      <w:bookmarkEnd w:id="5"/>
      <w:r>
        <w:rPr>
          <w:color w:val="000000"/>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mínimo de 2 (duas) horas prorrogável por igual período, contado da solicitação do pregoeiro. </w:t>
      </w:r>
    </w:p>
    <w:p>
      <w:pPr>
        <w:pStyle w:val="normal1"/>
        <w:numPr>
          <w:ilvl w:val="1"/>
          <w:numId w:val="23"/>
        </w:numPr>
        <w:spacing w:lineRule="auto" w:line="360" w:before="120" w:after="120"/>
        <w:ind w:hanging="0" w:start="1145"/>
        <w:jc w:val="both"/>
        <w:rPr/>
      </w:pPr>
      <w:r>
        <w:rPr>
          <w:color w:val="000000"/>
          <w:sz w:val="22"/>
          <w:szCs w:val="22"/>
        </w:rPr>
        <w:t>A Microempresa ou Empresa de Pequeno Porte de acordo com o artigo 43 da Lei Complementar n.º 123/2006 deverão apresentar toda a documentação exigida para efeito de comprovação de regularidade fiscal, mesmo que esta apresente alguma restrição;</w:t>
      </w:r>
    </w:p>
    <w:p>
      <w:pPr>
        <w:pStyle w:val="normal1"/>
        <w:numPr>
          <w:ilvl w:val="1"/>
          <w:numId w:val="23"/>
        </w:numPr>
        <w:spacing w:lineRule="auto" w:line="360" w:before="120" w:after="120"/>
        <w:ind w:hanging="0" w:start="1145"/>
        <w:jc w:val="both"/>
        <w:rPr/>
      </w:pPr>
      <w:r>
        <w:rPr>
          <w:sz w:val="22"/>
          <w:szCs w:val="22"/>
        </w:rPr>
        <w:t>Havendo alguma restrição na comprovação da regularidade fiscal e trabalhista, será assegurada à microempresa ou empresa de pequeno porte o prazo de 05 (cinco) dias úteis podendo ser prorrogado por mais 5 (cinco) dias úteis, cujo termo inicial corresponderá ao momento em que o proponente for declarado vencedor do certame, prorrogável por igual período a critério da Administração Pública para a regularização da documentação, pagamento ou parcelamento do débito e emissão de eventuais Certidões Negativas ou Positivas com efeitos de Certidão Negativa.</w:t>
      </w:r>
    </w:p>
    <w:p>
      <w:pPr>
        <w:pStyle w:val="normal1"/>
        <w:numPr>
          <w:ilvl w:val="1"/>
          <w:numId w:val="23"/>
        </w:numPr>
        <w:spacing w:lineRule="auto" w:line="360" w:before="120" w:after="120"/>
        <w:ind w:hanging="0" w:start="1145"/>
        <w:jc w:val="both"/>
        <w:rPr/>
      </w:pPr>
      <w:r>
        <w:rPr>
          <w:color w:val="000000"/>
          <w:sz w:val="22"/>
          <w:szCs w:val="22"/>
        </w:rPr>
        <w:t>A comprovação de regularidade fiscal e trabalhista das microempresas e das empresas de pequeno porte somente será exigida para efeito de contratação, e não como condição para participação na licitação (art. 4º do Decreto nº 8.538/2015).</w:t>
      </w:r>
    </w:p>
    <w:p>
      <w:pPr>
        <w:pStyle w:val="normal1"/>
        <w:numPr>
          <w:ilvl w:val="1"/>
          <w:numId w:val="23"/>
        </w:numPr>
        <w:spacing w:lineRule="auto" w:line="360" w:before="120" w:after="120"/>
        <w:ind w:hanging="0" w:start="1145"/>
        <w:jc w:val="both"/>
        <w:rPr/>
      </w:pPr>
      <w:r>
        <w:rPr>
          <w:color w:val="000000"/>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pPr>
        <w:pStyle w:val="normal1"/>
        <w:numPr>
          <w:ilvl w:val="0"/>
          <w:numId w:val="23"/>
        </w:numPr>
        <w:spacing w:lineRule="auto" w:line="360" w:before="240" w:after="120"/>
        <w:ind w:hanging="0" w:start="720"/>
        <w:jc w:val="both"/>
        <w:rPr>
          <w:color w:val="000000"/>
          <w:sz w:val="22"/>
          <w:szCs w:val="22"/>
        </w:rPr>
      </w:pPr>
      <w:r>
        <w:rPr>
          <w:b/>
          <w:bCs/>
          <w:color w:val="000000"/>
          <w:sz w:val="22"/>
          <w:szCs w:val="22"/>
        </w:rPr>
        <w:t>DA IMPUGNAÇÃO AO EDITAL DO PEDIDO DE ESCLARECIMENTO E DOS RECURSOS</w:t>
      </w:r>
    </w:p>
    <w:p>
      <w:pPr>
        <w:pStyle w:val="normal1"/>
        <w:numPr>
          <w:ilvl w:val="1"/>
          <w:numId w:val="23"/>
        </w:numPr>
        <w:spacing w:lineRule="auto" w:line="360" w:before="120" w:after="120"/>
        <w:ind w:hanging="0" w:start="1145"/>
        <w:jc w:val="both"/>
        <w:rPr/>
      </w:pPr>
      <w:r>
        <w:rPr>
          <w:color w:val="000000"/>
          <w:sz w:val="22"/>
          <w:szCs w:val="22"/>
        </w:rPr>
        <w:t>Qualquer pessoa é parte legítima para impugnar este Edital por irregularidade na aplicação da Lei nº 14.133, de 2021, devendo protocolar o pedido até 3 (três) dias úteis antes da data da abertura do certame.</w:t>
      </w:r>
    </w:p>
    <w:p>
      <w:pPr>
        <w:pStyle w:val="normal1"/>
        <w:numPr>
          <w:ilvl w:val="1"/>
          <w:numId w:val="23"/>
        </w:numPr>
        <w:spacing w:lineRule="auto" w:line="360" w:before="120" w:after="120"/>
        <w:ind w:hanging="0" w:start="1145"/>
        <w:jc w:val="both"/>
        <w:rPr/>
      </w:pPr>
      <w:r>
        <w:rPr>
          <w:color w:val="000000"/>
          <w:sz w:val="22"/>
          <w:szCs w:val="22"/>
        </w:rPr>
        <w:t xml:space="preserve">A interposição de recurso referente ao julgamento das propostas, à habilitação ou inabilitação de licitantes, à anulação ou revogação da licitação, observará o disposto </w:t>
      </w:r>
      <w:r>
        <w:rPr>
          <w:sz w:val="22"/>
          <w:szCs w:val="22"/>
        </w:rPr>
        <w:t>no art. 165 da Lei nº 14.133, de 2021.</w:t>
      </w:r>
    </w:p>
    <w:p>
      <w:pPr>
        <w:pStyle w:val="normal1"/>
        <w:numPr>
          <w:ilvl w:val="1"/>
          <w:numId w:val="23"/>
        </w:numPr>
        <w:spacing w:lineRule="auto" w:line="360" w:before="120" w:after="120"/>
        <w:ind w:hanging="0" w:start="1145"/>
        <w:jc w:val="both"/>
        <w:rPr/>
      </w:pPr>
      <w:r>
        <w:rPr>
          <w:sz w:val="22"/>
          <w:szCs w:val="22"/>
        </w:rPr>
        <w:t>O prazo recursal é de 3 (três) dias úteis, contados da data de intimação ou de lavratura da ata.</w:t>
      </w:r>
    </w:p>
    <w:p>
      <w:pPr>
        <w:pStyle w:val="normal1"/>
        <w:numPr>
          <w:ilvl w:val="1"/>
          <w:numId w:val="23"/>
        </w:numPr>
        <w:spacing w:lineRule="auto" w:line="360" w:before="120" w:after="120"/>
        <w:ind w:hanging="0" w:start="1145"/>
        <w:jc w:val="both"/>
        <w:rPr/>
      </w:pPr>
      <w:r>
        <w:rPr>
          <w:color w:val="000000"/>
          <w:sz w:val="22"/>
          <w:szCs w:val="22"/>
        </w:rPr>
        <w:t xml:space="preserve">Não serão </w:t>
      </w:r>
      <w:r>
        <w:rPr>
          <w:sz w:val="22"/>
          <w:szCs w:val="22"/>
        </w:rPr>
        <w:t>conhecidas</w:t>
      </w:r>
      <w:r>
        <w:rPr>
          <w:color w:val="000000"/>
          <w:sz w:val="22"/>
          <w:szCs w:val="22"/>
        </w:rPr>
        <w:t xml:space="preserve"> as impugnações e os recursos apresentados fora do prazo legal e/ou subscritos por representante não habilitado legalmente ou não identificado no processo para responder pelo proponente.</w:t>
      </w:r>
    </w:p>
    <w:p>
      <w:pPr>
        <w:pStyle w:val="normal1"/>
        <w:numPr>
          <w:ilvl w:val="1"/>
          <w:numId w:val="23"/>
        </w:numPr>
        <w:spacing w:lineRule="auto" w:line="360" w:before="120" w:after="120"/>
        <w:ind w:hanging="0" w:start="1145"/>
        <w:jc w:val="both"/>
        <w:rPr/>
      </w:pPr>
      <w:r>
        <w:rPr>
          <w:color w:val="000000"/>
          <w:sz w:val="22"/>
          <w:szCs w:val="22"/>
        </w:rPr>
        <w:t>A impugnação e o pedido de esclarecimento poderão ser realizados por forma eletrônica, pelos seguintes meios: pregao.florianopolis@pmf.sc.gov.br.</w:t>
      </w:r>
    </w:p>
    <w:p>
      <w:pPr>
        <w:pStyle w:val="normal1"/>
        <w:numPr>
          <w:ilvl w:val="1"/>
          <w:numId w:val="23"/>
        </w:numPr>
        <w:spacing w:lineRule="auto" w:line="360" w:before="120" w:after="120"/>
        <w:ind w:hanging="0" w:start="1145"/>
        <w:jc w:val="both"/>
        <w:rPr/>
      </w:pPr>
      <w:r>
        <w:rPr>
          <w:color w:val="000000"/>
          <w:sz w:val="22"/>
          <w:szCs w:val="22"/>
        </w:rPr>
        <w:t>As impugnações e pedidos de esclarecimentos não suspendem os prazos previstos no certame.</w:t>
      </w:r>
    </w:p>
    <w:p>
      <w:pPr>
        <w:pStyle w:val="normal1"/>
        <w:numPr>
          <w:ilvl w:val="1"/>
          <w:numId w:val="23"/>
        </w:numPr>
        <w:spacing w:lineRule="auto" w:line="360" w:before="120" w:after="120"/>
        <w:ind w:hanging="0" w:start="1145"/>
        <w:jc w:val="both"/>
        <w:rPr/>
      </w:pPr>
      <w:r>
        <w:rPr>
          <w:color w:val="000000"/>
          <w:sz w:val="22"/>
          <w:szCs w:val="22"/>
        </w:rPr>
        <w:t>A concessão de efeito suspensivo à impugnação é medida excepcional e deverá ser motivada pelo agente de contratação, nos autos do processo de licitação.</w:t>
      </w:r>
    </w:p>
    <w:p>
      <w:pPr>
        <w:pStyle w:val="normal1"/>
        <w:numPr>
          <w:ilvl w:val="1"/>
          <w:numId w:val="23"/>
        </w:numPr>
        <w:spacing w:lineRule="auto" w:line="360" w:before="120" w:after="120"/>
        <w:ind w:hanging="0" w:start="1145"/>
        <w:jc w:val="both"/>
        <w:rPr/>
      </w:pPr>
      <w:r>
        <w:rPr>
          <w:sz w:val="22"/>
          <w:szCs w:val="22"/>
        </w:rPr>
        <w:t>Será desclassificada a proposta que identifique o licitante, por meio de marca ou qualquer outro descritivo.</w:t>
      </w:r>
    </w:p>
    <w:p>
      <w:pPr>
        <w:pStyle w:val="normal1"/>
        <w:numPr>
          <w:ilvl w:val="1"/>
          <w:numId w:val="23"/>
        </w:numPr>
        <w:spacing w:lineRule="auto" w:line="360" w:before="120" w:after="120"/>
        <w:ind w:hanging="0" w:start="1145"/>
        <w:jc w:val="both"/>
        <w:rPr/>
      </w:pPr>
      <w:r>
        <w:rPr>
          <w:color w:val="000000"/>
          <w:sz w:val="22"/>
          <w:szCs w:val="22"/>
        </w:rPr>
        <w:t>A decisão de impugnação será divulgada a todos os interessados por meio do sistema de Pregão Eletrônico.</w:t>
      </w:r>
    </w:p>
    <w:p>
      <w:pPr>
        <w:pStyle w:val="normal1"/>
        <w:numPr>
          <w:ilvl w:val="1"/>
          <w:numId w:val="23"/>
        </w:numPr>
        <w:spacing w:lineRule="auto" w:line="360" w:before="120" w:after="120"/>
        <w:ind w:hanging="0" w:start="1145"/>
        <w:jc w:val="both"/>
        <w:rPr/>
      </w:pPr>
      <w:r>
        <w:rPr>
          <w:color w:val="000000"/>
          <w:sz w:val="22"/>
          <w:szCs w:val="22"/>
        </w:rPr>
        <w:t>Ao final da sessão, o proponente que desejar recorrer contra decisões do Pregoeiro poderá fazê-lo, manifestando sua intenção com registro da síntese das suas razões, sendo-lhe facultado juntar memoriais no prazo de 03 (três) dias úteis. Os interessados ficam, desde logo, intimados a apresentar contrarrazões em igual número de dias, que começarão a correr do término do prazo do recorrente.</w:t>
      </w:r>
    </w:p>
    <w:p>
      <w:pPr>
        <w:pStyle w:val="normal1"/>
        <w:numPr>
          <w:ilvl w:val="1"/>
          <w:numId w:val="23"/>
        </w:numPr>
        <w:spacing w:lineRule="auto" w:line="360" w:before="120" w:after="120"/>
        <w:ind w:hanging="0" w:start="1145"/>
        <w:jc w:val="both"/>
        <w:rPr/>
      </w:pPr>
      <w:r>
        <w:rPr>
          <w:color w:val="000000"/>
          <w:sz w:val="22"/>
          <w:szCs w:val="22"/>
        </w:rPr>
        <w:t xml:space="preserve">A falta de manifestação imediata e motivada importará a preclusão do direito de recurso. </w:t>
      </w:r>
    </w:p>
    <w:p>
      <w:pPr>
        <w:pStyle w:val="normal1"/>
        <w:numPr>
          <w:ilvl w:val="1"/>
          <w:numId w:val="23"/>
        </w:numPr>
        <w:spacing w:lineRule="auto" w:line="360" w:before="120" w:after="120"/>
        <w:ind w:hanging="0" w:start="1145"/>
        <w:jc w:val="both"/>
        <w:rPr/>
      </w:pPr>
      <w:r>
        <w:rPr>
          <w:color w:val="000000"/>
          <w:sz w:val="22"/>
          <w:szCs w:val="22"/>
        </w:rPr>
        <w:t>Não será concedido prazo para recurso sobre assuntos meramente protelatórios ou quando não justificada a intenção de interpor o recurso pelo proponente.</w:t>
      </w:r>
    </w:p>
    <w:p>
      <w:pPr>
        <w:pStyle w:val="normal1"/>
        <w:numPr>
          <w:ilvl w:val="1"/>
          <w:numId w:val="23"/>
        </w:numPr>
        <w:spacing w:lineRule="auto" w:line="360" w:before="120" w:after="120"/>
        <w:ind w:hanging="0" w:start="1145"/>
        <w:jc w:val="both"/>
        <w:rPr/>
      </w:pPr>
      <w:r>
        <w:rPr>
          <w:color w:val="000000"/>
          <w:sz w:val="22"/>
          <w:szCs w:val="22"/>
        </w:rPr>
        <w:t>Os recursos contra decisões do Pregoeiro não terão efeito suspensivo.</w:t>
      </w:r>
    </w:p>
    <w:p>
      <w:pPr>
        <w:pStyle w:val="normal1"/>
        <w:numPr>
          <w:ilvl w:val="1"/>
          <w:numId w:val="23"/>
        </w:numPr>
        <w:spacing w:lineRule="auto" w:line="360" w:before="120" w:after="120"/>
        <w:ind w:hanging="0" w:start="1145"/>
        <w:jc w:val="both"/>
        <w:rPr/>
      </w:pPr>
      <w:r>
        <w:rPr>
          <w:color w:val="000000"/>
          <w:sz w:val="22"/>
          <w:szCs w:val="22"/>
        </w:rPr>
        <w:t xml:space="preserve">O acolhimento </w:t>
      </w:r>
      <w:r>
        <w:rPr>
          <w:sz w:val="22"/>
          <w:szCs w:val="22"/>
        </w:rPr>
        <w:t>do recurso</w:t>
      </w:r>
      <w:r>
        <w:rPr>
          <w:color w:val="000000"/>
          <w:sz w:val="22"/>
          <w:szCs w:val="22"/>
        </w:rPr>
        <w:t xml:space="preserve"> importará a invalidação apenas dos atos insuscetíveis de aproveitamento.</w:t>
      </w:r>
    </w:p>
    <w:p>
      <w:pPr>
        <w:pStyle w:val="normal1"/>
        <w:numPr>
          <w:ilvl w:val="1"/>
          <w:numId w:val="23"/>
        </w:numPr>
        <w:spacing w:lineRule="auto" w:line="360" w:before="120" w:after="120"/>
        <w:ind w:hanging="0" w:start="1145"/>
        <w:jc w:val="both"/>
        <w:rPr/>
      </w:pPr>
      <w:r>
        <w:rPr>
          <w:color w:val="000000"/>
          <w:sz w:val="22"/>
          <w:szCs w:val="22"/>
        </w:rPr>
        <w:t xml:space="preserve">Decididos os recursos e constatada a regularidade dos atos praticados, a autoridade competente homologará o procedimento e determinará a convocação dos beneficiários para a assinatura da Ata. </w:t>
      </w:r>
    </w:p>
    <w:p>
      <w:pPr>
        <w:pStyle w:val="normal1"/>
        <w:numPr>
          <w:ilvl w:val="1"/>
          <w:numId w:val="23"/>
        </w:numPr>
        <w:spacing w:lineRule="auto" w:line="360" w:before="120" w:after="120"/>
        <w:ind w:hanging="0" w:start="1145"/>
        <w:jc w:val="both"/>
        <w:rPr/>
      </w:pPr>
      <w:r>
        <w:rPr>
          <w:color w:val="000000"/>
          <w:sz w:val="22"/>
          <w:szCs w:val="22"/>
        </w:rPr>
        <w:t xml:space="preserve">O Contrato ou instrumento equivalente será formalizado, e será subscrita pela autoridade que assinou/rubricou o edital. </w:t>
      </w:r>
    </w:p>
    <w:p>
      <w:pPr>
        <w:pStyle w:val="normal1"/>
        <w:numPr>
          <w:ilvl w:val="1"/>
          <w:numId w:val="23"/>
        </w:numPr>
        <w:spacing w:lineRule="auto" w:line="360" w:before="120" w:after="120"/>
        <w:ind w:hanging="0" w:start="1145"/>
        <w:jc w:val="both"/>
        <w:rPr/>
      </w:pPr>
      <w:r>
        <w:rPr>
          <w:color w:val="000000"/>
          <w:sz w:val="22"/>
          <w:szCs w:val="22"/>
        </w:rPr>
        <w:t xml:space="preserve">A licitante que convocada para assinar a ata deixar de fazê-lo no prazo fixado, dela será excluída. </w:t>
      </w:r>
    </w:p>
    <w:p>
      <w:pPr>
        <w:pStyle w:val="normal1"/>
        <w:numPr>
          <w:ilvl w:val="1"/>
          <w:numId w:val="23"/>
        </w:numPr>
        <w:spacing w:lineRule="auto" w:line="360" w:before="120" w:after="120"/>
        <w:ind w:hanging="0" w:start="1145"/>
        <w:jc w:val="both"/>
        <w:rPr/>
      </w:pPr>
      <w:r>
        <w:rPr>
          <w:color w:val="000000"/>
          <w:sz w:val="22"/>
          <w:szCs w:val="22"/>
        </w:rPr>
        <w:t>Colhidas as assinaturas, o Órgão requisitante providenciará a imediata publicação da ata e, se for o caso, do ato que promover a exclusão de que trata o subitem anterior.</w:t>
      </w:r>
    </w:p>
    <w:p>
      <w:pPr>
        <w:pStyle w:val="normal1"/>
        <w:numPr>
          <w:ilvl w:val="0"/>
          <w:numId w:val="23"/>
        </w:numPr>
        <w:spacing w:lineRule="auto" w:line="360" w:before="240" w:after="120"/>
        <w:ind w:hanging="0" w:start="720"/>
        <w:jc w:val="both"/>
        <w:rPr>
          <w:color w:val="000000"/>
          <w:sz w:val="22"/>
          <w:szCs w:val="22"/>
        </w:rPr>
      </w:pPr>
      <w:r>
        <w:rPr>
          <w:b/>
          <w:bCs/>
          <w:color w:val="000000"/>
          <w:sz w:val="22"/>
          <w:szCs w:val="22"/>
        </w:rPr>
        <w:t>DAS INFRAÇÕES ADMINISTRATIVAS E SANÇÕES</w:t>
      </w:r>
    </w:p>
    <w:p>
      <w:pPr>
        <w:pStyle w:val="normal1"/>
        <w:numPr>
          <w:ilvl w:val="1"/>
          <w:numId w:val="23"/>
        </w:numPr>
        <w:spacing w:lineRule="auto" w:line="360" w:before="120" w:after="120"/>
        <w:ind w:hanging="0" w:start="1145"/>
        <w:jc w:val="both"/>
        <w:rPr/>
      </w:pPr>
      <w:bookmarkStart w:id="6" w:name="_heading=h.19c6y18"/>
      <w:bookmarkEnd w:id="6"/>
      <w:r>
        <w:rPr>
          <w:color w:val="000000"/>
          <w:sz w:val="22"/>
          <w:szCs w:val="22"/>
        </w:rPr>
        <w:t xml:space="preserve">Comete infração administrativa, nos termos da lei, o licitante que, com dolo ou culpa: </w:t>
      </w:r>
    </w:p>
    <w:p>
      <w:pPr>
        <w:pStyle w:val="normal1"/>
        <w:numPr>
          <w:ilvl w:val="2"/>
          <w:numId w:val="23"/>
        </w:numPr>
        <w:spacing w:lineRule="auto" w:line="360" w:before="120" w:after="120"/>
        <w:ind w:hanging="720" w:start="1780"/>
        <w:jc w:val="both"/>
        <w:rPr>
          <w:sz w:val="22"/>
          <w:szCs w:val="22"/>
        </w:rPr>
      </w:pPr>
      <w:r>
        <w:rPr>
          <w:color w:val="000000"/>
          <w:sz w:val="22"/>
          <w:szCs w:val="22"/>
        </w:rPr>
        <w:t>Deixar de entregar a documentação exigida para o certame ou não entregar qualquer documento que tenha sido solicitado pelo/a pregoeiro/a durante o certame;</w:t>
      </w:r>
    </w:p>
    <w:p>
      <w:pPr>
        <w:pStyle w:val="normal1"/>
        <w:numPr>
          <w:ilvl w:val="2"/>
          <w:numId w:val="23"/>
        </w:numPr>
        <w:spacing w:lineRule="auto" w:line="360" w:before="120" w:after="120"/>
        <w:ind w:hanging="720" w:start="1780"/>
        <w:jc w:val="both"/>
        <w:rPr>
          <w:sz w:val="22"/>
          <w:szCs w:val="22"/>
        </w:rPr>
      </w:pPr>
      <w:bookmarkStart w:id="7" w:name="_heading=h.3tbugp1"/>
      <w:bookmarkEnd w:id="7"/>
      <w:r>
        <w:rPr>
          <w:color w:val="000000"/>
          <w:sz w:val="22"/>
          <w:szCs w:val="22"/>
        </w:rPr>
        <w:t>Salvo em decorrência de fato superveniente devidamente justificado, não mantiver a proposta em especial quando:</w:t>
      </w:r>
    </w:p>
    <w:p>
      <w:pPr>
        <w:pStyle w:val="normal1"/>
        <w:numPr>
          <w:ilvl w:val="3"/>
          <w:numId w:val="23"/>
        </w:numPr>
        <w:spacing w:lineRule="auto" w:line="360" w:before="120" w:after="120"/>
        <w:ind w:hanging="720" w:start="1894"/>
        <w:jc w:val="both"/>
        <w:rPr>
          <w:color w:val="000000"/>
          <w:sz w:val="22"/>
          <w:szCs w:val="22"/>
        </w:rPr>
      </w:pPr>
      <w:r>
        <w:rPr>
          <w:color w:val="000000"/>
          <w:sz w:val="22"/>
          <w:szCs w:val="22"/>
        </w:rPr>
        <w:t xml:space="preserve">Não enviar a proposta adequada ao último lance ofertado ou após a negociação; </w:t>
      </w:r>
    </w:p>
    <w:p>
      <w:pPr>
        <w:pStyle w:val="normal1"/>
        <w:numPr>
          <w:ilvl w:val="3"/>
          <w:numId w:val="23"/>
        </w:numPr>
        <w:spacing w:lineRule="auto" w:line="360" w:before="120" w:after="120"/>
        <w:ind w:hanging="720" w:start="1894"/>
        <w:jc w:val="both"/>
        <w:rPr>
          <w:color w:val="000000"/>
          <w:sz w:val="22"/>
          <w:szCs w:val="22"/>
        </w:rPr>
      </w:pPr>
      <w:r>
        <w:rPr>
          <w:color w:val="000000"/>
          <w:sz w:val="22"/>
          <w:szCs w:val="22"/>
        </w:rPr>
        <w:t xml:space="preserve">Recusar-se a enviar o detalhamento da proposta quando exigível; </w:t>
      </w:r>
    </w:p>
    <w:p>
      <w:pPr>
        <w:pStyle w:val="normal1"/>
        <w:numPr>
          <w:ilvl w:val="3"/>
          <w:numId w:val="23"/>
        </w:numPr>
        <w:spacing w:lineRule="auto" w:line="360" w:before="120" w:after="120"/>
        <w:ind w:hanging="720" w:start="1894"/>
        <w:jc w:val="both"/>
        <w:rPr>
          <w:color w:val="000000"/>
          <w:sz w:val="22"/>
          <w:szCs w:val="22"/>
        </w:rPr>
      </w:pPr>
      <w:r>
        <w:rPr>
          <w:color w:val="000000"/>
          <w:sz w:val="22"/>
          <w:szCs w:val="22"/>
        </w:rPr>
        <w:t xml:space="preserve">Pedir para ser desclassificado quando encerrada a etapa competitiva; ou </w:t>
      </w:r>
    </w:p>
    <w:p>
      <w:pPr>
        <w:pStyle w:val="normal1"/>
        <w:numPr>
          <w:ilvl w:val="3"/>
          <w:numId w:val="23"/>
        </w:numPr>
        <w:spacing w:lineRule="auto" w:line="360" w:before="120" w:after="120"/>
        <w:ind w:hanging="720" w:start="1894"/>
        <w:jc w:val="both"/>
        <w:rPr>
          <w:color w:val="000000"/>
          <w:sz w:val="22"/>
          <w:szCs w:val="22"/>
        </w:rPr>
      </w:pPr>
      <w:r>
        <w:rPr>
          <w:color w:val="000000"/>
          <w:sz w:val="22"/>
          <w:szCs w:val="22"/>
        </w:rPr>
        <w:t>Deixar de apresentar amostra;</w:t>
      </w:r>
    </w:p>
    <w:p>
      <w:pPr>
        <w:pStyle w:val="normal1"/>
        <w:numPr>
          <w:ilvl w:val="3"/>
          <w:numId w:val="23"/>
        </w:numPr>
        <w:spacing w:lineRule="auto" w:line="360" w:before="120" w:after="120"/>
        <w:ind w:hanging="720" w:start="1894"/>
        <w:jc w:val="both"/>
        <w:rPr>
          <w:color w:val="000000"/>
          <w:sz w:val="22"/>
          <w:szCs w:val="22"/>
        </w:rPr>
      </w:pPr>
      <w:bookmarkStart w:id="8" w:name="_heading=h.28h4qwu"/>
      <w:bookmarkEnd w:id="8"/>
      <w:r>
        <w:rPr>
          <w:color w:val="000000"/>
          <w:sz w:val="22"/>
          <w:szCs w:val="22"/>
        </w:rPr>
        <w:t xml:space="preserve">Apresentar proposta ou amostra em desacordo com as especificações do edital; </w:t>
      </w:r>
    </w:p>
    <w:p>
      <w:pPr>
        <w:pStyle w:val="normal1"/>
        <w:numPr>
          <w:ilvl w:val="2"/>
          <w:numId w:val="23"/>
        </w:numPr>
        <w:spacing w:lineRule="auto" w:line="360" w:before="120" w:after="120"/>
        <w:ind w:hanging="720" w:start="1780"/>
        <w:jc w:val="both"/>
        <w:rPr>
          <w:sz w:val="22"/>
          <w:szCs w:val="22"/>
        </w:rPr>
      </w:pPr>
      <w:r>
        <w:rPr>
          <w:color w:val="000000"/>
          <w:sz w:val="22"/>
          <w:szCs w:val="22"/>
        </w:rPr>
        <w:t>Não celebrar o contrato ou não entregar a documentação exigida para a contratação, quando convocado dentro do prazo de validade de sua proposta;</w:t>
      </w:r>
    </w:p>
    <w:p>
      <w:pPr>
        <w:pStyle w:val="normal1"/>
        <w:numPr>
          <w:ilvl w:val="3"/>
          <w:numId w:val="23"/>
        </w:numPr>
        <w:spacing w:lineRule="auto" w:line="360" w:before="120" w:after="120"/>
        <w:ind w:hanging="720" w:start="1894"/>
        <w:jc w:val="both"/>
        <w:rPr>
          <w:color w:val="000000"/>
          <w:sz w:val="22"/>
          <w:szCs w:val="22"/>
        </w:rPr>
      </w:pPr>
      <w:bookmarkStart w:id="9" w:name="_heading=h.nmf14n"/>
      <w:bookmarkEnd w:id="9"/>
      <w:r>
        <w:rPr>
          <w:color w:val="000000"/>
          <w:sz w:val="22"/>
          <w:szCs w:val="22"/>
        </w:rPr>
        <w:t>Recusar-se, sem justificativa, a assinar o contrato ou a ata de registro de preço, ou a aceitar ou retirar o instrumento equivalente no prazo estabelecido pela Administração;</w:t>
      </w:r>
    </w:p>
    <w:p>
      <w:pPr>
        <w:pStyle w:val="normal1"/>
        <w:numPr>
          <w:ilvl w:val="2"/>
          <w:numId w:val="23"/>
        </w:numPr>
        <w:spacing w:lineRule="auto" w:line="360" w:before="120" w:after="120"/>
        <w:ind w:hanging="720" w:start="1780"/>
        <w:jc w:val="both"/>
        <w:rPr>
          <w:sz w:val="22"/>
          <w:szCs w:val="22"/>
        </w:rPr>
      </w:pPr>
      <w:r>
        <w:rPr>
          <w:color w:val="000000"/>
          <w:sz w:val="22"/>
          <w:szCs w:val="22"/>
        </w:rPr>
        <w:t>Apresentar declaração ou documentação falsa exigida para o certame ou prestar declaração falsa durante a licitação;</w:t>
      </w:r>
    </w:p>
    <w:p>
      <w:pPr>
        <w:pStyle w:val="normal1"/>
        <w:numPr>
          <w:ilvl w:val="2"/>
          <w:numId w:val="23"/>
        </w:numPr>
        <w:spacing w:lineRule="auto" w:line="360" w:before="120" w:after="120"/>
        <w:ind w:hanging="720" w:start="1780"/>
        <w:jc w:val="both"/>
        <w:rPr>
          <w:sz w:val="22"/>
          <w:szCs w:val="22"/>
        </w:rPr>
      </w:pPr>
      <w:bookmarkStart w:id="10" w:name="_heading=h.37m2jsg"/>
      <w:bookmarkEnd w:id="10"/>
      <w:r>
        <w:rPr>
          <w:color w:val="000000"/>
          <w:sz w:val="22"/>
          <w:szCs w:val="22"/>
        </w:rPr>
        <w:t>Fraudar a licitação;</w:t>
      </w:r>
    </w:p>
    <w:p>
      <w:pPr>
        <w:pStyle w:val="normal1"/>
        <w:numPr>
          <w:ilvl w:val="2"/>
          <w:numId w:val="23"/>
        </w:numPr>
        <w:spacing w:lineRule="auto" w:line="360" w:before="120" w:after="120"/>
        <w:ind w:hanging="720" w:start="1780"/>
        <w:jc w:val="both"/>
        <w:rPr>
          <w:sz w:val="22"/>
          <w:szCs w:val="22"/>
        </w:rPr>
      </w:pPr>
      <w:bookmarkStart w:id="11" w:name="_heading=h.1mrcu09"/>
      <w:bookmarkEnd w:id="11"/>
      <w:r>
        <w:rPr>
          <w:color w:val="000000"/>
          <w:sz w:val="22"/>
          <w:szCs w:val="22"/>
        </w:rPr>
        <w:t>Comportar-se de modo inidôneo ou cometer fraude de qualquer natureza, em especial quando:</w:t>
      </w:r>
    </w:p>
    <w:p>
      <w:pPr>
        <w:pStyle w:val="normal1"/>
        <w:numPr>
          <w:ilvl w:val="3"/>
          <w:numId w:val="23"/>
        </w:numPr>
        <w:spacing w:lineRule="auto" w:line="360" w:before="120" w:after="120"/>
        <w:ind w:hanging="720" w:start="1894"/>
        <w:jc w:val="both"/>
        <w:rPr>
          <w:color w:val="000000"/>
          <w:sz w:val="22"/>
          <w:szCs w:val="22"/>
        </w:rPr>
      </w:pPr>
      <w:r>
        <w:rPr>
          <w:color w:val="000000"/>
          <w:sz w:val="22"/>
          <w:szCs w:val="22"/>
        </w:rPr>
        <w:t xml:space="preserve">Agir em conluio ou em desconformidade com a lei; </w:t>
      </w:r>
    </w:p>
    <w:p>
      <w:pPr>
        <w:pStyle w:val="normal1"/>
        <w:numPr>
          <w:ilvl w:val="3"/>
          <w:numId w:val="23"/>
        </w:numPr>
        <w:spacing w:lineRule="auto" w:line="360" w:before="120" w:after="120"/>
        <w:ind w:hanging="720" w:start="1894"/>
        <w:jc w:val="both"/>
        <w:rPr>
          <w:color w:val="000000"/>
          <w:sz w:val="22"/>
          <w:szCs w:val="22"/>
        </w:rPr>
      </w:pPr>
      <w:r>
        <w:rPr>
          <w:color w:val="000000"/>
          <w:sz w:val="22"/>
          <w:szCs w:val="22"/>
        </w:rPr>
        <w:t xml:space="preserve">Induzir deliberadamente a erro no julgamento; </w:t>
      </w:r>
    </w:p>
    <w:p>
      <w:pPr>
        <w:pStyle w:val="normal1"/>
        <w:numPr>
          <w:ilvl w:val="3"/>
          <w:numId w:val="23"/>
        </w:numPr>
        <w:spacing w:lineRule="auto" w:line="360" w:before="120" w:after="120"/>
        <w:ind w:hanging="720" w:start="1894"/>
        <w:jc w:val="both"/>
        <w:rPr>
          <w:color w:val="000000"/>
          <w:sz w:val="22"/>
          <w:szCs w:val="22"/>
        </w:rPr>
      </w:pPr>
      <w:bookmarkStart w:id="12" w:name="_heading=h.46r0co2"/>
      <w:bookmarkEnd w:id="12"/>
      <w:r>
        <w:rPr>
          <w:color w:val="000000"/>
          <w:sz w:val="22"/>
          <w:szCs w:val="22"/>
        </w:rPr>
        <w:t xml:space="preserve">Apresentar amostra falsificada ou deteriorada; </w:t>
      </w:r>
    </w:p>
    <w:p>
      <w:pPr>
        <w:pStyle w:val="normal1"/>
        <w:numPr>
          <w:ilvl w:val="2"/>
          <w:numId w:val="23"/>
        </w:numPr>
        <w:spacing w:lineRule="auto" w:line="360" w:before="120" w:after="120"/>
        <w:ind w:hanging="720" w:start="1780"/>
        <w:jc w:val="both"/>
        <w:rPr>
          <w:sz w:val="22"/>
          <w:szCs w:val="22"/>
        </w:rPr>
      </w:pPr>
      <w:r>
        <w:rPr>
          <w:color w:val="000000"/>
          <w:sz w:val="22"/>
          <w:szCs w:val="22"/>
        </w:rPr>
        <w:t>Praticar atos ilícitos com vistas a frustrar os objetivos da licitação;</w:t>
      </w:r>
    </w:p>
    <w:p>
      <w:pPr>
        <w:pStyle w:val="normal1"/>
        <w:numPr>
          <w:ilvl w:val="2"/>
          <w:numId w:val="23"/>
        </w:numPr>
        <w:spacing w:lineRule="auto" w:line="360" w:before="120" w:after="120"/>
        <w:ind w:hanging="720" w:start="1780"/>
        <w:jc w:val="both"/>
        <w:rPr>
          <w:sz w:val="22"/>
          <w:szCs w:val="22"/>
        </w:rPr>
      </w:pPr>
      <w:bookmarkStart w:id="13" w:name="_heading=h.2lwamvv"/>
      <w:bookmarkEnd w:id="13"/>
      <w:r>
        <w:rPr>
          <w:color w:val="000000"/>
          <w:sz w:val="22"/>
          <w:szCs w:val="22"/>
        </w:rPr>
        <w:t>Praticar ato lesivo previsto no art. 5º da Lei n.º 12.846, de 2013.</w:t>
      </w:r>
    </w:p>
    <w:p>
      <w:pPr>
        <w:pStyle w:val="normal1"/>
        <w:numPr>
          <w:ilvl w:val="1"/>
          <w:numId w:val="23"/>
        </w:numPr>
        <w:spacing w:lineRule="auto" w:line="360" w:before="120" w:after="120"/>
        <w:ind w:hanging="0" w:start="1145"/>
        <w:jc w:val="both"/>
        <w:rPr/>
      </w:pPr>
      <w:r>
        <w:rPr>
          <w:color w:val="000000"/>
          <w:sz w:val="22"/>
          <w:szCs w:val="22"/>
        </w:rPr>
        <w:t xml:space="preserve">Com fulcro na Lei nº 14.133, de 2021, a Administração poderá, garantida a prévia defesa, aplicar aos licitantes e/ou adjudicatários as seguintes sanções, sem prejuízo das responsabilidades civil e criminal: </w:t>
      </w:r>
    </w:p>
    <w:p>
      <w:pPr>
        <w:pStyle w:val="normal1"/>
        <w:numPr>
          <w:ilvl w:val="2"/>
          <w:numId w:val="23"/>
        </w:numPr>
        <w:spacing w:lineRule="auto" w:line="360" w:before="120" w:after="120"/>
        <w:ind w:hanging="720" w:start="1780"/>
        <w:jc w:val="both"/>
        <w:rPr>
          <w:sz w:val="22"/>
          <w:szCs w:val="22"/>
        </w:rPr>
      </w:pPr>
      <w:r>
        <w:rPr>
          <w:color w:val="000000"/>
          <w:sz w:val="22"/>
          <w:szCs w:val="22"/>
        </w:rPr>
        <w:t xml:space="preserve">Advertência; </w:t>
      </w:r>
    </w:p>
    <w:p>
      <w:pPr>
        <w:pStyle w:val="normal1"/>
        <w:numPr>
          <w:ilvl w:val="2"/>
          <w:numId w:val="23"/>
        </w:numPr>
        <w:spacing w:lineRule="auto" w:line="360" w:before="120" w:after="120"/>
        <w:ind w:hanging="720" w:start="1780"/>
        <w:jc w:val="both"/>
        <w:rPr>
          <w:sz w:val="22"/>
          <w:szCs w:val="22"/>
        </w:rPr>
      </w:pPr>
      <w:r>
        <w:rPr>
          <w:color w:val="000000"/>
          <w:sz w:val="22"/>
          <w:szCs w:val="22"/>
        </w:rPr>
        <w:t>Multa;</w:t>
      </w:r>
    </w:p>
    <w:p>
      <w:pPr>
        <w:pStyle w:val="normal1"/>
        <w:numPr>
          <w:ilvl w:val="2"/>
          <w:numId w:val="23"/>
        </w:numPr>
        <w:spacing w:lineRule="auto" w:line="360" w:before="120" w:after="120"/>
        <w:ind w:hanging="720" w:start="1780"/>
        <w:jc w:val="both"/>
        <w:rPr>
          <w:sz w:val="22"/>
          <w:szCs w:val="22"/>
        </w:rPr>
      </w:pPr>
      <w:r>
        <w:rPr>
          <w:color w:val="000000"/>
          <w:sz w:val="22"/>
          <w:szCs w:val="22"/>
        </w:rPr>
        <w:t>Impedimento de licitar e contratar; e</w:t>
      </w:r>
    </w:p>
    <w:p>
      <w:pPr>
        <w:pStyle w:val="normal1"/>
        <w:numPr>
          <w:ilvl w:val="2"/>
          <w:numId w:val="23"/>
        </w:numPr>
        <w:spacing w:lineRule="auto" w:line="360" w:before="120" w:after="120"/>
        <w:ind w:hanging="720" w:start="1780"/>
        <w:jc w:val="both"/>
        <w:rPr>
          <w:sz w:val="22"/>
          <w:szCs w:val="22"/>
        </w:rPr>
      </w:pPr>
      <w:r>
        <w:rPr>
          <w:color w:val="000000"/>
          <w:sz w:val="22"/>
          <w:szCs w:val="22"/>
        </w:rPr>
        <w:t>Declaração de inidoneidade para licitar ou contratar, enquanto perdurarem os motivos determinantes da punição ou até que seja promovida sua reabilitação perante a própria autoridade que aplicou a penalidade.</w:t>
      </w:r>
    </w:p>
    <w:p>
      <w:pPr>
        <w:pStyle w:val="normal1"/>
        <w:numPr>
          <w:ilvl w:val="1"/>
          <w:numId w:val="23"/>
        </w:numPr>
        <w:spacing w:lineRule="auto" w:line="360" w:before="120" w:after="120"/>
        <w:ind w:hanging="0" w:start="1145"/>
        <w:jc w:val="both"/>
        <w:rPr/>
      </w:pPr>
      <w:r>
        <w:rPr>
          <w:color w:val="000000"/>
          <w:sz w:val="22"/>
          <w:szCs w:val="22"/>
        </w:rPr>
        <w:t>Na aplicação das sanções serão considerados:</w:t>
      </w:r>
    </w:p>
    <w:p>
      <w:pPr>
        <w:pStyle w:val="normal1"/>
        <w:numPr>
          <w:ilvl w:val="2"/>
          <w:numId w:val="23"/>
        </w:numPr>
        <w:spacing w:lineRule="auto" w:line="360" w:before="120" w:after="120"/>
        <w:ind w:hanging="720" w:start="1780"/>
        <w:jc w:val="both"/>
        <w:rPr>
          <w:sz w:val="22"/>
          <w:szCs w:val="22"/>
        </w:rPr>
      </w:pPr>
      <w:r>
        <w:rPr>
          <w:color w:val="000000"/>
          <w:sz w:val="22"/>
          <w:szCs w:val="22"/>
        </w:rPr>
        <w:t>A natureza e a gravidade da infração cometida;</w:t>
      </w:r>
    </w:p>
    <w:p>
      <w:pPr>
        <w:pStyle w:val="normal1"/>
        <w:numPr>
          <w:ilvl w:val="2"/>
          <w:numId w:val="23"/>
        </w:numPr>
        <w:spacing w:lineRule="auto" w:line="360" w:before="120" w:after="120"/>
        <w:ind w:hanging="720" w:start="1780"/>
        <w:jc w:val="both"/>
        <w:rPr>
          <w:sz w:val="22"/>
          <w:szCs w:val="22"/>
        </w:rPr>
      </w:pPr>
      <w:r>
        <w:rPr>
          <w:color w:val="000000"/>
          <w:sz w:val="22"/>
          <w:szCs w:val="22"/>
        </w:rPr>
        <w:t>As peculiaridades do caso concreto;</w:t>
      </w:r>
    </w:p>
    <w:p>
      <w:pPr>
        <w:pStyle w:val="normal1"/>
        <w:numPr>
          <w:ilvl w:val="2"/>
          <w:numId w:val="23"/>
        </w:numPr>
        <w:spacing w:lineRule="auto" w:line="360" w:before="120" w:after="120"/>
        <w:ind w:hanging="720" w:start="1780"/>
        <w:jc w:val="both"/>
        <w:rPr>
          <w:sz w:val="22"/>
          <w:szCs w:val="22"/>
        </w:rPr>
      </w:pPr>
      <w:r>
        <w:rPr>
          <w:color w:val="000000"/>
          <w:sz w:val="22"/>
          <w:szCs w:val="22"/>
        </w:rPr>
        <w:t>As circunstâncias agravantes ou atenuantes;</w:t>
      </w:r>
    </w:p>
    <w:p>
      <w:pPr>
        <w:pStyle w:val="normal1"/>
        <w:numPr>
          <w:ilvl w:val="2"/>
          <w:numId w:val="23"/>
        </w:numPr>
        <w:spacing w:lineRule="auto" w:line="360" w:before="120" w:after="120"/>
        <w:ind w:hanging="720" w:start="1780"/>
        <w:jc w:val="both"/>
        <w:rPr>
          <w:sz w:val="22"/>
          <w:szCs w:val="22"/>
        </w:rPr>
      </w:pPr>
      <w:r>
        <w:rPr>
          <w:color w:val="000000"/>
          <w:sz w:val="22"/>
          <w:szCs w:val="22"/>
        </w:rPr>
        <w:t>Os danos que dela provierem para a Administração Pública;</w:t>
      </w:r>
    </w:p>
    <w:p>
      <w:pPr>
        <w:pStyle w:val="normal1"/>
        <w:numPr>
          <w:ilvl w:val="2"/>
          <w:numId w:val="23"/>
        </w:numPr>
        <w:spacing w:lineRule="auto" w:line="360" w:before="120" w:after="120"/>
        <w:ind w:hanging="720" w:start="1780"/>
        <w:jc w:val="both"/>
        <w:rPr>
          <w:sz w:val="22"/>
          <w:szCs w:val="22"/>
        </w:rPr>
      </w:pPr>
      <w:r>
        <w:rPr>
          <w:color w:val="000000"/>
          <w:sz w:val="22"/>
          <w:szCs w:val="22"/>
        </w:rPr>
        <w:t>A implantação ou o aperfeiçoamento de programa de integridade, conforme normas e orientações dos órgãos de controle.</w:t>
      </w:r>
    </w:p>
    <w:p>
      <w:pPr>
        <w:pStyle w:val="normal1"/>
        <w:numPr>
          <w:ilvl w:val="1"/>
          <w:numId w:val="23"/>
        </w:numPr>
        <w:spacing w:lineRule="auto" w:line="360" w:before="120" w:after="120"/>
        <w:ind w:hanging="0" w:start="1145"/>
        <w:jc w:val="both"/>
        <w:rPr/>
      </w:pPr>
      <w:bookmarkStart w:id="14" w:name="_heading=h.ofmwwyeeshzo"/>
      <w:bookmarkEnd w:id="14"/>
      <w:r>
        <w:rPr>
          <w:sz w:val="22"/>
          <w:szCs w:val="22"/>
        </w:rPr>
        <w:t>Multa: I. Moratória de 0,5%</w:t>
      </w:r>
      <w:r>
        <w:rPr>
          <w:color w:val="FF0000"/>
          <w:sz w:val="22"/>
          <w:szCs w:val="22"/>
        </w:rPr>
        <w:t xml:space="preserve"> </w:t>
      </w:r>
      <w:r>
        <w:rPr>
          <w:sz w:val="22"/>
          <w:szCs w:val="22"/>
        </w:rPr>
        <w:t>(meio por cento) por dia de atraso injustificado sobre o valor da parcela inadimplida, até o limite de 10 (dez) dias; II.  O atraso superior a 10 (dez) dias autoriza a Administração a promover a extinção do contrato por  descumprimento  ou  cumprimento  irregular  de  suas  cláusulas, conforme dispõe o inciso I do art. 137 da Lei n.º 14.133/2021.  III. Compensatória de 10% (dez por cento) sobre o valor total do contrato, no caso de inexecução total do objeto.</w:t>
      </w:r>
    </w:p>
    <w:p>
      <w:pPr>
        <w:pStyle w:val="normal1"/>
        <w:numPr>
          <w:ilvl w:val="1"/>
          <w:numId w:val="23"/>
        </w:numPr>
        <w:spacing w:lineRule="auto" w:line="360" w:before="120" w:after="120"/>
        <w:ind w:hanging="0" w:start="1145"/>
        <w:jc w:val="both"/>
        <w:rPr/>
      </w:pPr>
      <w:bookmarkStart w:id="15" w:name="_heading=h.xm0isocyynw6"/>
      <w:bookmarkEnd w:id="15"/>
      <w:r>
        <w:rPr>
          <w:sz w:val="22"/>
          <w:szCs w:val="22"/>
        </w:rPr>
        <w:t>As sanções de advertência, impedimento de licitar e contratar e declaração de inidoneidade para licitar ou contratar poderão ser aplicadas, cumulativamente ou não, à penalidade de multa.</w:t>
      </w:r>
    </w:p>
    <w:p>
      <w:pPr>
        <w:pStyle w:val="normal1"/>
        <w:numPr>
          <w:ilvl w:val="1"/>
          <w:numId w:val="23"/>
        </w:numPr>
        <w:spacing w:lineRule="auto" w:line="360" w:before="120" w:after="120"/>
        <w:ind w:hanging="0" w:start="1145"/>
        <w:jc w:val="both"/>
        <w:rPr/>
      </w:pPr>
      <w:bookmarkStart w:id="16" w:name="_heading=h.y2w10ia8e29w"/>
      <w:bookmarkEnd w:id="16"/>
      <w:r>
        <w:rPr>
          <w:sz w:val="22"/>
          <w:szCs w:val="22"/>
        </w:rPr>
        <w:t>Na aplicação da sanção de multa será facultada a defesa do interessado no prazo de 15 (quinze) dias úteis, contado da data de sua intimação.</w:t>
      </w:r>
    </w:p>
    <w:p>
      <w:pPr>
        <w:pStyle w:val="normal1"/>
        <w:numPr>
          <w:ilvl w:val="1"/>
          <w:numId w:val="23"/>
        </w:numPr>
        <w:spacing w:lineRule="auto" w:line="360" w:before="120" w:after="120"/>
        <w:ind w:hanging="0" w:start="1145"/>
        <w:jc w:val="both"/>
        <w:rPr/>
      </w:pPr>
      <w:bookmarkStart w:id="17" w:name="_heading=h.pslb058xxbuw"/>
      <w:bookmarkEnd w:id="17"/>
      <w:r>
        <w:rPr>
          <w:sz w:val="22"/>
          <w:szCs w:val="22"/>
        </w:rPr>
        <w:t>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1"/>
        <w:numPr>
          <w:ilvl w:val="1"/>
          <w:numId w:val="23"/>
        </w:numPr>
        <w:spacing w:lineRule="auto" w:line="360" w:before="120" w:after="120"/>
        <w:ind w:hanging="0" w:start="1145"/>
        <w:jc w:val="both"/>
        <w:rPr/>
      </w:pPr>
      <w:bookmarkStart w:id="18" w:name="_heading=h.1zkrt9kkisag"/>
      <w:bookmarkEnd w:id="18"/>
      <w:r>
        <w:rPr>
          <w:sz w:val="22"/>
          <w:szCs w:val="22"/>
        </w:rPr>
        <w:t>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pPr>
        <w:pStyle w:val="normal1"/>
        <w:numPr>
          <w:ilvl w:val="1"/>
          <w:numId w:val="23"/>
        </w:numPr>
        <w:spacing w:lineRule="auto" w:line="360" w:before="120" w:after="120"/>
        <w:ind w:hanging="0" w:start="1145"/>
        <w:jc w:val="both"/>
        <w:rPr/>
      </w:pPr>
      <w:bookmarkStart w:id="19" w:name="_heading=h.vx3tjiygw5t9"/>
      <w:bookmarkEnd w:id="19"/>
      <w:r>
        <w:rPr>
          <w:sz w:val="22"/>
          <w:szCs w:val="22"/>
        </w:rPr>
        <w:t xml:space="preserve">A recusa injustificada do adjudicatário em assinar o contrato ou a ata de registro de preço, ou em aceitar ou retirar o instrumento equivalente no prazo estabelecido pela Administração, descrita no item 11.1.3.1, caracteriza o descumprimento total da obrigação assumida e o sujeitará às penalidades e à imediata perda da garantia de proposta em favor do órgão ou entidade promotora da licitação, nos termos do art. 45, §4º da IN SEGES/ME n.º 73, de 2022. </w:t>
      </w:r>
    </w:p>
    <w:p>
      <w:pPr>
        <w:pStyle w:val="normal1"/>
        <w:numPr>
          <w:ilvl w:val="1"/>
          <w:numId w:val="23"/>
        </w:numPr>
        <w:spacing w:lineRule="auto" w:line="360" w:before="120" w:after="120"/>
        <w:ind w:hanging="0" w:start="1145"/>
        <w:jc w:val="both"/>
        <w:rPr/>
      </w:pPr>
      <w:bookmarkStart w:id="20" w:name="_heading=h.sbh15ipeadpe"/>
      <w:bookmarkEnd w:id="20"/>
      <w:r>
        <w:rPr>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ormal1"/>
        <w:numPr>
          <w:ilvl w:val="1"/>
          <w:numId w:val="23"/>
        </w:numPr>
        <w:spacing w:lineRule="auto" w:line="360" w:before="120" w:after="120"/>
        <w:ind w:hanging="0" w:start="1145"/>
        <w:jc w:val="both"/>
        <w:rPr/>
      </w:pPr>
      <w:bookmarkStart w:id="21" w:name="_heading=h.efnb968h3ciz"/>
      <w:bookmarkEnd w:id="21"/>
      <w:r>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1"/>
        <w:numPr>
          <w:ilvl w:val="1"/>
          <w:numId w:val="23"/>
        </w:numPr>
        <w:spacing w:lineRule="auto" w:line="360" w:before="120" w:after="120"/>
        <w:ind w:hanging="0" w:start="1145"/>
        <w:jc w:val="both"/>
        <w:rPr/>
      </w:pPr>
      <w:bookmarkStart w:id="22" w:name="_heading=h.euug5zrh925v"/>
      <w:bookmarkEnd w:id="22"/>
      <w:r>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1"/>
        <w:numPr>
          <w:ilvl w:val="1"/>
          <w:numId w:val="23"/>
        </w:numPr>
        <w:spacing w:lineRule="auto" w:line="360" w:before="120" w:after="120"/>
        <w:ind w:hanging="0" w:start="1145"/>
        <w:jc w:val="both"/>
        <w:rPr/>
      </w:pPr>
      <w:bookmarkStart w:id="23" w:name="_heading=h.88fch55yontn"/>
      <w:bookmarkEnd w:id="23"/>
      <w:r>
        <w:rPr>
          <w:sz w:val="22"/>
          <w:szCs w:val="22"/>
        </w:rPr>
        <w:t>O recurso e o pedido de reconsideração terão efeito suspensivo do ato ou da decisão recorrida até que sobrevenha decisão final da autoridade competente.</w:t>
      </w:r>
    </w:p>
    <w:p>
      <w:pPr>
        <w:pStyle w:val="normal1"/>
        <w:numPr>
          <w:ilvl w:val="1"/>
          <w:numId w:val="23"/>
        </w:numPr>
        <w:spacing w:lineRule="auto" w:line="360" w:before="120" w:after="120"/>
        <w:ind w:hanging="0" w:start="1145"/>
        <w:jc w:val="both"/>
        <w:rPr/>
      </w:pPr>
      <w:bookmarkStart w:id="24" w:name="_heading=h.dorom2clc85u"/>
      <w:bookmarkEnd w:id="24"/>
      <w:r>
        <w:rPr>
          <w:sz w:val="22"/>
          <w:szCs w:val="22"/>
        </w:rPr>
        <w:t>A aplicação das sanções previstas neste edital não exclui, em hipótese alguma, a obrigação de reparação integral dos danos causados.</w:t>
      </w:r>
    </w:p>
    <w:p>
      <w:pPr>
        <w:pStyle w:val="normal1"/>
        <w:numPr>
          <w:ilvl w:val="1"/>
          <w:numId w:val="23"/>
        </w:numPr>
        <w:spacing w:lineRule="auto" w:line="360" w:before="120" w:after="120"/>
        <w:ind w:hanging="0" w:start="1145"/>
        <w:jc w:val="both"/>
        <w:rPr/>
      </w:pPr>
      <w:bookmarkStart w:id="25" w:name="_heading=h.6pwz5ub36f1p"/>
      <w:bookmarkEnd w:id="25"/>
      <w:r>
        <w:rPr>
          <w:sz w:val="22"/>
          <w:szCs w:val="22"/>
        </w:rPr>
        <w:t xml:space="preserve">Para a garantia da ampla defesa e contraditório dos licitantes, as notificações serão enviadas eletronicamente para os endereços de e-mail informados na proposta comercial, bem como os cadastrados pela empresa no </w:t>
      </w:r>
      <w:hyperlink r:id="rId6">
        <w:r>
          <w:rPr>
            <w:rStyle w:val="Style3"/>
            <w:b/>
            <w:bCs/>
            <w:color w:val="1155CC"/>
            <w:sz w:val="22"/>
            <w:szCs w:val="22"/>
            <w:u w:val="single"/>
          </w:rPr>
          <w:t>https://wbc.pmf.sc.gov.br/</w:t>
        </w:r>
      </w:hyperlink>
      <w:r>
        <w:rPr>
          <w:b/>
          <w:bCs/>
          <w:sz w:val="22"/>
          <w:szCs w:val="22"/>
        </w:rPr>
        <w:t xml:space="preserve"> </w:t>
      </w:r>
      <w:r>
        <w:rPr>
          <w:sz w:val="22"/>
          <w:szCs w:val="22"/>
        </w:rPr>
        <w:t>.</w:t>
      </w:r>
    </w:p>
    <w:p>
      <w:pPr>
        <w:pStyle w:val="normal1"/>
        <w:numPr>
          <w:ilvl w:val="0"/>
          <w:numId w:val="23"/>
        </w:numPr>
        <w:spacing w:lineRule="auto" w:line="360" w:before="240" w:after="120"/>
        <w:ind w:hanging="0" w:start="720"/>
        <w:jc w:val="both"/>
        <w:rPr>
          <w:color w:val="000000"/>
          <w:sz w:val="22"/>
          <w:szCs w:val="22"/>
        </w:rPr>
      </w:pPr>
      <w:r>
        <w:rPr>
          <w:b/>
          <w:bCs/>
          <w:color w:val="000000"/>
          <w:sz w:val="22"/>
          <w:szCs w:val="22"/>
        </w:rPr>
        <w:t>DAS DISPOSIÇÕES GERAIS</w:t>
      </w:r>
    </w:p>
    <w:p>
      <w:pPr>
        <w:pStyle w:val="normal1"/>
        <w:numPr>
          <w:ilvl w:val="1"/>
          <w:numId w:val="23"/>
        </w:numPr>
        <w:spacing w:lineRule="auto" w:line="360" w:before="120" w:after="120"/>
        <w:ind w:hanging="0" w:start="1145"/>
        <w:jc w:val="both"/>
        <w:rPr/>
      </w:pPr>
      <w:r>
        <w:rPr>
          <w:color w:val="000000"/>
          <w:sz w:val="22"/>
          <w:szCs w:val="22"/>
        </w:rPr>
        <w:t>Será divulgada ata da sessão pública no sistema eletrônico.</w:t>
      </w:r>
    </w:p>
    <w:p>
      <w:pPr>
        <w:pStyle w:val="normal1"/>
        <w:numPr>
          <w:ilvl w:val="1"/>
          <w:numId w:val="23"/>
        </w:numPr>
        <w:spacing w:lineRule="auto" w:line="360" w:before="120" w:after="120"/>
        <w:ind w:hanging="0" w:start="1145"/>
        <w:jc w:val="both"/>
        <w:rPr/>
      </w:pPr>
      <w:r>
        <w:rPr>
          <w:color w:val="000000"/>
          <w:sz w:val="22"/>
          <w:szCs w:val="22"/>
        </w:rPr>
        <w:t>Não havendo expediente ou ocorrendo qualquer fato superveniente que impeça a realização do certame na data marcada, a sessão será</w:t>
      </w:r>
      <w:r>
        <w:rPr>
          <w:color w:val="FF00FF"/>
          <w:sz w:val="22"/>
          <w:szCs w:val="22"/>
        </w:rPr>
        <w:t xml:space="preserve"> </w:t>
      </w:r>
      <w:r>
        <w:rPr>
          <w:color w:val="000000"/>
          <w:sz w:val="22"/>
          <w:szCs w:val="22"/>
        </w:rPr>
        <w:t>transferi</w:t>
      </w:r>
      <w:r>
        <w:rPr>
          <w:sz w:val="22"/>
          <w:szCs w:val="22"/>
        </w:rPr>
        <w:t>da nos moldes de</w:t>
      </w:r>
      <w:r>
        <w:rPr>
          <w:color w:val="000000"/>
          <w:sz w:val="22"/>
          <w:szCs w:val="22"/>
        </w:rPr>
        <w:t xml:space="preserve"> comunicação do </w:t>
      </w:r>
      <w:r>
        <w:rPr>
          <w:sz w:val="22"/>
          <w:szCs w:val="22"/>
        </w:rPr>
        <w:t>Pregoeiro.</w:t>
      </w:r>
    </w:p>
    <w:p>
      <w:pPr>
        <w:pStyle w:val="normal1"/>
        <w:numPr>
          <w:ilvl w:val="1"/>
          <w:numId w:val="23"/>
        </w:numPr>
        <w:spacing w:lineRule="auto" w:line="360" w:before="120" w:after="120"/>
        <w:ind w:hanging="0" w:start="1145"/>
        <w:jc w:val="both"/>
        <w:rPr/>
      </w:pPr>
      <w:r>
        <w:rPr>
          <w:color w:val="000000"/>
          <w:sz w:val="22"/>
          <w:szCs w:val="22"/>
        </w:rPr>
        <w:t>Todas as referências de tempo no Edital, no aviso e durante a sessão pública observarão o horário de Brasília - DF.</w:t>
      </w:r>
    </w:p>
    <w:p>
      <w:pPr>
        <w:pStyle w:val="normal1"/>
        <w:numPr>
          <w:ilvl w:val="1"/>
          <w:numId w:val="23"/>
        </w:numPr>
        <w:spacing w:lineRule="auto" w:line="360" w:before="120" w:after="120"/>
        <w:ind w:hanging="0" w:start="1145"/>
        <w:jc w:val="both"/>
        <w:rPr/>
      </w:pPr>
      <w:r>
        <w:rPr>
          <w:color w:val="000000"/>
          <w:sz w:val="22"/>
          <w:szCs w:val="22"/>
        </w:rPr>
        <w:t>A homologação do resultado desta licitação não implicará direito à contratação.</w:t>
      </w:r>
    </w:p>
    <w:p>
      <w:pPr>
        <w:pStyle w:val="normal1"/>
        <w:numPr>
          <w:ilvl w:val="1"/>
          <w:numId w:val="23"/>
        </w:numPr>
        <w:spacing w:lineRule="auto" w:line="360" w:before="120" w:after="120"/>
        <w:ind w:hanging="0" w:start="1145"/>
        <w:jc w:val="both"/>
        <w:rPr/>
      </w:pPr>
      <w:r>
        <w:rPr>
          <w:color w:val="000000"/>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ormal1"/>
        <w:numPr>
          <w:ilvl w:val="1"/>
          <w:numId w:val="23"/>
        </w:numPr>
        <w:spacing w:lineRule="auto" w:line="360" w:before="120" w:after="120"/>
        <w:ind w:hanging="0" w:start="1145"/>
        <w:jc w:val="both"/>
        <w:rPr/>
      </w:pPr>
      <w:r>
        <w:rPr>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pPr>
        <w:pStyle w:val="normal1"/>
        <w:numPr>
          <w:ilvl w:val="1"/>
          <w:numId w:val="23"/>
        </w:numPr>
        <w:spacing w:lineRule="auto" w:line="360" w:before="120" w:after="120"/>
        <w:ind w:hanging="0" w:start="1145"/>
        <w:jc w:val="both"/>
        <w:rPr/>
      </w:pPr>
      <w:r>
        <w:rPr>
          <w:color w:val="000000"/>
          <w:sz w:val="22"/>
          <w:szCs w:val="22"/>
        </w:rPr>
        <w:t>Na contagem dos prazos estabelecidos neste Edital e seus Anexos, excluir-se-á o dia do início e incluir-se-á o do vencimento. Só se iniciam e vencem os prazos em dias de expediente na Administração.</w:t>
      </w:r>
    </w:p>
    <w:p>
      <w:pPr>
        <w:pStyle w:val="normal1"/>
        <w:numPr>
          <w:ilvl w:val="1"/>
          <w:numId w:val="23"/>
        </w:numPr>
        <w:spacing w:lineRule="auto" w:line="360" w:before="120" w:after="120"/>
        <w:ind w:hanging="0" w:start="1145"/>
        <w:jc w:val="both"/>
        <w:rPr/>
      </w:pPr>
      <w:r>
        <w:rPr>
          <w:color w:val="000000"/>
          <w:sz w:val="22"/>
          <w:szCs w:val="22"/>
        </w:rPr>
        <w:t>O desatendimento de exigências formais não essenciais não importará o afastamento do licitante, desde que seja possível o aproveitamento do ato, observado os princípios da isonomia e do interesse público.</w:t>
      </w:r>
    </w:p>
    <w:p>
      <w:pPr>
        <w:pStyle w:val="normal1"/>
        <w:numPr>
          <w:ilvl w:val="1"/>
          <w:numId w:val="23"/>
        </w:numPr>
        <w:spacing w:lineRule="auto" w:line="360" w:before="120" w:after="120"/>
        <w:ind w:hanging="0" w:start="1145"/>
        <w:jc w:val="both"/>
        <w:rPr/>
      </w:pPr>
      <w:r>
        <w:rPr>
          <w:color w:val="000000"/>
          <w:sz w:val="22"/>
          <w:szCs w:val="22"/>
        </w:rPr>
        <w:t>Em caso de divergência entre disposições deste Edital e de seus anexos ou demais peças que compõem o processo, prevalecerá as deste Edital.</w:t>
      </w:r>
    </w:p>
    <w:p>
      <w:pPr>
        <w:pStyle w:val="normal1"/>
        <w:numPr>
          <w:ilvl w:val="1"/>
          <w:numId w:val="23"/>
        </w:numPr>
        <w:spacing w:lineRule="auto" w:line="360" w:before="120" w:after="120"/>
        <w:ind w:hanging="0" w:start="1145"/>
        <w:jc w:val="both"/>
        <w:rPr/>
      </w:pPr>
      <w:r>
        <w:rPr>
          <w:sz w:val="22"/>
          <w:szCs w:val="22"/>
        </w:rPr>
        <w:t xml:space="preserve">Em caso de divergência entre a descrição dos itens no sistema </w:t>
      </w:r>
      <w:hyperlink r:id="rId7">
        <w:r>
          <w:rPr>
            <w:rStyle w:val="Style3"/>
            <w:color w:val="1155CC"/>
            <w:sz w:val="22"/>
            <w:szCs w:val="22"/>
            <w:u w:val="single"/>
          </w:rPr>
          <w:t>https://wbc.pmf.sc.gov.br/</w:t>
        </w:r>
      </w:hyperlink>
      <w:r>
        <w:rPr>
          <w:sz w:val="22"/>
          <w:szCs w:val="22"/>
        </w:rPr>
        <w:t xml:space="preserve">  e no edital, prevalecerá a do edital.</w:t>
      </w:r>
    </w:p>
    <w:p>
      <w:pPr>
        <w:pStyle w:val="normal1"/>
        <w:numPr>
          <w:ilvl w:val="1"/>
          <w:numId w:val="23"/>
        </w:numPr>
        <w:spacing w:lineRule="auto" w:line="360" w:before="120" w:after="120"/>
        <w:ind w:hanging="0" w:start="1145"/>
        <w:jc w:val="both"/>
        <w:rPr/>
      </w:pPr>
      <w:r>
        <w:rPr>
          <w:color w:val="000000"/>
          <w:sz w:val="22"/>
          <w:szCs w:val="22"/>
        </w:rPr>
        <w:t>O Edital e seus anexos estão disponíveis, na íntegra, no Portal Nacional de Contratações Públicas (PNCP).</w:t>
      </w:r>
    </w:p>
    <w:p>
      <w:pPr>
        <w:pStyle w:val="normal1"/>
        <w:numPr>
          <w:ilvl w:val="1"/>
          <w:numId w:val="23"/>
        </w:numPr>
        <w:spacing w:lineRule="auto" w:line="360" w:before="120" w:after="120"/>
        <w:ind w:hanging="0" w:start="1145"/>
        <w:jc w:val="both"/>
        <w:rPr/>
      </w:pPr>
      <w:r>
        <w:rPr>
          <w:color w:val="000000"/>
          <w:sz w:val="22"/>
          <w:szCs w:val="22"/>
        </w:rPr>
        <w:t>Integram este Edital, para todos os fins e efeitos, os seguintes anexos:</w:t>
      </w:r>
    </w:p>
    <w:p>
      <w:pPr>
        <w:pStyle w:val="normal1"/>
        <w:numPr>
          <w:ilvl w:val="2"/>
          <w:numId w:val="23"/>
        </w:numPr>
        <w:spacing w:lineRule="auto" w:line="360" w:before="120" w:after="120"/>
        <w:ind w:hanging="720" w:start="1780"/>
        <w:jc w:val="both"/>
        <w:rPr>
          <w:sz w:val="22"/>
          <w:szCs w:val="22"/>
        </w:rPr>
      </w:pPr>
      <w:r>
        <w:rPr>
          <w:color w:val="000000"/>
          <w:sz w:val="22"/>
          <w:szCs w:val="22"/>
        </w:rPr>
        <w:t>ANEXO I - Termo de Referência</w:t>
      </w:r>
      <w:r>
        <w:rPr>
          <w:sz w:val="22"/>
          <w:szCs w:val="22"/>
        </w:rPr>
        <w:t>;</w:t>
      </w:r>
    </w:p>
    <w:p>
      <w:pPr>
        <w:pStyle w:val="normal1"/>
        <w:numPr>
          <w:ilvl w:val="2"/>
          <w:numId w:val="23"/>
        </w:numPr>
        <w:spacing w:lineRule="auto" w:line="360" w:before="120" w:after="120"/>
        <w:ind w:hanging="720" w:start="1780"/>
        <w:jc w:val="both"/>
        <w:rPr>
          <w:sz w:val="22"/>
          <w:szCs w:val="22"/>
        </w:rPr>
      </w:pPr>
      <w:r>
        <w:rPr>
          <w:color w:val="000000"/>
          <w:sz w:val="22"/>
          <w:szCs w:val="22"/>
        </w:rPr>
        <w:t xml:space="preserve">ANEXO II – </w:t>
      </w:r>
      <w:r>
        <w:rPr>
          <w:sz w:val="22"/>
          <w:szCs w:val="22"/>
        </w:rPr>
        <w:t>Minuta do Contrato;</w:t>
      </w:r>
    </w:p>
    <w:p>
      <w:pPr>
        <w:pStyle w:val="normal1"/>
        <w:numPr>
          <w:ilvl w:val="2"/>
          <w:numId w:val="23"/>
        </w:numPr>
        <w:spacing w:lineRule="auto" w:line="360" w:before="120" w:after="120"/>
        <w:ind w:hanging="720" w:start="1780"/>
        <w:jc w:val="both"/>
        <w:rPr>
          <w:sz w:val="22"/>
          <w:szCs w:val="22"/>
        </w:rPr>
      </w:pPr>
      <w:r>
        <w:rPr>
          <w:sz w:val="22"/>
          <w:szCs w:val="22"/>
        </w:rPr>
        <w:t>ANEXO III – Modelo de Proposta de Preços.</w:t>
      </w:r>
    </w:p>
    <w:p>
      <w:pPr>
        <w:pStyle w:val="normal1"/>
        <w:spacing w:lineRule="auto" w:line="360"/>
        <w:ind w:hanging="431" w:start="4969"/>
        <w:jc w:val="end"/>
        <w:rPr>
          <w:color w:val="000000"/>
          <w:sz w:val="22"/>
          <w:szCs w:val="22"/>
        </w:rPr>
      </w:pPr>
      <w:r>
        <w:rPr>
          <w:color w:val="000000"/>
          <w:sz w:val="22"/>
          <w:szCs w:val="22"/>
        </w:rPr>
      </w:r>
    </w:p>
    <w:p>
      <w:pPr>
        <w:pStyle w:val="normal1"/>
        <w:spacing w:lineRule="auto" w:line="360"/>
        <w:ind w:hanging="0"/>
        <w:jc w:val="end"/>
        <w:rPr>
          <w:color w:val="000000"/>
          <w:sz w:val="22"/>
          <w:szCs w:val="22"/>
        </w:rPr>
      </w:pPr>
      <w:r>
        <w:rPr>
          <w:color w:val="000000"/>
          <w:sz w:val="22"/>
          <w:szCs w:val="22"/>
        </w:rPr>
      </w:r>
    </w:p>
    <w:p>
      <w:pPr>
        <w:pStyle w:val="normal1"/>
        <w:spacing w:lineRule="auto" w:line="360"/>
        <w:ind w:hanging="0"/>
        <w:jc w:val="end"/>
        <w:rPr>
          <w:color w:val="000000"/>
          <w:sz w:val="22"/>
          <w:szCs w:val="22"/>
        </w:rPr>
      </w:pPr>
      <w:r>
        <w:rPr>
          <w:color w:val="000000"/>
          <w:sz w:val="22"/>
          <w:szCs w:val="22"/>
        </w:rPr>
      </w:r>
    </w:p>
    <w:p>
      <w:pPr>
        <w:pStyle w:val="normal1"/>
        <w:spacing w:lineRule="auto" w:line="360"/>
        <w:ind w:hanging="0"/>
        <w:jc w:val="end"/>
        <w:rPr>
          <w:color w:val="000000"/>
          <w:sz w:val="22"/>
          <w:szCs w:val="22"/>
        </w:rPr>
      </w:pPr>
      <w:r>
        <w:rPr>
          <w:color w:val="000000"/>
          <w:sz w:val="22"/>
          <w:szCs w:val="22"/>
        </w:rPr>
        <w:t>Florianópolis, 28 de abril de 20</w:t>
      </w:r>
      <w:r>
        <w:rPr>
          <w:sz w:val="22"/>
          <w:szCs w:val="22"/>
        </w:rPr>
        <w:t>26</w:t>
      </w:r>
      <w:r>
        <w:rPr>
          <w:color w:val="000000"/>
          <w:sz w:val="22"/>
          <w:szCs w:val="22"/>
        </w:rPr>
        <w:t>.</w:t>
      </w:r>
    </w:p>
    <w:p>
      <w:pPr>
        <w:pStyle w:val="normal1"/>
        <w:spacing w:lineRule="auto" w:line="360"/>
        <w:ind w:hanging="0"/>
        <w:jc w:val="both"/>
        <w:rPr>
          <w:color w:val="000000"/>
          <w:sz w:val="22"/>
          <w:szCs w:val="22"/>
        </w:rPr>
      </w:pPr>
      <w:r>
        <w:rPr>
          <w:color w:val="000000"/>
          <w:sz w:val="22"/>
          <w:szCs w:val="22"/>
        </w:rPr>
      </w:r>
    </w:p>
    <w:p>
      <w:pPr>
        <w:pStyle w:val="normal1"/>
        <w:spacing w:lineRule="auto" w:line="360"/>
        <w:ind w:hanging="0"/>
        <w:jc w:val="both"/>
        <w:rPr>
          <w:color w:val="000000"/>
          <w:sz w:val="22"/>
          <w:szCs w:val="22"/>
        </w:rPr>
      </w:pPr>
      <w:r>
        <w:rPr>
          <w:color w:val="000000"/>
          <w:sz w:val="22"/>
          <w:szCs w:val="22"/>
        </w:rPr>
      </w:r>
    </w:p>
    <w:p>
      <w:pPr>
        <w:pStyle w:val="normal1"/>
        <w:spacing w:lineRule="auto" w:line="360"/>
        <w:ind w:hanging="0"/>
        <w:jc w:val="center"/>
        <w:rPr>
          <w:color w:val="000000"/>
          <w:sz w:val="22"/>
          <w:szCs w:val="22"/>
        </w:rPr>
      </w:pPr>
      <w:r>
        <w:rPr>
          <w:color w:val="000000"/>
          <w:sz w:val="22"/>
          <w:szCs w:val="22"/>
        </w:rPr>
      </w:r>
    </w:p>
    <w:p>
      <w:pPr>
        <w:pStyle w:val="normal1"/>
        <w:spacing w:lineRule="auto" w:line="360"/>
        <w:ind w:hanging="0"/>
        <w:jc w:val="center"/>
        <w:rPr>
          <w:color w:val="000000"/>
          <w:sz w:val="22"/>
          <w:szCs w:val="22"/>
        </w:rPr>
      </w:pPr>
      <w:r>
        <w:rPr>
          <w:color w:val="000000"/>
          <w:sz w:val="22"/>
          <w:szCs w:val="22"/>
        </w:rPr>
      </w:r>
    </w:p>
    <w:p>
      <w:pPr>
        <w:pStyle w:val="normal1"/>
        <w:spacing w:lineRule="auto" w:line="360"/>
        <w:ind w:hanging="0"/>
        <w:jc w:val="center"/>
        <w:rPr>
          <w:color w:val="000000"/>
          <w:sz w:val="22"/>
          <w:szCs w:val="22"/>
        </w:rPr>
      </w:pPr>
      <w:r>
        <w:rPr>
          <w:color w:val="000000"/>
          <w:sz w:val="22"/>
          <w:szCs w:val="22"/>
        </w:rPr>
        <w:t>Juliano Richter Pires</w:t>
      </w:r>
    </w:p>
    <w:p>
      <w:pPr>
        <w:pStyle w:val="normal1"/>
        <w:spacing w:lineRule="auto" w:line="360"/>
        <w:ind w:hanging="0"/>
        <w:jc w:val="center"/>
        <w:rPr>
          <w:b/>
          <w:bCs/>
          <w:color w:val="000000"/>
          <w:sz w:val="22"/>
          <w:szCs w:val="22"/>
        </w:rPr>
      </w:pPr>
      <w:r>
        <w:rPr>
          <w:color w:val="000000"/>
          <w:sz w:val="22"/>
          <w:szCs w:val="22"/>
        </w:rPr>
        <w:t xml:space="preserve">Secretaria Municipal de </w:t>
      </w:r>
      <w:r>
        <w:rPr>
          <w:sz w:val="22"/>
          <w:szCs w:val="22"/>
        </w:rPr>
        <w:t>Turismo, Desenvolvimento Econômico e Inovação</w:t>
      </w:r>
      <w:r>
        <w:br w:type="page"/>
      </w:r>
    </w:p>
    <w:p>
      <w:pPr>
        <w:pStyle w:val="normal1"/>
        <w:spacing w:lineRule="auto" w:line="360" w:before="0" w:after="0"/>
        <w:ind w:hanging="0"/>
        <w:jc w:val="center"/>
        <w:rPr>
          <w:b/>
          <w:bCs/>
          <w:color w:val="000000"/>
          <w:sz w:val="22"/>
          <w:szCs w:val="22"/>
        </w:rPr>
      </w:pPr>
      <w:r>
        <w:rPr>
          <w:b/>
          <w:bCs/>
          <w:color w:val="000000"/>
          <w:sz w:val="22"/>
          <w:szCs w:val="22"/>
        </w:rPr>
        <w:t>ANEXO I – TERMO DE REFERÊNCIA</w:t>
      </w:r>
    </w:p>
    <w:p>
      <w:pPr>
        <w:pStyle w:val="normal1"/>
        <w:shd w:val="clear" w:fill="FFFFFF"/>
        <w:spacing w:lineRule="auto" w:line="360" w:before="120" w:after="120"/>
        <w:ind w:hanging="0" w:start="425"/>
        <w:jc w:val="center"/>
        <w:rPr>
          <w:sz w:val="22"/>
          <w:szCs w:val="22"/>
        </w:rPr>
      </w:pPr>
      <w:r>
        <w:rPr>
          <w:b/>
          <w:bCs/>
          <w:sz w:val="22"/>
          <w:szCs w:val="22"/>
        </w:rPr>
        <w:t>DESCRIÇÃO DA ESPECIFICAÇÃO DO SERVIÇO</w:t>
      </w:r>
    </w:p>
    <w:p>
      <w:pPr>
        <w:pStyle w:val="normal1"/>
        <w:spacing w:lineRule="auto" w:line="360"/>
        <w:ind w:hanging="0"/>
        <w:jc w:val="center"/>
        <w:rPr>
          <w:color w:val="000000"/>
          <w:sz w:val="22"/>
          <w:szCs w:val="22"/>
        </w:rPr>
      </w:pPr>
      <w:r>
        <w:rPr>
          <w:b/>
          <w:bCs/>
          <w:sz w:val="22"/>
          <w:szCs w:val="22"/>
        </w:rPr>
        <w:t>AMPLA CONCORRÊNCIA</w:t>
      </w:r>
    </w:p>
    <w:tbl>
      <w:tblPr>
        <w:tblStyle w:val="Table2"/>
        <w:tblW w:w="9210" w:type="dxa"/>
        <w:jc w:val="start"/>
        <w:tblInd w:w="-280" w:type="dxa"/>
        <w:tblLayout w:type="fixed"/>
        <w:tblCellMar>
          <w:top w:w="0" w:type="dxa"/>
          <w:start w:w="108" w:type="dxa"/>
          <w:bottom w:w="0" w:type="dxa"/>
          <w:end w:w="108" w:type="dxa"/>
        </w:tblCellMar>
        <w:tblLook w:val="0000"/>
      </w:tblPr>
      <w:tblGrid>
        <w:gridCol w:w="675"/>
        <w:gridCol w:w="930"/>
        <w:gridCol w:w="900"/>
        <w:gridCol w:w="3435"/>
        <w:gridCol w:w="1708"/>
        <w:gridCol w:w="1562"/>
      </w:tblGrid>
      <w:tr>
        <w:trPr>
          <w:tblHeader w:val="true"/>
          <w:trHeight w:val="900" w:hRule="atLeast"/>
          <w:cantSplit w:val="true"/>
        </w:trPr>
        <w:tc>
          <w:tcPr>
            <w:tcW w:w="675" w:type="dxa"/>
            <w:tcBorders>
              <w:top w:val="single" w:sz="4" w:space="0" w:color="000000"/>
              <w:start w:val="single" w:sz="4" w:space="0" w:color="000000"/>
              <w:bottom w:val="single" w:sz="4" w:space="0" w:color="000000"/>
            </w:tcBorders>
            <w:shd w:fill="D9D9D9" w:val="clear"/>
            <w:vAlign w:val="center"/>
          </w:tcPr>
          <w:p>
            <w:pPr>
              <w:pStyle w:val="normal1"/>
              <w:ind w:hanging="2"/>
              <w:jc w:val="center"/>
              <w:rPr>
                <w:rFonts w:ascii="Arial" w:hAnsi="Arial" w:eastAsia="Arial" w:cs="Arial"/>
                <w:color w:val="000000"/>
                <w:sz w:val="20"/>
                <w:szCs w:val="20"/>
              </w:rPr>
            </w:pPr>
            <w:r>
              <w:rPr>
                <w:rFonts w:eastAsia="Arial" w:cs="Arial"/>
                <w:b/>
                <w:bCs/>
                <w:color w:val="000000"/>
                <w:sz w:val="20"/>
                <w:szCs w:val="20"/>
              </w:rPr>
              <w:t>Item</w:t>
            </w:r>
          </w:p>
        </w:tc>
        <w:tc>
          <w:tcPr>
            <w:tcW w:w="930" w:type="dxa"/>
            <w:tcBorders>
              <w:top w:val="single" w:sz="4" w:space="0" w:color="000000"/>
              <w:start w:val="single" w:sz="4" w:space="0" w:color="000000"/>
              <w:bottom w:val="single" w:sz="4" w:space="0" w:color="000000"/>
            </w:tcBorders>
            <w:shd w:fill="D9D9D9" w:val="clear"/>
            <w:vAlign w:val="center"/>
          </w:tcPr>
          <w:p>
            <w:pPr>
              <w:pStyle w:val="normal1"/>
              <w:ind w:hanging="0"/>
              <w:jc w:val="center"/>
              <w:rPr>
                <w:rFonts w:ascii="Arial" w:hAnsi="Arial" w:eastAsia="Arial" w:cs="Arial"/>
                <w:color w:val="000000"/>
                <w:sz w:val="20"/>
                <w:szCs w:val="20"/>
              </w:rPr>
            </w:pPr>
            <w:r>
              <w:rPr>
                <w:rFonts w:eastAsia="Arial" w:cs="Arial"/>
                <w:b/>
                <w:bCs/>
                <w:color w:val="000000"/>
                <w:sz w:val="20"/>
                <w:szCs w:val="20"/>
              </w:rPr>
              <w:t>Quant.</w:t>
            </w:r>
          </w:p>
        </w:tc>
        <w:tc>
          <w:tcPr>
            <w:tcW w:w="900" w:type="dxa"/>
            <w:tcBorders>
              <w:top w:val="single" w:sz="4" w:space="0" w:color="000000"/>
              <w:start w:val="single" w:sz="4" w:space="0" w:color="000000"/>
              <w:bottom w:val="single" w:sz="4" w:space="0" w:color="000000"/>
            </w:tcBorders>
            <w:shd w:fill="D9D9D9" w:val="clear"/>
            <w:vAlign w:val="center"/>
          </w:tcPr>
          <w:p>
            <w:pPr>
              <w:pStyle w:val="normal1"/>
              <w:ind w:hanging="0"/>
              <w:jc w:val="center"/>
              <w:rPr>
                <w:rFonts w:ascii="Arial" w:hAnsi="Arial" w:eastAsia="Arial" w:cs="Arial"/>
                <w:color w:val="000000"/>
                <w:sz w:val="20"/>
                <w:szCs w:val="20"/>
              </w:rPr>
            </w:pPr>
            <w:r>
              <w:rPr>
                <w:rFonts w:eastAsia="Arial" w:cs="Arial"/>
                <w:b/>
                <w:bCs/>
                <w:color w:val="000000"/>
                <w:sz w:val="20"/>
                <w:szCs w:val="20"/>
              </w:rPr>
              <w:t>Unid.</w:t>
            </w:r>
          </w:p>
        </w:tc>
        <w:tc>
          <w:tcPr>
            <w:tcW w:w="3435" w:type="dxa"/>
            <w:tcBorders>
              <w:top w:val="single" w:sz="4" w:space="0" w:color="000000"/>
              <w:start w:val="single" w:sz="4" w:space="0" w:color="000000"/>
              <w:bottom w:val="single" w:sz="4" w:space="0" w:color="000000"/>
            </w:tcBorders>
            <w:shd w:fill="D9D9D9" w:val="clear"/>
            <w:vAlign w:val="center"/>
          </w:tcPr>
          <w:p>
            <w:pPr>
              <w:pStyle w:val="normal1"/>
              <w:ind w:hanging="0"/>
              <w:jc w:val="center"/>
              <w:rPr>
                <w:rFonts w:ascii="Arial" w:hAnsi="Arial" w:eastAsia="Arial" w:cs="Arial"/>
                <w:color w:val="000000"/>
                <w:sz w:val="20"/>
                <w:szCs w:val="20"/>
              </w:rPr>
            </w:pPr>
            <w:r>
              <w:rPr>
                <w:rFonts w:eastAsia="Arial" w:cs="Arial"/>
                <w:b/>
                <w:bCs/>
                <w:color w:val="000000"/>
                <w:sz w:val="20"/>
                <w:szCs w:val="20"/>
              </w:rPr>
              <w:t>Especificação</w:t>
            </w:r>
          </w:p>
        </w:tc>
        <w:tc>
          <w:tcPr>
            <w:tcW w:w="1708" w:type="dxa"/>
            <w:tcBorders>
              <w:top w:val="single" w:sz="4" w:space="0" w:color="000000"/>
              <w:start w:val="single" w:sz="4" w:space="0" w:color="000000"/>
              <w:bottom w:val="single" w:sz="4" w:space="0" w:color="000000"/>
              <w:end w:val="single" w:sz="4" w:space="0" w:color="000000"/>
            </w:tcBorders>
            <w:shd w:fill="D9D9D9" w:val="clear"/>
            <w:vAlign w:val="center"/>
          </w:tcPr>
          <w:p>
            <w:pPr>
              <w:pStyle w:val="normal1"/>
              <w:ind w:hanging="0"/>
              <w:jc w:val="center"/>
              <w:rPr>
                <w:rFonts w:ascii="Arial" w:hAnsi="Arial" w:eastAsia="Arial" w:cs="Arial"/>
                <w:color w:val="000000"/>
                <w:sz w:val="20"/>
                <w:szCs w:val="20"/>
              </w:rPr>
            </w:pPr>
            <w:r>
              <w:rPr>
                <w:rFonts w:eastAsia="Arial" w:cs="Arial"/>
                <w:b/>
                <w:bCs/>
                <w:color w:val="000000"/>
                <w:sz w:val="20"/>
                <w:szCs w:val="20"/>
              </w:rPr>
              <w:t>Valor Unitário</w:t>
            </w:r>
          </w:p>
        </w:tc>
        <w:tc>
          <w:tcPr>
            <w:tcW w:w="1562" w:type="dxa"/>
            <w:tcBorders>
              <w:top w:val="single" w:sz="4" w:space="0" w:color="000000"/>
              <w:start w:val="single" w:sz="4" w:space="0" w:color="000000"/>
              <w:bottom w:val="single" w:sz="4" w:space="0" w:color="000000"/>
              <w:end w:val="single" w:sz="4" w:space="0" w:color="000000"/>
            </w:tcBorders>
            <w:shd w:fill="D9D9D9" w:val="clear"/>
            <w:vAlign w:val="center"/>
          </w:tcPr>
          <w:p>
            <w:pPr>
              <w:pStyle w:val="normal1"/>
              <w:ind w:hanging="0"/>
              <w:jc w:val="center"/>
              <w:rPr>
                <w:rFonts w:ascii="Arial" w:hAnsi="Arial" w:eastAsia="Arial" w:cs="Arial"/>
                <w:color w:val="000000"/>
                <w:sz w:val="20"/>
                <w:szCs w:val="20"/>
              </w:rPr>
            </w:pPr>
            <w:r>
              <w:rPr>
                <w:rFonts w:eastAsia="Arial" w:cs="Arial"/>
                <w:b/>
                <w:bCs/>
                <w:color w:val="000000"/>
                <w:sz w:val="20"/>
                <w:szCs w:val="20"/>
              </w:rPr>
              <w:t>Valor Total</w:t>
            </w:r>
          </w:p>
        </w:tc>
      </w:tr>
      <w:tr>
        <w:trPr>
          <w:tblHeader w:val="true"/>
          <w:trHeight w:val="393" w:hRule="atLeast"/>
          <w:cantSplit w:val="true"/>
        </w:trPr>
        <w:tc>
          <w:tcPr>
            <w:tcW w:w="675" w:type="dxa"/>
            <w:tcBorders>
              <w:top w:val="single" w:sz="4" w:space="0" w:color="000000"/>
              <w:start w:val="single" w:sz="4" w:space="0" w:color="000000"/>
              <w:bottom w:val="single" w:sz="4" w:space="0" w:color="000000"/>
              <w:end w:val="single" w:sz="4" w:space="0" w:color="000000"/>
            </w:tcBorders>
            <w:vAlign w:val="center"/>
          </w:tcPr>
          <w:p>
            <w:pPr>
              <w:pStyle w:val="normal1"/>
              <w:ind w:hanging="2"/>
              <w:jc w:val="center"/>
              <w:rPr>
                <w:rFonts w:ascii="Arial" w:hAnsi="Arial" w:eastAsia="Arial" w:cs="Arial"/>
                <w:color w:val="000000"/>
                <w:sz w:val="20"/>
                <w:szCs w:val="20"/>
              </w:rPr>
            </w:pPr>
            <w:r>
              <w:rPr>
                <w:rFonts w:eastAsia="Arial" w:cs="Arial"/>
                <w:sz w:val="20"/>
                <w:szCs w:val="20"/>
              </w:rPr>
              <w:t>01</w:t>
            </w:r>
          </w:p>
        </w:tc>
        <w:tc>
          <w:tcPr>
            <w:tcW w:w="930" w:type="dxa"/>
            <w:tcBorders>
              <w:top w:val="single" w:sz="4" w:space="0" w:color="000000"/>
              <w:start w:val="single" w:sz="4" w:space="0" w:color="000000"/>
              <w:bottom w:val="single" w:sz="4" w:space="0" w:color="000000"/>
              <w:end w:val="single" w:sz="4" w:space="0" w:color="000000"/>
            </w:tcBorders>
            <w:vAlign w:val="center"/>
          </w:tcPr>
          <w:p>
            <w:pPr>
              <w:pStyle w:val="normal1"/>
              <w:ind w:hanging="0"/>
              <w:jc w:val="center"/>
              <w:rPr>
                <w:rFonts w:ascii="Arial" w:hAnsi="Arial" w:eastAsia="Arial" w:cs="Arial"/>
                <w:color w:val="000000"/>
                <w:sz w:val="20"/>
                <w:szCs w:val="20"/>
              </w:rPr>
            </w:pPr>
            <w:r>
              <w:rPr>
                <w:rFonts w:eastAsia="Arial" w:cs="Arial"/>
                <w:sz w:val="20"/>
                <w:szCs w:val="20"/>
              </w:rPr>
              <w:t>01</w:t>
            </w:r>
          </w:p>
        </w:tc>
        <w:tc>
          <w:tcPr>
            <w:tcW w:w="900" w:type="dxa"/>
            <w:tcBorders>
              <w:top w:val="single" w:sz="4" w:space="0" w:color="000000"/>
              <w:start w:val="single" w:sz="4" w:space="0" w:color="000000"/>
              <w:bottom w:val="single" w:sz="4" w:space="0" w:color="000000"/>
              <w:end w:val="single" w:sz="4" w:space="0" w:color="000000"/>
            </w:tcBorders>
            <w:vAlign w:val="center"/>
          </w:tcPr>
          <w:p>
            <w:pPr>
              <w:pStyle w:val="normal1"/>
              <w:ind w:hanging="0"/>
              <w:jc w:val="center"/>
              <w:rPr>
                <w:rFonts w:ascii="Arial" w:hAnsi="Arial" w:eastAsia="Arial" w:cs="Arial"/>
                <w:color w:val="000000"/>
                <w:sz w:val="20"/>
                <w:szCs w:val="20"/>
              </w:rPr>
            </w:pPr>
            <w:r>
              <w:rPr>
                <w:rFonts w:eastAsia="Arial" w:cs="Arial"/>
                <w:sz w:val="20"/>
                <w:szCs w:val="20"/>
              </w:rPr>
              <w:t>Serviço</w:t>
            </w:r>
          </w:p>
        </w:tc>
        <w:tc>
          <w:tcPr>
            <w:tcW w:w="3435" w:type="dxa"/>
            <w:tcBorders>
              <w:top w:val="single" w:sz="4" w:space="0" w:color="000000"/>
              <w:start w:val="single" w:sz="4" w:space="0" w:color="000000"/>
              <w:bottom w:val="single" w:sz="4" w:space="0" w:color="000000"/>
              <w:end w:val="single" w:sz="4" w:space="0" w:color="000000"/>
            </w:tcBorders>
            <w:vAlign w:val="center"/>
          </w:tcPr>
          <w:p>
            <w:pPr>
              <w:pStyle w:val="normal1"/>
              <w:tabs>
                <w:tab w:val="clear" w:pos="720"/>
                <w:tab w:val="left" w:pos="426" w:leader="none"/>
              </w:tabs>
              <w:spacing w:lineRule="auto" w:line="360" w:before="0" w:after="200"/>
              <w:ind w:hanging="0"/>
              <w:jc w:val="center"/>
              <w:rPr>
                <w:rFonts w:ascii="Arial" w:hAnsi="Arial" w:eastAsia="Arial" w:cs="Arial"/>
                <w:color w:val="000000"/>
                <w:sz w:val="20"/>
                <w:szCs w:val="20"/>
              </w:rPr>
            </w:pPr>
            <w:r>
              <w:rPr>
                <w:rFonts w:eastAsia="Arial" w:cs="Arial"/>
                <w:sz w:val="20"/>
                <w:szCs w:val="20"/>
              </w:rPr>
              <w:t>Serviços de show de luzes, montagem e operação técnica para atender um evento do calendário de aniversário de 100 anos da Ponte Hercílio Luz 2026 a ser realizado na Beira Mar Continental Florianópolis/SC, no dia 16/05/2026</w:t>
            </w:r>
          </w:p>
        </w:tc>
        <w:tc>
          <w:tcPr>
            <w:tcW w:w="1708" w:type="dxa"/>
            <w:tcBorders>
              <w:top w:val="single" w:sz="4" w:space="0" w:color="000000"/>
              <w:start w:val="single" w:sz="4" w:space="0" w:color="000000"/>
              <w:bottom w:val="single" w:sz="4" w:space="0" w:color="000000"/>
              <w:end w:val="single" w:sz="4" w:space="0" w:color="000000"/>
            </w:tcBorders>
            <w:vAlign w:val="center"/>
          </w:tcPr>
          <w:p>
            <w:pPr>
              <w:pStyle w:val="normal1"/>
              <w:ind w:hanging="0"/>
              <w:jc w:val="center"/>
              <w:rPr>
                <w:rFonts w:ascii="Arial" w:hAnsi="Arial" w:eastAsia="Arial" w:cs="Arial"/>
                <w:color w:val="000000"/>
                <w:sz w:val="20"/>
                <w:szCs w:val="20"/>
              </w:rPr>
            </w:pPr>
            <w:r>
              <w:rPr>
                <w:rFonts w:eastAsia="Arial" w:cs="Arial"/>
                <w:sz w:val="20"/>
                <w:szCs w:val="20"/>
              </w:rPr>
              <w:t>R$ 181.640,01</w:t>
            </w:r>
          </w:p>
        </w:tc>
        <w:tc>
          <w:tcPr>
            <w:tcW w:w="1562" w:type="dxa"/>
            <w:tcBorders>
              <w:top w:val="single" w:sz="4" w:space="0" w:color="000000"/>
              <w:start w:val="single" w:sz="4" w:space="0" w:color="000000"/>
              <w:bottom w:val="single" w:sz="4" w:space="0" w:color="000000"/>
              <w:end w:val="single" w:sz="4" w:space="0" w:color="000000"/>
            </w:tcBorders>
            <w:vAlign w:val="center"/>
          </w:tcPr>
          <w:p>
            <w:pPr>
              <w:pStyle w:val="normal1"/>
              <w:ind w:hanging="0"/>
              <w:jc w:val="center"/>
              <w:rPr>
                <w:rFonts w:ascii="Arial" w:hAnsi="Arial" w:eastAsia="Arial" w:cs="Arial"/>
                <w:color w:val="000000"/>
                <w:sz w:val="20"/>
                <w:szCs w:val="20"/>
              </w:rPr>
            </w:pPr>
            <w:r>
              <w:rPr>
                <w:rFonts w:eastAsia="Arial" w:cs="Arial"/>
                <w:sz w:val="20"/>
                <w:szCs w:val="20"/>
              </w:rPr>
              <w:t>R$ 181.640,01</w:t>
            </w:r>
          </w:p>
        </w:tc>
      </w:tr>
      <w:tr>
        <w:trPr>
          <w:tblHeader w:val="true"/>
          <w:trHeight w:val="393" w:hRule="atLeast"/>
          <w:cantSplit w:val="true"/>
        </w:trPr>
        <w:tc>
          <w:tcPr>
            <w:tcW w:w="9210" w:type="dxa"/>
            <w:gridSpan w:val="6"/>
            <w:tcBorders>
              <w:top w:val="single" w:sz="4" w:space="0" w:color="000000"/>
              <w:start w:val="single" w:sz="4" w:space="0" w:color="000000"/>
              <w:bottom w:val="single" w:sz="4" w:space="0" w:color="000000"/>
              <w:end w:val="single" w:sz="4" w:space="0" w:color="000000"/>
            </w:tcBorders>
            <w:vAlign w:val="center"/>
          </w:tcPr>
          <w:p>
            <w:pPr>
              <w:pStyle w:val="normal1"/>
              <w:ind w:hanging="2"/>
              <w:jc w:val="center"/>
              <w:rPr>
                <w:rFonts w:ascii="Arial" w:hAnsi="Arial" w:eastAsia="Arial" w:cs="Arial"/>
                <w:b/>
                <w:bCs/>
                <w:color w:val="000000"/>
                <w:sz w:val="20"/>
                <w:szCs w:val="20"/>
              </w:rPr>
            </w:pPr>
            <w:r>
              <w:rPr>
                <w:rFonts w:eastAsia="Arial" w:cs="Arial"/>
                <w:b/>
                <w:bCs/>
                <w:color w:val="000000"/>
                <w:sz w:val="20"/>
                <w:szCs w:val="20"/>
              </w:rPr>
              <w:t xml:space="preserve">Valor Total: </w:t>
            </w:r>
            <w:r>
              <w:rPr>
                <w:rFonts w:eastAsia="Arial" w:cs="Arial"/>
                <w:b/>
                <w:bCs/>
                <w:sz w:val="20"/>
                <w:szCs w:val="20"/>
              </w:rPr>
              <w:t>R$ 181.640,01</w:t>
            </w:r>
          </w:p>
        </w:tc>
      </w:tr>
    </w:tbl>
    <w:p>
      <w:pPr>
        <w:pStyle w:val="normal1"/>
        <w:spacing w:lineRule="auto" w:line="360"/>
        <w:ind w:hanging="0"/>
        <w:jc w:val="both"/>
        <w:rPr>
          <w:sz w:val="22"/>
          <w:szCs w:val="22"/>
        </w:rPr>
      </w:pPr>
      <w:r>
        <w:rPr/>
        <w:t>*A descrição completa dos itens está prevista neste Termo de Referência</w:t>
      </w:r>
    </w:p>
    <w:p>
      <w:pPr>
        <w:pStyle w:val="normal1"/>
        <w:keepNext w:val="true"/>
        <w:keepLines/>
        <w:numPr>
          <w:ilvl w:val="0"/>
          <w:numId w:val="7"/>
        </w:numPr>
        <w:spacing w:lineRule="auto" w:line="360" w:before="480" w:after="280"/>
        <w:ind w:hanging="0" w:start="720"/>
        <w:rPr>
          <w:b/>
          <w:bCs/>
          <w:sz w:val="22"/>
          <w:szCs w:val="22"/>
        </w:rPr>
      </w:pPr>
      <w:r>
        <w:rPr>
          <w:b/>
          <w:bCs/>
          <w:sz w:val="22"/>
          <w:szCs w:val="22"/>
        </w:rPr>
        <w:t>OBJETO</w:t>
      </w:r>
    </w:p>
    <w:p>
      <w:pPr>
        <w:pStyle w:val="normal1"/>
        <w:numPr>
          <w:ilvl w:val="1"/>
          <w:numId w:val="5"/>
        </w:numPr>
        <w:spacing w:lineRule="auto" w:line="360" w:before="120" w:after="120"/>
        <w:ind w:hanging="0" w:start="170"/>
        <w:jc w:val="both"/>
        <w:rPr>
          <w:sz w:val="22"/>
          <w:szCs w:val="22"/>
        </w:rPr>
      </w:pPr>
      <w:r>
        <w:rPr>
          <w:sz w:val="22"/>
          <w:szCs w:val="22"/>
        </w:rPr>
        <w:t>Definição do objeto:</w:t>
      </w:r>
    </w:p>
    <w:p>
      <w:pPr>
        <w:pStyle w:val="normal1"/>
        <w:spacing w:lineRule="auto" w:line="360" w:before="120" w:after="120"/>
        <w:ind w:hanging="0" w:start="283"/>
        <w:jc w:val="both"/>
        <w:rPr>
          <w:sz w:val="22"/>
          <w:szCs w:val="22"/>
        </w:rPr>
      </w:pPr>
      <w:r>
        <w:rPr>
          <w:sz w:val="22"/>
          <w:szCs w:val="22"/>
        </w:rPr>
        <w:t>Contratação de empresa especializada na prestação de serviços de show de luzes, montagem e operação técnica para atender um evento do calendário de aniversário de 100 anos da Ponte Hercílio Luz 2026 a ser realizado na Beira Mar Continental Florianópolis/SC, no dia 16/05/2026.</w:t>
      </w:r>
    </w:p>
    <w:p>
      <w:pPr>
        <w:pStyle w:val="normal1"/>
        <w:numPr>
          <w:ilvl w:val="1"/>
          <w:numId w:val="5"/>
        </w:numPr>
        <w:spacing w:lineRule="auto" w:line="360" w:before="120" w:after="120"/>
        <w:ind w:hanging="0" w:start="170"/>
        <w:jc w:val="both"/>
        <w:rPr>
          <w:sz w:val="22"/>
          <w:szCs w:val="22"/>
        </w:rPr>
      </w:pPr>
      <w:r>
        <w:rPr>
          <w:sz w:val="22"/>
          <w:szCs w:val="22"/>
        </w:rPr>
        <w:t>A contratação servirá para execução de show de luzes em homenagem aos 100 anos da Ponte Hercílio Luz, no dia 16 de maio de 2026.</w:t>
      </w:r>
    </w:p>
    <w:p>
      <w:pPr>
        <w:pStyle w:val="normal1"/>
        <w:numPr>
          <w:ilvl w:val="1"/>
          <w:numId w:val="5"/>
        </w:numPr>
        <w:spacing w:lineRule="auto" w:line="360" w:before="120" w:after="120"/>
        <w:ind w:hanging="0" w:start="170"/>
        <w:jc w:val="both"/>
        <w:rPr>
          <w:sz w:val="22"/>
          <w:szCs w:val="22"/>
        </w:rPr>
      </w:pPr>
      <w:r>
        <w:rPr>
          <w:sz w:val="22"/>
          <w:szCs w:val="22"/>
        </w:rPr>
        <w:t>Estimativa das quantidades:</w:t>
      </w:r>
    </w:p>
    <w:tbl>
      <w:tblPr>
        <w:tblStyle w:val="Table3"/>
        <w:tblW w:w="9540" w:type="dxa"/>
        <w:jc w:val="start"/>
        <w:tblInd w:w="0" w:type="dxa"/>
        <w:tblLayout w:type="fixed"/>
        <w:tblCellMar>
          <w:top w:w="0" w:type="dxa"/>
          <w:start w:w="100" w:type="dxa"/>
          <w:bottom w:w="0" w:type="dxa"/>
          <w:end w:w="100" w:type="dxa"/>
        </w:tblCellMar>
        <w:tblLook w:val="0600"/>
      </w:tblPr>
      <w:tblGrid>
        <w:gridCol w:w="840"/>
        <w:gridCol w:w="2655"/>
        <w:gridCol w:w="493"/>
        <w:gridCol w:w="1051"/>
        <w:gridCol w:w="1289"/>
        <w:gridCol w:w="1592"/>
        <w:gridCol w:w="1515"/>
        <w:gridCol w:w="105"/>
      </w:tblGrid>
      <w:tr>
        <w:trPr>
          <w:trHeight w:val="645" w:hRule="atLeast"/>
        </w:trPr>
        <w:tc>
          <w:tcPr>
            <w:tcW w:w="840" w:type="dxa"/>
            <w:tcBorders>
              <w:top w:val="single" w:sz="6" w:space="0" w:color="000000"/>
              <w:start w:val="single" w:sz="6" w:space="0" w:color="000000"/>
              <w:bottom w:val="single" w:sz="6" w:space="0" w:color="000000"/>
              <w:end w:val="single" w:sz="6" w:space="0" w:color="000000"/>
            </w:tcBorders>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sz w:val="22"/>
                <w:szCs w:val="22"/>
              </w:rPr>
            </w:pPr>
            <w:bookmarkStart w:id="26" w:name="_heading=h.fhp5rxh5wft3"/>
            <w:bookmarkEnd w:id="26"/>
            <w:r>
              <w:rPr>
                <w:rFonts w:eastAsia="Arial" w:cs="Arial" w:ascii="Arial" w:hAnsi="Arial"/>
                <w:sz w:val="22"/>
                <w:szCs w:val="22"/>
              </w:rPr>
              <w:t>Item</w:t>
            </w:r>
          </w:p>
        </w:tc>
        <w:tc>
          <w:tcPr>
            <w:tcW w:w="2655" w:type="dxa"/>
            <w:tcBorders>
              <w:top w:val="single" w:sz="6" w:space="0" w:color="000000"/>
              <w:bottom w:val="single" w:sz="6" w:space="0" w:color="000000"/>
              <w:end w:val="single" w:sz="6" w:space="0" w:color="000000"/>
            </w:tcBorders>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sz w:val="22"/>
                <w:szCs w:val="22"/>
              </w:rPr>
            </w:pPr>
            <w:r>
              <w:rPr>
                <w:rFonts w:eastAsia="Arial" w:cs="Arial" w:ascii="Arial" w:hAnsi="Arial"/>
                <w:sz w:val="22"/>
                <w:szCs w:val="22"/>
              </w:rPr>
              <w:t>Descrição</w:t>
            </w:r>
          </w:p>
        </w:tc>
        <w:tc>
          <w:tcPr>
            <w:tcW w:w="1544" w:type="dxa"/>
            <w:gridSpan w:val="2"/>
            <w:tcBorders>
              <w:top w:val="single" w:sz="6" w:space="0" w:color="000000"/>
              <w:bottom w:val="single" w:sz="6" w:space="0" w:color="000000"/>
              <w:end w:val="single" w:sz="6" w:space="0" w:color="000000"/>
            </w:tcBorders>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sz w:val="22"/>
                <w:szCs w:val="22"/>
              </w:rPr>
            </w:pPr>
            <w:r>
              <w:rPr>
                <w:rFonts w:eastAsia="Arial" w:cs="Arial" w:ascii="Arial" w:hAnsi="Arial"/>
                <w:sz w:val="22"/>
                <w:szCs w:val="22"/>
              </w:rPr>
              <w:t>Unidade</w:t>
            </w:r>
          </w:p>
        </w:tc>
        <w:tc>
          <w:tcPr>
            <w:tcW w:w="1289" w:type="dxa"/>
            <w:tcBorders>
              <w:top w:val="single" w:sz="6" w:space="0" w:color="000000"/>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sz w:val="22"/>
                <w:szCs w:val="22"/>
              </w:rPr>
            </w:pPr>
            <w:r>
              <w:rPr>
                <w:rFonts w:eastAsia="Arial" w:cs="Arial" w:ascii="Arial" w:hAnsi="Arial"/>
                <w:sz w:val="22"/>
                <w:szCs w:val="22"/>
              </w:rPr>
              <w:t>Quantidade</w:t>
            </w:r>
          </w:p>
        </w:tc>
        <w:tc>
          <w:tcPr>
            <w:tcW w:w="1592" w:type="dxa"/>
            <w:tcBorders>
              <w:top w:val="single" w:sz="6" w:space="0" w:color="000000"/>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sz w:val="22"/>
                <w:szCs w:val="22"/>
              </w:rPr>
            </w:pPr>
            <w:r>
              <w:rPr>
                <w:rFonts w:eastAsia="Arial" w:cs="Arial" w:ascii="Arial" w:hAnsi="Arial"/>
                <w:sz w:val="22"/>
                <w:szCs w:val="22"/>
              </w:rPr>
              <w:t>Valor Unitário</w:t>
            </w:r>
          </w:p>
        </w:tc>
        <w:tc>
          <w:tcPr>
            <w:tcW w:w="1620" w:type="dxa"/>
            <w:gridSpan w:val="2"/>
            <w:tcBorders>
              <w:top w:val="single" w:sz="6" w:space="0" w:color="000000"/>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sz w:val="22"/>
                <w:szCs w:val="22"/>
              </w:rPr>
            </w:pPr>
            <w:r>
              <w:rPr>
                <w:rFonts w:eastAsia="Arial" w:cs="Arial" w:ascii="Arial" w:hAnsi="Arial"/>
                <w:sz w:val="22"/>
                <w:szCs w:val="22"/>
              </w:rPr>
              <w:t>Valor Total</w:t>
            </w:r>
          </w:p>
        </w:tc>
      </w:tr>
      <w:tr>
        <w:trPr>
          <w:trHeight w:val="1035" w:hRule="atLeast"/>
        </w:trPr>
        <w:tc>
          <w:tcPr>
            <w:tcW w:w="840" w:type="dxa"/>
            <w:tcBorders>
              <w:start w:val="single" w:sz="6" w:space="0" w:color="000000"/>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sz w:val="22"/>
                <w:szCs w:val="22"/>
              </w:rPr>
            </w:pPr>
            <w:r>
              <w:rPr>
                <w:rFonts w:eastAsia="Arial" w:cs="Arial" w:ascii="Arial" w:hAnsi="Arial"/>
                <w:sz w:val="22"/>
                <w:szCs w:val="22"/>
              </w:rPr>
              <w:t>1</w:t>
            </w:r>
          </w:p>
        </w:tc>
        <w:tc>
          <w:tcPr>
            <w:tcW w:w="2655"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 xml:space="preserve"> </w:t>
            </w:r>
          </w:p>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Moving Heads 400W (48 unidades)</w:t>
            </w:r>
          </w:p>
        </w:tc>
        <w:tc>
          <w:tcPr>
            <w:tcW w:w="1544"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Serviço</w:t>
            </w:r>
          </w:p>
        </w:tc>
        <w:tc>
          <w:tcPr>
            <w:tcW w:w="1289"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01</w:t>
            </w:r>
          </w:p>
        </w:tc>
        <w:tc>
          <w:tcPr>
            <w:tcW w:w="1592"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bookmarkStart w:id="27" w:name="_heading=h.3x0bryp92909"/>
            <w:bookmarkEnd w:id="27"/>
            <w:r>
              <w:rPr>
                <w:rFonts w:eastAsia="Arial" w:cs="Arial" w:ascii="Arial" w:hAnsi="Arial"/>
                <w:b w:val="false"/>
                <w:bCs w:val="false"/>
                <w:sz w:val="22"/>
                <w:szCs w:val="22"/>
              </w:rPr>
              <w:t>18.900,00</w:t>
            </w:r>
          </w:p>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r>
          </w:p>
        </w:tc>
        <w:tc>
          <w:tcPr>
            <w:tcW w:w="1620"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bookmarkStart w:id="28" w:name="_heading=h.29nvlnw6h0dk"/>
            <w:bookmarkEnd w:id="28"/>
            <w:r>
              <w:rPr>
                <w:rFonts w:eastAsia="Arial" w:cs="Arial" w:ascii="Arial" w:hAnsi="Arial"/>
                <w:b w:val="false"/>
                <w:bCs w:val="false"/>
                <w:sz w:val="22"/>
                <w:szCs w:val="22"/>
              </w:rPr>
              <w:t>18.900,00</w:t>
            </w:r>
          </w:p>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rPr>
                <w:rFonts w:ascii="Arial" w:hAnsi="Arial" w:eastAsia="Arial" w:cs="Arial"/>
                <w:b w:val="false"/>
                <w:bCs w:val="false"/>
                <w:sz w:val="22"/>
                <w:szCs w:val="22"/>
              </w:rPr>
            </w:pPr>
            <w:r>
              <w:rPr>
                <w:rFonts w:eastAsia="Arial" w:cs="Arial" w:ascii="Arial" w:hAnsi="Arial"/>
                <w:b w:val="false"/>
                <w:bCs w:val="false"/>
                <w:sz w:val="22"/>
                <w:szCs w:val="22"/>
              </w:rPr>
            </w:r>
          </w:p>
        </w:tc>
      </w:tr>
      <w:tr>
        <w:trPr>
          <w:trHeight w:val="765" w:hRule="atLeast"/>
        </w:trPr>
        <w:tc>
          <w:tcPr>
            <w:tcW w:w="840" w:type="dxa"/>
            <w:tcBorders>
              <w:start w:val="single" w:sz="6" w:space="0" w:color="000000"/>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sz w:val="22"/>
                <w:szCs w:val="22"/>
              </w:rPr>
            </w:pPr>
            <w:r>
              <w:rPr>
                <w:rFonts w:eastAsia="Arial" w:cs="Arial" w:ascii="Arial" w:hAnsi="Arial"/>
                <w:sz w:val="22"/>
                <w:szCs w:val="22"/>
              </w:rPr>
              <w:t>2</w:t>
            </w:r>
          </w:p>
        </w:tc>
        <w:tc>
          <w:tcPr>
            <w:tcW w:w="2655"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 xml:space="preserve"> </w:t>
            </w:r>
          </w:p>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Cabeamentos necessários</w:t>
            </w:r>
          </w:p>
        </w:tc>
        <w:tc>
          <w:tcPr>
            <w:tcW w:w="1544"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Serviço</w:t>
            </w:r>
          </w:p>
        </w:tc>
        <w:tc>
          <w:tcPr>
            <w:tcW w:w="1289"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01</w:t>
            </w:r>
          </w:p>
        </w:tc>
        <w:tc>
          <w:tcPr>
            <w:tcW w:w="1592"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R$4.130,00</w:t>
            </w:r>
          </w:p>
        </w:tc>
        <w:tc>
          <w:tcPr>
            <w:tcW w:w="1620"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R$4.130,00</w:t>
            </w:r>
          </w:p>
        </w:tc>
      </w:tr>
      <w:tr>
        <w:trPr>
          <w:trHeight w:val="1455" w:hRule="atLeast"/>
        </w:trPr>
        <w:tc>
          <w:tcPr>
            <w:tcW w:w="840" w:type="dxa"/>
            <w:tcBorders>
              <w:start w:val="single" w:sz="6" w:space="0" w:color="000000"/>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sz w:val="22"/>
                <w:szCs w:val="22"/>
              </w:rPr>
            </w:pPr>
            <w:r>
              <w:rPr>
                <w:rFonts w:eastAsia="Arial" w:cs="Arial" w:ascii="Arial" w:hAnsi="Arial"/>
                <w:sz w:val="22"/>
                <w:szCs w:val="22"/>
              </w:rPr>
              <w:t>3</w:t>
            </w:r>
          </w:p>
        </w:tc>
        <w:tc>
          <w:tcPr>
            <w:tcW w:w="2655"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 xml:space="preserve"> </w:t>
            </w:r>
          </w:p>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Mesa de luz MA2 ou equivalente</w:t>
            </w:r>
          </w:p>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 xml:space="preserve"> </w:t>
            </w:r>
          </w:p>
        </w:tc>
        <w:tc>
          <w:tcPr>
            <w:tcW w:w="1544"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Serviço</w:t>
            </w:r>
          </w:p>
        </w:tc>
        <w:tc>
          <w:tcPr>
            <w:tcW w:w="1289"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01</w:t>
            </w:r>
          </w:p>
        </w:tc>
        <w:tc>
          <w:tcPr>
            <w:tcW w:w="1592"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R$3.700,00</w:t>
            </w:r>
          </w:p>
        </w:tc>
        <w:tc>
          <w:tcPr>
            <w:tcW w:w="1620"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R$3.700,00</w:t>
            </w:r>
          </w:p>
        </w:tc>
      </w:tr>
      <w:tr>
        <w:trPr>
          <w:trHeight w:val="1485" w:hRule="atLeast"/>
        </w:trPr>
        <w:tc>
          <w:tcPr>
            <w:tcW w:w="840" w:type="dxa"/>
            <w:tcBorders>
              <w:start w:val="single" w:sz="6" w:space="0" w:color="000000"/>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sz w:val="22"/>
                <w:szCs w:val="22"/>
              </w:rPr>
            </w:pPr>
            <w:r>
              <w:rPr>
                <w:rFonts w:eastAsia="Arial" w:cs="Arial" w:ascii="Arial" w:hAnsi="Arial"/>
                <w:sz w:val="22"/>
                <w:szCs w:val="22"/>
              </w:rPr>
              <w:t>4</w:t>
            </w:r>
          </w:p>
        </w:tc>
        <w:tc>
          <w:tcPr>
            <w:tcW w:w="2655"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 xml:space="preserve"> </w:t>
            </w:r>
          </w:p>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Técnico de iluminação (mín. 2 diárias)</w:t>
            </w:r>
          </w:p>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 xml:space="preserve"> </w:t>
            </w:r>
          </w:p>
        </w:tc>
        <w:tc>
          <w:tcPr>
            <w:tcW w:w="1544"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Serviço</w:t>
            </w:r>
          </w:p>
        </w:tc>
        <w:tc>
          <w:tcPr>
            <w:tcW w:w="1289"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01</w:t>
            </w:r>
          </w:p>
        </w:tc>
        <w:tc>
          <w:tcPr>
            <w:tcW w:w="1592"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R$3.433,33</w:t>
            </w:r>
          </w:p>
        </w:tc>
        <w:tc>
          <w:tcPr>
            <w:tcW w:w="1620"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R$3.433,33</w:t>
            </w:r>
          </w:p>
        </w:tc>
      </w:tr>
      <w:tr>
        <w:trPr>
          <w:trHeight w:val="1485" w:hRule="atLeast"/>
        </w:trPr>
        <w:tc>
          <w:tcPr>
            <w:tcW w:w="840" w:type="dxa"/>
            <w:tcBorders>
              <w:start w:val="single" w:sz="6" w:space="0" w:color="000000"/>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sz w:val="22"/>
                <w:szCs w:val="22"/>
              </w:rPr>
            </w:pPr>
            <w:r>
              <w:rPr>
                <w:rFonts w:eastAsia="Arial" w:cs="Arial" w:ascii="Arial" w:hAnsi="Arial"/>
                <w:sz w:val="22"/>
                <w:szCs w:val="22"/>
              </w:rPr>
              <w:t>5</w:t>
            </w:r>
          </w:p>
        </w:tc>
        <w:tc>
          <w:tcPr>
            <w:tcW w:w="2655"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 xml:space="preserve"> </w:t>
            </w:r>
          </w:p>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Sistema Laser 3D show (24 unidades)</w:t>
            </w:r>
          </w:p>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 xml:space="preserve"> </w:t>
            </w:r>
          </w:p>
        </w:tc>
        <w:tc>
          <w:tcPr>
            <w:tcW w:w="1544"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Serviço</w:t>
            </w:r>
          </w:p>
        </w:tc>
        <w:tc>
          <w:tcPr>
            <w:tcW w:w="1289"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01</w:t>
            </w:r>
          </w:p>
        </w:tc>
        <w:tc>
          <w:tcPr>
            <w:tcW w:w="1592"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R$78.626,67</w:t>
            </w:r>
          </w:p>
        </w:tc>
        <w:tc>
          <w:tcPr>
            <w:tcW w:w="1620"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R$78.626,67</w:t>
            </w:r>
          </w:p>
        </w:tc>
      </w:tr>
      <w:tr>
        <w:trPr>
          <w:trHeight w:val="735" w:hRule="atLeast"/>
        </w:trPr>
        <w:tc>
          <w:tcPr>
            <w:tcW w:w="840" w:type="dxa"/>
            <w:tcBorders>
              <w:start w:val="single" w:sz="6" w:space="0" w:color="000000"/>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sz w:val="22"/>
                <w:szCs w:val="22"/>
              </w:rPr>
            </w:pPr>
            <w:r>
              <w:rPr>
                <w:rFonts w:eastAsia="Arial" w:cs="Arial" w:ascii="Arial" w:hAnsi="Arial"/>
                <w:sz w:val="22"/>
                <w:szCs w:val="22"/>
              </w:rPr>
              <w:t>6</w:t>
            </w:r>
          </w:p>
        </w:tc>
        <w:tc>
          <w:tcPr>
            <w:tcW w:w="2655"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 xml:space="preserve"> </w:t>
            </w:r>
          </w:p>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Interface FB4 para lasers</w:t>
            </w:r>
          </w:p>
        </w:tc>
        <w:tc>
          <w:tcPr>
            <w:tcW w:w="1544"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Serviço</w:t>
            </w:r>
          </w:p>
        </w:tc>
        <w:tc>
          <w:tcPr>
            <w:tcW w:w="1289"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01</w:t>
            </w:r>
          </w:p>
        </w:tc>
        <w:tc>
          <w:tcPr>
            <w:tcW w:w="1592"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R$1.333,33</w:t>
            </w:r>
          </w:p>
        </w:tc>
        <w:tc>
          <w:tcPr>
            <w:tcW w:w="1620"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R$1.333,33</w:t>
            </w:r>
          </w:p>
        </w:tc>
      </w:tr>
      <w:tr>
        <w:trPr>
          <w:trHeight w:val="1485" w:hRule="atLeast"/>
        </w:trPr>
        <w:tc>
          <w:tcPr>
            <w:tcW w:w="840" w:type="dxa"/>
            <w:tcBorders>
              <w:start w:val="single" w:sz="6" w:space="0" w:color="000000"/>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sz w:val="22"/>
                <w:szCs w:val="22"/>
              </w:rPr>
            </w:pPr>
            <w:r>
              <w:rPr>
                <w:rFonts w:eastAsia="Arial" w:cs="Arial" w:ascii="Arial" w:hAnsi="Arial"/>
                <w:sz w:val="22"/>
                <w:szCs w:val="22"/>
              </w:rPr>
              <w:t>7</w:t>
            </w:r>
          </w:p>
        </w:tc>
        <w:tc>
          <w:tcPr>
            <w:tcW w:w="2655"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 xml:space="preserve"> </w:t>
            </w:r>
          </w:p>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Software de controle para lasers.</w:t>
            </w:r>
          </w:p>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 xml:space="preserve"> </w:t>
            </w:r>
          </w:p>
        </w:tc>
        <w:tc>
          <w:tcPr>
            <w:tcW w:w="1544"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Serviço</w:t>
            </w:r>
          </w:p>
        </w:tc>
        <w:tc>
          <w:tcPr>
            <w:tcW w:w="1289"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01</w:t>
            </w:r>
          </w:p>
        </w:tc>
        <w:tc>
          <w:tcPr>
            <w:tcW w:w="1592"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R$566,67</w:t>
            </w:r>
          </w:p>
        </w:tc>
        <w:tc>
          <w:tcPr>
            <w:tcW w:w="1620"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R$566,67</w:t>
            </w:r>
          </w:p>
        </w:tc>
      </w:tr>
      <w:tr>
        <w:trPr>
          <w:trHeight w:val="915" w:hRule="atLeast"/>
        </w:trPr>
        <w:tc>
          <w:tcPr>
            <w:tcW w:w="840" w:type="dxa"/>
            <w:tcBorders>
              <w:start w:val="single" w:sz="6" w:space="0" w:color="000000"/>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sz w:val="22"/>
                <w:szCs w:val="22"/>
              </w:rPr>
            </w:pPr>
            <w:r>
              <w:rPr>
                <w:rFonts w:eastAsia="Arial" w:cs="Arial" w:ascii="Arial" w:hAnsi="Arial"/>
                <w:sz w:val="22"/>
                <w:szCs w:val="22"/>
              </w:rPr>
              <w:t>8</w:t>
            </w:r>
          </w:p>
        </w:tc>
        <w:tc>
          <w:tcPr>
            <w:tcW w:w="2655"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Máquinas de fumaça Fog 3000W (20 unidades)</w:t>
            </w:r>
          </w:p>
        </w:tc>
        <w:tc>
          <w:tcPr>
            <w:tcW w:w="1544"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Serviço</w:t>
            </w:r>
          </w:p>
        </w:tc>
        <w:tc>
          <w:tcPr>
            <w:tcW w:w="1289"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01</w:t>
            </w:r>
          </w:p>
        </w:tc>
        <w:tc>
          <w:tcPr>
            <w:tcW w:w="1592"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R$27.616,67</w:t>
            </w:r>
          </w:p>
        </w:tc>
        <w:tc>
          <w:tcPr>
            <w:tcW w:w="1620"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R$27.616,67</w:t>
            </w:r>
          </w:p>
        </w:tc>
      </w:tr>
      <w:tr>
        <w:trPr>
          <w:trHeight w:val="645" w:hRule="atLeast"/>
        </w:trPr>
        <w:tc>
          <w:tcPr>
            <w:tcW w:w="840" w:type="dxa"/>
            <w:tcBorders>
              <w:start w:val="single" w:sz="6" w:space="0" w:color="000000"/>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sz w:val="22"/>
                <w:szCs w:val="22"/>
              </w:rPr>
            </w:pPr>
            <w:r>
              <w:rPr>
                <w:rFonts w:eastAsia="Arial" w:cs="Arial" w:ascii="Arial" w:hAnsi="Arial"/>
                <w:sz w:val="22"/>
                <w:szCs w:val="22"/>
              </w:rPr>
              <w:t>9</w:t>
            </w:r>
          </w:p>
        </w:tc>
        <w:tc>
          <w:tcPr>
            <w:tcW w:w="2655"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Turbinas para fumaça (2 unidades)</w:t>
            </w:r>
          </w:p>
        </w:tc>
        <w:tc>
          <w:tcPr>
            <w:tcW w:w="1544"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Serviço</w:t>
            </w:r>
          </w:p>
        </w:tc>
        <w:tc>
          <w:tcPr>
            <w:tcW w:w="1289"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01</w:t>
            </w:r>
          </w:p>
        </w:tc>
        <w:tc>
          <w:tcPr>
            <w:tcW w:w="1592"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R$1.466,67</w:t>
            </w:r>
          </w:p>
        </w:tc>
        <w:tc>
          <w:tcPr>
            <w:tcW w:w="1620"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R$1.466,67</w:t>
            </w:r>
          </w:p>
        </w:tc>
      </w:tr>
      <w:tr>
        <w:trPr>
          <w:trHeight w:val="915" w:hRule="atLeast"/>
        </w:trPr>
        <w:tc>
          <w:tcPr>
            <w:tcW w:w="840" w:type="dxa"/>
            <w:tcBorders>
              <w:start w:val="single" w:sz="6" w:space="0" w:color="000000"/>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sz w:val="22"/>
                <w:szCs w:val="22"/>
              </w:rPr>
            </w:pPr>
            <w:r>
              <w:rPr>
                <w:rFonts w:eastAsia="Arial" w:cs="Arial" w:ascii="Arial" w:hAnsi="Arial"/>
                <w:sz w:val="22"/>
                <w:szCs w:val="22"/>
              </w:rPr>
              <w:t>10</w:t>
            </w:r>
          </w:p>
        </w:tc>
        <w:tc>
          <w:tcPr>
            <w:tcW w:w="2655"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Engenheiro Eletricista (4 unidades)</w:t>
            </w:r>
          </w:p>
        </w:tc>
        <w:tc>
          <w:tcPr>
            <w:tcW w:w="1544"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Serviço</w:t>
            </w:r>
          </w:p>
        </w:tc>
        <w:tc>
          <w:tcPr>
            <w:tcW w:w="1289"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01</w:t>
            </w:r>
          </w:p>
        </w:tc>
        <w:tc>
          <w:tcPr>
            <w:tcW w:w="1592"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R$9.666,67</w:t>
            </w:r>
          </w:p>
        </w:tc>
        <w:tc>
          <w:tcPr>
            <w:tcW w:w="1620"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R$9.666,67</w:t>
            </w:r>
          </w:p>
        </w:tc>
      </w:tr>
      <w:tr>
        <w:trPr>
          <w:trHeight w:val="735" w:hRule="atLeast"/>
        </w:trPr>
        <w:tc>
          <w:tcPr>
            <w:tcW w:w="840" w:type="dxa"/>
            <w:tcBorders>
              <w:start w:val="single" w:sz="6" w:space="0" w:color="000000"/>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sz w:val="22"/>
                <w:szCs w:val="22"/>
              </w:rPr>
            </w:pPr>
            <w:r>
              <w:rPr>
                <w:rFonts w:eastAsia="Arial" w:cs="Arial" w:ascii="Arial" w:hAnsi="Arial"/>
                <w:sz w:val="22"/>
                <w:szCs w:val="22"/>
              </w:rPr>
              <w:t>11</w:t>
            </w:r>
          </w:p>
        </w:tc>
        <w:tc>
          <w:tcPr>
            <w:tcW w:w="2655"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Equipe de montagem/desmontagem (4 técnicos)</w:t>
            </w:r>
          </w:p>
        </w:tc>
        <w:tc>
          <w:tcPr>
            <w:tcW w:w="1544"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Serviço</w:t>
            </w:r>
          </w:p>
        </w:tc>
        <w:tc>
          <w:tcPr>
            <w:tcW w:w="1289"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01</w:t>
            </w:r>
          </w:p>
        </w:tc>
        <w:tc>
          <w:tcPr>
            <w:tcW w:w="1592"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R$6.333,33</w:t>
            </w:r>
          </w:p>
        </w:tc>
        <w:tc>
          <w:tcPr>
            <w:tcW w:w="1620"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R$6.333,33</w:t>
            </w:r>
          </w:p>
        </w:tc>
      </w:tr>
      <w:tr>
        <w:trPr>
          <w:trHeight w:val="645" w:hRule="atLeast"/>
        </w:trPr>
        <w:tc>
          <w:tcPr>
            <w:tcW w:w="840" w:type="dxa"/>
            <w:tcBorders>
              <w:start w:val="single" w:sz="6" w:space="0" w:color="000000"/>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sz w:val="22"/>
                <w:szCs w:val="22"/>
              </w:rPr>
            </w:pPr>
            <w:r>
              <w:rPr>
                <w:rFonts w:eastAsia="Arial" w:cs="Arial" w:ascii="Arial" w:hAnsi="Arial"/>
                <w:sz w:val="22"/>
                <w:szCs w:val="22"/>
              </w:rPr>
              <w:t>12</w:t>
            </w:r>
          </w:p>
        </w:tc>
        <w:tc>
          <w:tcPr>
            <w:tcW w:w="2655"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Notebook operacional</w:t>
            </w:r>
          </w:p>
        </w:tc>
        <w:tc>
          <w:tcPr>
            <w:tcW w:w="1544"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Serviço</w:t>
            </w:r>
          </w:p>
        </w:tc>
        <w:tc>
          <w:tcPr>
            <w:tcW w:w="1289"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01</w:t>
            </w:r>
          </w:p>
        </w:tc>
        <w:tc>
          <w:tcPr>
            <w:tcW w:w="1592"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R$900,00</w:t>
            </w:r>
          </w:p>
        </w:tc>
        <w:tc>
          <w:tcPr>
            <w:tcW w:w="1620"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R$900,00</w:t>
            </w:r>
          </w:p>
        </w:tc>
      </w:tr>
      <w:tr>
        <w:trPr>
          <w:trHeight w:val="645" w:hRule="atLeast"/>
        </w:trPr>
        <w:tc>
          <w:tcPr>
            <w:tcW w:w="840" w:type="dxa"/>
            <w:tcBorders>
              <w:start w:val="single" w:sz="6" w:space="0" w:color="000000"/>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sz w:val="22"/>
                <w:szCs w:val="22"/>
              </w:rPr>
            </w:pPr>
            <w:r>
              <w:rPr>
                <w:rFonts w:eastAsia="Arial" w:cs="Arial" w:ascii="Arial" w:hAnsi="Arial"/>
                <w:sz w:val="22"/>
                <w:szCs w:val="22"/>
              </w:rPr>
              <w:t>13</w:t>
            </w:r>
          </w:p>
        </w:tc>
        <w:tc>
          <w:tcPr>
            <w:tcW w:w="2655"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Acompanhamento técnico integral</w:t>
            </w:r>
          </w:p>
        </w:tc>
        <w:tc>
          <w:tcPr>
            <w:tcW w:w="1544"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Serviço</w:t>
            </w:r>
          </w:p>
        </w:tc>
        <w:tc>
          <w:tcPr>
            <w:tcW w:w="1289"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01</w:t>
            </w:r>
          </w:p>
        </w:tc>
        <w:tc>
          <w:tcPr>
            <w:tcW w:w="1592"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R$21.400,00</w:t>
            </w:r>
          </w:p>
        </w:tc>
        <w:tc>
          <w:tcPr>
            <w:tcW w:w="1620"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R$21.400,00</w:t>
            </w:r>
          </w:p>
        </w:tc>
      </w:tr>
      <w:tr>
        <w:trPr>
          <w:trHeight w:val="645" w:hRule="atLeast"/>
        </w:trPr>
        <w:tc>
          <w:tcPr>
            <w:tcW w:w="840" w:type="dxa"/>
            <w:tcBorders>
              <w:start w:val="single" w:sz="6" w:space="0" w:color="000000"/>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sz w:val="22"/>
                <w:szCs w:val="22"/>
              </w:rPr>
            </w:pPr>
            <w:r>
              <w:rPr>
                <w:rFonts w:eastAsia="Arial" w:cs="Arial" w:ascii="Arial" w:hAnsi="Arial"/>
                <w:sz w:val="22"/>
                <w:szCs w:val="22"/>
              </w:rPr>
              <w:t>14</w:t>
            </w:r>
          </w:p>
        </w:tc>
        <w:tc>
          <w:tcPr>
            <w:tcW w:w="2655"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Eletricista (3 diárias)</w:t>
            </w:r>
          </w:p>
        </w:tc>
        <w:tc>
          <w:tcPr>
            <w:tcW w:w="1544"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Serviço</w:t>
            </w:r>
          </w:p>
        </w:tc>
        <w:tc>
          <w:tcPr>
            <w:tcW w:w="1289"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01</w:t>
            </w:r>
          </w:p>
        </w:tc>
        <w:tc>
          <w:tcPr>
            <w:tcW w:w="1592" w:type="dxa"/>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R$3.566,67</w:t>
            </w:r>
          </w:p>
        </w:tc>
        <w:tc>
          <w:tcPr>
            <w:tcW w:w="1620" w:type="dxa"/>
            <w:gridSpan w:val="2"/>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360"/>
              <w:ind w:hanging="0" w:start="0" w:end="0"/>
              <w:jc w:val="center"/>
              <w:rPr>
                <w:rFonts w:ascii="Arial" w:hAnsi="Arial" w:eastAsia="Arial" w:cs="Arial"/>
                <w:b w:val="false"/>
                <w:bCs w:val="false"/>
                <w:sz w:val="22"/>
                <w:szCs w:val="22"/>
              </w:rPr>
            </w:pPr>
            <w:r>
              <w:rPr>
                <w:rFonts w:eastAsia="Arial" w:cs="Arial" w:ascii="Arial" w:hAnsi="Arial"/>
                <w:b w:val="false"/>
                <w:bCs w:val="false"/>
                <w:sz w:val="22"/>
                <w:szCs w:val="22"/>
              </w:rPr>
              <w:t>R$3.566,67</w:t>
            </w:r>
          </w:p>
        </w:tc>
      </w:tr>
      <w:tr>
        <w:trPr>
          <w:trHeight w:val="169" w:hRule="atLeast"/>
        </w:trPr>
        <w:tc>
          <w:tcPr>
            <w:tcW w:w="3988" w:type="dxa"/>
            <w:gridSpan w:val="3"/>
            <w:tcBorders>
              <w:start w:val="single" w:sz="6" w:space="0" w:color="000000"/>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0" w:after="0"/>
              <w:ind w:hanging="0" w:start="0" w:end="0"/>
              <w:jc w:val="both"/>
              <w:rPr>
                <w:rFonts w:ascii="Arial" w:hAnsi="Arial" w:eastAsia="Arial" w:cs="Arial"/>
                <w:sz w:val="22"/>
                <w:szCs w:val="22"/>
              </w:rPr>
            </w:pPr>
            <w:r>
              <w:rPr>
                <w:rFonts w:eastAsia="Arial" w:cs="Arial" w:ascii="Arial" w:hAnsi="Arial"/>
                <w:sz w:val="22"/>
                <w:szCs w:val="22"/>
              </w:rPr>
              <w:t>TOTAL:</w:t>
            </w:r>
          </w:p>
        </w:tc>
        <w:tc>
          <w:tcPr>
            <w:tcW w:w="5447" w:type="dxa"/>
            <w:gridSpan w:val="4"/>
            <w:tcBorders>
              <w:bottom w:val="single" w:sz="6" w:space="0" w:color="000000"/>
              <w:end w:val="single" w:sz="6" w:space="0" w:color="000000"/>
            </w:tcBorders>
            <w:shd w:fill="auto" w:val="clear"/>
          </w:tcPr>
          <w:p>
            <w:pPr>
              <w:pStyle w:val="Heading3"/>
              <w:keepNext w:val="false"/>
              <w:keepLines w:val="false"/>
              <w:widowControl/>
              <w:tabs>
                <w:tab w:val="clear" w:pos="720"/>
                <w:tab w:val="left" w:pos="1110" w:leader="none"/>
                <w:tab w:val="left" w:pos="1701" w:leader="none"/>
                <w:tab w:val="left" w:pos="1843" w:leader="none"/>
              </w:tabs>
              <w:spacing w:lineRule="auto" w:line="360" w:before="0" w:after="0"/>
              <w:ind w:hanging="0" w:start="0" w:end="0"/>
              <w:jc w:val="both"/>
              <w:rPr>
                <w:rFonts w:ascii="Arial" w:hAnsi="Arial" w:eastAsia="Arial" w:cs="Arial"/>
                <w:sz w:val="22"/>
                <w:szCs w:val="22"/>
              </w:rPr>
            </w:pPr>
            <w:bookmarkStart w:id="29" w:name="_heading=h.ks76riy04v2n"/>
            <w:bookmarkEnd w:id="29"/>
            <w:r>
              <w:rPr>
                <w:rFonts w:eastAsia="Arial" w:cs="Arial" w:ascii="Arial" w:hAnsi="Arial"/>
                <w:sz w:val="22"/>
                <w:szCs w:val="22"/>
              </w:rPr>
              <w:t>R$ 181.640,01</w:t>
            </w:r>
          </w:p>
        </w:tc>
        <w:tc>
          <w:tcPr>
            <w:tcW w:w="105" w:type="dxa"/>
            <w:tcBorders/>
            <w:shd w:fill="auto" w:val="clear"/>
            <w:tcMar>
              <w:start w:w="0" w:type="dxa"/>
              <w:end w:w="0" w:type="dxa"/>
            </w:tcMar>
          </w:tcPr>
          <w:p>
            <w:pPr>
              <w:pStyle w:val="Heading3"/>
              <w:keepNext w:val="false"/>
              <w:keepLines w:val="false"/>
              <w:widowControl/>
              <w:tabs>
                <w:tab w:val="clear" w:pos="720"/>
                <w:tab w:val="left" w:pos="1110" w:leader="none"/>
                <w:tab w:val="left" w:pos="1701" w:leader="none"/>
                <w:tab w:val="left" w:pos="1843" w:leader="none"/>
              </w:tabs>
              <w:spacing w:lineRule="auto" w:line="360" w:before="240" w:after="240"/>
              <w:ind w:hanging="0" w:start="0" w:end="0"/>
              <w:jc w:val="both"/>
              <w:rPr>
                <w:rFonts w:ascii="Arial" w:hAnsi="Arial" w:eastAsia="Arial" w:cs="Arial"/>
                <w:b w:val="false"/>
                <w:bCs w:val="false"/>
                <w:sz w:val="22"/>
                <w:szCs w:val="22"/>
              </w:rPr>
            </w:pPr>
            <w:r>
              <w:rPr>
                <w:rFonts w:eastAsia="Arial" w:cs="Arial" w:ascii="Arial" w:hAnsi="Arial"/>
                <w:b w:val="false"/>
                <w:bCs w:val="false"/>
                <w:sz w:val="22"/>
                <w:szCs w:val="22"/>
              </w:rPr>
              <w:t xml:space="preserve"> </w:t>
            </w:r>
          </w:p>
        </w:tc>
      </w:tr>
    </w:tbl>
    <w:p>
      <w:pPr>
        <w:pStyle w:val="normal1"/>
        <w:spacing w:lineRule="auto" w:line="360" w:before="120" w:after="120"/>
        <w:ind w:hanging="0"/>
        <w:jc w:val="both"/>
        <w:rPr>
          <w:sz w:val="22"/>
          <w:szCs w:val="22"/>
        </w:rPr>
      </w:pPr>
      <w:r>
        <w:rPr>
          <w:sz w:val="22"/>
          <w:szCs w:val="22"/>
        </w:rPr>
      </w:r>
    </w:p>
    <w:p>
      <w:pPr>
        <w:pStyle w:val="normal1"/>
        <w:numPr>
          <w:ilvl w:val="1"/>
          <w:numId w:val="5"/>
        </w:numPr>
        <w:spacing w:lineRule="auto" w:line="360" w:before="120" w:after="120"/>
        <w:ind w:hanging="0" w:start="170"/>
        <w:jc w:val="both"/>
        <w:rPr>
          <w:sz w:val="22"/>
          <w:szCs w:val="22"/>
        </w:rPr>
      </w:pPr>
      <w:r>
        <w:rPr>
          <w:sz w:val="22"/>
          <w:szCs w:val="22"/>
        </w:rPr>
        <w:t>Natureza do Objeto:</w:t>
      </w:r>
    </w:p>
    <w:p>
      <w:pPr>
        <w:pStyle w:val="normal1"/>
        <w:numPr>
          <w:ilvl w:val="2"/>
          <w:numId w:val="5"/>
        </w:numPr>
        <w:spacing w:lineRule="auto" w:line="360" w:before="120" w:after="120"/>
        <w:ind w:hanging="720" w:start="1060"/>
        <w:jc w:val="both"/>
        <w:rPr>
          <w:sz w:val="22"/>
          <w:szCs w:val="22"/>
        </w:rPr>
      </w:pPr>
      <w:r>
        <w:rPr>
          <w:sz w:val="22"/>
          <w:szCs w:val="22"/>
        </w:rPr>
        <w:t>Os bens objeto desta contratação são caracterizados como comuns, conforme justificativa descrita no Estudo Técnico Preliminar.</w:t>
      </w:r>
    </w:p>
    <w:p>
      <w:pPr>
        <w:pStyle w:val="normal1"/>
        <w:numPr>
          <w:ilvl w:val="1"/>
          <w:numId w:val="5"/>
        </w:numPr>
        <w:spacing w:lineRule="auto" w:line="360" w:before="120" w:after="120"/>
        <w:ind w:hanging="0" w:start="170"/>
        <w:rPr>
          <w:sz w:val="22"/>
          <w:szCs w:val="22"/>
        </w:rPr>
      </w:pPr>
      <w:r>
        <w:rPr>
          <w:sz w:val="22"/>
          <w:szCs w:val="22"/>
        </w:rPr>
        <w:t>Prazo de Contratação e índice de reajustamento:</w:t>
      </w:r>
    </w:p>
    <w:p>
      <w:pPr>
        <w:pStyle w:val="normal1"/>
        <w:numPr>
          <w:ilvl w:val="2"/>
          <w:numId w:val="5"/>
        </w:numPr>
        <w:spacing w:lineRule="auto" w:line="360" w:before="120" w:after="120"/>
        <w:ind w:hanging="720" w:start="1060"/>
        <w:jc w:val="both"/>
        <w:rPr>
          <w:sz w:val="22"/>
          <w:szCs w:val="22"/>
        </w:rPr>
      </w:pPr>
      <w:r>
        <w:rPr>
          <w:sz w:val="22"/>
          <w:szCs w:val="22"/>
        </w:rPr>
        <w:t>O prazo de vigência contratual será de 180 (cento e oitenta) dias, contados da data de assinatura do contrato, na forma do artigo 105 da Lei nº 14.133, de 2021, considerando o caráter eventual e específico da prestação do serviço, vinculado à realização dos eventos de 100 Anos da Ponte Hercílio Luz 2026.</w:t>
      </w:r>
    </w:p>
    <w:p>
      <w:pPr>
        <w:pStyle w:val="normal1"/>
        <w:numPr>
          <w:ilvl w:val="2"/>
          <w:numId w:val="5"/>
        </w:numPr>
        <w:spacing w:lineRule="auto" w:line="360" w:before="120" w:after="120"/>
        <w:ind w:hanging="720" w:start="1060"/>
        <w:jc w:val="both"/>
        <w:rPr>
          <w:sz w:val="22"/>
          <w:szCs w:val="22"/>
        </w:rPr>
      </w:pPr>
      <w:r>
        <w:rPr>
          <w:sz w:val="22"/>
          <w:szCs w:val="22"/>
        </w:rPr>
        <w:t>Por se tratar de serviço não continuado, com execução única e vinculada a data determinada, não se aplica a vigência plurianual prevista para contratos de fornecimento continuado.</w:t>
      </w:r>
    </w:p>
    <w:p>
      <w:pPr>
        <w:pStyle w:val="normal1"/>
        <w:numPr>
          <w:ilvl w:val="2"/>
          <w:numId w:val="5"/>
        </w:numPr>
        <w:spacing w:lineRule="auto" w:line="360" w:before="0" w:after="200"/>
        <w:ind w:hanging="709" w:start="993"/>
        <w:jc w:val="both"/>
        <w:rPr>
          <w:sz w:val="22"/>
          <w:szCs w:val="22"/>
        </w:rPr>
      </w:pPr>
      <w:r>
        <w:rPr>
          <w:sz w:val="22"/>
          <w:szCs w:val="22"/>
        </w:rPr>
        <w:t>Será formalizado(a) um(a) Contrato que oferecerá maior detalhamento das regras que serão aplicadas em relação à vigência da contratação.</w:t>
      </w:r>
    </w:p>
    <w:p>
      <w:pPr>
        <w:pStyle w:val="normal1"/>
        <w:keepNext w:val="true"/>
        <w:keepLines/>
        <w:numPr>
          <w:ilvl w:val="0"/>
          <w:numId w:val="7"/>
        </w:numPr>
        <w:spacing w:lineRule="auto" w:line="360" w:before="480" w:after="280"/>
        <w:ind w:hanging="0" w:start="720"/>
        <w:rPr>
          <w:b/>
          <w:bCs/>
          <w:sz w:val="22"/>
          <w:szCs w:val="22"/>
        </w:rPr>
      </w:pPr>
      <w:r>
        <w:rPr>
          <w:b/>
          <w:bCs/>
          <w:sz w:val="22"/>
          <w:szCs w:val="22"/>
        </w:rPr>
        <w:t>JUSTIFICATIVA E DESCRIÇÃO DA NECESSIDADE DA CONTRATAÇÃO</w:t>
      </w:r>
    </w:p>
    <w:p>
      <w:pPr>
        <w:pStyle w:val="normal1"/>
        <w:spacing w:lineRule="auto" w:line="360" w:before="120" w:after="120"/>
        <w:ind w:firstLine="567"/>
        <w:jc w:val="both"/>
        <w:rPr>
          <w:sz w:val="22"/>
          <w:szCs w:val="22"/>
        </w:rPr>
      </w:pPr>
      <w:r>
        <w:rPr>
          <w:sz w:val="22"/>
          <w:szCs w:val="22"/>
        </w:rPr>
        <w:t>A Secretaria Municipal de Turismo, Desenvolvimento Econômico e Inovação (SMTDI) apoia e promove ações de fortalecimento do calendário de eventos de Florianópolis, valorizando o patrimônio histórico-cultural e fomentando o desenvolvimento econômico local. Diante da relevância histórica do exercício de 2026, torna-se imperativa a realização do evento "Aniversário de 100 anos da Ponte Hercílio Luz", símbolo máximo da identidade catarinense. Para viabilizar tal celebração, identifica-se a necessidade de contratação de empresa especializada para a execução de um espetáculo de iluminação cênica e efeitos tecnológicos de grande porte.</w:t>
      </w:r>
    </w:p>
    <w:p>
      <w:pPr>
        <w:pStyle w:val="normal1"/>
        <w:spacing w:lineRule="auto" w:line="360" w:before="120" w:after="120"/>
        <w:ind w:firstLine="567"/>
        <w:jc w:val="both"/>
        <w:rPr>
          <w:sz w:val="22"/>
          <w:szCs w:val="22"/>
        </w:rPr>
      </w:pPr>
      <w:r>
        <w:rPr>
          <w:sz w:val="22"/>
          <w:szCs w:val="22"/>
        </w:rPr>
        <w:t>No âmbito de suas atribuições institucionais, esta Secretaria promove iniciativas que consolidam Florianópolis como destino turístico de referência, utilizando eventos de grande impacto para a dinamização da rede hoteleira, gastronômica e comercial. A celebração do centenário da Ponte Hercílio Luz configura-se como ação estratégica para a valorização da imagem institucional da cidade, atraindo fluxo expressivo de visitantes e promovendo a inclusão econômica através do turismo de eventos e da economia criativa.</w:t>
      </w:r>
    </w:p>
    <w:p>
      <w:pPr>
        <w:pStyle w:val="normal1"/>
        <w:spacing w:lineRule="auto" w:line="360" w:before="120" w:after="120"/>
        <w:ind w:firstLine="567"/>
        <w:jc w:val="both"/>
        <w:rPr>
          <w:sz w:val="22"/>
          <w:szCs w:val="22"/>
        </w:rPr>
      </w:pPr>
      <w:r>
        <w:rPr>
          <w:sz w:val="22"/>
          <w:szCs w:val="22"/>
        </w:rPr>
        <w:t>A necessidade da contratação decorre da inexistência de estrutura própria e de corpo técnico especializado na Administração Pública Municipal para a execução direta de espetáculos tecnológicos sincronizados, os quais demandam expertise específica em engenharia elétrica, programação de sistemas DMX e operação de lasers de alta potência. A complexidade do objeto exige o suporte de uma empresa que assegure não apenas a qualidade estética e a sincronia artística do show, mas, primordialmente, a integridade física do público e do patrimônio histórico tombado.</w:t>
      </w:r>
    </w:p>
    <w:p>
      <w:pPr>
        <w:pStyle w:val="normal1"/>
        <w:spacing w:lineRule="auto" w:line="360" w:before="120" w:after="120"/>
        <w:ind w:firstLine="567"/>
        <w:jc w:val="both"/>
        <w:rPr>
          <w:sz w:val="22"/>
          <w:szCs w:val="22"/>
        </w:rPr>
      </w:pPr>
      <w:r>
        <w:rPr>
          <w:sz w:val="22"/>
          <w:szCs w:val="22"/>
        </w:rPr>
        <w:t>As especificações técnicas elaboradas para esta contratação são fundamentadas nas características estruturais e metálicas da Ponte Hercílio Luz, considerando a necessidade de equipamentos de alto rendimento luminosos (Moving Heads e Lasers 3D) capazes de operar em ambiente externo e sob condições climáticas diversas. Assim, a exigência de qualificação técnica visa garantir a plena aderência entre a infraestrutura tecnológica e o cronograma do evento, assegurando eficiência operacional, segurança elétrica e conformidade com a legislação de regência.</w:t>
      </w:r>
    </w:p>
    <w:p>
      <w:pPr>
        <w:pStyle w:val="normal1"/>
        <w:spacing w:lineRule="auto" w:line="360" w:before="120" w:after="120"/>
        <w:ind w:firstLine="567"/>
        <w:jc w:val="both"/>
        <w:rPr>
          <w:sz w:val="22"/>
          <w:szCs w:val="22"/>
        </w:rPr>
      </w:pPr>
      <w:r>
        <w:rPr>
          <w:sz w:val="22"/>
          <w:szCs w:val="22"/>
        </w:rPr>
        <w:t>A solução proposta está alinhada ao interesse público e ao princípio da economicidade, visto que a contratação de empresa especializada é a forma mais vantajosa para a Administração garantir o acesso a equipamentos de última geração e a obtenção de todas as Responsabilidades Técnicas (ART) necessárias, mitigando riscos jurídicos e operacionais.</w:t>
      </w:r>
    </w:p>
    <w:p>
      <w:pPr>
        <w:pStyle w:val="normal1"/>
        <w:spacing w:lineRule="auto" w:line="360" w:before="120" w:after="120"/>
        <w:ind w:firstLine="567"/>
        <w:jc w:val="both"/>
        <w:rPr>
          <w:sz w:val="22"/>
          <w:szCs w:val="22"/>
        </w:rPr>
      </w:pPr>
      <w:r>
        <w:rPr>
          <w:sz w:val="22"/>
          <w:szCs w:val="22"/>
        </w:rPr>
        <w:t>O objeto central desta contratação refere-se à prestação de serviços de planejamento, montagem, programação e operação de espetáculo de luzes e lasers, incluindo o fornecimento de hardware, softwares de controle, sistemas de fumaça e equipe técnica habilitada. A demanda fundamenta-se na necessidade de oferecer à sociedade uma celebração à altura do marco centenário, promovendo a agregação de valor à marca "Florianópolis” e gerando benefícios transversais à economia do município.</w:t>
      </w:r>
    </w:p>
    <w:p>
      <w:pPr>
        <w:pStyle w:val="normal1"/>
        <w:spacing w:lineRule="auto" w:line="360" w:before="120" w:after="120"/>
        <w:ind w:firstLine="567"/>
        <w:jc w:val="both"/>
        <w:rPr>
          <w:sz w:val="22"/>
          <w:szCs w:val="22"/>
        </w:rPr>
      </w:pPr>
      <w:r>
        <w:rPr>
          <w:sz w:val="22"/>
          <w:szCs w:val="22"/>
        </w:rPr>
        <w:t>Entre os benefícios esperados, destacam-se a maximização da ocupação hoteleira, o incremento nas receitas do setor de serviços, a promoção da segurança pública por meio de um evento organizado sob normas técnicas rigorosas e a consolidação do sentimento de pertencimento e valorização do patrimônio histórico por parte da população local e visitantes.</w:t>
      </w:r>
    </w:p>
    <w:p>
      <w:pPr>
        <w:pStyle w:val="normal1"/>
        <w:keepNext w:val="true"/>
        <w:keepLines/>
        <w:numPr>
          <w:ilvl w:val="0"/>
          <w:numId w:val="7"/>
        </w:numPr>
        <w:spacing w:lineRule="auto" w:line="360" w:before="480" w:after="280"/>
        <w:ind w:hanging="0" w:start="720"/>
        <w:rPr>
          <w:b/>
          <w:bCs/>
          <w:sz w:val="22"/>
          <w:szCs w:val="22"/>
        </w:rPr>
      </w:pPr>
      <w:r>
        <w:rPr>
          <w:b/>
          <w:bCs/>
          <w:sz w:val="22"/>
          <w:szCs w:val="22"/>
        </w:rPr>
        <w:t>DESCRIÇÃO DA SOLUÇÃO, CONSIDERANDO TODO O CICLO DE VIDA DO OBJETO</w:t>
      </w:r>
    </w:p>
    <w:p>
      <w:pPr>
        <w:pStyle w:val="normal1"/>
        <w:spacing w:lineRule="auto" w:line="360" w:before="240" w:after="240"/>
        <w:ind w:firstLine="567"/>
        <w:jc w:val="both"/>
        <w:rPr>
          <w:sz w:val="22"/>
          <w:szCs w:val="22"/>
        </w:rPr>
      </w:pPr>
      <w:r>
        <w:rPr>
          <w:sz w:val="22"/>
          <w:szCs w:val="22"/>
        </w:rPr>
        <w:t>A solução de contratar uma empresa especializada para a organização e execução do espetáculo luminoso revela-se a alternativa mais adequada para celebrar o centenário do maior símbolo da cidade. A proposta é técnica e economicamente viável, estando plenamente alinhada às políticas de fomento ao turismo e à capacidade orçamentária da Secretaria de Turismo, Desenvolvimento Econômico e Inovação.</w:t>
      </w:r>
    </w:p>
    <w:p>
      <w:pPr>
        <w:pStyle w:val="normal1"/>
        <w:spacing w:lineRule="auto" w:line="360" w:before="240" w:after="240"/>
        <w:ind w:firstLine="567"/>
        <w:jc w:val="both"/>
        <w:rPr>
          <w:sz w:val="22"/>
          <w:szCs w:val="22"/>
        </w:rPr>
      </w:pPr>
      <w:r>
        <w:rPr>
          <w:sz w:val="22"/>
          <w:szCs w:val="22"/>
        </w:rPr>
        <w:t>O ciclo de vida do objeto contempla:</w:t>
      </w:r>
    </w:p>
    <w:p>
      <w:pPr>
        <w:pStyle w:val="normal1"/>
        <w:spacing w:lineRule="auto" w:line="360" w:before="240" w:after="240"/>
        <w:ind w:hanging="0"/>
        <w:jc w:val="both"/>
        <w:rPr>
          <w:b/>
          <w:bCs/>
          <w:sz w:val="22"/>
          <w:szCs w:val="22"/>
        </w:rPr>
      </w:pPr>
      <w:r>
        <w:rPr>
          <w:b/>
          <w:bCs/>
          <w:sz w:val="22"/>
          <w:szCs w:val="22"/>
        </w:rPr>
        <w:t>3.1.</w:t>
        <w:tab/>
        <w:t>Planejamento</w:t>
      </w:r>
    </w:p>
    <w:p>
      <w:pPr>
        <w:pStyle w:val="normal1"/>
        <w:spacing w:lineRule="auto" w:line="360" w:before="240" w:after="240"/>
        <w:ind w:firstLine="567"/>
        <w:jc w:val="both"/>
        <w:rPr>
          <w:sz w:val="22"/>
          <w:szCs w:val="22"/>
        </w:rPr>
      </w:pPr>
      <w:r>
        <w:rPr>
          <w:b/>
          <w:bCs/>
          <w:sz w:val="22"/>
          <w:szCs w:val="22"/>
        </w:rPr>
        <w:t>a)</w:t>
      </w:r>
      <w:r>
        <w:rPr>
          <w:sz w:val="22"/>
          <w:szCs w:val="22"/>
        </w:rPr>
        <w:t xml:space="preserve"> Elaboração de projeto técnico luminotécnico e de laser, com definição de cronograma, mapa de posicionamento de equipamentos e plano de operação.</w:t>
      </w:r>
    </w:p>
    <w:p>
      <w:pPr>
        <w:pStyle w:val="normal1"/>
        <w:spacing w:lineRule="auto" w:line="360" w:before="240" w:after="240"/>
        <w:ind w:firstLine="567"/>
        <w:jc w:val="both"/>
        <w:rPr>
          <w:sz w:val="22"/>
          <w:szCs w:val="22"/>
        </w:rPr>
      </w:pPr>
      <w:r>
        <w:rPr>
          <w:b/>
          <w:bCs/>
          <w:sz w:val="22"/>
          <w:szCs w:val="22"/>
        </w:rPr>
        <w:t>b)</w:t>
      </w:r>
      <w:r>
        <w:rPr>
          <w:sz w:val="22"/>
          <w:szCs w:val="22"/>
        </w:rPr>
        <w:t xml:space="preserve"> Articulação com fornecedores interdependentes, garantindo a sincronia entre os sistemas de iluminação, laser e áudio (se houver).</w:t>
      </w:r>
    </w:p>
    <w:p>
      <w:pPr>
        <w:pStyle w:val="normal1"/>
        <w:spacing w:lineRule="auto" w:line="360" w:before="240" w:after="240"/>
        <w:ind w:firstLine="567"/>
        <w:jc w:val="both"/>
        <w:rPr>
          <w:sz w:val="22"/>
          <w:szCs w:val="22"/>
        </w:rPr>
      </w:pPr>
      <w:r>
        <w:rPr>
          <w:b/>
          <w:bCs/>
          <w:sz w:val="22"/>
          <w:szCs w:val="22"/>
        </w:rPr>
        <w:t>c)</w:t>
      </w:r>
      <w:r>
        <w:rPr>
          <w:sz w:val="22"/>
          <w:szCs w:val="22"/>
        </w:rPr>
        <w:t xml:space="preserve"> Identificação de riscos técnicos (ex: falhas de protocolo DMX, interferências de rede) e definição de medidas preventivas e mitigadoras.</w:t>
      </w:r>
    </w:p>
    <w:p>
      <w:pPr>
        <w:pStyle w:val="normal1"/>
        <w:spacing w:lineRule="auto" w:line="360" w:before="240" w:after="240"/>
        <w:ind w:firstLine="567"/>
        <w:jc w:val="both"/>
        <w:rPr>
          <w:sz w:val="22"/>
          <w:szCs w:val="22"/>
        </w:rPr>
      </w:pPr>
      <w:r>
        <w:rPr>
          <w:b/>
          <w:bCs/>
          <w:sz w:val="22"/>
          <w:szCs w:val="22"/>
        </w:rPr>
        <w:t>d)</w:t>
      </w:r>
      <w:r>
        <w:rPr>
          <w:sz w:val="22"/>
          <w:szCs w:val="22"/>
        </w:rPr>
        <w:t xml:space="preserve"> Obtenção de licenças e autorizações específicas, incluindo a </w:t>
      </w:r>
      <w:r>
        <w:rPr>
          <w:b/>
          <w:bCs/>
          <w:sz w:val="22"/>
          <w:szCs w:val="22"/>
        </w:rPr>
        <w:t>ART (Anotação de Responsabilidade Técnica)</w:t>
      </w:r>
      <w:r>
        <w:rPr>
          <w:sz w:val="22"/>
          <w:szCs w:val="22"/>
        </w:rPr>
        <w:t xml:space="preserve"> de engenharia elétrica e coordenação junto aos órgãos de segurança e controle de navegação/espaço aéreo, se aplicável.</w:t>
      </w:r>
    </w:p>
    <w:p>
      <w:pPr>
        <w:pStyle w:val="normal1"/>
        <w:spacing w:lineRule="auto" w:line="360" w:before="240" w:after="240"/>
        <w:ind w:hanging="0"/>
        <w:jc w:val="both"/>
        <w:rPr>
          <w:b/>
          <w:bCs/>
          <w:sz w:val="22"/>
          <w:szCs w:val="22"/>
        </w:rPr>
      </w:pPr>
      <w:r>
        <w:rPr>
          <w:b/>
          <w:bCs/>
          <w:sz w:val="22"/>
          <w:szCs w:val="22"/>
        </w:rPr>
        <w:t>3.2.</w:t>
        <w:tab/>
        <w:t>Preparação e montagem</w:t>
      </w:r>
    </w:p>
    <w:p>
      <w:pPr>
        <w:pStyle w:val="normal1"/>
        <w:spacing w:lineRule="auto" w:line="360" w:before="240" w:after="240"/>
        <w:ind w:firstLine="567"/>
        <w:jc w:val="both"/>
        <w:rPr>
          <w:sz w:val="22"/>
          <w:szCs w:val="22"/>
        </w:rPr>
      </w:pPr>
      <w:r>
        <w:rPr>
          <w:b/>
          <w:bCs/>
          <w:sz w:val="22"/>
          <w:szCs w:val="22"/>
        </w:rPr>
        <w:t>a)</w:t>
      </w:r>
      <w:r>
        <w:rPr>
          <w:sz w:val="22"/>
          <w:szCs w:val="22"/>
        </w:rPr>
        <w:t xml:space="preserve"> Instalação de infraestrutura de suporte, cabeamento estruturado e sistemas de proteção elétrica para os 48 </w:t>
      </w:r>
      <w:r>
        <w:rPr>
          <w:i/>
          <w:iCs/>
          <w:sz w:val="22"/>
          <w:szCs w:val="22"/>
        </w:rPr>
        <w:t>moving heads</w:t>
      </w:r>
      <w:r>
        <w:rPr>
          <w:sz w:val="22"/>
          <w:szCs w:val="22"/>
        </w:rPr>
        <w:t xml:space="preserve"> e 24 sistemas de laser 3D.</w:t>
      </w:r>
    </w:p>
    <w:p>
      <w:pPr>
        <w:pStyle w:val="normal1"/>
        <w:spacing w:lineRule="auto" w:line="360" w:before="240" w:after="240"/>
        <w:ind w:firstLine="567"/>
        <w:jc w:val="both"/>
        <w:rPr>
          <w:sz w:val="22"/>
          <w:szCs w:val="22"/>
        </w:rPr>
      </w:pPr>
      <w:r>
        <w:rPr>
          <w:b/>
          <w:bCs/>
          <w:sz w:val="22"/>
          <w:szCs w:val="22"/>
        </w:rPr>
        <w:t>b)</w:t>
      </w:r>
      <w:r>
        <w:rPr>
          <w:sz w:val="22"/>
          <w:szCs w:val="22"/>
        </w:rPr>
        <w:t xml:space="preserve"> Calibração e alinhamento dos equipamentos, respeitando rigorosamente a integridade da estrutura da Ponte Hercílio Luz (patrimônio tombado), sem perfurações ou danos.</w:t>
      </w:r>
    </w:p>
    <w:p>
      <w:pPr>
        <w:pStyle w:val="normal1"/>
        <w:spacing w:lineRule="auto" w:line="360" w:before="240" w:after="240"/>
        <w:ind w:hanging="0"/>
        <w:jc w:val="both"/>
        <w:rPr>
          <w:b/>
          <w:bCs/>
          <w:sz w:val="22"/>
          <w:szCs w:val="22"/>
        </w:rPr>
      </w:pPr>
      <w:r>
        <w:rPr>
          <w:b/>
          <w:bCs/>
          <w:sz w:val="22"/>
          <w:szCs w:val="22"/>
        </w:rPr>
        <w:t>3.3.</w:t>
        <w:tab/>
        <w:t>Execução</w:t>
      </w:r>
    </w:p>
    <w:p>
      <w:pPr>
        <w:pStyle w:val="normal1"/>
        <w:spacing w:lineRule="auto" w:line="360" w:before="240" w:after="240"/>
        <w:ind w:firstLine="567"/>
        <w:jc w:val="both"/>
        <w:rPr>
          <w:sz w:val="22"/>
          <w:szCs w:val="22"/>
        </w:rPr>
      </w:pPr>
      <w:r>
        <w:rPr>
          <w:b/>
          <w:bCs/>
          <w:sz w:val="22"/>
          <w:szCs w:val="22"/>
        </w:rPr>
        <w:t>a)</w:t>
      </w:r>
      <w:r>
        <w:rPr>
          <w:sz w:val="22"/>
          <w:szCs w:val="22"/>
        </w:rPr>
        <w:t xml:space="preserve"> Operação técnica durante o evento, incluindo espetáculo de luzes e lasers sincronizados via </w:t>
      </w:r>
      <w:r>
        <w:rPr>
          <w:i/>
          <w:iCs/>
          <w:sz w:val="22"/>
          <w:szCs w:val="22"/>
        </w:rPr>
        <w:t>time-code</w:t>
      </w:r>
      <w:r>
        <w:rPr>
          <w:sz w:val="22"/>
          <w:szCs w:val="22"/>
        </w:rPr>
        <w:t>, com foco em impacto visual de alta definição e baixo impacto ambiental (uso de fluidos de fumaça biodegradáveis).</w:t>
      </w:r>
    </w:p>
    <w:p>
      <w:pPr>
        <w:pStyle w:val="normal1"/>
        <w:spacing w:lineRule="auto" w:line="360" w:before="240" w:after="240"/>
        <w:ind w:firstLine="567"/>
        <w:jc w:val="both"/>
        <w:rPr>
          <w:sz w:val="22"/>
          <w:szCs w:val="22"/>
        </w:rPr>
      </w:pPr>
      <w:r>
        <w:rPr>
          <w:b/>
          <w:bCs/>
          <w:sz w:val="22"/>
          <w:szCs w:val="22"/>
        </w:rPr>
        <w:t>b)</w:t>
      </w:r>
      <w:r>
        <w:rPr>
          <w:sz w:val="22"/>
          <w:szCs w:val="22"/>
        </w:rPr>
        <w:t xml:space="preserve"> Sincronização com as atividades culturais do centenário, garantindo coerência artística e segurança operacional para o público na Beira Mar Continental.</w:t>
      </w:r>
    </w:p>
    <w:p>
      <w:pPr>
        <w:pStyle w:val="normal1"/>
        <w:spacing w:lineRule="auto" w:line="360" w:before="240" w:after="240"/>
        <w:ind w:firstLine="567"/>
        <w:jc w:val="both"/>
        <w:rPr>
          <w:sz w:val="22"/>
          <w:szCs w:val="22"/>
        </w:rPr>
      </w:pPr>
      <w:r>
        <w:rPr>
          <w:b/>
          <w:bCs/>
          <w:sz w:val="22"/>
          <w:szCs w:val="22"/>
        </w:rPr>
        <w:t>c)</w:t>
      </w:r>
      <w:r>
        <w:rPr>
          <w:sz w:val="22"/>
          <w:szCs w:val="22"/>
        </w:rPr>
        <w:t xml:space="preserve"> Monitoramento em tempo real da carga elétrica e estabilidade dos protocolos de comunicação (DMX/ArtNet), com redundância para resposta a imprevistos.</w:t>
      </w:r>
    </w:p>
    <w:p>
      <w:pPr>
        <w:pStyle w:val="normal1"/>
        <w:spacing w:lineRule="auto" w:line="360" w:before="240" w:after="240"/>
        <w:ind w:hanging="0"/>
        <w:jc w:val="both"/>
        <w:rPr>
          <w:b/>
          <w:bCs/>
          <w:sz w:val="22"/>
          <w:szCs w:val="22"/>
        </w:rPr>
      </w:pPr>
      <w:r>
        <w:rPr>
          <w:b/>
          <w:bCs/>
          <w:sz w:val="22"/>
          <w:szCs w:val="22"/>
        </w:rPr>
        <w:t>3.4.</w:t>
        <w:tab/>
        <w:t>Desmontagem e encerramento</w:t>
      </w:r>
    </w:p>
    <w:p>
      <w:pPr>
        <w:pStyle w:val="normal1"/>
        <w:spacing w:lineRule="auto" w:line="360" w:before="240" w:after="240"/>
        <w:ind w:firstLine="567"/>
        <w:jc w:val="both"/>
        <w:rPr>
          <w:sz w:val="22"/>
          <w:szCs w:val="22"/>
        </w:rPr>
      </w:pPr>
      <w:r>
        <w:rPr>
          <w:b/>
          <w:bCs/>
          <w:sz w:val="22"/>
          <w:szCs w:val="22"/>
        </w:rPr>
        <w:t>a)</w:t>
      </w:r>
      <w:r>
        <w:rPr>
          <w:sz w:val="22"/>
          <w:szCs w:val="22"/>
        </w:rPr>
        <w:t xml:space="preserve"> Desmontagem segura e organizada de todas as estruturas, lasers, projetores e máquinas de fumaça em até 5 dias após o evento.</w:t>
      </w:r>
    </w:p>
    <w:p>
      <w:pPr>
        <w:pStyle w:val="normal1"/>
        <w:spacing w:lineRule="auto" w:line="360" w:before="240" w:after="240"/>
        <w:ind w:firstLine="567"/>
        <w:jc w:val="both"/>
        <w:rPr>
          <w:sz w:val="22"/>
          <w:szCs w:val="22"/>
        </w:rPr>
      </w:pPr>
      <w:r>
        <w:rPr>
          <w:b/>
          <w:bCs/>
          <w:sz w:val="22"/>
          <w:szCs w:val="22"/>
        </w:rPr>
        <w:t>b)</w:t>
      </w:r>
      <w:r>
        <w:rPr>
          <w:sz w:val="22"/>
          <w:szCs w:val="22"/>
        </w:rPr>
        <w:t xml:space="preserve"> Limpeza da área e destinação adequada de quaisquer resíduos técnicos gerados.</w:t>
      </w:r>
    </w:p>
    <w:p>
      <w:pPr>
        <w:pStyle w:val="normal1"/>
        <w:spacing w:lineRule="auto" w:line="360" w:before="240" w:after="240"/>
        <w:ind w:firstLine="567"/>
        <w:jc w:val="both"/>
        <w:rPr>
          <w:sz w:val="22"/>
          <w:szCs w:val="22"/>
        </w:rPr>
      </w:pPr>
      <w:r>
        <w:rPr>
          <w:b/>
          <w:bCs/>
          <w:sz w:val="22"/>
          <w:szCs w:val="22"/>
        </w:rPr>
        <w:t>c)</w:t>
      </w:r>
      <w:r>
        <w:rPr>
          <w:sz w:val="22"/>
          <w:szCs w:val="22"/>
        </w:rPr>
        <w:t xml:space="preserve"> Entrega de relatórios técnicos de operação e documentação comprobatória da execução do projeto conforme o planejado.</w:t>
      </w:r>
    </w:p>
    <w:p>
      <w:pPr>
        <w:pStyle w:val="normal1"/>
        <w:spacing w:lineRule="auto" w:line="360" w:before="240" w:after="240"/>
        <w:ind w:firstLine="567"/>
        <w:jc w:val="both"/>
        <w:rPr>
          <w:sz w:val="22"/>
          <w:szCs w:val="22"/>
        </w:rPr>
      </w:pPr>
      <w:r>
        <w:rPr>
          <w:b/>
          <w:bCs/>
          <w:sz w:val="22"/>
          <w:szCs w:val="22"/>
        </w:rPr>
        <w:t>d)</w:t>
      </w:r>
      <w:r>
        <w:rPr>
          <w:sz w:val="22"/>
          <w:szCs w:val="22"/>
        </w:rPr>
        <w:t xml:space="preserve"> Avaliação de desempenho e cumprimento contratual, verificando a entrega total da solução integrada.</w:t>
      </w:r>
    </w:p>
    <w:p>
      <w:pPr>
        <w:pStyle w:val="normal1"/>
        <w:spacing w:lineRule="auto" w:line="360" w:before="240" w:after="240"/>
        <w:ind w:firstLine="567"/>
        <w:jc w:val="both"/>
        <w:rPr>
          <w:sz w:val="22"/>
          <w:szCs w:val="22"/>
        </w:rPr>
      </w:pPr>
      <w:r>
        <w:rPr>
          <w:sz w:val="22"/>
          <w:szCs w:val="22"/>
        </w:rPr>
        <w:t>Trata-se de uma solução integrada que contempla todas as fases do ciclo de vida do objeto, desde o projeto luminotécnico e licenciamento prévio, passando pela montagem e execução do espetáculo, até a completa desmobilização. Essa abordagem assegura a eficiência operacional, o respeito ao patrimônio histórico e a entrega de um serviço de padrão internacional para o marco do centenário.</w:t>
      </w:r>
    </w:p>
    <w:p>
      <w:pPr>
        <w:pStyle w:val="normal1"/>
        <w:keepNext w:val="true"/>
        <w:keepLines/>
        <w:numPr>
          <w:ilvl w:val="0"/>
          <w:numId w:val="7"/>
        </w:numPr>
        <w:spacing w:lineRule="auto" w:line="360" w:before="480" w:after="280"/>
        <w:ind w:hanging="0" w:start="720"/>
        <w:rPr>
          <w:b/>
          <w:bCs/>
          <w:sz w:val="22"/>
          <w:szCs w:val="22"/>
        </w:rPr>
      </w:pPr>
      <w:r>
        <w:rPr>
          <w:b/>
          <w:bCs/>
          <w:sz w:val="22"/>
          <w:szCs w:val="22"/>
        </w:rPr>
        <w:t>REQUISITOS DA CONTRATAÇÃO</w:t>
      </w:r>
    </w:p>
    <w:p>
      <w:pPr>
        <w:pStyle w:val="normal1"/>
        <w:numPr>
          <w:ilvl w:val="1"/>
          <w:numId w:val="33"/>
        </w:numPr>
        <w:spacing w:lineRule="auto" w:line="360" w:before="120" w:after="120"/>
        <w:ind w:hanging="359" w:start="529"/>
        <w:jc w:val="both"/>
        <w:rPr>
          <w:sz w:val="22"/>
          <w:szCs w:val="22"/>
        </w:rPr>
      </w:pPr>
      <w:r>
        <w:rPr>
          <w:sz w:val="22"/>
          <w:szCs w:val="22"/>
        </w:rPr>
        <w:t>Exigências de Amostra</w:t>
      </w:r>
    </w:p>
    <w:p>
      <w:pPr>
        <w:pStyle w:val="normal1"/>
        <w:numPr>
          <w:ilvl w:val="2"/>
          <w:numId w:val="33"/>
        </w:numPr>
        <w:spacing w:lineRule="auto" w:line="360" w:before="120" w:after="120"/>
        <w:ind w:hanging="720" w:start="1060"/>
        <w:jc w:val="both"/>
        <w:rPr>
          <w:sz w:val="22"/>
          <w:szCs w:val="22"/>
        </w:rPr>
      </w:pPr>
      <w:r>
        <w:rPr>
          <w:sz w:val="22"/>
          <w:szCs w:val="22"/>
        </w:rPr>
        <w:t>Com o intuito de conferir a qualidade e demais especificações contidas no Termo de Referência (TR) em relação aos produtos (altura, cores, dentre outros), a critério da Secretaria Municipal de Turismo, Desenvolvimento Econômico e Inovação de Florianópolis, ainda na fase de habilitação, poderá ser solicitado ao licitante classificado em primeiro lugar no certame licitatório, a realização de uma apresentação de amostra, incluindo:</w:t>
      </w:r>
    </w:p>
    <w:p>
      <w:pPr>
        <w:pStyle w:val="normal1"/>
        <w:spacing w:lineRule="auto" w:line="360" w:before="120" w:after="120"/>
        <w:ind w:hanging="0" w:start="1800"/>
        <w:jc w:val="both"/>
        <w:rPr>
          <w:sz w:val="22"/>
          <w:szCs w:val="22"/>
        </w:rPr>
      </w:pPr>
      <w:r>
        <w:rPr>
          <w:sz w:val="22"/>
          <w:szCs w:val="22"/>
        </w:rPr>
        <w:t>4.1.1.1. Portfólio de eventos realizados nos últimos 3 anos, com comprovação por meio de  registros  fotográficos,  vídeos  ou  declarações  de  execução  emitidas  por  entes públicos ou privados.</w:t>
      </w:r>
    </w:p>
    <w:p>
      <w:pPr>
        <w:pStyle w:val="normal1"/>
        <w:spacing w:lineRule="auto" w:line="360" w:before="120" w:after="120"/>
        <w:ind w:hanging="0" w:start="1800"/>
        <w:jc w:val="both"/>
        <w:rPr>
          <w:sz w:val="22"/>
          <w:szCs w:val="22"/>
        </w:rPr>
      </w:pPr>
      <w:r>
        <w:rPr>
          <w:sz w:val="22"/>
          <w:szCs w:val="22"/>
        </w:rPr>
        <w:t>4.1.1.2. Projeto técnico  preliminar  contendo  proposta  de  layout  de  palco,  mapa  de estrutura,  plano  de  operação  e  sugestão  de  atrações  musicais,  compatível  com  o evento Centenário da Ponte Hercílio Luz.</w:t>
      </w:r>
    </w:p>
    <w:p>
      <w:pPr>
        <w:pStyle w:val="normal1"/>
        <w:spacing w:lineRule="auto" w:line="360" w:before="120" w:after="120"/>
        <w:ind w:hanging="0" w:start="1800"/>
        <w:jc w:val="both"/>
        <w:rPr>
          <w:sz w:val="22"/>
          <w:szCs w:val="22"/>
        </w:rPr>
      </w:pPr>
      <w:r>
        <w:rPr>
          <w:sz w:val="22"/>
          <w:szCs w:val="22"/>
        </w:rPr>
        <w:t>4.1.1.3. Relação de equipamentos e estruturas disponíveis, com especificações técnicas e capacidade de atendimento à demanda prevista.</w:t>
      </w:r>
    </w:p>
    <w:p>
      <w:pPr>
        <w:pStyle w:val="normal1"/>
        <w:spacing w:lineRule="auto" w:line="360" w:before="120" w:after="120"/>
        <w:ind w:hanging="0" w:start="1800"/>
        <w:jc w:val="both"/>
        <w:rPr>
          <w:sz w:val="22"/>
          <w:szCs w:val="22"/>
        </w:rPr>
      </w:pPr>
      <w:r>
        <w:rPr>
          <w:sz w:val="22"/>
          <w:szCs w:val="22"/>
        </w:rPr>
        <w:t>4.1.1.4. Equipe técnica  envolvida,  com  indicação  de  profissionais  responsáveis  pela produção executiva, operação técnica, segurança, limpeza e demais áreas de apoio.</w:t>
      </w:r>
    </w:p>
    <w:p>
      <w:pPr>
        <w:pStyle w:val="normal1"/>
        <w:spacing w:lineRule="auto" w:line="360" w:before="120" w:after="120"/>
        <w:ind w:hanging="0" w:start="1800"/>
        <w:jc w:val="both"/>
        <w:rPr>
          <w:sz w:val="22"/>
          <w:szCs w:val="22"/>
        </w:rPr>
      </w:pPr>
      <w:r>
        <w:rPr>
          <w:sz w:val="22"/>
          <w:szCs w:val="22"/>
        </w:rPr>
        <w:t>4.1.1.5. Plano de gerenciamento de riscos e medidas de segurança, incluindo estratégias de evacuação, controle de público e atendimento a emergências.</w:t>
      </w:r>
    </w:p>
    <w:p>
      <w:pPr>
        <w:pStyle w:val="normal1"/>
        <w:numPr>
          <w:ilvl w:val="2"/>
          <w:numId w:val="33"/>
        </w:numPr>
        <w:spacing w:lineRule="auto" w:line="360" w:before="120" w:after="120"/>
        <w:ind w:hanging="720" w:start="1060"/>
        <w:jc w:val="both"/>
        <w:rPr>
          <w:sz w:val="22"/>
          <w:szCs w:val="22"/>
        </w:rPr>
      </w:pPr>
      <w:r>
        <w:rPr>
          <w:sz w:val="22"/>
          <w:szCs w:val="22"/>
        </w:rPr>
        <w:t xml:space="preserve">Tanto para a amostra, quanto para a realização do evento propriamente, a CONTRATADA deverá responsabilizar-se por: </w:t>
      </w:r>
    </w:p>
    <w:p>
      <w:pPr>
        <w:pStyle w:val="normal1"/>
        <w:spacing w:lineRule="auto" w:line="360" w:before="120" w:after="120"/>
        <w:ind w:hanging="0" w:start="1800"/>
        <w:jc w:val="both"/>
        <w:rPr>
          <w:sz w:val="22"/>
          <w:szCs w:val="22"/>
        </w:rPr>
      </w:pPr>
      <w:r>
        <w:rPr>
          <w:sz w:val="22"/>
          <w:szCs w:val="22"/>
        </w:rPr>
        <w:t xml:space="preserve">4.1.2.1. Autorizações da Polícia Civil, Bombeiros e demais autoridades competentes, Impostos, Taxas, Transporte, Diárias, Estadias, dentre outros. </w:t>
      </w:r>
    </w:p>
    <w:p>
      <w:pPr>
        <w:pStyle w:val="normal1"/>
        <w:spacing w:lineRule="auto" w:line="360" w:before="120" w:after="120"/>
        <w:ind w:hanging="0" w:start="1800"/>
        <w:jc w:val="both"/>
        <w:rPr>
          <w:sz w:val="22"/>
          <w:szCs w:val="22"/>
        </w:rPr>
      </w:pPr>
      <w:r>
        <w:rPr>
          <w:sz w:val="22"/>
          <w:szCs w:val="22"/>
        </w:rPr>
        <w:t xml:space="preserve">4.1.2.2. Mão de Obra especializada para toda operação; </w:t>
      </w:r>
    </w:p>
    <w:p>
      <w:pPr>
        <w:pStyle w:val="normal1"/>
        <w:numPr>
          <w:ilvl w:val="1"/>
          <w:numId w:val="33"/>
        </w:numPr>
        <w:spacing w:lineRule="auto" w:line="360" w:before="120" w:after="120"/>
        <w:ind w:hanging="0" w:start="170"/>
        <w:jc w:val="both"/>
        <w:rPr>
          <w:sz w:val="22"/>
          <w:szCs w:val="22"/>
        </w:rPr>
      </w:pPr>
      <w:r>
        <w:rPr>
          <w:sz w:val="22"/>
          <w:szCs w:val="22"/>
        </w:rPr>
        <w:t>Subcontratação</w:t>
      </w:r>
    </w:p>
    <w:p>
      <w:pPr>
        <w:pStyle w:val="normal1"/>
        <w:numPr>
          <w:ilvl w:val="2"/>
          <w:numId w:val="33"/>
        </w:numPr>
        <w:spacing w:lineRule="auto" w:line="360" w:before="120" w:after="120"/>
        <w:ind w:hanging="720" w:start="1060"/>
        <w:jc w:val="both"/>
        <w:rPr>
          <w:sz w:val="22"/>
          <w:szCs w:val="22"/>
        </w:rPr>
      </w:pPr>
      <w:r>
        <w:rPr>
          <w:sz w:val="22"/>
          <w:szCs w:val="22"/>
        </w:rPr>
        <w:t>Não será admitida a subcontratação do objeto contratual</w:t>
      </w:r>
    </w:p>
    <w:p>
      <w:pPr>
        <w:pStyle w:val="normal1"/>
        <w:keepNext w:val="true"/>
        <w:keepLines/>
        <w:numPr>
          <w:ilvl w:val="0"/>
          <w:numId w:val="7"/>
        </w:numPr>
        <w:spacing w:lineRule="auto" w:line="360" w:before="480" w:after="280"/>
        <w:ind w:hanging="0" w:start="720"/>
        <w:rPr>
          <w:b/>
          <w:bCs/>
          <w:sz w:val="22"/>
          <w:szCs w:val="22"/>
        </w:rPr>
      </w:pPr>
      <w:r>
        <w:rPr>
          <w:b/>
          <w:bCs/>
          <w:sz w:val="22"/>
          <w:szCs w:val="22"/>
        </w:rPr>
        <w:t>MODELO DE EXECUÇÃO DO OBJETO</w:t>
      </w:r>
    </w:p>
    <w:p>
      <w:pPr>
        <w:pStyle w:val="normal1"/>
        <w:numPr>
          <w:ilvl w:val="1"/>
          <w:numId w:val="25"/>
        </w:numPr>
        <w:spacing w:lineRule="auto" w:line="360" w:before="120" w:after="120"/>
        <w:ind w:hanging="359" w:start="529"/>
        <w:jc w:val="both"/>
        <w:rPr>
          <w:sz w:val="22"/>
          <w:szCs w:val="22"/>
        </w:rPr>
      </w:pPr>
      <w:r>
        <w:rPr>
          <w:sz w:val="22"/>
          <w:szCs w:val="22"/>
        </w:rPr>
        <w:t>Condições, prazos e local de Entrega</w:t>
      </w:r>
    </w:p>
    <w:p>
      <w:pPr>
        <w:pStyle w:val="normal1"/>
        <w:numPr>
          <w:ilvl w:val="2"/>
          <w:numId w:val="25"/>
        </w:numPr>
        <w:spacing w:lineRule="auto" w:line="360" w:before="120" w:after="120"/>
        <w:ind w:hanging="720" w:start="1060"/>
        <w:jc w:val="both"/>
        <w:rPr>
          <w:sz w:val="22"/>
          <w:szCs w:val="22"/>
        </w:rPr>
      </w:pPr>
      <w:r>
        <w:rPr>
          <w:sz w:val="22"/>
          <w:szCs w:val="22"/>
        </w:rPr>
        <w:t>A empresa contratada deverá realizar todas as etapas previstas no escopo: planejamento, produção executiva, montagem, operação técnica, desmontagem e entrega de relatórios finais. A execução deverá ocorrer em articulação direta com a Secretaria Municipal de Turismo, Desenvolvimento Econômico e Inovação, respeitando os cronogramas definidos e as diretrizes técnicas do evento.</w:t>
      </w:r>
    </w:p>
    <w:p>
      <w:pPr>
        <w:pStyle w:val="normal1"/>
        <w:numPr>
          <w:ilvl w:val="2"/>
          <w:numId w:val="25"/>
        </w:numPr>
        <w:spacing w:lineRule="auto" w:line="360" w:before="120" w:after="120"/>
        <w:ind w:hanging="720" w:start="1060"/>
        <w:jc w:val="both"/>
        <w:rPr>
          <w:sz w:val="22"/>
          <w:szCs w:val="22"/>
        </w:rPr>
      </w:pPr>
      <w:r>
        <w:rPr>
          <w:sz w:val="22"/>
          <w:szCs w:val="22"/>
        </w:rPr>
        <w:t>A contratada deverá apresentar plano de trabalho detalhado, com cronograma físico-financeiro, equipe técnica designada, plano de segurança e plano de gerenciamento de riscos.</w:t>
      </w:r>
    </w:p>
    <w:p>
      <w:pPr>
        <w:pStyle w:val="normal1"/>
        <w:numPr>
          <w:ilvl w:val="2"/>
          <w:numId w:val="25"/>
        </w:numPr>
        <w:spacing w:lineRule="auto" w:line="360" w:before="120" w:after="120"/>
        <w:ind w:hanging="720" w:start="1060"/>
        <w:jc w:val="both"/>
        <w:rPr>
          <w:sz w:val="22"/>
          <w:szCs w:val="22"/>
        </w:rPr>
      </w:pPr>
      <w:r>
        <w:rPr>
          <w:sz w:val="22"/>
          <w:szCs w:val="22"/>
        </w:rPr>
        <w:t>Toda a operação deverá observar as normas de segurança, acessibilidade, controle ambiental e legislação vigente, incluindo obtenção de licenças junto aos órgãos competentes.</w:t>
      </w:r>
    </w:p>
    <w:p>
      <w:pPr>
        <w:pStyle w:val="normal1"/>
        <w:numPr>
          <w:ilvl w:val="2"/>
          <w:numId w:val="25"/>
        </w:numPr>
        <w:spacing w:lineRule="auto" w:line="360" w:before="120" w:after="120"/>
        <w:ind w:hanging="720" w:start="1060"/>
        <w:jc w:val="both"/>
        <w:rPr>
          <w:sz w:val="22"/>
          <w:szCs w:val="22"/>
        </w:rPr>
      </w:pPr>
      <w:r>
        <w:rPr>
          <w:sz w:val="22"/>
          <w:szCs w:val="22"/>
        </w:rPr>
        <w:t>O prazo para início da montagem das estruturas será de até 5 (cinco) dias corridos antes da data prevista para o evento.</w:t>
      </w:r>
    </w:p>
    <w:p>
      <w:pPr>
        <w:pStyle w:val="normal1"/>
        <w:numPr>
          <w:ilvl w:val="2"/>
          <w:numId w:val="25"/>
        </w:numPr>
        <w:spacing w:lineRule="auto" w:line="360" w:before="120" w:after="120"/>
        <w:ind w:hanging="720" w:start="1060"/>
        <w:jc w:val="both"/>
        <w:rPr>
          <w:sz w:val="22"/>
          <w:szCs w:val="22"/>
        </w:rPr>
      </w:pPr>
      <w:r>
        <w:rPr>
          <w:sz w:val="22"/>
          <w:szCs w:val="22"/>
        </w:rPr>
        <w:t>A desmontagem deverá ser concluída em até 5 (cinco) dias corridos após o encerramento do evento.</w:t>
      </w:r>
    </w:p>
    <w:p>
      <w:pPr>
        <w:pStyle w:val="normal1"/>
        <w:numPr>
          <w:ilvl w:val="2"/>
          <w:numId w:val="25"/>
        </w:numPr>
        <w:spacing w:lineRule="auto" w:line="360" w:before="120" w:after="120"/>
        <w:ind w:hanging="720" w:start="1060"/>
        <w:jc w:val="both"/>
        <w:rPr>
          <w:sz w:val="22"/>
          <w:szCs w:val="22"/>
        </w:rPr>
      </w:pPr>
      <w:r>
        <w:rPr>
          <w:sz w:val="22"/>
          <w:szCs w:val="22"/>
        </w:rPr>
        <w:t>O prazo de vigência contratual será de 180 (cento e oitenta) dias, contados da assinatura do contrato, abrangendo todas as fases do ciclo de vida do objeto.</w:t>
      </w:r>
    </w:p>
    <w:p>
      <w:pPr>
        <w:pStyle w:val="normal1"/>
        <w:numPr>
          <w:ilvl w:val="2"/>
          <w:numId w:val="25"/>
        </w:numPr>
        <w:spacing w:lineRule="auto" w:line="360" w:before="120" w:after="120"/>
        <w:ind w:hanging="720" w:start="1060"/>
        <w:jc w:val="both"/>
        <w:rPr>
          <w:sz w:val="22"/>
          <w:szCs w:val="22"/>
        </w:rPr>
      </w:pPr>
      <w:r>
        <w:rPr>
          <w:sz w:val="22"/>
          <w:szCs w:val="22"/>
        </w:rPr>
        <w:t>A execução ocorrerá nos seguintes pontos oficiais de celebração do aniversário de 100 anos da Ponte Hercílio Luz 2026, em Florianópolis, conforme planejamento da Secretaria:</w:t>
      </w:r>
    </w:p>
    <w:p>
      <w:pPr>
        <w:pStyle w:val="normal1"/>
        <w:numPr>
          <w:ilvl w:val="0"/>
          <w:numId w:val="22"/>
        </w:numPr>
        <w:spacing w:lineRule="auto" w:line="360" w:before="120" w:after="120"/>
        <w:ind w:hanging="360" w:start="1440"/>
        <w:jc w:val="both"/>
        <w:rPr>
          <w:b w:val="false"/>
          <w:bCs w:val="false"/>
          <w:sz w:val="22"/>
          <w:szCs w:val="22"/>
        </w:rPr>
      </w:pPr>
      <w:r>
        <w:rPr>
          <w:sz w:val="22"/>
          <w:szCs w:val="22"/>
        </w:rPr>
        <w:t>Beira Mar Continental</w:t>
      </w:r>
    </w:p>
    <w:p>
      <w:pPr>
        <w:pStyle w:val="normal1"/>
        <w:numPr>
          <w:ilvl w:val="2"/>
          <w:numId w:val="25"/>
        </w:numPr>
        <w:spacing w:lineRule="auto" w:line="360" w:before="120" w:after="120"/>
        <w:ind w:hanging="720" w:start="1060"/>
        <w:jc w:val="both"/>
        <w:rPr>
          <w:sz w:val="22"/>
          <w:szCs w:val="22"/>
        </w:rPr>
      </w:pPr>
      <w:r>
        <w:rPr>
          <w:sz w:val="22"/>
          <w:szCs w:val="22"/>
        </w:rPr>
        <w:t>A empresa contratada deverá garantir a entrega, operação técnica e suporte completo nos locais, conforme cronograma e mapa técnico aprovado pela Administração.</w:t>
      </w:r>
    </w:p>
    <w:p>
      <w:pPr>
        <w:pStyle w:val="normal1"/>
        <w:numPr>
          <w:ilvl w:val="1"/>
          <w:numId w:val="25"/>
        </w:numPr>
        <w:spacing w:lineRule="auto" w:line="360" w:before="120" w:after="120"/>
        <w:ind w:hanging="0" w:start="170"/>
        <w:jc w:val="both"/>
        <w:rPr>
          <w:sz w:val="22"/>
          <w:szCs w:val="22"/>
        </w:rPr>
      </w:pPr>
      <w:r>
        <w:rPr>
          <w:sz w:val="22"/>
          <w:szCs w:val="22"/>
        </w:rPr>
        <w:t>Garantia, Manutenção e Assistência Técnica.</w:t>
      </w:r>
    </w:p>
    <w:p>
      <w:pPr>
        <w:pStyle w:val="normal1"/>
        <w:numPr>
          <w:ilvl w:val="2"/>
          <w:numId w:val="25"/>
        </w:numPr>
        <w:spacing w:lineRule="auto" w:line="360" w:before="120" w:after="120"/>
        <w:ind w:hanging="720" w:start="1060"/>
        <w:jc w:val="both"/>
        <w:rPr>
          <w:sz w:val="22"/>
          <w:szCs w:val="22"/>
        </w:rPr>
      </w:pPr>
      <w:r>
        <w:rPr>
          <w:sz w:val="22"/>
          <w:szCs w:val="22"/>
        </w:rPr>
        <w:t>O prazo de garantia é aquele estabelecido na Lei n.º 8.078, de 11 de setembro de 1990 (Código de Defesa do Consumidor)</w:t>
      </w:r>
    </w:p>
    <w:p>
      <w:pPr>
        <w:pStyle w:val="normal1"/>
        <w:keepNext w:val="true"/>
        <w:keepLines/>
        <w:numPr>
          <w:ilvl w:val="0"/>
          <w:numId w:val="7"/>
        </w:numPr>
        <w:spacing w:lineRule="auto" w:line="360" w:before="480" w:after="280"/>
        <w:ind w:hanging="0" w:start="720"/>
        <w:rPr>
          <w:b/>
          <w:bCs/>
          <w:sz w:val="22"/>
          <w:szCs w:val="22"/>
        </w:rPr>
      </w:pPr>
      <w:r>
        <w:rPr>
          <w:b/>
          <w:bCs/>
          <w:sz w:val="22"/>
          <w:szCs w:val="22"/>
        </w:rPr>
        <w:t>MODELO DE GESTÃO DO CONTRATO</w:t>
      </w:r>
    </w:p>
    <w:p>
      <w:pPr>
        <w:pStyle w:val="normal1"/>
        <w:numPr>
          <w:ilvl w:val="1"/>
          <w:numId w:val="23"/>
        </w:numPr>
        <w:spacing w:lineRule="auto" w:line="360" w:before="120" w:after="120"/>
        <w:ind w:hanging="359" w:start="529"/>
        <w:jc w:val="both"/>
        <w:rPr/>
      </w:pPr>
      <w:r>
        <w:rPr>
          <w:sz w:val="22"/>
          <w:szCs w:val="22"/>
        </w:rPr>
        <w:t>O contrato ou instrumento equivalente deverá ser executado fielmente pelas partes, de acordo com as cláusulas avençadas e as normas da Lei n.º 14.133, de 2021, e cada parte responderá pelas consequências de sua inexecução total ou parcial.</w:t>
      </w:r>
    </w:p>
    <w:p>
      <w:pPr>
        <w:pStyle w:val="normal1"/>
        <w:numPr>
          <w:ilvl w:val="1"/>
          <w:numId w:val="23"/>
        </w:numPr>
        <w:spacing w:lineRule="auto" w:line="360" w:before="120" w:after="120"/>
        <w:ind w:hanging="0" w:start="170"/>
        <w:jc w:val="both"/>
        <w:rPr/>
      </w:pPr>
      <w:r>
        <w:rPr>
          <w:sz w:val="22"/>
          <w:szCs w:val="22"/>
        </w:rPr>
        <w:t>Em caso de impedimento, ordem de paralisação ou suspensão do contrato ou instrumento equivalente, o cronograma de execução será prorrogado automaticamente pelo tempo correspondente, anotadas tais circunstâncias mediante simples apostila.</w:t>
      </w:r>
    </w:p>
    <w:p>
      <w:pPr>
        <w:pStyle w:val="normal1"/>
        <w:numPr>
          <w:ilvl w:val="1"/>
          <w:numId w:val="23"/>
        </w:numPr>
        <w:spacing w:lineRule="auto" w:line="360" w:before="120" w:after="120"/>
        <w:ind w:hanging="0" w:start="170"/>
        <w:jc w:val="both"/>
        <w:rPr/>
      </w:pPr>
      <w:r>
        <w:rPr>
          <w:sz w:val="22"/>
          <w:szCs w:val="22"/>
        </w:rPr>
        <w:t>As comunicações entre o órgão ou entidade e a contratada devem ser realizadas por escrito sempre que o ato exigir tal formalidade, admitindo-se o uso de mensagem eletrônica para esse fim.</w:t>
      </w:r>
    </w:p>
    <w:p>
      <w:pPr>
        <w:pStyle w:val="normal1"/>
        <w:numPr>
          <w:ilvl w:val="1"/>
          <w:numId w:val="23"/>
        </w:numPr>
        <w:spacing w:lineRule="auto" w:line="360" w:before="120" w:after="120"/>
        <w:ind w:hanging="0" w:start="170"/>
        <w:jc w:val="both"/>
        <w:rPr/>
      </w:pPr>
      <w:r>
        <w:rPr>
          <w:sz w:val="22"/>
          <w:szCs w:val="22"/>
        </w:rPr>
        <w:t>O órgão ou entidade poderá convocar representante da empresa para adoção de providências que devam ser cumpridas de imediato.</w:t>
      </w:r>
    </w:p>
    <w:p>
      <w:pPr>
        <w:pStyle w:val="normal1"/>
        <w:numPr>
          <w:ilvl w:val="1"/>
          <w:numId w:val="23"/>
        </w:numPr>
        <w:spacing w:lineRule="auto" w:line="360" w:before="120" w:after="120"/>
        <w:ind w:hanging="0" w:start="170"/>
        <w:jc w:val="both"/>
        <w:rPr/>
      </w:pPr>
      <w:r>
        <w:rPr>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ormal1"/>
        <w:numPr>
          <w:ilvl w:val="1"/>
          <w:numId w:val="23"/>
        </w:numPr>
        <w:spacing w:lineRule="auto" w:line="360" w:before="120" w:after="120"/>
        <w:ind w:hanging="0" w:start="170"/>
        <w:jc w:val="both"/>
        <w:rPr/>
      </w:pPr>
      <w:r>
        <w:rPr>
          <w:sz w:val="22"/>
          <w:szCs w:val="22"/>
        </w:rPr>
        <w:t>Fiscalização</w:t>
      </w:r>
    </w:p>
    <w:p>
      <w:pPr>
        <w:pStyle w:val="normal1"/>
        <w:numPr>
          <w:ilvl w:val="0"/>
          <w:numId w:val="16"/>
        </w:numPr>
        <w:spacing w:lineRule="auto" w:line="360"/>
        <w:ind w:hanging="0" w:start="851"/>
        <w:jc w:val="both"/>
        <w:rPr>
          <w:sz w:val="22"/>
          <w:szCs w:val="22"/>
        </w:rPr>
      </w:pPr>
      <w:r>
        <w:rPr>
          <w:rFonts w:eastAsia="Calibri" w:cs="Calibri" w:ascii="Calibri" w:hAnsi="Calibri"/>
          <w:sz w:val="22"/>
          <w:szCs w:val="22"/>
        </w:rPr>
        <w:t xml:space="preserve">     </w:t>
      </w:r>
      <w:r>
        <w:rPr>
          <w:sz w:val="22"/>
          <w:szCs w:val="22"/>
        </w:rPr>
        <w:t>A execução do contrato deverá ser acompanhada e fiscalizada pelo(s) fiscal(is) do contrato, ou pelos respectivos substitutos (</w:t>
      </w:r>
      <w:r>
        <w:rPr>
          <w:sz w:val="22"/>
          <w:szCs w:val="22"/>
          <w:u w:val="single"/>
        </w:rPr>
        <w:t>Lei n.º 14.133, de 2021, art. 117, caput</w:t>
      </w:r>
      <w:r>
        <w:rPr>
          <w:sz w:val="22"/>
          <w:szCs w:val="22"/>
        </w:rPr>
        <w:t>).</w:t>
      </w:r>
    </w:p>
    <w:p>
      <w:pPr>
        <w:pStyle w:val="normal1"/>
        <w:numPr>
          <w:ilvl w:val="0"/>
          <w:numId w:val="16"/>
        </w:numPr>
        <w:spacing w:lineRule="auto" w:line="360"/>
        <w:ind w:hanging="0" w:start="851"/>
        <w:jc w:val="both"/>
        <w:rPr>
          <w:sz w:val="22"/>
          <w:szCs w:val="22"/>
        </w:rPr>
      </w:pPr>
      <w:r>
        <w:rPr>
          <w:sz w:val="22"/>
          <w:szCs w:val="22"/>
        </w:rPr>
        <w:t>A presença dos fiscais durante o espetáculo será imprescindível para o monitoramento da execução conforme o projeto aprovado, realização do devido registro de ocorrências, bem como apontamento de irregularidades ou desvios de padrão técnico.</w:t>
      </w:r>
    </w:p>
    <w:p>
      <w:pPr>
        <w:pStyle w:val="normal1"/>
        <w:spacing w:lineRule="auto" w:line="360"/>
        <w:ind w:hanging="0"/>
        <w:jc w:val="both"/>
        <w:rPr>
          <w:sz w:val="22"/>
          <w:szCs w:val="22"/>
        </w:rPr>
      </w:pPr>
      <w:r>
        <w:rPr>
          <w:sz w:val="22"/>
          <w:szCs w:val="22"/>
        </w:rPr>
      </w:r>
    </w:p>
    <w:p>
      <w:pPr>
        <w:pStyle w:val="normal1"/>
        <w:numPr>
          <w:ilvl w:val="2"/>
          <w:numId w:val="34"/>
        </w:numPr>
        <w:spacing w:lineRule="auto" w:line="360" w:before="120" w:after="120"/>
        <w:ind w:hanging="720" w:start="1060"/>
        <w:jc w:val="both"/>
        <w:rPr>
          <w:sz w:val="22"/>
          <w:szCs w:val="22"/>
        </w:rPr>
      </w:pPr>
      <w:r>
        <w:rPr>
          <w:sz w:val="22"/>
          <w:szCs w:val="22"/>
        </w:rPr>
        <w:t>Fiscalização Técnica</w:t>
      </w:r>
    </w:p>
    <w:p>
      <w:pPr>
        <w:pStyle w:val="normal1"/>
        <w:numPr>
          <w:ilvl w:val="0"/>
          <w:numId w:val="32"/>
        </w:numPr>
        <w:spacing w:lineRule="auto" w:line="360"/>
        <w:ind w:hanging="0" w:start="851"/>
        <w:jc w:val="both"/>
        <w:rPr>
          <w:sz w:val="22"/>
          <w:szCs w:val="22"/>
        </w:rPr>
      </w:pPr>
      <w:r>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pPr>
        <w:pStyle w:val="normal1"/>
        <w:numPr>
          <w:ilvl w:val="0"/>
          <w:numId w:val="32"/>
        </w:numPr>
        <w:spacing w:lineRule="auto" w:line="360"/>
        <w:ind w:hanging="0" w:start="851"/>
        <w:jc w:val="both"/>
        <w:rPr>
          <w:sz w:val="22"/>
          <w:szCs w:val="22"/>
        </w:rPr>
      </w:pPr>
      <w:r>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r>
        <w:rPr>
          <w:color w:val="000080"/>
          <w:sz w:val="22"/>
          <w:szCs w:val="22"/>
          <w:u w:val="single"/>
        </w:rPr>
        <w:t>Lei n.º 14.133, de 2021, art. 117, §1º</w:t>
      </w:r>
      <w:r>
        <w:rPr>
          <w:sz w:val="22"/>
          <w:szCs w:val="22"/>
        </w:rPr>
        <w:t xml:space="preserve">, e </w:t>
      </w:r>
      <w:r>
        <w:rPr>
          <w:color w:val="000080"/>
          <w:sz w:val="22"/>
          <w:szCs w:val="22"/>
          <w:u w:val="single"/>
        </w:rPr>
        <w:t>Decreto n.º 11.246, de 2022, art. 22, II);</w:t>
      </w:r>
    </w:p>
    <w:p>
      <w:pPr>
        <w:pStyle w:val="normal1"/>
        <w:numPr>
          <w:ilvl w:val="0"/>
          <w:numId w:val="32"/>
        </w:numPr>
        <w:spacing w:lineRule="auto" w:line="360"/>
        <w:ind w:hanging="0" w:start="851"/>
        <w:jc w:val="both"/>
        <w:rPr>
          <w:sz w:val="22"/>
          <w:szCs w:val="22"/>
        </w:rPr>
      </w:pPr>
      <w:r>
        <w:rPr>
          <w:sz w:val="22"/>
          <w:szCs w:val="22"/>
        </w:rPr>
        <w:t xml:space="preserve">O fiscal técnico do contrato verificará o cumprimento do cronograma de entrega do projeto; acompanhará os pontos de disparo e sistemas de acionamento, bem como conferirá as autorizações emitidas; </w:t>
      </w:r>
    </w:p>
    <w:p>
      <w:pPr>
        <w:pStyle w:val="normal1"/>
        <w:numPr>
          <w:ilvl w:val="0"/>
          <w:numId w:val="32"/>
        </w:numPr>
        <w:spacing w:lineRule="auto" w:line="360"/>
        <w:ind w:hanging="0" w:start="851"/>
        <w:jc w:val="both"/>
        <w:rPr>
          <w:sz w:val="22"/>
          <w:szCs w:val="22"/>
        </w:rPr>
      </w:pPr>
      <w:r>
        <w:rPr>
          <w:sz w:val="22"/>
          <w:szCs w:val="22"/>
        </w:rPr>
        <w:t xml:space="preserve">Identificada qualquer inexatidão ou irregularidade, o fiscal técnico do contrato emitirá notificações para a correção da execução do contrato, determinando prazo para a correção. (Decreto n.º 11.246, de 2022, art. 22, III); </w:t>
      </w:r>
    </w:p>
    <w:p>
      <w:pPr>
        <w:pStyle w:val="normal1"/>
        <w:numPr>
          <w:ilvl w:val="0"/>
          <w:numId w:val="32"/>
        </w:numPr>
        <w:spacing w:lineRule="auto" w:line="360"/>
        <w:ind w:hanging="0" w:start="851"/>
        <w:jc w:val="both"/>
        <w:rPr>
          <w:sz w:val="22"/>
          <w:szCs w:val="22"/>
        </w:rPr>
      </w:pPr>
      <w:r>
        <w:rPr>
          <w:sz w:val="22"/>
          <w:szCs w:val="22"/>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pPr>
        <w:pStyle w:val="normal1"/>
        <w:numPr>
          <w:ilvl w:val="0"/>
          <w:numId w:val="32"/>
        </w:numPr>
        <w:spacing w:lineRule="auto" w:line="360"/>
        <w:ind w:hanging="0" w:start="851"/>
        <w:jc w:val="both"/>
        <w:rPr>
          <w:sz w:val="22"/>
          <w:szCs w:val="22"/>
        </w:rPr>
      </w:pPr>
      <w:r>
        <w:rPr>
          <w:sz w:val="22"/>
          <w:szCs w:val="22"/>
        </w:rPr>
        <w:t>No caso de ocorrências que possam inviabilizar a execução do contrato nas datas aprazadas, o fiscal técnico do contrato comunicará o fato imediatamente ao gestor do contrato. (Decreto n.º 11.246, de 2022, art. 22, V).</w:t>
      </w:r>
    </w:p>
    <w:p>
      <w:pPr>
        <w:pStyle w:val="normal1"/>
        <w:numPr>
          <w:ilvl w:val="0"/>
          <w:numId w:val="32"/>
        </w:numPr>
        <w:spacing w:lineRule="auto" w:line="360"/>
        <w:ind w:hanging="0" w:start="851"/>
        <w:jc w:val="both"/>
        <w:rPr>
          <w:sz w:val="22"/>
          <w:szCs w:val="22"/>
        </w:rPr>
      </w:pPr>
      <w:r>
        <w:rPr>
          <w:sz w:val="22"/>
          <w:szCs w:val="22"/>
        </w:rPr>
        <w:t>O fiscal técnico do contrato comunicará ao gestor do contrato, em tempo hábil, o término do contrato sob sua responsabilidade, com vistas à renovação tempestiva ou à prorrogação contratual (Decreto n.º 11.246, de 2022, art. 22, VII).</w:t>
      </w:r>
    </w:p>
    <w:p>
      <w:pPr>
        <w:pStyle w:val="normal1"/>
        <w:numPr>
          <w:ilvl w:val="2"/>
          <w:numId w:val="34"/>
        </w:numPr>
        <w:spacing w:lineRule="auto" w:line="360" w:before="120" w:after="120"/>
        <w:ind w:hanging="720" w:start="1060"/>
        <w:jc w:val="both"/>
        <w:rPr>
          <w:sz w:val="22"/>
          <w:szCs w:val="22"/>
        </w:rPr>
      </w:pPr>
      <w:r>
        <w:rPr>
          <w:sz w:val="22"/>
          <w:szCs w:val="22"/>
        </w:rPr>
        <w:t>Fiscalização Administrativa</w:t>
      </w:r>
    </w:p>
    <w:p>
      <w:pPr>
        <w:pStyle w:val="normal1"/>
        <w:numPr>
          <w:ilvl w:val="0"/>
          <w:numId w:val="1"/>
        </w:numPr>
        <w:spacing w:lineRule="auto" w:line="360"/>
        <w:ind w:hanging="0" w:start="851"/>
        <w:jc w:val="both"/>
        <w:rPr>
          <w:sz w:val="22"/>
          <w:szCs w:val="22"/>
        </w:rPr>
      </w:pPr>
      <w:r>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pPr>
        <w:pStyle w:val="normal1"/>
        <w:spacing w:lineRule="auto" w:line="360"/>
        <w:ind w:hanging="0"/>
        <w:jc w:val="both"/>
        <w:rPr>
          <w:sz w:val="22"/>
          <w:szCs w:val="22"/>
        </w:rPr>
      </w:pPr>
      <w:r>
        <w:rPr>
          <w:sz w:val="22"/>
          <w:szCs w:val="22"/>
        </w:rPr>
      </w:r>
    </w:p>
    <w:p>
      <w:pPr>
        <w:pStyle w:val="normal1"/>
        <w:numPr>
          <w:ilvl w:val="0"/>
          <w:numId w:val="1"/>
        </w:numPr>
        <w:spacing w:lineRule="auto" w:line="360"/>
        <w:ind w:hanging="0" w:start="851"/>
        <w:jc w:val="both"/>
        <w:rPr>
          <w:sz w:val="22"/>
          <w:szCs w:val="22"/>
        </w:rPr>
      </w:pPr>
      <w:r>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pPr>
        <w:pStyle w:val="normal1"/>
        <w:numPr>
          <w:ilvl w:val="2"/>
          <w:numId w:val="34"/>
        </w:numPr>
        <w:spacing w:lineRule="auto" w:line="360" w:before="120" w:after="120"/>
        <w:ind w:hanging="720" w:start="1060"/>
        <w:jc w:val="both"/>
        <w:rPr>
          <w:sz w:val="22"/>
          <w:szCs w:val="22"/>
        </w:rPr>
      </w:pPr>
      <w:r>
        <w:rPr>
          <w:sz w:val="22"/>
          <w:szCs w:val="22"/>
        </w:rPr>
        <w:t>Gestor do Contrato</w:t>
      </w:r>
    </w:p>
    <w:p>
      <w:pPr>
        <w:pStyle w:val="normal1"/>
        <w:numPr>
          <w:ilvl w:val="0"/>
          <w:numId w:val="26"/>
        </w:numPr>
        <w:spacing w:lineRule="auto" w:line="360"/>
        <w:ind w:hanging="0" w:start="851"/>
        <w:jc w:val="both"/>
        <w:rPr>
          <w:sz w:val="22"/>
          <w:szCs w:val="22"/>
        </w:rPr>
      </w:pPr>
      <w:r>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pPr>
        <w:pStyle w:val="normal1"/>
        <w:numPr>
          <w:ilvl w:val="0"/>
          <w:numId w:val="26"/>
        </w:numPr>
        <w:spacing w:lineRule="auto" w:line="360"/>
        <w:ind w:hanging="0" w:start="851"/>
        <w:jc w:val="both"/>
        <w:rPr>
          <w:sz w:val="22"/>
          <w:szCs w:val="22"/>
        </w:rPr>
      </w:pPr>
      <w:r>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pPr>
        <w:pStyle w:val="normal1"/>
        <w:numPr>
          <w:ilvl w:val="0"/>
          <w:numId w:val="26"/>
        </w:numPr>
        <w:spacing w:lineRule="auto" w:line="360"/>
        <w:ind w:hanging="0" w:start="851"/>
        <w:jc w:val="both"/>
        <w:rPr>
          <w:sz w:val="22"/>
          <w:szCs w:val="22"/>
        </w:rPr>
      </w:pPr>
      <w:r>
        <w:rPr>
          <w:sz w:val="22"/>
          <w:szCs w:val="22"/>
        </w:rPr>
        <w:t xml:space="preserve">O gestor do contrato acompanhará a manutenção das condições de habilitação da contratada, para fins de empenho de despesa e pagamento, e anotará os problemas que obstam o fluxo normal da liquidação e do pagamento da despesa no relatório de riscos eventuais. (Decreto n.º 11.246, de 2022, art. 21, III). </w:t>
      </w:r>
    </w:p>
    <w:p>
      <w:pPr>
        <w:pStyle w:val="normal1"/>
        <w:numPr>
          <w:ilvl w:val="0"/>
          <w:numId w:val="26"/>
        </w:numPr>
        <w:spacing w:lineRule="auto" w:line="360"/>
        <w:ind w:hanging="0" w:start="851"/>
        <w:jc w:val="both"/>
        <w:rPr>
          <w:sz w:val="22"/>
          <w:szCs w:val="22"/>
        </w:rPr>
      </w:pPr>
      <w:r>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pPr>
        <w:pStyle w:val="normal1"/>
        <w:numPr>
          <w:ilvl w:val="0"/>
          <w:numId w:val="26"/>
        </w:numPr>
        <w:spacing w:lineRule="auto" w:line="360"/>
        <w:ind w:hanging="0" w:start="851"/>
        <w:jc w:val="both"/>
        <w:rPr>
          <w:sz w:val="22"/>
          <w:szCs w:val="22"/>
        </w:rPr>
      </w:pPr>
      <w:r>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pPr>
        <w:pStyle w:val="normal1"/>
        <w:numPr>
          <w:ilvl w:val="0"/>
          <w:numId w:val="26"/>
        </w:numPr>
        <w:spacing w:lineRule="auto" w:line="360"/>
        <w:ind w:hanging="0" w:start="851"/>
        <w:jc w:val="both"/>
        <w:rPr>
          <w:sz w:val="22"/>
          <w:szCs w:val="22"/>
        </w:rPr>
      </w:pPr>
      <w:r>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pPr>
        <w:pStyle w:val="normal1"/>
        <w:numPr>
          <w:ilvl w:val="0"/>
          <w:numId w:val="26"/>
        </w:numPr>
        <w:spacing w:lineRule="auto" w:line="360" w:before="0" w:after="120"/>
        <w:ind w:hanging="0" w:start="851"/>
        <w:jc w:val="both"/>
        <w:rPr>
          <w:sz w:val="22"/>
          <w:szCs w:val="22"/>
        </w:rPr>
      </w:pPr>
      <w:r>
        <w:rPr>
          <w:sz w:val="22"/>
          <w:szCs w:val="22"/>
        </w:rPr>
        <w:t>O gestor do contrato deverá enviar a documentação pertinente ao setor de contratos para a formalização dos procedimentos de liquidação e pagamento, no valor dimensionado pela fiscalização e gestão nos termos do contrato.</w:t>
      </w:r>
    </w:p>
    <w:p>
      <w:pPr>
        <w:pStyle w:val="normal1"/>
        <w:keepNext w:val="true"/>
        <w:keepLines/>
        <w:numPr>
          <w:ilvl w:val="0"/>
          <w:numId w:val="7"/>
        </w:numPr>
        <w:spacing w:lineRule="auto" w:line="360" w:before="480" w:after="280"/>
        <w:ind w:hanging="0" w:start="720"/>
        <w:rPr>
          <w:b/>
          <w:bCs/>
          <w:sz w:val="22"/>
          <w:szCs w:val="22"/>
        </w:rPr>
      </w:pPr>
      <w:r>
        <w:rPr>
          <w:b/>
          <w:bCs/>
          <w:sz w:val="22"/>
          <w:szCs w:val="22"/>
        </w:rPr>
        <w:t>CRITÉRIOS DE RECEBIMENTO E DE PAGAMENTO</w:t>
      </w:r>
    </w:p>
    <w:p>
      <w:pPr>
        <w:pStyle w:val="normal1"/>
        <w:numPr>
          <w:ilvl w:val="1"/>
          <w:numId w:val="31"/>
        </w:numPr>
        <w:spacing w:lineRule="auto" w:line="360" w:before="120" w:after="120"/>
        <w:ind w:hanging="359" w:start="529"/>
        <w:jc w:val="both"/>
        <w:rPr>
          <w:sz w:val="22"/>
          <w:szCs w:val="22"/>
        </w:rPr>
      </w:pPr>
      <w:r>
        <w:rPr>
          <w:sz w:val="22"/>
          <w:szCs w:val="22"/>
        </w:rPr>
        <w:t>Recebimento Provisório e Definitivo.</w:t>
      </w:r>
    </w:p>
    <w:p>
      <w:pPr>
        <w:pStyle w:val="normal1"/>
        <w:numPr>
          <w:ilvl w:val="2"/>
          <w:numId w:val="31"/>
        </w:numPr>
        <w:spacing w:lineRule="auto" w:line="360" w:before="120" w:after="120"/>
        <w:ind w:hanging="720" w:start="1060"/>
        <w:jc w:val="both"/>
        <w:rPr>
          <w:sz w:val="22"/>
          <w:szCs w:val="22"/>
        </w:rPr>
      </w:pPr>
      <w:r>
        <w:rPr>
          <w:sz w:val="22"/>
          <w:szCs w:val="22"/>
        </w:rPr>
        <w:t xml:space="preserve">    </w:t>
      </w:r>
      <w:r>
        <w:rPr>
          <w:sz w:val="22"/>
          <w:szCs w:val="22"/>
        </w:rPr>
        <w:t>Os serviços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pStyle w:val="normal1"/>
        <w:numPr>
          <w:ilvl w:val="2"/>
          <w:numId w:val="31"/>
        </w:numPr>
        <w:spacing w:lineRule="auto" w:line="360" w:before="120" w:after="120"/>
        <w:ind w:hanging="720" w:start="1060"/>
        <w:jc w:val="both"/>
        <w:rPr>
          <w:sz w:val="22"/>
          <w:szCs w:val="22"/>
        </w:rPr>
      </w:pPr>
      <w:r>
        <w:rPr>
          <w:sz w:val="22"/>
          <w:szCs w:val="22"/>
        </w:rPr>
        <w:t>Os serviços  poderão  ser  rejeitados,  no  todo  ou  em  parte,  inclusive  antes  do recebimento  provisório,  quando   em   desacordo   com  as  especificações constantes no Termo de Referência e na proposta, devendo ser substituídos no prazo de 5 dias, a contar da notificação da contratada, às suas custas, sem prejuízo da aplicação das penalidades.</w:t>
      </w:r>
    </w:p>
    <w:p>
      <w:pPr>
        <w:pStyle w:val="normal1"/>
        <w:numPr>
          <w:ilvl w:val="2"/>
          <w:numId w:val="31"/>
        </w:numPr>
        <w:spacing w:lineRule="auto" w:line="360" w:before="120" w:after="120"/>
        <w:ind w:hanging="720" w:start="1060"/>
        <w:jc w:val="both"/>
        <w:rPr>
          <w:sz w:val="22"/>
          <w:szCs w:val="22"/>
        </w:rPr>
      </w:pPr>
      <w:r>
        <w:rPr>
          <w:sz w:val="22"/>
          <w:szCs w:val="22"/>
        </w:rPr>
        <w:t>O recebimento definitivo ocorrerá  no  prazo  de  10  dias  úteis,  a  contar  do recebimento da  nota  fiscal  ou  instrumento  de  cobrança  equivalente  pela Administração, após a verificação do efetivo cumprimento do certame e consequente aceitação mediante termo detalhado.</w:t>
      </w:r>
    </w:p>
    <w:p>
      <w:pPr>
        <w:pStyle w:val="normal1"/>
        <w:numPr>
          <w:ilvl w:val="2"/>
          <w:numId w:val="31"/>
        </w:numPr>
        <w:spacing w:lineRule="auto" w:line="360" w:before="120" w:after="120"/>
        <w:ind w:hanging="720" w:start="1060"/>
        <w:jc w:val="both"/>
        <w:rPr>
          <w:sz w:val="22"/>
          <w:szCs w:val="22"/>
        </w:rPr>
      </w:pPr>
      <w:r>
        <w:rPr>
          <w:sz w:val="22"/>
          <w:szCs w:val="22"/>
        </w:rPr>
        <w:t>O prazo para  recebimento   definitivo   poderá   ser   excepcionalmente prorrogado,   de   forma   justificada,   por   igual   período,   quando   houver necessidade  de  diligências para  a  aferição  do  atendimento  das  exigências contratuais.</w:t>
      </w:r>
    </w:p>
    <w:p>
      <w:pPr>
        <w:pStyle w:val="normal1"/>
        <w:numPr>
          <w:ilvl w:val="2"/>
          <w:numId w:val="31"/>
        </w:numPr>
        <w:spacing w:lineRule="auto" w:line="360" w:before="120" w:after="120"/>
        <w:ind w:hanging="720" w:start="1060"/>
        <w:jc w:val="both"/>
        <w:rPr>
          <w:sz w:val="22"/>
          <w:szCs w:val="22"/>
        </w:rPr>
      </w:pPr>
      <w:r>
        <w:rPr>
          <w:sz w:val="22"/>
          <w:szCs w:val="22"/>
        </w:rPr>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pPr>
        <w:pStyle w:val="normal1"/>
        <w:numPr>
          <w:ilvl w:val="2"/>
          <w:numId w:val="31"/>
        </w:numPr>
        <w:spacing w:lineRule="auto" w:line="360" w:before="120" w:after="120"/>
        <w:ind w:hanging="720" w:start="1060"/>
        <w:jc w:val="both"/>
        <w:rPr>
          <w:sz w:val="22"/>
          <w:szCs w:val="22"/>
        </w:rPr>
      </w:pPr>
      <w:r>
        <w:rPr>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pPr>
        <w:pStyle w:val="normal1"/>
        <w:numPr>
          <w:ilvl w:val="2"/>
          <w:numId w:val="31"/>
        </w:numPr>
        <w:spacing w:lineRule="auto" w:line="360" w:before="120" w:after="120"/>
        <w:ind w:hanging="720" w:start="1060"/>
        <w:jc w:val="both"/>
        <w:rPr>
          <w:sz w:val="22"/>
          <w:szCs w:val="22"/>
        </w:rPr>
      </w:pPr>
      <w:r>
        <w:rPr>
          <w:sz w:val="22"/>
          <w:szCs w:val="22"/>
        </w:rPr>
        <w:t>O recebimento provisório ou definitivo  não  excluirá  a  responsabilidade civil pela  solidez  e  pela  segurança  dos  bens  nem  a  responsabilidade  ético-profissional pela perfeita execução do contrato.</w:t>
      </w:r>
    </w:p>
    <w:p>
      <w:pPr>
        <w:pStyle w:val="normal1"/>
        <w:spacing w:lineRule="auto" w:line="360" w:before="120" w:after="120"/>
        <w:ind w:hanging="0"/>
        <w:jc w:val="both"/>
        <w:rPr>
          <w:sz w:val="22"/>
          <w:szCs w:val="22"/>
        </w:rPr>
      </w:pPr>
      <w:r>
        <w:rPr>
          <w:sz w:val="22"/>
          <w:szCs w:val="22"/>
        </w:rPr>
      </w:r>
    </w:p>
    <w:p>
      <w:pPr>
        <w:pStyle w:val="normal1"/>
        <w:numPr>
          <w:ilvl w:val="1"/>
          <w:numId w:val="31"/>
        </w:numPr>
        <w:spacing w:lineRule="auto" w:line="360" w:before="120" w:after="120"/>
        <w:ind w:hanging="0" w:start="170"/>
        <w:jc w:val="both"/>
        <w:rPr>
          <w:sz w:val="22"/>
          <w:szCs w:val="22"/>
        </w:rPr>
      </w:pPr>
      <w:r>
        <w:rPr>
          <w:sz w:val="22"/>
          <w:szCs w:val="22"/>
        </w:rPr>
        <w:t>Prazo de pagamento</w:t>
      </w:r>
    </w:p>
    <w:p>
      <w:pPr>
        <w:pStyle w:val="normal1"/>
        <w:numPr>
          <w:ilvl w:val="2"/>
          <w:numId w:val="31"/>
        </w:numPr>
        <w:spacing w:lineRule="auto" w:line="360" w:before="120" w:after="120"/>
        <w:ind w:hanging="720" w:start="1060"/>
        <w:jc w:val="both"/>
        <w:rPr>
          <w:sz w:val="22"/>
          <w:szCs w:val="22"/>
        </w:rPr>
      </w:pPr>
      <w:r>
        <w:rPr>
          <w:sz w:val="22"/>
          <w:szCs w:val="22"/>
        </w:rPr>
        <w:t>Os pagamentos deverão ser realizados a partir do  dia 21 do mês subsequente ao da entrega dos relatórios com as respectivas notas fiscais, de acordo com a Instrução Normativa n.º 005/SMF/GAB/2025.</w:t>
      </w:r>
    </w:p>
    <w:p>
      <w:pPr>
        <w:pStyle w:val="normal1"/>
        <w:numPr>
          <w:ilvl w:val="2"/>
          <w:numId w:val="31"/>
        </w:numPr>
        <w:spacing w:lineRule="auto" w:line="360" w:before="120" w:after="120"/>
        <w:ind w:hanging="720" w:start="1060"/>
        <w:jc w:val="both"/>
        <w:rPr>
          <w:sz w:val="22"/>
          <w:szCs w:val="22"/>
        </w:rPr>
      </w:pPr>
      <w:r>
        <w:rPr>
          <w:sz w:val="22"/>
          <w:szCs w:val="22"/>
        </w:rPr>
        <w:t>No caso das datas descritas recair em feriado, final de semana ou que não seja possível o expediente público, será efetivada a ação descrita no próximo dia útil.</w:t>
      </w:r>
    </w:p>
    <w:p>
      <w:pPr>
        <w:pStyle w:val="normal1"/>
        <w:numPr>
          <w:ilvl w:val="2"/>
          <w:numId w:val="31"/>
        </w:numPr>
        <w:spacing w:lineRule="auto" w:line="360" w:before="120" w:after="120"/>
        <w:ind w:hanging="720" w:start="1060"/>
        <w:jc w:val="both"/>
        <w:rPr>
          <w:sz w:val="22"/>
          <w:szCs w:val="22"/>
        </w:rPr>
      </w:pPr>
      <w:r>
        <w:rPr>
          <w:sz w:val="22"/>
          <w:szCs w:val="22"/>
        </w:rPr>
        <w:t>Os pagamentos serão efetuados mediante a apresentação de documentos financeiros que deverão ser entregues na Diretoria Financeira da SMF, dentro das condições exigidas pela legislação vigente, até o dia 25 de cada mês, e serão pagas a partir do dia 21 do mês subsequente.</w:t>
      </w:r>
    </w:p>
    <w:p>
      <w:pPr>
        <w:pStyle w:val="normal1"/>
        <w:numPr>
          <w:ilvl w:val="1"/>
          <w:numId w:val="31"/>
        </w:numPr>
        <w:spacing w:lineRule="auto" w:line="360" w:before="120" w:after="120"/>
        <w:ind w:hanging="0" w:start="170"/>
        <w:jc w:val="both"/>
        <w:rPr>
          <w:sz w:val="22"/>
          <w:szCs w:val="22"/>
        </w:rPr>
      </w:pPr>
      <w:r>
        <w:rPr>
          <w:sz w:val="22"/>
          <w:szCs w:val="22"/>
        </w:rPr>
        <w:t>Quando do pagamento será efetuada a retenção tributária prevista na legislação aplicável.</w:t>
      </w:r>
    </w:p>
    <w:p>
      <w:pPr>
        <w:pStyle w:val="normal1"/>
        <w:numPr>
          <w:ilvl w:val="2"/>
          <w:numId w:val="31"/>
        </w:numPr>
        <w:spacing w:lineRule="auto" w:line="360" w:before="120" w:after="120"/>
        <w:ind w:hanging="720" w:start="1060"/>
        <w:jc w:val="both"/>
        <w:rPr>
          <w:sz w:val="22"/>
          <w:szCs w:val="22"/>
        </w:rPr>
      </w:pPr>
      <w:r>
        <w:rPr>
          <w:sz w:val="22"/>
          <w:szCs w:val="22"/>
        </w:rPr>
        <w:t>Independentemente do percentual de tributo inserido na planilha, quando houver, serão retidos na fonte, quando da realização do pagamento, os percentuais estabelecidos na legislação vigente.</w:t>
      </w:r>
    </w:p>
    <w:p>
      <w:pPr>
        <w:pStyle w:val="normal1"/>
        <w:numPr>
          <w:ilvl w:val="1"/>
          <w:numId w:val="31"/>
        </w:numPr>
        <w:spacing w:lineRule="auto" w:line="360" w:before="120" w:after="120"/>
        <w:ind w:hanging="0" w:start="170"/>
        <w:jc w:val="both"/>
        <w:rPr>
          <w:sz w:val="22"/>
          <w:szCs w:val="22"/>
        </w:rPr>
      </w:pPr>
      <w:r>
        <w:rPr>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1"/>
        <w:keepNext w:val="true"/>
        <w:keepLines/>
        <w:numPr>
          <w:ilvl w:val="0"/>
          <w:numId w:val="7"/>
        </w:numPr>
        <w:spacing w:lineRule="auto" w:line="360" w:before="480" w:after="280"/>
        <w:ind w:hanging="0" w:start="720"/>
        <w:rPr>
          <w:b/>
          <w:bCs/>
          <w:sz w:val="22"/>
          <w:szCs w:val="22"/>
        </w:rPr>
      </w:pPr>
      <w:r>
        <w:rPr>
          <w:b/>
          <w:bCs/>
          <w:sz w:val="22"/>
          <w:szCs w:val="22"/>
        </w:rPr>
        <w:t xml:space="preserve">     </w:t>
      </w:r>
      <w:r>
        <w:rPr>
          <w:b/>
          <w:bCs/>
          <w:sz w:val="22"/>
          <w:szCs w:val="22"/>
        </w:rPr>
        <w:t>FORMA E CRITÉRIOS DE SELEÇÃO DO FORNECEDOR E FORMA DE FORNECIMENTO</w:t>
      </w:r>
    </w:p>
    <w:p>
      <w:pPr>
        <w:pStyle w:val="normal1"/>
        <w:numPr>
          <w:ilvl w:val="1"/>
          <w:numId w:val="20"/>
        </w:numPr>
        <w:spacing w:lineRule="auto" w:line="360" w:before="120" w:after="120"/>
        <w:ind w:hanging="359" w:start="529"/>
        <w:jc w:val="both"/>
        <w:rPr>
          <w:sz w:val="22"/>
          <w:szCs w:val="22"/>
        </w:rPr>
      </w:pPr>
      <w:r>
        <w:rPr>
          <w:sz w:val="22"/>
          <w:szCs w:val="22"/>
        </w:rPr>
        <w:t>Forma de seleção e critério de julgamento da proposta</w:t>
      </w:r>
    </w:p>
    <w:p>
      <w:pPr>
        <w:pStyle w:val="normal1"/>
        <w:numPr>
          <w:ilvl w:val="2"/>
          <w:numId w:val="20"/>
        </w:numPr>
        <w:spacing w:lineRule="auto" w:line="360" w:before="120" w:after="120"/>
        <w:ind w:hanging="720" w:start="1060"/>
        <w:jc w:val="both"/>
        <w:rPr>
          <w:sz w:val="22"/>
          <w:szCs w:val="22"/>
        </w:rPr>
      </w:pPr>
      <w:r>
        <w:rPr>
          <w:sz w:val="22"/>
          <w:szCs w:val="22"/>
        </w:rPr>
        <w:t>O fornecedor será selecionado por meio da realização de procedimento de LICITAÇÃO, na modalidade [PREGÃO] sob a forma [ELETRÔNICA], com adoção do critério de julgamento pelo [MENOR PREÇO].</w:t>
      </w:r>
    </w:p>
    <w:p>
      <w:pPr>
        <w:pStyle w:val="normal1"/>
        <w:numPr>
          <w:ilvl w:val="2"/>
          <w:numId w:val="20"/>
        </w:numPr>
        <w:spacing w:lineRule="auto" w:line="360" w:before="120" w:after="120"/>
        <w:ind w:hanging="720" w:start="1060"/>
        <w:jc w:val="both"/>
        <w:rPr>
          <w:sz w:val="22"/>
          <w:szCs w:val="22"/>
        </w:rPr>
      </w:pPr>
      <w:r>
        <w:rPr>
          <w:sz w:val="22"/>
          <w:szCs w:val="22"/>
        </w:rPr>
        <w:t>Forma de fornecimento</w:t>
      </w:r>
    </w:p>
    <w:p>
      <w:pPr>
        <w:pStyle w:val="normal1"/>
        <w:numPr>
          <w:ilvl w:val="3"/>
          <w:numId w:val="20"/>
        </w:numPr>
        <w:spacing w:lineRule="auto" w:line="360" w:before="120" w:after="120"/>
        <w:ind w:hanging="720" w:start="1174"/>
        <w:jc w:val="both"/>
        <w:rPr>
          <w:sz w:val="22"/>
          <w:szCs w:val="22"/>
        </w:rPr>
      </w:pPr>
      <w:r>
        <w:rPr>
          <w:sz w:val="22"/>
          <w:szCs w:val="22"/>
        </w:rPr>
        <w:t>O fornecimento do objeto será integral.</w:t>
      </w:r>
    </w:p>
    <w:p>
      <w:pPr>
        <w:pStyle w:val="normal1"/>
        <w:numPr>
          <w:ilvl w:val="1"/>
          <w:numId w:val="20"/>
        </w:numPr>
        <w:spacing w:lineRule="auto" w:line="360" w:before="120" w:after="120"/>
        <w:ind w:hanging="0" w:start="170"/>
        <w:jc w:val="both"/>
        <w:rPr>
          <w:sz w:val="22"/>
          <w:szCs w:val="22"/>
        </w:rPr>
      </w:pPr>
      <w:r>
        <w:rPr>
          <w:sz w:val="22"/>
          <w:szCs w:val="22"/>
        </w:rPr>
        <w:t xml:space="preserve">     </w:t>
      </w:r>
      <w:r>
        <w:rPr>
          <w:sz w:val="22"/>
          <w:szCs w:val="22"/>
        </w:rPr>
        <w:t>Exigências de habilitação</w:t>
      </w:r>
    </w:p>
    <w:p>
      <w:pPr>
        <w:pStyle w:val="normal1"/>
        <w:numPr>
          <w:ilvl w:val="2"/>
          <w:numId w:val="20"/>
        </w:numPr>
        <w:spacing w:lineRule="auto" w:line="360" w:before="120" w:after="120"/>
        <w:ind w:hanging="720" w:start="1060"/>
        <w:jc w:val="both"/>
        <w:rPr>
          <w:sz w:val="22"/>
          <w:szCs w:val="22"/>
        </w:rPr>
      </w:pPr>
      <w:r>
        <w:rPr>
          <w:sz w:val="22"/>
          <w:szCs w:val="22"/>
        </w:rPr>
        <w:t>Para fins de habilitação, deverá o licitante comprovar os seguintes requisitos:</w:t>
      </w:r>
    </w:p>
    <w:p>
      <w:pPr>
        <w:pStyle w:val="normal1"/>
        <w:numPr>
          <w:ilvl w:val="0"/>
          <w:numId w:val="24"/>
        </w:numPr>
        <w:spacing w:lineRule="auto" w:line="360" w:before="120" w:after="0"/>
        <w:ind w:hanging="0" w:start="357"/>
        <w:jc w:val="both"/>
        <w:rPr>
          <w:sz w:val="22"/>
          <w:szCs w:val="22"/>
        </w:rPr>
      </w:pPr>
      <w:r>
        <w:rPr>
          <w:sz w:val="22"/>
          <w:szCs w:val="22"/>
        </w:rPr>
        <w:t>Habilitação jurídica</w:t>
      </w:r>
    </w:p>
    <w:p>
      <w:pPr>
        <w:pStyle w:val="normal1"/>
        <w:numPr>
          <w:ilvl w:val="0"/>
          <w:numId w:val="12"/>
        </w:numPr>
        <w:spacing w:lineRule="auto" w:line="360" w:before="120" w:after="0"/>
        <w:ind w:hanging="360" w:start="1608"/>
        <w:jc w:val="both"/>
        <w:rPr>
          <w:sz w:val="22"/>
          <w:szCs w:val="22"/>
        </w:rPr>
      </w:pPr>
      <w:r>
        <w:rPr>
          <w:sz w:val="22"/>
          <w:szCs w:val="22"/>
        </w:rPr>
        <w:t>Cédula de identidade; </w:t>
      </w:r>
    </w:p>
    <w:p>
      <w:pPr>
        <w:pStyle w:val="normal1"/>
        <w:numPr>
          <w:ilvl w:val="0"/>
          <w:numId w:val="12"/>
        </w:numPr>
        <w:spacing w:lineRule="auto" w:line="360"/>
        <w:ind w:hanging="360" w:start="1608"/>
        <w:jc w:val="both"/>
        <w:rPr>
          <w:sz w:val="22"/>
          <w:szCs w:val="22"/>
        </w:rPr>
      </w:pPr>
      <w:r>
        <w:rPr>
          <w:sz w:val="22"/>
          <w:szCs w:val="22"/>
        </w:rPr>
        <w:t>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prova de diretoria em exercício, decreto de autorização, em se tratando de empresa ou sociedade estrangeira em funcionamento no País, e ato de registro ou autorização para funcionamento expedido pelo órgão competente, quando a atividade assim o exigir.</w:t>
      </w:r>
    </w:p>
    <w:p>
      <w:pPr>
        <w:pStyle w:val="normal1"/>
        <w:numPr>
          <w:ilvl w:val="0"/>
          <w:numId w:val="12"/>
        </w:numPr>
        <w:spacing w:lineRule="auto" w:line="276"/>
        <w:ind w:hanging="360" w:start="1608"/>
        <w:jc w:val="both"/>
        <w:rPr>
          <w:sz w:val="22"/>
          <w:szCs w:val="22"/>
        </w:rPr>
      </w:pPr>
      <w:bookmarkStart w:id="30" w:name="_heading=h.wwl8upr3zjdp"/>
      <w:bookmarkEnd w:id="30"/>
      <w:r>
        <w:rPr>
          <w:sz w:val="22"/>
          <w:szCs w:val="22"/>
        </w:rPr>
        <w:t>Os documentos apresentados deverão estar acompanhados de todas as alterações ou da consolidação respectiva.</w:t>
      </w:r>
    </w:p>
    <w:p>
      <w:pPr>
        <w:pStyle w:val="normal1"/>
        <w:numPr>
          <w:ilvl w:val="0"/>
          <w:numId w:val="24"/>
        </w:numPr>
        <w:spacing w:lineRule="auto" w:line="360"/>
        <w:ind w:hanging="0" w:start="357"/>
        <w:jc w:val="both"/>
        <w:rPr>
          <w:sz w:val="22"/>
          <w:szCs w:val="22"/>
        </w:rPr>
      </w:pPr>
      <w:r>
        <w:rPr>
          <w:sz w:val="22"/>
          <w:szCs w:val="22"/>
        </w:rPr>
        <w:t>Habilitação fiscal, social e trabalhista</w:t>
      </w:r>
    </w:p>
    <w:p>
      <w:pPr>
        <w:pStyle w:val="normal1"/>
        <w:numPr>
          <w:ilvl w:val="0"/>
          <w:numId w:val="38"/>
        </w:numPr>
        <w:spacing w:lineRule="auto" w:line="276"/>
        <w:ind w:hanging="360" w:start="1608"/>
        <w:jc w:val="both"/>
        <w:rPr>
          <w:sz w:val="22"/>
          <w:szCs w:val="22"/>
        </w:rPr>
      </w:pPr>
      <w:r>
        <w:rPr>
          <w:sz w:val="22"/>
          <w:szCs w:val="22"/>
        </w:rPr>
        <w:t>Prova de inscrição no Cadastro Nacional de Pessoas Jurídicas ou no Cadastro de Pessoas Físicas, conforme o caso;</w:t>
      </w:r>
    </w:p>
    <w:p>
      <w:pPr>
        <w:pStyle w:val="normal1"/>
        <w:numPr>
          <w:ilvl w:val="0"/>
          <w:numId w:val="38"/>
        </w:numPr>
        <w:spacing w:lineRule="auto" w:line="276"/>
        <w:ind w:hanging="360" w:start="1608"/>
        <w:jc w:val="both"/>
        <w:rPr>
          <w:sz w:val="22"/>
          <w:szCs w:val="22"/>
        </w:rPr>
      </w:pPr>
      <w:r>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ormal1"/>
        <w:numPr>
          <w:ilvl w:val="0"/>
          <w:numId w:val="38"/>
        </w:numPr>
        <w:spacing w:lineRule="auto" w:line="276"/>
        <w:ind w:hanging="360" w:start="1608"/>
        <w:jc w:val="both"/>
        <w:rPr>
          <w:sz w:val="22"/>
          <w:szCs w:val="22"/>
        </w:rPr>
      </w:pPr>
      <w:r>
        <w:rPr>
          <w:sz w:val="22"/>
          <w:szCs w:val="22"/>
        </w:rPr>
        <w:t>Prova de regularidade com o Fundo de Garantia do Tempo de Serviço (FGTS);</w:t>
      </w:r>
    </w:p>
    <w:p>
      <w:pPr>
        <w:pStyle w:val="normal1"/>
        <w:numPr>
          <w:ilvl w:val="0"/>
          <w:numId w:val="38"/>
        </w:numPr>
        <w:spacing w:lineRule="auto" w:line="276"/>
        <w:ind w:hanging="360" w:start="1608"/>
        <w:jc w:val="both"/>
        <w:rPr>
          <w:sz w:val="22"/>
          <w:szCs w:val="22"/>
        </w:rPr>
      </w:pPr>
      <w:r>
        <w:rPr>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1"/>
        <w:numPr>
          <w:ilvl w:val="0"/>
          <w:numId w:val="38"/>
        </w:numPr>
        <w:spacing w:lineRule="auto" w:line="276"/>
        <w:ind w:hanging="360" w:start="1608"/>
        <w:jc w:val="both"/>
        <w:rPr>
          <w:sz w:val="22"/>
          <w:szCs w:val="22"/>
        </w:rPr>
      </w:pPr>
      <w:r>
        <w:rPr>
          <w:sz w:val="22"/>
          <w:szCs w:val="22"/>
        </w:rPr>
        <w:t xml:space="preserve">Prova de inscrição no cadastro de contribuintes  estadual ou municipal, conforme o domicílio ou sede da empresa, pertinente ao seu ramo de atividade e compatível com o objeto contratual; </w:t>
      </w:r>
    </w:p>
    <w:p>
      <w:pPr>
        <w:pStyle w:val="normal1"/>
        <w:numPr>
          <w:ilvl w:val="0"/>
          <w:numId w:val="38"/>
        </w:numPr>
        <w:spacing w:lineRule="auto" w:line="276"/>
        <w:ind w:hanging="360" w:start="1608"/>
        <w:jc w:val="both"/>
        <w:rPr>
          <w:sz w:val="22"/>
          <w:szCs w:val="22"/>
        </w:rPr>
      </w:pPr>
      <w:r>
        <w:rPr>
          <w:sz w:val="22"/>
          <w:szCs w:val="22"/>
        </w:rPr>
        <w:t xml:space="preserve"> </w:t>
      </w:r>
      <w:r>
        <w:rPr>
          <w:sz w:val="22"/>
          <w:szCs w:val="22"/>
        </w:rPr>
        <w:t xml:space="preserve">Prova de regularidade fiscal com a Fazenda Estadual e Municipal do domicílio ou sede da empresa, relativa à atividade em cujo exercício contrata ou concorre, conforme exigido pela legislação vigente; </w:t>
      </w:r>
    </w:p>
    <w:p>
      <w:pPr>
        <w:pStyle w:val="normal1"/>
        <w:numPr>
          <w:ilvl w:val="0"/>
          <w:numId w:val="38"/>
        </w:numPr>
        <w:spacing w:lineRule="auto" w:line="276"/>
        <w:ind w:hanging="360" w:start="1608"/>
        <w:jc w:val="both"/>
        <w:rPr>
          <w:sz w:val="22"/>
          <w:szCs w:val="22"/>
        </w:rPr>
      </w:pPr>
      <w:r>
        <w:rPr>
          <w:sz w:val="22"/>
          <w:szCs w:val="22"/>
        </w:rPr>
        <w:t xml:space="preserve">Caso o fornecedor seja isento dos tributos estaduais ou municipais relacionados ao objeto contratual, deverá comprovar tal condição mediante apresentação de declaração emitida pela Fazenda respectiva do seu domicílio ou sede, ou outro documento equivalente, na forma da lei; </w:t>
      </w:r>
    </w:p>
    <w:p>
      <w:pPr>
        <w:pStyle w:val="normal1"/>
        <w:numPr>
          <w:ilvl w:val="0"/>
          <w:numId w:val="38"/>
        </w:numPr>
        <w:spacing w:lineRule="auto" w:line="276"/>
        <w:ind w:hanging="360" w:start="1608"/>
        <w:jc w:val="both"/>
        <w:rPr>
          <w:sz w:val="22"/>
          <w:szCs w:val="22"/>
        </w:rPr>
      </w:pPr>
      <w:r>
        <w:rPr>
          <w:sz w:val="22"/>
          <w:szCs w:val="22"/>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pPr>
        <w:pStyle w:val="normal1"/>
        <w:spacing w:lineRule="auto" w:line="276"/>
        <w:ind w:hanging="0" w:start="1608"/>
        <w:jc w:val="both"/>
        <w:rPr>
          <w:sz w:val="22"/>
          <w:szCs w:val="22"/>
        </w:rPr>
      </w:pPr>
      <w:r>
        <w:rPr>
          <w:sz w:val="22"/>
          <w:szCs w:val="22"/>
        </w:rPr>
      </w:r>
    </w:p>
    <w:p>
      <w:pPr>
        <w:pStyle w:val="normal1"/>
        <w:numPr>
          <w:ilvl w:val="0"/>
          <w:numId w:val="24"/>
        </w:numPr>
        <w:spacing w:lineRule="auto" w:line="360"/>
        <w:ind w:hanging="0" w:start="357"/>
        <w:jc w:val="both"/>
        <w:rPr>
          <w:sz w:val="22"/>
          <w:szCs w:val="22"/>
        </w:rPr>
      </w:pPr>
      <w:r>
        <w:rPr>
          <w:sz w:val="22"/>
          <w:szCs w:val="22"/>
        </w:rPr>
        <w:t>Qualificação Econômico-Financeira</w:t>
      </w:r>
    </w:p>
    <w:p>
      <w:pPr>
        <w:pStyle w:val="normal1"/>
        <w:numPr>
          <w:ilvl w:val="0"/>
          <w:numId w:val="10"/>
        </w:numPr>
        <w:spacing w:lineRule="auto" w:line="276"/>
        <w:ind w:hanging="360" w:start="1608"/>
        <w:jc w:val="both"/>
        <w:rPr>
          <w:sz w:val="22"/>
          <w:szCs w:val="22"/>
        </w:rPr>
      </w:pPr>
      <w:r>
        <w:rPr>
          <w:sz w:val="22"/>
          <w:szCs w:val="22"/>
        </w:rPr>
        <w:t>Certidão negativa de insolvência civil expedida pelo distribuidor do domicílio ou sede do licitante, caso se trate de pessoa física, desde que admitida a sua participação na licitação (</w:t>
      </w:r>
      <w:r>
        <w:rPr>
          <w:color w:val="000080"/>
          <w:sz w:val="22"/>
          <w:szCs w:val="22"/>
          <w:u w:val="single"/>
        </w:rPr>
        <w:t>art. 5º, inciso II, alínea “c”, da Instrução Normativa Seges/ME n.º 116, de 2021</w:t>
      </w:r>
      <w:r>
        <w:rPr>
          <w:sz w:val="22"/>
          <w:szCs w:val="22"/>
        </w:rPr>
        <w:t xml:space="preserve">), ou de sociedade simples; </w:t>
      </w:r>
    </w:p>
    <w:p>
      <w:pPr>
        <w:pStyle w:val="normal1"/>
        <w:numPr>
          <w:ilvl w:val="0"/>
          <w:numId w:val="10"/>
        </w:numPr>
        <w:spacing w:lineRule="auto" w:line="276"/>
        <w:ind w:hanging="360" w:start="1608"/>
        <w:jc w:val="both"/>
        <w:rPr>
          <w:sz w:val="22"/>
          <w:szCs w:val="22"/>
        </w:rPr>
      </w:pPr>
      <w:r>
        <w:rPr>
          <w:sz w:val="22"/>
          <w:szCs w:val="22"/>
        </w:rPr>
        <w:t xml:space="preserve">Certidão negativa de falência expedida pelo distribuidor da sede do fornecedor - </w:t>
      </w:r>
      <w:r>
        <w:rPr>
          <w:color w:val="000080"/>
          <w:sz w:val="22"/>
          <w:szCs w:val="22"/>
          <w:u w:val="single"/>
        </w:rPr>
        <w:t>Lei n.º 14.133, de 2021, art. 69, caput, inciso II</w:t>
      </w:r>
      <w:r>
        <w:rPr>
          <w:sz w:val="22"/>
          <w:szCs w:val="22"/>
        </w:rPr>
        <w:t>);</w:t>
      </w:r>
    </w:p>
    <w:p>
      <w:pPr>
        <w:pStyle w:val="normal1"/>
        <w:numPr>
          <w:ilvl w:val="0"/>
          <w:numId w:val="24"/>
        </w:numPr>
        <w:spacing w:lineRule="auto" w:line="360" w:before="0" w:after="120"/>
        <w:ind w:hanging="0" w:start="357"/>
        <w:jc w:val="both"/>
        <w:rPr>
          <w:sz w:val="22"/>
          <w:szCs w:val="22"/>
        </w:rPr>
      </w:pPr>
      <w:r>
        <w:rPr>
          <w:sz w:val="22"/>
          <w:szCs w:val="22"/>
        </w:rPr>
        <w:t>Qualificação Técnica</w:t>
      </w:r>
    </w:p>
    <w:p>
      <w:pPr>
        <w:pStyle w:val="normal1"/>
        <w:spacing w:lineRule="auto" w:line="276"/>
        <w:ind w:firstLine="720"/>
        <w:jc w:val="both"/>
        <w:rPr>
          <w:sz w:val="22"/>
          <w:szCs w:val="22"/>
        </w:rPr>
      </w:pPr>
      <w:r>
        <w:rPr>
          <w:sz w:val="22"/>
          <w:szCs w:val="22"/>
        </w:rPr>
        <w:t>a)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pPr>
        <w:pStyle w:val="normal1"/>
        <w:spacing w:lineRule="auto" w:line="276"/>
        <w:ind w:firstLine="720"/>
        <w:jc w:val="both"/>
        <w:rPr>
          <w:sz w:val="22"/>
          <w:szCs w:val="22"/>
        </w:rPr>
      </w:pPr>
      <w:r>
        <w:rPr>
          <w:sz w:val="22"/>
          <w:szCs w:val="22"/>
        </w:rPr>
      </w:r>
    </w:p>
    <w:p>
      <w:pPr>
        <w:pStyle w:val="normal1"/>
        <w:spacing w:lineRule="auto" w:line="276"/>
        <w:ind w:firstLine="720"/>
        <w:jc w:val="both"/>
        <w:rPr>
          <w:sz w:val="22"/>
          <w:szCs w:val="22"/>
        </w:rPr>
      </w:pPr>
      <w:r>
        <w:rPr>
          <w:sz w:val="22"/>
          <w:szCs w:val="22"/>
        </w:rPr>
        <w:t>Para fins da comprovação de que trata este subitem, os atestados deverão  dizer  respeito  a  contratos  executados  com  as  seguintes características mínimas:</w:t>
      </w:r>
    </w:p>
    <w:p>
      <w:pPr>
        <w:pStyle w:val="normal1"/>
        <w:spacing w:lineRule="auto" w:line="276"/>
        <w:ind w:firstLine="720"/>
        <w:jc w:val="both"/>
        <w:rPr>
          <w:sz w:val="22"/>
          <w:szCs w:val="22"/>
        </w:rPr>
      </w:pPr>
      <w:r>
        <w:rPr>
          <w:sz w:val="22"/>
          <w:szCs w:val="22"/>
        </w:rPr>
      </w:r>
    </w:p>
    <w:p>
      <w:pPr>
        <w:pStyle w:val="normal1"/>
        <w:spacing w:lineRule="auto" w:line="276"/>
        <w:ind w:firstLine="720"/>
        <w:jc w:val="both"/>
        <w:rPr>
          <w:sz w:val="22"/>
          <w:szCs w:val="22"/>
        </w:rPr>
      </w:pPr>
      <w:r>
        <w:rPr>
          <w:sz w:val="22"/>
          <w:szCs w:val="22"/>
        </w:rPr>
        <w:t>a.1) Atestados de capacidade técnica emitidos por pessoa jurídica de direito público ou privado, que comprovem a execução de serviços similares em natureza e vulto, envolvendo produção de  eventos  de  grande  porte  com  montagem  de  estruturas,  operação técnica e coordenação de equipes.</w:t>
      </w:r>
    </w:p>
    <w:p>
      <w:pPr>
        <w:pStyle w:val="normal1"/>
        <w:spacing w:lineRule="auto" w:line="276"/>
        <w:ind w:firstLine="720"/>
        <w:jc w:val="both"/>
        <w:rPr>
          <w:sz w:val="22"/>
          <w:szCs w:val="22"/>
        </w:rPr>
      </w:pPr>
      <w:r>
        <w:rPr>
          <w:sz w:val="22"/>
          <w:szCs w:val="22"/>
        </w:rPr>
        <w:t>a.2) Portfólio  institucional  contendo  registros  fotográficos,  vídeos  ou materiais de divulgação de eventos realizados, com indicação de datas, locais, público estimado e escopo executado.</w:t>
      </w:r>
    </w:p>
    <w:p>
      <w:pPr>
        <w:pStyle w:val="normal1"/>
        <w:spacing w:lineRule="auto" w:line="276"/>
        <w:ind w:firstLine="720"/>
        <w:jc w:val="both"/>
        <w:rPr>
          <w:sz w:val="22"/>
          <w:szCs w:val="22"/>
        </w:rPr>
      </w:pPr>
      <w:r>
        <w:rPr>
          <w:sz w:val="22"/>
          <w:szCs w:val="22"/>
        </w:rPr>
        <w:t>a.3) Declaração  de  disponibilidade  de  equipe  técnica especializada, com   identificação  dos   profissionais   responsáveis   pelas   áreas  de produção  executiva,  operação  técnica,  segurança,  limpeza,  apoio logístico e gerenciamento de riscos.</w:t>
      </w:r>
    </w:p>
    <w:p>
      <w:pPr>
        <w:pStyle w:val="normal1"/>
        <w:spacing w:lineRule="auto" w:line="276"/>
        <w:ind w:firstLine="720"/>
        <w:jc w:val="both"/>
        <w:rPr>
          <w:sz w:val="22"/>
          <w:szCs w:val="22"/>
        </w:rPr>
      </w:pPr>
      <w:r>
        <w:rPr>
          <w:sz w:val="22"/>
          <w:szCs w:val="22"/>
        </w:rPr>
        <w:t>a.4) Relação de  equipamentos e  estruturas  próprias ou  contratadas, com  especificações  técnicas  compatíveis  com  os  requisitos  mínimos definidos neste Termo de Referência.</w:t>
      </w:r>
    </w:p>
    <w:p>
      <w:pPr>
        <w:pStyle w:val="normal1"/>
        <w:spacing w:lineRule="auto" w:line="276"/>
        <w:ind w:firstLine="720"/>
        <w:jc w:val="both"/>
        <w:rPr>
          <w:sz w:val="22"/>
          <w:szCs w:val="22"/>
        </w:rPr>
      </w:pPr>
      <w:r>
        <w:rPr>
          <w:sz w:val="22"/>
          <w:szCs w:val="22"/>
        </w:rPr>
        <w:t>a.5) Comprovação  de  registro  ou  inscrição  em  entidade  profissional ou associação de produtores culturais, quando aplicável.</w:t>
      </w:r>
    </w:p>
    <w:p>
      <w:pPr>
        <w:pStyle w:val="normal1"/>
        <w:spacing w:lineRule="auto" w:line="276"/>
        <w:ind w:firstLine="720"/>
        <w:jc w:val="both"/>
        <w:rPr>
          <w:sz w:val="22"/>
          <w:szCs w:val="22"/>
        </w:rPr>
      </w:pPr>
      <w:r>
        <w:rPr>
          <w:sz w:val="22"/>
          <w:szCs w:val="22"/>
        </w:rPr>
      </w:r>
    </w:p>
    <w:p>
      <w:pPr>
        <w:pStyle w:val="normal1"/>
        <w:spacing w:lineRule="auto" w:line="276"/>
        <w:ind w:firstLine="720"/>
        <w:jc w:val="both"/>
        <w:rPr>
          <w:sz w:val="22"/>
          <w:szCs w:val="22"/>
        </w:rPr>
      </w:pPr>
      <w:r>
        <w:rPr>
          <w:sz w:val="22"/>
          <w:szCs w:val="22"/>
        </w:rPr>
        <w:t>b) Será admitida, para fins  de comprovação de  quantitativo  mínimo,  a apresentação  e  o  somatório  de  diferentes  atestados  executados  de forma concomitante.</w:t>
      </w:r>
    </w:p>
    <w:p>
      <w:pPr>
        <w:pStyle w:val="normal1"/>
        <w:spacing w:lineRule="auto" w:line="276" w:before="0" w:after="360"/>
        <w:ind w:firstLine="720"/>
        <w:jc w:val="both"/>
        <w:rPr>
          <w:sz w:val="22"/>
          <w:szCs w:val="22"/>
        </w:rPr>
      </w:pPr>
      <w:r>
        <w:rPr>
          <w:sz w:val="22"/>
          <w:szCs w:val="22"/>
        </w:rPr>
        <w:t>c) Os  atestados  de  capacidade  técnica  poderão  ser  apresentados  em nome da matriz ou da filial do fornecedor.</w:t>
      </w:r>
    </w:p>
    <w:p>
      <w:pPr>
        <w:pStyle w:val="normal1"/>
        <w:spacing w:lineRule="auto" w:line="276" w:before="0" w:after="360"/>
        <w:ind w:firstLine="720"/>
        <w:jc w:val="both"/>
        <w:rPr>
          <w:sz w:val="22"/>
          <w:szCs w:val="22"/>
        </w:rPr>
      </w:pPr>
      <w:r>
        <w:rPr>
          <w:sz w:val="22"/>
          <w:szCs w:val="22"/>
        </w:rPr>
        <w:t>d)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pPr>
        <w:pStyle w:val="normal1"/>
        <w:keepNext w:val="true"/>
        <w:keepLines/>
        <w:numPr>
          <w:ilvl w:val="0"/>
          <w:numId w:val="7"/>
        </w:numPr>
        <w:spacing w:lineRule="auto" w:line="360" w:before="480" w:after="280"/>
        <w:ind w:hanging="0" w:start="720"/>
        <w:rPr>
          <w:b/>
          <w:bCs/>
          <w:sz w:val="22"/>
          <w:szCs w:val="22"/>
        </w:rPr>
      </w:pPr>
      <w:r>
        <w:rPr>
          <w:b/>
          <w:bCs/>
          <w:sz w:val="22"/>
          <w:szCs w:val="22"/>
        </w:rPr>
        <w:t xml:space="preserve">     </w:t>
      </w:r>
      <w:r>
        <w:rPr>
          <w:b/>
          <w:bCs/>
          <w:sz w:val="22"/>
          <w:szCs w:val="22"/>
        </w:rPr>
        <w:t>ESTIMATIVAS DO VALOR DA CONTRATAÇÃO</w:t>
      </w:r>
    </w:p>
    <w:p>
      <w:pPr>
        <w:pStyle w:val="normal1"/>
        <w:numPr>
          <w:ilvl w:val="1"/>
          <w:numId w:val="36"/>
        </w:numPr>
        <w:spacing w:lineRule="auto" w:line="360" w:before="120" w:after="120"/>
        <w:ind w:hanging="359" w:start="529"/>
        <w:jc w:val="both"/>
        <w:rPr>
          <w:sz w:val="22"/>
          <w:szCs w:val="22"/>
        </w:rPr>
      </w:pPr>
      <w:r>
        <w:rPr>
          <w:sz w:val="22"/>
          <w:szCs w:val="22"/>
        </w:rPr>
        <w:t xml:space="preserve">O custo estimado total da contratação é de </w:t>
      </w:r>
      <w:r>
        <w:rPr>
          <w:b/>
          <w:bCs/>
          <w:sz w:val="22"/>
          <w:szCs w:val="22"/>
        </w:rPr>
        <w:t>R$181.640,01 (cento e oitenta e um mil seiscentos e quarenta reais e um centavo)</w:t>
      </w:r>
      <w:r>
        <w:rPr>
          <w:sz w:val="22"/>
          <w:szCs w:val="22"/>
        </w:rPr>
        <w:t>, conforme custos unitários médios dispostos na tabela do item 1.3 deste Termo de Referência.</w:t>
      </w:r>
    </w:p>
    <w:p>
      <w:pPr>
        <w:pStyle w:val="normal1"/>
        <w:keepNext w:val="true"/>
        <w:keepLines/>
        <w:numPr>
          <w:ilvl w:val="0"/>
          <w:numId w:val="7"/>
        </w:numPr>
        <w:spacing w:lineRule="auto" w:line="360" w:before="480" w:after="280"/>
        <w:ind w:hanging="0" w:start="720"/>
        <w:rPr>
          <w:b/>
          <w:bCs/>
          <w:sz w:val="22"/>
          <w:szCs w:val="22"/>
        </w:rPr>
      </w:pPr>
      <w:r>
        <w:rPr>
          <w:b/>
          <w:bCs/>
          <w:sz w:val="22"/>
          <w:szCs w:val="22"/>
        </w:rPr>
        <w:t>ADEQUAÇÃO ORÇAMENTÁRIA</w:t>
      </w:r>
    </w:p>
    <w:p>
      <w:pPr>
        <w:pStyle w:val="normal1"/>
        <w:numPr>
          <w:ilvl w:val="1"/>
          <w:numId w:val="28"/>
        </w:numPr>
        <w:spacing w:lineRule="auto" w:line="360" w:before="120" w:after="120"/>
        <w:ind w:hanging="359" w:start="529"/>
        <w:jc w:val="both"/>
        <w:rPr>
          <w:sz w:val="22"/>
          <w:szCs w:val="22"/>
        </w:rPr>
      </w:pPr>
      <w:r>
        <w:rPr>
          <w:sz w:val="22"/>
          <w:szCs w:val="22"/>
        </w:rPr>
        <w:t>As despesas decorrentes da presente contratação correrão à conta de recursos específicos consignados no Orçamento do órgão Secretaria Municipal de Turismo, Desenvolvimento Econômico e Inovação.</w:t>
      </w:r>
    </w:p>
    <w:p>
      <w:pPr>
        <w:pStyle w:val="normal1"/>
        <w:numPr>
          <w:ilvl w:val="1"/>
          <w:numId w:val="28"/>
        </w:numPr>
        <w:spacing w:lineRule="auto" w:line="360" w:before="120" w:after="120"/>
        <w:ind w:hanging="0" w:start="170"/>
        <w:jc w:val="both"/>
        <w:rPr>
          <w:sz w:val="22"/>
          <w:szCs w:val="22"/>
        </w:rPr>
      </w:pPr>
      <w:r>
        <w:rPr>
          <w:sz w:val="22"/>
          <w:szCs w:val="22"/>
        </w:rPr>
        <w:t>A contratação será atendida pela seguinte dotação:</w:t>
      </w:r>
    </w:p>
    <w:p>
      <w:pPr>
        <w:pStyle w:val="normal1"/>
        <w:numPr>
          <w:ilvl w:val="0"/>
          <w:numId w:val="14"/>
        </w:numPr>
        <w:spacing w:lineRule="auto" w:line="360"/>
        <w:ind w:hanging="0" w:start="170"/>
        <w:jc w:val="both"/>
        <w:rPr>
          <w:sz w:val="22"/>
          <w:szCs w:val="22"/>
        </w:rPr>
      </w:pPr>
      <w:r>
        <w:rPr>
          <w:sz w:val="22"/>
          <w:szCs w:val="22"/>
        </w:rPr>
        <w:t>Gestão/Unidade: 23001 - SMTDI;</w:t>
      </w:r>
    </w:p>
    <w:p>
      <w:pPr>
        <w:pStyle w:val="normal1"/>
        <w:numPr>
          <w:ilvl w:val="0"/>
          <w:numId w:val="14"/>
        </w:numPr>
        <w:spacing w:lineRule="auto" w:line="360"/>
        <w:ind w:hanging="0" w:start="170"/>
        <w:jc w:val="both"/>
        <w:rPr>
          <w:sz w:val="22"/>
          <w:szCs w:val="22"/>
        </w:rPr>
      </w:pPr>
      <w:r>
        <w:rPr>
          <w:sz w:val="22"/>
          <w:szCs w:val="22"/>
        </w:rPr>
        <w:t>Fonte de Recursos: 5500/7501;</w:t>
      </w:r>
    </w:p>
    <w:p>
      <w:pPr>
        <w:pStyle w:val="normal1"/>
        <w:numPr>
          <w:ilvl w:val="0"/>
          <w:numId w:val="14"/>
        </w:numPr>
        <w:spacing w:lineRule="auto" w:line="360"/>
        <w:ind w:hanging="0" w:start="170"/>
        <w:jc w:val="both"/>
        <w:rPr>
          <w:sz w:val="22"/>
          <w:szCs w:val="22"/>
        </w:rPr>
      </w:pPr>
      <w:r>
        <w:rPr>
          <w:sz w:val="22"/>
          <w:szCs w:val="22"/>
        </w:rPr>
        <w:t>Programa de Trabalho: 4.711</w:t>
      </w:r>
    </w:p>
    <w:p>
      <w:pPr>
        <w:pStyle w:val="normal1"/>
        <w:numPr>
          <w:ilvl w:val="0"/>
          <w:numId w:val="14"/>
        </w:numPr>
        <w:spacing w:lineRule="auto" w:line="360"/>
        <w:ind w:hanging="0" w:start="170"/>
        <w:jc w:val="both"/>
        <w:rPr>
          <w:sz w:val="22"/>
          <w:szCs w:val="22"/>
        </w:rPr>
      </w:pPr>
      <w:r>
        <w:rPr>
          <w:sz w:val="22"/>
          <w:szCs w:val="22"/>
        </w:rPr>
        <w:t>Elemento de Despesa: 3.3.90;</w:t>
      </w:r>
    </w:p>
    <w:p>
      <w:pPr>
        <w:pStyle w:val="normal1"/>
        <w:spacing w:lineRule="auto" w:line="360"/>
        <w:ind w:hanging="0"/>
        <w:jc w:val="both"/>
        <w:rPr>
          <w:sz w:val="22"/>
          <w:szCs w:val="22"/>
        </w:rPr>
      </w:pPr>
      <w:r>
        <w:rPr>
          <w:sz w:val="22"/>
          <w:szCs w:val="22"/>
        </w:rPr>
      </w:r>
    </w:p>
    <w:p>
      <w:pPr>
        <w:pStyle w:val="normal1"/>
        <w:numPr>
          <w:ilvl w:val="1"/>
          <w:numId w:val="28"/>
        </w:numPr>
        <w:spacing w:lineRule="auto" w:line="360" w:before="120" w:after="120"/>
        <w:ind w:hanging="0" w:start="170"/>
        <w:jc w:val="both"/>
        <w:rPr>
          <w:sz w:val="22"/>
          <w:szCs w:val="22"/>
        </w:rPr>
      </w:pPr>
      <w:r>
        <w:rPr>
          <w:sz w:val="22"/>
          <w:szCs w:val="22"/>
        </w:rPr>
        <w:t>A dotação relativa aos exercícios financeiros subsequentes será indicada após aprovação da Lei Orçamentária respectiva e liberação dos créditos correspondentes, mediante apostilamento.</w:t>
      </w:r>
    </w:p>
    <w:p>
      <w:pPr>
        <w:pStyle w:val="normal1"/>
        <w:keepNext w:val="true"/>
        <w:keepLines/>
        <w:numPr>
          <w:ilvl w:val="0"/>
          <w:numId w:val="7"/>
        </w:numPr>
        <w:spacing w:lineRule="auto" w:line="360" w:before="480" w:after="280"/>
        <w:ind w:hanging="0" w:start="720"/>
        <w:rPr>
          <w:b/>
          <w:bCs/>
          <w:sz w:val="22"/>
          <w:szCs w:val="22"/>
        </w:rPr>
      </w:pPr>
      <w:r>
        <w:rPr>
          <w:b/>
          <w:bCs/>
          <w:sz w:val="22"/>
          <w:szCs w:val="22"/>
        </w:rPr>
        <w:t>RESPONSABILIDADES DO CONTRATADO</w:t>
      </w:r>
    </w:p>
    <w:p>
      <w:pPr>
        <w:pStyle w:val="normal1"/>
        <w:numPr>
          <w:ilvl w:val="1"/>
          <w:numId w:val="17"/>
        </w:numPr>
        <w:spacing w:lineRule="auto" w:line="360" w:before="120" w:after="120"/>
        <w:ind w:hanging="359" w:start="529"/>
        <w:jc w:val="both"/>
        <w:rPr>
          <w:sz w:val="22"/>
          <w:szCs w:val="22"/>
        </w:rPr>
      </w:pPr>
      <w:r>
        <w:rPr>
          <w:sz w:val="22"/>
          <w:szCs w:val="22"/>
        </w:rPr>
        <w:t xml:space="preserve">O </w:t>
      </w:r>
      <w:r>
        <w:rPr>
          <w:b/>
          <w:bCs/>
          <w:sz w:val="22"/>
          <w:szCs w:val="22"/>
        </w:rPr>
        <w:t>CONTRATADO</w:t>
      </w:r>
      <w:r>
        <w:rPr>
          <w:sz w:val="22"/>
          <w:szCs w:val="22"/>
        </w:rPr>
        <w:t xml:space="preserve"> deve cumprir todas as obrigações constantes deste Termo de referência, assumindo como exclusivamente seus os riscos e as despesas decorrentes da boa e perfeita execução do objeto, observando, ainda, as obrigações a seguir dispostas:</w:t>
      </w:r>
    </w:p>
    <w:p>
      <w:pPr>
        <w:pStyle w:val="normal1"/>
        <w:numPr>
          <w:ilvl w:val="1"/>
          <w:numId w:val="17"/>
        </w:numPr>
        <w:spacing w:lineRule="auto" w:line="360" w:before="120" w:after="120"/>
        <w:ind w:hanging="0" w:start="170"/>
        <w:jc w:val="both"/>
        <w:rPr>
          <w:sz w:val="22"/>
          <w:szCs w:val="22"/>
        </w:rPr>
      </w:pPr>
      <w:r>
        <w:rPr>
          <w:sz w:val="22"/>
          <w:szCs w:val="22"/>
        </w:rPr>
        <w:t>Entregar o objeto acompanhado do manual do usuário, com uma versão em português, e da relação da rede de assistência técnica autorizada;</w:t>
      </w:r>
    </w:p>
    <w:p>
      <w:pPr>
        <w:pStyle w:val="normal1"/>
        <w:numPr>
          <w:ilvl w:val="1"/>
          <w:numId w:val="17"/>
        </w:numPr>
        <w:spacing w:lineRule="auto" w:line="360" w:before="120" w:after="120"/>
        <w:ind w:hanging="0" w:start="170"/>
        <w:jc w:val="both"/>
        <w:rPr>
          <w:sz w:val="22"/>
          <w:szCs w:val="22"/>
        </w:rPr>
      </w:pPr>
      <w:r>
        <w:rPr>
          <w:sz w:val="22"/>
          <w:szCs w:val="22"/>
        </w:rPr>
        <w:t>Responsabilizar-se pelos vícios e danos decorrentes do objeto, de acordo com o Código de Defesa do Consumidor (Lei n.º 8.078, de 1990);</w:t>
      </w:r>
    </w:p>
    <w:p>
      <w:pPr>
        <w:pStyle w:val="normal1"/>
        <w:numPr>
          <w:ilvl w:val="1"/>
          <w:numId w:val="17"/>
        </w:numPr>
        <w:spacing w:lineRule="auto" w:line="360" w:before="120" w:after="120"/>
        <w:ind w:hanging="0" w:start="170"/>
        <w:jc w:val="both"/>
        <w:rPr>
          <w:sz w:val="22"/>
          <w:szCs w:val="22"/>
        </w:rPr>
      </w:pPr>
      <w:r>
        <w:rPr>
          <w:sz w:val="22"/>
          <w:szCs w:val="22"/>
        </w:rPr>
        <w:t xml:space="preserve">Comunicar ao </w:t>
      </w:r>
      <w:r>
        <w:rPr>
          <w:b/>
          <w:bCs/>
          <w:sz w:val="22"/>
          <w:szCs w:val="22"/>
        </w:rPr>
        <w:t>CONTRATANTE</w:t>
      </w:r>
      <w:r>
        <w:rPr>
          <w:sz w:val="22"/>
          <w:szCs w:val="22"/>
        </w:rPr>
        <w:t>, no prazo máximo de 24 (vinte e quatro) horas que antecede a data da entrega, os motivos que impossibilitem o cumprimento do prazo previsto, com a devida comprovação;</w:t>
      </w:r>
    </w:p>
    <w:p>
      <w:pPr>
        <w:pStyle w:val="normal1"/>
        <w:numPr>
          <w:ilvl w:val="1"/>
          <w:numId w:val="17"/>
        </w:numPr>
        <w:spacing w:lineRule="auto" w:line="360" w:before="120" w:after="120"/>
        <w:ind w:hanging="0" w:start="170"/>
        <w:jc w:val="both"/>
        <w:rPr>
          <w:sz w:val="22"/>
          <w:szCs w:val="22"/>
        </w:rPr>
      </w:pPr>
      <w:r>
        <w:rPr>
          <w:sz w:val="22"/>
          <w:szCs w:val="22"/>
        </w:rPr>
        <w:t>Atender às determinações regulares emitidas pelo fiscal ou gestor do contrato ou autoridade superior (Art. 137, II, da Lei n.º 14.133/2021) e prestar todo esclarecimento ou informação por eles solicitados;</w:t>
      </w:r>
    </w:p>
    <w:p>
      <w:pPr>
        <w:pStyle w:val="normal1"/>
        <w:numPr>
          <w:ilvl w:val="1"/>
          <w:numId w:val="17"/>
        </w:numPr>
        <w:spacing w:lineRule="auto" w:line="360" w:before="120" w:after="120"/>
        <w:ind w:hanging="0" w:start="170"/>
        <w:jc w:val="both"/>
        <w:rPr>
          <w:sz w:val="22"/>
          <w:szCs w:val="22"/>
        </w:rPr>
      </w:pPr>
      <w:r>
        <w:rPr>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normal1"/>
        <w:numPr>
          <w:ilvl w:val="1"/>
          <w:numId w:val="17"/>
        </w:numPr>
        <w:spacing w:lineRule="auto" w:line="360" w:before="120" w:after="120"/>
        <w:ind w:hanging="0" w:start="170"/>
        <w:jc w:val="both"/>
        <w:rPr>
          <w:sz w:val="22"/>
          <w:szCs w:val="22"/>
        </w:rPr>
      </w:pPr>
      <w:r>
        <w:rPr>
          <w:sz w:val="22"/>
          <w:szCs w:val="22"/>
        </w:rPr>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Pr>
          <w:b/>
          <w:bCs/>
          <w:sz w:val="22"/>
          <w:szCs w:val="22"/>
        </w:rPr>
        <w:t>CONTRATANTE</w:t>
      </w:r>
      <w:r>
        <w:rPr>
          <w:sz w:val="22"/>
          <w:szCs w:val="22"/>
        </w:rPr>
        <w:t>, que ficará autorizado a descontar dos pagamentos devidos ou da garantia, caso exigida, o valor correspondente aos danos sofridos;</w:t>
      </w:r>
    </w:p>
    <w:p>
      <w:pPr>
        <w:pStyle w:val="normal1"/>
        <w:numPr>
          <w:ilvl w:val="1"/>
          <w:numId w:val="17"/>
        </w:numPr>
        <w:spacing w:lineRule="auto" w:line="360" w:before="120" w:after="120"/>
        <w:ind w:hanging="0" w:start="170"/>
        <w:jc w:val="both"/>
        <w:rPr>
          <w:sz w:val="22"/>
          <w:szCs w:val="22"/>
        </w:rPr>
      </w:pPr>
      <w:r>
        <w:rPr>
          <w:sz w:val="22"/>
          <w:szCs w:val="22"/>
        </w:rPr>
        <w:t xml:space="preserve">Quando não for possível a verificação da regularidade no Sistema de Cadastro de Fornecedores – SICAF, o </w:t>
      </w:r>
      <w:r>
        <w:rPr>
          <w:b/>
          <w:bCs/>
          <w:sz w:val="22"/>
          <w:szCs w:val="22"/>
        </w:rPr>
        <w:t>CONTRATADO</w:t>
      </w:r>
      <w:r>
        <w:rPr>
          <w:sz w:val="22"/>
          <w:szCs w:val="22"/>
        </w:rPr>
        <w:t xml:space="preserve"> deverá entregar ao setor responsável pela fiscalização do contrato, junto com a Nota Fiscal para fins de pagamento, os seguintes documentos: </w:t>
      </w:r>
    </w:p>
    <w:p>
      <w:pPr>
        <w:pStyle w:val="normal1"/>
        <w:spacing w:lineRule="auto" w:line="360" w:before="120" w:after="120"/>
        <w:ind w:hanging="0" w:start="567"/>
        <w:jc w:val="both"/>
        <w:rPr>
          <w:sz w:val="22"/>
          <w:szCs w:val="22"/>
        </w:rPr>
      </w:pPr>
      <w:r>
        <w:rPr>
          <w:sz w:val="22"/>
          <w:szCs w:val="22"/>
        </w:rPr>
        <w:t xml:space="preserve">1) Prova de regularidade relativa à Seguridade Social; </w:t>
      </w:r>
    </w:p>
    <w:p>
      <w:pPr>
        <w:pStyle w:val="normal1"/>
        <w:spacing w:lineRule="auto" w:line="360" w:before="120" w:after="120"/>
        <w:ind w:hanging="0" w:start="567"/>
        <w:jc w:val="both"/>
        <w:rPr>
          <w:sz w:val="22"/>
          <w:szCs w:val="22"/>
        </w:rPr>
      </w:pPr>
      <w:r>
        <w:rPr>
          <w:sz w:val="22"/>
          <w:szCs w:val="22"/>
        </w:rPr>
        <w:t xml:space="preserve">2) Certidão conjunta relativa aos tributos federais e à Dívida Ativa da União; </w:t>
      </w:r>
    </w:p>
    <w:p>
      <w:pPr>
        <w:pStyle w:val="normal1"/>
        <w:spacing w:lineRule="auto" w:line="360" w:before="120" w:after="120"/>
        <w:ind w:hanging="0" w:start="567"/>
        <w:jc w:val="both"/>
        <w:rPr>
          <w:sz w:val="22"/>
          <w:szCs w:val="22"/>
        </w:rPr>
      </w:pPr>
      <w:r>
        <w:rPr>
          <w:sz w:val="22"/>
          <w:szCs w:val="22"/>
        </w:rPr>
        <w:t xml:space="preserve">3) Certidões que comprovem a regularidade perante a Fazenda Estadual ou Distrital do domicílio ou sede do </w:t>
      </w:r>
      <w:r>
        <w:rPr>
          <w:b/>
          <w:bCs/>
          <w:sz w:val="22"/>
          <w:szCs w:val="22"/>
        </w:rPr>
        <w:t>CONTRATADO</w:t>
      </w:r>
      <w:r>
        <w:rPr>
          <w:sz w:val="22"/>
          <w:szCs w:val="22"/>
        </w:rPr>
        <w:t xml:space="preserve">; </w:t>
      </w:r>
    </w:p>
    <w:p>
      <w:pPr>
        <w:pStyle w:val="normal1"/>
        <w:spacing w:lineRule="auto" w:line="360" w:before="120" w:after="120"/>
        <w:ind w:hanging="0" w:start="567"/>
        <w:jc w:val="both"/>
        <w:rPr>
          <w:sz w:val="22"/>
          <w:szCs w:val="22"/>
        </w:rPr>
      </w:pPr>
      <w:r>
        <w:rPr>
          <w:sz w:val="22"/>
          <w:szCs w:val="22"/>
        </w:rPr>
        <w:t xml:space="preserve">4) Certidão de Regularidade do FGTS – CRF; e </w:t>
      </w:r>
    </w:p>
    <w:p>
      <w:pPr>
        <w:pStyle w:val="normal1"/>
        <w:spacing w:lineRule="auto" w:line="360" w:before="120" w:after="120"/>
        <w:ind w:hanging="0" w:start="567"/>
        <w:jc w:val="both"/>
        <w:rPr>
          <w:sz w:val="22"/>
          <w:szCs w:val="22"/>
        </w:rPr>
      </w:pPr>
      <w:r>
        <w:rPr>
          <w:sz w:val="22"/>
          <w:szCs w:val="22"/>
        </w:rPr>
        <w:t>5) Certidão Negativa de Débitos Trabalhistas – CNDT.</w:t>
      </w:r>
    </w:p>
    <w:p>
      <w:pPr>
        <w:pStyle w:val="normal1"/>
        <w:numPr>
          <w:ilvl w:val="1"/>
          <w:numId w:val="17"/>
        </w:numPr>
        <w:spacing w:lineRule="auto" w:line="360" w:before="120" w:after="120"/>
        <w:ind w:hanging="0" w:start="170"/>
        <w:jc w:val="both"/>
        <w:rPr>
          <w:sz w:val="22"/>
          <w:szCs w:val="22"/>
        </w:rPr>
      </w:pPr>
      <w:r>
        <w:rPr>
          <w:sz w:val="22"/>
          <w:szCs w:val="22"/>
        </w:rPr>
        <w:t xml:space="preserve">Responsabilizar-se pelo cumprimento de todas as obrigações trabalhistas, previdenciárias, fiscais, comerciais e as demais previstas em legislação específica, cuja inadimplência não transfere a responsabilidade ao </w:t>
      </w:r>
      <w:r>
        <w:rPr>
          <w:b/>
          <w:bCs/>
          <w:sz w:val="22"/>
          <w:szCs w:val="22"/>
        </w:rPr>
        <w:t>CONTRATANTE</w:t>
      </w:r>
      <w:r>
        <w:rPr>
          <w:sz w:val="22"/>
          <w:szCs w:val="22"/>
        </w:rPr>
        <w:t xml:space="preserve"> e não poderá onerar o objeto do contrato;</w:t>
      </w:r>
    </w:p>
    <w:p>
      <w:pPr>
        <w:pStyle w:val="normal1"/>
        <w:numPr>
          <w:ilvl w:val="1"/>
          <w:numId w:val="17"/>
        </w:numPr>
        <w:spacing w:lineRule="auto" w:line="360" w:before="120" w:after="120"/>
        <w:ind w:hanging="0" w:start="170"/>
        <w:jc w:val="both"/>
        <w:rPr>
          <w:sz w:val="22"/>
          <w:szCs w:val="22"/>
        </w:rPr>
      </w:pPr>
      <w:r>
        <w:rPr>
          <w:sz w:val="22"/>
          <w:szCs w:val="22"/>
        </w:rPr>
        <w:t>Comunicar ao Fiscal do contrato, no prazo de 24 (vinte e quatro) horas, qualquer ocorrência anormal ou acidente que se verifique no local da execução do objeto contratual;</w:t>
      </w:r>
    </w:p>
    <w:p>
      <w:pPr>
        <w:pStyle w:val="normal1"/>
        <w:numPr>
          <w:ilvl w:val="1"/>
          <w:numId w:val="17"/>
        </w:numPr>
        <w:spacing w:lineRule="auto" w:line="360" w:before="120" w:after="120"/>
        <w:ind w:hanging="0" w:start="170"/>
        <w:jc w:val="both"/>
        <w:rPr>
          <w:sz w:val="22"/>
          <w:szCs w:val="22"/>
        </w:rPr>
      </w:pPr>
      <w:r>
        <w:rPr>
          <w:sz w:val="22"/>
          <w:szCs w:val="22"/>
        </w:rPr>
        <w:t xml:space="preserve">Paralisar, por determinação do </w:t>
      </w:r>
      <w:r>
        <w:rPr>
          <w:b/>
          <w:bCs/>
          <w:sz w:val="22"/>
          <w:szCs w:val="22"/>
        </w:rPr>
        <w:t>CONTRATANTE</w:t>
      </w:r>
      <w:r>
        <w:rPr>
          <w:sz w:val="22"/>
          <w:szCs w:val="22"/>
        </w:rPr>
        <w:t>, qualquer atividade que não esteja sendo executada de acordo com a boa técnica ou que ponha em risco a segurança de pessoas ou bens de terceiros;</w:t>
      </w:r>
    </w:p>
    <w:p>
      <w:pPr>
        <w:pStyle w:val="normal1"/>
        <w:numPr>
          <w:ilvl w:val="1"/>
          <w:numId w:val="17"/>
        </w:numPr>
        <w:spacing w:lineRule="auto" w:line="360" w:before="120" w:after="120"/>
        <w:ind w:hanging="0" w:start="170"/>
        <w:jc w:val="both"/>
        <w:rPr>
          <w:sz w:val="22"/>
          <w:szCs w:val="22"/>
        </w:rPr>
      </w:pPr>
      <w:r>
        <w:rPr>
          <w:sz w:val="22"/>
          <w:szCs w:val="22"/>
        </w:rPr>
        <w:t xml:space="preserve">Manter, durante toda a vigência do contrato, em compatibilidade com as obrigações assumidas, todas as condições exigidas para habilitação na licitação; </w:t>
      </w:r>
    </w:p>
    <w:p>
      <w:pPr>
        <w:pStyle w:val="normal1"/>
        <w:numPr>
          <w:ilvl w:val="1"/>
          <w:numId w:val="17"/>
        </w:numPr>
        <w:spacing w:lineRule="auto" w:line="360" w:before="120" w:after="120"/>
        <w:ind w:hanging="0" w:start="170"/>
        <w:jc w:val="both"/>
        <w:rPr>
          <w:sz w:val="22"/>
          <w:szCs w:val="22"/>
        </w:rPr>
      </w:pPr>
      <w:r>
        <w:rPr>
          <w:sz w:val="22"/>
          <w:szCs w:val="22"/>
        </w:rPr>
        <w:t>Cumprir, durante todo o período de execução do contrato, a reserva de cargos prevista em lei para pessoa com deficiência, para reabilitado da Previdência Social ou para aprendiz, bem como as reservas de cargos previstas na legislação (Art. 116 da Lei n.º 14.133/ 2021);</w:t>
      </w:r>
    </w:p>
    <w:p>
      <w:pPr>
        <w:pStyle w:val="normal1"/>
        <w:numPr>
          <w:ilvl w:val="1"/>
          <w:numId w:val="17"/>
        </w:numPr>
        <w:spacing w:lineRule="auto" w:line="360" w:before="120" w:after="120"/>
        <w:ind w:hanging="0" w:start="170"/>
        <w:jc w:val="both"/>
        <w:rPr>
          <w:sz w:val="22"/>
          <w:szCs w:val="22"/>
        </w:rPr>
      </w:pPr>
      <w:r>
        <w:rPr>
          <w:sz w:val="22"/>
          <w:szCs w:val="22"/>
        </w:rPr>
        <w:t>Comprovar a reserva de cargos a que se refere à cláusula acima, no prazo fixado pelo fiscal do contrato, com a indicação dos empregados que preencheram as referidas vagas (Art. 116, parágrafo único, da Lei n.º 14.133/2021);</w:t>
      </w:r>
    </w:p>
    <w:p>
      <w:pPr>
        <w:pStyle w:val="normal1"/>
        <w:numPr>
          <w:ilvl w:val="1"/>
          <w:numId w:val="17"/>
        </w:numPr>
        <w:spacing w:lineRule="auto" w:line="360" w:before="120" w:after="120"/>
        <w:ind w:hanging="0" w:start="170"/>
        <w:jc w:val="both"/>
        <w:rPr>
          <w:sz w:val="22"/>
          <w:szCs w:val="22"/>
        </w:rPr>
      </w:pPr>
      <w:r>
        <w:rPr>
          <w:sz w:val="22"/>
          <w:szCs w:val="22"/>
        </w:rPr>
        <w:t xml:space="preserve">Guardar sigilo sobre todas as informações obtidas em decorrência do cumprimento do contrato; </w:t>
      </w:r>
    </w:p>
    <w:p>
      <w:pPr>
        <w:pStyle w:val="normal1"/>
        <w:numPr>
          <w:ilvl w:val="1"/>
          <w:numId w:val="17"/>
        </w:numPr>
        <w:spacing w:lineRule="auto" w:line="360" w:before="120" w:after="120"/>
        <w:ind w:hanging="0" w:start="170"/>
        <w:jc w:val="both"/>
        <w:rPr>
          <w:sz w:val="22"/>
          <w:szCs w:val="22"/>
        </w:rPr>
      </w:pPr>
      <w:r>
        <w:rPr>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pPr>
        <w:pStyle w:val="normal1"/>
        <w:numPr>
          <w:ilvl w:val="1"/>
          <w:numId w:val="17"/>
        </w:numPr>
        <w:spacing w:lineRule="auto" w:line="360" w:before="120" w:after="120"/>
        <w:ind w:hanging="0" w:start="170"/>
        <w:jc w:val="both"/>
        <w:rPr>
          <w:sz w:val="22"/>
          <w:szCs w:val="22"/>
        </w:rPr>
      </w:pPr>
      <w:r>
        <w:rPr>
          <w:sz w:val="22"/>
          <w:szCs w:val="22"/>
        </w:rPr>
        <w:t xml:space="preserve">Cumprir, além dos postulados legais vigentes de âmbito federal, estadual ou municipal, as normas de segurança do </w:t>
      </w:r>
      <w:r>
        <w:rPr>
          <w:b/>
          <w:bCs/>
          <w:sz w:val="22"/>
          <w:szCs w:val="22"/>
        </w:rPr>
        <w:t>CONTRATANTE</w:t>
      </w:r>
      <w:r>
        <w:rPr>
          <w:sz w:val="22"/>
          <w:szCs w:val="22"/>
        </w:rPr>
        <w:t>;</w:t>
      </w:r>
    </w:p>
    <w:p>
      <w:pPr>
        <w:pStyle w:val="normal1"/>
        <w:keepNext w:val="true"/>
        <w:keepLines/>
        <w:numPr>
          <w:ilvl w:val="0"/>
          <w:numId w:val="7"/>
        </w:numPr>
        <w:spacing w:lineRule="auto" w:line="360" w:before="480" w:after="280"/>
        <w:ind w:hanging="0" w:start="720"/>
        <w:rPr>
          <w:b/>
          <w:bCs/>
          <w:sz w:val="22"/>
          <w:szCs w:val="22"/>
        </w:rPr>
      </w:pPr>
      <w:r>
        <w:rPr>
          <w:b/>
          <w:bCs/>
          <w:sz w:val="22"/>
          <w:szCs w:val="22"/>
        </w:rPr>
        <w:t>RESPONSABILIDADES DO CONTRATANTE</w:t>
      </w:r>
    </w:p>
    <w:p>
      <w:pPr>
        <w:pStyle w:val="normal1"/>
        <w:numPr>
          <w:ilvl w:val="1"/>
          <w:numId w:val="37"/>
        </w:numPr>
        <w:spacing w:lineRule="auto" w:line="360" w:before="120" w:after="120"/>
        <w:ind w:hanging="359" w:start="529"/>
        <w:jc w:val="both"/>
        <w:rPr>
          <w:sz w:val="22"/>
          <w:szCs w:val="22"/>
        </w:rPr>
      </w:pPr>
      <w:r>
        <w:rPr>
          <w:sz w:val="22"/>
          <w:szCs w:val="22"/>
        </w:rPr>
        <w:t>São obrigações do CONTRATANTE, exigir o cumprimento de todas as obrigações assumidas pelo CONTRATADO;</w:t>
      </w:r>
    </w:p>
    <w:p>
      <w:pPr>
        <w:pStyle w:val="normal1"/>
        <w:numPr>
          <w:ilvl w:val="1"/>
          <w:numId w:val="37"/>
        </w:numPr>
        <w:spacing w:lineRule="auto" w:line="360" w:before="120" w:after="120"/>
        <w:ind w:hanging="0" w:start="170"/>
        <w:jc w:val="both"/>
        <w:rPr>
          <w:sz w:val="22"/>
          <w:szCs w:val="22"/>
        </w:rPr>
      </w:pPr>
      <w:r>
        <w:rPr>
          <w:sz w:val="22"/>
          <w:szCs w:val="22"/>
        </w:rPr>
        <w:t>Receber o objeto no prazo e condições estabelecidas neste Termo de Referência;</w:t>
      </w:r>
    </w:p>
    <w:p>
      <w:pPr>
        <w:pStyle w:val="normal1"/>
        <w:numPr>
          <w:ilvl w:val="1"/>
          <w:numId w:val="37"/>
        </w:numPr>
        <w:spacing w:lineRule="auto" w:line="360" w:before="120" w:after="120"/>
        <w:ind w:hanging="0" w:start="170"/>
        <w:jc w:val="both"/>
        <w:rPr>
          <w:sz w:val="22"/>
          <w:szCs w:val="22"/>
        </w:rPr>
      </w:pPr>
      <w:r>
        <w:rPr>
          <w:sz w:val="22"/>
          <w:szCs w:val="22"/>
        </w:rPr>
        <w:t xml:space="preserve">Notificar o </w:t>
      </w:r>
      <w:r>
        <w:rPr>
          <w:b/>
          <w:bCs/>
          <w:sz w:val="22"/>
          <w:szCs w:val="22"/>
        </w:rPr>
        <w:t>CONTRATADO</w:t>
      </w:r>
      <w:r>
        <w:rPr>
          <w:sz w:val="22"/>
          <w:szCs w:val="22"/>
        </w:rPr>
        <w:t xml:space="preserve"> por escrito sobre vícios, defeitos ou incorreções verificadas no objeto fornecido, para que seja por ele substituído, reparado ou corrigido, no total ou em parte, às suas expensas;</w:t>
      </w:r>
    </w:p>
    <w:p>
      <w:pPr>
        <w:pStyle w:val="normal1"/>
        <w:numPr>
          <w:ilvl w:val="1"/>
          <w:numId w:val="37"/>
        </w:numPr>
        <w:spacing w:lineRule="auto" w:line="360" w:before="120" w:after="120"/>
        <w:ind w:hanging="0" w:start="170"/>
        <w:jc w:val="both"/>
        <w:rPr>
          <w:sz w:val="22"/>
          <w:szCs w:val="22"/>
        </w:rPr>
      </w:pPr>
      <w:r>
        <w:rPr>
          <w:sz w:val="22"/>
          <w:szCs w:val="22"/>
        </w:rPr>
        <w:t xml:space="preserve">Acompanhar e fiscalizar a execução do contrato e o cumprimento das obrigações pelo </w:t>
      </w:r>
      <w:r>
        <w:rPr>
          <w:b/>
          <w:bCs/>
          <w:sz w:val="22"/>
          <w:szCs w:val="22"/>
        </w:rPr>
        <w:t>CONTRATADO</w:t>
      </w:r>
      <w:r>
        <w:rPr>
          <w:sz w:val="22"/>
          <w:szCs w:val="22"/>
        </w:rPr>
        <w:t>;</w:t>
      </w:r>
    </w:p>
    <w:p>
      <w:pPr>
        <w:pStyle w:val="normal1"/>
        <w:numPr>
          <w:ilvl w:val="1"/>
          <w:numId w:val="37"/>
        </w:numPr>
        <w:spacing w:lineRule="auto" w:line="360" w:before="120" w:after="120"/>
        <w:ind w:hanging="0" w:start="170"/>
        <w:jc w:val="both"/>
        <w:rPr>
          <w:sz w:val="22"/>
          <w:szCs w:val="22"/>
        </w:rPr>
      </w:pPr>
      <w:r>
        <w:rPr>
          <w:sz w:val="22"/>
          <w:szCs w:val="22"/>
        </w:rPr>
        <w:t>Comunicar a empresa para emissão de Nota Fiscal no que for pertinente à parcela incontroversa da execução do objeto, para efeito de liquidação e pagamento, quando houver controvérsia sobre a execução do objeto, quanto à dimensão, qualidade e quantidade, conforme o art. 143 da Lei n.º 14.133/2021;</w:t>
      </w:r>
    </w:p>
    <w:p>
      <w:pPr>
        <w:pStyle w:val="normal1"/>
        <w:numPr>
          <w:ilvl w:val="1"/>
          <w:numId w:val="37"/>
        </w:numPr>
        <w:spacing w:lineRule="auto" w:line="360" w:before="120" w:after="120"/>
        <w:ind w:hanging="0" w:start="170"/>
        <w:jc w:val="both"/>
        <w:rPr>
          <w:sz w:val="22"/>
          <w:szCs w:val="22"/>
        </w:rPr>
      </w:pPr>
      <w:r>
        <w:rPr>
          <w:sz w:val="22"/>
          <w:szCs w:val="22"/>
        </w:rPr>
        <w:t xml:space="preserve">Efetuar o pagamento ao </w:t>
      </w:r>
      <w:r>
        <w:rPr>
          <w:b/>
          <w:bCs/>
          <w:sz w:val="22"/>
          <w:szCs w:val="22"/>
        </w:rPr>
        <w:t>CONTRATADO</w:t>
      </w:r>
      <w:r>
        <w:rPr>
          <w:sz w:val="22"/>
          <w:szCs w:val="22"/>
        </w:rPr>
        <w:t xml:space="preserve"> do valor correspondente à execução do objeto, no prazo, forma e condições estabelecidos no presente Contrato e no Termo de Referência;</w:t>
      </w:r>
    </w:p>
    <w:p>
      <w:pPr>
        <w:pStyle w:val="normal1"/>
        <w:numPr>
          <w:ilvl w:val="1"/>
          <w:numId w:val="37"/>
        </w:numPr>
        <w:spacing w:lineRule="auto" w:line="360" w:before="120" w:after="120"/>
        <w:ind w:hanging="0" w:start="170"/>
        <w:jc w:val="both"/>
        <w:rPr>
          <w:sz w:val="22"/>
          <w:szCs w:val="22"/>
        </w:rPr>
      </w:pPr>
      <w:r>
        <w:rPr>
          <w:sz w:val="22"/>
          <w:szCs w:val="22"/>
        </w:rPr>
        <w:t xml:space="preserve">Aplicar ao </w:t>
      </w:r>
      <w:r>
        <w:rPr>
          <w:b/>
          <w:bCs/>
          <w:sz w:val="22"/>
          <w:szCs w:val="22"/>
        </w:rPr>
        <w:t>CONTRATADO</w:t>
      </w:r>
      <w:r>
        <w:rPr>
          <w:sz w:val="22"/>
          <w:szCs w:val="22"/>
        </w:rPr>
        <w:t xml:space="preserve"> as sanções previstas na lei; </w:t>
      </w:r>
    </w:p>
    <w:p>
      <w:pPr>
        <w:pStyle w:val="normal1"/>
        <w:numPr>
          <w:ilvl w:val="1"/>
          <w:numId w:val="37"/>
        </w:numPr>
        <w:spacing w:lineRule="auto" w:line="360" w:before="120" w:after="120"/>
        <w:ind w:hanging="0" w:start="170"/>
        <w:jc w:val="both"/>
        <w:rPr>
          <w:sz w:val="22"/>
          <w:szCs w:val="22"/>
        </w:rPr>
      </w:pPr>
      <w:r>
        <w:rPr>
          <w:sz w:val="22"/>
          <w:szCs w:val="22"/>
        </w:rPr>
        <w:t xml:space="preserve">Cientificar o órgão de representação da Controladoria Geral do Município para adoção das medidas cabíveis quando do descumprimento de obrigações pelo </w:t>
      </w:r>
      <w:r>
        <w:rPr>
          <w:b/>
          <w:bCs/>
          <w:sz w:val="22"/>
          <w:szCs w:val="22"/>
        </w:rPr>
        <w:t>CONTRATADO</w:t>
      </w:r>
      <w:r>
        <w:rPr>
          <w:sz w:val="22"/>
          <w:szCs w:val="22"/>
        </w:rPr>
        <w:t>;</w:t>
      </w:r>
    </w:p>
    <w:p>
      <w:pPr>
        <w:pStyle w:val="normal1"/>
        <w:numPr>
          <w:ilvl w:val="1"/>
          <w:numId w:val="37"/>
        </w:numPr>
        <w:spacing w:lineRule="auto" w:line="360" w:before="120" w:after="120"/>
        <w:ind w:hanging="0" w:start="170"/>
        <w:jc w:val="both"/>
        <w:rPr>
          <w:sz w:val="22"/>
          <w:szCs w:val="22"/>
        </w:rPr>
      </w:pPr>
      <w:r>
        <w:rPr>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1"/>
        <w:numPr>
          <w:ilvl w:val="1"/>
          <w:numId w:val="37"/>
        </w:numPr>
        <w:spacing w:lineRule="auto" w:line="360" w:before="120" w:after="120"/>
        <w:ind w:hanging="0" w:start="170"/>
        <w:jc w:val="both"/>
        <w:rPr>
          <w:sz w:val="22"/>
          <w:szCs w:val="22"/>
        </w:rPr>
      </w:pPr>
      <w:r>
        <w:rPr>
          <w:sz w:val="22"/>
          <w:szCs w:val="22"/>
        </w:rPr>
        <w:t xml:space="preserve">A Administração não responderá por quaisquer compromissos assumidos pelo </w:t>
      </w:r>
      <w:r>
        <w:rPr>
          <w:b/>
          <w:bCs/>
          <w:sz w:val="22"/>
          <w:szCs w:val="22"/>
        </w:rPr>
        <w:t>CONTRATADO</w:t>
      </w:r>
      <w:r>
        <w:rPr>
          <w:sz w:val="22"/>
          <w:szCs w:val="22"/>
        </w:rPr>
        <w:t xml:space="preserve"> com terceiros, ainda que vinculados à execução do contrato, bem como por qualquer dano causado a terceiros em decorrência de ato do </w:t>
      </w:r>
      <w:r>
        <w:rPr>
          <w:b/>
          <w:bCs/>
          <w:sz w:val="22"/>
          <w:szCs w:val="22"/>
        </w:rPr>
        <w:t>CONTRATADO</w:t>
      </w:r>
      <w:r>
        <w:rPr>
          <w:sz w:val="22"/>
          <w:szCs w:val="22"/>
        </w:rPr>
        <w:t>, de seus empregados, prepostos ou subordinados.</w:t>
      </w:r>
    </w:p>
    <w:p>
      <w:pPr>
        <w:pStyle w:val="normal1"/>
        <w:keepNext w:val="true"/>
        <w:keepLines/>
        <w:numPr>
          <w:ilvl w:val="0"/>
          <w:numId w:val="7"/>
        </w:numPr>
        <w:spacing w:lineRule="auto" w:line="360" w:before="480" w:after="280"/>
        <w:ind w:hanging="0" w:start="720"/>
        <w:rPr>
          <w:b/>
          <w:bCs/>
          <w:sz w:val="22"/>
          <w:szCs w:val="22"/>
        </w:rPr>
      </w:pPr>
      <w:r>
        <w:rPr>
          <w:b/>
          <w:bCs/>
          <w:sz w:val="22"/>
          <w:szCs w:val="22"/>
        </w:rPr>
        <w:t>INFRAÇÕES E SANÇÕES ADMINISTRATIVAS</w:t>
      </w:r>
    </w:p>
    <w:p>
      <w:pPr>
        <w:pStyle w:val="normal1"/>
        <w:numPr>
          <w:ilvl w:val="1"/>
          <w:numId w:val="8"/>
        </w:numPr>
        <w:spacing w:lineRule="auto" w:line="360" w:before="120" w:after="120"/>
        <w:ind w:hanging="359" w:start="529"/>
        <w:jc w:val="both"/>
        <w:rPr>
          <w:sz w:val="22"/>
          <w:szCs w:val="22"/>
        </w:rPr>
      </w:pPr>
      <w:r>
        <w:rPr>
          <w:sz w:val="22"/>
          <w:szCs w:val="22"/>
        </w:rPr>
        <w:t xml:space="preserve">Comete infração administrativa, nos termos da Lei n.º 14.133/2021, o </w:t>
      </w:r>
      <w:r>
        <w:rPr>
          <w:b/>
          <w:bCs/>
          <w:sz w:val="22"/>
          <w:szCs w:val="22"/>
        </w:rPr>
        <w:t>CONTRATADO</w:t>
      </w:r>
      <w:r>
        <w:rPr>
          <w:sz w:val="22"/>
          <w:szCs w:val="22"/>
        </w:rPr>
        <w:t xml:space="preserve"> que:</w:t>
      </w:r>
    </w:p>
    <w:p>
      <w:pPr>
        <w:pStyle w:val="normal1"/>
        <w:numPr>
          <w:ilvl w:val="2"/>
          <w:numId w:val="27"/>
        </w:numPr>
        <w:spacing w:lineRule="auto" w:line="360" w:before="120" w:after="120"/>
        <w:ind w:hanging="0" w:start="170"/>
        <w:jc w:val="both"/>
        <w:rPr>
          <w:sz w:val="22"/>
          <w:szCs w:val="22"/>
        </w:rPr>
      </w:pPr>
      <w:r>
        <w:rPr>
          <w:sz w:val="22"/>
          <w:szCs w:val="22"/>
        </w:rPr>
        <w:t>Der causa à inexecução parcial do contrato;</w:t>
      </w:r>
    </w:p>
    <w:p>
      <w:pPr>
        <w:pStyle w:val="normal1"/>
        <w:numPr>
          <w:ilvl w:val="2"/>
          <w:numId w:val="27"/>
        </w:numPr>
        <w:spacing w:lineRule="auto" w:line="360" w:before="120" w:after="120"/>
        <w:ind w:hanging="0" w:start="170"/>
        <w:jc w:val="both"/>
        <w:rPr>
          <w:sz w:val="22"/>
          <w:szCs w:val="22"/>
        </w:rPr>
      </w:pPr>
      <w:r>
        <w:rPr>
          <w:sz w:val="22"/>
          <w:szCs w:val="22"/>
        </w:rPr>
        <w:t>Der causa à inexecução parcial do contrato que cause grave dano à Administração ou ao funcionamento dos serviços públicos ou ao interesse coletivo;</w:t>
      </w:r>
    </w:p>
    <w:p>
      <w:pPr>
        <w:pStyle w:val="normal1"/>
        <w:numPr>
          <w:ilvl w:val="2"/>
          <w:numId w:val="27"/>
        </w:numPr>
        <w:spacing w:lineRule="auto" w:line="360" w:before="120" w:after="120"/>
        <w:ind w:hanging="0" w:start="170"/>
        <w:jc w:val="both"/>
        <w:rPr>
          <w:sz w:val="22"/>
          <w:szCs w:val="22"/>
        </w:rPr>
      </w:pPr>
      <w:r>
        <w:rPr>
          <w:sz w:val="22"/>
          <w:szCs w:val="22"/>
        </w:rPr>
        <w:t>Der causa à inexecução total do contrato;</w:t>
      </w:r>
    </w:p>
    <w:p>
      <w:pPr>
        <w:pStyle w:val="normal1"/>
        <w:numPr>
          <w:ilvl w:val="2"/>
          <w:numId w:val="27"/>
        </w:numPr>
        <w:spacing w:lineRule="auto" w:line="360" w:before="120" w:after="120"/>
        <w:ind w:hanging="0" w:start="170"/>
        <w:jc w:val="both"/>
        <w:rPr>
          <w:sz w:val="22"/>
          <w:szCs w:val="22"/>
        </w:rPr>
      </w:pPr>
      <w:r>
        <w:rPr>
          <w:sz w:val="22"/>
          <w:szCs w:val="22"/>
        </w:rPr>
        <w:t>Ensejar o retardamento da execução ou da entrega do objeto da contratação sem motivo justificado;</w:t>
      </w:r>
    </w:p>
    <w:p>
      <w:pPr>
        <w:pStyle w:val="normal1"/>
        <w:numPr>
          <w:ilvl w:val="2"/>
          <w:numId w:val="27"/>
        </w:numPr>
        <w:spacing w:lineRule="auto" w:line="360" w:before="120" w:after="120"/>
        <w:ind w:hanging="0" w:start="170"/>
        <w:jc w:val="both"/>
        <w:rPr>
          <w:sz w:val="22"/>
          <w:szCs w:val="22"/>
        </w:rPr>
      </w:pPr>
      <w:r>
        <w:rPr>
          <w:sz w:val="22"/>
          <w:szCs w:val="22"/>
        </w:rPr>
        <w:t>Apresentar documentação falsa ou prestar declaração falsa durante a execução do contrato;</w:t>
      </w:r>
    </w:p>
    <w:p>
      <w:pPr>
        <w:pStyle w:val="normal1"/>
        <w:numPr>
          <w:ilvl w:val="2"/>
          <w:numId w:val="27"/>
        </w:numPr>
        <w:spacing w:lineRule="auto" w:line="360" w:before="120" w:after="120"/>
        <w:ind w:hanging="0" w:start="170"/>
        <w:jc w:val="both"/>
        <w:rPr>
          <w:sz w:val="22"/>
          <w:szCs w:val="22"/>
        </w:rPr>
      </w:pPr>
      <w:r>
        <w:rPr>
          <w:sz w:val="22"/>
          <w:szCs w:val="22"/>
        </w:rPr>
        <w:t>Praticar ato fraudulento na execução do contrato;</w:t>
      </w:r>
    </w:p>
    <w:p>
      <w:pPr>
        <w:pStyle w:val="normal1"/>
        <w:numPr>
          <w:ilvl w:val="2"/>
          <w:numId w:val="27"/>
        </w:numPr>
        <w:spacing w:lineRule="auto" w:line="360" w:before="120" w:after="120"/>
        <w:ind w:hanging="0" w:start="170"/>
        <w:jc w:val="both"/>
        <w:rPr>
          <w:sz w:val="22"/>
          <w:szCs w:val="22"/>
        </w:rPr>
      </w:pPr>
      <w:r>
        <w:rPr>
          <w:sz w:val="22"/>
          <w:szCs w:val="22"/>
        </w:rPr>
        <w:t>Comportar-se de modo inidôneo ou cometer fraude de qualquer natureza;</w:t>
      </w:r>
    </w:p>
    <w:p>
      <w:pPr>
        <w:pStyle w:val="normal1"/>
        <w:numPr>
          <w:ilvl w:val="2"/>
          <w:numId w:val="27"/>
        </w:numPr>
        <w:spacing w:lineRule="auto" w:line="360" w:before="120" w:after="120"/>
        <w:ind w:hanging="0" w:start="170"/>
        <w:jc w:val="both"/>
        <w:rPr>
          <w:sz w:val="22"/>
          <w:szCs w:val="22"/>
        </w:rPr>
      </w:pPr>
      <w:r>
        <w:rPr>
          <w:sz w:val="22"/>
          <w:szCs w:val="22"/>
        </w:rPr>
        <w:t>Praticar ato lesivo previsto no art. 5º da Lei n.º 12.846, de 1º de agosto de 2013.</w:t>
      </w:r>
    </w:p>
    <w:p>
      <w:pPr>
        <w:pStyle w:val="normal1"/>
        <w:numPr>
          <w:ilvl w:val="1"/>
          <w:numId w:val="8"/>
        </w:numPr>
        <w:spacing w:lineRule="auto" w:line="360" w:before="120" w:after="120"/>
        <w:ind w:hanging="0" w:start="170"/>
        <w:jc w:val="both"/>
        <w:rPr>
          <w:sz w:val="22"/>
          <w:szCs w:val="22"/>
        </w:rPr>
      </w:pPr>
      <w:r>
        <w:rPr>
          <w:sz w:val="22"/>
          <w:szCs w:val="22"/>
        </w:rPr>
        <w:t xml:space="preserve"> </w:t>
      </w:r>
      <w:r>
        <w:rPr>
          <w:sz w:val="22"/>
          <w:szCs w:val="22"/>
        </w:rPr>
        <w:t xml:space="preserve">Serão aplicadas ao </w:t>
      </w:r>
      <w:r>
        <w:rPr>
          <w:b/>
          <w:bCs/>
          <w:sz w:val="22"/>
          <w:szCs w:val="22"/>
        </w:rPr>
        <w:t>CONTRATADO</w:t>
      </w:r>
      <w:r>
        <w:rPr>
          <w:sz w:val="22"/>
          <w:szCs w:val="22"/>
        </w:rPr>
        <w:t xml:space="preserve"> que incorrer nas infrações acima descritas as seguintes sanções:</w:t>
      </w:r>
    </w:p>
    <w:p>
      <w:pPr>
        <w:pStyle w:val="normal1"/>
        <w:numPr>
          <w:ilvl w:val="0"/>
          <w:numId w:val="19"/>
        </w:numPr>
        <w:spacing w:lineRule="auto" w:line="360" w:before="120" w:after="120"/>
        <w:ind w:hanging="0" w:start="170"/>
        <w:jc w:val="both"/>
        <w:rPr>
          <w:sz w:val="22"/>
          <w:szCs w:val="22"/>
        </w:rPr>
      </w:pPr>
      <w:r>
        <w:rPr>
          <w:b/>
          <w:bCs/>
          <w:sz w:val="22"/>
          <w:szCs w:val="22"/>
        </w:rPr>
        <w:t>Advertência</w:t>
      </w:r>
      <w:r>
        <w:rPr>
          <w:sz w:val="22"/>
          <w:szCs w:val="22"/>
        </w:rPr>
        <w:t xml:space="preserve">, quando o </w:t>
      </w:r>
      <w:r>
        <w:rPr>
          <w:b/>
          <w:bCs/>
          <w:sz w:val="22"/>
          <w:szCs w:val="22"/>
        </w:rPr>
        <w:t>CONTRATADO</w:t>
      </w:r>
      <w:r>
        <w:rPr>
          <w:sz w:val="22"/>
          <w:szCs w:val="22"/>
        </w:rPr>
        <w:t xml:space="preserve"> der causa à inexecução parcial do contrato, sempre que não se justificar a imposição de penalidade mais grave (Art. 156, §2º, da Lei n.º 14.133/2021);</w:t>
      </w:r>
    </w:p>
    <w:p>
      <w:pPr>
        <w:pStyle w:val="normal1"/>
        <w:numPr>
          <w:ilvl w:val="0"/>
          <w:numId w:val="19"/>
        </w:numPr>
        <w:spacing w:lineRule="auto" w:line="360" w:before="120" w:after="120"/>
        <w:ind w:hanging="0" w:start="170"/>
        <w:jc w:val="both"/>
        <w:rPr>
          <w:sz w:val="22"/>
          <w:szCs w:val="22"/>
        </w:rPr>
      </w:pPr>
      <w:r>
        <w:rPr>
          <w:b/>
          <w:bCs/>
          <w:sz w:val="22"/>
          <w:szCs w:val="22"/>
        </w:rPr>
        <w:t>Impedimento de licitar e contratar</w:t>
      </w:r>
      <w:r>
        <w:rPr>
          <w:sz w:val="22"/>
          <w:szCs w:val="22"/>
        </w:rPr>
        <w:t>, quando praticadas as condutas descritas nas alíneas “b”, “c” e “d” do subitem acima deste contrato, sempre que não se justificar a imposição de penalidade mais grave (Art. 156, § 4º, da Lei n.º 14.133/2021);</w:t>
      </w:r>
    </w:p>
    <w:p>
      <w:pPr>
        <w:pStyle w:val="normal1"/>
        <w:numPr>
          <w:ilvl w:val="0"/>
          <w:numId w:val="19"/>
        </w:numPr>
        <w:spacing w:lineRule="auto" w:line="360" w:before="120" w:after="120"/>
        <w:ind w:hanging="0" w:start="170"/>
        <w:jc w:val="both"/>
        <w:rPr>
          <w:sz w:val="22"/>
          <w:szCs w:val="22"/>
        </w:rPr>
      </w:pPr>
      <w:r>
        <w:rPr>
          <w:b/>
          <w:bCs/>
          <w:sz w:val="22"/>
          <w:szCs w:val="22"/>
        </w:rPr>
        <w:t>Declaração de inidoneidade para licitar e contratar</w:t>
      </w:r>
      <w:r>
        <w:rPr>
          <w:sz w:val="22"/>
          <w:szCs w:val="22"/>
        </w:rPr>
        <w:t>, quando praticadas as condutas descritas nas alíneas “e”, “f”, “g” e “h” do subitem acima deste contrato, bem como nas alíneas “b”, “c” e “d”, que justifiquem a imposição de penalidade mais grave (Art. 156, §5º, da Lei n.º 14.133/2021).</w:t>
      </w:r>
    </w:p>
    <w:p>
      <w:pPr>
        <w:pStyle w:val="normal1"/>
        <w:numPr>
          <w:ilvl w:val="0"/>
          <w:numId w:val="19"/>
        </w:numPr>
        <w:spacing w:lineRule="auto" w:line="360" w:before="120" w:after="120"/>
        <w:ind w:hanging="0" w:start="170"/>
        <w:jc w:val="both"/>
        <w:rPr>
          <w:sz w:val="22"/>
          <w:szCs w:val="22"/>
        </w:rPr>
      </w:pPr>
      <w:r>
        <w:rPr>
          <w:b/>
          <w:bCs/>
          <w:sz w:val="22"/>
          <w:szCs w:val="22"/>
        </w:rPr>
        <w:t>Multa:</w:t>
      </w:r>
    </w:p>
    <w:p>
      <w:pPr>
        <w:pStyle w:val="normal1"/>
        <w:numPr>
          <w:ilvl w:val="1"/>
          <w:numId w:val="21"/>
        </w:numPr>
        <w:spacing w:lineRule="auto" w:line="360" w:before="120" w:after="120"/>
        <w:ind w:hanging="0" w:start="567"/>
        <w:jc w:val="both"/>
        <w:rPr>
          <w:sz w:val="22"/>
          <w:szCs w:val="22"/>
        </w:rPr>
      </w:pPr>
      <w:r>
        <w:rPr>
          <w:sz w:val="22"/>
          <w:szCs w:val="22"/>
        </w:rPr>
        <w:t xml:space="preserve"> </w:t>
      </w:r>
      <w:r>
        <w:rPr>
          <w:sz w:val="22"/>
          <w:szCs w:val="22"/>
        </w:rPr>
        <w:t xml:space="preserve">Moratória de 0,5% por dia de atraso injustificado sobre o valor da parcela inadimplida, até o limite de 10 dias; </w:t>
      </w:r>
    </w:p>
    <w:p>
      <w:pPr>
        <w:pStyle w:val="normal1"/>
        <w:numPr>
          <w:ilvl w:val="1"/>
          <w:numId w:val="21"/>
        </w:numPr>
        <w:spacing w:lineRule="auto" w:line="360" w:before="120" w:after="120"/>
        <w:ind w:hanging="0" w:start="567"/>
        <w:jc w:val="both"/>
        <w:rPr>
          <w:sz w:val="22"/>
          <w:szCs w:val="22"/>
        </w:rPr>
      </w:pPr>
      <w:r>
        <w:rPr>
          <w:sz w:val="22"/>
          <w:szCs w:val="22"/>
        </w:rPr>
        <w:t xml:space="preserve">O atraso superior a 10 dias autoriza a Administração a promover a extinção do contrato por descumprimento ou cumprimento irregular de suas cláusulas, conforme dispõe o inciso I do art. 137 da Lei n.º 14.133/2021. </w:t>
      </w:r>
    </w:p>
    <w:p>
      <w:pPr>
        <w:pStyle w:val="normal1"/>
        <w:numPr>
          <w:ilvl w:val="1"/>
          <w:numId w:val="21"/>
        </w:numPr>
        <w:spacing w:lineRule="auto" w:line="360" w:before="120" w:after="120"/>
        <w:ind w:hanging="0" w:start="567"/>
        <w:jc w:val="both"/>
        <w:rPr>
          <w:sz w:val="22"/>
          <w:szCs w:val="22"/>
        </w:rPr>
      </w:pPr>
      <w:r>
        <w:rPr>
          <w:sz w:val="22"/>
          <w:szCs w:val="22"/>
        </w:rPr>
        <w:t xml:space="preserve">Compensatória de 10% sobre o valor total do contrato, no caso de inexecução total do objeto. </w:t>
      </w:r>
    </w:p>
    <w:p>
      <w:pPr>
        <w:pStyle w:val="normal1"/>
        <w:numPr>
          <w:ilvl w:val="1"/>
          <w:numId w:val="8"/>
        </w:numPr>
        <w:spacing w:lineRule="auto" w:line="360" w:before="120" w:after="120"/>
        <w:ind w:hanging="0" w:start="170"/>
        <w:jc w:val="both"/>
        <w:rPr>
          <w:sz w:val="22"/>
          <w:szCs w:val="22"/>
        </w:rPr>
      </w:pPr>
      <w:r>
        <w:rPr>
          <w:sz w:val="22"/>
          <w:szCs w:val="22"/>
        </w:rPr>
        <w:t xml:space="preserve">A aplicação das sanções previstas neste termo não exclui, em hipótese alguma, a obrigação de reparação integral do dano causado ao </w:t>
      </w:r>
      <w:r>
        <w:rPr>
          <w:b/>
          <w:bCs/>
          <w:sz w:val="22"/>
          <w:szCs w:val="22"/>
        </w:rPr>
        <w:t>CONTRATANTE</w:t>
      </w:r>
      <w:r>
        <w:rPr>
          <w:sz w:val="22"/>
          <w:szCs w:val="22"/>
        </w:rPr>
        <w:t xml:space="preserve"> (Art. 156, §9º, da Lei n.º 14.133/2021);</w:t>
      </w:r>
    </w:p>
    <w:p>
      <w:pPr>
        <w:pStyle w:val="normal1"/>
        <w:numPr>
          <w:ilvl w:val="1"/>
          <w:numId w:val="8"/>
        </w:numPr>
        <w:spacing w:lineRule="auto" w:line="360" w:before="120" w:after="120"/>
        <w:ind w:hanging="0" w:start="170"/>
        <w:jc w:val="both"/>
        <w:rPr>
          <w:sz w:val="22"/>
          <w:szCs w:val="22"/>
        </w:rPr>
      </w:pPr>
      <w:r>
        <w:rPr>
          <w:sz w:val="22"/>
          <w:szCs w:val="22"/>
        </w:rPr>
        <w:t>Todas as sanções previstas neste termo poderão ser aplicadas cumulativamente com a multa (Art. 156, §7º, da Lei n.º 14.133/2021);</w:t>
      </w:r>
    </w:p>
    <w:p>
      <w:pPr>
        <w:pStyle w:val="normal1"/>
        <w:numPr>
          <w:ilvl w:val="2"/>
          <w:numId w:val="8"/>
        </w:numPr>
        <w:spacing w:lineRule="auto" w:line="360" w:before="120" w:after="120"/>
        <w:ind w:hanging="720" w:start="1060"/>
        <w:jc w:val="both"/>
        <w:rPr>
          <w:sz w:val="22"/>
          <w:szCs w:val="22"/>
        </w:rPr>
      </w:pPr>
      <w:r>
        <w:rPr>
          <w:sz w:val="22"/>
          <w:szCs w:val="22"/>
        </w:rPr>
        <w:t>Antes da aplicação da multa será facultada a defesa do interessado no prazo de 15 (quinze) dias úteis, contado da data de sua intimação (Art. 157, da Lei n.º 14.133/2021);</w:t>
      </w:r>
    </w:p>
    <w:p>
      <w:pPr>
        <w:pStyle w:val="normal1"/>
        <w:numPr>
          <w:ilvl w:val="2"/>
          <w:numId w:val="8"/>
        </w:numPr>
        <w:spacing w:lineRule="auto" w:line="360" w:before="120" w:after="120"/>
        <w:ind w:hanging="720" w:start="1060"/>
        <w:jc w:val="both"/>
        <w:rPr>
          <w:sz w:val="22"/>
          <w:szCs w:val="22"/>
        </w:rPr>
      </w:pPr>
      <w:r>
        <w:rPr>
          <w:sz w:val="22"/>
          <w:szCs w:val="22"/>
        </w:rPr>
        <w:t xml:space="preserve">Se a multa aplicada e as indenizações cabíveis forem superiores ao valor do pagamento eventualmente devido pelo </w:t>
      </w:r>
      <w:r>
        <w:rPr>
          <w:b/>
          <w:bCs/>
          <w:sz w:val="22"/>
          <w:szCs w:val="22"/>
        </w:rPr>
        <w:t>CONTRATANTE</w:t>
      </w:r>
      <w:r>
        <w:rPr>
          <w:sz w:val="22"/>
          <w:szCs w:val="22"/>
        </w:rPr>
        <w:t xml:space="preserve"> ao </w:t>
      </w:r>
      <w:r>
        <w:rPr>
          <w:b/>
          <w:bCs/>
          <w:sz w:val="22"/>
          <w:szCs w:val="22"/>
        </w:rPr>
        <w:t>CONTRATADO</w:t>
      </w:r>
      <w:r>
        <w:rPr>
          <w:sz w:val="22"/>
          <w:szCs w:val="22"/>
        </w:rPr>
        <w:t>, além da perda desse valor, a diferença será descontada da garantia prestada ou será cobrada judicialmente (Art. 156, §8º, da Lei n.º 14.133/2021);</w:t>
      </w:r>
    </w:p>
    <w:p>
      <w:pPr>
        <w:pStyle w:val="normal1"/>
        <w:numPr>
          <w:ilvl w:val="2"/>
          <w:numId w:val="8"/>
        </w:numPr>
        <w:spacing w:lineRule="auto" w:line="360" w:before="120" w:after="120"/>
        <w:ind w:hanging="720" w:start="1060"/>
        <w:jc w:val="both"/>
        <w:rPr>
          <w:sz w:val="22"/>
          <w:szCs w:val="22"/>
        </w:rPr>
      </w:pPr>
      <w:bookmarkStart w:id="31" w:name="_heading=h.8d7wszth6u4r"/>
      <w:bookmarkEnd w:id="31"/>
      <w:r>
        <w:rPr>
          <w:sz w:val="22"/>
          <w:szCs w:val="22"/>
        </w:rPr>
        <w:t>Previamente ao encaminhamento à cobrança judicial, a multa poderá ser recolhida administrativamente no prazo máximo de 10 dias, a contar da data do recebimento da comunicação enviada pela autoridade competente.</w:t>
      </w:r>
    </w:p>
    <w:p>
      <w:pPr>
        <w:pStyle w:val="normal1"/>
        <w:numPr>
          <w:ilvl w:val="1"/>
          <w:numId w:val="8"/>
        </w:numPr>
        <w:spacing w:lineRule="auto" w:line="360" w:before="120" w:after="120"/>
        <w:ind w:hanging="0" w:start="170"/>
        <w:jc w:val="both"/>
        <w:rPr>
          <w:sz w:val="22"/>
          <w:szCs w:val="22"/>
        </w:rPr>
      </w:pPr>
      <w:r>
        <w:rPr>
          <w:sz w:val="22"/>
          <w:szCs w:val="22"/>
        </w:rPr>
        <w:t xml:space="preserve">A aplicação das sanções realizar-se-á em processo administrativo que assegure o contraditório e a ampla defesa ao </w:t>
      </w:r>
      <w:r>
        <w:rPr>
          <w:b/>
          <w:bCs/>
          <w:sz w:val="22"/>
          <w:szCs w:val="22"/>
        </w:rPr>
        <w:t>CONTRATADO</w:t>
      </w:r>
      <w:r>
        <w:rPr>
          <w:sz w:val="22"/>
          <w:szCs w:val="22"/>
        </w:rPr>
        <w:t>, observando-se o procedimento previsto no caput e parágrafos do art. 158 da Lei n.º 14.133/2021, para as penalidades de impedimento de licitar e contratar e de declaração de inidoneidade para licitar ou contratar;</w:t>
      </w:r>
    </w:p>
    <w:p>
      <w:pPr>
        <w:pStyle w:val="normal1"/>
        <w:numPr>
          <w:ilvl w:val="1"/>
          <w:numId w:val="8"/>
        </w:numPr>
        <w:spacing w:lineRule="auto" w:line="360" w:before="120" w:after="120"/>
        <w:ind w:hanging="0" w:start="170"/>
        <w:jc w:val="both"/>
        <w:rPr>
          <w:sz w:val="22"/>
          <w:szCs w:val="22"/>
        </w:rPr>
      </w:pPr>
      <w:r>
        <w:rPr>
          <w:sz w:val="22"/>
          <w:szCs w:val="22"/>
        </w:rPr>
        <w:t>Na aplicação das sanções serão considerados (Art. 156, §1º, da Lei n.º 14.133/2021):</w:t>
      </w:r>
    </w:p>
    <w:p>
      <w:pPr>
        <w:pStyle w:val="normal1"/>
        <w:numPr>
          <w:ilvl w:val="2"/>
          <w:numId w:val="15"/>
        </w:numPr>
        <w:spacing w:lineRule="auto" w:line="360" w:before="120" w:after="120"/>
        <w:ind w:hanging="0" w:start="170"/>
        <w:jc w:val="both"/>
        <w:rPr>
          <w:sz w:val="22"/>
          <w:szCs w:val="22"/>
        </w:rPr>
      </w:pPr>
      <w:r>
        <w:rPr>
          <w:sz w:val="22"/>
          <w:szCs w:val="22"/>
        </w:rPr>
        <w:t>A natureza e a gravidade da infração cometida;</w:t>
      </w:r>
    </w:p>
    <w:p>
      <w:pPr>
        <w:pStyle w:val="normal1"/>
        <w:numPr>
          <w:ilvl w:val="2"/>
          <w:numId w:val="15"/>
        </w:numPr>
        <w:spacing w:lineRule="auto" w:line="360" w:before="120" w:after="120"/>
        <w:ind w:hanging="0" w:start="170"/>
        <w:jc w:val="both"/>
        <w:rPr>
          <w:sz w:val="22"/>
          <w:szCs w:val="22"/>
        </w:rPr>
      </w:pPr>
      <w:r>
        <w:rPr>
          <w:sz w:val="22"/>
          <w:szCs w:val="22"/>
        </w:rPr>
        <w:t>As peculiaridades do caso concreto;</w:t>
      </w:r>
    </w:p>
    <w:p>
      <w:pPr>
        <w:pStyle w:val="normal1"/>
        <w:numPr>
          <w:ilvl w:val="2"/>
          <w:numId w:val="15"/>
        </w:numPr>
        <w:spacing w:lineRule="auto" w:line="360" w:before="120" w:after="120"/>
        <w:ind w:hanging="0" w:start="170"/>
        <w:jc w:val="both"/>
        <w:rPr>
          <w:sz w:val="22"/>
          <w:szCs w:val="22"/>
        </w:rPr>
      </w:pPr>
      <w:r>
        <w:rPr>
          <w:sz w:val="22"/>
          <w:szCs w:val="22"/>
        </w:rPr>
        <w:t>As circunstâncias agravantes ou atenuantes;</w:t>
      </w:r>
    </w:p>
    <w:p>
      <w:pPr>
        <w:pStyle w:val="normal1"/>
        <w:numPr>
          <w:ilvl w:val="2"/>
          <w:numId w:val="15"/>
        </w:numPr>
        <w:spacing w:lineRule="auto" w:line="360" w:before="120" w:after="120"/>
        <w:ind w:hanging="0" w:start="170"/>
        <w:jc w:val="both"/>
        <w:rPr>
          <w:sz w:val="22"/>
          <w:szCs w:val="22"/>
        </w:rPr>
      </w:pPr>
      <w:r>
        <w:rPr>
          <w:sz w:val="22"/>
          <w:szCs w:val="22"/>
        </w:rPr>
        <w:t xml:space="preserve">Os danos que dela provierem para o </w:t>
      </w:r>
      <w:r>
        <w:rPr>
          <w:b/>
          <w:bCs/>
          <w:sz w:val="22"/>
          <w:szCs w:val="22"/>
        </w:rPr>
        <w:t>CONTRATANTE</w:t>
      </w:r>
      <w:r>
        <w:rPr>
          <w:sz w:val="22"/>
          <w:szCs w:val="22"/>
        </w:rPr>
        <w:t>;</w:t>
      </w:r>
    </w:p>
    <w:p>
      <w:pPr>
        <w:pStyle w:val="normal1"/>
        <w:numPr>
          <w:ilvl w:val="2"/>
          <w:numId w:val="15"/>
        </w:numPr>
        <w:spacing w:lineRule="auto" w:line="360" w:before="120" w:after="120"/>
        <w:ind w:hanging="0" w:start="170"/>
        <w:jc w:val="both"/>
        <w:rPr>
          <w:sz w:val="22"/>
          <w:szCs w:val="22"/>
        </w:rPr>
      </w:pPr>
      <w:r>
        <w:rPr>
          <w:sz w:val="22"/>
          <w:szCs w:val="22"/>
        </w:rPr>
        <w:t>A implantação ou o aperfeiçoamento de programa de integridade, conforme normas e orientações dos órgãos de controle.</w:t>
      </w:r>
    </w:p>
    <w:p>
      <w:pPr>
        <w:pStyle w:val="normal1"/>
        <w:numPr>
          <w:ilvl w:val="1"/>
          <w:numId w:val="8"/>
        </w:numPr>
        <w:spacing w:lineRule="auto" w:line="360" w:before="120" w:after="120"/>
        <w:ind w:hanging="0" w:start="170"/>
        <w:jc w:val="both"/>
        <w:rPr>
          <w:sz w:val="22"/>
          <w:szCs w:val="22"/>
        </w:rPr>
      </w:pPr>
      <w:r>
        <w:rPr>
          <w:sz w:val="22"/>
          <w:szCs w:val="22"/>
        </w:rPr>
        <w:t>Os atos previstos como infrações administrativas na Lei n.º 14.133/2021,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n.º 14.133/2021);</w:t>
      </w:r>
    </w:p>
    <w:p>
      <w:pPr>
        <w:pStyle w:val="normal1"/>
        <w:numPr>
          <w:ilvl w:val="1"/>
          <w:numId w:val="8"/>
        </w:numPr>
        <w:spacing w:lineRule="auto" w:line="360" w:before="120" w:after="120"/>
        <w:ind w:hanging="0" w:start="170"/>
        <w:jc w:val="both"/>
        <w:rPr>
          <w:sz w:val="22"/>
          <w:szCs w:val="22"/>
        </w:rPr>
      </w:pPr>
      <w:r>
        <w:rPr>
          <w:sz w:val="22"/>
          <w:szCs w:val="22"/>
        </w:rPr>
        <w:t xml:space="preserve">A personalidade jurídica do </w:t>
      </w:r>
      <w:r>
        <w:rPr>
          <w:b/>
          <w:bCs/>
          <w:sz w:val="22"/>
          <w:szCs w:val="22"/>
        </w:rPr>
        <w:t>CONTRATADO</w:t>
      </w:r>
      <w:r>
        <w:rPr>
          <w:sz w:val="22"/>
          <w:szCs w:val="22"/>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Pr>
          <w:b/>
          <w:bCs/>
          <w:sz w:val="22"/>
          <w:szCs w:val="22"/>
        </w:rPr>
        <w:t>CONTRATADO</w:t>
      </w:r>
      <w:r>
        <w:rPr>
          <w:sz w:val="22"/>
          <w:szCs w:val="22"/>
        </w:rPr>
        <w:t>, observados, em todos os casos, o contraditório, a ampla defesa e a obrigatoriedade de análise jurídica prévia (Art. 160 da Lei n.º 14.133/2021);</w:t>
      </w:r>
    </w:p>
    <w:p>
      <w:pPr>
        <w:pStyle w:val="normal1"/>
        <w:numPr>
          <w:ilvl w:val="1"/>
          <w:numId w:val="8"/>
        </w:numPr>
        <w:spacing w:lineRule="auto" w:line="360" w:before="120" w:after="120"/>
        <w:ind w:hanging="0" w:start="170"/>
        <w:jc w:val="both"/>
        <w:rPr>
          <w:sz w:val="22"/>
          <w:szCs w:val="22"/>
        </w:rPr>
      </w:pPr>
      <w:r>
        <w:rPr>
          <w:sz w:val="22"/>
          <w:szCs w:val="22"/>
        </w:rPr>
        <w:t xml:space="preserve"> </w:t>
      </w:r>
      <w:r>
        <w:rPr>
          <w:sz w:val="22"/>
          <w:szCs w:val="22"/>
        </w:rPr>
        <w:t xml:space="preserve">O </w:t>
      </w:r>
      <w:r>
        <w:rPr>
          <w:b/>
          <w:bCs/>
          <w:sz w:val="22"/>
          <w:szCs w:val="22"/>
        </w:rPr>
        <w:t>CONTRATANTE</w:t>
      </w:r>
      <w:r>
        <w:rPr>
          <w:sz w:val="22"/>
          <w:szCs w:val="22"/>
        </w:rPr>
        <w:t xml:space="preserv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14.133/2021);</w:t>
      </w:r>
    </w:p>
    <w:p>
      <w:pPr>
        <w:pStyle w:val="normal1"/>
        <w:numPr>
          <w:ilvl w:val="1"/>
          <w:numId w:val="8"/>
        </w:numPr>
        <w:spacing w:lineRule="auto" w:line="360" w:before="120" w:after="120"/>
        <w:ind w:hanging="0" w:start="170"/>
        <w:jc w:val="both"/>
        <w:rPr>
          <w:sz w:val="22"/>
          <w:szCs w:val="22"/>
        </w:rPr>
      </w:pPr>
      <w:r>
        <w:rPr>
          <w:sz w:val="22"/>
          <w:szCs w:val="22"/>
        </w:rPr>
        <w:t>As sanções de impedimento de licitar e contratar e declaração de inidoneidade para licitar ou contratar são passíveis de reabilitação na forma do art. 163 da Lei n.º 14.133/2021;</w:t>
      </w:r>
    </w:p>
    <w:p>
      <w:pPr>
        <w:pStyle w:val="normal1"/>
        <w:numPr>
          <w:ilvl w:val="1"/>
          <w:numId w:val="8"/>
        </w:numPr>
        <w:spacing w:lineRule="auto" w:line="360" w:before="120" w:after="120"/>
        <w:ind w:hanging="0" w:start="170"/>
        <w:jc w:val="both"/>
        <w:rPr>
          <w:sz w:val="22"/>
          <w:szCs w:val="22"/>
        </w:rPr>
      </w:pPr>
      <w:r>
        <w:rPr>
          <w:sz w:val="22"/>
          <w:szCs w:val="22"/>
        </w:rPr>
        <w:t xml:space="preserve">Os débitos do </w:t>
      </w:r>
      <w:r>
        <w:rPr>
          <w:b/>
          <w:bCs/>
          <w:sz w:val="22"/>
          <w:szCs w:val="22"/>
        </w:rPr>
        <w:t>CONTRATADO</w:t>
      </w:r>
      <w:r>
        <w:rPr>
          <w:sz w:val="22"/>
          <w:szCs w:val="22"/>
        </w:rPr>
        <w:t xml:space="preserve"> para com a Administração </w:t>
      </w:r>
      <w:r>
        <w:rPr>
          <w:b/>
          <w:bCs/>
          <w:sz w:val="22"/>
          <w:szCs w:val="22"/>
        </w:rPr>
        <w:t>CONTRATANTE</w:t>
      </w:r>
      <w:r>
        <w:rPr>
          <w:sz w:val="22"/>
          <w:szCs w:val="22"/>
        </w:rPr>
        <w:t xml:space="preserve">, resultantes de multa administrativa e/ou indenizações, não inscritos em dívida ativa, poderão ser compensados, total ou parcialmente, com os créditos devidos pelo referido órgão, decorrentes deste mesmo contrato ou de outros contratos administrativos que o </w:t>
      </w:r>
      <w:r>
        <w:rPr>
          <w:b/>
          <w:bCs/>
          <w:sz w:val="22"/>
          <w:szCs w:val="22"/>
        </w:rPr>
        <w:t>CONTRATADO</w:t>
      </w:r>
      <w:r>
        <w:rPr>
          <w:sz w:val="22"/>
          <w:szCs w:val="22"/>
        </w:rPr>
        <w:t xml:space="preserve"> possua com o mesmo órgão ora </w:t>
      </w:r>
      <w:r>
        <w:rPr>
          <w:b/>
          <w:bCs/>
          <w:sz w:val="22"/>
          <w:szCs w:val="22"/>
        </w:rPr>
        <w:t>CONTRATANTE</w:t>
      </w:r>
      <w:r>
        <w:rPr>
          <w:sz w:val="22"/>
          <w:szCs w:val="22"/>
        </w:rPr>
        <w:t>.</w:t>
      </w:r>
    </w:p>
    <w:p>
      <w:pPr>
        <w:pStyle w:val="normal1"/>
        <w:spacing w:lineRule="auto" w:line="360" w:before="120" w:after="120"/>
        <w:ind w:hanging="0"/>
        <w:jc w:val="end"/>
        <w:rPr>
          <w:sz w:val="22"/>
          <w:szCs w:val="22"/>
        </w:rPr>
      </w:pPr>
      <w:r>
        <w:rPr>
          <w:sz w:val="22"/>
          <w:szCs w:val="22"/>
        </w:rPr>
        <w:t>Florianópolis, 22 de abril de 2026</w:t>
      </w:r>
    </w:p>
    <w:p>
      <w:pPr>
        <w:pStyle w:val="normal1"/>
        <w:spacing w:lineRule="auto" w:line="276" w:before="120" w:after="120"/>
        <w:ind w:hanging="0"/>
        <w:jc w:val="both"/>
        <w:rPr>
          <w:sz w:val="22"/>
          <w:szCs w:val="22"/>
        </w:rPr>
      </w:pPr>
      <w:r>
        <w:rPr>
          <w:sz w:val="22"/>
          <w:szCs w:val="22"/>
        </w:rPr>
      </w:r>
    </w:p>
    <w:p>
      <w:pPr>
        <w:pStyle w:val="normal1"/>
        <w:spacing w:lineRule="auto" w:line="360" w:before="120" w:after="120"/>
        <w:ind w:hanging="0"/>
        <w:rPr>
          <w:sz w:val="22"/>
          <w:szCs w:val="22"/>
        </w:rPr>
      </w:pPr>
      <w:r>
        <w:rPr>
          <w:sz w:val="22"/>
          <w:szCs w:val="22"/>
        </w:rPr>
      </w:r>
    </w:p>
    <w:p>
      <w:pPr>
        <w:pStyle w:val="normal1"/>
        <w:spacing w:lineRule="auto" w:line="276" w:before="0" w:after="200"/>
        <w:ind w:hanging="0" w:start="720"/>
        <w:rPr>
          <w:sz w:val="22"/>
          <w:szCs w:val="22"/>
        </w:rPr>
      </w:pPr>
      <w:r>
        <w:rPr>
          <w:sz w:val="22"/>
          <w:szCs w:val="22"/>
        </w:rPr>
      </w:r>
    </w:p>
    <w:p>
      <w:pPr>
        <w:pStyle w:val="normal1"/>
        <w:widowControl w:val="false"/>
        <w:spacing w:lineRule="auto" w:line="240" w:before="10" w:after="0"/>
        <w:ind w:hanging="0"/>
        <w:jc w:val="center"/>
        <w:rPr>
          <w:b/>
          <w:bCs/>
          <w:sz w:val="22"/>
          <w:szCs w:val="22"/>
        </w:rPr>
      </w:pPr>
      <w:r>
        <w:rPr>
          <w:b/>
          <w:bCs/>
          <w:sz w:val="22"/>
          <w:szCs w:val="22"/>
        </w:rPr>
        <w:t>MARCELO SILVEIRA FORMIGA</w:t>
      </w:r>
    </w:p>
    <w:p>
      <w:pPr>
        <w:pStyle w:val="normal1"/>
        <w:widowControl w:val="false"/>
        <w:spacing w:lineRule="auto" w:line="240" w:before="10" w:after="0"/>
        <w:ind w:hanging="0"/>
        <w:jc w:val="center"/>
        <w:rPr>
          <w:sz w:val="22"/>
          <w:szCs w:val="22"/>
        </w:rPr>
      </w:pPr>
      <w:r>
        <w:rPr>
          <w:sz w:val="22"/>
          <w:szCs w:val="22"/>
        </w:rPr>
        <w:t>Diretor de Turismo</w:t>
      </w:r>
    </w:p>
    <w:p>
      <w:pPr>
        <w:pStyle w:val="normal1"/>
        <w:widowControl w:val="false"/>
        <w:spacing w:lineRule="auto" w:line="240" w:before="10" w:after="0"/>
        <w:ind w:hanging="0"/>
        <w:rPr>
          <w:sz w:val="22"/>
          <w:szCs w:val="22"/>
        </w:rPr>
      </w:pPr>
      <w:r>
        <w:rPr>
          <w:sz w:val="22"/>
          <w:szCs w:val="22"/>
        </w:rPr>
      </w:r>
    </w:p>
    <w:p>
      <w:pPr>
        <w:pStyle w:val="normal1"/>
        <w:widowControl w:val="false"/>
        <w:spacing w:lineRule="auto" w:line="240" w:before="10" w:after="0"/>
        <w:ind w:hanging="0"/>
        <w:rPr>
          <w:sz w:val="22"/>
          <w:szCs w:val="22"/>
        </w:rPr>
      </w:pPr>
      <w:r>
        <w:rPr>
          <w:sz w:val="22"/>
          <w:szCs w:val="22"/>
        </w:rPr>
      </w:r>
    </w:p>
    <w:p>
      <w:pPr>
        <w:pStyle w:val="normal1"/>
        <w:widowControl w:val="false"/>
        <w:spacing w:lineRule="auto" w:line="360"/>
        <w:ind w:hanging="2"/>
        <w:jc w:val="center"/>
        <w:rPr>
          <w:sz w:val="22"/>
          <w:szCs w:val="22"/>
          <w:u w:val="single"/>
        </w:rPr>
      </w:pPr>
      <w:r>
        <w:rPr>
          <w:b/>
          <w:bCs/>
          <w:sz w:val="22"/>
          <w:szCs w:val="22"/>
        </w:rPr>
        <w:t>JULIANO RICHTER PIRES</w:t>
      </w:r>
    </w:p>
    <w:p>
      <w:pPr>
        <w:pStyle w:val="normal1"/>
        <w:widowControl w:val="false"/>
        <w:spacing w:lineRule="auto" w:line="240" w:before="10" w:after="0"/>
        <w:ind w:hanging="0"/>
        <w:jc w:val="center"/>
        <w:rPr>
          <w:sz w:val="22"/>
          <w:szCs w:val="22"/>
        </w:rPr>
      </w:pPr>
      <w:r>
        <w:rPr>
          <w:sz w:val="22"/>
          <w:szCs w:val="22"/>
        </w:rPr>
        <w:t>Secretaria de Turismo, Desenvolvimento Econômico e Inovação</w:t>
      </w:r>
    </w:p>
    <w:p>
      <w:pPr>
        <w:pStyle w:val="normal1"/>
        <w:spacing w:lineRule="auto" w:line="276" w:before="0" w:after="200"/>
        <w:ind w:hanging="0" w:start="720"/>
        <w:rPr>
          <w:sz w:val="22"/>
          <w:szCs w:val="22"/>
        </w:rPr>
      </w:pPr>
      <w:r>
        <w:rPr>
          <w:sz w:val="22"/>
          <w:szCs w:val="22"/>
        </w:rPr>
      </w:r>
    </w:p>
    <w:p>
      <w:pPr>
        <w:pStyle w:val="normal1"/>
        <w:spacing w:lineRule="auto" w:line="360" w:before="288" w:after="288"/>
        <w:ind w:hanging="0"/>
        <w:jc w:val="start"/>
        <w:rPr>
          <w:sz w:val="22"/>
          <w:szCs w:val="22"/>
        </w:rPr>
      </w:pPr>
      <w:r>
        <w:rPr>
          <w:sz w:val="22"/>
          <w:szCs w:val="22"/>
        </w:rPr>
      </w:r>
    </w:p>
    <w:p>
      <w:pPr>
        <w:pStyle w:val="normal1"/>
        <w:spacing w:lineRule="auto" w:line="360" w:before="288" w:after="288"/>
        <w:ind w:hanging="0"/>
        <w:jc w:val="center"/>
        <w:rPr>
          <w:sz w:val="22"/>
          <w:szCs w:val="22"/>
        </w:rPr>
      </w:pPr>
      <w:r>
        <w:rPr>
          <w:sz w:val="22"/>
          <w:szCs w:val="22"/>
        </w:rPr>
      </w:r>
    </w:p>
    <w:p>
      <w:pPr>
        <w:pStyle w:val="normal1"/>
        <w:spacing w:lineRule="auto" w:line="360" w:before="288" w:after="288"/>
        <w:ind w:hanging="0"/>
        <w:jc w:val="center"/>
        <w:rPr>
          <w:sz w:val="22"/>
          <w:szCs w:val="22"/>
        </w:rPr>
      </w:pPr>
      <w:r>
        <w:rPr>
          <w:sz w:val="22"/>
          <w:szCs w:val="22"/>
        </w:rPr>
      </w:r>
    </w:p>
    <w:p>
      <w:pPr>
        <w:pStyle w:val="normal1"/>
        <w:spacing w:lineRule="auto" w:line="360" w:before="288" w:after="288"/>
        <w:ind w:hanging="0"/>
        <w:jc w:val="center"/>
        <w:rPr>
          <w:sz w:val="22"/>
          <w:szCs w:val="22"/>
        </w:rPr>
      </w:pPr>
      <w:r>
        <w:rPr>
          <w:sz w:val="22"/>
          <w:szCs w:val="22"/>
        </w:rPr>
      </w:r>
    </w:p>
    <w:p>
      <w:pPr>
        <w:pStyle w:val="normal1"/>
        <w:spacing w:lineRule="auto" w:line="360" w:before="288" w:after="288"/>
        <w:ind w:hanging="0"/>
        <w:jc w:val="center"/>
        <w:rPr>
          <w:sz w:val="22"/>
          <w:szCs w:val="22"/>
        </w:rPr>
      </w:pPr>
      <w:r>
        <w:rPr>
          <w:sz w:val="22"/>
          <w:szCs w:val="22"/>
        </w:rPr>
      </w:r>
    </w:p>
    <w:p>
      <w:pPr>
        <w:pStyle w:val="normal1"/>
        <w:spacing w:lineRule="auto" w:line="360" w:before="288" w:after="288"/>
        <w:ind w:hanging="0"/>
        <w:jc w:val="center"/>
        <w:rPr>
          <w:sz w:val="22"/>
          <w:szCs w:val="22"/>
        </w:rPr>
      </w:pPr>
      <w:r>
        <w:rPr>
          <w:sz w:val="22"/>
          <w:szCs w:val="22"/>
        </w:rPr>
      </w:r>
    </w:p>
    <w:p>
      <w:pPr>
        <w:pStyle w:val="normal1"/>
        <w:spacing w:lineRule="auto" w:line="360" w:before="288" w:after="288"/>
        <w:ind w:hanging="0"/>
        <w:jc w:val="center"/>
        <w:rPr>
          <w:sz w:val="22"/>
          <w:szCs w:val="22"/>
        </w:rPr>
      </w:pPr>
      <w:r>
        <w:rPr>
          <w:sz w:val="22"/>
          <w:szCs w:val="22"/>
        </w:rPr>
      </w:r>
    </w:p>
    <w:p>
      <w:pPr>
        <w:pStyle w:val="normal1"/>
        <w:spacing w:lineRule="auto" w:line="360" w:before="288" w:after="288"/>
        <w:ind w:hanging="0"/>
        <w:jc w:val="center"/>
        <w:rPr>
          <w:sz w:val="22"/>
          <w:szCs w:val="22"/>
        </w:rPr>
      </w:pPr>
      <w:r>
        <w:rPr>
          <w:sz w:val="22"/>
          <w:szCs w:val="22"/>
        </w:rPr>
      </w:r>
    </w:p>
    <w:p>
      <w:pPr>
        <w:pStyle w:val="normal1"/>
        <w:spacing w:lineRule="auto" w:line="360" w:before="288" w:after="288"/>
        <w:ind w:hanging="0"/>
        <w:jc w:val="center"/>
        <w:rPr>
          <w:sz w:val="22"/>
          <w:szCs w:val="22"/>
        </w:rPr>
      </w:pPr>
      <w:r>
        <w:rPr>
          <w:sz w:val="22"/>
          <w:szCs w:val="22"/>
        </w:rPr>
      </w:r>
    </w:p>
    <w:p>
      <w:pPr>
        <w:pStyle w:val="normal1"/>
        <w:spacing w:lineRule="auto" w:line="360" w:before="288" w:after="288"/>
        <w:ind w:hanging="0"/>
        <w:jc w:val="center"/>
        <w:rPr>
          <w:sz w:val="22"/>
          <w:szCs w:val="22"/>
        </w:rPr>
      </w:pPr>
      <w:r>
        <w:rPr>
          <w:sz w:val="22"/>
          <w:szCs w:val="22"/>
        </w:rPr>
      </w:r>
    </w:p>
    <w:p>
      <w:pPr>
        <w:pStyle w:val="normal1"/>
        <w:tabs>
          <w:tab w:val="clear" w:pos="720"/>
          <w:tab w:val="left" w:pos="284" w:leader="none"/>
        </w:tabs>
        <w:spacing w:lineRule="auto" w:line="360"/>
        <w:ind w:hanging="0"/>
        <w:jc w:val="center"/>
        <w:rPr>
          <w:b/>
          <w:bCs/>
          <w:color w:val="FF0000"/>
          <w:sz w:val="22"/>
          <w:szCs w:val="22"/>
        </w:rPr>
      </w:pPr>
      <w:r>
        <w:rPr>
          <w:b/>
          <w:bCs/>
          <w:sz w:val="22"/>
          <w:szCs w:val="22"/>
        </w:rPr>
        <w:t>ANEXO II - MINUTA DO CONTRATO</w:t>
      </w:r>
    </w:p>
    <w:p>
      <w:pPr>
        <w:pStyle w:val="normal1"/>
        <w:tabs>
          <w:tab w:val="clear" w:pos="720"/>
          <w:tab w:val="left" w:pos="284" w:leader="none"/>
        </w:tabs>
        <w:spacing w:lineRule="auto" w:line="360"/>
        <w:ind w:hanging="0"/>
        <w:jc w:val="center"/>
        <w:rPr>
          <w:b/>
          <w:bCs/>
          <w:color w:val="FF0000"/>
          <w:sz w:val="22"/>
          <w:szCs w:val="22"/>
        </w:rPr>
      </w:pPr>
      <w:r>
        <w:rPr>
          <w:b/>
          <w:bCs/>
          <w:color w:val="FF0000"/>
          <w:sz w:val="22"/>
          <w:szCs w:val="22"/>
        </w:rPr>
      </w:r>
    </w:p>
    <w:p>
      <w:pPr>
        <w:pStyle w:val="normal1"/>
        <w:spacing w:lineRule="auto" w:line="360"/>
        <w:ind w:hanging="0" w:start="2268"/>
        <w:jc w:val="both"/>
        <w:rPr>
          <w:b/>
          <w:bCs/>
          <w:sz w:val="22"/>
          <w:szCs w:val="22"/>
        </w:rPr>
      </w:pPr>
      <w:r>
        <w:rPr>
          <w:b/>
          <w:bCs/>
          <w:sz w:val="22"/>
          <w:szCs w:val="22"/>
        </w:rPr>
        <w:t>CONTRATO ADMINISTRATIVO N.º ......../...., QUE FAZEM ENTRE SI A PREFEITURA MUNICIPAL DE FLORIANÓPOLIS, POR INTERMÉDIO DO(A) ......................................................... E .........................................................</w:t>
      </w:r>
    </w:p>
    <w:p>
      <w:pPr>
        <w:pStyle w:val="normal1"/>
        <w:spacing w:lineRule="auto" w:line="360"/>
        <w:ind w:hanging="0"/>
        <w:jc w:val="both"/>
        <w:rPr>
          <w:sz w:val="22"/>
          <w:szCs w:val="22"/>
        </w:rPr>
      </w:pPr>
      <w:r>
        <w:rPr>
          <w:sz w:val="22"/>
          <w:szCs w:val="22"/>
        </w:rPr>
        <w:t xml:space="preserve">A PREFEITURA MUNICIPAL DE FLORIANÓPOLIS por intermédio do(a) .................................... (órgão </w:t>
      </w:r>
      <w:r>
        <w:rPr>
          <w:b/>
          <w:bCs/>
          <w:sz w:val="22"/>
          <w:szCs w:val="22"/>
        </w:rPr>
        <w:t>CONTRATANTE</w:t>
      </w:r>
      <w:r>
        <w:rPr>
          <w:sz w:val="22"/>
          <w:szCs w:val="22"/>
        </w:rPr>
        <w:t xml:space="preserve">), com sede no(a) ....................................................., na cidade de ...................................... /Estado ..., inscrito(a) no CNPJ sob o n.º ................................, neste ato representado(a) pelo(a) ......................... (cargo e nome), nomeado(a) pela Portaria n.º ......, de .....de..................... de 20..., publicada no DOU de .....de............... de ..........., portador da Matrícula Funcional n.º .........., doravante denominado </w:t>
      </w:r>
      <w:r>
        <w:rPr>
          <w:b/>
          <w:bCs/>
          <w:sz w:val="22"/>
          <w:szCs w:val="22"/>
        </w:rPr>
        <w:t>CONTRATANTE</w:t>
      </w:r>
      <w:r>
        <w:rPr>
          <w:sz w:val="22"/>
          <w:szCs w:val="22"/>
        </w:rPr>
        <w:t xml:space="preserve">, e o(a) ..............................,inscrito(a) no CNPJ/MF sob o n.º ............................, sediado(a) na..................................., em.............................doravante designado </w:t>
      </w:r>
      <w:r>
        <w:rPr>
          <w:b/>
          <w:bCs/>
          <w:sz w:val="22"/>
          <w:szCs w:val="22"/>
        </w:rPr>
        <w:t>CONTRATADO</w:t>
      </w:r>
      <w:r>
        <w:rPr>
          <w:sz w:val="22"/>
          <w:szCs w:val="22"/>
        </w:rPr>
        <w:t xml:space="preserve">, neste ato representado(a) por.................................. (nome e função do </w:t>
      </w:r>
      <w:r>
        <w:rPr>
          <w:b/>
          <w:bCs/>
          <w:sz w:val="22"/>
          <w:szCs w:val="22"/>
        </w:rPr>
        <w:t>CONTRATADO</w:t>
      </w:r>
      <w:r>
        <w:rPr>
          <w:sz w:val="22"/>
          <w:szCs w:val="22"/>
        </w:rPr>
        <w:t xml:space="preserve">), conforme atos constitutivos da empresa </w:t>
      </w:r>
      <w:r>
        <w:rPr>
          <w:b/>
          <w:bCs/>
          <w:sz w:val="22"/>
          <w:szCs w:val="22"/>
        </w:rPr>
        <w:t>OU</w:t>
      </w:r>
      <w:r>
        <w:rPr>
          <w:sz w:val="22"/>
          <w:szCs w:val="22"/>
        </w:rPr>
        <w:t xml:space="preserve"> procuração apresentada nos autos, tendo em vista o que consta no Processo n.º.............................. e em observância às disposições da Lei n.º 14.133, de 1º de abril de 2021, e demais legislação aplicável, resolvem celebrar o presente Termo de Contrato, decorrente do ...................... n.º .../..., mediante as cláusulas e condições a seguir enunciadas.</w:t>
      </w:r>
    </w:p>
    <w:p>
      <w:pPr>
        <w:pStyle w:val="normal1"/>
        <w:keepNext w:val="true"/>
        <w:keepLines/>
        <w:numPr>
          <w:ilvl w:val="0"/>
          <w:numId w:val="6"/>
        </w:numPr>
        <w:tabs>
          <w:tab w:val="clear" w:pos="720"/>
          <w:tab w:val="left" w:pos="0" w:leader="none"/>
          <w:tab w:val="left" w:pos="567" w:leader="none"/>
        </w:tabs>
        <w:spacing w:lineRule="auto" w:line="360" w:before="200" w:after="200"/>
        <w:ind w:hanging="0" w:start="720"/>
        <w:jc w:val="both"/>
        <w:rPr>
          <w:b/>
          <w:bCs/>
          <w:color w:val="FFFFFF"/>
          <w:sz w:val="22"/>
          <w:szCs w:val="22"/>
        </w:rPr>
      </w:pPr>
      <w:r>
        <w:rPr>
          <w:b/>
          <w:bCs/>
          <w:sz w:val="22"/>
          <w:szCs w:val="22"/>
        </w:rPr>
        <w:t>CLÁUSULA PRIMEIRA – OBJETO</w:t>
      </w:r>
    </w:p>
    <w:p>
      <w:pPr>
        <w:pStyle w:val="normal1"/>
        <w:numPr>
          <w:ilvl w:val="1"/>
          <w:numId w:val="6"/>
        </w:numPr>
        <w:spacing w:lineRule="auto" w:line="360"/>
        <w:ind w:firstLine="357" w:start="283"/>
        <w:jc w:val="both"/>
        <w:rPr>
          <w:sz w:val="22"/>
          <w:szCs w:val="22"/>
        </w:rPr>
      </w:pPr>
      <w:r>
        <w:rPr>
          <w:sz w:val="22"/>
          <w:szCs w:val="22"/>
        </w:rPr>
        <w:t>Constitui objeto do presente contrato a execução de serviço(s) de ............................................, município de Florianópolis/SC.</w:t>
      </w:r>
    </w:p>
    <w:p>
      <w:pPr>
        <w:pStyle w:val="normal1"/>
        <w:numPr>
          <w:ilvl w:val="1"/>
          <w:numId w:val="6"/>
        </w:numPr>
        <w:spacing w:lineRule="auto" w:line="360"/>
        <w:ind w:firstLine="357" w:start="283"/>
        <w:jc w:val="both"/>
        <w:rPr>
          <w:sz w:val="22"/>
          <w:szCs w:val="22"/>
        </w:rPr>
      </w:pPr>
      <w:r>
        <w:rPr>
          <w:sz w:val="22"/>
          <w:szCs w:val="22"/>
        </w:rPr>
        <w:t>Vinculam esta contratação, independentemente de transcrição:</w:t>
      </w:r>
    </w:p>
    <w:p>
      <w:pPr>
        <w:pStyle w:val="normal1"/>
        <w:numPr>
          <w:ilvl w:val="2"/>
          <w:numId w:val="6"/>
        </w:numPr>
        <w:spacing w:lineRule="auto" w:line="360"/>
        <w:ind w:firstLine="527" w:start="567"/>
        <w:jc w:val="both"/>
        <w:rPr>
          <w:sz w:val="22"/>
          <w:szCs w:val="22"/>
        </w:rPr>
      </w:pPr>
      <w:r>
        <w:rPr>
          <w:sz w:val="22"/>
          <w:szCs w:val="22"/>
        </w:rPr>
        <w:t>O Termo de Referência;</w:t>
      </w:r>
    </w:p>
    <w:p>
      <w:pPr>
        <w:pStyle w:val="normal1"/>
        <w:numPr>
          <w:ilvl w:val="2"/>
          <w:numId w:val="6"/>
        </w:numPr>
        <w:spacing w:lineRule="auto" w:line="360"/>
        <w:ind w:firstLine="527" w:start="567"/>
        <w:jc w:val="both"/>
        <w:rPr>
          <w:sz w:val="22"/>
          <w:szCs w:val="22"/>
        </w:rPr>
      </w:pPr>
      <w:r>
        <w:rPr>
          <w:sz w:val="22"/>
          <w:szCs w:val="22"/>
        </w:rPr>
        <w:t>O Edital da Licitação;</w:t>
      </w:r>
    </w:p>
    <w:p>
      <w:pPr>
        <w:pStyle w:val="normal1"/>
        <w:numPr>
          <w:ilvl w:val="2"/>
          <w:numId w:val="6"/>
        </w:numPr>
        <w:spacing w:lineRule="auto" w:line="360"/>
        <w:ind w:firstLine="527" w:start="567"/>
        <w:jc w:val="both"/>
        <w:rPr>
          <w:sz w:val="22"/>
          <w:szCs w:val="22"/>
        </w:rPr>
      </w:pPr>
      <w:r>
        <w:rPr>
          <w:sz w:val="22"/>
          <w:szCs w:val="22"/>
        </w:rPr>
        <w:t xml:space="preserve">A Proposta do </w:t>
      </w:r>
      <w:r>
        <w:rPr>
          <w:b/>
          <w:bCs/>
          <w:sz w:val="22"/>
          <w:szCs w:val="22"/>
        </w:rPr>
        <w:t>CONTRATADO</w:t>
      </w:r>
      <w:r>
        <w:rPr>
          <w:sz w:val="22"/>
          <w:szCs w:val="22"/>
        </w:rPr>
        <w:t>;</w:t>
      </w:r>
    </w:p>
    <w:p>
      <w:pPr>
        <w:pStyle w:val="normal1"/>
        <w:numPr>
          <w:ilvl w:val="2"/>
          <w:numId w:val="6"/>
        </w:numPr>
        <w:spacing w:lineRule="auto" w:line="360"/>
        <w:ind w:firstLine="527" w:start="567"/>
        <w:jc w:val="both"/>
        <w:rPr>
          <w:sz w:val="22"/>
          <w:szCs w:val="22"/>
        </w:rPr>
      </w:pPr>
      <w:r>
        <w:rPr>
          <w:sz w:val="22"/>
          <w:szCs w:val="22"/>
        </w:rPr>
        <w:t>Eventuais anexos dos documentos supracitados.</w:t>
      </w:r>
    </w:p>
    <w:p>
      <w:pPr>
        <w:pStyle w:val="normal1"/>
        <w:numPr>
          <w:ilvl w:val="1"/>
          <w:numId w:val="6"/>
        </w:numPr>
        <w:spacing w:lineRule="auto" w:line="360"/>
        <w:ind w:firstLine="357" w:start="283"/>
        <w:jc w:val="both"/>
        <w:rPr>
          <w:sz w:val="22"/>
          <w:szCs w:val="22"/>
        </w:rPr>
      </w:pPr>
      <w:r>
        <w:rPr>
          <w:sz w:val="22"/>
          <w:szCs w:val="22"/>
        </w:rPr>
        <w:t>Em caso de divergência ou duplicidade em relação aos elementos técnicos instrutores, prevalecerá na execução do objeto do contrato a seguinte ordem de prioridade:</w:t>
      </w:r>
    </w:p>
    <w:p>
      <w:pPr>
        <w:pStyle w:val="normal1"/>
        <w:numPr>
          <w:ilvl w:val="2"/>
          <w:numId w:val="6"/>
        </w:numPr>
        <w:spacing w:lineRule="auto" w:line="360"/>
        <w:ind w:firstLine="527" w:start="567"/>
        <w:jc w:val="both"/>
        <w:rPr>
          <w:sz w:val="22"/>
          <w:szCs w:val="22"/>
        </w:rPr>
      </w:pPr>
      <w:r>
        <w:rPr>
          <w:sz w:val="22"/>
          <w:szCs w:val="22"/>
        </w:rPr>
        <w:t>Planilha de quantidades de serviços;</w:t>
      </w:r>
    </w:p>
    <w:p>
      <w:pPr>
        <w:pStyle w:val="normal1"/>
        <w:numPr>
          <w:ilvl w:val="2"/>
          <w:numId w:val="6"/>
        </w:numPr>
        <w:spacing w:lineRule="auto" w:line="360"/>
        <w:ind w:firstLine="527" w:start="567"/>
        <w:jc w:val="both"/>
        <w:rPr>
          <w:sz w:val="22"/>
          <w:szCs w:val="22"/>
        </w:rPr>
      </w:pPr>
      <w:r>
        <w:rPr>
          <w:sz w:val="22"/>
          <w:szCs w:val="22"/>
        </w:rPr>
        <w:t>Nos projetos prevalecerão os elementos de maior detalhamento;</w:t>
      </w:r>
    </w:p>
    <w:p>
      <w:pPr>
        <w:pStyle w:val="normal1"/>
        <w:numPr>
          <w:ilvl w:val="2"/>
          <w:numId w:val="6"/>
        </w:numPr>
        <w:spacing w:lineRule="auto" w:line="360"/>
        <w:ind w:firstLine="527" w:start="567"/>
        <w:jc w:val="both"/>
        <w:rPr>
          <w:sz w:val="22"/>
          <w:szCs w:val="22"/>
        </w:rPr>
      </w:pPr>
      <w:r>
        <w:rPr>
          <w:sz w:val="22"/>
          <w:szCs w:val="22"/>
        </w:rPr>
        <w:t>A planilha de quantidades e serviços será orientativa, devendo o CONTRATADO tomar por base o(s) projeto(s) constante(s) e os anexos do instrumento convocatório, desde o momento da efetivação de sua proposta no procedimento licitatório até a execução do objeto;</w:t>
      </w:r>
    </w:p>
    <w:p>
      <w:pPr>
        <w:pStyle w:val="normal1"/>
        <w:keepNext w:val="true"/>
        <w:keepLines/>
        <w:numPr>
          <w:ilvl w:val="0"/>
          <w:numId w:val="6"/>
        </w:numPr>
        <w:tabs>
          <w:tab w:val="clear" w:pos="720"/>
          <w:tab w:val="left" w:pos="0" w:leader="none"/>
          <w:tab w:val="left" w:pos="567" w:leader="none"/>
        </w:tabs>
        <w:spacing w:lineRule="auto" w:line="360" w:before="200" w:after="200"/>
        <w:ind w:hanging="0" w:start="720"/>
        <w:jc w:val="both"/>
        <w:rPr>
          <w:b/>
          <w:bCs/>
          <w:color w:val="FFFFFF"/>
          <w:sz w:val="22"/>
          <w:szCs w:val="22"/>
        </w:rPr>
      </w:pPr>
      <w:r>
        <w:rPr>
          <w:b/>
          <w:bCs/>
          <w:sz w:val="22"/>
          <w:szCs w:val="22"/>
        </w:rPr>
        <w:t>CLÁUSULA SEGUNDA – MODELOS DE EXECUÇÃO E GESTÃO CONTRATUAIS (Art. 92, IV, VII e XVIII, da Lei n.º 14.133/2021)</w:t>
      </w:r>
    </w:p>
    <w:p>
      <w:pPr>
        <w:pStyle w:val="normal1"/>
        <w:numPr>
          <w:ilvl w:val="1"/>
          <w:numId w:val="6"/>
        </w:numPr>
        <w:spacing w:lineRule="auto" w:line="360"/>
        <w:ind w:firstLine="357" w:start="283"/>
        <w:jc w:val="both"/>
        <w:rPr>
          <w:sz w:val="22"/>
          <w:szCs w:val="22"/>
        </w:rPr>
      </w:pPr>
      <w:r>
        <w:rPr>
          <w:sz w:val="22"/>
          <w:szCs w:val="22"/>
        </w:rPr>
        <w:t>O regime de execução contratual, os modelos de gestão e de execução, assim como os prazos e condições de conclusão, entrega, observando o recebimento do objeto que  consta no Termo de Referência, anexo a este contrato.</w:t>
      </w:r>
    </w:p>
    <w:p>
      <w:pPr>
        <w:pStyle w:val="normal1"/>
        <w:numPr>
          <w:ilvl w:val="1"/>
          <w:numId w:val="6"/>
        </w:numPr>
        <w:spacing w:lineRule="auto" w:line="360"/>
        <w:ind w:firstLine="357" w:start="283"/>
        <w:jc w:val="both"/>
        <w:rPr>
          <w:i/>
          <w:iCs/>
          <w:sz w:val="22"/>
          <w:szCs w:val="22"/>
        </w:rPr>
      </w:pPr>
      <w:r>
        <w:rPr>
          <w:sz w:val="22"/>
          <w:szCs w:val="22"/>
        </w:rPr>
        <w:t xml:space="preserve">O regime de execução é o </w:t>
      </w:r>
      <w:r>
        <w:rPr>
          <w:i/>
          <w:iCs/>
          <w:sz w:val="22"/>
          <w:szCs w:val="22"/>
        </w:rPr>
        <w:t>de empreitada por preço unitário.</w:t>
      </w:r>
    </w:p>
    <w:p>
      <w:pPr>
        <w:pStyle w:val="normal1"/>
        <w:keepNext w:val="true"/>
        <w:keepLines/>
        <w:numPr>
          <w:ilvl w:val="0"/>
          <w:numId w:val="6"/>
        </w:numPr>
        <w:tabs>
          <w:tab w:val="clear" w:pos="720"/>
          <w:tab w:val="left" w:pos="0" w:leader="none"/>
          <w:tab w:val="left" w:pos="567" w:leader="none"/>
        </w:tabs>
        <w:spacing w:lineRule="auto" w:line="360" w:before="200" w:after="200"/>
        <w:ind w:hanging="0" w:start="720"/>
        <w:jc w:val="both"/>
        <w:rPr>
          <w:b/>
          <w:bCs/>
          <w:color w:val="FFFFFF"/>
          <w:sz w:val="22"/>
          <w:szCs w:val="22"/>
        </w:rPr>
      </w:pPr>
      <w:r>
        <w:rPr>
          <w:b/>
          <w:bCs/>
          <w:sz w:val="22"/>
          <w:szCs w:val="22"/>
        </w:rPr>
        <w:t xml:space="preserve">CLÁUSULA TERCEIRA – PREÇO </w:t>
      </w:r>
    </w:p>
    <w:p>
      <w:pPr>
        <w:pStyle w:val="normal1"/>
        <w:numPr>
          <w:ilvl w:val="1"/>
          <w:numId w:val="6"/>
        </w:numPr>
        <w:spacing w:lineRule="auto" w:line="360"/>
        <w:ind w:firstLine="357" w:start="283"/>
        <w:jc w:val="both"/>
        <w:rPr>
          <w:i/>
          <w:iCs/>
          <w:sz w:val="22"/>
          <w:szCs w:val="22"/>
        </w:rPr>
      </w:pPr>
      <w:r>
        <w:rPr>
          <w:i/>
          <w:iCs/>
          <w:sz w:val="22"/>
          <w:szCs w:val="22"/>
        </w:rPr>
        <w:t>O valor total da contratação é de R$.......... (valor por extenso).</w:t>
      </w:r>
    </w:p>
    <w:p>
      <w:pPr>
        <w:pStyle w:val="normal1"/>
        <w:numPr>
          <w:ilvl w:val="1"/>
          <w:numId w:val="6"/>
        </w:numPr>
        <w:spacing w:lineRule="auto" w:line="360"/>
        <w:ind w:firstLine="357" w:start="283"/>
        <w:jc w:val="both"/>
        <w:rPr>
          <w:sz w:val="22"/>
          <w:szCs w:val="22"/>
        </w:rPr>
      </w:pPr>
      <w:r>
        <w:rPr>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1"/>
        <w:numPr>
          <w:ilvl w:val="1"/>
          <w:numId w:val="6"/>
        </w:numPr>
        <w:spacing w:lineRule="auto" w:line="360"/>
        <w:ind w:firstLine="357" w:start="283"/>
        <w:jc w:val="both"/>
        <w:rPr>
          <w:i/>
          <w:iCs/>
          <w:sz w:val="22"/>
          <w:szCs w:val="22"/>
        </w:rPr>
      </w:pPr>
      <w:r>
        <w:rPr>
          <w:i/>
          <w:iCs/>
          <w:sz w:val="22"/>
          <w:szCs w:val="22"/>
        </w:rPr>
        <w:t>O valor acima é meramente estimativo, de forma que os pagamentos devidos ao CONTRATADO dependerão dos quantitativos efetivamente fornecidos.</w:t>
      </w:r>
    </w:p>
    <w:p>
      <w:pPr>
        <w:pStyle w:val="normal1"/>
        <w:keepNext w:val="true"/>
        <w:keepLines/>
        <w:numPr>
          <w:ilvl w:val="0"/>
          <w:numId w:val="6"/>
        </w:numPr>
        <w:tabs>
          <w:tab w:val="clear" w:pos="720"/>
          <w:tab w:val="left" w:pos="0" w:leader="none"/>
          <w:tab w:val="left" w:pos="567" w:leader="none"/>
        </w:tabs>
        <w:spacing w:lineRule="auto" w:line="360" w:before="200" w:after="200"/>
        <w:ind w:hanging="0" w:start="720"/>
        <w:jc w:val="both"/>
        <w:rPr>
          <w:b/>
          <w:bCs/>
          <w:color w:val="FFFFFF"/>
          <w:sz w:val="22"/>
          <w:szCs w:val="22"/>
        </w:rPr>
      </w:pPr>
      <w:r>
        <w:rPr>
          <w:b/>
          <w:bCs/>
          <w:sz w:val="22"/>
          <w:szCs w:val="22"/>
        </w:rPr>
        <w:t>CLÁUSULA QUARTA – CONDIÇÕES DE PAGAMENTO (Art. 92, V e VI, da Lei n.º 14.133/2021)</w:t>
      </w:r>
    </w:p>
    <w:p>
      <w:pPr>
        <w:pStyle w:val="normal1"/>
        <w:numPr>
          <w:ilvl w:val="1"/>
          <w:numId w:val="6"/>
        </w:numPr>
        <w:spacing w:lineRule="auto" w:line="360"/>
        <w:ind w:firstLine="357" w:start="283"/>
        <w:jc w:val="both"/>
        <w:rPr>
          <w:sz w:val="22"/>
          <w:szCs w:val="22"/>
        </w:rPr>
      </w:pPr>
      <w:r>
        <w:rPr>
          <w:sz w:val="22"/>
          <w:szCs w:val="22"/>
        </w:rPr>
        <w:t xml:space="preserve">As medições dos serviços efetivamente realizados serão medidas entre os dias primeiro e último de cada mês, com exceção da primeira e última que poderão ser fracionadas pelo </w:t>
      </w:r>
      <w:r>
        <w:rPr>
          <w:b/>
          <w:bCs/>
          <w:sz w:val="22"/>
          <w:szCs w:val="22"/>
        </w:rPr>
        <w:t>CONTRATANTE</w:t>
      </w:r>
      <w:r>
        <w:rPr>
          <w:sz w:val="22"/>
          <w:szCs w:val="22"/>
        </w:rPr>
        <w:t>, devendo constar da folha de medição o período efetivo da realização dos serviços.</w:t>
      </w:r>
    </w:p>
    <w:p>
      <w:pPr>
        <w:pStyle w:val="normal1"/>
        <w:numPr>
          <w:ilvl w:val="1"/>
          <w:numId w:val="6"/>
        </w:numPr>
        <w:spacing w:lineRule="auto" w:line="360"/>
        <w:ind w:firstLine="357" w:start="283"/>
        <w:jc w:val="both"/>
        <w:rPr>
          <w:sz w:val="22"/>
          <w:szCs w:val="22"/>
        </w:rPr>
      </w:pPr>
      <w:r>
        <w:rPr>
          <w:sz w:val="22"/>
          <w:szCs w:val="22"/>
        </w:rPr>
        <w:t xml:space="preserve">As medições serão elaboradas com base nos quantitativos e preços unitários constantes da proposta do </w:t>
      </w:r>
      <w:r>
        <w:rPr>
          <w:b/>
          <w:bCs/>
          <w:sz w:val="22"/>
          <w:szCs w:val="22"/>
        </w:rPr>
        <w:t>CONTRATADO</w:t>
      </w:r>
      <w:r>
        <w:rPr>
          <w:sz w:val="22"/>
          <w:szCs w:val="22"/>
        </w:rPr>
        <w:t>.</w:t>
      </w:r>
    </w:p>
    <w:p>
      <w:pPr>
        <w:pStyle w:val="normal1"/>
        <w:numPr>
          <w:ilvl w:val="1"/>
          <w:numId w:val="6"/>
        </w:numPr>
        <w:spacing w:lineRule="auto" w:line="360"/>
        <w:ind w:firstLine="357" w:start="283"/>
        <w:jc w:val="both"/>
        <w:rPr>
          <w:sz w:val="22"/>
          <w:szCs w:val="22"/>
        </w:rPr>
      </w:pPr>
      <w:r>
        <w:rPr>
          <w:sz w:val="22"/>
          <w:szCs w:val="22"/>
        </w:rPr>
        <w:t>A parcela fonte dos serviços considerada incompleta, defeituosa ou fora das especificações constantes no termo de referência ou projeto básico, assim como das normas técnicas, não será objeto de medição.</w:t>
      </w:r>
    </w:p>
    <w:p>
      <w:pPr>
        <w:pStyle w:val="normal1"/>
        <w:numPr>
          <w:ilvl w:val="1"/>
          <w:numId w:val="6"/>
        </w:numPr>
        <w:spacing w:lineRule="auto" w:line="360"/>
        <w:ind w:firstLine="357" w:start="283"/>
        <w:jc w:val="both"/>
        <w:rPr>
          <w:sz w:val="22"/>
          <w:szCs w:val="22"/>
        </w:rPr>
      </w:pPr>
      <w:r>
        <w:rPr>
          <w:sz w:val="22"/>
          <w:szCs w:val="22"/>
        </w:rPr>
        <w:t xml:space="preserve">Os pagamentos do </w:t>
      </w:r>
      <w:r>
        <w:rPr>
          <w:b/>
          <w:bCs/>
          <w:sz w:val="22"/>
          <w:szCs w:val="22"/>
        </w:rPr>
        <w:t xml:space="preserve">CONTRATADO </w:t>
      </w:r>
      <w:r>
        <w:rPr>
          <w:sz w:val="22"/>
          <w:szCs w:val="22"/>
        </w:rPr>
        <w:t>serão realizados a partir do dia 21 do mês subsequente ao da entrega dos relatórios com as respectivas notas fiscais, de acordo com a Instrução Normativa n.º 005/SMF/GAB/2025.</w:t>
      </w:r>
    </w:p>
    <w:p>
      <w:pPr>
        <w:pStyle w:val="normal1"/>
        <w:numPr>
          <w:ilvl w:val="2"/>
          <w:numId w:val="6"/>
        </w:numPr>
        <w:spacing w:lineRule="auto" w:line="360"/>
        <w:ind w:firstLine="527" w:start="567"/>
        <w:jc w:val="both"/>
        <w:rPr>
          <w:sz w:val="22"/>
          <w:szCs w:val="22"/>
        </w:rPr>
      </w:pPr>
      <w:r>
        <w:rPr>
          <w:sz w:val="22"/>
          <w:szCs w:val="22"/>
        </w:rPr>
        <w:t>No caso das datas descritas recaírem em feriado, final de semana ou que não seja possível o expediente público, será efetivada a ação descrita no próximo dia útil;</w:t>
      </w:r>
    </w:p>
    <w:p>
      <w:pPr>
        <w:pStyle w:val="normal1"/>
        <w:numPr>
          <w:ilvl w:val="2"/>
          <w:numId w:val="6"/>
        </w:numPr>
        <w:spacing w:lineRule="auto" w:line="360"/>
        <w:ind w:firstLine="527" w:start="567"/>
        <w:jc w:val="both"/>
        <w:rPr>
          <w:sz w:val="22"/>
          <w:szCs w:val="22"/>
        </w:rPr>
      </w:pPr>
      <w:r>
        <w:rPr>
          <w:sz w:val="22"/>
          <w:szCs w:val="22"/>
        </w:rPr>
        <w:t>Os pagamentos serão efetuados mediante a apresentação de documentos financeiros que deverão ser entregues na Diretoria Financeira da SMF, dentro das condições exigidas pela legislação vigente, até o dia 25 de cada mês, e serão pagas a partir do dia 21 do mês subsequente.</w:t>
      </w:r>
    </w:p>
    <w:p>
      <w:pPr>
        <w:pStyle w:val="normal1"/>
        <w:numPr>
          <w:ilvl w:val="1"/>
          <w:numId w:val="6"/>
        </w:numPr>
        <w:spacing w:lineRule="auto" w:line="360"/>
        <w:ind w:firstLine="357" w:start="283"/>
        <w:jc w:val="both"/>
        <w:rPr>
          <w:sz w:val="22"/>
          <w:szCs w:val="22"/>
        </w:rPr>
      </w:pPr>
      <w:r>
        <w:rPr>
          <w:sz w:val="22"/>
          <w:szCs w:val="22"/>
        </w:rPr>
        <w:t>No que se refere à retenção do imposto de renda na fonte, o município de Florianópolis aplicará o disposto no Decreto municipal n.º 23.946/2022 e na Instrução Normativa n.º 002/SMF/2022, de 05 de maio de 2023 que regulamentam a matéria em função da Decisão do Supremo Tribunal Federal no Recurso Extraordinário n.º 1.293.453/RS, Tema 1130, com repercussão geral.</w:t>
      </w:r>
    </w:p>
    <w:p>
      <w:pPr>
        <w:pStyle w:val="normal1"/>
        <w:keepNext w:val="true"/>
        <w:keepLines/>
        <w:numPr>
          <w:ilvl w:val="0"/>
          <w:numId w:val="6"/>
        </w:numPr>
        <w:tabs>
          <w:tab w:val="clear" w:pos="720"/>
          <w:tab w:val="left" w:pos="0" w:leader="none"/>
          <w:tab w:val="left" w:pos="567" w:leader="none"/>
        </w:tabs>
        <w:spacing w:lineRule="auto" w:line="360" w:before="200" w:after="200"/>
        <w:ind w:hanging="0" w:start="720"/>
        <w:jc w:val="both"/>
        <w:rPr>
          <w:b/>
          <w:bCs/>
          <w:color w:val="FFFFFF"/>
          <w:sz w:val="22"/>
          <w:szCs w:val="22"/>
        </w:rPr>
      </w:pPr>
      <w:r>
        <w:rPr>
          <w:b/>
          <w:bCs/>
          <w:sz w:val="22"/>
          <w:szCs w:val="22"/>
        </w:rPr>
        <w:t>CLÁUSULA QUINTA – REAJUSTE (Art. 92, V, da Lei n.º 14.133/2021)</w:t>
      </w:r>
    </w:p>
    <w:p>
      <w:pPr>
        <w:pStyle w:val="normal1"/>
        <w:numPr>
          <w:ilvl w:val="1"/>
          <w:numId w:val="6"/>
        </w:numPr>
        <w:spacing w:lineRule="auto" w:line="360"/>
        <w:ind w:firstLine="357" w:start="283"/>
        <w:jc w:val="both"/>
        <w:rPr>
          <w:sz w:val="22"/>
          <w:szCs w:val="22"/>
        </w:rPr>
      </w:pPr>
      <w:r>
        <w:rPr>
          <w:sz w:val="22"/>
          <w:szCs w:val="22"/>
        </w:rPr>
        <w:t xml:space="preserve">Os preços inicialmente </w:t>
      </w:r>
      <w:r>
        <w:rPr>
          <w:b/>
          <w:bCs/>
          <w:sz w:val="22"/>
          <w:szCs w:val="22"/>
        </w:rPr>
        <w:t xml:space="preserve">CONTRATADOS </w:t>
      </w:r>
      <w:r>
        <w:rPr>
          <w:sz w:val="22"/>
          <w:szCs w:val="22"/>
        </w:rPr>
        <w:t>são fixos e irreajustáveis no prazo de um ano contado da data do orçamento estimado.</w:t>
      </w:r>
    </w:p>
    <w:p>
      <w:pPr>
        <w:pStyle w:val="normal1"/>
        <w:numPr>
          <w:ilvl w:val="1"/>
          <w:numId w:val="6"/>
        </w:numPr>
        <w:spacing w:lineRule="auto" w:line="360"/>
        <w:ind w:firstLine="357" w:start="283"/>
        <w:jc w:val="both"/>
        <w:rPr>
          <w:sz w:val="22"/>
          <w:szCs w:val="22"/>
        </w:rPr>
      </w:pPr>
      <w:r>
        <w:rPr>
          <w:sz w:val="22"/>
          <w:szCs w:val="22"/>
        </w:rPr>
        <w:t xml:space="preserve">Após o interregno de um ano, e independentemente de pedido do </w:t>
      </w:r>
      <w:r>
        <w:rPr>
          <w:b/>
          <w:bCs/>
          <w:sz w:val="22"/>
          <w:szCs w:val="22"/>
        </w:rPr>
        <w:t>CONTRATADO</w:t>
      </w:r>
      <w:r>
        <w:rPr>
          <w:sz w:val="22"/>
          <w:szCs w:val="22"/>
        </w:rPr>
        <w:t xml:space="preserve">, os preços iniciais serão reajustados, mediante a aplicação, pelo </w:t>
      </w:r>
      <w:r>
        <w:rPr>
          <w:b/>
          <w:bCs/>
          <w:sz w:val="22"/>
          <w:szCs w:val="22"/>
        </w:rPr>
        <w:t>CONTRATANTE</w:t>
      </w:r>
      <w:r>
        <w:rPr>
          <w:sz w:val="22"/>
          <w:szCs w:val="22"/>
        </w:rPr>
        <w:t>, do índice ___________ (indicar o índice a ser adotado), exclusivamente para as obrigações iniciadas e concluídas após a ocorrência da anualidade.</w:t>
      </w:r>
    </w:p>
    <w:p>
      <w:pPr>
        <w:pStyle w:val="normal1"/>
        <w:numPr>
          <w:ilvl w:val="1"/>
          <w:numId w:val="6"/>
        </w:numPr>
        <w:spacing w:lineRule="auto" w:line="360"/>
        <w:ind w:firstLine="357" w:start="283"/>
        <w:jc w:val="both"/>
        <w:rPr>
          <w:sz w:val="22"/>
          <w:szCs w:val="22"/>
        </w:rPr>
      </w:pPr>
      <w:r>
        <w:rPr>
          <w:sz w:val="22"/>
          <w:szCs w:val="22"/>
        </w:rPr>
        <w:t>Nos reajustes subsequentes ao primeiro, o interregno mínimo de um ano será contado a partir dos efeitos financeiros do último reajuste.</w:t>
      </w:r>
    </w:p>
    <w:p>
      <w:pPr>
        <w:pStyle w:val="normal1"/>
        <w:numPr>
          <w:ilvl w:val="1"/>
          <w:numId w:val="6"/>
        </w:numPr>
        <w:spacing w:lineRule="auto" w:line="360"/>
        <w:ind w:firstLine="357" w:start="283"/>
        <w:jc w:val="both"/>
        <w:rPr>
          <w:sz w:val="22"/>
          <w:szCs w:val="22"/>
        </w:rPr>
      </w:pPr>
      <w:r>
        <w:rPr>
          <w:sz w:val="22"/>
          <w:szCs w:val="22"/>
        </w:rPr>
        <w:t xml:space="preserve">No caso de atraso ou não divulgação do(s) índice (s) de reajustamento, o </w:t>
      </w:r>
      <w:r>
        <w:rPr>
          <w:b/>
          <w:bCs/>
          <w:sz w:val="22"/>
          <w:szCs w:val="22"/>
        </w:rPr>
        <w:t xml:space="preserve">CONTRATANTE </w:t>
      </w:r>
      <w:r>
        <w:rPr>
          <w:sz w:val="22"/>
          <w:szCs w:val="22"/>
        </w:rPr>
        <w:t xml:space="preserve">pagará ao </w:t>
      </w:r>
      <w:r>
        <w:rPr>
          <w:b/>
          <w:bCs/>
          <w:sz w:val="22"/>
          <w:szCs w:val="22"/>
        </w:rPr>
        <w:t xml:space="preserve">CONTRATADO </w:t>
      </w:r>
      <w:r>
        <w:rPr>
          <w:sz w:val="22"/>
          <w:szCs w:val="22"/>
        </w:rPr>
        <w:t xml:space="preserve">a importância calculada pela última variação conhecida, liquidando a diferença correspondente tão logo seja(m) divulgado(s) o(s) índice(s) definitivo(s). </w:t>
      </w:r>
    </w:p>
    <w:p>
      <w:pPr>
        <w:pStyle w:val="normal1"/>
        <w:numPr>
          <w:ilvl w:val="2"/>
          <w:numId w:val="6"/>
        </w:numPr>
        <w:spacing w:lineRule="auto" w:line="360"/>
        <w:ind w:firstLine="527" w:start="567"/>
        <w:jc w:val="both"/>
        <w:rPr>
          <w:sz w:val="22"/>
          <w:szCs w:val="22"/>
        </w:rPr>
      </w:pPr>
      <w:r>
        <w:rPr>
          <w:sz w:val="22"/>
          <w:szCs w:val="22"/>
        </w:rPr>
        <w:t xml:space="preserve">Fica o </w:t>
      </w:r>
      <w:r>
        <w:rPr>
          <w:b/>
          <w:bCs/>
          <w:sz w:val="22"/>
          <w:szCs w:val="22"/>
        </w:rPr>
        <w:t xml:space="preserve">CONTRATADO </w:t>
      </w:r>
      <w:r>
        <w:rPr>
          <w:sz w:val="22"/>
          <w:szCs w:val="22"/>
        </w:rPr>
        <w:t>obrigado a apresentar memória de cálculo referente ao reajustamento de preços do valor remanescente, sempre que este ocorrer.</w:t>
      </w:r>
    </w:p>
    <w:p>
      <w:pPr>
        <w:pStyle w:val="normal1"/>
        <w:numPr>
          <w:ilvl w:val="1"/>
          <w:numId w:val="6"/>
        </w:numPr>
        <w:spacing w:lineRule="auto" w:line="360"/>
        <w:ind w:firstLine="357" w:start="283"/>
        <w:jc w:val="both"/>
        <w:rPr>
          <w:sz w:val="22"/>
          <w:szCs w:val="22"/>
        </w:rPr>
      </w:pPr>
      <w:r>
        <w:rPr>
          <w:sz w:val="22"/>
          <w:szCs w:val="22"/>
        </w:rPr>
        <w:t>Nas aferições finais, o(s) índice(s) utilizado(s) para reajuste será(ão), obrigatoriamente, o(s) definitivo(s).</w:t>
      </w:r>
    </w:p>
    <w:p>
      <w:pPr>
        <w:pStyle w:val="normal1"/>
        <w:numPr>
          <w:ilvl w:val="1"/>
          <w:numId w:val="6"/>
        </w:numPr>
        <w:spacing w:lineRule="auto" w:line="360"/>
        <w:ind w:firstLine="357" w:start="283"/>
        <w:jc w:val="both"/>
        <w:rPr>
          <w:sz w:val="22"/>
          <w:szCs w:val="22"/>
        </w:rPr>
      </w:pPr>
      <w:r>
        <w:rPr>
          <w:sz w:val="22"/>
          <w:szCs w:val="22"/>
        </w:rPr>
        <w:t>Caso o(s) índice(s) estabelecido(s) para reajustamento venha(m) a ser extinto(s) ou de qualquer forma não possa(m) mais ser utilizado(s), será(ão) adotado(s), em substituição, o(s) que vier(em) a ser determinado(s) pela legislação então em vigor.</w:t>
      </w:r>
    </w:p>
    <w:p>
      <w:pPr>
        <w:pStyle w:val="normal1"/>
        <w:numPr>
          <w:ilvl w:val="1"/>
          <w:numId w:val="6"/>
        </w:numPr>
        <w:spacing w:lineRule="auto" w:line="360"/>
        <w:ind w:firstLine="357" w:start="283"/>
        <w:jc w:val="both"/>
        <w:rPr>
          <w:sz w:val="22"/>
          <w:szCs w:val="22"/>
        </w:rPr>
      </w:pPr>
      <w:r>
        <w:rPr>
          <w:sz w:val="22"/>
          <w:szCs w:val="22"/>
        </w:rPr>
        <w:t xml:space="preserve">Na ausência de previsão legal quanto ao índice substituto, as partes elegerão novo índice oficial, para reajustamento do preço do valor remanescente, por meio de termo aditivo. </w:t>
      </w:r>
    </w:p>
    <w:p>
      <w:pPr>
        <w:pStyle w:val="normal1"/>
        <w:numPr>
          <w:ilvl w:val="1"/>
          <w:numId w:val="6"/>
        </w:numPr>
        <w:spacing w:lineRule="auto" w:line="360"/>
        <w:ind w:firstLine="357" w:start="283"/>
        <w:jc w:val="both"/>
        <w:rPr>
          <w:sz w:val="22"/>
          <w:szCs w:val="22"/>
        </w:rPr>
      </w:pPr>
      <w:r>
        <w:rPr>
          <w:sz w:val="22"/>
          <w:szCs w:val="22"/>
        </w:rPr>
        <w:t>O reajuste será realizado por termo aditivo.</w:t>
      </w:r>
    </w:p>
    <w:p>
      <w:pPr>
        <w:pStyle w:val="normal1"/>
        <w:keepNext w:val="true"/>
        <w:keepLines/>
        <w:numPr>
          <w:ilvl w:val="0"/>
          <w:numId w:val="6"/>
        </w:numPr>
        <w:tabs>
          <w:tab w:val="clear" w:pos="720"/>
          <w:tab w:val="left" w:pos="0" w:leader="none"/>
          <w:tab w:val="left" w:pos="567" w:leader="none"/>
        </w:tabs>
        <w:spacing w:lineRule="auto" w:line="360" w:before="200" w:after="200"/>
        <w:ind w:hanging="0" w:start="720"/>
        <w:jc w:val="both"/>
        <w:rPr>
          <w:b/>
          <w:bCs/>
          <w:color w:val="FFFFFF"/>
          <w:sz w:val="22"/>
          <w:szCs w:val="22"/>
        </w:rPr>
      </w:pPr>
      <w:r>
        <w:rPr>
          <w:b/>
          <w:bCs/>
          <w:sz w:val="22"/>
          <w:szCs w:val="22"/>
        </w:rPr>
        <w:t>CLÁUSULA SEXTA – ALTERAÇÕES</w:t>
      </w:r>
    </w:p>
    <w:p>
      <w:pPr>
        <w:pStyle w:val="normal1"/>
        <w:numPr>
          <w:ilvl w:val="1"/>
          <w:numId w:val="6"/>
        </w:numPr>
        <w:spacing w:lineRule="auto" w:line="360"/>
        <w:ind w:firstLine="357" w:start="283"/>
        <w:jc w:val="both"/>
        <w:rPr>
          <w:sz w:val="22"/>
          <w:szCs w:val="22"/>
        </w:rPr>
      </w:pPr>
      <w:r>
        <w:rPr>
          <w:sz w:val="22"/>
          <w:szCs w:val="22"/>
        </w:rPr>
        <w:t>Eventuais alterações contratuais reger-se-ão pela disciplina dos arts. 124 e seguintes da Lei n.º 14.133/2021.</w:t>
      </w:r>
    </w:p>
    <w:p>
      <w:pPr>
        <w:pStyle w:val="normal1"/>
        <w:numPr>
          <w:ilvl w:val="1"/>
          <w:numId w:val="6"/>
        </w:numPr>
        <w:spacing w:lineRule="auto" w:line="360"/>
        <w:ind w:firstLine="357" w:start="283"/>
        <w:jc w:val="both"/>
        <w:rPr>
          <w:sz w:val="22"/>
          <w:szCs w:val="22"/>
        </w:rPr>
      </w:pPr>
      <w:r>
        <w:rPr>
          <w:sz w:val="22"/>
          <w:szCs w:val="22"/>
        </w:rPr>
        <w:t xml:space="preserve">O </w:t>
      </w:r>
      <w:r>
        <w:rPr>
          <w:b/>
          <w:bCs/>
          <w:sz w:val="22"/>
          <w:szCs w:val="22"/>
        </w:rPr>
        <w:t xml:space="preserve">CONTRATADO </w:t>
      </w:r>
      <w:r>
        <w:rPr>
          <w:sz w:val="22"/>
          <w:szCs w:val="22"/>
        </w:rPr>
        <w:t>é obrigado a aceitar, nas mesmas condições contratuais, os acréscimos ou supressões que se fizerem necessários, até o limite de 25% (vinte e cinco por cento) do valor inicial atualizado do contrato.</w:t>
      </w:r>
    </w:p>
    <w:p>
      <w:pPr>
        <w:pStyle w:val="normal1"/>
        <w:numPr>
          <w:ilvl w:val="1"/>
          <w:numId w:val="6"/>
        </w:numPr>
        <w:spacing w:lineRule="auto" w:line="360"/>
        <w:ind w:firstLine="357" w:start="283"/>
        <w:jc w:val="both"/>
        <w:rPr>
          <w:sz w:val="22"/>
          <w:szCs w:val="22"/>
        </w:rPr>
      </w:pPr>
      <w:r>
        <w:rPr>
          <w:sz w:val="22"/>
          <w:szCs w:val="22"/>
        </w:rPr>
        <w:t xml:space="preserve">As alterações contratuais deverão ser promovidas mediante celebração de termo aditivo, submetido à prévia aprovação da consultoria jurídica do </w:t>
      </w:r>
      <w:r>
        <w:rPr>
          <w:b/>
          <w:bCs/>
          <w:sz w:val="22"/>
          <w:szCs w:val="22"/>
        </w:rPr>
        <w:t>CONTRATANTE</w:t>
      </w:r>
      <w:r>
        <w:rPr>
          <w:sz w:val="22"/>
          <w:szCs w:val="22"/>
        </w:rPr>
        <w:t>, salvo nos casos de justificada necessidade de antecipação de seus efeitos, hipótese em que a formalização do aditivo deverá ocorrer no prazo máximo de 1 (um) mês (Art. 132 da Lei n.º 14.133/ 2021).</w:t>
      </w:r>
    </w:p>
    <w:p>
      <w:pPr>
        <w:pStyle w:val="normal1"/>
        <w:numPr>
          <w:ilvl w:val="1"/>
          <w:numId w:val="6"/>
        </w:numPr>
        <w:spacing w:lineRule="auto" w:line="360"/>
        <w:ind w:firstLine="357" w:start="283"/>
        <w:jc w:val="both"/>
        <w:rPr>
          <w:sz w:val="22"/>
          <w:szCs w:val="22"/>
        </w:rPr>
      </w:pPr>
      <w:r>
        <w:rPr>
          <w:sz w:val="22"/>
          <w:szCs w:val="22"/>
        </w:rPr>
        <w:t>Registros que não caracterizam alteração do contrato podem ser realizados por simples apostila, dispensada a celebração de termo aditivo, na forma do art. 136 da Lei n.º 14.133/ 2021.</w:t>
      </w:r>
    </w:p>
    <w:p>
      <w:pPr>
        <w:pStyle w:val="normal1"/>
        <w:numPr>
          <w:ilvl w:val="1"/>
          <w:numId w:val="6"/>
        </w:numPr>
        <w:spacing w:lineRule="auto" w:line="360"/>
        <w:ind w:firstLine="357" w:start="283"/>
        <w:jc w:val="both"/>
        <w:rPr>
          <w:sz w:val="22"/>
          <w:szCs w:val="22"/>
        </w:rPr>
      </w:pPr>
      <w:r>
        <w:rPr>
          <w:sz w:val="22"/>
          <w:szCs w:val="22"/>
        </w:rPr>
        <w:t>A diferença percentual entre o valor global do contrato e o preço global de referência não poderá ser reduzida em favor do contratado em decorrência de aditamentos que modifiquem a planilha orçamentária, conforme art. 14 do Decreto Federal n° 7.983/2013.</w:t>
      </w:r>
    </w:p>
    <w:p>
      <w:pPr>
        <w:pStyle w:val="normal1"/>
        <w:keepNext w:val="true"/>
        <w:keepLines/>
        <w:numPr>
          <w:ilvl w:val="0"/>
          <w:numId w:val="6"/>
        </w:numPr>
        <w:tabs>
          <w:tab w:val="clear" w:pos="720"/>
          <w:tab w:val="left" w:pos="0" w:leader="none"/>
          <w:tab w:val="left" w:pos="567" w:leader="none"/>
        </w:tabs>
        <w:spacing w:lineRule="auto" w:line="360" w:before="200" w:after="200"/>
        <w:ind w:hanging="0" w:start="720"/>
        <w:jc w:val="both"/>
        <w:rPr>
          <w:b/>
          <w:bCs/>
          <w:color w:val="FFFFFF"/>
          <w:sz w:val="22"/>
          <w:szCs w:val="22"/>
        </w:rPr>
      </w:pPr>
      <w:r>
        <w:rPr>
          <w:b/>
          <w:bCs/>
          <w:sz w:val="22"/>
          <w:szCs w:val="22"/>
        </w:rPr>
        <w:t>CLÁUSULA SÉTIMA – DO PRAZO DE EXECUÇÃO E DE VIGÊNCIA</w:t>
      </w:r>
    </w:p>
    <w:p>
      <w:pPr>
        <w:pStyle w:val="normal1"/>
        <w:numPr>
          <w:ilvl w:val="1"/>
          <w:numId w:val="6"/>
        </w:numPr>
        <w:spacing w:lineRule="auto" w:line="360"/>
        <w:ind w:hanging="0" w:start="283"/>
        <w:jc w:val="both"/>
        <w:rPr>
          <w:i/>
          <w:iCs/>
          <w:sz w:val="22"/>
          <w:szCs w:val="22"/>
        </w:rPr>
      </w:pPr>
      <w:r>
        <w:rPr>
          <w:i/>
          <w:iCs/>
          <w:sz w:val="22"/>
          <w:szCs w:val="22"/>
        </w:rPr>
        <w:t>O prazo de vigência da contratação é de .............................. contados do(a) ............................., prorrogável por até 10 anos, na forma dos artigos 106 e 107 da Lei n.° 14.133/2021.</w:t>
      </w:r>
    </w:p>
    <w:p>
      <w:pPr>
        <w:pStyle w:val="normal1"/>
        <w:numPr>
          <w:ilvl w:val="1"/>
          <w:numId w:val="6"/>
        </w:numPr>
        <w:spacing w:lineRule="auto" w:line="360"/>
        <w:ind w:hanging="0" w:start="283"/>
        <w:jc w:val="both"/>
        <w:rPr>
          <w:i/>
          <w:iCs/>
          <w:sz w:val="22"/>
          <w:szCs w:val="22"/>
        </w:rPr>
      </w:pPr>
      <w:r>
        <w:rPr>
          <w:i/>
          <w:iCs/>
          <w:sz w:val="22"/>
          <w:szCs w:val="22"/>
        </w:rPr>
        <w:t xml:space="preserve">A prorrogação de que trata este item 7.3. é condicionada ao ateste, pela autoridade competente, de que as condições e os preços permanecem vantajosos para a Administração, permitida a negociação com o </w:t>
      </w:r>
      <w:r>
        <w:rPr>
          <w:b/>
          <w:bCs/>
          <w:i/>
          <w:iCs/>
          <w:sz w:val="22"/>
          <w:szCs w:val="22"/>
        </w:rPr>
        <w:t xml:space="preserve">CONTRATADO </w:t>
      </w:r>
      <w:r>
        <w:rPr>
          <w:i/>
          <w:iCs/>
          <w:sz w:val="22"/>
          <w:szCs w:val="22"/>
        </w:rPr>
        <w:t xml:space="preserve">,atentando, ainda, para o cumprimento dos seguintes requisitos: </w:t>
      </w:r>
    </w:p>
    <w:p>
      <w:pPr>
        <w:pStyle w:val="normal1"/>
        <w:numPr>
          <w:ilvl w:val="1"/>
          <w:numId w:val="3"/>
        </w:numPr>
        <w:spacing w:lineRule="auto" w:line="360"/>
        <w:ind w:hanging="0" w:start="283"/>
        <w:jc w:val="both"/>
        <w:rPr>
          <w:i/>
          <w:iCs/>
          <w:sz w:val="22"/>
          <w:szCs w:val="22"/>
        </w:rPr>
      </w:pPr>
      <w:r>
        <w:rPr>
          <w:i/>
          <w:iCs/>
          <w:sz w:val="22"/>
          <w:szCs w:val="22"/>
        </w:rPr>
        <w:t>Estar formalmente demonstrado no processo que a forma de prestação dos serviços tem natureza continuada;</w:t>
      </w:r>
    </w:p>
    <w:p>
      <w:pPr>
        <w:pStyle w:val="normal1"/>
        <w:numPr>
          <w:ilvl w:val="1"/>
          <w:numId w:val="3"/>
        </w:numPr>
        <w:spacing w:lineRule="auto" w:line="360"/>
        <w:ind w:hanging="0" w:start="283"/>
        <w:jc w:val="both"/>
        <w:rPr>
          <w:i/>
          <w:iCs/>
          <w:sz w:val="22"/>
          <w:szCs w:val="22"/>
        </w:rPr>
      </w:pPr>
      <w:r>
        <w:rPr>
          <w:i/>
          <w:iCs/>
          <w:sz w:val="22"/>
          <w:szCs w:val="22"/>
        </w:rPr>
        <w:t xml:space="preserve">Seja juntado relatório que discorra sobre a execução do contrato, com informações de que os serviços tenham sido prestados regularmente;  </w:t>
      </w:r>
    </w:p>
    <w:p>
      <w:pPr>
        <w:pStyle w:val="normal1"/>
        <w:numPr>
          <w:ilvl w:val="1"/>
          <w:numId w:val="3"/>
        </w:numPr>
        <w:spacing w:lineRule="auto" w:line="360"/>
        <w:ind w:hanging="0" w:start="283"/>
        <w:jc w:val="both"/>
        <w:rPr>
          <w:i/>
          <w:iCs/>
          <w:sz w:val="22"/>
          <w:szCs w:val="22"/>
        </w:rPr>
      </w:pPr>
      <w:r>
        <w:rPr>
          <w:i/>
          <w:iCs/>
          <w:sz w:val="22"/>
          <w:szCs w:val="22"/>
        </w:rPr>
        <w:t xml:space="preserve">Seja juntada justificativa e motivo, por escrito, de que a Administração mantém interesse na realização do serviço;  </w:t>
      </w:r>
    </w:p>
    <w:p>
      <w:pPr>
        <w:pStyle w:val="normal1"/>
        <w:numPr>
          <w:ilvl w:val="1"/>
          <w:numId w:val="3"/>
        </w:numPr>
        <w:spacing w:lineRule="auto" w:line="360"/>
        <w:ind w:hanging="0" w:start="283"/>
        <w:jc w:val="both"/>
        <w:rPr>
          <w:i/>
          <w:iCs/>
          <w:sz w:val="22"/>
          <w:szCs w:val="22"/>
        </w:rPr>
      </w:pPr>
      <w:r>
        <w:rPr>
          <w:i/>
          <w:iCs/>
          <w:sz w:val="22"/>
          <w:szCs w:val="22"/>
        </w:rPr>
        <w:t xml:space="preserve">Haja manifestação expressa do CONTRATADO informando o interesse na prorrogação; </w:t>
      </w:r>
    </w:p>
    <w:p>
      <w:pPr>
        <w:pStyle w:val="normal1"/>
        <w:numPr>
          <w:ilvl w:val="1"/>
          <w:numId w:val="3"/>
        </w:numPr>
        <w:spacing w:lineRule="auto" w:line="360"/>
        <w:ind w:hanging="0" w:start="283"/>
        <w:jc w:val="both"/>
        <w:rPr>
          <w:i/>
          <w:iCs/>
          <w:sz w:val="22"/>
          <w:szCs w:val="22"/>
        </w:rPr>
      </w:pPr>
      <w:r>
        <w:rPr>
          <w:i/>
          <w:iCs/>
          <w:sz w:val="22"/>
          <w:szCs w:val="22"/>
        </w:rPr>
        <w:t>Seja comprovado que o CONTRATADO mantém as condições iniciais de habilitação.</w:t>
      </w:r>
    </w:p>
    <w:p>
      <w:pPr>
        <w:pStyle w:val="normal1"/>
        <w:numPr>
          <w:ilvl w:val="1"/>
          <w:numId w:val="6"/>
        </w:numPr>
        <w:spacing w:lineRule="auto" w:line="360"/>
        <w:ind w:firstLine="357" w:start="283"/>
        <w:jc w:val="both"/>
        <w:rPr>
          <w:sz w:val="22"/>
          <w:szCs w:val="22"/>
        </w:rPr>
      </w:pPr>
      <w:r>
        <w:rPr>
          <w:sz w:val="22"/>
          <w:szCs w:val="22"/>
        </w:rPr>
        <w:t xml:space="preserve">O </w:t>
      </w:r>
      <w:r>
        <w:rPr>
          <w:b/>
          <w:bCs/>
          <w:sz w:val="22"/>
          <w:szCs w:val="22"/>
        </w:rPr>
        <w:t xml:space="preserve">CONTRATADO </w:t>
      </w:r>
      <w:r>
        <w:rPr>
          <w:sz w:val="22"/>
          <w:szCs w:val="22"/>
        </w:rPr>
        <w:t>não tem direito subjetivo à prorrogação contratual.</w:t>
      </w:r>
    </w:p>
    <w:p>
      <w:pPr>
        <w:pStyle w:val="normal1"/>
        <w:numPr>
          <w:ilvl w:val="1"/>
          <w:numId w:val="6"/>
        </w:numPr>
        <w:spacing w:lineRule="auto" w:line="360"/>
        <w:ind w:firstLine="357" w:start="283"/>
        <w:jc w:val="both"/>
        <w:rPr>
          <w:sz w:val="22"/>
          <w:szCs w:val="22"/>
        </w:rPr>
      </w:pPr>
      <w:r>
        <w:rPr>
          <w:sz w:val="22"/>
          <w:szCs w:val="22"/>
        </w:rPr>
        <w:t xml:space="preserve">A prorrogação de contrato deverá ser promovida mediante celebração de termo aditivo. </w:t>
      </w:r>
    </w:p>
    <w:p>
      <w:pPr>
        <w:pStyle w:val="normal1"/>
        <w:numPr>
          <w:ilvl w:val="1"/>
          <w:numId w:val="6"/>
        </w:numPr>
        <w:spacing w:lineRule="auto" w:line="360"/>
        <w:ind w:firstLine="357" w:start="283"/>
        <w:jc w:val="both"/>
        <w:rPr>
          <w:sz w:val="22"/>
          <w:szCs w:val="22"/>
        </w:rPr>
      </w:pPr>
      <w:r>
        <w:rPr>
          <w:sz w:val="22"/>
          <w:szCs w:val="22"/>
        </w:rPr>
        <w:t>Nas eventuais prorrogações contratuais, os custos não renováveis já pagos ou amortizados ao longo do primeiro período de vigência da contratação deverão ser reduzidos ou eliminados como condição para a renovação.</w:t>
      </w:r>
    </w:p>
    <w:p>
      <w:pPr>
        <w:pStyle w:val="normal1"/>
        <w:numPr>
          <w:ilvl w:val="1"/>
          <w:numId w:val="6"/>
        </w:numPr>
        <w:spacing w:lineRule="auto" w:line="360"/>
        <w:ind w:firstLine="357" w:start="283"/>
        <w:jc w:val="both"/>
        <w:rPr>
          <w:sz w:val="22"/>
          <w:szCs w:val="22"/>
        </w:rPr>
      </w:pPr>
      <w:r>
        <w:rPr>
          <w:sz w:val="22"/>
          <w:szCs w:val="22"/>
        </w:rPr>
        <w:t xml:space="preserve">O contrato não poderá ser prorrogado quando o </w:t>
      </w:r>
      <w:r>
        <w:rPr>
          <w:b/>
          <w:bCs/>
          <w:sz w:val="22"/>
          <w:szCs w:val="22"/>
        </w:rPr>
        <w:t xml:space="preserve">CONTRATADO </w:t>
      </w:r>
      <w:r>
        <w:rPr>
          <w:sz w:val="22"/>
          <w:szCs w:val="22"/>
        </w:rPr>
        <w:t>tiver sido penalizado nas sanções de declaração de inidoneidade ou impedimento de licitar e contratar com poder público, observadas as abrangências de aplicação.</w:t>
      </w:r>
    </w:p>
    <w:p>
      <w:pPr>
        <w:pStyle w:val="normal1"/>
        <w:keepNext w:val="true"/>
        <w:keepLines/>
        <w:numPr>
          <w:ilvl w:val="0"/>
          <w:numId w:val="6"/>
        </w:numPr>
        <w:tabs>
          <w:tab w:val="clear" w:pos="720"/>
          <w:tab w:val="left" w:pos="0" w:leader="none"/>
          <w:tab w:val="left" w:pos="567" w:leader="none"/>
        </w:tabs>
        <w:spacing w:lineRule="auto" w:line="360" w:before="200" w:after="200"/>
        <w:ind w:hanging="0" w:start="720"/>
        <w:jc w:val="both"/>
        <w:rPr>
          <w:b/>
          <w:bCs/>
          <w:color w:val="FFFFFF"/>
          <w:sz w:val="22"/>
          <w:szCs w:val="22"/>
        </w:rPr>
      </w:pPr>
      <w:r>
        <w:rPr>
          <w:b/>
          <w:bCs/>
          <w:sz w:val="22"/>
          <w:szCs w:val="22"/>
        </w:rPr>
        <w:t>CLÁUSULA OITAVA – SUBCONTRATAÇÃO</w:t>
      </w:r>
    </w:p>
    <w:p>
      <w:pPr>
        <w:pStyle w:val="normal1"/>
        <w:numPr>
          <w:ilvl w:val="1"/>
          <w:numId w:val="6"/>
        </w:numPr>
        <w:spacing w:lineRule="auto" w:line="360"/>
        <w:ind w:firstLine="357" w:start="283"/>
        <w:jc w:val="both"/>
        <w:rPr>
          <w:i/>
          <w:iCs/>
          <w:sz w:val="22"/>
          <w:szCs w:val="22"/>
        </w:rPr>
      </w:pPr>
      <w:r>
        <w:rPr>
          <w:i/>
          <w:iCs/>
          <w:sz w:val="22"/>
          <w:szCs w:val="22"/>
        </w:rPr>
        <w:t>Não será admitida a subcontratação do objeto contratual.</w:t>
      </w:r>
    </w:p>
    <w:p>
      <w:pPr>
        <w:pStyle w:val="normal1"/>
        <w:keepNext w:val="true"/>
        <w:keepLines/>
        <w:numPr>
          <w:ilvl w:val="0"/>
          <w:numId w:val="6"/>
        </w:numPr>
        <w:tabs>
          <w:tab w:val="clear" w:pos="720"/>
          <w:tab w:val="left" w:pos="0" w:leader="none"/>
          <w:tab w:val="left" w:pos="567" w:leader="none"/>
        </w:tabs>
        <w:spacing w:lineRule="auto" w:line="360" w:before="200" w:after="200"/>
        <w:ind w:hanging="0" w:start="720"/>
        <w:jc w:val="both"/>
        <w:rPr>
          <w:b/>
          <w:bCs/>
          <w:color w:val="FFFFFF"/>
          <w:sz w:val="22"/>
          <w:szCs w:val="22"/>
        </w:rPr>
      </w:pPr>
      <w:r>
        <w:rPr>
          <w:b/>
          <w:bCs/>
          <w:sz w:val="22"/>
          <w:szCs w:val="22"/>
        </w:rPr>
        <w:t>CLÁUSULA NONA – RECURSOS PARA ATENDER AS DESPESAS</w:t>
      </w:r>
    </w:p>
    <w:p>
      <w:pPr>
        <w:pStyle w:val="normal1"/>
        <w:numPr>
          <w:ilvl w:val="1"/>
          <w:numId w:val="6"/>
        </w:numPr>
        <w:spacing w:lineRule="auto" w:line="360"/>
        <w:ind w:firstLine="357" w:start="283"/>
        <w:jc w:val="both"/>
        <w:rPr>
          <w:sz w:val="22"/>
          <w:szCs w:val="22"/>
        </w:rPr>
      </w:pPr>
      <w:r>
        <w:rPr>
          <w:sz w:val="22"/>
          <w:szCs w:val="22"/>
        </w:rPr>
        <w:t>As despesas decorrentes da presente contratação correrão à conta de recursos específicos consignados no orçamento xxxxxxxxxxxxxxx deste exercício, na dotação abaixo discriminada:</w:t>
      </w:r>
    </w:p>
    <w:p>
      <w:pPr>
        <w:pStyle w:val="normal1"/>
        <w:numPr>
          <w:ilvl w:val="0"/>
          <w:numId w:val="9"/>
        </w:numPr>
        <w:spacing w:lineRule="auto" w:line="360"/>
        <w:ind w:hanging="0" w:start="283"/>
        <w:jc w:val="both"/>
        <w:rPr>
          <w:sz w:val="22"/>
          <w:szCs w:val="22"/>
        </w:rPr>
      </w:pPr>
      <w:r>
        <w:rPr>
          <w:sz w:val="22"/>
          <w:szCs w:val="22"/>
        </w:rPr>
        <w:t xml:space="preserve">Órgão/Unidade: </w:t>
      </w:r>
    </w:p>
    <w:p>
      <w:pPr>
        <w:pStyle w:val="normal1"/>
        <w:numPr>
          <w:ilvl w:val="0"/>
          <w:numId w:val="9"/>
        </w:numPr>
        <w:spacing w:lineRule="auto" w:line="360"/>
        <w:ind w:hanging="0" w:start="283"/>
        <w:jc w:val="both"/>
        <w:rPr>
          <w:sz w:val="22"/>
          <w:szCs w:val="22"/>
        </w:rPr>
      </w:pPr>
      <w:r>
        <w:rPr>
          <w:sz w:val="22"/>
          <w:szCs w:val="22"/>
        </w:rPr>
        <w:t xml:space="preserve">Projeto/Atividade: </w:t>
      </w:r>
    </w:p>
    <w:p>
      <w:pPr>
        <w:pStyle w:val="normal1"/>
        <w:numPr>
          <w:ilvl w:val="0"/>
          <w:numId w:val="9"/>
        </w:numPr>
        <w:spacing w:lineRule="auto" w:line="360"/>
        <w:ind w:hanging="0" w:start="283"/>
        <w:jc w:val="both"/>
        <w:rPr>
          <w:sz w:val="22"/>
          <w:szCs w:val="22"/>
        </w:rPr>
      </w:pPr>
      <w:r>
        <w:rPr>
          <w:sz w:val="22"/>
          <w:szCs w:val="22"/>
        </w:rPr>
        <w:t xml:space="preserve">Elemento de Despesa: </w:t>
      </w:r>
    </w:p>
    <w:p>
      <w:pPr>
        <w:pStyle w:val="normal1"/>
        <w:numPr>
          <w:ilvl w:val="0"/>
          <w:numId w:val="9"/>
        </w:numPr>
        <w:spacing w:lineRule="auto" w:line="360"/>
        <w:ind w:hanging="0" w:start="283"/>
        <w:jc w:val="both"/>
        <w:rPr>
          <w:sz w:val="22"/>
          <w:szCs w:val="22"/>
        </w:rPr>
      </w:pPr>
      <w:r>
        <w:rPr>
          <w:sz w:val="22"/>
          <w:szCs w:val="22"/>
        </w:rPr>
        <w:t xml:space="preserve">Fonte de Recurso: </w:t>
      </w:r>
    </w:p>
    <w:p>
      <w:pPr>
        <w:pStyle w:val="normal1"/>
        <w:numPr>
          <w:ilvl w:val="0"/>
          <w:numId w:val="9"/>
        </w:numPr>
        <w:spacing w:lineRule="auto" w:line="360"/>
        <w:ind w:hanging="0" w:start="283"/>
        <w:jc w:val="both"/>
        <w:rPr>
          <w:sz w:val="22"/>
          <w:szCs w:val="22"/>
        </w:rPr>
      </w:pPr>
      <w:r>
        <w:rPr>
          <w:sz w:val="22"/>
          <w:szCs w:val="22"/>
        </w:rPr>
        <w:t>Funcional:</w:t>
      </w:r>
    </w:p>
    <w:p>
      <w:pPr>
        <w:pStyle w:val="normal1"/>
        <w:spacing w:lineRule="auto" w:line="360"/>
        <w:ind w:hanging="0"/>
        <w:jc w:val="both"/>
        <w:rPr>
          <w:i/>
          <w:iCs/>
          <w:sz w:val="22"/>
          <w:szCs w:val="22"/>
        </w:rPr>
      </w:pPr>
      <w:r>
        <w:rPr>
          <w:i/>
          <w:iCs/>
          <w:sz w:val="22"/>
          <w:szCs w:val="22"/>
        </w:rPr>
        <w:t>Parágrafo Único:</w:t>
      </w:r>
      <w:r>
        <w:rPr>
          <w:i/>
          <w:iCs/>
          <w:color w:val="FF0000"/>
          <w:sz w:val="22"/>
          <w:szCs w:val="22"/>
        </w:rPr>
        <w:t xml:space="preserve"> </w:t>
      </w:r>
      <w:r>
        <w:rPr>
          <w:i/>
          <w:iCs/>
          <w:sz w:val="22"/>
          <w:szCs w:val="22"/>
        </w:rPr>
        <w:t>A dotação relativa aos exercícios financeiros subsequentes será indicada após aprovação da Lei Orçamentária respectiva e liberação dos créditos correspondentes, mediante apostilamento.</w:t>
      </w:r>
    </w:p>
    <w:p>
      <w:pPr>
        <w:pStyle w:val="normal1"/>
        <w:keepNext w:val="true"/>
        <w:keepLines/>
        <w:numPr>
          <w:ilvl w:val="0"/>
          <w:numId w:val="6"/>
        </w:numPr>
        <w:tabs>
          <w:tab w:val="clear" w:pos="720"/>
          <w:tab w:val="left" w:pos="0" w:leader="none"/>
          <w:tab w:val="left" w:pos="567" w:leader="none"/>
        </w:tabs>
        <w:spacing w:lineRule="auto" w:line="360" w:before="200" w:after="200"/>
        <w:ind w:hanging="0" w:start="720"/>
        <w:jc w:val="both"/>
        <w:rPr>
          <w:b/>
          <w:bCs/>
          <w:color w:val="FFFFFF"/>
          <w:sz w:val="22"/>
          <w:szCs w:val="22"/>
        </w:rPr>
      </w:pPr>
      <w:r>
        <w:rPr>
          <w:b/>
          <w:bCs/>
          <w:sz w:val="22"/>
          <w:szCs w:val="22"/>
        </w:rPr>
        <w:t>CLÁUSULA DÉCIMA – GESTÃO E FISCALIZAÇÃO</w:t>
      </w:r>
    </w:p>
    <w:p>
      <w:pPr>
        <w:pStyle w:val="normal1"/>
        <w:numPr>
          <w:ilvl w:val="1"/>
          <w:numId w:val="6"/>
        </w:numPr>
        <w:spacing w:lineRule="auto" w:line="360"/>
        <w:ind w:firstLine="357" w:start="283"/>
        <w:jc w:val="both"/>
        <w:rPr>
          <w:sz w:val="22"/>
          <w:szCs w:val="22"/>
        </w:rPr>
      </w:pPr>
      <w:r>
        <w:rPr>
          <w:sz w:val="22"/>
          <w:szCs w:val="22"/>
        </w:rPr>
        <w:t xml:space="preserve">O </w:t>
      </w:r>
      <w:r>
        <w:rPr>
          <w:b/>
          <w:bCs/>
          <w:sz w:val="22"/>
          <w:szCs w:val="22"/>
        </w:rPr>
        <w:t>CONTRATANTE</w:t>
      </w:r>
      <w:r>
        <w:rPr>
          <w:sz w:val="22"/>
          <w:szCs w:val="22"/>
        </w:rPr>
        <w:t xml:space="preserve"> exercerá ampla gestão e fiscalização do objeto CONTRATADO, o que em nenhuma hipótese eximirá a </w:t>
      </w:r>
      <w:r>
        <w:rPr>
          <w:b/>
          <w:bCs/>
          <w:sz w:val="22"/>
          <w:szCs w:val="22"/>
        </w:rPr>
        <w:t>CONTRATADA</w:t>
      </w:r>
      <w:r>
        <w:rPr>
          <w:sz w:val="22"/>
          <w:szCs w:val="22"/>
        </w:rPr>
        <w:t xml:space="preserve"> das responsabilidades fixadas pelo Código Civil e pelo Código de Defesa do Consumidor.</w:t>
      </w:r>
    </w:p>
    <w:p>
      <w:pPr>
        <w:pStyle w:val="normal1"/>
        <w:numPr>
          <w:ilvl w:val="1"/>
          <w:numId w:val="6"/>
        </w:numPr>
        <w:spacing w:lineRule="auto" w:line="360"/>
        <w:ind w:firstLine="357" w:start="283"/>
        <w:jc w:val="both"/>
        <w:rPr>
          <w:sz w:val="22"/>
          <w:szCs w:val="22"/>
        </w:rPr>
      </w:pPr>
      <w:r>
        <w:rPr>
          <w:sz w:val="22"/>
          <w:szCs w:val="22"/>
        </w:rPr>
        <w:t>A gestão contratual caberá à autoridade competente da pasta, sendo de sua competência:</w:t>
      </w:r>
    </w:p>
    <w:p>
      <w:pPr>
        <w:pStyle w:val="normal1"/>
        <w:numPr>
          <w:ilvl w:val="2"/>
          <w:numId w:val="6"/>
        </w:numPr>
        <w:spacing w:lineRule="auto" w:line="360"/>
        <w:ind w:firstLine="527" w:start="567"/>
        <w:jc w:val="both"/>
        <w:rPr>
          <w:sz w:val="22"/>
          <w:szCs w:val="22"/>
        </w:rPr>
      </w:pPr>
      <w:r>
        <w:rPr>
          <w:sz w:val="22"/>
          <w:szCs w:val="22"/>
        </w:rPr>
        <w:t>coordenar as atividades relacionadas à fiscalização técnica, administrativa e setorial;</w:t>
      </w:r>
    </w:p>
    <w:p>
      <w:pPr>
        <w:pStyle w:val="normal1"/>
        <w:numPr>
          <w:ilvl w:val="2"/>
          <w:numId w:val="6"/>
        </w:numPr>
        <w:spacing w:lineRule="auto" w:line="360"/>
        <w:ind w:firstLine="527" w:start="567"/>
        <w:jc w:val="both"/>
        <w:rPr>
          <w:sz w:val="22"/>
          <w:szCs w:val="22"/>
        </w:rPr>
      </w:pPr>
      <w:r>
        <w:rPr>
          <w:sz w:val="22"/>
          <w:szCs w:val="22"/>
        </w:rPr>
        <w:t>acompanhar os registros realizados pelos fiscais do contrato das ocorrências relacionadas à execução do contrato e as medidas adotadas, e informar à autoridade superior do município aquelas que ultrapassarem a sua competência;</w:t>
      </w:r>
    </w:p>
    <w:p>
      <w:pPr>
        <w:pStyle w:val="normal1"/>
        <w:numPr>
          <w:ilvl w:val="2"/>
          <w:numId w:val="6"/>
        </w:numPr>
        <w:spacing w:lineRule="auto" w:line="360"/>
        <w:ind w:firstLine="527" w:start="567"/>
        <w:jc w:val="both"/>
        <w:rPr>
          <w:sz w:val="22"/>
          <w:szCs w:val="22"/>
        </w:rPr>
      </w:pPr>
      <w:r>
        <w:rPr>
          <w:sz w:val="22"/>
          <w:szCs w:val="22"/>
        </w:rPr>
        <w:t>acompanhar a manutenção das condições de habilitação do contratado, para fins de empenho de despesa e de pagamento, e anotar os problemas que obstem o fluxo normal da liquidação e do pagamento da despesa no relatório de riscos eventuais;</w:t>
      </w:r>
    </w:p>
    <w:p>
      <w:pPr>
        <w:pStyle w:val="normal1"/>
        <w:numPr>
          <w:ilvl w:val="2"/>
          <w:numId w:val="6"/>
        </w:numPr>
        <w:spacing w:lineRule="auto" w:line="360"/>
        <w:ind w:firstLine="527" w:start="567"/>
        <w:jc w:val="both"/>
        <w:rPr>
          <w:sz w:val="22"/>
          <w:szCs w:val="22"/>
        </w:rPr>
      </w:pPr>
      <w:r>
        <w:rPr>
          <w:sz w:val="22"/>
          <w:szCs w:val="22"/>
        </w:rPr>
        <w:t>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pPr>
        <w:pStyle w:val="normal1"/>
        <w:numPr>
          <w:ilvl w:val="2"/>
          <w:numId w:val="6"/>
        </w:numPr>
        <w:spacing w:lineRule="auto" w:line="360"/>
        <w:ind w:firstLine="527" w:start="567"/>
        <w:jc w:val="both"/>
        <w:rPr>
          <w:sz w:val="22"/>
          <w:szCs w:val="22"/>
        </w:rPr>
      </w:pPr>
      <w:r>
        <w:rPr>
          <w:sz w:val="22"/>
          <w:szCs w:val="22"/>
        </w:rPr>
        <w:t>coordenar os atos preparatórios à instrução processual e ao envio da documentação pertinente ao setor de contratos para a formalização dos procedimentos relativos à prorrogação, à alteração, ao reequilíbrio, ao pagamento, à eventual aplicação de sanções e a extinção dos contratos;</w:t>
      </w:r>
    </w:p>
    <w:p>
      <w:pPr>
        <w:pStyle w:val="normal1"/>
        <w:numPr>
          <w:ilvl w:val="2"/>
          <w:numId w:val="6"/>
        </w:numPr>
        <w:spacing w:lineRule="auto" w:line="360"/>
        <w:ind w:firstLine="527" w:start="567"/>
        <w:jc w:val="both"/>
        <w:rPr>
          <w:sz w:val="22"/>
          <w:szCs w:val="22"/>
        </w:rPr>
      </w:pPr>
      <w:r>
        <w:rPr>
          <w:sz w:val="22"/>
          <w:szCs w:val="22"/>
        </w:rPr>
        <w:t>elaborar o relatório final de que trata a alínea “d” do inciso VI do § 3º do art. 174 da Lei nº 14.133, de 2021, com as informações obtidas durante a execução do contrato;</w:t>
      </w:r>
    </w:p>
    <w:p>
      <w:pPr>
        <w:pStyle w:val="normal1"/>
        <w:numPr>
          <w:ilvl w:val="2"/>
          <w:numId w:val="6"/>
        </w:numPr>
        <w:spacing w:lineRule="auto" w:line="360"/>
        <w:ind w:firstLine="527" w:start="567"/>
        <w:jc w:val="both"/>
        <w:rPr>
          <w:sz w:val="22"/>
          <w:szCs w:val="22"/>
        </w:rPr>
      </w:pPr>
      <w:r>
        <w:rPr>
          <w:sz w:val="22"/>
          <w:szCs w:val="22"/>
        </w:rPr>
        <w:t>emitir documento comprobatório da avaliação realizada pelos fiscais técnico, administrativo e setorial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pPr>
        <w:pStyle w:val="normal1"/>
        <w:numPr>
          <w:ilvl w:val="2"/>
          <w:numId w:val="6"/>
        </w:numPr>
        <w:spacing w:lineRule="auto" w:line="360"/>
        <w:ind w:firstLine="527" w:start="567"/>
        <w:jc w:val="both"/>
        <w:rPr>
          <w:sz w:val="22"/>
          <w:szCs w:val="22"/>
        </w:rPr>
      </w:pPr>
      <w:r>
        <w:rPr>
          <w:sz w:val="22"/>
          <w:szCs w:val="22"/>
        </w:rPr>
        <w:t>realizar o recebimento definitivo do objeto do contrato referido no art. 25, mediante termo detalhado que comprove o atendimento das exigências contratuais; e</w:t>
      </w:r>
    </w:p>
    <w:p>
      <w:pPr>
        <w:pStyle w:val="normal1"/>
        <w:numPr>
          <w:ilvl w:val="2"/>
          <w:numId w:val="6"/>
        </w:numPr>
        <w:spacing w:lineRule="auto" w:line="360"/>
        <w:ind w:firstLine="527" w:start="567"/>
        <w:jc w:val="both"/>
        <w:rPr>
          <w:sz w:val="22"/>
          <w:szCs w:val="22"/>
        </w:rPr>
      </w:pPr>
      <w:r>
        <w:rPr>
          <w:sz w:val="22"/>
          <w:szCs w:val="22"/>
        </w:rPr>
        <w:t>tomar providências para a formalização de processo administrativo de responsabilização para fins de aplicação de sanções, de que trata o art. 158 da Lei nº 14.133, de 2021.</w:t>
      </w:r>
    </w:p>
    <w:p>
      <w:pPr>
        <w:pStyle w:val="normal1"/>
        <w:numPr>
          <w:ilvl w:val="1"/>
          <w:numId w:val="6"/>
        </w:numPr>
        <w:spacing w:lineRule="auto" w:line="360"/>
        <w:ind w:firstLine="357" w:start="283"/>
        <w:jc w:val="both"/>
        <w:rPr>
          <w:sz w:val="22"/>
          <w:szCs w:val="22"/>
        </w:rPr>
      </w:pPr>
      <w:r>
        <w:rPr>
          <w:sz w:val="22"/>
          <w:szCs w:val="22"/>
        </w:rPr>
        <w:t>A fiscalização contratual ocorrerá simultaneamente por servidores designados, sempre que necessário; sendo o FISCAL ADMINISTRATIVO ou FISCAL SETORIAL e o FISCAL TÉCNICO. A atribuição de Fiscal Técnico deverá ser exercida por servidor designado de cargo técnico, conforme atribuições descritas no Manual De Fiscalização de Contratos da Prefeitura de Florianópolis (de Outubro de 2020).</w:t>
      </w:r>
    </w:p>
    <w:p>
      <w:pPr>
        <w:pStyle w:val="normal1"/>
        <w:numPr>
          <w:ilvl w:val="1"/>
          <w:numId w:val="6"/>
        </w:numPr>
        <w:spacing w:lineRule="auto" w:line="360"/>
        <w:ind w:firstLine="357" w:start="283"/>
        <w:jc w:val="both"/>
        <w:rPr>
          <w:sz w:val="22"/>
          <w:szCs w:val="22"/>
        </w:rPr>
      </w:pPr>
      <w:r>
        <w:rPr>
          <w:sz w:val="22"/>
          <w:szCs w:val="22"/>
        </w:rPr>
        <w:t>Compete ao fiscal técnico:</w:t>
      </w:r>
    </w:p>
    <w:p>
      <w:pPr>
        <w:pStyle w:val="normal1"/>
        <w:numPr>
          <w:ilvl w:val="2"/>
          <w:numId w:val="6"/>
        </w:numPr>
        <w:spacing w:lineRule="auto" w:line="360"/>
        <w:ind w:firstLine="527" w:start="567"/>
        <w:jc w:val="both"/>
        <w:rPr>
          <w:sz w:val="22"/>
          <w:szCs w:val="22"/>
        </w:rPr>
      </w:pPr>
      <w:r>
        <w:rPr>
          <w:sz w:val="22"/>
          <w:szCs w:val="22"/>
        </w:rPr>
        <w:t xml:space="preserve">O fiscal técnico do contrato acompanhará a execução do contrato, para que sejam cumpridas todas as condições estabelecidas no contrato, de modo a assegurar os melhores resultados para a Administração. </w:t>
      </w:r>
    </w:p>
    <w:p>
      <w:pPr>
        <w:pStyle w:val="normal1"/>
        <w:numPr>
          <w:ilvl w:val="2"/>
          <w:numId w:val="6"/>
        </w:numPr>
        <w:spacing w:lineRule="auto" w:line="360"/>
        <w:ind w:firstLine="527" w:start="567"/>
        <w:jc w:val="both"/>
        <w:rPr>
          <w:sz w:val="22"/>
          <w:szCs w:val="22"/>
        </w:rPr>
      </w:pPr>
      <w:r>
        <w:rPr>
          <w:sz w:val="22"/>
          <w:szCs w:val="22"/>
        </w:rPr>
        <w:t xml:space="preserve">A fiscalização técnica dos contratos deve avaliar constantemente através do Instrumento de Medição de Resultado (IMR), caso haja previsão no ETP para aferição da qualidade da prestação dos serviços, devendo haver o redimensionamento no pagamento com base nos indicadores estabelecidos. </w:t>
      </w:r>
    </w:p>
    <w:p>
      <w:pPr>
        <w:pStyle w:val="normal1"/>
        <w:numPr>
          <w:ilvl w:val="2"/>
          <w:numId w:val="6"/>
        </w:numPr>
        <w:spacing w:lineRule="auto" w:line="360"/>
        <w:ind w:firstLine="527" w:start="567"/>
        <w:jc w:val="both"/>
        <w:rPr>
          <w:sz w:val="22"/>
          <w:szCs w:val="22"/>
        </w:rPr>
      </w:pPr>
      <w:r>
        <w:rPr>
          <w:sz w:val="22"/>
          <w:szCs w:val="22"/>
        </w:rPr>
        <w:t xml:space="preserve">Durante a execução do objeto, fase do recebimento provisório, o fiscal técnico designado deverá monitorar constantemente o nível de qualidade dos serviços para evitar a sua degeneração, devendo intervir para requerer à contratada a correção das faltas, falhas e irregularidades constatadas. </w:t>
      </w:r>
    </w:p>
    <w:p>
      <w:pPr>
        <w:pStyle w:val="normal1"/>
        <w:numPr>
          <w:ilvl w:val="2"/>
          <w:numId w:val="6"/>
        </w:numPr>
        <w:spacing w:lineRule="auto" w:line="360"/>
        <w:ind w:firstLine="527" w:start="567"/>
        <w:jc w:val="both"/>
        <w:rPr>
          <w:sz w:val="22"/>
          <w:szCs w:val="22"/>
        </w:rPr>
      </w:pPr>
      <w:r>
        <w:rPr>
          <w:sz w:val="22"/>
          <w:szCs w:val="22"/>
        </w:rPr>
        <w:t xml:space="preserve"> </w:t>
      </w:r>
      <w:r>
        <w:rPr>
          <w:sz w:val="22"/>
          <w:szCs w:val="22"/>
        </w:rPr>
        <w:t xml:space="preserve">O fiscal técnico do contrato deverá apresentar ao preposto da contratada a avaliação da execução do objeto ou, se for o caso, a avaliação de desempenho e qualidade da prestação dos serviços realizada. </w:t>
      </w:r>
    </w:p>
    <w:p>
      <w:pPr>
        <w:pStyle w:val="normal1"/>
        <w:numPr>
          <w:ilvl w:val="2"/>
          <w:numId w:val="6"/>
        </w:numPr>
        <w:spacing w:lineRule="auto" w:line="360"/>
        <w:ind w:firstLine="527" w:start="567"/>
        <w:jc w:val="both"/>
        <w:rPr>
          <w:sz w:val="22"/>
          <w:szCs w:val="22"/>
        </w:rPr>
      </w:pPr>
      <w:r>
        <w:rPr>
          <w:sz w:val="22"/>
          <w:szCs w:val="22"/>
        </w:rPr>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 </w:t>
      </w:r>
    </w:p>
    <w:p>
      <w:pPr>
        <w:pStyle w:val="normal1"/>
        <w:numPr>
          <w:ilvl w:val="2"/>
          <w:numId w:val="6"/>
        </w:numPr>
        <w:spacing w:lineRule="auto" w:line="360"/>
        <w:ind w:firstLine="527" w:start="567"/>
        <w:jc w:val="both"/>
        <w:rPr>
          <w:sz w:val="22"/>
          <w:szCs w:val="22"/>
        </w:rPr>
      </w:pPr>
      <w:r>
        <w:rPr>
          <w:sz w:val="22"/>
          <w:szCs w:val="22"/>
        </w:rPr>
        <w:t xml:space="preserve">Na hipótese de comportamento contínuo de desconformidade da prestação do serviço em relação à qualidade exigida, bem como quando esta ultrapassar os níveis mínimos toleráveis previstos nos indicadores, além dos fatores redutores, deve ser aplicado às sanções à contratada de acordo com as regras previstas no ato convocatório. </w:t>
      </w:r>
    </w:p>
    <w:p>
      <w:pPr>
        <w:pStyle w:val="normal1"/>
        <w:numPr>
          <w:ilvl w:val="2"/>
          <w:numId w:val="6"/>
        </w:numPr>
        <w:spacing w:lineRule="auto" w:line="360"/>
        <w:ind w:firstLine="527" w:start="567"/>
        <w:jc w:val="both"/>
        <w:rPr>
          <w:sz w:val="22"/>
          <w:szCs w:val="22"/>
        </w:rPr>
      </w:pPr>
      <w:r>
        <w:rPr>
          <w:sz w:val="22"/>
          <w:szCs w:val="22"/>
        </w:rPr>
        <w:t xml:space="preserve">É vedada a atribuição à contratada da avaliação de desempenho e qualidade da prestação dos serviços por ela realizada. </w:t>
      </w:r>
    </w:p>
    <w:p>
      <w:pPr>
        <w:pStyle w:val="normal1"/>
        <w:numPr>
          <w:ilvl w:val="2"/>
          <w:numId w:val="6"/>
        </w:numPr>
        <w:spacing w:lineRule="auto" w:line="360"/>
        <w:ind w:firstLine="527" w:start="567"/>
        <w:jc w:val="both"/>
        <w:rPr>
          <w:sz w:val="22"/>
          <w:szCs w:val="22"/>
        </w:rPr>
      </w:pPr>
      <w:r>
        <w:rPr>
          <w:sz w:val="22"/>
          <w:szCs w:val="22"/>
        </w:rPr>
        <w:t xml:space="preserve">O fiscal técnico poderá realizar a avaliação diária, semanal ou mensal, desde que o período escolhido seja suficiente para avaliar ou, se for o caso, aferir o desempenho e qualidade da prestação dos serviços. </w:t>
      </w:r>
    </w:p>
    <w:p>
      <w:pPr>
        <w:pStyle w:val="normal1"/>
        <w:numPr>
          <w:ilvl w:val="2"/>
          <w:numId w:val="6"/>
        </w:numPr>
        <w:spacing w:lineRule="auto" w:line="360"/>
        <w:ind w:firstLine="527" w:start="567"/>
        <w:jc w:val="both"/>
        <w:rPr>
          <w:sz w:val="22"/>
          <w:szCs w:val="22"/>
        </w:rPr>
      </w:pPr>
      <w:r>
        <w:rPr>
          <w:sz w:val="22"/>
          <w:szCs w:val="22"/>
        </w:rP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n. 14.133/2021</w:t>
      </w:r>
    </w:p>
    <w:p>
      <w:pPr>
        <w:pStyle w:val="normal1"/>
        <w:numPr>
          <w:ilvl w:val="2"/>
          <w:numId w:val="6"/>
        </w:numPr>
        <w:spacing w:lineRule="auto" w:line="360"/>
        <w:ind w:firstLine="527" w:start="567"/>
        <w:jc w:val="both"/>
        <w:rPr>
          <w:sz w:val="22"/>
          <w:szCs w:val="22"/>
        </w:rPr>
      </w:pPr>
      <w:r>
        <w:rPr>
          <w:sz w:val="22"/>
          <w:szCs w:val="22"/>
        </w:rPr>
        <w:t xml:space="preserve">A conformidade do material/técnica/equipamento a ser utilizado na execução dos serviços deverá ser verificada juntamente com o documento da Contratada que contenha a relação detalhada destes, de acordo com o estabelecido no edital e na proposta, informando as respectivas quantidades e especificações técnicas, tais como: marca, qualidade e forma de uso. (art. 47, §2º, IN 05/2017) </w:t>
      </w:r>
    </w:p>
    <w:p>
      <w:pPr>
        <w:pStyle w:val="normal1"/>
        <w:numPr>
          <w:ilvl w:val="2"/>
          <w:numId w:val="6"/>
        </w:numPr>
        <w:spacing w:lineRule="auto" w:line="360"/>
        <w:ind w:firstLine="527" w:start="567"/>
        <w:jc w:val="both"/>
        <w:rPr>
          <w:sz w:val="22"/>
          <w:szCs w:val="22"/>
        </w:rPr>
      </w:pPr>
      <w:r>
        <w:rPr>
          <w:sz w:val="22"/>
          <w:szCs w:val="22"/>
        </w:rPr>
        <w:t xml:space="preserve">A fiscalização de que trata esta cláusula não exclui nem reduz a responsabilidade da Contratada, inclusive perante terceiros, por qualquer irregularidade, ainda que resultante de imperfeições técnicas, vícios anuláveis, ou emprego de material inadequado ou de qualidade inferior e, na ocorrência desta, não implica corresponsabilidade da CONTRATANTE ou de seus agentes, gestores e fiscais, de conformidade. </w:t>
      </w:r>
    </w:p>
    <w:p>
      <w:pPr>
        <w:pStyle w:val="normal1"/>
        <w:numPr>
          <w:ilvl w:val="2"/>
          <w:numId w:val="6"/>
        </w:numPr>
        <w:spacing w:lineRule="auto" w:line="360"/>
        <w:ind w:firstLine="527" w:start="567"/>
        <w:jc w:val="both"/>
        <w:rPr>
          <w:sz w:val="22"/>
          <w:szCs w:val="22"/>
        </w:rPr>
      </w:pPr>
      <w:r>
        <w:rPr>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 </w:t>
      </w:r>
    </w:p>
    <w:p>
      <w:pPr>
        <w:pStyle w:val="normal1"/>
        <w:numPr>
          <w:ilvl w:val="2"/>
          <w:numId w:val="6"/>
        </w:numPr>
        <w:spacing w:lineRule="auto" w:line="360"/>
        <w:ind w:firstLine="527" w:start="567"/>
        <w:jc w:val="both"/>
        <w:rPr>
          <w:sz w:val="22"/>
          <w:szCs w:val="22"/>
        </w:rPr>
      </w:pPr>
      <w:r>
        <w:rPr>
          <w:sz w:val="22"/>
          <w:szCs w:val="22"/>
        </w:rPr>
        <w:t>Identificada qualquer inexatidão ou irregularidade, o fiscal técnico do contrato emitirá notificações para a correção da execução do contrato, determinando prazo para a correção. (Decreto nº 11.246, de 2022, art. 22, III)</w:t>
      </w:r>
    </w:p>
    <w:p>
      <w:pPr>
        <w:pStyle w:val="normal1"/>
        <w:numPr>
          <w:ilvl w:val="2"/>
          <w:numId w:val="6"/>
        </w:numPr>
        <w:spacing w:lineRule="auto" w:line="360"/>
        <w:ind w:firstLine="527" w:start="567"/>
        <w:jc w:val="both"/>
        <w:rPr>
          <w:sz w:val="22"/>
          <w:szCs w:val="22"/>
        </w:rPr>
      </w:pPr>
      <w:r>
        <w:rPr>
          <w:sz w:val="22"/>
          <w:szCs w:val="22"/>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pPr>
        <w:pStyle w:val="normal1"/>
        <w:numPr>
          <w:ilvl w:val="2"/>
          <w:numId w:val="6"/>
        </w:numPr>
        <w:spacing w:lineRule="auto" w:line="360"/>
        <w:ind w:firstLine="527" w:start="567"/>
        <w:jc w:val="both"/>
        <w:rPr>
          <w:sz w:val="22"/>
          <w:szCs w:val="22"/>
        </w:rPr>
      </w:pPr>
      <w:r>
        <w:rPr>
          <w:sz w:val="22"/>
          <w:szCs w:val="22"/>
        </w:rPr>
        <w:t xml:space="preserve">No caso de ocorrências que possam inviabilizar a execução do contrato nas datas aprazadas, o fiscal técnico do contrato comunicará o fato imediatamente ao gestor do contrato. (Decreto nº 11.246, de 2022, art. 22, V); </w:t>
      </w:r>
    </w:p>
    <w:p>
      <w:pPr>
        <w:pStyle w:val="normal1"/>
        <w:numPr>
          <w:ilvl w:val="2"/>
          <w:numId w:val="6"/>
        </w:numPr>
        <w:spacing w:lineRule="auto" w:line="360"/>
        <w:ind w:firstLine="527" w:start="567"/>
        <w:jc w:val="both"/>
        <w:rPr>
          <w:sz w:val="22"/>
          <w:szCs w:val="22"/>
        </w:rPr>
      </w:pPr>
      <w:r>
        <w:rPr>
          <w:sz w:val="22"/>
          <w:szCs w:val="22"/>
        </w:rPr>
        <w:t xml:space="preserve">O fiscal técnico do contrato comunicará ao gestor do contrato, em tempo hábil, o término do contrato sob sua responsabilidade, com vistas à tempestiva renovação ou à prorrogação contratual (Decreto nº 11.246, de 2022, art. 22, VII). </w:t>
      </w:r>
    </w:p>
    <w:p>
      <w:pPr>
        <w:pStyle w:val="normal1"/>
        <w:numPr>
          <w:ilvl w:val="2"/>
          <w:numId w:val="6"/>
        </w:numPr>
        <w:spacing w:lineRule="auto" w:line="360"/>
        <w:ind w:firstLine="527" w:start="567"/>
        <w:jc w:val="both"/>
        <w:rPr>
          <w:sz w:val="22"/>
          <w:szCs w:val="22"/>
        </w:rPr>
      </w:pPr>
      <w:r>
        <w:rPr>
          <w:sz w:val="22"/>
          <w:szCs w:val="22"/>
        </w:rPr>
        <w:t>Para efeito de recebimento provisório, ao final de cada período mensal,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pPr>
        <w:pStyle w:val="normal1"/>
        <w:numPr>
          <w:ilvl w:val="1"/>
          <w:numId w:val="6"/>
        </w:numPr>
        <w:spacing w:lineRule="auto" w:line="360"/>
        <w:ind w:firstLine="357" w:start="283"/>
        <w:jc w:val="both"/>
        <w:rPr>
          <w:sz w:val="22"/>
          <w:szCs w:val="22"/>
        </w:rPr>
      </w:pPr>
      <w:r>
        <w:rPr>
          <w:sz w:val="22"/>
          <w:szCs w:val="22"/>
        </w:rPr>
        <w:t xml:space="preserve">Compete ao fiscal administrativo: </w:t>
      </w:r>
    </w:p>
    <w:p>
      <w:pPr>
        <w:pStyle w:val="normal1"/>
        <w:numPr>
          <w:ilvl w:val="2"/>
          <w:numId w:val="6"/>
        </w:numPr>
        <w:spacing w:lineRule="auto" w:line="360"/>
        <w:ind w:firstLine="527" w:start="567"/>
        <w:jc w:val="both"/>
        <w:rPr>
          <w:sz w:val="22"/>
          <w:szCs w:val="22"/>
        </w:rPr>
      </w:pPr>
      <w:r>
        <w:rPr>
          <w:sz w:val="22"/>
          <w:szCs w:val="22"/>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w:t>
      </w:r>
    </w:p>
    <w:p>
      <w:pPr>
        <w:pStyle w:val="normal1"/>
        <w:numPr>
          <w:ilvl w:val="2"/>
          <w:numId w:val="6"/>
        </w:numPr>
        <w:spacing w:lineRule="auto" w:line="360"/>
        <w:ind w:firstLine="527" w:start="567"/>
        <w:jc w:val="both"/>
        <w:rPr>
          <w:sz w:val="22"/>
          <w:szCs w:val="22"/>
        </w:rPr>
      </w:pPr>
      <w:r>
        <w:rPr>
          <w:sz w:val="22"/>
          <w:szCs w:val="22"/>
        </w:rPr>
        <w:t xml:space="preserve">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 </w:t>
      </w:r>
    </w:p>
    <w:p>
      <w:pPr>
        <w:pStyle w:val="normal1"/>
        <w:numPr>
          <w:ilvl w:val="2"/>
          <w:numId w:val="6"/>
        </w:numPr>
        <w:spacing w:lineRule="auto" w:line="360"/>
        <w:ind w:firstLine="527" w:start="567"/>
        <w:jc w:val="both"/>
        <w:rPr>
          <w:sz w:val="22"/>
          <w:szCs w:val="22"/>
        </w:rPr>
      </w:pPr>
      <w:r>
        <w:rPr>
          <w:sz w:val="22"/>
          <w:szCs w:val="22"/>
        </w:rPr>
        <w:t xml:space="preserve">A fiscalização administrativa poderá ser efetivada com base em critérios estatísticos, levando-se em consideração falhas que impactem o contrato como um todo e não apenas erros e falhas eventuais no pagamento de alguma vantagem a um determinado empregado. </w:t>
      </w:r>
    </w:p>
    <w:p>
      <w:pPr>
        <w:pStyle w:val="normal1"/>
        <w:numPr>
          <w:ilvl w:val="2"/>
          <w:numId w:val="6"/>
        </w:numPr>
        <w:spacing w:lineRule="auto" w:line="360"/>
        <w:ind w:firstLine="527" w:start="567"/>
        <w:jc w:val="both"/>
        <w:rPr>
          <w:sz w:val="22"/>
          <w:szCs w:val="22"/>
        </w:rPr>
      </w:pPr>
      <w:r>
        <w:rPr>
          <w:sz w:val="22"/>
          <w:szCs w:val="22"/>
        </w:rPr>
        <w:t>Na fiscalização do cumprimento das obrigações trabalhistas e sociais exigir-se-á, dentre outras, as seguintes comprovações, com a entrega até o dia trinta do mês seguinte ao da prestação dos serviços ao setor responsável pela fiscalização do contrato dos seguintes documentos, quando não for possível a verificação da regularidade destes no Sistema de Cadastro de Fornecedores (Sicaf):</w:t>
      </w:r>
    </w:p>
    <w:p>
      <w:pPr>
        <w:pStyle w:val="normal1"/>
        <w:numPr>
          <w:ilvl w:val="1"/>
          <w:numId w:val="11"/>
        </w:numPr>
        <w:spacing w:lineRule="auto" w:line="360"/>
        <w:ind w:firstLine="697" w:start="850"/>
        <w:jc w:val="both"/>
        <w:rPr>
          <w:sz w:val="22"/>
          <w:szCs w:val="22"/>
        </w:rPr>
      </w:pPr>
      <w:r>
        <w:rPr>
          <w:sz w:val="22"/>
          <w:szCs w:val="22"/>
        </w:rPr>
        <w:t>Certidão Negativa de Débitos relativos a Créditos Tributários Federais e à Dívida Ativa da União (CND);</w:t>
      </w:r>
    </w:p>
    <w:p>
      <w:pPr>
        <w:pStyle w:val="normal1"/>
        <w:numPr>
          <w:ilvl w:val="1"/>
          <w:numId w:val="11"/>
        </w:numPr>
        <w:spacing w:lineRule="auto" w:line="360"/>
        <w:ind w:firstLine="697" w:start="850"/>
        <w:jc w:val="both"/>
        <w:rPr>
          <w:sz w:val="22"/>
          <w:szCs w:val="22"/>
        </w:rPr>
      </w:pPr>
      <w:r>
        <w:rPr>
          <w:sz w:val="22"/>
          <w:szCs w:val="22"/>
        </w:rPr>
        <w:t>Certidões que comprovem a regularidade perante as Fazendas Estadual, Distrital e Municipal do domicílio ou sede do CONTRATADO;</w:t>
      </w:r>
    </w:p>
    <w:p>
      <w:pPr>
        <w:pStyle w:val="normal1"/>
        <w:numPr>
          <w:ilvl w:val="1"/>
          <w:numId w:val="11"/>
        </w:numPr>
        <w:spacing w:lineRule="auto" w:line="360"/>
        <w:ind w:firstLine="697" w:start="850"/>
        <w:jc w:val="both"/>
        <w:rPr>
          <w:sz w:val="22"/>
          <w:szCs w:val="22"/>
        </w:rPr>
      </w:pPr>
      <w:r>
        <w:rPr>
          <w:sz w:val="22"/>
          <w:szCs w:val="22"/>
        </w:rPr>
        <w:t xml:space="preserve">Certidão de Regularidade do FGTS (CRF); e </w:t>
      </w:r>
    </w:p>
    <w:p>
      <w:pPr>
        <w:pStyle w:val="normal1"/>
        <w:numPr>
          <w:ilvl w:val="1"/>
          <w:numId w:val="11"/>
        </w:numPr>
        <w:spacing w:lineRule="auto" w:line="360"/>
        <w:ind w:firstLine="697" w:start="850"/>
        <w:jc w:val="both"/>
        <w:rPr>
          <w:sz w:val="22"/>
          <w:szCs w:val="22"/>
        </w:rPr>
      </w:pPr>
      <w:r>
        <w:rPr>
          <w:sz w:val="22"/>
          <w:szCs w:val="22"/>
        </w:rPr>
        <w:t>Certidão Negativa de Débitos Trabalhistas (CNDT).</w:t>
      </w:r>
    </w:p>
    <w:p>
      <w:pPr>
        <w:pStyle w:val="normal1"/>
        <w:numPr>
          <w:ilvl w:val="2"/>
          <w:numId w:val="6"/>
        </w:numPr>
        <w:spacing w:lineRule="auto" w:line="360"/>
        <w:ind w:firstLine="527" w:start="567"/>
        <w:jc w:val="both"/>
        <w:rPr>
          <w:sz w:val="22"/>
          <w:szCs w:val="22"/>
        </w:rPr>
      </w:pPr>
      <w:r>
        <w:rPr>
          <w:sz w:val="22"/>
          <w:szCs w:val="22"/>
        </w:rPr>
        <w:t xml:space="preserve">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 </w:t>
      </w:r>
    </w:p>
    <w:p>
      <w:pPr>
        <w:pStyle w:val="normal1"/>
        <w:keepNext w:val="true"/>
        <w:keepLines/>
        <w:numPr>
          <w:ilvl w:val="0"/>
          <w:numId w:val="6"/>
        </w:numPr>
        <w:tabs>
          <w:tab w:val="clear" w:pos="720"/>
          <w:tab w:val="left" w:pos="0" w:leader="none"/>
          <w:tab w:val="left" w:pos="567" w:leader="none"/>
        </w:tabs>
        <w:spacing w:lineRule="auto" w:line="360" w:before="200" w:after="200"/>
        <w:ind w:hanging="0" w:start="720"/>
        <w:jc w:val="both"/>
        <w:rPr>
          <w:b/>
          <w:bCs/>
          <w:color w:val="FFFFFF"/>
          <w:sz w:val="22"/>
          <w:szCs w:val="22"/>
        </w:rPr>
      </w:pPr>
      <w:r>
        <w:rPr>
          <w:b/>
          <w:bCs/>
          <w:sz w:val="22"/>
          <w:szCs w:val="22"/>
        </w:rPr>
        <w:t>CLÁUSULA DÉCIMA PRIMEIRA – RESPONSABILIDADES DO CONTRATANTE (Art. 92, X, XI e XIV, da Lei n.º 14.133/2021)</w:t>
      </w:r>
    </w:p>
    <w:p>
      <w:pPr>
        <w:pStyle w:val="normal1"/>
        <w:numPr>
          <w:ilvl w:val="1"/>
          <w:numId w:val="6"/>
        </w:numPr>
        <w:spacing w:lineRule="auto" w:line="360"/>
        <w:ind w:firstLine="357" w:start="283"/>
        <w:jc w:val="both"/>
        <w:rPr>
          <w:sz w:val="22"/>
          <w:szCs w:val="22"/>
        </w:rPr>
      </w:pPr>
      <w:r>
        <w:rPr>
          <w:sz w:val="22"/>
          <w:szCs w:val="22"/>
        </w:rPr>
        <w:t xml:space="preserve">São obrigações do </w:t>
      </w:r>
      <w:r>
        <w:rPr>
          <w:b/>
          <w:bCs/>
          <w:sz w:val="22"/>
          <w:szCs w:val="22"/>
        </w:rPr>
        <w:t>CONTRATANTE</w:t>
      </w:r>
      <w:r>
        <w:rPr>
          <w:sz w:val="22"/>
          <w:szCs w:val="22"/>
        </w:rPr>
        <w:t>, além das previstas no termo de referência:</w:t>
      </w:r>
    </w:p>
    <w:p>
      <w:pPr>
        <w:pStyle w:val="normal1"/>
        <w:numPr>
          <w:ilvl w:val="1"/>
          <w:numId w:val="6"/>
        </w:numPr>
        <w:spacing w:lineRule="auto" w:line="360"/>
        <w:ind w:firstLine="357" w:start="283"/>
        <w:jc w:val="both"/>
        <w:rPr>
          <w:sz w:val="22"/>
          <w:szCs w:val="22"/>
        </w:rPr>
      </w:pPr>
      <w:r>
        <w:rPr>
          <w:sz w:val="22"/>
          <w:szCs w:val="22"/>
        </w:rPr>
        <w:t xml:space="preserve">Exigir o cumprimento de todas as obrigações assumidas pelo </w:t>
      </w:r>
      <w:r>
        <w:rPr>
          <w:b/>
          <w:bCs/>
          <w:sz w:val="22"/>
          <w:szCs w:val="22"/>
        </w:rPr>
        <w:t>CONTRATADO</w:t>
      </w:r>
      <w:r>
        <w:rPr>
          <w:sz w:val="22"/>
          <w:szCs w:val="22"/>
        </w:rPr>
        <w:t>, de acordo com o contrato e seus anexos;</w:t>
      </w:r>
    </w:p>
    <w:p>
      <w:pPr>
        <w:pStyle w:val="normal1"/>
        <w:numPr>
          <w:ilvl w:val="1"/>
          <w:numId w:val="6"/>
        </w:numPr>
        <w:spacing w:lineRule="auto" w:line="360"/>
        <w:ind w:firstLine="357" w:start="283"/>
        <w:jc w:val="both"/>
        <w:rPr>
          <w:sz w:val="22"/>
          <w:szCs w:val="22"/>
        </w:rPr>
      </w:pPr>
      <w:r>
        <w:rPr>
          <w:sz w:val="22"/>
          <w:szCs w:val="22"/>
        </w:rPr>
        <w:t>Receber o objeto no prazo e condições estabelecidas no Termo de Referência;</w:t>
      </w:r>
    </w:p>
    <w:p>
      <w:pPr>
        <w:pStyle w:val="normal1"/>
        <w:numPr>
          <w:ilvl w:val="1"/>
          <w:numId w:val="6"/>
        </w:numPr>
        <w:spacing w:lineRule="auto" w:line="360"/>
        <w:ind w:firstLine="357" w:start="283"/>
        <w:jc w:val="both"/>
        <w:rPr>
          <w:sz w:val="22"/>
          <w:szCs w:val="22"/>
        </w:rPr>
      </w:pPr>
      <w:r>
        <w:rPr>
          <w:sz w:val="22"/>
          <w:szCs w:val="22"/>
        </w:rPr>
        <w:t xml:space="preserve">Notificar o </w:t>
      </w:r>
      <w:r>
        <w:rPr>
          <w:b/>
          <w:bCs/>
          <w:sz w:val="22"/>
          <w:szCs w:val="22"/>
        </w:rPr>
        <w:t>CONTRATADO</w:t>
      </w:r>
      <w:r>
        <w:rPr>
          <w:sz w:val="22"/>
          <w:szCs w:val="22"/>
        </w:rPr>
        <w:t xml:space="preserve"> por escrito da ocorrência de eventuais imperfeições, falhas ou irregularidades constatadas no curso da execução dos serviços, fixando prazo para a sua correção, certificando-se de que as soluções por ele propostas sejam as mais adequadas;</w:t>
      </w:r>
    </w:p>
    <w:p>
      <w:pPr>
        <w:pStyle w:val="normal1"/>
        <w:numPr>
          <w:ilvl w:val="1"/>
          <w:numId w:val="6"/>
        </w:numPr>
        <w:spacing w:lineRule="auto" w:line="360"/>
        <w:ind w:firstLine="357" w:start="283"/>
        <w:jc w:val="both"/>
        <w:rPr>
          <w:sz w:val="22"/>
          <w:szCs w:val="22"/>
        </w:rPr>
      </w:pPr>
      <w:r>
        <w:rPr>
          <w:sz w:val="22"/>
          <w:szCs w:val="22"/>
        </w:rPr>
        <w:t xml:space="preserve">Notificar o </w:t>
      </w:r>
      <w:r>
        <w:rPr>
          <w:b/>
          <w:bCs/>
          <w:sz w:val="22"/>
          <w:szCs w:val="22"/>
        </w:rPr>
        <w:t>CONTRATADO</w:t>
      </w:r>
      <w:r>
        <w:rPr>
          <w:sz w:val="22"/>
          <w:szCs w:val="22"/>
        </w:rPr>
        <w:t>, por escrito, sobre vícios, defeitos ou incorreções verificadas no objeto fornecido, para que seja por ele substituído, reparado ou corrigido, no total ou em parte, às suas expensas;</w:t>
      </w:r>
    </w:p>
    <w:p>
      <w:pPr>
        <w:pStyle w:val="normal1"/>
        <w:numPr>
          <w:ilvl w:val="1"/>
          <w:numId w:val="6"/>
        </w:numPr>
        <w:spacing w:lineRule="auto" w:line="360"/>
        <w:ind w:firstLine="357" w:start="283"/>
        <w:jc w:val="both"/>
        <w:rPr>
          <w:sz w:val="22"/>
          <w:szCs w:val="22"/>
        </w:rPr>
      </w:pPr>
      <w:r>
        <w:rPr>
          <w:sz w:val="22"/>
          <w:szCs w:val="22"/>
        </w:rPr>
        <w:t xml:space="preserve">Acompanhar e fiscalizar a execução do contrato e o cumprimento das obrigações pelo </w:t>
      </w:r>
      <w:r>
        <w:rPr>
          <w:b/>
          <w:bCs/>
          <w:sz w:val="22"/>
          <w:szCs w:val="22"/>
        </w:rPr>
        <w:t>CONTRATADO</w:t>
      </w:r>
      <w:r>
        <w:rPr>
          <w:sz w:val="22"/>
          <w:szCs w:val="22"/>
        </w:rPr>
        <w:t>;</w:t>
      </w:r>
    </w:p>
    <w:p>
      <w:pPr>
        <w:pStyle w:val="normal1"/>
        <w:numPr>
          <w:ilvl w:val="1"/>
          <w:numId w:val="6"/>
        </w:numPr>
        <w:spacing w:lineRule="auto" w:line="360"/>
        <w:ind w:firstLine="357" w:start="283"/>
        <w:jc w:val="both"/>
        <w:rPr>
          <w:sz w:val="22"/>
          <w:szCs w:val="22"/>
        </w:rPr>
      </w:pPr>
      <w:r>
        <w:rPr>
          <w:sz w:val="22"/>
          <w:szCs w:val="22"/>
        </w:rPr>
        <w:t xml:space="preserve">Comunicar o </w:t>
      </w:r>
      <w:r>
        <w:rPr>
          <w:b/>
          <w:bCs/>
          <w:sz w:val="22"/>
          <w:szCs w:val="22"/>
        </w:rPr>
        <w:t>CONTRATADO</w:t>
      </w:r>
      <w:r>
        <w:rPr>
          <w:sz w:val="22"/>
          <w:szCs w:val="22"/>
        </w:rPr>
        <w:t xml:space="preserve"> para emissão de Nota Fiscal no que se refere à parcela incontroversa da execução do objeto, para efeito de liquidação e pagamento, quando houver controvérsia sobre a execução do objeto, quanto à dimensão, qualidade e quantidade, conforme o art. 143 da Lei n.º 14.133/2021;</w:t>
      </w:r>
    </w:p>
    <w:p>
      <w:pPr>
        <w:pStyle w:val="normal1"/>
        <w:numPr>
          <w:ilvl w:val="1"/>
          <w:numId w:val="6"/>
        </w:numPr>
        <w:spacing w:lineRule="auto" w:line="360"/>
        <w:ind w:firstLine="357" w:start="283"/>
        <w:jc w:val="both"/>
        <w:rPr>
          <w:sz w:val="22"/>
          <w:szCs w:val="22"/>
        </w:rPr>
      </w:pPr>
      <w:r>
        <w:rPr>
          <w:sz w:val="22"/>
          <w:szCs w:val="22"/>
        </w:rPr>
        <w:t xml:space="preserve">Efetuar o pagamento ao </w:t>
      </w:r>
      <w:r>
        <w:rPr>
          <w:b/>
          <w:bCs/>
          <w:sz w:val="22"/>
          <w:szCs w:val="22"/>
        </w:rPr>
        <w:t>CONTRATADO</w:t>
      </w:r>
      <w:r>
        <w:rPr>
          <w:sz w:val="22"/>
          <w:szCs w:val="22"/>
        </w:rPr>
        <w:t xml:space="preserve"> do valor correspondente à execução do objeto, no prazo, forma e condições estabelecidos no presente contrato e no Termo de Referência;</w:t>
      </w:r>
    </w:p>
    <w:p>
      <w:pPr>
        <w:pStyle w:val="normal1"/>
        <w:numPr>
          <w:ilvl w:val="1"/>
          <w:numId w:val="6"/>
        </w:numPr>
        <w:spacing w:lineRule="auto" w:line="360"/>
        <w:ind w:firstLine="357" w:start="283"/>
        <w:jc w:val="both"/>
        <w:rPr>
          <w:sz w:val="22"/>
          <w:szCs w:val="22"/>
        </w:rPr>
      </w:pPr>
      <w:r>
        <w:rPr>
          <w:sz w:val="22"/>
          <w:szCs w:val="22"/>
        </w:rPr>
        <w:t xml:space="preserve">Aplicar ao </w:t>
      </w:r>
      <w:r>
        <w:rPr>
          <w:b/>
          <w:bCs/>
          <w:sz w:val="22"/>
          <w:szCs w:val="22"/>
        </w:rPr>
        <w:t>CONTRATADO</w:t>
      </w:r>
      <w:r>
        <w:rPr>
          <w:sz w:val="22"/>
          <w:szCs w:val="22"/>
        </w:rPr>
        <w:t xml:space="preserve"> as sanções previstas na lei e neste contrato; </w:t>
      </w:r>
    </w:p>
    <w:p>
      <w:pPr>
        <w:pStyle w:val="normal1"/>
        <w:numPr>
          <w:ilvl w:val="1"/>
          <w:numId w:val="6"/>
        </w:numPr>
        <w:spacing w:lineRule="auto" w:line="360"/>
        <w:ind w:firstLine="357" w:start="283"/>
        <w:jc w:val="both"/>
        <w:rPr>
          <w:sz w:val="22"/>
          <w:szCs w:val="22"/>
        </w:rPr>
      </w:pPr>
      <w:r>
        <w:rPr>
          <w:sz w:val="22"/>
          <w:szCs w:val="22"/>
        </w:rPr>
        <w:t xml:space="preserve">Cientificar o órgão de representação pela Controladoria Geral do Município para adoção das medidas cabíveis quando do descumprimento de obrigações pelo </w:t>
      </w:r>
      <w:r>
        <w:rPr>
          <w:b/>
          <w:bCs/>
          <w:sz w:val="22"/>
          <w:szCs w:val="22"/>
        </w:rPr>
        <w:t>CONTRATADO</w:t>
      </w:r>
      <w:r>
        <w:rPr>
          <w:sz w:val="22"/>
          <w:szCs w:val="22"/>
        </w:rPr>
        <w:t>;</w:t>
      </w:r>
    </w:p>
    <w:p>
      <w:pPr>
        <w:pStyle w:val="normal1"/>
        <w:numPr>
          <w:ilvl w:val="1"/>
          <w:numId w:val="6"/>
        </w:numPr>
        <w:spacing w:lineRule="auto" w:line="360"/>
        <w:ind w:firstLine="357" w:start="283"/>
        <w:jc w:val="both"/>
        <w:rPr>
          <w:sz w:val="22"/>
          <w:szCs w:val="22"/>
        </w:rPr>
      </w:pPr>
      <w:r>
        <w:rPr>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1"/>
        <w:numPr>
          <w:ilvl w:val="2"/>
          <w:numId w:val="6"/>
        </w:numPr>
        <w:spacing w:lineRule="auto" w:line="360"/>
        <w:ind w:firstLine="527" w:start="567"/>
        <w:jc w:val="both"/>
        <w:rPr>
          <w:sz w:val="22"/>
          <w:szCs w:val="22"/>
        </w:rPr>
      </w:pPr>
      <w:r>
        <w:rPr>
          <w:sz w:val="22"/>
          <w:szCs w:val="22"/>
        </w:rPr>
        <w:t xml:space="preserve">A Administração terá o prazo de XXXXXXX, a contar da data do protocolo do requerimento para decidir, admitida a prorrogação motivada, por igual período; </w:t>
      </w:r>
    </w:p>
    <w:p>
      <w:pPr>
        <w:pStyle w:val="normal1"/>
        <w:numPr>
          <w:ilvl w:val="1"/>
          <w:numId w:val="6"/>
        </w:numPr>
        <w:spacing w:lineRule="auto" w:line="360"/>
        <w:ind w:firstLine="357" w:start="283"/>
        <w:jc w:val="both"/>
        <w:rPr>
          <w:sz w:val="22"/>
          <w:szCs w:val="22"/>
        </w:rPr>
      </w:pPr>
      <w:r>
        <w:rPr>
          <w:sz w:val="22"/>
          <w:szCs w:val="22"/>
        </w:rPr>
        <w:t xml:space="preserve">Responder eventuais pedidos de restabelecimento do equilíbrio econômico-financeiro feitos pelo </w:t>
      </w:r>
      <w:r>
        <w:rPr>
          <w:b/>
          <w:bCs/>
          <w:sz w:val="22"/>
          <w:szCs w:val="22"/>
        </w:rPr>
        <w:t>CONTRATADO</w:t>
      </w:r>
      <w:r>
        <w:rPr>
          <w:sz w:val="22"/>
          <w:szCs w:val="22"/>
        </w:rPr>
        <w:t xml:space="preserve"> no prazo máximo de XXXXXX;</w:t>
      </w:r>
    </w:p>
    <w:p>
      <w:pPr>
        <w:pStyle w:val="normal1"/>
        <w:numPr>
          <w:ilvl w:val="1"/>
          <w:numId w:val="6"/>
        </w:numPr>
        <w:spacing w:lineRule="auto" w:line="360"/>
        <w:ind w:firstLine="357" w:start="283"/>
        <w:jc w:val="both"/>
        <w:rPr>
          <w:sz w:val="22"/>
          <w:szCs w:val="22"/>
        </w:rPr>
      </w:pPr>
      <w:r>
        <w:rPr>
          <w:sz w:val="22"/>
          <w:szCs w:val="22"/>
        </w:rPr>
        <w:t>Notificar os emitentes das garantias quanto ao início de processo administrativo para apuração de descumprimento de cláusulas contratuais;</w:t>
      </w:r>
    </w:p>
    <w:p>
      <w:pPr>
        <w:pStyle w:val="normal1"/>
        <w:numPr>
          <w:ilvl w:val="1"/>
          <w:numId w:val="6"/>
        </w:numPr>
        <w:spacing w:lineRule="auto" w:line="360"/>
        <w:ind w:firstLine="357" w:start="283"/>
        <w:jc w:val="both"/>
        <w:rPr>
          <w:sz w:val="22"/>
          <w:szCs w:val="22"/>
        </w:rPr>
      </w:pPr>
      <w:r>
        <w:rPr>
          <w:sz w:val="22"/>
          <w:szCs w:val="22"/>
        </w:rPr>
        <w:t xml:space="preserve">Comunicar o </w:t>
      </w:r>
      <w:r>
        <w:rPr>
          <w:b/>
          <w:bCs/>
          <w:sz w:val="22"/>
          <w:szCs w:val="22"/>
        </w:rPr>
        <w:t>CONTRATADO</w:t>
      </w:r>
      <w:r>
        <w:rPr>
          <w:sz w:val="22"/>
          <w:szCs w:val="22"/>
        </w:rPr>
        <w:t xml:space="preserve"> na hipótese de posterior alteração do projeto pelo </w:t>
      </w:r>
      <w:r>
        <w:rPr>
          <w:b/>
          <w:bCs/>
          <w:sz w:val="22"/>
          <w:szCs w:val="22"/>
        </w:rPr>
        <w:t>CONTRATANTE</w:t>
      </w:r>
      <w:r>
        <w:rPr>
          <w:sz w:val="22"/>
          <w:szCs w:val="22"/>
        </w:rPr>
        <w:t>, no caso do art. 93, §2º, da Lei n.º 14.133/ 2021;</w:t>
      </w:r>
    </w:p>
    <w:p>
      <w:pPr>
        <w:pStyle w:val="normal1"/>
        <w:numPr>
          <w:ilvl w:val="1"/>
          <w:numId w:val="6"/>
        </w:numPr>
        <w:spacing w:lineRule="auto" w:line="360"/>
        <w:ind w:firstLine="357" w:start="283"/>
        <w:jc w:val="both"/>
        <w:rPr>
          <w:sz w:val="22"/>
          <w:szCs w:val="22"/>
        </w:rPr>
      </w:pPr>
      <w:r>
        <w:rPr>
          <w:sz w:val="22"/>
          <w:szCs w:val="22"/>
        </w:rPr>
        <w:t>Fornecer por escrito as informações necessárias para o desenvolvimento dos serviços objeto do contrato;</w:t>
      </w:r>
    </w:p>
    <w:p>
      <w:pPr>
        <w:pStyle w:val="normal1"/>
        <w:numPr>
          <w:ilvl w:val="1"/>
          <w:numId w:val="6"/>
        </w:numPr>
        <w:spacing w:lineRule="auto" w:line="360"/>
        <w:ind w:firstLine="357" w:start="283"/>
        <w:jc w:val="both"/>
        <w:rPr>
          <w:sz w:val="22"/>
          <w:szCs w:val="22"/>
        </w:rPr>
      </w:pPr>
      <w:r>
        <w:rPr>
          <w:sz w:val="22"/>
          <w:szCs w:val="22"/>
        </w:rPr>
        <w:t>Realizar avaliações periódicas da qualidade dos serviços, após seu recebimento;</w:t>
      </w:r>
    </w:p>
    <w:p>
      <w:pPr>
        <w:pStyle w:val="normal1"/>
        <w:numPr>
          <w:ilvl w:val="1"/>
          <w:numId w:val="6"/>
        </w:numPr>
        <w:spacing w:lineRule="auto" w:line="360"/>
        <w:ind w:firstLine="357" w:start="283"/>
        <w:jc w:val="both"/>
        <w:rPr>
          <w:sz w:val="22"/>
          <w:szCs w:val="22"/>
        </w:rPr>
      </w:pPr>
      <w:r>
        <w:rPr>
          <w:i/>
          <w:iCs/>
          <w:sz w:val="22"/>
          <w:szCs w:val="22"/>
        </w:rPr>
        <w:t>Arquivar, entre outros documentos, as especificações técnicas, orçamentos, termos de recebimento, contratos e aditamentos, relatórios de inspeções técnicas após o recebimento do serviço e notificações expedidas</w:t>
      </w:r>
      <w:r>
        <w:rPr>
          <w:sz w:val="22"/>
          <w:szCs w:val="22"/>
        </w:rPr>
        <w:t>;</w:t>
      </w:r>
    </w:p>
    <w:p>
      <w:pPr>
        <w:pStyle w:val="normal1"/>
        <w:numPr>
          <w:ilvl w:val="1"/>
          <w:numId w:val="6"/>
        </w:numPr>
        <w:spacing w:lineRule="auto" w:line="360"/>
        <w:ind w:firstLine="357" w:start="283"/>
        <w:jc w:val="both"/>
        <w:rPr>
          <w:sz w:val="22"/>
          <w:szCs w:val="22"/>
        </w:rPr>
      </w:pPr>
      <w:r>
        <w:rPr>
          <w:sz w:val="22"/>
          <w:szCs w:val="22"/>
        </w:rPr>
        <w:t xml:space="preserve">Assegurar que o ambiente de trabalho, inclusive seus equipamentos e instalações, apresentem condições adequadas ao cumprimento, pelo </w:t>
      </w:r>
      <w:r>
        <w:rPr>
          <w:b/>
          <w:bCs/>
          <w:sz w:val="22"/>
          <w:szCs w:val="22"/>
        </w:rPr>
        <w:t>CONTRATADO</w:t>
      </w:r>
      <w:r>
        <w:rPr>
          <w:sz w:val="22"/>
          <w:szCs w:val="22"/>
        </w:rPr>
        <w:t>, das normas de segurança e saúde no trabalho, quando o serviço for executado em suas dependências, ou em local por ela designado;</w:t>
      </w:r>
    </w:p>
    <w:p>
      <w:pPr>
        <w:pStyle w:val="normal1"/>
        <w:numPr>
          <w:ilvl w:val="1"/>
          <w:numId w:val="6"/>
        </w:numPr>
        <w:spacing w:lineRule="auto" w:line="360"/>
        <w:ind w:firstLine="357" w:start="283"/>
        <w:jc w:val="both"/>
        <w:rPr>
          <w:sz w:val="22"/>
          <w:szCs w:val="22"/>
        </w:rPr>
      </w:pPr>
      <w:r>
        <w:rPr>
          <w:sz w:val="22"/>
          <w:szCs w:val="22"/>
        </w:rPr>
        <w:t xml:space="preserve">Não responder por quaisquer compromissos assumidos pelo </w:t>
      </w:r>
      <w:r>
        <w:rPr>
          <w:b/>
          <w:bCs/>
          <w:sz w:val="22"/>
          <w:szCs w:val="22"/>
        </w:rPr>
        <w:t>CONTRATADO</w:t>
      </w:r>
      <w:r>
        <w:rPr>
          <w:sz w:val="22"/>
          <w:szCs w:val="22"/>
        </w:rPr>
        <w:t xml:space="preserve"> com terceiros, ainda que vinculados à execução do contrato, bem como por qualquer dano causado a terceiros em decorrência de ato do </w:t>
      </w:r>
      <w:r>
        <w:rPr>
          <w:b/>
          <w:bCs/>
          <w:sz w:val="22"/>
          <w:szCs w:val="22"/>
        </w:rPr>
        <w:t>CONTRATADO</w:t>
      </w:r>
      <w:r>
        <w:rPr>
          <w:sz w:val="22"/>
          <w:szCs w:val="22"/>
        </w:rPr>
        <w:t>, de seus empregados, prepostos ou subordinados;</w:t>
      </w:r>
    </w:p>
    <w:p>
      <w:pPr>
        <w:pStyle w:val="normal1"/>
        <w:numPr>
          <w:ilvl w:val="1"/>
          <w:numId w:val="6"/>
        </w:numPr>
        <w:spacing w:lineRule="auto" w:line="360"/>
        <w:ind w:firstLine="357" w:start="283"/>
        <w:jc w:val="both"/>
        <w:rPr>
          <w:sz w:val="22"/>
          <w:szCs w:val="22"/>
        </w:rPr>
      </w:pPr>
      <w:r>
        <w:rPr>
          <w:sz w:val="22"/>
          <w:szCs w:val="22"/>
        </w:rPr>
        <w:t>Previamente à expedição da ordem de serviço, verificar pendências, liberar áreas e/ou adotar providências cabíveis para a regularidade do início da sua execução;</w:t>
      </w:r>
    </w:p>
    <w:p>
      <w:pPr>
        <w:pStyle w:val="normal1"/>
        <w:keepNext w:val="true"/>
        <w:keepLines/>
        <w:numPr>
          <w:ilvl w:val="0"/>
          <w:numId w:val="6"/>
        </w:numPr>
        <w:tabs>
          <w:tab w:val="clear" w:pos="720"/>
          <w:tab w:val="left" w:pos="0" w:leader="none"/>
          <w:tab w:val="left" w:pos="567" w:leader="none"/>
        </w:tabs>
        <w:spacing w:lineRule="auto" w:line="360" w:before="200" w:after="200"/>
        <w:ind w:hanging="0" w:start="720"/>
        <w:jc w:val="both"/>
        <w:rPr>
          <w:b/>
          <w:bCs/>
          <w:color w:val="FFFFFF"/>
          <w:sz w:val="22"/>
          <w:szCs w:val="22"/>
        </w:rPr>
      </w:pPr>
      <w:r>
        <w:rPr>
          <w:b/>
          <w:bCs/>
          <w:sz w:val="22"/>
          <w:szCs w:val="22"/>
        </w:rPr>
        <w:t>CLÁUSULA DÉCIMA SEGUNDA – RESPONSABILIDADES DA CONTRATADA (Art. 92, XIV, XVI e XVII, da Lei n.º 14.133/2021)</w:t>
      </w:r>
    </w:p>
    <w:p>
      <w:pPr>
        <w:pStyle w:val="normal1"/>
        <w:numPr>
          <w:ilvl w:val="1"/>
          <w:numId w:val="6"/>
        </w:numPr>
        <w:spacing w:lineRule="auto" w:line="360"/>
        <w:ind w:firstLine="357" w:start="283"/>
        <w:jc w:val="both"/>
        <w:rPr>
          <w:sz w:val="22"/>
          <w:szCs w:val="22"/>
        </w:rPr>
      </w:pPr>
      <w:r>
        <w:rPr>
          <w:sz w:val="22"/>
          <w:szCs w:val="22"/>
        </w:rPr>
        <w:t xml:space="preserve">O </w:t>
      </w:r>
      <w:r>
        <w:rPr>
          <w:b/>
          <w:bCs/>
          <w:sz w:val="22"/>
          <w:szCs w:val="22"/>
        </w:rPr>
        <w:t>CONTRATADO</w:t>
      </w:r>
      <w:r>
        <w:rPr>
          <w:sz w:val="22"/>
          <w:szCs w:val="22"/>
        </w:rPr>
        <w:t xml:space="preserve"> deve cumprir todas as obrigações constantes deste contrato e de seus anexos, assumindo como exclusivamente seus os riscos e as despesas decorrentes da boa e perfeita execução do objeto, observando, ainda, as obrigações a seguir dispostas:</w:t>
      </w:r>
    </w:p>
    <w:p>
      <w:pPr>
        <w:pStyle w:val="normal1"/>
        <w:numPr>
          <w:ilvl w:val="1"/>
          <w:numId w:val="6"/>
        </w:numPr>
        <w:spacing w:lineRule="auto" w:line="360"/>
        <w:ind w:firstLine="357" w:start="283"/>
        <w:jc w:val="both"/>
        <w:rPr>
          <w:sz w:val="22"/>
          <w:szCs w:val="22"/>
        </w:rPr>
      </w:pPr>
      <w:r>
        <w:rPr>
          <w:sz w:val="22"/>
          <w:szCs w:val="22"/>
        </w:rPr>
        <w:t>Manter preposto aceito pela Administração no local do serviço para representá-lo na execução do contrato;</w:t>
      </w:r>
    </w:p>
    <w:p>
      <w:pPr>
        <w:pStyle w:val="normal1"/>
        <w:numPr>
          <w:ilvl w:val="2"/>
          <w:numId w:val="6"/>
        </w:numPr>
        <w:spacing w:lineRule="auto" w:line="360"/>
        <w:ind w:firstLine="527" w:start="567"/>
        <w:jc w:val="both"/>
        <w:rPr>
          <w:sz w:val="22"/>
          <w:szCs w:val="22"/>
        </w:rPr>
      </w:pPr>
      <w:r>
        <w:rPr>
          <w:sz w:val="22"/>
          <w:szCs w:val="22"/>
        </w:rPr>
        <w:t>A indicação ou a manutenção do preposto da empresa poderá ser recusada pelo órgão ou entidade, desde que devidamente justificada, devendo a empresa designar outro para o exercício da atividade.</w:t>
      </w:r>
    </w:p>
    <w:p>
      <w:pPr>
        <w:pStyle w:val="normal1"/>
        <w:numPr>
          <w:ilvl w:val="1"/>
          <w:numId w:val="6"/>
        </w:numPr>
        <w:spacing w:lineRule="auto" w:line="360"/>
        <w:ind w:firstLine="357" w:start="283"/>
        <w:jc w:val="both"/>
        <w:rPr>
          <w:sz w:val="22"/>
          <w:szCs w:val="22"/>
        </w:rPr>
      </w:pPr>
      <w:r>
        <w:rPr>
          <w:sz w:val="22"/>
          <w:szCs w:val="22"/>
        </w:rPr>
        <w:t>Atender às determinações regulares emitidas pelo fiscal do contrato ou autoridade superior (Art. 137, II, da Lei n.º 14.133/2021) e prestar todo esclarecimento ou informação por eles solicitados;</w:t>
      </w:r>
    </w:p>
    <w:p>
      <w:pPr>
        <w:pStyle w:val="normal1"/>
        <w:numPr>
          <w:ilvl w:val="1"/>
          <w:numId w:val="6"/>
        </w:numPr>
        <w:spacing w:lineRule="auto" w:line="360"/>
        <w:ind w:firstLine="357" w:start="283"/>
        <w:jc w:val="both"/>
        <w:rPr>
          <w:sz w:val="22"/>
          <w:szCs w:val="22"/>
        </w:rPr>
      </w:pPr>
      <w:r>
        <w:rPr>
          <w:sz w:val="22"/>
          <w:szCs w:val="22"/>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pPr>
        <w:pStyle w:val="normal1"/>
        <w:numPr>
          <w:ilvl w:val="1"/>
          <w:numId w:val="6"/>
        </w:numPr>
        <w:spacing w:lineRule="auto" w:line="360"/>
        <w:ind w:firstLine="357" w:start="283"/>
        <w:jc w:val="both"/>
        <w:rPr>
          <w:sz w:val="22"/>
          <w:szCs w:val="22"/>
        </w:rPr>
      </w:pPr>
      <w:r>
        <w:rPr>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ormal1"/>
        <w:numPr>
          <w:ilvl w:val="1"/>
          <w:numId w:val="6"/>
        </w:numPr>
        <w:spacing w:lineRule="auto" w:line="360"/>
        <w:ind w:firstLine="357" w:start="283"/>
        <w:jc w:val="both"/>
        <w:rPr>
          <w:sz w:val="22"/>
          <w:szCs w:val="22"/>
        </w:rPr>
      </w:pPr>
      <w:r>
        <w:rPr>
          <w:sz w:val="22"/>
          <w:szCs w:val="22"/>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w:t>
      </w:r>
      <w:r>
        <w:rPr>
          <w:b/>
          <w:bCs/>
          <w:sz w:val="22"/>
          <w:szCs w:val="22"/>
        </w:rPr>
        <w:t>CONTRATANTE</w:t>
      </w:r>
      <w:r>
        <w:rPr>
          <w:sz w:val="22"/>
          <w:szCs w:val="22"/>
        </w:rPr>
        <w:t>, que ficará autorizado a descontar dos pagamentos devidos ou da garantia, caso exigida no edital, o valor correspondente aos danos sofridos;</w:t>
      </w:r>
    </w:p>
    <w:p>
      <w:pPr>
        <w:pStyle w:val="normal1"/>
        <w:numPr>
          <w:ilvl w:val="1"/>
          <w:numId w:val="6"/>
        </w:numPr>
        <w:spacing w:lineRule="auto" w:line="360"/>
        <w:ind w:firstLine="357" w:start="283"/>
        <w:jc w:val="both"/>
        <w:rPr>
          <w:sz w:val="22"/>
          <w:szCs w:val="22"/>
        </w:rPr>
      </w:pPr>
      <w:r>
        <w:rPr>
          <w:sz w:val="22"/>
          <w:szCs w:val="22"/>
        </w:rPr>
        <w:t xml:space="preserve">Efetuar comunicação ao </w:t>
      </w:r>
      <w:r>
        <w:rPr>
          <w:b/>
          <w:bCs/>
          <w:sz w:val="22"/>
          <w:szCs w:val="22"/>
        </w:rPr>
        <w:t>CONTRATANTE</w:t>
      </w:r>
      <w:r>
        <w:rPr>
          <w:sz w:val="22"/>
          <w:szCs w:val="22"/>
        </w:rPr>
        <w:t>, assim que tiver ciência da impossibilidade de realização ou finalização do serviço no prazo estabelecido, para adoção de ações de contingência cabíveis;</w:t>
      </w:r>
    </w:p>
    <w:p>
      <w:pPr>
        <w:pStyle w:val="normal1"/>
        <w:numPr>
          <w:ilvl w:val="1"/>
          <w:numId w:val="6"/>
        </w:numPr>
        <w:spacing w:lineRule="auto" w:line="360"/>
        <w:ind w:firstLine="357" w:start="283"/>
        <w:jc w:val="both"/>
        <w:rPr>
          <w:sz w:val="22"/>
          <w:szCs w:val="22"/>
        </w:rPr>
      </w:pPr>
      <w:r>
        <w:rPr>
          <w:sz w:val="22"/>
          <w:szCs w:val="22"/>
        </w:rPr>
        <w:t xml:space="preserve">Não contratar, durante a vigência do contrato, cônjuge, companheiro ou parente em linha reta, colateral ou por afinidade, até o terceiro grau, de dirigente do </w:t>
      </w:r>
      <w:r>
        <w:rPr>
          <w:b/>
          <w:bCs/>
          <w:sz w:val="22"/>
          <w:szCs w:val="22"/>
        </w:rPr>
        <w:t>CONTRATANTE</w:t>
      </w:r>
      <w:r>
        <w:rPr>
          <w:sz w:val="22"/>
          <w:szCs w:val="22"/>
        </w:rPr>
        <w:t xml:space="preserve"> ou do fiscal ou gestor do contrato, nos termos do art. 48, parágrafo único, da Lei n.º 14.133/2021;</w:t>
      </w:r>
    </w:p>
    <w:p>
      <w:pPr>
        <w:pStyle w:val="normal1"/>
        <w:numPr>
          <w:ilvl w:val="1"/>
          <w:numId w:val="6"/>
        </w:numPr>
        <w:spacing w:lineRule="auto" w:line="360"/>
        <w:ind w:firstLine="357" w:start="283"/>
        <w:jc w:val="both"/>
        <w:rPr>
          <w:sz w:val="22"/>
          <w:szCs w:val="22"/>
        </w:rPr>
      </w:pPr>
      <w:r>
        <w:rPr>
          <w:sz w:val="22"/>
          <w:szCs w:val="22"/>
        </w:rPr>
        <w:t xml:space="preserve">Quando não for possível a verificação da regularidade no Sistema de Cadastro de Fornecedores – SICAF, o </w:t>
      </w:r>
      <w:r>
        <w:rPr>
          <w:b/>
          <w:bCs/>
          <w:sz w:val="22"/>
          <w:szCs w:val="22"/>
        </w:rPr>
        <w:t>CONTRATADO</w:t>
      </w:r>
      <w:r>
        <w:rPr>
          <w:sz w:val="22"/>
          <w:szCs w:val="22"/>
        </w:rPr>
        <w:t xml:space="preserve"> deverá entregar ao setor responsável pela fiscalização do contrato, até o dia 30 (trinta) do mês seguinte ao da prestação dos serviços, os seguintes documentos: </w:t>
      </w:r>
    </w:p>
    <w:p>
      <w:pPr>
        <w:pStyle w:val="normal1"/>
        <w:numPr>
          <w:ilvl w:val="1"/>
          <w:numId w:val="13"/>
        </w:numPr>
        <w:spacing w:lineRule="auto" w:line="360"/>
        <w:ind w:firstLine="527" w:start="567"/>
        <w:jc w:val="both"/>
        <w:rPr>
          <w:sz w:val="22"/>
          <w:szCs w:val="22"/>
        </w:rPr>
      </w:pPr>
      <w:r>
        <w:rPr>
          <w:sz w:val="22"/>
          <w:szCs w:val="22"/>
        </w:rPr>
        <w:t xml:space="preserve">Prova de regularidade relativa à Seguridade Social; </w:t>
      </w:r>
    </w:p>
    <w:p>
      <w:pPr>
        <w:pStyle w:val="normal1"/>
        <w:numPr>
          <w:ilvl w:val="1"/>
          <w:numId w:val="13"/>
        </w:numPr>
        <w:spacing w:lineRule="auto" w:line="360"/>
        <w:ind w:firstLine="527" w:start="567"/>
        <w:jc w:val="both"/>
        <w:rPr>
          <w:sz w:val="22"/>
          <w:szCs w:val="22"/>
        </w:rPr>
      </w:pPr>
      <w:r>
        <w:rPr>
          <w:sz w:val="22"/>
          <w:szCs w:val="22"/>
        </w:rPr>
        <w:t>Certidão conjunta relativa aos tributos federais e à Dívida Ativa da União;</w:t>
      </w:r>
    </w:p>
    <w:p>
      <w:pPr>
        <w:pStyle w:val="normal1"/>
        <w:numPr>
          <w:ilvl w:val="1"/>
          <w:numId w:val="13"/>
        </w:numPr>
        <w:spacing w:lineRule="auto" w:line="360"/>
        <w:ind w:firstLine="527" w:start="567"/>
        <w:jc w:val="both"/>
        <w:rPr>
          <w:sz w:val="22"/>
          <w:szCs w:val="22"/>
        </w:rPr>
      </w:pPr>
      <w:r>
        <w:rPr>
          <w:sz w:val="22"/>
          <w:szCs w:val="22"/>
        </w:rPr>
        <w:t xml:space="preserve">Certidões que comprovem a regularidade perante a Fazenda Municipal ou Distrital do domicílio ou sede do </w:t>
      </w:r>
      <w:r>
        <w:rPr>
          <w:b/>
          <w:bCs/>
          <w:sz w:val="22"/>
          <w:szCs w:val="22"/>
        </w:rPr>
        <w:t>CONTRATADO</w:t>
      </w:r>
      <w:r>
        <w:rPr>
          <w:sz w:val="22"/>
          <w:szCs w:val="22"/>
        </w:rPr>
        <w:t xml:space="preserve">; </w:t>
      </w:r>
    </w:p>
    <w:p>
      <w:pPr>
        <w:pStyle w:val="normal1"/>
        <w:numPr>
          <w:ilvl w:val="1"/>
          <w:numId w:val="13"/>
        </w:numPr>
        <w:spacing w:lineRule="auto" w:line="360"/>
        <w:ind w:firstLine="527" w:start="567"/>
        <w:jc w:val="both"/>
        <w:rPr>
          <w:sz w:val="22"/>
          <w:szCs w:val="22"/>
        </w:rPr>
      </w:pPr>
      <w:r>
        <w:rPr>
          <w:sz w:val="22"/>
          <w:szCs w:val="22"/>
        </w:rPr>
        <w:t>Certidão de Regularidade do FGTS – CRF; e</w:t>
      </w:r>
    </w:p>
    <w:p>
      <w:pPr>
        <w:pStyle w:val="normal1"/>
        <w:numPr>
          <w:ilvl w:val="1"/>
          <w:numId w:val="13"/>
        </w:numPr>
        <w:spacing w:lineRule="auto" w:line="360"/>
        <w:ind w:firstLine="527" w:start="567"/>
        <w:jc w:val="both"/>
        <w:rPr>
          <w:sz w:val="22"/>
          <w:szCs w:val="22"/>
        </w:rPr>
      </w:pPr>
      <w:r>
        <w:rPr>
          <w:sz w:val="22"/>
          <w:szCs w:val="22"/>
        </w:rPr>
        <w:t xml:space="preserve">Certidão Negativa de Débitos Trabalhistas – CNDT; </w:t>
      </w:r>
    </w:p>
    <w:p>
      <w:pPr>
        <w:pStyle w:val="normal1"/>
        <w:numPr>
          <w:ilvl w:val="1"/>
          <w:numId w:val="6"/>
        </w:numPr>
        <w:spacing w:lineRule="auto" w:line="360"/>
        <w:ind w:firstLine="357" w:start="283"/>
        <w:jc w:val="both"/>
        <w:rPr>
          <w:sz w:val="22"/>
          <w:szCs w:val="22"/>
        </w:rPr>
      </w:pPr>
      <w:r>
        <w:rPr>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Pr>
          <w:b/>
          <w:bCs/>
          <w:sz w:val="22"/>
          <w:szCs w:val="22"/>
        </w:rPr>
        <w:t>CONTRATANTE</w:t>
      </w:r>
      <w:r>
        <w:rPr>
          <w:sz w:val="22"/>
          <w:szCs w:val="22"/>
        </w:rPr>
        <w:t xml:space="preserve">; </w:t>
      </w:r>
    </w:p>
    <w:p>
      <w:pPr>
        <w:pStyle w:val="normal1"/>
        <w:numPr>
          <w:ilvl w:val="1"/>
          <w:numId w:val="6"/>
        </w:numPr>
        <w:spacing w:lineRule="auto" w:line="360"/>
        <w:ind w:firstLine="357" w:start="283"/>
        <w:jc w:val="both"/>
        <w:rPr>
          <w:sz w:val="22"/>
          <w:szCs w:val="22"/>
        </w:rPr>
      </w:pPr>
      <w:r>
        <w:rPr>
          <w:sz w:val="22"/>
          <w:szCs w:val="22"/>
        </w:rPr>
        <w:t>Comunicar ao Fiscal do contrato, no prazo de 24 (vinte e quatro) horas, qualquer ocorrência anormal ou acidente que se verifique no local dos serviços.</w:t>
      </w:r>
    </w:p>
    <w:p>
      <w:pPr>
        <w:pStyle w:val="normal1"/>
        <w:numPr>
          <w:ilvl w:val="1"/>
          <w:numId w:val="6"/>
        </w:numPr>
        <w:spacing w:lineRule="auto" w:line="360"/>
        <w:ind w:firstLine="357" w:start="283"/>
        <w:jc w:val="both"/>
        <w:rPr>
          <w:sz w:val="22"/>
          <w:szCs w:val="22"/>
        </w:rPr>
      </w:pPr>
      <w:r>
        <w:rPr>
          <w:sz w:val="22"/>
          <w:szCs w:val="22"/>
        </w:rPr>
        <w:t xml:space="preserve">Prestar todo esclarecimento ou informação solicitada pelo </w:t>
      </w:r>
      <w:r>
        <w:rPr>
          <w:b/>
          <w:bCs/>
          <w:sz w:val="22"/>
          <w:szCs w:val="22"/>
        </w:rPr>
        <w:t>CONTRATANTE</w:t>
      </w:r>
      <w:r>
        <w:rPr>
          <w:sz w:val="22"/>
          <w:szCs w:val="22"/>
        </w:rPr>
        <w:t xml:space="preserve"> ou por seus prepostos, garantindo-lhes o acesso, a qualquer tempo, ao local dos trabalhos, bem como aos documentos relativos à execução do empreendimento;</w:t>
      </w:r>
    </w:p>
    <w:p>
      <w:pPr>
        <w:pStyle w:val="normal1"/>
        <w:numPr>
          <w:ilvl w:val="1"/>
          <w:numId w:val="6"/>
        </w:numPr>
        <w:spacing w:lineRule="auto" w:line="360"/>
        <w:ind w:firstLine="357" w:start="283"/>
        <w:jc w:val="both"/>
        <w:rPr>
          <w:sz w:val="22"/>
          <w:szCs w:val="22"/>
        </w:rPr>
      </w:pPr>
      <w:r>
        <w:rPr>
          <w:sz w:val="22"/>
          <w:szCs w:val="22"/>
        </w:rPr>
        <w:t xml:space="preserve">Paralisar, por determinação do </w:t>
      </w:r>
      <w:r>
        <w:rPr>
          <w:b/>
          <w:bCs/>
          <w:sz w:val="22"/>
          <w:szCs w:val="22"/>
        </w:rPr>
        <w:t>CONTRATANTE</w:t>
      </w:r>
      <w:r>
        <w:rPr>
          <w:sz w:val="22"/>
          <w:szCs w:val="22"/>
        </w:rPr>
        <w:t>, qualquer atividade que não esteja sendo executada de acordo com a boa técnica ou que ponha em risco a segurança de pessoas ou bens de terceiros;</w:t>
      </w:r>
    </w:p>
    <w:p>
      <w:pPr>
        <w:pStyle w:val="normal1"/>
        <w:numPr>
          <w:ilvl w:val="1"/>
          <w:numId w:val="6"/>
        </w:numPr>
        <w:spacing w:lineRule="auto" w:line="360"/>
        <w:ind w:firstLine="357" w:start="283"/>
        <w:jc w:val="both"/>
        <w:rPr>
          <w:sz w:val="22"/>
          <w:szCs w:val="22"/>
        </w:rPr>
      </w:pPr>
      <w:r>
        <w:rPr>
          <w:sz w:val="22"/>
          <w:szCs w:val="22"/>
        </w:rPr>
        <w:t>Promover a guarda, manutenção e vigilância de materiais, ferramentas, e tudo o que for necessário à execução do objeto, durante a vigência do contrato;</w:t>
      </w:r>
    </w:p>
    <w:p>
      <w:pPr>
        <w:pStyle w:val="normal1"/>
        <w:numPr>
          <w:ilvl w:val="1"/>
          <w:numId w:val="6"/>
        </w:numPr>
        <w:spacing w:lineRule="auto" w:line="360"/>
        <w:ind w:firstLine="357" w:start="283"/>
        <w:jc w:val="both"/>
        <w:rPr>
          <w:sz w:val="22"/>
          <w:szCs w:val="22"/>
        </w:rPr>
      </w:pPr>
      <w:r>
        <w:rPr>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pPr>
        <w:pStyle w:val="normal1"/>
        <w:numPr>
          <w:ilvl w:val="1"/>
          <w:numId w:val="6"/>
        </w:numPr>
        <w:spacing w:lineRule="auto" w:line="360"/>
        <w:ind w:firstLine="357" w:start="283"/>
        <w:jc w:val="both"/>
        <w:rPr>
          <w:sz w:val="22"/>
          <w:szCs w:val="22"/>
        </w:rPr>
      </w:pPr>
      <w:r>
        <w:rPr>
          <w:sz w:val="22"/>
          <w:szCs w:val="22"/>
        </w:rPr>
        <w:t xml:space="preserve">Submeter previamente, por escrito, ao </w:t>
      </w:r>
      <w:r>
        <w:rPr>
          <w:b/>
          <w:bCs/>
          <w:sz w:val="22"/>
          <w:szCs w:val="22"/>
        </w:rPr>
        <w:t>CONTRATANTE</w:t>
      </w:r>
      <w:r>
        <w:rPr>
          <w:sz w:val="22"/>
          <w:szCs w:val="22"/>
        </w:rPr>
        <w:t>, para análise e aprovação, quaisquer mudanças nos métodos executivos que fujam às especificações do memorial descritivo ou instrumento congênere;</w:t>
      </w:r>
    </w:p>
    <w:p>
      <w:pPr>
        <w:pStyle w:val="normal1"/>
        <w:numPr>
          <w:ilvl w:val="1"/>
          <w:numId w:val="6"/>
        </w:numPr>
        <w:spacing w:lineRule="auto" w:line="360"/>
        <w:ind w:firstLine="357" w:start="283"/>
        <w:jc w:val="both"/>
        <w:rPr>
          <w:sz w:val="22"/>
          <w:szCs w:val="22"/>
        </w:rPr>
      </w:pPr>
      <w:r>
        <w:rPr>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1"/>
        <w:numPr>
          <w:ilvl w:val="1"/>
          <w:numId w:val="6"/>
        </w:numPr>
        <w:spacing w:lineRule="auto" w:line="360"/>
        <w:ind w:firstLine="357" w:start="283"/>
        <w:jc w:val="both"/>
        <w:rPr>
          <w:sz w:val="22"/>
          <w:szCs w:val="22"/>
        </w:rPr>
      </w:pPr>
      <w:r>
        <w:rPr>
          <w:sz w:val="22"/>
          <w:szCs w:val="22"/>
        </w:rPr>
        <w:t xml:space="preserve">Manter durante toda a vigência do contrato, em compatibilidade com as obrigações assumidas, todas as condições exigidas para habilitação na licitação; </w:t>
      </w:r>
    </w:p>
    <w:p>
      <w:pPr>
        <w:pStyle w:val="normal1"/>
        <w:numPr>
          <w:ilvl w:val="1"/>
          <w:numId w:val="6"/>
        </w:numPr>
        <w:spacing w:lineRule="auto" w:line="360"/>
        <w:ind w:firstLine="357" w:start="283"/>
        <w:jc w:val="both"/>
        <w:rPr>
          <w:sz w:val="22"/>
          <w:szCs w:val="22"/>
        </w:rPr>
      </w:pPr>
      <w:r>
        <w:rPr>
          <w:sz w:val="22"/>
          <w:szCs w:val="22"/>
        </w:rPr>
        <w:t>Cumprir, durante todo o período de execução do contrato, a reserva de cargos prevista em lei para pessoa com deficiência, para reabilitado da Previdência Social ou para aprendiz, bem como as reservas de cargos previstas na legislação (Art. 116 da Lei n.º 14.133/2021);</w:t>
      </w:r>
    </w:p>
    <w:p>
      <w:pPr>
        <w:pStyle w:val="normal1"/>
        <w:numPr>
          <w:ilvl w:val="1"/>
          <w:numId w:val="6"/>
        </w:numPr>
        <w:spacing w:lineRule="auto" w:line="360"/>
        <w:ind w:firstLine="357" w:start="283"/>
        <w:jc w:val="both"/>
        <w:rPr>
          <w:sz w:val="22"/>
          <w:szCs w:val="22"/>
        </w:rPr>
      </w:pPr>
      <w:r>
        <w:rPr>
          <w:sz w:val="22"/>
          <w:szCs w:val="22"/>
        </w:rPr>
        <w:t>Comprovar a reserva de cargos a que se refere à cláusula acima, no prazo fixado pelo fiscal do contrato, com a indicação dos empregados que preencheram as referidas vagas (Art. 116, parágrafo único da Lei n.º 14.133/2021);</w:t>
      </w:r>
    </w:p>
    <w:p>
      <w:pPr>
        <w:pStyle w:val="normal1"/>
        <w:numPr>
          <w:ilvl w:val="1"/>
          <w:numId w:val="6"/>
        </w:numPr>
        <w:spacing w:lineRule="auto" w:line="360"/>
        <w:ind w:firstLine="357" w:start="283"/>
        <w:jc w:val="both"/>
        <w:rPr>
          <w:sz w:val="22"/>
          <w:szCs w:val="22"/>
        </w:rPr>
      </w:pPr>
      <w:r>
        <w:rPr>
          <w:sz w:val="22"/>
          <w:szCs w:val="22"/>
        </w:rPr>
        <w:t>Guardar sigilo sobre todas as informações obtidas em decorrência do cumprimento do contrato;</w:t>
      </w:r>
    </w:p>
    <w:p>
      <w:pPr>
        <w:pStyle w:val="normal1"/>
        <w:numPr>
          <w:ilvl w:val="1"/>
          <w:numId w:val="6"/>
        </w:numPr>
        <w:spacing w:lineRule="auto" w:line="360"/>
        <w:ind w:firstLine="357" w:start="283"/>
        <w:jc w:val="both"/>
        <w:rPr>
          <w:sz w:val="22"/>
          <w:szCs w:val="22"/>
        </w:rPr>
      </w:pPr>
      <w:r>
        <w:rPr>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pPr>
        <w:pStyle w:val="normal1"/>
        <w:numPr>
          <w:ilvl w:val="1"/>
          <w:numId w:val="6"/>
        </w:numPr>
        <w:spacing w:lineRule="auto" w:line="360"/>
        <w:ind w:firstLine="357" w:start="283"/>
        <w:jc w:val="both"/>
        <w:rPr>
          <w:sz w:val="22"/>
          <w:szCs w:val="22"/>
        </w:rPr>
      </w:pPr>
      <w:r>
        <w:rPr>
          <w:sz w:val="22"/>
          <w:szCs w:val="22"/>
        </w:rPr>
        <w:t xml:space="preserve">Cumprir, além dos postulados legais vigentes de âmbito federal, estadual ou municipal, as normas de segurança do </w:t>
      </w:r>
      <w:r>
        <w:rPr>
          <w:b/>
          <w:bCs/>
          <w:sz w:val="22"/>
          <w:szCs w:val="22"/>
        </w:rPr>
        <w:t>CONTRATANTE</w:t>
      </w:r>
      <w:r>
        <w:rPr>
          <w:sz w:val="22"/>
          <w:szCs w:val="22"/>
        </w:rPr>
        <w:t>;</w:t>
      </w:r>
    </w:p>
    <w:p>
      <w:pPr>
        <w:pStyle w:val="normal1"/>
        <w:numPr>
          <w:ilvl w:val="1"/>
          <w:numId w:val="6"/>
        </w:numPr>
        <w:spacing w:lineRule="auto" w:line="360"/>
        <w:ind w:firstLine="357" w:start="283"/>
        <w:jc w:val="both"/>
        <w:rPr>
          <w:sz w:val="22"/>
          <w:szCs w:val="22"/>
        </w:rPr>
      </w:pPr>
      <w:r>
        <w:rPr>
          <w:i/>
          <w:iCs/>
          <w:sz w:val="22"/>
          <w:szCs w:val="22"/>
        </w:rPr>
        <w:t>Realizar os serviços de manutenção e assistência técnica no(s) seguinte(s) local(is) ... (inserir endereço(s));</w:t>
      </w:r>
    </w:p>
    <w:p>
      <w:pPr>
        <w:pStyle w:val="normal1"/>
        <w:numPr>
          <w:ilvl w:val="2"/>
          <w:numId w:val="6"/>
        </w:numPr>
        <w:spacing w:lineRule="auto" w:line="360"/>
        <w:ind w:firstLine="527" w:start="567"/>
        <w:jc w:val="both"/>
        <w:rPr>
          <w:sz w:val="22"/>
          <w:szCs w:val="22"/>
        </w:rPr>
      </w:pPr>
      <w:r>
        <w:rPr>
          <w:i/>
          <w:iCs/>
          <w:sz w:val="22"/>
          <w:szCs w:val="22"/>
        </w:rPr>
        <w:t xml:space="preserve">O técnico deverá se deslocar ao local da repartição, salvo se o </w:t>
      </w:r>
      <w:r>
        <w:rPr>
          <w:b/>
          <w:bCs/>
          <w:i/>
          <w:iCs/>
          <w:sz w:val="22"/>
          <w:szCs w:val="22"/>
        </w:rPr>
        <w:t>CONTRATADO</w:t>
      </w:r>
      <w:r>
        <w:rPr>
          <w:i/>
          <w:iCs/>
          <w:sz w:val="22"/>
          <w:szCs w:val="22"/>
        </w:rPr>
        <w:t xml:space="preserve"> tiver unidade de prestação de serviços em distância de [....] (inserir distância conforme avaliação técnica) do local demandado. </w:t>
      </w:r>
    </w:p>
    <w:p>
      <w:pPr>
        <w:pStyle w:val="normal1"/>
        <w:numPr>
          <w:ilvl w:val="1"/>
          <w:numId w:val="6"/>
        </w:numPr>
        <w:spacing w:lineRule="auto" w:line="360"/>
        <w:ind w:firstLine="357" w:start="283"/>
        <w:jc w:val="both"/>
        <w:rPr>
          <w:sz w:val="22"/>
          <w:szCs w:val="22"/>
        </w:rPr>
      </w:pPr>
      <w:r>
        <w:rPr>
          <w:i/>
          <w:iCs/>
          <w:sz w:val="22"/>
          <w:szCs w:val="22"/>
        </w:rPr>
        <w:t xml:space="preserve">Realizar a transição contratual com transferência de conhecimento, tecnologia e técnicas empregadas, sem perda de informações, podendo exigir, inclusive, a capacitação dos técnicos do </w:t>
      </w:r>
      <w:r>
        <w:rPr>
          <w:b/>
          <w:bCs/>
          <w:i/>
          <w:iCs/>
          <w:sz w:val="22"/>
          <w:szCs w:val="22"/>
        </w:rPr>
        <w:t>CONTRATANTE</w:t>
      </w:r>
      <w:r>
        <w:rPr>
          <w:i/>
          <w:iCs/>
          <w:sz w:val="22"/>
          <w:szCs w:val="22"/>
        </w:rPr>
        <w:t xml:space="preserve"> ou da nova empresa que continuará a execução dos serviços;</w:t>
      </w:r>
    </w:p>
    <w:p>
      <w:pPr>
        <w:pStyle w:val="normal1"/>
        <w:numPr>
          <w:ilvl w:val="1"/>
          <w:numId w:val="6"/>
        </w:numPr>
        <w:spacing w:lineRule="auto" w:line="360"/>
        <w:ind w:firstLine="357" w:start="283"/>
        <w:jc w:val="both"/>
        <w:rPr>
          <w:sz w:val="22"/>
          <w:szCs w:val="22"/>
        </w:rPr>
      </w:pPr>
      <w:r>
        <w:rPr>
          <w:i/>
          <w:iCs/>
          <w:sz w:val="22"/>
          <w:szCs w:val="22"/>
        </w:rPr>
        <w:t xml:space="preserve">Ceder ao </w:t>
      </w:r>
      <w:r>
        <w:rPr>
          <w:b/>
          <w:bCs/>
          <w:i/>
          <w:iCs/>
          <w:sz w:val="22"/>
          <w:szCs w:val="22"/>
        </w:rPr>
        <w:t>CONTRATANTE</w:t>
      </w:r>
      <w:r>
        <w:rPr>
          <w:i/>
          <w:iCs/>
          <w:sz w:val="22"/>
          <w:szCs w:val="22"/>
        </w:rPr>
        <w:t xml:space="preserve"> todos os direitos patrimoniais relativos ao objeto contratado, o qual poderá ser livremente utilizado e/ou alterado em outras ocasiões, sem necessidade de nova autorização do </w:t>
      </w:r>
      <w:r>
        <w:rPr>
          <w:b/>
          <w:bCs/>
          <w:i/>
          <w:iCs/>
          <w:sz w:val="22"/>
          <w:szCs w:val="22"/>
        </w:rPr>
        <w:t>CONTRATADO</w:t>
      </w:r>
      <w:r>
        <w:rPr>
          <w:i/>
          <w:iCs/>
          <w:sz w:val="22"/>
          <w:szCs w:val="22"/>
        </w:rPr>
        <w:t>;</w:t>
      </w:r>
    </w:p>
    <w:p>
      <w:pPr>
        <w:pStyle w:val="normal1"/>
        <w:numPr>
          <w:ilvl w:val="2"/>
          <w:numId w:val="6"/>
        </w:numPr>
        <w:spacing w:lineRule="auto" w:line="360"/>
        <w:ind w:firstLine="527" w:start="567"/>
        <w:jc w:val="both"/>
        <w:rPr>
          <w:sz w:val="22"/>
          <w:szCs w:val="22"/>
        </w:rPr>
      </w:pPr>
      <w:r>
        <w:rPr>
          <w:i/>
          <w:iCs/>
          <w:sz w:val="22"/>
          <w:szCs w:val="22"/>
        </w:rPr>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pPr>
        <w:pStyle w:val="normal1"/>
        <w:numPr>
          <w:ilvl w:val="1"/>
          <w:numId w:val="6"/>
        </w:numPr>
        <w:spacing w:lineRule="auto" w:line="360"/>
        <w:ind w:firstLine="357" w:start="283"/>
        <w:jc w:val="both"/>
        <w:rPr>
          <w:sz w:val="22"/>
          <w:szCs w:val="22"/>
        </w:rPr>
      </w:pPr>
      <w:r>
        <w:rPr>
          <w:sz w:val="22"/>
          <w:szCs w:val="22"/>
        </w:rPr>
        <w:t xml:space="preserve">Manter os empregados nos horários predeterminados pelo </w:t>
      </w:r>
      <w:r>
        <w:rPr>
          <w:b/>
          <w:bCs/>
          <w:sz w:val="22"/>
          <w:szCs w:val="22"/>
        </w:rPr>
        <w:t>CONTRATANTE</w:t>
      </w:r>
      <w:r>
        <w:rPr>
          <w:sz w:val="22"/>
          <w:szCs w:val="22"/>
        </w:rPr>
        <w:t>;</w:t>
      </w:r>
    </w:p>
    <w:p>
      <w:pPr>
        <w:pStyle w:val="normal1"/>
        <w:numPr>
          <w:ilvl w:val="1"/>
          <w:numId w:val="6"/>
        </w:numPr>
        <w:spacing w:lineRule="auto" w:line="360"/>
        <w:ind w:firstLine="357" w:start="283"/>
        <w:jc w:val="both"/>
        <w:rPr>
          <w:sz w:val="22"/>
          <w:szCs w:val="22"/>
        </w:rPr>
      </w:pPr>
      <w:r>
        <w:rPr>
          <w:sz w:val="22"/>
          <w:szCs w:val="22"/>
        </w:rPr>
        <w:t>Apresentar os empregados devidamente uniformizados e identificados por meio de crachá, além de provê-los com os Equipamentos de Proteção Individual - EPI, quando for o caso;</w:t>
      </w:r>
    </w:p>
    <w:p>
      <w:pPr>
        <w:pStyle w:val="normal1"/>
        <w:numPr>
          <w:ilvl w:val="1"/>
          <w:numId w:val="6"/>
        </w:numPr>
        <w:spacing w:lineRule="auto" w:line="360"/>
        <w:ind w:firstLine="357" w:start="283"/>
        <w:jc w:val="both"/>
        <w:rPr>
          <w:sz w:val="22"/>
          <w:szCs w:val="22"/>
        </w:rPr>
      </w:pPr>
      <w:r>
        <w:rPr>
          <w:sz w:val="22"/>
          <w:szCs w:val="22"/>
        </w:rPr>
        <w:t xml:space="preserve">Apresentar ao </w:t>
      </w:r>
      <w:r>
        <w:rPr>
          <w:b/>
          <w:bCs/>
          <w:sz w:val="22"/>
          <w:szCs w:val="22"/>
        </w:rPr>
        <w:t>CONTRATANTE</w:t>
      </w:r>
      <w:r>
        <w:rPr>
          <w:sz w:val="22"/>
          <w:szCs w:val="22"/>
        </w:rPr>
        <w:t>, quando for o caso, a relação nominal dos empregados que adentrarão no órgão para a execução do serviço;</w:t>
      </w:r>
    </w:p>
    <w:p>
      <w:pPr>
        <w:pStyle w:val="normal1"/>
        <w:numPr>
          <w:ilvl w:val="1"/>
          <w:numId w:val="6"/>
        </w:numPr>
        <w:spacing w:lineRule="auto" w:line="360"/>
        <w:ind w:firstLine="357" w:start="283"/>
        <w:jc w:val="both"/>
        <w:rPr>
          <w:sz w:val="22"/>
          <w:szCs w:val="22"/>
        </w:rPr>
      </w:pPr>
      <w:r>
        <w:rPr>
          <w:sz w:val="22"/>
          <w:szCs w:val="22"/>
        </w:rPr>
        <w:t>Observar os preceitos da legislação sobre a jornada de trabalho, conforme a categoria profissional;</w:t>
      </w:r>
    </w:p>
    <w:p>
      <w:pPr>
        <w:pStyle w:val="normal1"/>
        <w:numPr>
          <w:ilvl w:val="1"/>
          <w:numId w:val="6"/>
        </w:numPr>
        <w:spacing w:lineRule="auto" w:line="360"/>
        <w:ind w:firstLine="357" w:start="283"/>
        <w:jc w:val="both"/>
        <w:rPr>
          <w:sz w:val="22"/>
          <w:szCs w:val="22"/>
        </w:rPr>
      </w:pPr>
      <w:r>
        <w:rPr>
          <w:sz w:val="22"/>
          <w:szCs w:val="22"/>
        </w:rPr>
        <w:t xml:space="preserve">Atender às solicitações do </w:t>
      </w:r>
      <w:r>
        <w:rPr>
          <w:b/>
          <w:bCs/>
          <w:sz w:val="22"/>
          <w:szCs w:val="22"/>
        </w:rPr>
        <w:t>CONTRATANTE</w:t>
      </w:r>
      <w:r>
        <w:rPr>
          <w:sz w:val="22"/>
          <w:szCs w:val="22"/>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pPr>
        <w:pStyle w:val="normal1"/>
        <w:numPr>
          <w:ilvl w:val="1"/>
          <w:numId w:val="6"/>
        </w:numPr>
        <w:spacing w:lineRule="auto" w:line="360"/>
        <w:ind w:firstLine="357" w:start="283"/>
        <w:jc w:val="both"/>
        <w:rPr>
          <w:sz w:val="22"/>
          <w:szCs w:val="22"/>
        </w:rPr>
      </w:pPr>
      <w:r>
        <w:rPr>
          <w:sz w:val="22"/>
          <w:szCs w:val="22"/>
        </w:rPr>
        <w:t xml:space="preserve">Instruir seus empregados quanto à necessidade de acatar as Normas Internas do </w:t>
      </w:r>
      <w:r>
        <w:rPr>
          <w:b/>
          <w:bCs/>
          <w:sz w:val="22"/>
          <w:szCs w:val="22"/>
        </w:rPr>
        <w:t>CONTRATANTE</w:t>
      </w:r>
      <w:r>
        <w:rPr>
          <w:sz w:val="22"/>
          <w:szCs w:val="22"/>
        </w:rPr>
        <w:t>;</w:t>
      </w:r>
    </w:p>
    <w:p>
      <w:pPr>
        <w:pStyle w:val="normal1"/>
        <w:numPr>
          <w:ilvl w:val="1"/>
          <w:numId w:val="6"/>
        </w:numPr>
        <w:spacing w:lineRule="auto" w:line="360"/>
        <w:ind w:firstLine="357" w:start="283"/>
        <w:jc w:val="both"/>
        <w:rPr>
          <w:sz w:val="22"/>
          <w:szCs w:val="22"/>
        </w:rPr>
      </w:pPr>
      <w:r>
        <w:rPr>
          <w:sz w:val="22"/>
          <w:szCs w:val="22"/>
        </w:rPr>
        <w:t xml:space="preserve">Instruir seus empregados a respeito das atividades a serem desempenhadas, alertando-os a não executarem atividades não abrangidas pelo contrato, devendo o </w:t>
      </w:r>
      <w:r>
        <w:rPr>
          <w:b/>
          <w:bCs/>
          <w:sz w:val="22"/>
          <w:szCs w:val="22"/>
        </w:rPr>
        <w:t>CONTRATADO</w:t>
      </w:r>
      <w:r>
        <w:rPr>
          <w:sz w:val="22"/>
          <w:szCs w:val="22"/>
        </w:rPr>
        <w:t xml:space="preserve"> relatar ao </w:t>
      </w:r>
      <w:r>
        <w:rPr>
          <w:b/>
          <w:bCs/>
          <w:sz w:val="22"/>
          <w:szCs w:val="22"/>
        </w:rPr>
        <w:t>CONTRATANTE</w:t>
      </w:r>
      <w:r>
        <w:rPr>
          <w:sz w:val="22"/>
          <w:szCs w:val="22"/>
        </w:rPr>
        <w:t xml:space="preserve"> toda e qualquer ocorrência neste sentido, a fim de evitar desvio de função;</w:t>
      </w:r>
    </w:p>
    <w:p>
      <w:pPr>
        <w:pStyle w:val="normal1"/>
        <w:numPr>
          <w:ilvl w:val="1"/>
          <w:numId w:val="6"/>
        </w:numPr>
        <w:spacing w:lineRule="auto" w:line="360"/>
        <w:ind w:firstLine="357" w:start="283"/>
        <w:jc w:val="both"/>
        <w:rPr>
          <w:sz w:val="22"/>
          <w:szCs w:val="22"/>
        </w:rPr>
      </w:pPr>
      <w:r>
        <w:rPr>
          <w:sz w:val="22"/>
          <w:szCs w:val="22"/>
        </w:rPr>
        <w:t xml:space="preserve">Instruir os seus empregados, quanto à prevenção de incêndios nas áreas do </w:t>
      </w:r>
      <w:r>
        <w:rPr>
          <w:b/>
          <w:bCs/>
          <w:sz w:val="22"/>
          <w:szCs w:val="22"/>
        </w:rPr>
        <w:t>CONTRATANTE</w:t>
      </w:r>
      <w:r>
        <w:rPr>
          <w:sz w:val="22"/>
          <w:szCs w:val="22"/>
        </w:rPr>
        <w:t>;</w:t>
      </w:r>
    </w:p>
    <w:p>
      <w:pPr>
        <w:pStyle w:val="normal1"/>
        <w:numPr>
          <w:ilvl w:val="1"/>
          <w:numId w:val="6"/>
        </w:numPr>
        <w:spacing w:lineRule="auto" w:line="360"/>
        <w:ind w:firstLine="357" w:start="283"/>
        <w:jc w:val="both"/>
        <w:rPr>
          <w:sz w:val="22"/>
          <w:szCs w:val="22"/>
        </w:rPr>
      </w:pPr>
      <w:r>
        <w:rPr>
          <w:sz w:val="22"/>
          <w:szCs w:val="22"/>
        </w:rPr>
        <w:t>Adotar as providências e precauções necessárias, inclusive consulta nos respectivos órgãos, se necessário for, a fim de que não venham a ser danificadas as redes hidrossanitárias, elétricas e de comunicação;</w:t>
      </w:r>
    </w:p>
    <w:p>
      <w:pPr>
        <w:pStyle w:val="normal1"/>
        <w:numPr>
          <w:ilvl w:val="1"/>
          <w:numId w:val="6"/>
        </w:numPr>
        <w:spacing w:lineRule="auto" w:line="360"/>
        <w:ind w:firstLine="357" w:start="283"/>
        <w:jc w:val="both"/>
        <w:rPr>
          <w:sz w:val="22"/>
          <w:szCs w:val="22"/>
        </w:rPr>
      </w:pPr>
      <w:r>
        <w:rPr>
          <w:sz w:val="22"/>
          <w:szCs w:val="22"/>
        </w:rPr>
        <w:t>Estar registrado ou inscrito no Conselho Profissional competente, conforme as áreas de atuação previstas no Termo de Referência, em plena validade;</w:t>
      </w:r>
    </w:p>
    <w:p>
      <w:pPr>
        <w:pStyle w:val="normal1"/>
        <w:numPr>
          <w:ilvl w:val="1"/>
          <w:numId w:val="6"/>
        </w:numPr>
        <w:spacing w:lineRule="auto" w:line="360"/>
        <w:ind w:firstLine="357" w:start="283"/>
        <w:jc w:val="both"/>
        <w:rPr>
          <w:sz w:val="22"/>
          <w:szCs w:val="22"/>
        </w:rPr>
      </w:pPr>
      <w:r>
        <w:rPr>
          <w:sz w:val="22"/>
          <w:szCs w:val="22"/>
        </w:rPr>
        <w:t>Obter junto aos órgãos competentes, conforme o caso, as licenças necessárias e demais documentos e autorizações exigíveis, na forma da legislação aplicável;</w:t>
      </w:r>
    </w:p>
    <w:p>
      <w:pPr>
        <w:pStyle w:val="normal1"/>
        <w:numPr>
          <w:ilvl w:val="1"/>
          <w:numId w:val="6"/>
        </w:numPr>
        <w:spacing w:lineRule="auto" w:line="360"/>
        <w:ind w:firstLine="357" w:start="283"/>
        <w:jc w:val="both"/>
        <w:rPr>
          <w:sz w:val="22"/>
          <w:szCs w:val="22"/>
        </w:rPr>
      </w:pPr>
      <w:r>
        <w:rPr>
          <w:sz w:val="22"/>
          <w:szCs w:val="22"/>
        </w:rPr>
        <w:t>Refazer, às suas expensas, os trabalhos executados em desacordo com o estabelecido nas especificações, bem como substituir aqueles realizados com materiais defeituosos ou com vício, pelo prazo de disposto no Código de Defesa do Consumidor, contado da data de emissão do Termo de Recebimento Definitivo;</w:t>
      </w:r>
    </w:p>
    <w:p>
      <w:pPr>
        <w:pStyle w:val="normal1"/>
        <w:numPr>
          <w:ilvl w:val="1"/>
          <w:numId w:val="6"/>
        </w:numPr>
        <w:spacing w:lineRule="auto" w:line="360"/>
        <w:ind w:firstLine="357" w:start="283"/>
        <w:jc w:val="both"/>
        <w:rPr>
          <w:sz w:val="22"/>
          <w:szCs w:val="22"/>
        </w:rPr>
      </w:pPr>
      <w:r>
        <w:rPr>
          <w:sz w:val="22"/>
          <w:szCs w:val="22"/>
        </w:rPr>
        <w:t xml:space="preserve">Responder por qualquer acidente de trabalho na execução dos serviços, por uso indevido de patentes registradas em nome de terceiros, por danos resultantes de defeitos ou incorreções dos serviços ou dos bens do </w:t>
      </w:r>
      <w:r>
        <w:rPr>
          <w:b/>
          <w:bCs/>
          <w:sz w:val="22"/>
          <w:szCs w:val="22"/>
        </w:rPr>
        <w:t>CONTRATANTE</w:t>
      </w:r>
      <w:r>
        <w:rPr>
          <w:sz w:val="22"/>
          <w:szCs w:val="22"/>
        </w:rPr>
        <w:t>, de seus funcionários ou de terceiros;</w:t>
      </w:r>
    </w:p>
    <w:p>
      <w:pPr>
        <w:pStyle w:val="normal1"/>
        <w:numPr>
          <w:ilvl w:val="1"/>
          <w:numId w:val="6"/>
        </w:numPr>
        <w:spacing w:lineRule="auto" w:line="360"/>
        <w:ind w:firstLine="357" w:start="283"/>
        <w:jc w:val="both"/>
        <w:rPr>
          <w:sz w:val="22"/>
          <w:szCs w:val="22"/>
        </w:rPr>
      </w:pPr>
      <w:r>
        <w:rPr>
          <w:sz w:val="22"/>
          <w:szCs w:val="22"/>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normal1"/>
        <w:keepNext w:val="true"/>
        <w:keepLines/>
        <w:numPr>
          <w:ilvl w:val="0"/>
          <w:numId w:val="6"/>
        </w:numPr>
        <w:tabs>
          <w:tab w:val="clear" w:pos="720"/>
          <w:tab w:val="left" w:pos="0" w:leader="none"/>
          <w:tab w:val="left" w:pos="567" w:leader="none"/>
        </w:tabs>
        <w:spacing w:lineRule="auto" w:line="360" w:before="200" w:after="200"/>
        <w:ind w:hanging="0" w:start="720"/>
        <w:jc w:val="both"/>
        <w:rPr>
          <w:b/>
          <w:bCs/>
          <w:color w:val="FFFFFF"/>
          <w:sz w:val="22"/>
          <w:szCs w:val="22"/>
        </w:rPr>
      </w:pPr>
      <w:r>
        <w:rPr>
          <w:b/>
          <w:bCs/>
          <w:sz w:val="22"/>
          <w:szCs w:val="22"/>
        </w:rPr>
        <w:t>CLÁUSULA DÉCIMA TERCEIRA – GARANTIA DE EXECUÇÃO (art. 92, XII, da Lei n.º 14.133/2021)</w:t>
      </w:r>
    </w:p>
    <w:p>
      <w:pPr>
        <w:pStyle w:val="normal1"/>
        <w:numPr>
          <w:ilvl w:val="1"/>
          <w:numId w:val="6"/>
        </w:numPr>
        <w:spacing w:lineRule="auto" w:line="360"/>
        <w:ind w:firstLine="357" w:start="283"/>
        <w:jc w:val="both"/>
        <w:rPr>
          <w:sz w:val="22"/>
          <w:szCs w:val="22"/>
        </w:rPr>
      </w:pPr>
      <w:r>
        <w:rPr>
          <w:i/>
          <w:iCs/>
          <w:sz w:val="22"/>
          <w:szCs w:val="22"/>
        </w:rPr>
        <w:t>Não haverá exigência de garantia contratual da execução.</w:t>
      </w:r>
    </w:p>
    <w:p>
      <w:pPr>
        <w:pStyle w:val="normal1"/>
        <w:numPr>
          <w:ilvl w:val="1"/>
          <w:numId w:val="6"/>
        </w:numPr>
        <w:spacing w:lineRule="auto" w:line="360"/>
        <w:ind w:firstLine="357" w:start="283"/>
        <w:jc w:val="both"/>
        <w:rPr>
          <w:sz w:val="22"/>
          <w:szCs w:val="22"/>
        </w:rPr>
      </w:pPr>
      <w:r>
        <w:rPr>
          <w:sz w:val="22"/>
          <w:szCs w:val="22"/>
        </w:rPr>
        <w:t>A garantia de execução é independente de eventual garantia do produto ou serviço prevista especificamente no Termo de Referência.</w:t>
      </w:r>
    </w:p>
    <w:p>
      <w:pPr>
        <w:pStyle w:val="normal1"/>
        <w:keepNext w:val="true"/>
        <w:keepLines/>
        <w:numPr>
          <w:ilvl w:val="0"/>
          <w:numId w:val="6"/>
        </w:numPr>
        <w:tabs>
          <w:tab w:val="clear" w:pos="720"/>
          <w:tab w:val="left" w:pos="0" w:leader="none"/>
          <w:tab w:val="left" w:pos="567" w:leader="none"/>
        </w:tabs>
        <w:spacing w:lineRule="auto" w:line="360" w:before="200" w:after="200"/>
        <w:ind w:hanging="0" w:start="720"/>
        <w:jc w:val="both"/>
        <w:rPr>
          <w:b/>
          <w:bCs/>
          <w:color w:val="FFFFFF"/>
          <w:sz w:val="22"/>
          <w:szCs w:val="22"/>
        </w:rPr>
      </w:pPr>
      <w:r>
        <w:rPr>
          <w:b/>
          <w:bCs/>
          <w:sz w:val="22"/>
          <w:szCs w:val="22"/>
        </w:rPr>
        <w:t>CLÁUSULA DÉCIMA QUARTA – OBRIGAÇÕES PERTINENTES À LGPD</w:t>
      </w:r>
    </w:p>
    <w:p>
      <w:pPr>
        <w:pStyle w:val="normal1"/>
        <w:numPr>
          <w:ilvl w:val="1"/>
          <w:numId w:val="6"/>
        </w:numPr>
        <w:spacing w:lineRule="auto" w:line="360"/>
        <w:ind w:firstLine="357" w:start="283"/>
        <w:jc w:val="both"/>
        <w:rPr>
          <w:sz w:val="22"/>
          <w:szCs w:val="22"/>
        </w:rPr>
      </w:pPr>
      <w:r>
        <w:rPr>
          <w:i/>
          <w:iCs/>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pPr>
        <w:pStyle w:val="normal1"/>
        <w:numPr>
          <w:ilvl w:val="1"/>
          <w:numId w:val="6"/>
        </w:numPr>
        <w:spacing w:lineRule="auto" w:line="360"/>
        <w:ind w:firstLine="357" w:start="283"/>
        <w:jc w:val="both"/>
        <w:rPr>
          <w:sz w:val="22"/>
          <w:szCs w:val="22"/>
        </w:rPr>
      </w:pPr>
      <w:r>
        <w:rPr>
          <w:i/>
          <w:iCs/>
          <w:sz w:val="22"/>
          <w:szCs w:val="22"/>
        </w:rPr>
        <w:t xml:space="preserve">Os dados obtidos somente poderão ser utilizados para as finalidades que justificaram seu acesso e de acordo com a boa-fé e com os princípios do art. 6º da LGPD. </w:t>
      </w:r>
    </w:p>
    <w:p>
      <w:pPr>
        <w:pStyle w:val="normal1"/>
        <w:numPr>
          <w:ilvl w:val="1"/>
          <w:numId w:val="6"/>
        </w:numPr>
        <w:spacing w:lineRule="auto" w:line="360"/>
        <w:ind w:firstLine="357" w:start="283"/>
        <w:jc w:val="both"/>
        <w:rPr>
          <w:sz w:val="22"/>
          <w:szCs w:val="22"/>
        </w:rPr>
      </w:pPr>
      <w:r>
        <w:rPr>
          <w:i/>
          <w:iCs/>
          <w:sz w:val="22"/>
          <w:szCs w:val="22"/>
        </w:rPr>
        <w:t>É vedado o compartilhamento com terceiros dos dados obtidos fora das hipóteses permitidas em Lei.</w:t>
      </w:r>
    </w:p>
    <w:p>
      <w:pPr>
        <w:pStyle w:val="normal1"/>
        <w:numPr>
          <w:ilvl w:val="1"/>
          <w:numId w:val="6"/>
        </w:numPr>
        <w:spacing w:lineRule="auto" w:line="360"/>
        <w:ind w:firstLine="357" w:start="283"/>
        <w:jc w:val="both"/>
        <w:rPr>
          <w:sz w:val="22"/>
          <w:szCs w:val="22"/>
        </w:rPr>
      </w:pPr>
      <w:r>
        <w:rPr>
          <w:i/>
          <w:iCs/>
          <w:sz w:val="22"/>
          <w:szCs w:val="22"/>
        </w:rPr>
        <w:t xml:space="preserve">A Administração deverá ser informada no prazo de 5 (cinco) dias úteis sobre todos os contratos de suboperação firmados ou que venham a ser celebrados pelo </w:t>
      </w:r>
      <w:r>
        <w:rPr>
          <w:b/>
          <w:bCs/>
          <w:i/>
          <w:iCs/>
          <w:sz w:val="22"/>
          <w:szCs w:val="22"/>
        </w:rPr>
        <w:t>CONTRATADO</w:t>
      </w:r>
      <w:r>
        <w:rPr>
          <w:i/>
          <w:iCs/>
          <w:sz w:val="22"/>
          <w:szCs w:val="22"/>
        </w:rPr>
        <w:t xml:space="preserve">. </w:t>
      </w:r>
    </w:p>
    <w:p>
      <w:pPr>
        <w:pStyle w:val="normal1"/>
        <w:numPr>
          <w:ilvl w:val="1"/>
          <w:numId w:val="6"/>
        </w:numPr>
        <w:spacing w:lineRule="auto" w:line="360"/>
        <w:ind w:firstLine="357" w:start="283"/>
        <w:jc w:val="both"/>
        <w:rPr>
          <w:sz w:val="22"/>
          <w:szCs w:val="22"/>
        </w:rPr>
      </w:pPr>
      <w:r>
        <w:rPr>
          <w:i/>
          <w:iCs/>
          <w:sz w:val="22"/>
          <w:szCs w:val="22"/>
        </w:rPr>
        <w:t xml:space="preserve">Terminado o tratamento dos dados nos termos do art. 15 da LGPD, é dever do </w:t>
      </w:r>
      <w:r>
        <w:rPr>
          <w:b/>
          <w:bCs/>
          <w:i/>
          <w:iCs/>
          <w:sz w:val="22"/>
          <w:szCs w:val="22"/>
        </w:rPr>
        <w:t>CONTRATADO</w:t>
      </w:r>
      <w:r>
        <w:rPr>
          <w:i/>
          <w:iCs/>
          <w:sz w:val="22"/>
          <w:szCs w:val="22"/>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pPr>
        <w:pStyle w:val="normal1"/>
        <w:numPr>
          <w:ilvl w:val="1"/>
          <w:numId w:val="6"/>
        </w:numPr>
        <w:spacing w:lineRule="auto" w:line="360"/>
        <w:ind w:firstLine="357" w:start="283"/>
        <w:jc w:val="both"/>
        <w:rPr>
          <w:sz w:val="22"/>
          <w:szCs w:val="22"/>
        </w:rPr>
      </w:pPr>
      <w:r>
        <w:rPr>
          <w:i/>
          <w:iCs/>
          <w:sz w:val="22"/>
          <w:szCs w:val="22"/>
        </w:rPr>
        <w:t xml:space="preserve">É dever do </w:t>
      </w:r>
      <w:r>
        <w:rPr>
          <w:b/>
          <w:bCs/>
          <w:i/>
          <w:iCs/>
          <w:sz w:val="22"/>
          <w:szCs w:val="22"/>
        </w:rPr>
        <w:t>CONTRATADO</w:t>
      </w:r>
      <w:r>
        <w:rPr>
          <w:i/>
          <w:iCs/>
          <w:sz w:val="22"/>
          <w:szCs w:val="22"/>
        </w:rPr>
        <w:t xml:space="preserve"> orientar e treinar seus empregados sobre os deveres, requisitos e responsabilidades decorrentes da LGPD. </w:t>
      </w:r>
    </w:p>
    <w:p>
      <w:pPr>
        <w:pStyle w:val="normal1"/>
        <w:numPr>
          <w:ilvl w:val="1"/>
          <w:numId w:val="6"/>
        </w:numPr>
        <w:spacing w:lineRule="auto" w:line="360"/>
        <w:ind w:firstLine="357" w:start="283"/>
        <w:jc w:val="both"/>
        <w:rPr>
          <w:sz w:val="22"/>
          <w:szCs w:val="22"/>
        </w:rPr>
      </w:pPr>
      <w:r>
        <w:rPr>
          <w:i/>
          <w:iCs/>
          <w:sz w:val="22"/>
          <w:szCs w:val="22"/>
        </w:rPr>
        <w:t xml:space="preserve">O </w:t>
      </w:r>
      <w:r>
        <w:rPr>
          <w:b/>
          <w:bCs/>
          <w:i/>
          <w:iCs/>
          <w:sz w:val="22"/>
          <w:szCs w:val="22"/>
        </w:rPr>
        <w:t>CONTRATADO</w:t>
      </w:r>
      <w:r>
        <w:rPr>
          <w:i/>
          <w:iCs/>
          <w:sz w:val="22"/>
          <w:szCs w:val="22"/>
        </w:rPr>
        <w:t xml:space="preserve"> deverá exigir de suboperadores e </w:t>
      </w:r>
      <w:r>
        <w:rPr>
          <w:b/>
          <w:bCs/>
          <w:i/>
          <w:iCs/>
          <w:sz w:val="22"/>
          <w:szCs w:val="22"/>
        </w:rPr>
        <w:t>SUBCONTRATADOS</w:t>
      </w:r>
      <w:r>
        <w:rPr>
          <w:i/>
          <w:iCs/>
          <w:sz w:val="22"/>
          <w:szCs w:val="22"/>
        </w:rPr>
        <w:t xml:space="preserve"> o cumprimento dos deveres da presente cláusula, permanecendo integralmente responsável por garantir sua observância.</w:t>
      </w:r>
    </w:p>
    <w:p>
      <w:pPr>
        <w:pStyle w:val="normal1"/>
        <w:numPr>
          <w:ilvl w:val="1"/>
          <w:numId w:val="6"/>
        </w:numPr>
        <w:spacing w:lineRule="auto" w:line="360"/>
        <w:ind w:firstLine="357" w:start="283"/>
        <w:jc w:val="both"/>
        <w:rPr>
          <w:sz w:val="22"/>
          <w:szCs w:val="22"/>
        </w:rPr>
      </w:pPr>
      <w:r>
        <w:rPr>
          <w:i/>
          <w:iCs/>
          <w:sz w:val="22"/>
          <w:szCs w:val="22"/>
        </w:rPr>
        <w:t xml:space="preserve">O </w:t>
      </w:r>
      <w:r>
        <w:rPr>
          <w:b/>
          <w:bCs/>
          <w:i/>
          <w:iCs/>
          <w:sz w:val="22"/>
          <w:szCs w:val="22"/>
        </w:rPr>
        <w:t>CONTRATANTE</w:t>
      </w:r>
      <w:r>
        <w:rPr>
          <w:i/>
          <w:iCs/>
          <w:sz w:val="22"/>
          <w:szCs w:val="22"/>
        </w:rPr>
        <w:t xml:space="preserve"> poderá realizar diligência para aferir o cumprimento dessa cláusula, devendo o </w:t>
      </w:r>
      <w:r>
        <w:rPr>
          <w:b/>
          <w:bCs/>
          <w:i/>
          <w:iCs/>
          <w:sz w:val="22"/>
          <w:szCs w:val="22"/>
        </w:rPr>
        <w:t>CONTRATADO</w:t>
      </w:r>
      <w:r>
        <w:rPr>
          <w:i/>
          <w:iCs/>
          <w:sz w:val="22"/>
          <w:szCs w:val="22"/>
        </w:rPr>
        <w:t xml:space="preserve"> atender prontamente eventuais pedidos de comprovação formulados. </w:t>
      </w:r>
    </w:p>
    <w:p>
      <w:pPr>
        <w:pStyle w:val="normal1"/>
        <w:numPr>
          <w:ilvl w:val="1"/>
          <w:numId w:val="6"/>
        </w:numPr>
        <w:spacing w:lineRule="auto" w:line="360"/>
        <w:ind w:firstLine="357" w:start="283"/>
        <w:jc w:val="both"/>
        <w:rPr>
          <w:sz w:val="22"/>
          <w:szCs w:val="22"/>
        </w:rPr>
      </w:pPr>
      <w:r>
        <w:rPr>
          <w:i/>
          <w:iCs/>
          <w:sz w:val="22"/>
          <w:szCs w:val="22"/>
        </w:rPr>
        <w:t xml:space="preserve">O </w:t>
      </w:r>
      <w:r>
        <w:rPr>
          <w:b/>
          <w:bCs/>
          <w:i/>
          <w:iCs/>
          <w:sz w:val="22"/>
          <w:szCs w:val="22"/>
        </w:rPr>
        <w:t>CONTRATADO</w:t>
      </w:r>
      <w:r>
        <w:rPr>
          <w:i/>
          <w:iCs/>
          <w:sz w:val="22"/>
          <w:szCs w:val="22"/>
        </w:rPr>
        <w:t xml:space="preserve"> deverá prestar, no prazo fixado pelo </w:t>
      </w:r>
      <w:r>
        <w:rPr>
          <w:b/>
          <w:bCs/>
          <w:i/>
          <w:iCs/>
          <w:sz w:val="22"/>
          <w:szCs w:val="22"/>
        </w:rPr>
        <w:t>CONTRATANTE</w:t>
      </w:r>
      <w:r>
        <w:rPr>
          <w:i/>
          <w:iCs/>
          <w:sz w:val="22"/>
          <w:szCs w:val="22"/>
        </w:rPr>
        <w:t xml:space="preserve">, prorrogável justificadamente, quaisquer informações acerca dos dados pessoais para cumprimento da LGPD, inclusive quanto à eventual descarte realizado. </w:t>
      </w:r>
    </w:p>
    <w:p>
      <w:pPr>
        <w:pStyle w:val="normal1"/>
        <w:numPr>
          <w:ilvl w:val="1"/>
          <w:numId w:val="6"/>
        </w:numPr>
        <w:spacing w:lineRule="auto" w:line="360"/>
        <w:ind w:firstLine="357" w:start="283"/>
        <w:jc w:val="both"/>
        <w:rPr>
          <w:sz w:val="22"/>
          <w:szCs w:val="22"/>
        </w:rPr>
      </w:pPr>
      <w:r>
        <w:rPr>
          <w:i/>
          <w:iCs/>
          <w:sz w:val="22"/>
          <w:szCs w:val="22"/>
        </w:rPr>
        <w:t>Bancos de dados formados a partir de contratos administrativos, notadamente aqueles que se proponham a armazenar dados pessoais, devem ser mantidos em ambiente virtual controlado, com registro individual rastreável de tratamentos realizados (Art. 37 da LGPD), com cada acesso, data, horário e registro da finalidade, para efeito de responsabilização, em caso de eventuais omissões, desvios ou abusos.</w:t>
      </w:r>
    </w:p>
    <w:p>
      <w:pPr>
        <w:pStyle w:val="normal1"/>
        <w:numPr>
          <w:ilvl w:val="2"/>
          <w:numId w:val="6"/>
        </w:numPr>
        <w:spacing w:lineRule="auto" w:line="360"/>
        <w:ind w:firstLine="527" w:start="567"/>
        <w:jc w:val="both"/>
        <w:rPr>
          <w:sz w:val="22"/>
          <w:szCs w:val="22"/>
        </w:rPr>
      </w:pPr>
      <w:r>
        <w:rPr>
          <w:i/>
          <w:iCs/>
          <w:sz w:val="22"/>
          <w:szCs w:val="22"/>
        </w:rPr>
        <w:t>Os referidos bancos de dados devem ser desenvolvidos em formato interoperável, a fim de garantir a reutilização desses dados pela Administração nas hipóteses previstas na LGPD.</w:t>
      </w:r>
    </w:p>
    <w:p>
      <w:pPr>
        <w:pStyle w:val="normal1"/>
        <w:numPr>
          <w:ilvl w:val="1"/>
          <w:numId w:val="6"/>
        </w:numPr>
        <w:spacing w:lineRule="auto" w:line="360"/>
        <w:ind w:firstLine="357" w:start="283"/>
        <w:jc w:val="both"/>
        <w:rPr>
          <w:sz w:val="22"/>
          <w:szCs w:val="22"/>
        </w:rPr>
      </w:pPr>
      <w:r>
        <w:rPr>
          <w:i/>
          <w:iCs/>
          <w:sz w:val="22"/>
          <w:szCs w:val="22"/>
        </w:rPr>
        <w:t>O contrato está sujeito a ser alterado nos procedimentos pertinentes ao tratamento de dados pessoais, quando indicado pela autoridade competente, em especial ao ANPD por meio de opiniões técnicas ou recomendações, editadas na forma da LGPD.</w:t>
      </w:r>
    </w:p>
    <w:p>
      <w:pPr>
        <w:pStyle w:val="normal1"/>
        <w:numPr>
          <w:ilvl w:val="1"/>
          <w:numId w:val="6"/>
        </w:numPr>
        <w:spacing w:lineRule="auto" w:line="360"/>
        <w:ind w:firstLine="357" w:start="283"/>
        <w:jc w:val="both"/>
        <w:rPr>
          <w:sz w:val="22"/>
          <w:szCs w:val="22"/>
        </w:rPr>
      </w:pPr>
      <w:r>
        <w:rPr>
          <w:i/>
          <w:iCs/>
          <w:sz w:val="22"/>
          <w:szCs w:val="22"/>
        </w:rPr>
        <w:t>Os contratos e convênios de que trata o § 1º do art. 26 da LGPD deverão ser comunicados à autoridade nacional.</w:t>
      </w:r>
    </w:p>
    <w:p>
      <w:pPr>
        <w:pStyle w:val="normal1"/>
        <w:keepNext w:val="true"/>
        <w:keepLines/>
        <w:numPr>
          <w:ilvl w:val="0"/>
          <w:numId w:val="6"/>
        </w:numPr>
        <w:tabs>
          <w:tab w:val="clear" w:pos="720"/>
          <w:tab w:val="left" w:pos="0" w:leader="none"/>
          <w:tab w:val="left" w:pos="567" w:leader="none"/>
        </w:tabs>
        <w:spacing w:lineRule="auto" w:line="360" w:before="200" w:after="200"/>
        <w:ind w:hanging="0" w:start="720"/>
        <w:jc w:val="both"/>
        <w:rPr>
          <w:b/>
          <w:bCs/>
          <w:color w:val="FFFFFF"/>
          <w:sz w:val="22"/>
          <w:szCs w:val="22"/>
        </w:rPr>
      </w:pPr>
      <w:r>
        <w:rPr>
          <w:b/>
          <w:bCs/>
          <w:sz w:val="22"/>
          <w:szCs w:val="22"/>
        </w:rPr>
        <w:t>CLÁUSULA DÉCIMA QUINTA – INFRAÇÕES E SANÇÕES ADMINISTRATIVAS (Art. 92, XIV, da Lei n.º 14.133/2021)</w:t>
      </w:r>
    </w:p>
    <w:p>
      <w:pPr>
        <w:pStyle w:val="normal1"/>
        <w:numPr>
          <w:ilvl w:val="1"/>
          <w:numId w:val="6"/>
        </w:numPr>
        <w:spacing w:lineRule="auto" w:line="360"/>
        <w:ind w:firstLine="357" w:start="283"/>
        <w:jc w:val="both"/>
        <w:rPr>
          <w:sz w:val="22"/>
          <w:szCs w:val="22"/>
        </w:rPr>
      </w:pPr>
      <w:r>
        <w:rPr>
          <w:sz w:val="22"/>
          <w:szCs w:val="22"/>
        </w:rPr>
        <w:t xml:space="preserve">Comete infração administrativa, nos termos da Lei n.º 14.133/2021, o </w:t>
      </w:r>
      <w:r>
        <w:rPr>
          <w:b/>
          <w:bCs/>
          <w:sz w:val="22"/>
          <w:szCs w:val="22"/>
        </w:rPr>
        <w:t>CONTRATADO</w:t>
      </w:r>
      <w:r>
        <w:rPr>
          <w:sz w:val="22"/>
          <w:szCs w:val="22"/>
        </w:rPr>
        <w:t xml:space="preserve"> que:</w:t>
      </w:r>
    </w:p>
    <w:p>
      <w:pPr>
        <w:pStyle w:val="normal1"/>
        <w:numPr>
          <w:ilvl w:val="1"/>
          <w:numId w:val="29"/>
        </w:numPr>
        <w:spacing w:lineRule="auto" w:line="360"/>
        <w:ind w:firstLine="527" w:start="567"/>
        <w:jc w:val="both"/>
        <w:rPr>
          <w:sz w:val="22"/>
          <w:szCs w:val="22"/>
        </w:rPr>
      </w:pPr>
      <w:r>
        <w:rPr>
          <w:sz w:val="22"/>
          <w:szCs w:val="22"/>
        </w:rPr>
        <w:t>Der causa à inexecução parcial do contrato;</w:t>
      </w:r>
    </w:p>
    <w:p>
      <w:pPr>
        <w:pStyle w:val="normal1"/>
        <w:numPr>
          <w:ilvl w:val="1"/>
          <w:numId w:val="29"/>
        </w:numPr>
        <w:spacing w:lineRule="auto" w:line="360"/>
        <w:ind w:firstLine="527" w:start="567"/>
        <w:jc w:val="both"/>
        <w:rPr>
          <w:sz w:val="22"/>
          <w:szCs w:val="22"/>
        </w:rPr>
      </w:pPr>
      <w:r>
        <w:rPr>
          <w:sz w:val="22"/>
          <w:szCs w:val="22"/>
        </w:rPr>
        <w:t>Der causa à inexecução parcial do contrato que cause grave dano à Administração ou ao funcionamento dos serviços públicos ou ao interesse coletivo;</w:t>
      </w:r>
    </w:p>
    <w:p>
      <w:pPr>
        <w:pStyle w:val="normal1"/>
        <w:numPr>
          <w:ilvl w:val="1"/>
          <w:numId w:val="29"/>
        </w:numPr>
        <w:spacing w:lineRule="auto" w:line="360"/>
        <w:ind w:firstLine="527" w:start="567"/>
        <w:jc w:val="both"/>
        <w:rPr>
          <w:sz w:val="22"/>
          <w:szCs w:val="22"/>
        </w:rPr>
      </w:pPr>
      <w:r>
        <w:rPr>
          <w:sz w:val="22"/>
          <w:szCs w:val="22"/>
        </w:rPr>
        <w:t>Der causa à inexecução total do contrato;</w:t>
      </w:r>
    </w:p>
    <w:p>
      <w:pPr>
        <w:pStyle w:val="normal1"/>
        <w:numPr>
          <w:ilvl w:val="1"/>
          <w:numId w:val="29"/>
        </w:numPr>
        <w:spacing w:lineRule="auto" w:line="360"/>
        <w:ind w:firstLine="527" w:start="567"/>
        <w:jc w:val="both"/>
        <w:rPr>
          <w:sz w:val="22"/>
          <w:szCs w:val="22"/>
        </w:rPr>
      </w:pPr>
      <w:r>
        <w:rPr>
          <w:sz w:val="22"/>
          <w:szCs w:val="22"/>
        </w:rPr>
        <w:t>Ensejar o retardamento da execução ou da entrega do objeto da contratação sem motivo justificado;</w:t>
      </w:r>
    </w:p>
    <w:p>
      <w:pPr>
        <w:pStyle w:val="normal1"/>
        <w:numPr>
          <w:ilvl w:val="1"/>
          <w:numId w:val="29"/>
        </w:numPr>
        <w:spacing w:lineRule="auto" w:line="360"/>
        <w:ind w:firstLine="527" w:start="567"/>
        <w:jc w:val="both"/>
        <w:rPr>
          <w:sz w:val="22"/>
          <w:szCs w:val="22"/>
        </w:rPr>
      </w:pPr>
      <w:r>
        <w:rPr>
          <w:sz w:val="22"/>
          <w:szCs w:val="22"/>
        </w:rPr>
        <w:t>Apresentar documentação falsa ou prestar declaração falsa durante a execução do contrato;</w:t>
      </w:r>
    </w:p>
    <w:p>
      <w:pPr>
        <w:pStyle w:val="normal1"/>
        <w:numPr>
          <w:ilvl w:val="1"/>
          <w:numId w:val="29"/>
        </w:numPr>
        <w:spacing w:lineRule="auto" w:line="360"/>
        <w:ind w:firstLine="527" w:start="567"/>
        <w:jc w:val="both"/>
        <w:rPr>
          <w:sz w:val="22"/>
          <w:szCs w:val="22"/>
        </w:rPr>
      </w:pPr>
      <w:r>
        <w:rPr>
          <w:sz w:val="22"/>
          <w:szCs w:val="22"/>
        </w:rPr>
        <w:t>Praticar ato fraudulento na execução do contrato;</w:t>
      </w:r>
    </w:p>
    <w:p>
      <w:pPr>
        <w:pStyle w:val="normal1"/>
        <w:numPr>
          <w:ilvl w:val="1"/>
          <w:numId w:val="29"/>
        </w:numPr>
        <w:spacing w:lineRule="auto" w:line="360"/>
        <w:ind w:firstLine="527" w:start="567"/>
        <w:jc w:val="both"/>
        <w:rPr>
          <w:sz w:val="22"/>
          <w:szCs w:val="22"/>
        </w:rPr>
      </w:pPr>
      <w:r>
        <w:rPr>
          <w:sz w:val="22"/>
          <w:szCs w:val="22"/>
        </w:rPr>
        <w:t>Comportar-se de modo inidôneo ou cometer fraude de qualquer natureza;</w:t>
      </w:r>
    </w:p>
    <w:p>
      <w:pPr>
        <w:pStyle w:val="normal1"/>
        <w:numPr>
          <w:ilvl w:val="1"/>
          <w:numId w:val="29"/>
        </w:numPr>
        <w:spacing w:lineRule="auto" w:line="360"/>
        <w:ind w:firstLine="527" w:start="567"/>
        <w:jc w:val="both"/>
        <w:rPr>
          <w:sz w:val="22"/>
          <w:szCs w:val="22"/>
        </w:rPr>
      </w:pPr>
      <w:r>
        <w:rPr>
          <w:sz w:val="22"/>
          <w:szCs w:val="22"/>
        </w:rPr>
        <w:t>Praticar ato lesivo previsto no art. 5º da Lei n.º 12.846, de 1º de agosto de 2013.</w:t>
      </w:r>
    </w:p>
    <w:p>
      <w:pPr>
        <w:pStyle w:val="normal1"/>
        <w:numPr>
          <w:ilvl w:val="1"/>
          <w:numId w:val="6"/>
        </w:numPr>
        <w:spacing w:lineRule="auto" w:line="360"/>
        <w:ind w:firstLine="357" w:start="283"/>
        <w:jc w:val="both"/>
        <w:rPr>
          <w:sz w:val="22"/>
          <w:szCs w:val="22"/>
        </w:rPr>
      </w:pPr>
      <w:r>
        <w:rPr>
          <w:sz w:val="22"/>
          <w:szCs w:val="22"/>
        </w:rPr>
        <w:t xml:space="preserve">Serão aplicadas ao </w:t>
      </w:r>
      <w:r>
        <w:rPr>
          <w:b/>
          <w:bCs/>
          <w:sz w:val="22"/>
          <w:szCs w:val="22"/>
        </w:rPr>
        <w:t>CONTRATADO</w:t>
      </w:r>
      <w:r>
        <w:rPr>
          <w:sz w:val="22"/>
          <w:szCs w:val="22"/>
        </w:rPr>
        <w:t xml:space="preserve"> que incorrer nas infrações acima descritas as seguintes sanções:</w:t>
      </w:r>
    </w:p>
    <w:p>
      <w:pPr>
        <w:pStyle w:val="normal1"/>
        <w:numPr>
          <w:ilvl w:val="2"/>
          <w:numId w:val="4"/>
        </w:numPr>
        <w:spacing w:lineRule="auto" w:line="360"/>
        <w:ind w:firstLine="527" w:start="567"/>
        <w:jc w:val="both"/>
        <w:rPr>
          <w:sz w:val="22"/>
          <w:szCs w:val="22"/>
        </w:rPr>
      </w:pPr>
      <w:bookmarkStart w:id="32" w:name="_heading=h.4d34og8"/>
      <w:bookmarkEnd w:id="32"/>
      <w:r>
        <w:rPr>
          <w:b/>
          <w:bCs/>
          <w:sz w:val="22"/>
          <w:szCs w:val="22"/>
        </w:rPr>
        <w:t>Advertência</w:t>
      </w:r>
      <w:r>
        <w:rPr>
          <w:sz w:val="22"/>
          <w:szCs w:val="22"/>
        </w:rPr>
        <w:t xml:space="preserve">, quando o </w:t>
      </w:r>
      <w:r>
        <w:rPr>
          <w:b/>
          <w:bCs/>
          <w:sz w:val="22"/>
          <w:szCs w:val="22"/>
        </w:rPr>
        <w:t>CONTRATADO</w:t>
      </w:r>
      <w:r>
        <w:rPr>
          <w:sz w:val="22"/>
          <w:szCs w:val="22"/>
        </w:rPr>
        <w:t xml:space="preserve"> der causa à inexecução parcial do contrato, sempre que não se justificar a imposição de penalidade mais grave (Art. 156, §2º, da Lei n.º 14.133/2021);</w:t>
      </w:r>
    </w:p>
    <w:p>
      <w:pPr>
        <w:pStyle w:val="normal1"/>
        <w:numPr>
          <w:ilvl w:val="2"/>
          <w:numId w:val="4"/>
        </w:numPr>
        <w:spacing w:lineRule="auto" w:line="360"/>
        <w:ind w:firstLine="527" w:start="567"/>
        <w:jc w:val="both"/>
        <w:rPr>
          <w:sz w:val="22"/>
          <w:szCs w:val="22"/>
        </w:rPr>
      </w:pPr>
      <w:bookmarkStart w:id="33" w:name="_heading=h.3mxl76waoexw"/>
      <w:bookmarkEnd w:id="33"/>
      <w:r>
        <w:rPr>
          <w:b/>
          <w:bCs/>
          <w:sz w:val="22"/>
          <w:szCs w:val="22"/>
        </w:rPr>
        <w:t>Impedimento de licitar e contratar</w:t>
      </w:r>
      <w:r>
        <w:rPr>
          <w:sz w:val="22"/>
          <w:szCs w:val="22"/>
        </w:rPr>
        <w:t>, quando praticadas as condutas descritas nas alíneas “b”, “c” e “d” do subitem acima deste contrato, sempre que não se justificar a imposição de penalidade mais grave (Art. 156, § 4º, da Lei n.º 14.133/2021);</w:t>
      </w:r>
    </w:p>
    <w:p>
      <w:pPr>
        <w:pStyle w:val="normal1"/>
        <w:numPr>
          <w:ilvl w:val="2"/>
          <w:numId w:val="4"/>
        </w:numPr>
        <w:spacing w:lineRule="auto" w:line="360"/>
        <w:ind w:firstLine="527" w:start="567"/>
        <w:jc w:val="both"/>
        <w:rPr>
          <w:sz w:val="22"/>
          <w:szCs w:val="22"/>
        </w:rPr>
      </w:pPr>
      <w:bookmarkStart w:id="34" w:name="_heading=h.u4lg1iswg0no"/>
      <w:bookmarkEnd w:id="34"/>
      <w:r>
        <w:rPr>
          <w:b/>
          <w:bCs/>
          <w:sz w:val="22"/>
          <w:szCs w:val="22"/>
        </w:rPr>
        <w:t>Declaração de inidoneidade para licitar e contratar</w:t>
      </w:r>
      <w:r>
        <w:rPr>
          <w:sz w:val="22"/>
          <w:szCs w:val="22"/>
        </w:rPr>
        <w:t>, quando praticadas as condutas descritas nas alíneas “e”, “f”, “g” e “h” do subitem acima deste contrato, bem como nas alíneas “b”, “c” e “d”, que justifiquem a imposição de penalidade mais grave (Art. 156, § 5º, da Lei n.º 14.133/2021).</w:t>
      </w:r>
    </w:p>
    <w:p>
      <w:pPr>
        <w:pStyle w:val="normal1"/>
        <w:numPr>
          <w:ilvl w:val="2"/>
          <w:numId w:val="4"/>
        </w:numPr>
        <w:spacing w:lineRule="auto" w:line="360"/>
        <w:ind w:firstLine="527" w:start="567"/>
        <w:jc w:val="both"/>
        <w:rPr>
          <w:sz w:val="22"/>
          <w:szCs w:val="22"/>
        </w:rPr>
      </w:pPr>
      <w:bookmarkStart w:id="35" w:name="_heading=h.1x3yx8p3lrgq"/>
      <w:bookmarkEnd w:id="35"/>
      <w:r>
        <w:rPr>
          <w:b/>
          <w:bCs/>
          <w:sz w:val="22"/>
          <w:szCs w:val="22"/>
        </w:rPr>
        <w:t>Multa:</w:t>
      </w:r>
    </w:p>
    <w:p>
      <w:pPr>
        <w:pStyle w:val="normal1"/>
        <w:numPr>
          <w:ilvl w:val="0"/>
          <w:numId w:val="2"/>
        </w:numPr>
        <w:spacing w:lineRule="auto" w:line="360"/>
        <w:ind w:firstLine="697" w:start="850"/>
        <w:jc w:val="both"/>
        <w:rPr>
          <w:sz w:val="22"/>
          <w:szCs w:val="22"/>
        </w:rPr>
      </w:pPr>
      <w:r>
        <w:rPr>
          <w:sz w:val="22"/>
          <w:szCs w:val="22"/>
        </w:rPr>
        <w:t>Moratória de .....% (..... por cento) por dia de atraso injustificado sobre o valor da parcela inadimplida, até o limite de ...... (.......) dias;</w:t>
      </w:r>
    </w:p>
    <w:p>
      <w:pPr>
        <w:pStyle w:val="normal1"/>
        <w:numPr>
          <w:ilvl w:val="1"/>
          <w:numId w:val="30"/>
        </w:numPr>
        <w:spacing w:lineRule="auto" w:line="360"/>
        <w:ind w:firstLine="697" w:start="850"/>
        <w:jc w:val="both"/>
        <w:rPr>
          <w:i/>
          <w:iCs/>
          <w:sz w:val="22"/>
          <w:szCs w:val="22"/>
        </w:rPr>
      </w:pPr>
      <w:r>
        <w:rPr>
          <w:i/>
          <w:iCs/>
          <w:sz w:val="22"/>
          <w:szCs w:val="22"/>
        </w:rPr>
        <w:t xml:space="preserve">O atraso superior a XX (xxxxxxxxx) dias autoriza a Administração a promover a extinção do contrato por descumprimento ou cumprimento irregular de suas cláusulas, conforme dispõe o inciso I do art. 137 da Lei n.º 14.133/2021; </w:t>
      </w:r>
    </w:p>
    <w:p>
      <w:pPr>
        <w:pStyle w:val="normal1"/>
        <w:numPr>
          <w:ilvl w:val="0"/>
          <w:numId w:val="2"/>
        </w:numPr>
        <w:spacing w:lineRule="auto" w:line="360"/>
        <w:ind w:firstLine="697" w:start="850"/>
        <w:jc w:val="both"/>
        <w:rPr>
          <w:sz w:val="22"/>
          <w:szCs w:val="22"/>
        </w:rPr>
      </w:pPr>
      <w:r>
        <w:rPr>
          <w:sz w:val="22"/>
          <w:szCs w:val="22"/>
        </w:rPr>
        <w:t>Compensatória</w:t>
      </w:r>
      <w:r>
        <w:rPr>
          <w:i/>
          <w:iCs/>
          <w:sz w:val="22"/>
          <w:szCs w:val="22"/>
        </w:rPr>
        <w:t xml:space="preserve">, para a inexecução total do contrato prevista na alínea “c” do subitem 15.1, de ....% a ...%  do valor do contrato; </w:t>
      </w:r>
    </w:p>
    <w:p>
      <w:pPr>
        <w:pStyle w:val="normal1"/>
        <w:numPr>
          <w:ilvl w:val="1"/>
          <w:numId w:val="6"/>
        </w:numPr>
        <w:spacing w:lineRule="auto" w:line="360"/>
        <w:ind w:firstLine="357" w:start="283"/>
        <w:jc w:val="both"/>
        <w:rPr>
          <w:sz w:val="22"/>
          <w:szCs w:val="22"/>
        </w:rPr>
      </w:pPr>
      <w:r>
        <w:rPr>
          <w:sz w:val="22"/>
          <w:szCs w:val="22"/>
        </w:rPr>
        <w:t xml:space="preserve">A aplicação das sanções previstas neste contrato não exclui, em hipótese alguma, a obrigação de reparação integral do dano causado ao </w:t>
      </w:r>
      <w:r>
        <w:rPr>
          <w:b/>
          <w:bCs/>
          <w:sz w:val="22"/>
          <w:szCs w:val="22"/>
        </w:rPr>
        <w:t>CONTRATANTE</w:t>
      </w:r>
      <w:r>
        <w:rPr>
          <w:sz w:val="22"/>
          <w:szCs w:val="22"/>
        </w:rPr>
        <w:t xml:space="preserve"> (Art. 156, §9º, da Lei n.º 14.133/2021).</w:t>
      </w:r>
    </w:p>
    <w:p>
      <w:pPr>
        <w:pStyle w:val="normal1"/>
        <w:numPr>
          <w:ilvl w:val="1"/>
          <w:numId w:val="6"/>
        </w:numPr>
        <w:spacing w:lineRule="auto" w:line="360"/>
        <w:ind w:firstLine="357" w:start="283"/>
        <w:jc w:val="both"/>
        <w:rPr>
          <w:sz w:val="22"/>
          <w:szCs w:val="22"/>
        </w:rPr>
      </w:pPr>
      <w:r>
        <w:rPr>
          <w:sz w:val="22"/>
          <w:szCs w:val="22"/>
        </w:rPr>
        <w:t>Todas as sanções previstas neste contrato poderão ser aplicadas cumulativamente com a multa (Art. 156, §7º, da Lei n.º 14.133/2021).</w:t>
      </w:r>
    </w:p>
    <w:p>
      <w:pPr>
        <w:pStyle w:val="normal1"/>
        <w:numPr>
          <w:ilvl w:val="2"/>
          <w:numId w:val="6"/>
        </w:numPr>
        <w:spacing w:lineRule="auto" w:line="360"/>
        <w:ind w:firstLine="527" w:start="567"/>
        <w:jc w:val="both"/>
        <w:rPr>
          <w:sz w:val="22"/>
          <w:szCs w:val="22"/>
        </w:rPr>
      </w:pPr>
      <w:r>
        <w:rPr>
          <w:sz w:val="22"/>
          <w:szCs w:val="22"/>
        </w:rPr>
        <w:t>Antes da aplicação da multa será facultada a defesa do interessado no prazo de 15 (quinze) dias úteis, contado da data de sua intimação (Art. 157 da Lei n.º 14.133/2021).</w:t>
      </w:r>
    </w:p>
    <w:p>
      <w:pPr>
        <w:pStyle w:val="normal1"/>
        <w:numPr>
          <w:ilvl w:val="2"/>
          <w:numId w:val="6"/>
        </w:numPr>
        <w:spacing w:lineRule="auto" w:line="360"/>
        <w:ind w:firstLine="527" w:start="567"/>
        <w:jc w:val="both"/>
        <w:rPr>
          <w:sz w:val="22"/>
          <w:szCs w:val="22"/>
        </w:rPr>
      </w:pPr>
      <w:r>
        <w:rPr>
          <w:sz w:val="22"/>
          <w:szCs w:val="22"/>
        </w:rPr>
        <w:t xml:space="preserve">Se a multa aplicada e as indenizações cabíveis forem superiores ao valor do pagamento eventualmente devido pelo </w:t>
      </w:r>
      <w:r>
        <w:rPr>
          <w:b/>
          <w:bCs/>
          <w:sz w:val="22"/>
          <w:szCs w:val="22"/>
        </w:rPr>
        <w:t>CONTRATANTE</w:t>
      </w:r>
      <w:r>
        <w:rPr>
          <w:sz w:val="22"/>
          <w:szCs w:val="22"/>
        </w:rPr>
        <w:t xml:space="preserve"> ao </w:t>
      </w:r>
      <w:r>
        <w:rPr>
          <w:b/>
          <w:bCs/>
          <w:sz w:val="22"/>
          <w:szCs w:val="22"/>
        </w:rPr>
        <w:t>CONTRATADO</w:t>
      </w:r>
      <w:r>
        <w:rPr>
          <w:sz w:val="22"/>
          <w:szCs w:val="22"/>
        </w:rPr>
        <w:t>, além da perda desse valor, a diferença será descontada da garantia prestada ou será cobrada judicialmente (Art. 156, §8º, da Lei n.º 14.133/2021).</w:t>
      </w:r>
    </w:p>
    <w:p>
      <w:pPr>
        <w:pStyle w:val="normal1"/>
        <w:numPr>
          <w:ilvl w:val="2"/>
          <w:numId w:val="6"/>
        </w:numPr>
        <w:spacing w:lineRule="auto" w:line="360"/>
        <w:ind w:firstLine="527" w:start="567"/>
        <w:jc w:val="both"/>
        <w:rPr>
          <w:sz w:val="22"/>
          <w:szCs w:val="22"/>
        </w:rPr>
      </w:pPr>
      <w:r>
        <w:rPr>
          <w:sz w:val="22"/>
          <w:szCs w:val="22"/>
        </w:rPr>
        <w:t>Previamente ao encaminhamento à cobrança judicial, a multa poderá ser recolhida administrativamente no prazo máximo de XX (XXXX) dias, a contar da data do recebimento da comunicação enviada pela autoridade competente.</w:t>
      </w:r>
    </w:p>
    <w:p>
      <w:pPr>
        <w:pStyle w:val="normal1"/>
        <w:numPr>
          <w:ilvl w:val="1"/>
          <w:numId w:val="6"/>
        </w:numPr>
        <w:spacing w:lineRule="auto" w:line="360"/>
        <w:ind w:firstLine="357" w:start="283"/>
        <w:jc w:val="both"/>
        <w:rPr>
          <w:sz w:val="22"/>
          <w:szCs w:val="22"/>
        </w:rPr>
      </w:pPr>
      <w:r>
        <w:rPr>
          <w:sz w:val="22"/>
          <w:szCs w:val="22"/>
        </w:rPr>
        <w:t xml:space="preserve">A aplicação das sanções realizar-se-á em processo administrativo que assegure o contraditório e a ampla defesa ao </w:t>
      </w:r>
      <w:r>
        <w:rPr>
          <w:b/>
          <w:bCs/>
          <w:sz w:val="22"/>
          <w:szCs w:val="22"/>
        </w:rPr>
        <w:t>CONTRATADO</w:t>
      </w:r>
      <w:r>
        <w:rPr>
          <w:sz w:val="22"/>
          <w:szCs w:val="22"/>
        </w:rPr>
        <w:t xml:space="preserve">, observando-se o procedimento previsto no </w:t>
      </w:r>
      <w:r>
        <w:rPr>
          <w:i/>
          <w:iCs/>
          <w:sz w:val="22"/>
          <w:szCs w:val="22"/>
        </w:rPr>
        <w:t>caput</w:t>
      </w:r>
      <w:r>
        <w:rPr>
          <w:sz w:val="22"/>
          <w:szCs w:val="22"/>
        </w:rPr>
        <w:t xml:space="preserve"> e parágrafos do art. 158 da Lei n.º 14.133/2021, para as penalidades de impedimento de licitar e contratar e de declaração de inidoneidade para licitar ou contratar.</w:t>
      </w:r>
    </w:p>
    <w:p>
      <w:pPr>
        <w:pStyle w:val="normal1"/>
        <w:numPr>
          <w:ilvl w:val="1"/>
          <w:numId w:val="6"/>
        </w:numPr>
        <w:spacing w:lineRule="auto" w:line="360"/>
        <w:ind w:firstLine="357" w:start="283"/>
        <w:jc w:val="both"/>
        <w:rPr>
          <w:sz w:val="22"/>
          <w:szCs w:val="22"/>
        </w:rPr>
      </w:pPr>
      <w:r>
        <w:rPr>
          <w:sz w:val="22"/>
          <w:szCs w:val="22"/>
        </w:rPr>
        <w:t>Na aplicação das sanções serão considerados (Art. 156, § 1º, da Lei n.º 14.133/2021):</w:t>
      </w:r>
    </w:p>
    <w:p>
      <w:pPr>
        <w:pStyle w:val="normal1"/>
        <w:numPr>
          <w:ilvl w:val="1"/>
          <w:numId w:val="35"/>
        </w:numPr>
        <w:spacing w:lineRule="auto" w:line="360"/>
        <w:ind w:firstLine="527" w:start="567"/>
        <w:jc w:val="both"/>
        <w:rPr>
          <w:sz w:val="22"/>
          <w:szCs w:val="22"/>
        </w:rPr>
      </w:pPr>
      <w:r>
        <w:rPr>
          <w:sz w:val="22"/>
          <w:szCs w:val="22"/>
        </w:rPr>
        <w:t>A natureza e a gravidade da infração cometida;</w:t>
      </w:r>
    </w:p>
    <w:p>
      <w:pPr>
        <w:pStyle w:val="normal1"/>
        <w:numPr>
          <w:ilvl w:val="1"/>
          <w:numId w:val="35"/>
        </w:numPr>
        <w:spacing w:lineRule="auto" w:line="360"/>
        <w:ind w:firstLine="527" w:start="567"/>
        <w:jc w:val="both"/>
        <w:rPr>
          <w:sz w:val="22"/>
          <w:szCs w:val="22"/>
        </w:rPr>
      </w:pPr>
      <w:r>
        <w:rPr>
          <w:sz w:val="22"/>
          <w:szCs w:val="22"/>
        </w:rPr>
        <w:t>As peculiaridades do caso concreto;</w:t>
      </w:r>
    </w:p>
    <w:p>
      <w:pPr>
        <w:pStyle w:val="normal1"/>
        <w:numPr>
          <w:ilvl w:val="1"/>
          <w:numId w:val="35"/>
        </w:numPr>
        <w:spacing w:lineRule="auto" w:line="360"/>
        <w:ind w:firstLine="527" w:start="567"/>
        <w:jc w:val="both"/>
        <w:rPr>
          <w:sz w:val="22"/>
          <w:szCs w:val="22"/>
        </w:rPr>
      </w:pPr>
      <w:r>
        <w:rPr>
          <w:sz w:val="22"/>
          <w:szCs w:val="22"/>
        </w:rPr>
        <w:t>As circunstâncias agravantes ou atenuantes;</w:t>
      </w:r>
    </w:p>
    <w:p>
      <w:pPr>
        <w:pStyle w:val="normal1"/>
        <w:numPr>
          <w:ilvl w:val="1"/>
          <w:numId w:val="35"/>
        </w:numPr>
        <w:spacing w:lineRule="auto" w:line="360"/>
        <w:ind w:firstLine="527" w:start="567"/>
        <w:jc w:val="both"/>
        <w:rPr>
          <w:sz w:val="22"/>
          <w:szCs w:val="22"/>
        </w:rPr>
      </w:pPr>
      <w:r>
        <w:rPr>
          <w:sz w:val="22"/>
          <w:szCs w:val="22"/>
        </w:rPr>
        <w:t xml:space="preserve">Os danos que dela provierem para o </w:t>
      </w:r>
      <w:r>
        <w:rPr>
          <w:b/>
          <w:bCs/>
          <w:sz w:val="22"/>
          <w:szCs w:val="22"/>
        </w:rPr>
        <w:t>CONTRATANTE</w:t>
      </w:r>
      <w:r>
        <w:rPr>
          <w:sz w:val="22"/>
          <w:szCs w:val="22"/>
        </w:rPr>
        <w:t>;</w:t>
      </w:r>
    </w:p>
    <w:p>
      <w:pPr>
        <w:pStyle w:val="normal1"/>
        <w:numPr>
          <w:ilvl w:val="1"/>
          <w:numId w:val="35"/>
        </w:numPr>
        <w:spacing w:lineRule="auto" w:line="360"/>
        <w:ind w:firstLine="527" w:start="567"/>
        <w:jc w:val="both"/>
        <w:rPr>
          <w:sz w:val="22"/>
          <w:szCs w:val="22"/>
        </w:rPr>
      </w:pPr>
      <w:r>
        <w:rPr>
          <w:sz w:val="22"/>
          <w:szCs w:val="22"/>
        </w:rPr>
        <w:t>A implantação ou o aperfeiçoamento de programa de integridade, conforme normas e orientações dos órgãos de controle.</w:t>
      </w:r>
    </w:p>
    <w:p>
      <w:pPr>
        <w:pStyle w:val="normal1"/>
        <w:numPr>
          <w:ilvl w:val="1"/>
          <w:numId w:val="6"/>
        </w:numPr>
        <w:spacing w:lineRule="auto" w:line="360"/>
        <w:ind w:firstLine="357" w:start="283"/>
        <w:jc w:val="both"/>
        <w:rPr>
          <w:sz w:val="22"/>
          <w:szCs w:val="22"/>
        </w:rPr>
      </w:pPr>
      <w:r>
        <w:rPr>
          <w:sz w:val="22"/>
          <w:szCs w:val="22"/>
        </w:rPr>
        <w:t>Os atos previstos como infrações administrativas na Lei n.º 14.133/2021, ou em outras leis de licitações e contratos da Administração Pública que também sejam tipificados como atos lesivos na Lei n.º 12.846, de 2013, serão apurados e julgados conjuntamente, nos mesmos autos, observados o rito procedimental e autoridade competente definidos na Lei (Art. 159 da Lei n.º 14.133/2021).</w:t>
      </w:r>
    </w:p>
    <w:p>
      <w:pPr>
        <w:pStyle w:val="normal1"/>
        <w:numPr>
          <w:ilvl w:val="1"/>
          <w:numId w:val="6"/>
        </w:numPr>
        <w:spacing w:lineRule="auto" w:line="360"/>
        <w:ind w:firstLine="357" w:start="283"/>
        <w:jc w:val="both"/>
        <w:rPr>
          <w:sz w:val="22"/>
          <w:szCs w:val="22"/>
        </w:rPr>
      </w:pPr>
      <w:r>
        <w:rPr>
          <w:sz w:val="22"/>
          <w:szCs w:val="22"/>
        </w:rPr>
        <w:t xml:space="preserve">A personalidade jurídica do </w:t>
      </w:r>
      <w:r>
        <w:rPr>
          <w:b/>
          <w:bCs/>
          <w:sz w:val="22"/>
          <w:szCs w:val="22"/>
        </w:rPr>
        <w:t>CONTRATADO</w:t>
      </w:r>
      <w:r>
        <w:rPr>
          <w:sz w:val="22"/>
          <w:szCs w:val="22"/>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Pr>
          <w:b/>
          <w:bCs/>
          <w:sz w:val="22"/>
          <w:szCs w:val="22"/>
        </w:rPr>
        <w:t>CONTRATADO</w:t>
      </w:r>
      <w:r>
        <w:rPr>
          <w:sz w:val="22"/>
          <w:szCs w:val="22"/>
        </w:rPr>
        <w:t>, observados, em todos os casos, o contraditório, a ampla defesa e a obrigatoriedade de análise jurídica prévia (Art. 160 da Lei n.º 14.133/2021).</w:t>
      </w:r>
    </w:p>
    <w:p>
      <w:pPr>
        <w:pStyle w:val="normal1"/>
        <w:numPr>
          <w:ilvl w:val="1"/>
          <w:numId w:val="6"/>
        </w:numPr>
        <w:spacing w:lineRule="auto" w:line="360"/>
        <w:ind w:firstLine="357" w:start="283"/>
        <w:jc w:val="both"/>
        <w:rPr>
          <w:sz w:val="22"/>
          <w:szCs w:val="22"/>
        </w:rPr>
      </w:pPr>
      <w:r>
        <w:rPr>
          <w:sz w:val="22"/>
          <w:szCs w:val="22"/>
        </w:rPr>
        <w:t xml:space="preserve">O </w:t>
      </w:r>
      <w:r>
        <w:rPr>
          <w:b/>
          <w:bCs/>
          <w:sz w:val="22"/>
          <w:szCs w:val="22"/>
        </w:rPr>
        <w:t>CONTRATANTE</w:t>
      </w:r>
      <w:r>
        <w:rPr>
          <w:sz w:val="22"/>
          <w:szCs w:val="22"/>
        </w:rPr>
        <w:t xml:space="preserv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14.133/2021).</w:t>
      </w:r>
    </w:p>
    <w:p>
      <w:pPr>
        <w:pStyle w:val="normal1"/>
        <w:numPr>
          <w:ilvl w:val="1"/>
          <w:numId w:val="6"/>
        </w:numPr>
        <w:spacing w:lineRule="auto" w:line="360"/>
        <w:ind w:firstLine="357" w:start="283"/>
        <w:jc w:val="both"/>
        <w:rPr>
          <w:sz w:val="22"/>
          <w:szCs w:val="22"/>
        </w:rPr>
      </w:pPr>
      <w:r>
        <w:rPr>
          <w:sz w:val="22"/>
          <w:szCs w:val="22"/>
        </w:rPr>
        <w:t>As sanções de impedimento de licitar e contratar e declaração de inidoneidade para licitar ou contratar são passíveis de reabilitação na forma do art. 163 da Lei n.º 14.133/2021.</w:t>
      </w:r>
    </w:p>
    <w:p>
      <w:pPr>
        <w:pStyle w:val="normal1"/>
        <w:numPr>
          <w:ilvl w:val="1"/>
          <w:numId w:val="6"/>
        </w:numPr>
        <w:spacing w:lineRule="auto" w:line="360"/>
        <w:ind w:firstLine="357" w:start="283"/>
        <w:jc w:val="both"/>
        <w:rPr>
          <w:sz w:val="22"/>
          <w:szCs w:val="22"/>
        </w:rPr>
      </w:pPr>
      <w:r>
        <w:rPr>
          <w:sz w:val="22"/>
          <w:szCs w:val="22"/>
        </w:rPr>
        <w:t xml:space="preserve">Os débitos do </w:t>
      </w:r>
      <w:r>
        <w:rPr>
          <w:b/>
          <w:bCs/>
          <w:sz w:val="22"/>
          <w:szCs w:val="22"/>
        </w:rPr>
        <w:t>CONTRATADO</w:t>
      </w:r>
      <w:r>
        <w:rPr>
          <w:sz w:val="22"/>
          <w:szCs w:val="22"/>
        </w:rPr>
        <w:t xml:space="preserve"> para com a Administração </w:t>
      </w:r>
      <w:r>
        <w:rPr>
          <w:b/>
          <w:bCs/>
          <w:sz w:val="22"/>
          <w:szCs w:val="22"/>
        </w:rPr>
        <w:t>CONTRATANTE</w:t>
      </w:r>
      <w:r>
        <w:rPr>
          <w:sz w:val="22"/>
          <w:szCs w:val="22"/>
        </w:rPr>
        <w:t xml:space="preserve">, resultantes de multa administrativa e/ou indenizações, não inscritos em dívida ativa, poderão ser compensados, total ou parcialmente, com os créditos devidos pelo referido órgão decorrentes deste mesmo contrato ou de outros contratos administrativos que o </w:t>
      </w:r>
      <w:r>
        <w:rPr>
          <w:b/>
          <w:bCs/>
          <w:sz w:val="22"/>
          <w:szCs w:val="22"/>
        </w:rPr>
        <w:t>CONTRATADO</w:t>
      </w:r>
      <w:r>
        <w:rPr>
          <w:sz w:val="22"/>
          <w:szCs w:val="22"/>
        </w:rPr>
        <w:t xml:space="preserve"> possua com o mesmo órgão, ora </w:t>
      </w:r>
      <w:r>
        <w:rPr>
          <w:b/>
          <w:bCs/>
          <w:sz w:val="22"/>
          <w:szCs w:val="22"/>
        </w:rPr>
        <w:t>CONTRATANTE</w:t>
      </w:r>
      <w:r>
        <w:rPr>
          <w:sz w:val="22"/>
          <w:szCs w:val="22"/>
        </w:rPr>
        <w:t xml:space="preserve">, na forma da Instrução Normativa SEGES/ME n.º 26, de 13 de abril de 2022. </w:t>
      </w:r>
    </w:p>
    <w:p>
      <w:pPr>
        <w:pStyle w:val="normal1"/>
        <w:keepNext w:val="true"/>
        <w:keepLines/>
        <w:numPr>
          <w:ilvl w:val="0"/>
          <w:numId w:val="6"/>
        </w:numPr>
        <w:tabs>
          <w:tab w:val="clear" w:pos="720"/>
          <w:tab w:val="left" w:pos="0" w:leader="none"/>
          <w:tab w:val="left" w:pos="567" w:leader="none"/>
        </w:tabs>
        <w:spacing w:lineRule="auto" w:line="360" w:before="200" w:after="200"/>
        <w:ind w:hanging="0" w:start="720"/>
        <w:jc w:val="both"/>
        <w:rPr>
          <w:b/>
          <w:bCs/>
          <w:color w:val="FFFFFF"/>
          <w:sz w:val="22"/>
          <w:szCs w:val="22"/>
        </w:rPr>
      </w:pPr>
      <w:r>
        <w:rPr>
          <w:b/>
          <w:bCs/>
          <w:sz w:val="22"/>
          <w:szCs w:val="22"/>
        </w:rPr>
        <w:t>CLÁUSULA DÉCIMA SEXTA – EXTINÇÃO CONTRATUAL</w:t>
      </w:r>
    </w:p>
    <w:p>
      <w:pPr>
        <w:pStyle w:val="normal1"/>
        <w:numPr>
          <w:ilvl w:val="1"/>
          <w:numId w:val="6"/>
        </w:numPr>
        <w:spacing w:lineRule="auto" w:line="360"/>
        <w:ind w:firstLine="357" w:start="283"/>
        <w:jc w:val="both"/>
        <w:rPr>
          <w:sz w:val="22"/>
          <w:szCs w:val="22"/>
        </w:rPr>
      </w:pPr>
      <w:r>
        <w:rPr>
          <w:i/>
          <w:iCs/>
          <w:sz w:val="22"/>
          <w:szCs w:val="22"/>
        </w:rPr>
        <w:t>O contrato será extinto quando vencido o prazo nele estipulado, independentemente de terem sido cumpridas ou não as obrigações de ambas as partes contraentes.</w:t>
      </w:r>
    </w:p>
    <w:p>
      <w:pPr>
        <w:pStyle w:val="normal1"/>
        <w:numPr>
          <w:ilvl w:val="1"/>
          <w:numId w:val="6"/>
        </w:numPr>
        <w:spacing w:lineRule="auto" w:line="360"/>
        <w:ind w:firstLine="357" w:start="283"/>
        <w:jc w:val="both"/>
        <w:rPr>
          <w:sz w:val="22"/>
          <w:szCs w:val="22"/>
        </w:rPr>
      </w:pPr>
      <w:r>
        <w:rPr>
          <w:i/>
          <w:iCs/>
          <w:sz w:val="22"/>
          <w:szCs w:val="22"/>
        </w:rPr>
        <w:t xml:space="preserve">O contrato poderá ser extinto antes do prazo nele fixado, sem ônus para o </w:t>
      </w:r>
      <w:r>
        <w:rPr>
          <w:b/>
          <w:bCs/>
          <w:i/>
          <w:iCs/>
          <w:sz w:val="22"/>
          <w:szCs w:val="22"/>
        </w:rPr>
        <w:t>CONTRATANTE</w:t>
      </w:r>
      <w:r>
        <w:rPr>
          <w:i/>
          <w:iCs/>
          <w:sz w:val="22"/>
          <w:szCs w:val="22"/>
        </w:rPr>
        <w:t>, quando esta não dispuser de créditos orçamentários para sua continuidade ou quando entender que o contrato não mais lhe oferece vantagem.</w:t>
      </w:r>
    </w:p>
    <w:p>
      <w:pPr>
        <w:pStyle w:val="normal1"/>
        <w:numPr>
          <w:ilvl w:val="1"/>
          <w:numId w:val="6"/>
        </w:numPr>
        <w:spacing w:lineRule="auto" w:line="360"/>
        <w:ind w:firstLine="357" w:start="283"/>
        <w:jc w:val="both"/>
        <w:rPr>
          <w:sz w:val="22"/>
          <w:szCs w:val="22"/>
        </w:rPr>
      </w:pPr>
      <w:r>
        <w:rPr>
          <w:i/>
          <w:iCs/>
          <w:sz w:val="22"/>
          <w:szCs w:val="22"/>
        </w:rPr>
        <w:t xml:space="preserve">A extinção nesta hipótese ocorrerá na próxima data de aniversário do contrato, desde que haja a notificação do </w:t>
      </w:r>
      <w:r>
        <w:rPr>
          <w:b/>
          <w:bCs/>
          <w:i/>
          <w:iCs/>
          <w:sz w:val="22"/>
          <w:szCs w:val="22"/>
        </w:rPr>
        <w:t>CONTRATADO</w:t>
      </w:r>
      <w:r>
        <w:rPr>
          <w:i/>
          <w:iCs/>
          <w:sz w:val="22"/>
          <w:szCs w:val="22"/>
        </w:rPr>
        <w:t xml:space="preserve"> pelo </w:t>
      </w:r>
      <w:r>
        <w:rPr>
          <w:b/>
          <w:bCs/>
          <w:i/>
          <w:iCs/>
          <w:sz w:val="22"/>
          <w:szCs w:val="22"/>
        </w:rPr>
        <w:t>CONTRATANTE</w:t>
      </w:r>
      <w:r>
        <w:rPr>
          <w:i/>
          <w:iCs/>
          <w:sz w:val="22"/>
          <w:szCs w:val="22"/>
        </w:rPr>
        <w:t xml:space="preserve"> nesse sentido com pelo menos 2 (dois) meses de antecedência desse dia.</w:t>
      </w:r>
    </w:p>
    <w:p>
      <w:pPr>
        <w:pStyle w:val="normal1"/>
        <w:numPr>
          <w:ilvl w:val="1"/>
          <w:numId w:val="6"/>
        </w:numPr>
        <w:spacing w:lineRule="auto" w:line="360"/>
        <w:ind w:firstLine="357" w:start="283"/>
        <w:jc w:val="both"/>
        <w:rPr>
          <w:sz w:val="22"/>
          <w:szCs w:val="22"/>
        </w:rPr>
      </w:pPr>
      <w:r>
        <w:rPr>
          <w:i/>
          <w:iCs/>
          <w:sz w:val="22"/>
          <w:szCs w:val="22"/>
        </w:rPr>
        <w:t>Caso a notificação da não-continuidade do contrato de que trata este subitem ocorra com menos de 2 (dois) meses da data de aniversário, a extinção contratual ocorrerá após 2 (dois) meses da data da comunicação.</w:t>
      </w:r>
    </w:p>
    <w:p>
      <w:pPr>
        <w:pStyle w:val="normal1"/>
        <w:numPr>
          <w:ilvl w:val="1"/>
          <w:numId w:val="6"/>
        </w:numPr>
        <w:spacing w:lineRule="auto" w:line="360"/>
        <w:ind w:firstLine="357" w:start="283"/>
        <w:jc w:val="both"/>
        <w:rPr>
          <w:sz w:val="22"/>
          <w:szCs w:val="22"/>
        </w:rPr>
      </w:pPr>
      <w:r>
        <w:rPr>
          <w:sz w:val="22"/>
          <w:szCs w:val="22"/>
        </w:rPr>
        <w:t>O contrato poderá ser extinto antes de cumpridas as obrigações nele estipuladas, ou antes do prazo nele fixado, por algum dos motivos previstos no art. 137 da Lei n.º 14.133/21, bem como amigavelmente, assegurados o contraditório e a ampla defesa.</w:t>
      </w:r>
    </w:p>
    <w:p>
      <w:pPr>
        <w:pStyle w:val="normal1"/>
        <w:numPr>
          <w:ilvl w:val="2"/>
          <w:numId w:val="6"/>
        </w:numPr>
        <w:spacing w:lineRule="auto" w:line="360"/>
        <w:ind w:firstLine="527" w:start="567"/>
        <w:jc w:val="both"/>
        <w:rPr>
          <w:sz w:val="22"/>
          <w:szCs w:val="22"/>
        </w:rPr>
      </w:pPr>
      <w:r>
        <w:rPr>
          <w:sz w:val="22"/>
          <w:szCs w:val="22"/>
        </w:rPr>
        <w:t>Nesta hipótese, aplicam-se também os arts. 138 e 139 da mesma Lei;</w:t>
      </w:r>
    </w:p>
    <w:p>
      <w:pPr>
        <w:pStyle w:val="normal1"/>
        <w:numPr>
          <w:ilvl w:val="2"/>
          <w:numId w:val="6"/>
        </w:numPr>
        <w:spacing w:lineRule="auto" w:line="360"/>
        <w:ind w:firstLine="527" w:start="567"/>
        <w:jc w:val="both"/>
        <w:rPr>
          <w:sz w:val="22"/>
          <w:szCs w:val="22"/>
        </w:rPr>
      </w:pPr>
      <w:r>
        <w:rPr>
          <w:sz w:val="22"/>
          <w:szCs w:val="22"/>
        </w:rPr>
        <w:t>A alteração social ou a modificação da finalidade ou da estrutura da empresa não ensejará a extinção se não restringir sua capacidade de concluir o contrato;</w:t>
      </w:r>
    </w:p>
    <w:p>
      <w:pPr>
        <w:pStyle w:val="normal1"/>
        <w:numPr>
          <w:ilvl w:val="3"/>
          <w:numId w:val="6"/>
        </w:numPr>
        <w:spacing w:lineRule="auto" w:line="360"/>
        <w:ind w:firstLine="697" w:start="850"/>
        <w:jc w:val="both"/>
        <w:rPr>
          <w:i/>
          <w:iCs/>
          <w:sz w:val="22"/>
          <w:szCs w:val="22"/>
        </w:rPr>
      </w:pPr>
      <w:r>
        <w:rPr>
          <w:sz w:val="22"/>
          <w:szCs w:val="22"/>
        </w:rPr>
        <w:t>Se a operação implicar mudança da pessoa jurídica contratada, deverá ser formalizado termo aditivo para alteração subjetiva.</w:t>
      </w:r>
    </w:p>
    <w:p>
      <w:pPr>
        <w:pStyle w:val="normal1"/>
        <w:numPr>
          <w:ilvl w:val="1"/>
          <w:numId w:val="6"/>
        </w:numPr>
        <w:spacing w:lineRule="auto" w:line="360"/>
        <w:ind w:firstLine="357" w:start="283"/>
        <w:jc w:val="both"/>
        <w:rPr>
          <w:sz w:val="22"/>
          <w:szCs w:val="22"/>
        </w:rPr>
      </w:pPr>
      <w:r>
        <w:rPr>
          <w:sz w:val="22"/>
          <w:szCs w:val="22"/>
        </w:rPr>
        <w:t>O termo de extinção, sempre que possível, será precedido:</w:t>
      </w:r>
    </w:p>
    <w:p>
      <w:pPr>
        <w:pStyle w:val="normal1"/>
        <w:numPr>
          <w:ilvl w:val="2"/>
          <w:numId w:val="6"/>
        </w:numPr>
        <w:spacing w:lineRule="auto" w:line="360"/>
        <w:ind w:firstLine="527" w:start="567"/>
        <w:jc w:val="both"/>
        <w:rPr>
          <w:sz w:val="22"/>
          <w:szCs w:val="22"/>
        </w:rPr>
      </w:pPr>
      <w:r>
        <w:rPr>
          <w:sz w:val="22"/>
          <w:szCs w:val="22"/>
        </w:rPr>
        <w:t>Balanço dos eventos contratuais já cumpridos ou parcialmente cumpridos;</w:t>
      </w:r>
    </w:p>
    <w:p>
      <w:pPr>
        <w:pStyle w:val="normal1"/>
        <w:numPr>
          <w:ilvl w:val="2"/>
          <w:numId w:val="6"/>
        </w:numPr>
        <w:spacing w:lineRule="auto" w:line="360"/>
        <w:ind w:firstLine="527" w:start="567"/>
        <w:jc w:val="both"/>
        <w:rPr>
          <w:sz w:val="22"/>
          <w:szCs w:val="22"/>
        </w:rPr>
      </w:pPr>
      <w:r>
        <w:rPr>
          <w:sz w:val="22"/>
          <w:szCs w:val="22"/>
        </w:rPr>
        <w:t>Relação dos pagamentos já efetuados e ainda devidos;</w:t>
      </w:r>
    </w:p>
    <w:p>
      <w:pPr>
        <w:pStyle w:val="normal1"/>
        <w:numPr>
          <w:ilvl w:val="2"/>
          <w:numId w:val="6"/>
        </w:numPr>
        <w:spacing w:lineRule="auto" w:line="360"/>
        <w:ind w:firstLine="527" w:start="567"/>
        <w:jc w:val="both"/>
        <w:rPr>
          <w:sz w:val="22"/>
          <w:szCs w:val="22"/>
        </w:rPr>
      </w:pPr>
      <w:r>
        <w:rPr>
          <w:sz w:val="22"/>
          <w:szCs w:val="22"/>
        </w:rPr>
        <w:t>Indenizações e multas.</w:t>
      </w:r>
    </w:p>
    <w:p>
      <w:pPr>
        <w:pStyle w:val="normal1"/>
        <w:numPr>
          <w:ilvl w:val="1"/>
          <w:numId w:val="6"/>
        </w:numPr>
        <w:spacing w:lineRule="auto" w:line="360"/>
        <w:ind w:firstLine="357" w:start="283"/>
        <w:jc w:val="both"/>
        <w:rPr>
          <w:sz w:val="22"/>
          <w:szCs w:val="22"/>
        </w:rPr>
      </w:pPr>
      <w:r>
        <w:rPr>
          <w:sz w:val="22"/>
          <w:szCs w:val="22"/>
        </w:rPr>
        <w:t>A extinção do contrato não configura óbice para o reconhecimento do desequilíbrio econômico-financeiro, hipótese em que será concedida indenização por meio de termo indenizatório (Art. 131, caput, da Lei n.º 14.133/2021).</w:t>
      </w:r>
    </w:p>
    <w:p>
      <w:pPr>
        <w:pStyle w:val="normal1"/>
        <w:numPr>
          <w:ilvl w:val="1"/>
          <w:numId w:val="6"/>
        </w:numPr>
        <w:spacing w:lineRule="auto" w:line="360"/>
        <w:ind w:firstLine="357" w:start="283"/>
        <w:jc w:val="both"/>
        <w:rPr>
          <w:sz w:val="22"/>
          <w:szCs w:val="22"/>
        </w:rPr>
      </w:pPr>
      <w:r>
        <w:rPr>
          <w:sz w:val="22"/>
          <w:szCs w:val="22"/>
        </w:rPr>
        <w:t xml:space="preserve">O contrato poderá ser extinto caso se constate que o </w:t>
      </w:r>
      <w:r>
        <w:rPr>
          <w:b/>
          <w:bCs/>
          <w:sz w:val="22"/>
          <w:szCs w:val="22"/>
        </w:rPr>
        <w:t>CONTRATADO</w:t>
      </w:r>
      <w:r>
        <w:rPr>
          <w:sz w:val="22"/>
          <w:szCs w:val="22"/>
        </w:rPr>
        <w:t xml:space="preserve"> mantém vínculo de natureza técnica, comercial, econômica, financeira, trabalhista ou civil com dirigente do órgão ou entidade </w:t>
      </w:r>
      <w:r>
        <w:rPr>
          <w:b/>
          <w:bCs/>
          <w:sz w:val="22"/>
          <w:szCs w:val="22"/>
        </w:rPr>
        <w:t>CONTRATANTE</w:t>
      </w:r>
      <w:r>
        <w:rPr>
          <w:sz w:val="22"/>
          <w:szCs w:val="22"/>
        </w:rPr>
        <w:t xml:space="preserve"> ou com agente público que tenha desempenhado função na licitação ou atue na fiscalização ou na gestão do contrato, ou que deles seja cônjuge, companheiro ou parente em linha reta, colateral ou por afinidade, até o terceiro grau (Art. 14, IV, da Lei n.º 14.133/2021).</w:t>
      </w:r>
    </w:p>
    <w:p>
      <w:pPr>
        <w:pStyle w:val="normal1"/>
        <w:keepNext w:val="true"/>
        <w:keepLines/>
        <w:numPr>
          <w:ilvl w:val="0"/>
          <w:numId w:val="6"/>
        </w:numPr>
        <w:tabs>
          <w:tab w:val="clear" w:pos="720"/>
          <w:tab w:val="left" w:pos="0" w:leader="none"/>
          <w:tab w:val="left" w:pos="567" w:leader="none"/>
        </w:tabs>
        <w:spacing w:lineRule="auto" w:line="360" w:before="200" w:after="200"/>
        <w:ind w:hanging="0" w:start="720"/>
        <w:jc w:val="both"/>
        <w:rPr>
          <w:b/>
          <w:bCs/>
          <w:color w:val="FFFFFF"/>
          <w:sz w:val="22"/>
          <w:szCs w:val="22"/>
        </w:rPr>
      </w:pPr>
      <w:r>
        <w:rPr>
          <w:b/>
          <w:bCs/>
          <w:sz w:val="22"/>
          <w:szCs w:val="22"/>
        </w:rPr>
        <w:t>CLÁUSULA DÉCIMA SÉTIMA – LEGISLAÇÃO APLICÁVEL</w:t>
      </w:r>
    </w:p>
    <w:p>
      <w:pPr>
        <w:pStyle w:val="normal1"/>
        <w:numPr>
          <w:ilvl w:val="1"/>
          <w:numId w:val="6"/>
        </w:numPr>
        <w:spacing w:lineRule="auto" w:line="360"/>
        <w:ind w:firstLine="357" w:start="283"/>
        <w:jc w:val="both"/>
        <w:rPr>
          <w:sz w:val="22"/>
          <w:szCs w:val="22"/>
        </w:rPr>
      </w:pPr>
      <w:r>
        <w:rPr>
          <w:sz w:val="22"/>
          <w:szCs w:val="22"/>
        </w:rPr>
        <w:t>Nos termos do previsto no artigo 92, III, da Lei n.º 14.133/2021, aplica-se ao presente contrato a presente legislação:</w:t>
      </w:r>
    </w:p>
    <w:p>
      <w:pPr>
        <w:pStyle w:val="normal1"/>
        <w:numPr>
          <w:ilvl w:val="1"/>
          <w:numId w:val="18"/>
        </w:numPr>
        <w:spacing w:lineRule="auto" w:line="360"/>
        <w:ind w:firstLine="527" w:start="567"/>
        <w:jc w:val="both"/>
        <w:rPr>
          <w:sz w:val="22"/>
          <w:szCs w:val="22"/>
        </w:rPr>
      </w:pPr>
      <w:r>
        <w:rPr>
          <w:sz w:val="22"/>
          <w:szCs w:val="22"/>
        </w:rPr>
        <w:t>Lei n.º 14.133/2021;</w:t>
      </w:r>
    </w:p>
    <w:p>
      <w:pPr>
        <w:pStyle w:val="normal1"/>
        <w:numPr>
          <w:ilvl w:val="1"/>
          <w:numId w:val="18"/>
        </w:numPr>
        <w:spacing w:lineRule="auto" w:line="360"/>
        <w:ind w:firstLine="527" w:start="567"/>
        <w:jc w:val="both"/>
        <w:rPr>
          <w:sz w:val="22"/>
          <w:szCs w:val="22"/>
        </w:rPr>
      </w:pPr>
      <w:r>
        <w:rPr>
          <w:sz w:val="22"/>
          <w:szCs w:val="22"/>
        </w:rPr>
        <w:t>Lei Complementar n.º 123/2006;</w:t>
      </w:r>
    </w:p>
    <w:p>
      <w:pPr>
        <w:pStyle w:val="normal1"/>
        <w:numPr>
          <w:ilvl w:val="1"/>
          <w:numId w:val="18"/>
        </w:numPr>
        <w:spacing w:lineRule="auto" w:line="360"/>
        <w:ind w:firstLine="527" w:start="567"/>
        <w:jc w:val="both"/>
        <w:rPr>
          <w:sz w:val="22"/>
          <w:szCs w:val="22"/>
        </w:rPr>
      </w:pPr>
      <w:r>
        <w:rPr>
          <w:sz w:val="22"/>
          <w:szCs w:val="22"/>
        </w:rPr>
        <w:t>Lei n.º 13.709/2018 (LGPD);</w:t>
      </w:r>
    </w:p>
    <w:p>
      <w:pPr>
        <w:pStyle w:val="normal1"/>
        <w:numPr>
          <w:ilvl w:val="1"/>
          <w:numId w:val="18"/>
        </w:numPr>
        <w:spacing w:lineRule="auto" w:line="360"/>
        <w:ind w:firstLine="527" w:start="567"/>
        <w:jc w:val="both"/>
        <w:rPr>
          <w:sz w:val="22"/>
          <w:szCs w:val="22"/>
        </w:rPr>
      </w:pPr>
      <w:r>
        <w:rPr>
          <w:sz w:val="22"/>
          <w:szCs w:val="22"/>
        </w:rPr>
        <w:t>Código de Defesa do Consumidor;</w:t>
      </w:r>
    </w:p>
    <w:p>
      <w:pPr>
        <w:pStyle w:val="normal1"/>
        <w:numPr>
          <w:ilvl w:val="1"/>
          <w:numId w:val="18"/>
        </w:numPr>
        <w:spacing w:lineRule="auto" w:line="360"/>
        <w:ind w:firstLine="527" w:start="567"/>
        <w:jc w:val="both"/>
        <w:rPr>
          <w:sz w:val="22"/>
          <w:szCs w:val="22"/>
        </w:rPr>
      </w:pPr>
      <w:r>
        <w:rPr>
          <w:sz w:val="22"/>
          <w:szCs w:val="22"/>
        </w:rPr>
        <w:t>Código Civil;</w:t>
      </w:r>
    </w:p>
    <w:p>
      <w:pPr>
        <w:pStyle w:val="normal1"/>
        <w:numPr>
          <w:ilvl w:val="1"/>
          <w:numId w:val="18"/>
        </w:numPr>
        <w:spacing w:lineRule="auto" w:line="360"/>
        <w:ind w:firstLine="527" w:start="567"/>
        <w:jc w:val="both"/>
        <w:rPr>
          <w:sz w:val="22"/>
          <w:szCs w:val="22"/>
        </w:rPr>
      </w:pPr>
      <w:r>
        <w:rPr>
          <w:sz w:val="22"/>
          <w:szCs w:val="22"/>
        </w:rPr>
        <w:t>Código Penal;</w:t>
      </w:r>
    </w:p>
    <w:p>
      <w:pPr>
        <w:pStyle w:val="normal1"/>
        <w:numPr>
          <w:ilvl w:val="1"/>
          <w:numId w:val="18"/>
        </w:numPr>
        <w:spacing w:lineRule="auto" w:line="360"/>
        <w:ind w:firstLine="527" w:start="567"/>
        <w:jc w:val="both"/>
        <w:rPr>
          <w:sz w:val="22"/>
          <w:szCs w:val="22"/>
        </w:rPr>
      </w:pPr>
      <w:r>
        <w:rPr>
          <w:sz w:val="22"/>
          <w:szCs w:val="22"/>
        </w:rPr>
        <w:t>Código Processo Civil;</w:t>
      </w:r>
    </w:p>
    <w:p>
      <w:pPr>
        <w:pStyle w:val="normal1"/>
        <w:numPr>
          <w:ilvl w:val="1"/>
          <w:numId w:val="18"/>
        </w:numPr>
        <w:spacing w:lineRule="auto" w:line="360"/>
        <w:ind w:firstLine="527" w:start="567"/>
        <w:jc w:val="both"/>
        <w:rPr>
          <w:sz w:val="22"/>
          <w:szCs w:val="22"/>
        </w:rPr>
      </w:pPr>
      <w:r>
        <w:rPr>
          <w:sz w:val="22"/>
          <w:szCs w:val="22"/>
        </w:rPr>
        <w:t>Código Processo Penal;</w:t>
      </w:r>
    </w:p>
    <w:p>
      <w:pPr>
        <w:pStyle w:val="normal1"/>
        <w:numPr>
          <w:ilvl w:val="1"/>
          <w:numId w:val="18"/>
        </w:numPr>
        <w:spacing w:lineRule="auto" w:line="360"/>
        <w:ind w:firstLine="527" w:start="567"/>
        <w:jc w:val="both"/>
        <w:rPr>
          <w:sz w:val="22"/>
          <w:szCs w:val="22"/>
        </w:rPr>
      </w:pPr>
      <w:r>
        <w:rPr>
          <w:sz w:val="22"/>
          <w:szCs w:val="22"/>
        </w:rPr>
        <w:t>Legislação trabalhista e previdenciária;</w:t>
      </w:r>
    </w:p>
    <w:p>
      <w:pPr>
        <w:pStyle w:val="normal1"/>
        <w:numPr>
          <w:ilvl w:val="1"/>
          <w:numId w:val="18"/>
        </w:numPr>
        <w:spacing w:lineRule="auto" w:line="360"/>
        <w:ind w:firstLine="527" w:start="567"/>
        <w:jc w:val="both"/>
        <w:rPr>
          <w:sz w:val="22"/>
          <w:szCs w:val="22"/>
        </w:rPr>
      </w:pPr>
      <w:r>
        <w:rPr>
          <w:sz w:val="22"/>
          <w:szCs w:val="22"/>
        </w:rPr>
        <w:t xml:space="preserve">Estatuto da Criança e do Adolescente; </w:t>
      </w:r>
    </w:p>
    <w:p>
      <w:pPr>
        <w:pStyle w:val="normal1"/>
        <w:numPr>
          <w:ilvl w:val="1"/>
          <w:numId w:val="18"/>
        </w:numPr>
        <w:spacing w:lineRule="auto" w:line="360"/>
        <w:ind w:firstLine="527" w:start="567"/>
        <w:jc w:val="both"/>
        <w:rPr>
          <w:sz w:val="22"/>
          <w:szCs w:val="22"/>
        </w:rPr>
      </w:pPr>
      <w:r>
        <w:rPr>
          <w:sz w:val="22"/>
          <w:szCs w:val="22"/>
        </w:rPr>
        <w:t>Lei Federal n.º 12.846/2013; e</w:t>
      </w:r>
    </w:p>
    <w:p>
      <w:pPr>
        <w:pStyle w:val="normal1"/>
        <w:numPr>
          <w:ilvl w:val="1"/>
          <w:numId w:val="18"/>
        </w:numPr>
        <w:spacing w:lineRule="auto" w:line="360"/>
        <w:ind w:firstLine="527" w:start="567"/>
        <w:jc w:val="both"/>
        <w:rPr>
          <w:sz w:val="22"/>
          <w:szCs w:val="22"/>
        </w:rPr>
      </w:pPr>
      <w:r>
        <w:rPr>
          <w:sz w:val="22"/>
          <w:szCs w:val="22"/>
        </w:rPr>
        <w:t>Demais normas aplicáveis.</w:t>
      </w:r>
    </w:p>
    <w:p>
      <w:pPr>
        <w:pStyle w:val="normal1"/>
        <w:keepNext w:val="true"/>
        <w:keepLines/>
        <w:numPr>
          <w:ilvl w:val="0"/>
          <w:numId w:val="6"/>
        </w:numPr>
        <w:tabs>
          <w:tab w:val="clear" w:pos="720"/>
          <w:tab w:val="left" w:pos="0" w:leader="none"/>
          <w:tab w:val="left" w:pos="567" w:leader="none"/>
        </w:tabs>
        <w:spacing w:lineRule="auto" w:line="360" w:before="200" w:after="200"/>
        <w:ind w:hanging="0" w:start="720"/>
        <w:jc w:val="both"/>
        <w:rPr>
          <w:b/>
          <w:bCs/>
          <w:color w:val="FFFFFF"/>
          <w:sz w:val="22"/>
          <w:szCs w:val="22"/>
        </w:rPr>
      </w:pPr>
      <w:r>
        <w:rPr>
          <w:b/>
          <w:bCs/>
          <w:sz w:val="22"/>
          <w:szCs w:val="22"/>
        </w:rPr>
        <w:t>CLÁUSULA DÉCIMA OITAVA – DOS CASOS OMISSOS (Art. 92, III, da Lei n.º 14.133/2021)</w:t>
      </w:r>
    </w:p>
    <w:p>
      <w:pPr>
        <w:pStyle w:val="normal1"/>
        <w:numPr>
          <w:ilvl w:val="1"/>
          <w:numId w:val="6"/>
        </w:numPr>
        <w:spacing w:lineRule="auto" w:line="360"/>
        <w:ind w:firstLine="357" w:start="283"/>
        <w:jc w:val="both"/>
        <w:rPr>
          <w:sz w:val="22"/>
          <w:szCs w:val="22"/>
        </w:rPr>
      </w:pPr>
      <w:r>
        <w:rPr>
          <w:sz w:val="22"/>
          <w:szCs w:val="22"/>
        </w:rPr>
        <w:t xml:space="preserve">Os casos omissos serão decididos pelo </w:t>
      </w:r>
      <w:r>
        <w:rPr>
          <w:b/>
          <w:bCs/>
          <w:sz w:val="22"/>
          <w:szCs w:val="22"/>
        </w:rPr>
        <w:t>CONTRATANTE</w:t>
      </w:r>
      <w:r>
        <w:rPr>
          <w:sz w:val="22"/>
          <w:szCs w:val="22"/>
        </w:rPr>
        <w:t>, segundo as disposições contidas na Lei n.º 14.133/2021, e demais normas federais e municipais aplicáveis e, subsidiariamente, segundo as disposições contidas na Lei n.º 8.078, de 1990 – Código de Defesa do Consumidor – e normas e princípios gerais dos contratos.</w:t>
      </w:r>
    </w:p>
    <w:p>
      <w:pPr>
        <w:pStyle w:val="normal1"/>
        <w:keepNext w:val="true"/>
        <w:keepLines/>
        <w:numPr>
          <w:ilvl w:val="0"/>
          <w:numId w:val="6"/>
        </w:numPr>
        <w:tabs>
          <w:tab w:val="clear" w:pos="720"/>
          <w:tab w:val="left" w:pos="0" w:leader="none"/>
          <w:tab w:val="left" w:pos="567" w:leader="none"/>
        </w:tabs>
        <w:spacing w:lineRule="auto" w:line="360" w:before="200" w:after="200"/>
        <w:ind w:hanging="0" w:start="720"/>
        <w:jc w:val="both"/>
        <w:rPr>
          <w:b/>
          <w:bCs/>
          <w:color w:val="FFFFFF"/>
          <w:sz w:val="22"/>
          <w:szCs w:val="22"/>
        </w:rPr>
      </w:pPr>
      <w:r>
        <w:rPr>
          <w:b/>
          <w:bCs/>
          <w:sz w:val="22"/>
          <w:szCs w:val="22"/>
        </w:rPr>
        <w:t>CLÁUSULA DÉCIMA NONA – PUBLICAÇÃO</w:t>
      </w:r>
    </w:p>
    <w:p>
      <w:pPr>
        <w:pStyle w:val="normal1"/>
        <w:numPr>
          <w:ilvl w:val="1"/>
          <w:numId w:val="6"/>
        </w:numPr>
        <w:spacing w:lineRule="auto" w:line="360"/>
        <w:ind w:firstLine="357" w:start="283"/>
        <w:jc w:val="both"/>
        <w:rPr>
          <w:sz w:val="22"/>
          <w:szCs w:val="22"/>
        </w:rPr>
      </w:pPr>
      <w:r>
        <w:rPr>
          <w:sz w:val="22"/>
          <w:szCs w:val="22"/>
        </w:rPr>
        <w:t xml:space="preserve">Incumbirá ao </w:t>
      </w:r>
      <w:r>
        <w:rPr>
          <w:b/>
          <w:bCs/>
          <w:sz w:val="22"/>
          <w:szCs w:val="22"/>
        </w:rPr>
        <w:t>CONTRATANTE</w:t>
      </w:r>
      <w:r>
        <w:rPr>
          <w:sz w:val="22"/>
          <w:szCs w:val="22"/>
        </w:rPr>
        <w:t xml:space="preserve"> divulgar o presente instrumento no Portal Nacional de Contratações Públicas (PNCP), na forma prevista no art. 94 da Lei n.º 14.133/2021, bem como no respectivo sítio oficial na Internet, em atenção ao art. 91, caput da Lei n.º 14.133/2021.</w:t>
      </w:r>
    </w:p>
    <w:p>
      <w:pPr>
        <w:pStyle w:val="normal1"/>
        <w:keepNext w:val="true"/>
        <w:keepLines/>
        <w:numPr>
          <w:ilvl w:val="0"/>
          <w:numId w:val="6"/>
        </w:numPr>
        <w:tabs>
          <w:tab w:val="clear" w:pos="720"/>
          <w:tab w:val="left" w:pos="0" w:leader="none"/>
          <w:tab w:val="left" w:pos="567" w:leader="none"/>
        </w:tabs>
        <w:spacing w:lineRule="auto" w:line="360" w:before="200" w:after="200"/>
        <w:ind w:hanging="0" w:start="720"/>
        <w:jc w:val="both"/>
        <w:rPr>
          <w:b/>
          <w:bCs/>
          <w:color w:val="FFFFFF"/>
          <w:sz w:val="22"/>
          <w:szCs w:val="22"/>
        </w:rPr>
      </w:pPr>
      <w:r>
        <w:rPr>
          <w:b/>
          <w:bCs/>
          <w:sz w:val="22"/>
          <w:szCs w:val="22"/>
        </w:rPr>
        <w:t>CLÁUSULA VIGÉSIMA – FORO (Art. 92, §1º, da Lei n.º 14.133/2021)</w:t>
      </w:r>
    </w:p>
    <w:p>
      <w:pPr>
        <w:pStyle w:val="normal1"/>
        <w:numPr>
          <w:ilvl w:val="1"/>
          <w:numId w:val="6"/>
        </w:numPr>
        <w:spacing w:lineRule="auto" w:line="360"/>
        <w:ind w:firstLine="357" w:start="283"/>
        <w:jc w:val="both"/>
        <w:rPr>
          <w:sz w:val="22"/>
          <w:szCs w:val="22"/>
        </w:rPr>
      </w:pPr>
      <w:r>
        <w:rPr>
          <w:sz w:val="22"/>
          <w:szCs w:val="22"/>
        </w:rPr>
        <w:t>Fica eleito o Foro da Capital, para dirimir os litígios que decorrerem da execução deste Termo de Contrato que não puderem ser compostos pela conciliação, conforme art. 92, §1º, da Lei n.º 14.133/2021.</w:t>
      </w:r>
    </w:p>
    <w:p>
      <w:pPr>
        <w:pStyle w:val="normal1"/>
        <w:spacing w:lineRule="auto" w:line="360"/>
        <w:ind w:hanging="0" w:start="-567"/>
        <w:jc w:val="end"/>
        <w:rPr>
          <w:sz w:val="22"/>
          <w:szCs w:val="22"/>
        </w:rPr>
      </w:pPr>
      <w:r>
        <w:rPr>
          <w:sz w:val="22"/>
          <w:szCs w:val="22"/>
        </w:rPr>
        <w:t>[Local], [dia] de [mês] de [ano].</w:t>
      </w:r>
    </w:p>
    <w:p>
      <w:pPr>
        <w:pStyle w:val="normal1"/>
        <w:spacing w:lineRule="auto" w:line="360"/>
        <w:ind w:hanging="0" w:start="-567"/>
        <w:jc w:val="end"/>
        <w:rPr>
          <w:sz w:val="22"/>
          <w:szCs w:val="22"/>
        </w:rPr>
      </w:pPr>
      <w:r>
        <w:rPr>
          <w:sz w:val="22"/>
          <w:szCs w:val="22"/>
        </w:rPr>
      </w:r>
    </w:p>
    <w:p>
      <w:pPr>
        <w:pStyle w:val="normal1"/>
        <w:spacing w:lineRule="auto" w:line="360"/>
        <w:ind w:hanging="0"/>
        <w:jc w:val="both"/>
        <w:rPr>
          <w:sz w:val="22"/>
          <w:szCs w:val="22"/>
        </w:rPr>
      </w:pPr>
      <w:r>
        <w:rPr>
          <w:sz w:val="22"/>
          <w:szCs w:val="22"/>
        </w:rPr>
        <w:t>_________________________</w:t>
      </w:r>
    </w:p>
    <w:p>
      <w:pPr>
        <w:pStyle w:val="normal1"/>
        <w:spacing w:lineRule="auto" w:line="360"/>
        <w:ind w:hanging="0"/>
        <w:jc w:val="both"/>
        <w:rPr>
          <w:sz w:val="22"/>
          <w:szCs w:val="22"/>
        </w:rPr>
      </w:pPr>
      <w:r>
        <w:rPr>
          <w:sz w:val="22"/>
          <w:szCs w:val="22"/>
        </w:rPr>
        <w:t>Representante legal do CONTRATANTE</w:t>
      </w:r>
    </w:p>
    <w:p>
      <w:pPr>
        <w:pStyle w:val="normal1"/>
        <w:spacing w:lineRule="auto" w:line="360"/>
        <w:ind w:hanging="0"/>
        <w:jc w:val="both"/>
        <w:rPr>
          <w:sz w:val="22"/>
          <w:szCs w:val="22"/>
        </w:rPr>
      </w:pPr>
      <w:r>
        <w:rPr>
          <w:sz w:val="22"/>
          <w:szCs w:val="22"/>
        </w:rPr>
      </w:r>
    </w:p>
    <w:p>
      <w:pPr>
        <w:pStyle w:val="normal1"/>
        <w:spacing w:lineRule="auto" w:line="360"/>
        <w:ind w:hanging="0"/>
        <w:jc w:val="both"/>
        <w:rPr>
          <w:sz w:val="22"/>
          <w:szCs w:val="22"/>
        </w:rPr>
      </w:pPr>
      <w:r>
        <w:rPr>
          <w:sz w:val="22"/>
          <w:szCs w:val="22"/>
        </w:rPr>
        <w:t>_________________________</w:t>
      </w:r>
    </w:p>
    <w:p>
      <w:pPr>
        <w:pStyle w:val="normal1"/>
        <w:spacing w:lineRule="auto" w:line="360"/>
        <w:ind w:hanging="0"/>
        <w:jc w:val="both"/>
        <w:rPr>
          <w:sz w:val="22"/>
          <w:szCs w:val="22"/>
        </w:rPr>
      </w:pPr>
      <w:r>
        <w:rPr>
          <w:sz w:val="22"/>
          <w:szCs w:val="22"/>
        </w:rPr>
        <w:t>Representante legal do CONTRATADO</w:t>
      </w:r>
    </w:p>
    <w:p>
      <w:pPr>
        <w:pStyle w:val="normal1"/>
        <w:spacing w:lineRule="auto" w:line="360"/>
        <w:ind w:hanging="0"/>
        <w:jc w:val="both"/>
        <w:rPr>
          <w:sz w:val="22"/>
          <w:szCs w:val="22"/>
        </w:rPr>
      </w:pPr>
      <w:r>
        <w:rPr>
          <w:sz w:val="22"/>
          <w:szCs w:val="22"/>
        </w:rPr>
      </w:r>
    </w:p>
    <w:p>
      <w:pPr>
        <w:pStyle w:val="normal1"/>
        <w:spacing w:lineRule="auto" w:line="360"/>
        <w:ind w:hanging="0"/>
        <w:jc w:val="both"/>
        <w:rPr>
          <w:sz w:val="22"/>
          <w:szCs w:val="22"/>
        </w:rPr>
      </w:pPr>
      <w:r>
        <w:rPr>
          <w:sz w:val="22"/>
          <w:szCs w:val="22"/>
        </w:rPr>
        <w:t>TESTEMUNHAS:</w:t>
      </w:r>
    </w:p>
    <w:p>
      <w:pPr>
        <w:pStyle w:val="normal1"/>
        <w:spacing w:lineRule="auto" w:line="360"/>
        <w:ind w:hanging="0"/>
        <w:jc w:val="both"/>
        <w:rPr>
          <w:sz w:val="22"/>
          <w:szCs w:val="22"/>
        </w:rPr>
      </w:pPr>
      <w:r>
        <w:rPr>
          <w:sz w:val="22"/>
          <w:szCs w:val="22"/>
        </w:rPr>
        <w:t>1-</w:t>
      </w:r>
    </w:p>
    <w:p>
      <w:pPr>
        <w:pStyle w:val="normal1"/>
        <w:spacing w:lineRule="auto" w:line="360"/>
        <w:ind w:hanging="0"/>
        <w:jc w:val="both"/>
        <w:rPr>
          <w:b/>
          <w:bCs/>
          <w:sz w:val="22"/>
          <w:szCs w:val="22"/>
        </w:rPr>
      </w:pPr>
      <w:r>
        <w:rPr>
          <w:sz w:val="22"/>
          <w:szCs w:val="22"/>
        </w:rPr>
        <w:t xml:space="preserve">2- </w:t>
      </w:r>
    </w:p>
    <w:p>
      <w:pPr>
        <w:pStyle w:val="normal1"/>
        <w:spacing w:lineRule="auto" w:line="360" w:before="288" w:after="288"/>
        <w:ind w:hanging="0"/>
        <w:jc w:val="both"/>
        <w:rPr>
          <w:sz w:val="22"/>
          <w:szCs w:val="22"/>
        </w:rPr>
      </w:pPr>
      <w:r>
        <w:rPr>
          <w:sz w:val="22"/>
          <w:szCs w:val="22"/>
        </w:rPr>
      </w:r>
    </w:p>
    <w:p>
      <w:pPr>
        <w:pStyle w:val="normal1"/>
        <w:spacing w:lineRule="auto" w:line="360" w:before="288" w:after="288"/>
        <w:ind w:hanging="0"/>
        <w:jc w:val="center"/>
        <w:rPr>
          <w:sz w:val="22"/>
          <w:szCs w:val="22"/>
        </w:rPr>
      </w:pPr>
      <w:r>
        <w:rPr>
          <w:sz w:val="22"/>
          <w:szCs w:val="22"/>
        </w:rPr>
      </w:r>
    </w:p>
    <w:p>
      <w:pPr>
        <w:pStyle w:val="normal1"/>
        <w:spacing w:lineRule="auto" w:line="360" w:before="288" w:after="288"/>
        <w:ind w:hanging="0"/>
        <w:jc w:val="center"/>
        <w:rPr>
          <w:sz w:val="22"/>
          <w:szCs w:val="22"/>
        </w:rPr>
      </w:pPr>
      <w:r>
        <w:rPr>
          <w:sz w:val="22"/>
          <w:szCs w:val="22"/>
        </w:rPr>
      </w:r>
    </w:p>
    <w:p>
      <w:pPr>
        <w:pStyle w:val="normal1"/>
        <w:spacing w:lineRule="auto" w:line="360" w:before="288" w:after="288"/>
        <w:ind w:hanging="0"/>
        <w:jc w:val="center"/>
        <w:rPr>
          <w:sz w:val="22"/>
          <w:szCs w:val="22"/>
        </w:rPr>
      </w:pPr>
      <w:r>
        <w:rPr>
          <w:sz w:val="22"/>
          <w:szCs w:val="22"/>
        </w:rPr>
      </w:r>
    </w:p>
    <w:p>
      <w:pPr>
        <w:pStyle w:val="normal1"/>
        <w:spacing w:lineRule="auto" w:line="360" w:before="288" w:after="288"/>
        <w:ind w:hanging="0"/>
        <w:jc w:val="center"/>
        <w:rPr>
          <w:sz w:val="22"/>
          <w:szCs w:val="22"/>
        </w:rPr>
      </w:pPr>
      <w:r>
        <w:rPr>
          <w:sz w:val="22"/>
          <w:szCs w:val="22"/>
        </w:rPr>
      </w:r>
    </w:p>
    <w:p>
      <w:pPr>
        <w:pStyle w:val="normal1"/>
        <w:spacing w:lineRule="auto" w:line="360" w:before="288" w:after="288"/>
        <w:ind w:hanging="0"/>
        <w:jc w:val="center"/>
        <w:rPr>
          <w:sz w:val="22"/>
          <w:szCs w:val="22"/>
        </w:rPr>
      </w:pPr>
      <w:r>
        <w:rPr>
          <w:sz w:val="22"/>
          <w:szCs w:val="22"/>
        </w:rPr>
      </w:r>
    </w:p>
    <w:p>
      <w:pPr>
        <w:pStyle w:val="normal1"/>
        <w:spacing w:lineRule="auto" w:line="360" w:before="288" w:after="288"/>
        <w:ind w:hanging="0"/>
        <w:jc w:val="center"/>
        <w:rPr>
          <w:sz w:val="22"/>
          <w:szCs w:val="22"/>
        </w:rPr>
      </w:pPr>
      <w:r>
        <w:rPr>
          <w:sz w:val="22"/>
          <w:szCs w:val="22"/>
        </w:rPr>
      </w:r>
    </w:p>
    <w:p>
      <w:pPr>
        <w:pStyle w:val="normal1"/>
        <w:spacing w:lineRule="auto" w:line="360" w:before="288" w:after="288"/>
        <w:ind w:hanging="0"/>
        <w:jc w:val="start"/>
        <w:rPr/>
      </w:pPr>
      <w:r>
        <w:rPr/>
      </w:r>
    </w:p>
    <w:p>
      <w:pPr>
        <w:pStyle w:val="normal1"/>
        <w:spacing w:lineRule="auto" w:line="360" w:before="288" w:after="288"/>
        <w:ind w:hanging="0"/>
        <w:jc w:val="start"/>
        <w:rPr/>
      </w:pPr>
      <w:r>
        <w:rPr/>
      </w:r>
    </w:p>
    <w:p>
      <w:pPr>
        <w:pStyle w:val="normal1"/>
        <w:spacing w:lineRule="auto" w:line="360" w:before="288" w:after="288"/>
        <w:ind w:hanging="0"/>
        <w:jc w:val="start"/>
        <w:rPr/>
      </w:pPr>
      <w:r>
        <w:rPr/>
      </w:r>
    </w:p>
    <w:p>
      <w:pPr>
        <w:pStyle w:val="normal1"/>
        <w:spacing w:lineRule="auto" w:line="360" w:before="288" w:after="288"/>
        <w:ind w:hanging="0"/>
        <w:jc w:val="start"/>
        <w:rPr/>
      </w:pPr>
      <w:r>
        <w:rPr/>
      </w:r>
    </w:p>
    <w:p>
      <w:pPr>
        <w:pStyle w:val="normal1"/>
        <w:spacing w:lineRule="auto" w:line="360" w:before="288" w:after="288"/>
        <w:ind w:hanging="0"/>
        <w:jc w:val="start"/>
        <w:rPr/>
      </w:pPr>
      <w:r>
        <w:rPr/>
      </w:r>
    </w:p>
    <w:p>
      <w:pPr>
        <w:pStyle w:val="normal1"/>
        <w:spacing w:lineRule="auto" w:line="360" w:before="288" w:after="288"/>
        <w:ind w:hanging="0"/>
        <w:jc w:val="start"/>
        <w:rPr/>
      </w:pPr>
      <w:r>
        <w:rPr/>
      </w:r>
    </w:p>
    <w:p>
      <w:pPr>
        <w:pStyle w:val="normal1"/>
        <w:spacing w:lineRule="auto" w:line="360" w:before="288" w:after="288"/>
        <w:ind w:hanging="0"/>
        <w:jc w:val="center"/>
        <w:rPr>
          <w:sz w:val="22"/>
          <w:szCs w:val="22"/>
        </w:rPr>
      </w:pPr>
      <w:r>
        <w:rPr>
          <w:sz w:val="22"/>
          <w:szCs w:val="22"/>
        </w:rPr>
      </w:r>
    </w:p>
    <w:p>
      <w:pPr>
        <w:pStyle w:val="normal1"/>
        <w:spacing w:lineRule="auto" w:line="360" w:before="288" w:after="288"/>
        <w:ind w:hanging="0"/>
        <w:jc w:val="center"/>
        <w:rPr>
          <w:sz w:val="22"/>
          <w:szCs w:val="22"/>
        </w:rPr>
      </w:pPr>
      <w:r>
        <w:rPr>
          <w:sz w:val="22"/>
          <w:szCs w:val="22"/>
        </w:rPr>
      </w:r>
    </w:p>
    <w:p>
      <w:pPr>
        <w:pStyle w:val="normal1"/>
        <w:spacing w:lineRule="auto" w:line="360" w:before="288" w:after="288"/>
        <w:ind w:hanging="0"/>
        <w:jc w:val="center"/>
        <w:rPr>
          <w:sz w:val="22"/>
          <w:szCs w:val="22"/>
        </w:rPr>
      </w:pPr>
      <w:r>
        <w:rPr>
          <w:sz w:val="22"/>
          <w:szCs w:val="22"/>
        </w:rPr>
      </w:r>
    </w:p>
    <w:p>
      <w:pPr>
        <w:pStyle w:val="normal1"/>
        <w:ind w:hanging="0"/>
        <w:jc w:val="center"/>
        <w:rPr/>
      </w:pPr>
      <w:r>
        <w:rPr>
          <w:b/>
          <w:bCs/>
        </w:rPr>
        <w:t>ANEXO III</w:t>
      </w:r>
    </w:p>
    <w:p>
      <w:pPr>
        <w:pStyle w:val="normal1"/>
        <w:widowControl w:val="false"/>
        <w:ind w:hanging="0"/>
        <w:jc w:val="center"/>
        <w:rPr/>
      </w:pPr>
      <w:r>
        <w:rPr>
          <w:b/>
          <w:bCs/>
        </w:rPr>
        <w:t xml:space="preserve">PREGÃO ELETRÔNICO </w:t>
      </w:r>
      <w:r>
        <w:rPr>
          <w:b/>
          <w:bCs/>
          <w:i/>
          <w:iCs/>
        </w:rPr>
        <w:t xml:space="preserve">PARA </w:t>
      </w:r>
      <w:r>
        <w:rPr>
          <w:b/>
          <w:bCs/>
        </w:rPr>
        <w:t xml:space="preserve"> </w:t>
      </w:r>
      <w:r>
        <w:rPr>
          <w:b/>
          <w:bCs/>
          <w:i/>
          <w:iCs/>
        </w:rPr>
        <w:t>N.º 186/SMLCP/SULIC/2026</w:t>
      </w:r>
    </w:p>
    <w:p>
      <w:pPr>
        <w:pStyle w:val="normal1"/>
        <w:widowControl w:val="false"/>
        <w:ind w:hanging="0"/>
        <w:jc w:val="center"/>
        <w:rPr/>
      </w:pPr>
      <w:r>
        <w:rPr>
          <w:b/>
          <w:bCs/>
        </w:rPr>
        <w:t>Modelo de Proposta de Preços</w:t>
      </w:r>
    </w:p>
    <w:p>
      <w:pPr>
        <w:pStyle w:val="normal1"/>
        <w:widowControl w:val="false"/>
        <w:ind w:hanging="0"/>
        <w:rPr/>
      </w:pPr>
      <w:r>
        <w:rPr/>
      </w:r>
    </w:p>
    <w:p>
      <w:pPr>
        <w:pStyle w:val="normal1"/>
        <w:widowControl w:val="false"/>
        <w:ind w:hanging="0"/>
        <w:rPr/>
      </w:pPr>
      <w:r>
        <w:rPr/>
      </w:r>
    </w:p>
    <w:p>
      <w:pPr>
        <w:pStyle w:val="normal1"/>
        <w:widowControl w:val="false"/>
        <w:ind w:hanging="0"/>
        <w:rPr/>
      </w:pPr>
      <w:r>
        <w:rPr/>
        <w:t>À</w:t>
      </w:r>
    </w:p>
    <w:p>
      <w:pPr>
        <w:pStyle w:val="normal1"/>
        <w:widowControl w:val="false"/>
        <w:ind w:hanging="0"/>
        <w:jc w:val="both"/>
        <w:rPr/>
      </w:pPr>
      <w:r>
        <w:rPr/>
        <w:t>Secretaria Municipal de Licitações Contratos e Parcerias</w:t>
      </w:r>
    </w:p>
    <w:p>
      <w:pPr>
        <w:pStyle w:val="normal1"/>
        <w:widowControl w:val="false"/>
        <w:ind w:hanging="0"/>
        <w:jc w:val="both"/>
        <w:rPr/>
      </w:pPr>
      <w:r>
        <w:rPr/>
        <w:t>Subsecretaria de Licitações e Contratos</w:t>
      </w:r>
    </w:p>
    <w:p>
      <w:pPr>
        <w:pStyle w:val="normal1"/>
        <w:widowControl w:val="false"/>
        <w:ind w:hanging="0"/>
        <w:jc w:val="both"/>
        <w:rPr/>
      </w:pPr>
      <w:r>
        <w:rPr/>
      </w:r>
    </w:p>
    <w:p>
      <w:pPr>
        <w:pStyle w:val="normal1"/>
        <w:widowControl w:val="false"/>
        <w:ind w:hanging="0"/>
        <w:jc w:val="both"/>
        <w:rPr/>
      </w:pPr>
      <w:r>
        <w:rPr/>
        <w:t>Nome: _______ Endereço: ______ Cidade: ______ UF: ____ CEP: ______ CNPJ Nº: _______ Telefone/Fax: ______</w:t>
      </w:r>
    </w:p>
    <w:p>
      <w:pPr>
        <w:pStyle w:val="normal1"/>
        <w:widowControl w:val="false"/>
        <w:ind w:hanging="0"/>
        <w:jc w:val="both"/>
        <w:rPr/>
      </w:pPr>
      <w:r>
        <w:rPr/>
      </w:r>
    </w:p>
    <w:p>
      <w:pPr>
        <w:pStyle w:val="normal1"/>
        <w:widowControl w:val="false"/>
        <w:ind w:hanging="0"/>
        <w:jc w:val="both"/>
        <w:rPr/>
      </w:pPr>
      <w:r>
        <w:rPr>
          <w:b/>
          <w:bCs/>
        </w:rPr>
        <w:t xml:space="preserve">Responsável pela Assinatura da Ata: </w:t>
      </w:r>
    </w:p>
    <w:p>
      <w:pPr>
        <w:pStyle w:val="normal1"/>
        <w:widowControl w:val="false"/>
        <w:ind w:hanging="0"/>
        <w:jc w:val="both"/>
        <w:rPr/>
      </w:pPr>
      <w:r>
        <w:rPr/>
        <w:t>Nome: _____________ Cargo/Função: __________ Telefone/Fax: _______ Estado Civil: _____ RG Nº: __________</w:t>
      </w:r>
    </w:p>
    <w:p>
      <w:pPr>
        <w:pStyle w:val="normal1"/>
        <w:widowControl w:val="false"/>
        <w:ind w:hanging="0"/>
        <w:jc w:val="both"/>
        <w:rPr/>
      </w:pPr>
      <w:r>
        <w:rPr/>
      </w:r>
    </w:p>
    <w:p>
      <w:pPr>
        <w:pStyle w:val="normal1"/>
        <w:widowControl w:val="false"/>
        <w:ind w:hanging="0"/>
        <w:jc w:val="both"/>
        <w:rPr/>
      </w:pPr>
      <w:r>
        <w:rPr>
          <w:b/>
          <w:bCs/>
        </w:rPr>
        <w:t xml:space="preserve">Responsável NOMEADO pelo Licitante, para representá-lo: </w:t>
      </w:r>
    </w:p>
    <w:p>
      <w:pPr>
        <w:pStyle w:val="normal1"/>
        <w:widowControl w:val="false"/>
        <w:ind w:hanging="0"/>
        <w:jc w:val="both"/>
        <w:rPr/>
      </w:pPr>
      <w:r>
        <w:rPr/>
        <w:t>Nome: _________ Cargo/Função: _______ Telefone/Fax: ______ Estado Civil: _____ RG Nº: _______ E-mail: ____.</w:t>
      </w:r>
    </w:p>
    <w:p>
      <w:pPr>
        <w:pStyle w:val="normal1"/>
        <w:widowControl w:val="false"/>
        <w:ind w:hanging="0"/>
        <w:jc w:val="both"/>
        <w:rPr/>
      </w:pPr>
      <w:r>
        <w:rPr/>
      </w:r>
    </w:p>
    <w:p>
      <w:pPr>
        <w:pStyle w:val="normal1"/>
        <w:widowControl w:val="false"/>
        <w:ind w:hanging="0"/>
        <w:jc w:val="both"/>
        <w:rPr/>
      </w:pPr>
      <w:r>
        <w:rPr/>
        <w:t xml:space="preserve">A presente proposta tem como objeto a execução dos _____ abaixo discriminados, de acordo com as especificações constantes neste Edital. </w:t>
      </w:r>
    </w:p>
    <w:p>
      <w:pPr>
        <w:pStyle w:val="normal1"/>
        <w:widowControl w:val="false"/>
        <w:ind w:hanging="0"/>
        <w:jc w:val="both"/>
        <w:rPr>
          <w:color w:val="FF0000"/>
        </w:rPr>
      </w:pPr>
      <w:r>
        <w:rPr>
          <w:color w:val="FF0000"/>
        </w:rPr>
      </w:r>
    </w:p>
    <w:tbl>
      <w:tblPr>
        <w:tblStyle w:val="Table4"/>
        <w:tblW w:w="9639" w:type="dxa"/>
        <w:jc w:val="start"/>
        <w:tblInd w:w="0" w:type="dxa"/>
        <w:tblLayout w:type="fixed"/>
        <w:tblCellMar>
          <w:top w:w="0" w:type="dxa"/>
          <w:start w:w="108" w:type="dxa"/>
          <w:bottom w:w="0" w:type="dxa"/>
          <w:end w:w="108" w:type="dxa"/>
        </w:tblCellMar>
        <w:tblLook w:val="0000"/>
      </w:tblPr>
      <w:tblGrid>
        <w:gridCol w:w="709"/>
        <w:gridCol w:w="1133"/>
        <w:gridCol w:w="852"/>
        <w:gridCol w:w="3951"/>
        <w:gridCol w:w="1577"/>
        <w:gridCol w:w="1417"/>
      </w:tblGrid>
      <w:tr>
        <w:trPr/>
        <w:tc>
          <w:tcPr>
            <w:tcW w:w="709" w:type="dxa"/>
            <w:tcBorders>
              <w:top w:val="single" w:sz="4" w:space="0" w:color="000000"/>
              <w:start w:val="single" w:sz="4" w:space="0" w:color="000000"/>
              <w:bottom w:val="single" w:sz="4" w:space="0" w:color="000000"/>
              <w:end w:val="single" w:sz="4" w:space="0" w:color="000000"/>
            </w:tcBorders>
            <w:vAlign w:val="center"/>
          </w:tcPr>
          <w:p>
            <w:pPr>
              <w:pStyle w:val="normal1"/>
              <w:ind w:hanging="0"/>
              <w:jc w:val="center"/>
              <w:rPr/>
            </w:pPr>
            <w:r>
              <w:rPr>
                <w:b/>
                <w:bCs/>
              </w:rPr>
              <w:t>Item</w:t>
            </w:r>
          </w:p>
        </w:tc>
        <w:tc>
          <w:tcPr>
            <w:tcW w:w="1133" w:type="dxa"/>
            <w:tcBorders>
              <w:top w:val="single" w:sz="4" w:space="0" w:color="000000"/>
              <w:start w:val="single" w:sz="4" w:space="0" w:color="000000"/>
              <w:bottom w:val="single" w:sz="4" w:space="0" w:color="000000"/>
              <w:end w:val="single" w:sz="4" w:space="0" w:color="000000"/>
            </w:tcBorders>
            <w:vAlign w:val="center"/>
          </w:tcPr>
          <w:p>
            <w:pPr>
              <w:pStyle w:val="normal1"/>
              <w:ind w:hanging="0" w:end="-108"/>
              <w:jc w:val="center"/>
              <w:rPr/>
            </w:pPr>
            <w:r>
              <w:rPr>
                <w:b/>
                <w:bCs/>
              </w:rPr>
              <w:t>Qntd</w:t>
            </w:r>
          </w:p>
        </w:tc>
        <w:tc>
          <w:tcPr>
            <w:tcW w:w="852" w:type="dxa"/>
            <w:tcBorders>
              <w:top w:val="single" w:sz="4" w:space="0" w:color="000000"/>
              <w:start w:val="single" w:sz="4" w:space="0" w:color="000000"/>
              <w:bottom w:val="single" w:sz="4" w:space="0" w:color="000000"/>
              <w:end w:val="single" w:sz="4" w:space="0" w:color="000000"/>
            </w:tcBorders>
            <w:vAlign w:val="center"/>
          </w:tcPr>
          <w:p>
            <w:pPr>
              <w:pStyle w:val="normal1"/>
              <w:ind w:hanging="0"/>
              <w:jc w:val="center"/>
              <w:rPr/>
            </w:pPr>
            <w:r>
              <w:rPr>
                <w:b/>
                <w:bCs/>
              </w:rPr>
              <w:t>Unid.</w:t>
            </w:r>
          </w:p>
        </w:tc>
        <w:tc>
          <w:tcPr>
            <w:tcW w:w="3951" w:type="dxa"/>
            <w:tcBorders>
              <w:top w:val="single" w:sz="4" w:space="0" w:color="000000"/>
              <w:start w:val="single" w:sz="4" w:space="0" w:color="000000"/>
              <w:bottom w:val="single" w:sz="4" w:space="0" w:color="000000"/>
              <w:end w:val="single" w:sz="4" w:space="0" w:color="000000"/>
            </w:tcBorders>
            <w:vAlign w:val="center"/>
          </w:tcPr>
          <w:p>
            <w:pPr>
              <w:pStyle w:val="normal1"/>
              <w:ind w:hanging="0"/>
              <w:jc w:val="center"/>
              <w:rPr/>
            </w:pPr>
            <w:r>
              <w:rPr>
                <w:b/>
                <w:bCs/>
              </w:rPr>
              <w:t>Especificação</w:t>
            </w:r>
          </w:p>
        </w:tc>
        <w:tc>
          <w:tcPr>
            <w:tcW w:w="1577" w:type="dxa"/>
            <w:tcBorders>
              <w:top w:val="single" w:sz="4" w:space="0" w:color="000000"/>
              <w:start w:val="single" w:sz="4" w:space="0" w:color="000000"/>
              <w:bottom w:val="single" w:sz="4" w:space="0" w:color="000000"/>
              <w:end w:val="single" w:sz="4" w:space="0" w:color="000000"/>
            </w:tcBorders>
            <w:vAlign w:val="center"/>
          </w:tcPr>
          <w:p>
            <w:pPr>
              <w:pStyle w:val="normal1"/>
              <w:ind w:hanging="0"/>
              <w:jc w:val="center"/>
              <w:rPr/>
            </w:pPr>
            <w:r>
              <w:rPr>
                <w:b/>
                <w:bCs/>
              </w:rPr>
              <w:t>Valor unitário R$</w:t>
            </w:r>
          </w:p>
        </w:tc>
        <w:tc>
          <w:tcPr>
            <w:tcW w:w="1417" w:type="dxa"/>
            <w:tcBorders>
              <w:top w:val="single" w:sz="4" w:space="0" w:color="000000"/>
              <w:start w:val="single" w:sz="4" w:space="0" w:color="000000"/>
              <w:bottom w:val="single" w:sz="4" w:space="0" w:color="000000"/>
              <w:end w:val="single" w:sz="4" w:space="0" w:color="000000"/>
            </w:tcBorders>
            <w:vAlign w:val="center"/>
          </w:tcPr>
          <w:p>
            <w:pPr>
              <w:pStyle w:val="normal1"/>
              <w:ind w:hanging="0"/>
              <w:jc w:val="center"/>
              <w:rPr/>
            </w:pPr>
            <w:r>
              <w:rPr>
                <w:b/>
                <w:bCs/>
              </w:rPr>
              <w:t>Valor total R$</w:t>
            </w:r>
          </w:p>
        </w:tc>
      </w:tr>
      <w:tr>
        <w:trPr>
          <w:trHeight w:val="71" w:hRule="atLeast"/>
        </w:trPr>
        <w:tc>
          <w:tcPr>
            <w:tcW w:w="709" w:type="dxa"/>
            <w:tcBorders>
              <w:top w:val="single" w:sz="4" w:space="0" w:color="000000"/>
              <w:start w:val="single" w:sz="4" w:space="0" w:color="000000"/>
              <w:bottom w:val="single" w:sz="4" w:space="0" w:color="000000"/>
              <w:end w:val="single" w:sz="4" w:space="0" w:color="000000"/>
            </w:tcBorders>
            <w:shd w:fill="FFFFFF" w:val="clear"/>
            <w:vAlign w:val="center"/>
          </w:tcPr>
          <w:p>
            <w:pPr>
              <w:pStyle w:val="normal1"/>
              <w:ind w:hanging="0"/>
              <w:jc w:val="center"/>
              <w:rPr/>
            </w:pPr>
            <w:r>
              <w:rPr>
                <w:b/>
                <w:bCs/>
              </w:rPr>
              <w:t>01</w:t>
            </w:r>
          </w:p>
        </w:tc>
        <w:tc>
          <w:tcPr>
            <w:tcW w:w="1133" w:type="dxa"/>
            <w:tcBorders>
              <w:top w:val="single" w:sz="4" w:space="0" w:color="000000"/>
              <w:start w:val="single" w:sz="4" w:space="0" w:color="000000"/>
              <w:bottom w:val="single" w:sz="4" w:space="0" w:color="000000"/>
              <w:end w:val="single" w:sz="4" w:space="0" w:color="000000"/>
            </w:tcBorders>
            <w:shd w:fill="FFFFFF" w:val="clear"/>
            <w:vAlign w:val="center"/>
          </w:tcPr>
          <w:p>
            <w:pPr>
              <w:pStyle w:val="normal1"/>
              <w:ind w:hanging="0"/>
              <w:jc w:val="center"/>
              <w:rPr/>
            </w:pPr>
            <w:r>
              <w:rPr/>
              <w:t>00</w:t>
            </w:r>
          </w:p>
        </w:tc>
        <w:tc>
          <w:tcPr>
            <w:tcW w:w="852" w:type="dxa"/>
            <w:tcBorders>
              <w:top w:val="single" w:sz="4" w:space="0" w:color="000000"/>
              <w:start w:val="single" w:sz="4" w:space="0" w:color="000000"/>
              <w:bottom w:val="single" w:sz="4" w:space="0" w:color="000000"/>
              <w:end w:val="single" w:sz="4" w:space="0" w:color="000000"/>
            </w:tcBorders>
            <w:shd w:fill="FFFFFF" w:val="clear"/>
            <w:vAlign w:val="center"/>
          </w:tcPr>
          <w:p>
            <w:pPr>
              <w:pStyle w:val="normal1"/>
              <w:ind w:hanging="0"/>
              <w:jc w:val="center"/>
              <w:rPr/>
            </w:pPr>
            <w:r>
              <w:rPr/>
              <w:t>UNID.</w:t>
            </w:r>
          </w:p>
        </w:tc>
        <w:tc>
          <w:tcPr>
            <w:tcW w:w="3951" w:type="dxa"/>
            <w:tcBorders>
              <w:top w:val="single" w:sz="4" w:space="0" w:color="000000"/>
              <w:start w:val="single" w:sz="4" w:space="0" w:color="000000"/>
              <w:bottom w:val="single" w:sz="4" w:space="0" w:color="000000"/>
              <w:end w:val="single" w:sz="4" w:space="0" w:color="000000"/>
            </w:tcBorders>
            <w:shd w:fill="FFFFFF" w:val="clear"/>
          </w:tcPr>
          <w:p>
            <w:pPr>
              <w:pStyle w:val="normal1"/>
              <w:ind w:hanging="0"/>
              <w:jc w:val="both"/>
              <w:rPr/>
            </w:pPr>
            <w:r>
              <w:rPr>
                <w:b/>
                <w:bCs/>
              </w:rPr>
              <w:t>XXXXXXXXXXXXXXX:</w:t>
            </w:r>
          </w:p>
          <w:p>
            <w:pPr>
              <w:pStyle w:val="normal1"/>
              <w:tabs>
                <w:tab w:val="clear" w:pos="720"/>
                <w:tab w:val="left" w:pos="708" w:leader="none"/>
                <w:tab w:val="center" w:pos="4252" w:leader="none"/>
                <w:tab w:val="right" w:pos="8504" w:leader="none"/>
              </w:tabs>
              <w:ind w:hanging="0"/>
              <w:rPr/>
            </w:pPr>
            <w:r>
              <w:rPr/>
              <w:t>Xxxxxxxxxx</w:t>
            </w:r>
          </w:p>
          <w:p>
            <w:pPr>
              <w:pStyle w:val="normal1"/>
              <w:tabs>
                <w:tab w:val="clear" w:pos="720"/>
                <w:tab w:val="left" w:pos="708" w:leader="none"/>
                <w:tab w:val="center" w:pos="4252" w:leader="none"/>
                <w:tab w:val="right" w:pos="8504" w:leader="none"/>
              </w:tabs>
              <w:ind w:hanging="0"/>
              <w:rPr/>
            </w:pPr>
            <w:r>
              <w:rPr/>
              <w:t xml:space="preserve"> </w:t>
            </w:r>
          </w:p>
          <w:p>
            <w:pPr>
              <w:pStyle w:val="normal1"/>
              <w:ind w:hanging="0"/>
              <w:rPr/>
            </w:pPr>
            <w:r>
              <w:rPr/>
            </w:r>
          </w:p>
        </w:tc>
        <w:tc>
          <w:tcPr>
            <w:tcW w:w="1577" w:type="dxa"/>
            <w:tcBorders>
              <w:top w:val="single" w:sz="4" w:space="0" w:color="000000"/>
              <w:start w:val="single" w:sz="4" w:space="0" w:color="000000"/>
              <w:bottom w:val="single" w:sz="4" w:space="0" w:color="000000"/>
              <w:end w:val="single" w:sz="4" w:space="0" w:color="000000"/>
            </w:tcBorders>
            <w:shd w:fill="FFFFFF" w:val="clear"/>
          </w:tcPr>
          <w:p>
            <w:pPr>
              <w:pStyle w:val="normal1"/>
              <w:ind w:hanging="0"/>
              <w:rPr/>
            </w:pPr>
            <w:r>
              <w:rPr/>
            </w:r>
          </w:p>
          <w:p>
            <w:pPr>
              <w:pStyle w:val="normal1"/>
              <w:ind w:hanging="0"/>
              <w:rPr/>
            </w:pPr>
            <w:r>
              <w:rPr/>
            </w:r>
          </w:p>
          <w:p>
            <w:pPr>
              <w:pStyle w:val="normal1"/>
              <w:ind w:hanging="0"/>
              <w:jc w:val="center"/>
              <w:rPr/>
            </w:pPr>
            <w:r>
              <w:rPr>
                <w:b/>
                <w:bCs/>
              </w:rPr>
              <w:t>0,00</w:t>
            </w:r>
          </w:p>
          <w:p>
            <w:pPr>
              <w:pStyle w:val="normal1"/>
              <w:ind w:hanging="0"/>
              <w:rPr/>
            </w:pPr>
            <w:r>
              <w:rPr/>
            </w:r>
          </w:p>
        </w:tc>
        <w:tc>
          <w:tcPr>
            <w:tcW w:w="1417" w:type="dxa"/>
            <w:tcBorders>
              <w:top w:val="single" w:sz="4" w:space="0" w:color="000000"/>
              <w:start w:val="single" w:sz="4" w:space="0" w:color="000000"/>
              <w:bottom w:val="single" w:sz="4" w:space="0" w:color="000000"/>
              <w:end w:val="single" w:sz="4" w:space="0" w:color="000000"/>
            </w:tcBorders>
            <w:shd w:fill="FFFFFF" w:val="clear"/>
            <w:vAlign w:val="center"/>
          </w:tcPr>
          <w:p>
            <w:pPr>
              <w:pStyle w:val="normal1"/>
              <w:ind w:hanging="0"/>
              <w:jc w:val="center"/>
              <w:rPr/>
            </w:pPr>
            <w:r>
              <w:rPr/>
              <w:t>0,00</w:t>
            </w:r>
          </w:p>
        </w:tc>
      </w:tr>
    </w:tbl>
    <w:p>
      <w:pPr>
        <w:pStyle w:val="normal1"/>
        <w:widowControl w:val="false"/>
        <w:ind w:hanging="0"/>
        <w:jc w:val="both"/>
        <w:rPr>
          <w:color w:val="FF0000"/>
        </w:rPr>
      </w:pPr>
      <w:r>
        <w:rPr>
          <w:color w:val="FF0000"/>
        </w:rPr>
      </w:r>
    </w:p>
    <w:p>
      <w:pPr>
        <w:pStyle w:val="normal1"/>
        <w:widowControl w:val="false"/>
        <w:ind w:hanging="0"/>
        <w:jc w:val="both"/>
        <w:rPr>
          <w:color w:val="FF0000"/>
        </w:rPr>
      </w:pPr>
      <w:r>
        <w:rPr>
          <w:color w:val="FF0000"/>
        </w:rPr>
      </w:r>
    </w:p>
    <w:p>
      <w:pPr>
        <w:pStyle w:val="normal1"/>
        <w:widowControl w:val="false"/>
        <w:ind w:hanging="0"/>
        <w:jc w:val="both"/>
        <w:rPr/>
      </w:pPr>
      <w:r>
        <w:rPr/>
      </w:r>
    </w:p>
    <w:p>
      <w:pPr>
        <w:pStyle w:val="normal1"/>
        <w:widowControl w:val="false"/>
        <w:ind w:hanging="0"/>
        <w:jc w:val="both"/>
        <w:rPr/>
      </w:pPr>
      <w:r>
        <w:rPr/>
      </w:r>
    </w:p>
    <w:p>
      <w:pPr>
        <w:pStyle w:val="normal1"/>
        <w:widowControl w:val="false"/>
        <w:ind w:hanging="0"/>
        <w:jc w:val="both"/>
        <w:rPr/>
      </w:pPr>
      <w:r>
        <w:rPr>
          <w:b/>
          <w:bCs/>
        </w:rPr>
        <w:t>Valor total da Proposta, por extenso:</w:t>
      </w:r>
    </w:p>
    <w:p>
      <w:pPr>
        <w:pStyle w:val="normal1"/>
        <w:widowControl w:val="false"/>
        <w:ind w:hanging="0"/>
        <w:jc w:val="both"/>
        <w:rPr/>
      </w:pPr>
      <w:r>
        <w:rPr>
          <w:b/>
          <w:bCs/>
        </w:rPr>
        <w:t>Validade total da Proposta: 60 dias</w:t>
      </w:r>
    </w:p>
    <w:p>
      <w:pPr>
        <w:pStyle w:val="normal1"/>
        <w:widowControl w:val="false"/>
        <w:ind w:hanging="0"/>
        <w:jc w:val="both"/>
        <w:rPr/>
      </w:pPr>
      <w:r>
        <w:rPr>
          <w:b/>
          <w:bCs/>
        </w:rPr>
        <w:t xml:space="preserve">Declaro, </w:t>
      </w:r>
      <w:r>
        <w:rPr/>
        <w:t>expressamente, que o preço proposto está relacionado ao fornecimento dos produtos previstos neste Edital e seu Termo de Referência.</w:t>
      </w:r>
    </w:p>
    <w:p>
      <w:pPr>
        <w:pStyle w:val="normal1"/>
        <w:widowControl w:val="false"/>
        <w:ind w:hanging="0"/>
        <w:jc w:val="both"/>
        <w:rPr/>
      </w:pPr>
      <w:r>
        <w:rPr/>
      </w:r>
    </w:p>
    <w:p>
      <w:pPr>
        <w:pStyle w:val="normal1"/>
        <w:widowControl w:val="false"/>
        <w:ind w:hanging="0"/>
        <w:jc w:val="both"/>
        <w:rPr/>
      </w:pPr>
      <w:r>
        <w:rPr/>
      </w:r>
    </w:p>
    <w:p>
      <w:pPr>
        <w:pStyle w:val="normal1"/>
        <w:widowControl w:val="false"/>
        <w:ind w:hanging="0"/>
        <w:rPr/>
      </w:pPr>
      <w:r>
        <w:rPr/>
        <w:t>______________, ____ de __________ de 2026.</w:t>
      </w:r>
    </w:p>
    <w:p>
      <w:pPr>
        <w:pStyle w:val="normal1"/>
        <w:widowControl w:val="false"/>
        <w:ind w:hanging="0"/>
        <w:rPr/>
      </w:pPr>
      <w:r>
        <w:rPr/>
      </w:r>
    </w:p>
    <w:p>
      <w:pPr>
        <w:pStyle w:val="normal1"/>
        <w:widowControl w:val="false"/>
        <w:ind w:hanging="0"/>
        <w:rPr/>
      </w:pPr>
      <w:r>
        <w:rPr/>
      </w:r>
    </w:p>
    <w:p>
      <w:pPr>
        <w:pStyle w:val="normal1"/>
        <w:widowControl w:val="false"/>
        <w:ind w:hanging="0"/>
        <w:rPr/>
      </w:pPr>
      <w:r>
        <w:rPr/>
      </w:r>
    </w:p>
    <w:p>
      <w:pPr>
        <w:pStyle w:val="normal1"/>
        <w:widowControl w:val="false"/>
        <w:ind w:hanging="0"/>
        <w:rPr/>
      </w:pPr>
      <w:r>
        <w:rPr/>
      </w:r>
    </w:p>
    <w:p>
      <w:pPr>
        <w:pStyle w:val="normal1"/>
        <w:widowControl w:val="false"/>
        <w:ind w:hanging="0"/>
        <w:rPr/>
      </w:pPr>
      <w:r>
        <w:rPr/>
      </w:r>
    </w:p>
    <w:p>
      <w:pPr>
        <w:pStyle w:val="normal1"/>
        <w:widowControl w:val="false"/>
        <w:ind w:hanging="0"/>
        <w:jc w:val="center"/>
        <w:rPr/>
      </w:pPr>
      <w:r>
        <w:rPr/>
        <w:t>____________________________________</w:t>
      </w:r>
    </w:p>
    <w:p>
      <w:pPr>
        <w:pStyle w:val="normal1"/>
        <w:widowControl w:val="false"/>
        <w:ind w:hanging="0"/>
        <w:jc w:val="center"/>
        <w:rPr/>
      </w:pPr>
      <w:r>
        <w:rPr/>
        <w:t>(Nome e Assinatura do Responsável)</w:t>
      </w:r>
    </w:p>
    <w:p>
      <w:pPr>
        <w:pStyle w:val="normal1"/>
        <w:ind w:hanging="0"/>
        <w:jc w:val="center"/>
        <w:rPr/>
      </w:pPr>
      <w:r>
        <w:rPr/>
      </w:r>
    </w:p>
    <w:p>
      <w:pPr>
        <w:pStyle w:val="normal1"/>
        <w:spacing w:lineRule="auto" w:line="360" w:before="288" w:after="288"/>
        <w:ind w:hanging="0"/>
        <w:jc w:val="center"/>
        <w:rPr>
          <w:sz w:val="22"/>
          <w:szCs w:val="22"/>
        </w:rPr>
      </w:pPr>
      <w:r>
        <w:rPr>
          <w:sz w:val="22"/>
          <w:szCs w:val="22"/>
        </w:rPr>
      </w:r>
    </w:p>
    <w:p>
      <w:pPr>
        <w:pStyle w:val="normal1"/>
        <w:spacing w:lineRule="auto" w:line="360" w:before="288" w:after="288"/>
        <w:ind w:hanging="0"/>
        <w:jc w:val="center"/>
        <w:rPr>
          <w:sz w:val="22"/>
          <w:szCs w:val="22"/>
        </w:rPr>
      </w:pPr>
      <w:r>
        <w:rPr>
          <w:sz w:val="22"/>
          <w:szCs w:val="22"/>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701" w:right="1134" w:gutter="0" w:header="539" w:top="1701" w:footer="720" w:bottom="1134"/>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characterSet="windows-1252"/>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characterSet="windows-1252"/>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Trebuchet MS">
    <w:charset w:val="00" w:characterSet="windows-1252"/>
    <w:family w:val="roman"/>
    <w:pitch w:val="variable"/>
    <w:embedRegular r:id="rId14" w:fontKey="{0E014A78-CABC-4EF0-12AC-5CD89AEFDE0E}"/>
  </w:font>
  <w:font w:name="Liberation Sans">
    <w:altName w:val="Arial"/>
    <w:charset w:val="00" w:characterSet="windows-1252"/>
    <w:family w:val="swiss"/>
    <w:pitch w:val="variable"/>
    <w:embedRegular r:id="rId15" w:fontKey="{0F014A78-CABC-4EF0-12AC-5CD89AEFDE0F}"/>
    <w:embedBold r:id="rId16" w:fontKey="{10014A78-CABC-4EF0-12AC-5CD89AEFDE10}"/>
    <w:embedItalic r:id="rId17" w:fontKey="{11014A78-CABC-4EF0-12AC-5CD89AEFDE11}"/>
    <w:embedBoldItalic r:id="rId18" w:fontKey="{12014A78-CABC-4EF0-12AC-5CD89AEFDE12}"/>
  </w:font>
  <w:font w:name="Georgia">
    <w:charset w:val="00" w:characterSet="windows-1252"/>
    <w:family w:val="roman"/>
    <w:pitch w:val="variable"/>
    <w:embedRegular r:id="rId19" w:fontKey="{13014A78-CABC-4EF0-12AC-5CD89AEFDE13}"/>
    <w:embedBold r:id="rId20" w:fontKey="{14014A78-CABC-4EF0-12AC-5CD89AEFDE14}"/>
    <w:embedItalic r:id="rId21" w:fontKey="{15014A78-CABC-4EF0-12AC-5CD89AEFDE15}"/>
    <w:embedBoldItalic r:id="rId22" w:fontKey="{16014A78-CABC-4EF0-12AC-5CD89AEFDE16}"/>
  </w:font>
  <w:font w:name="Calibri">
    <w:charset w:val="00" w:characterSet="windows-1252"/>
    <w:family w:val="roman"/>
    <w:pitch w:val="variable"/>
    <w:embedRegular r:id="rId23" w:fontKey="{17014A78-CABC-4EF0-12AC-5CD89AEFDE17}"/>
  </w:font>
  <w:font w:name="Wingdings">
    <w:charset w:val="02"/>
    <w:family w:val="auto"/>
    <w:pitch w:val="variable"/>
    <w:embedRegular r:id="rId24" w:fontKey="{18014A78-CABC-4EF0-12AC-5CD89AEFDE18}"/>
  </w:font>
  <w:font w:name="Wingdings 2">
    <w:charset w:val="02"/>
    <w:family w:val="auto"/>
    <w:pitch w:val="default"/>
  </w:font>
  <w:font w:name="OpenSymbol">
    <w:altName w:val="Arial Unicode MS"/>
    <w:charset w:val="01"/>
    <w:family w:val="auto"/>
    <w:pitch w:val="variable"/>
    <w:embedRegular r:id="rId25" w:fontKey="{19014A78-CABC-4EF0-12AC-5CD89AEFDE19}"/>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252" w:leader="none"/>
        <w:tab w:val="right" w:pos="8504" w:leader="none"/>
      </w:tabs>
      <w:ind w:hanging="0"/>
      <w:jc w:val="end"/>
      <w:rPr/>
    </w:pPr>
    <w:r>
      <w:rPr>
        <w:color w:val="000000"/>
      </w:rPr>
      <w:t xml:space="preserve">EDITAL - PREGÃO ELETRÔNICO Nº </w:t>
    </w:r>
    <w:r>
      <w:rPr/>
      <w:t>186</w:t>
    </w:r>
    <w:r>
      <w:rPr>
        <w:color w:val="000000"/>
      </w:rPr>
      <w:t>/SMLCP/SULIC/202</w:t>
    </w:r>
    <w:r>
      <w:rPr/>
      <w:t>6</w:t>
    </w:r>
  </w:p>
  <w:p>
    <w:pPr>
      <w:pStyle w:val="normal1"/>
      <w:tabs>
        <w:tab w:val="clear" w:pos="720"/>
        <w:tab w:val="center" w:pos="4252" w:leader="none"/>
        <w:tab w:val="right" w:pos="8504" w:leader="none"/>
      </w:tabs>
      <w:ind w:hanging="0"/>
      <w:jc w:val="end"/>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252" w:leader="none"/>
        <w:tab w:val="right" w:pos="8504" w:leader="none"/>
      </w:tabs>
      <w:ind w:hanging="0"/>
      <w:rPr>
        <w:color w:val="000000"/>
      </w:rPr>
    </w:pPr>
    <w:r>
      <w:rPr/>
      <w:drawing>
        <wp:inline distT="0" distB="0" distL="0" distR="0">
          <wp:extent cx="2228850" cy="61912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1"/>
                  <a:stretch>
                    <a:fillRect/>
                  </a:stretch>
                </pic:blipFill>
                <pic:spPr bwMode="auto">
                  <a:xfrm>
                    <a:off x="0" y="0"/>
                    <a:ext cx="2228850" cy="619125"/>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start"/>
      <w:pPr>
        <w:tabs>
          <w:tab w:val="num" w:pos="0"/>
        </w:tabs>
        <w:ind w:start="2073"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2">
    <w:lvl w:ilvl="0">
      <w:start w:val="1"/>
      <w:numFmt w:val="decimal"/>
      <w:lvlText w:val="%1)"/>
      <w:lvlJc w:val="start"/>
      <w:pPr>
        <w:tabs>
          <w:tab w:val="num" w:pos="0"/>
        </w:tabs>
        <w:ind w:start="360" w:hanging="360"/>
      </w:pPr>
      <w:rPr>
        <w:u w:val="none"/>
      </w:rPr>
    </w:lvl>
    <w:lvl w:ilvl="1">
      <w:start w:val="1"/>
      <w:numFmt w:val="lowerLetter"/>
      <w:lvlText w:val="%2)"/>
      <w:lvlJc w:val="start"/>
      <w:pPr>
        <w:tabs>
          <w:tab w:val="num" w:pos="0"/>
        </w:tabs>
        <w:ind w:start="720" w:hanging="360"/>
      </w:pPr>
      <w:rPr>
        <w:u w:val="none"/>
      </w:rPr>
    </w:lvl>
    <w:lvl w:ilvl="2">
      <w:start w:val="1"/>
      <w:numFmt w:val="lowerRoman"/>
      <w:lvlText w:val="%3)"/>
      <w:lvlJc w:val="start"/>
      <w:pPr>
        <w:tabs>
          <w:tab w:val="num" w:pos="0"/>
        </w:tabs>
        <w:ind w:start="1080" w:hanging="360"/>
      </w:pPr>
      <w:rPr>
        <w:u w:val="none"/>
      </w:rPr>
    </w:lvl>
    <w:lvl w:ilvl="3">
      <w:start w:val="1"/>
      <w:numFmt w:val="decimal"/>
      <w:lvlText w:val="(%4)"/>
      <w:lvlJc w:val="start"/>
      <w:pPr>
        <w:tabs>
          <w:tab w:val="num" w:pos="0"/>
        </w:tabs>
        <w:ind w:start="1440" w:hanging="360"/>
      </w:pPr>
      <w:rPr>
        <w:u w:val="none"/>
      </w:rPr>
    </w:lvl>
    <w:lvl w:ilvl="4">
      <w:start w:val="1"/>
      <w:numFmt w:val="lowerLetter"/>
      <w:lvlText w:val="(%5)"/>
      <w:lvlJc w:val="start"/>
      <w:pPr>
        <w:tabs>
          <w:tab w:val="num" w:pos="0"/>
        </w:tabs>
        <w:ind w:start="1800" w:hanging="360"/>
      </w:pPr>
      <w:rPr>
        <w:u w:val="none"/>
      </w:rPr>
    </w:lvl>
    <w:lvl w:ilvl="5">
      <w:start w:val="1"/>
      <w:numFmt w:val="lowerRoman"/>
      <w:lvlText w:val="(%6)"/>
      <w:lvlJc w:val="start"/>
      <w:pPr>
        <w:tabs>
          <w:tab w:val="num" w:pos="0"/>
        </w:tabs>
        <w:ind w:start="2160" w:hanging="360"/>
      </w:pPr>
      <w:rPr>
        <w:u w:val="none"/>
      </w:rPr>
    </w:lvl>
    <w:lvl w:ilvl="6">
      <w:start w:val="1"/>
      <w:numFmt w:val="decimal"/>
      <w:lvlText w:val="%7."/>
      <w:lvlJc w:val="start"/>
      <w:pPr>
        <w:tabs>
          <w:tab w:val="num" w:pos="0"/>
        </w:tabs>
        <w:ind w:start="2520" w:hanging="360"/>
      </w:pPr>
      <w:rPr>
        <w:u w:val="none"/>
      </w:rPr>
    </w:lvl>
    <w:lvl w:ilvl="7">
      <w:start w:val="1"/>
      <w:numFmt w:val="lowerLetter"/>
      <w:lvlText w:val="%8."/>
      <w:lvlJc w:val="start"/>
      <w:pPr>
        <w:tabs>
          <w:tab w:val="num" w:pos="0"/>
        </w:tabs>
        <w:ind w:start="2880" w:hanging="360"/>
      </w:pPr>
      <w:rPr>
        <w:u w:val="none"/>
      </w:rPr>
    </w:lvl>
    <w:lvl w:ilvl="8">
      <w:start w:val="1"/>
      <w:numFmt w:val="lowerRoman"/>
      <w:lvlText w:val="%9."/>
      <w:lvlJc w:val="start"/>
      <w:pPr>
        <w:tabs>
          <w:tab w:val="num" w:pos="0"/>
        </w:tabs>
        <w:ind w:start="3240" w:hanging="360"/>
      </w:pPr>
      <w:rPr>
        <w:u w:val="none"/>
      </w:rPr>
    </w:lvl>
  </w:abstractNum>
  <w:abstractNum w:abstractNumId="3">
    <w:lvl w:ilvl="0">
      <w:start w:val="1"/>
      <w:numFmt w:val="decimal"/>
      <w:lvlText w:val="%1)"/>
      <w:lvlJc w:val="start"/>
      <w:pPr>
        <w:tabs>
          <w:tab w:val="num" w:pos="0"/>
        </w:tabs>
        <w:ind w:start="1440" w:hanging="360"/>
      </w:pPr>
      <w:rPr>
        <w:u w:val="none"/>
      </w:rPr>
    </w:lvl>
    <w:lvl w:ilvl="1">
      <w:start w:val="1"/>
      <w:numFmt w:val="lowerLetter"/>
      <w:lvlText w:val="%2)"/>
      <w:lvlJc w:val="start"/>
      <w:pPr>
        <w:tabs>
          <w:tab w:val="num" w:pos="0"/>
        </w:tabs>
        <w:ind w:start="2160" w:hanging="360"/>
      </w:pPr>
      <w:rPr>
        <w:u w:val="none"/>
      </w:rPr>
    </w:lvl>
    <w:lvl w:ilvl="2">
      <w:start w:val="1"/>
      <w:numFmt w:val="lowerRoman"/>
      <w:lvlText w:val="%3)"/>
      <w:lvlJc w:val="end"/>
      <w:pPr>
        <w:tabs>
          <w:tab w:val="num" w:pos="0"/>
        </w:tabs>
        <w:ind w:start="2880" w:hanging="360"/>
      </w:pPr>
      <w:rPr>
        <w:u w:val="none"/>
      </w:rPr>
    </w:lvl>
    <w:lvl w:ilvl="3">
      <w:start w:val="1"/>
      <w:numFmt w:val="decimal"/>
      <w:lvlText w:val="(%4)"/>
      <w:lvlJc w:val="start"/>
      <w:pPr>
        <w:tabs>
          <w:tab w:val="num" w:pos="0"/>
        </w:tabs>
        <w:ind w:start="3600" w:hanging="360"/>
      </w:pPr>
      <w:rPr>
        <w:u w:val="none"/>
      </w:rPr>
    </w:lvl>
    <w:lvl w:ilvl="4">
      <w:start w:val="1"/>
      <w:numFmt w:val="lowerLetter"/>
      <w:lvlText w:val="(%5)"/>
      <w:lvlJc w:val="start"/>
      <w:pPr>
        <w:tabs>
          <w:tab w:val="num" w:pos="0"/>
        </w:tabs>
        <w:ind w:start="4320" w:hanging="360"/>
      </w:pPr>
      <w:rPr>
        <w:u w:val="none"/>
      </w:rPr>
    </w:lvl>
    <w:lvl w:ilvl="5">
      <w:start w:val="1"/>
      <w:numFmt w:val="lowerRoman"/>
      <w:lvlText w:val="(%6)"/>
      <w:lvlJc w:val="end"/>
      <w:pPr>
        <w:tabs>
          <w:tab w:val="num" w:pos="0"/>
        </w:tabs>
        <w:ind w:start="5040" w:hanging="360"/>
      </w:pPr>
      <w:rPr>
        <w:u w:val="none"/>
      </w:rPr>
    </w:lvl>
    <w:lvl w:ilvl="6">
      <w:start w:val="1"/>
      <w:numFmt w:val="decimal"/>
      <w:lvlText w:val="%7."/>
      <w:lvlJc w:val="start"/>
      <w:pPr>
        <w:tabs>
          <w:tab w:val="num" w:pos="0"/>
        </w:tabs>
        <w:ind w:start="5760" w:hanging="360"/>
      </w:pPr>
      <w:rPr>
        <w:u w:val="none"/>
      </w:rPr>
    </w:lvl>
    <w:lvl w:ilvl="7">
      <w:start w:val="1"/>
      <w:numFmt w:val="lowerLetter"/>
      <w:lvlText w:val="%8."/>
      <w:lvlJc w:val="start"/>
      <w:pPr>
        <w:tabs>
          <w:tab w:val="num" w:pos="0"/>
        </w:tabs>
        <w:ind w:start="6480" w:hanging="360"/>
      </w:pPr>
      <w:rPr>
        <w:u w:val="none"/>
      </w:rPr>
    </w:lvl>
    <w:lvl w:ilvl="8">
      <w:start w:val="1"/>
      <w:numFmt w:val="lowerRoman"/>
      <w:lvlText w:val="%9."/>
      <w:lvlJc w:val="end"/>
      <w:pPr>
        <w:tabs>
          <w:tab w:val="num" w:pos="0"/>
        </w:tabs>
        <w:ind w:start="7200" w:hanging="360"/>
      </w:pPr>
      <w:rPr>
        <w:u w:val="none"/>
      </w:rPr>
    </w:lvl>
  </w:abstractNum>
  <w:abstractNum w:abstractNumId="4">
    <w:lvl w:ilvl="0">
      <w:start w:val="1"/>
      <w:numFmt w:val="decimal"/>
      <w:lvlText w:val="%1)"/>
      <w:lvlJc w:val="start"/>
      <w:pPr>
        <w:tabs>
          <w:tab w:val="num" w:pos="0"/>
        </w:tabs>
        <w:ind w:start="2160" w:hanging="360"/>
      </w:pPr>
      <w:rPr>
        <w:u w:val="none"/>
      </w:rPr>
    </w:lvl>
    <w:lvl w:ilvl="1">
      <w:start w:val="1"/>
      <w:numFmt w:val="lowerLetter"/>
      <w:lvlText w:val="%2)"/>
      <w:lvlJc w:val="start"/>
      <w:pPr>
        <w:tabs>
          <w:tab w:val="num" w:pos="0"/>
        </w:tabs>
        <w:ind w:start="2880" w:hanging="360"/>
      </w:pPr>
      <w:rPr>
        <w:u w:val="none"/>
      </w:rPr>
    </w:lvl>
    <w:lvl w:ilvl="2">
      <w:start w:val="1"/>
      <w:numFmt w:val="lowerRoman"/>
      <w:lvlText w:val="%3)"/>
      <w:lvlJc w:val="end"/>
      <w:pPr>
        <w:tabs>
          <w:tab w:val="num" w:pos="0"/>
        </w:tabs>
        <w:ind w:start="3600" w:hanging="360"/>
      </w:pPr>
      <w:rPr>
        <w:u w:val="none"/>
      </w:rPr>
    </w:lvl>
    <w:lvl w:ilvl="3">
      <w:start w:val="1"/>
      <w:numFmt w:val="decimal"/>
      <w:lvlText w:val="(%4)"/>
      <w:lvlJc w:val="start"/>
      <w:pPr>
        <w:tabs>
          <w:tab w:val="num" w:pos="0"/>
        </w:tabs>
        <w:ind w:start="4320" w:hanging="360"/>
      </w:pPr>
      <w:rPr>
        <w:u w:val="none"/>
      </w:rPr>
    </w:lvl>
    <w:lvl w:ilvl="4">
      <w:start w:val="1"/>
      <w:numFmt w:val="lowerLetter"/>
      <w:lvlText w:val="(%5)"/>
      <w:lvlJc w:val="start"/>
      <w:pPr>
        <w:tabs>
          <w:tab w:val="num" w:pos="0"/>
        </w:tabs>
        <w:ind w:start="5040" w:hanging="360"/>
      </w:pPr>
      <w:rPr>
        <w:u w:val="none"/>
      </w:rPr>
    </w:lvl>
    <w:lvl w:ilvl="5">
      <w:start w:val="1"/>
      <w:numFmt w:val="lowerRoman"/>
      <w:lvlText w:val="(%6)"/>
      <w:lvlJc w:val="end"/>
      <w:pPr>
        <w:tabs>
          <w:tab w:val="num" w:pos="0"/>
        </w:tabs>
        <w:ind w:start="5760" w:hanging="360"/>
      </w:pPr>
      <w:rPr>
        <w:u w:val="none"/>
      </w:rPr>
    </w:lvl>
    <w:lvl w:ilvl="6">
      <w:start w:val="1"/>
      <w:numFmt w:val="decimal"/>
      <w:lvlText w:val="%7."/>
      <w:lvlJc w:val="start"/>
      <w:pPr>
        <w:tabs>
          <w:tab w:val="num" w:pos="0"/>
        </w:tabs>
        <w:ind w:start="6480" w:hanging="360"/>
      </w:pPr>
      <w:rPr>
        <w:u w:val="none"/>
      </w:rPr>
    </w:lvl>
    <w:lvl w:ilvl="7">
      <w:start w:val="1"/>
      <w:numFmt w:val="lowerLetter"/>
      <w:lvlText w:val="%8."/>
      <w:lvlJc w:val="start"/>
      <w:pPr>
        <w:tabs>
          <w:tab w:val="num" w:pos="0"/>
        </w:tabs>
        <w:ind w:start="7200" w:hanging="360"/>
      </w:pPr>
      <w:rPr>
        <w:u w:val="none"/>
      </w:rPr>
    </w:lvl>
    <w:lvl w:ilvl="8">
      <w:start w:val="1"/>
      <w:numFmt w:val="lowerRoman"/>
      <w:lvlText w:val="%9."/>
      <w:lvlJc w:val="end"/>
      <w:pPr>
        <w:tabs>
          <w:tab w:val="num" w:pos="0"/>
        </w:tabs>
        <w:ind w:start="7920" w:hanging="360"/>
      </w:pPr>
      <w:rPr>
        <w:u w:val="none"/>
      </w:rPr>
    </w:lvl>
  </w:abstractNum>
  <w:abstractNum w:abstractNumId="5">
    <w:lvl w:ilvl="0">
      <w:start w:val="1"/>
      <w:numFmt w:val="decimal"/>
      <w:lvlText w:val="%1."/>
      <w:lvlJc w:val="start"/>
      <w:pPr>
        <w:tabs>
          <w:tab w:val="num" w:pos="0"/>
        </w:tabs>
        <w:ind w:start="720" w:hanging="360"/>
      </w:pPr>
      <w:rPr>
        <w:u w:val="none"/>
      </w:rPr>
    </w:lvl>
    <w:lvl w:ilvl="1">
      <w:start w:val="1"/>
      <w:numFmt w:val="decimal"/>
      <w:lvlText w:val="%1.%2."/>
      <w:lvlJc w:val="start"/>
      <w:pPr>
        <w:tabs>
          <w:tab w:val="num" w:pos="0"/>
        </w:tabs>
        <w:ind w:start="1353" w:hanging="359"/>
      </w:pPr>
      <w:rPr>
        <w:u w:val="none"/>
      </w:rPr>
    </w:lvl>
    <w:lvl w:ilvl="2">
      <w:start w:val="1"/>
      <w:numFmt w:val="decimal"/>
      <w:lvlText w:val="%1.%2.%3."/>
      <w:lvlJc w:val="start"/>
      <w:pPr>
        <w:tabs>
          <w:tab w:val="num" w:pos="0"/>
        </w:tabs>
        <w:ind w:start="1800" w:hanging="720"/>
      </w:pPr>
      <w:rPr>
        <w:u w:val="none"/>
      </w:rPr>
    </w:lvl>
    <w:lvl w:ilvl="3">
      <w:start w:val="1"/>
      <w:numFmt w:val="decimal"/>
      <w:lvlText w:val="%1.%2.%3.%4."/>
      <w:lvlJc w:val="start"/>
      <w:pPr>
        <w:tabs>
          <w:tab w:val="num" w:pos="0"/>
        </w:tabs>
        <w:ind w:start="2160" w:hanging="720"/>
      </w:pPr>
      <w:rPr>
        <w:u w:val="none"/>
      </w:rPr>
    </w:lvl>
    <w:lvl w:ilvl="4">
      <w:start w:val="1"/>
      <w:numFmt w:val="decimal"/>
      <w:lvlText w:val="%1.%2.%3.%4.%5."/>
      <w:lvlJc w:val="start"/>
      <w:pPr>
        <w:tabs>
          <w:tab w:val="num" w:pos="0"/>
        </w:tabs>
        <w:ind w:start="2880" w:hanging="1080"/>
      </w:pPr>
      <w:rPr>
        <w:u w:val="none"/>
      </w:rPr>
    </w:lvl>
    <w:lvl w:ilvl="5">
      <w:start w:val="1"/>
      <w:numFmt w:val="decimal"/>
      <w:lvlText w:val="%1.%2.%3.%4.%5.%6."/>
      <w:lvlJc w:val="start"/>
      <w:pPr>
        <w:tabs>
          <w:tab w:val="num" w:pos="0"/>
        </w:tabs>
        <w:ind w:start="3240" w:hanging="1080"/>
      </w:pPr>
      <w:rPr>
        <w:u w:val="none"/>
      </w:rPr>
    </w:lvl>
    <w:lvl w:ilvl="6">
      <w:start w:val="1"/>
      <w:numFmt w:val="decimal"/>
      <w:lvlText w:val="%1.%2.%3.%4.%5.%6.%7."/>
      <w:lvlJc w:val="start"/>
      <w:pPr>
        <w:tabs>
          <w:tab w:val="num" w:pos="0"/>
        </w:tabs>
        <w:ind w:start="3960" w:hanging="1440"/>
      </w:pPr>
      <w:rPr>
        <w:u w:val="none"/>
      </w:rPr>
    </w:lvl>
    <w:lvl w:ilvl="7">
      <w:start w:val="1"/>
      <w:numFmt w:val="decimal"/>
      <w:lvlText w:val="%1.%2.%3.%4.%5.%6.%7.%8."/>
      <w:lvlJc w:val="start"/>
      <w:pPr>
        <w:tabs>
          <w:tab w:val="num" w:pos="0"/>
        </w:tabs>
        <w:ind w:start="4320" w:hanging="1440"/>
      </w:pPr>
      <w:rPr>
        <w:u w:val="none"/>
      </w:rPr>
    </w:lvl>
    <w:lvl w:ilvl="8">
      <w:start w:val="1"/>
      <w:numFmt w:val="decimal"/>
      <w:lvlText w:val="%1.%2.%3.%4.%5.%6.%7.%8.%9."/>
      <w:lvlJc w:val="start"/>
      <w:pPr>
        <w:tabs>
          <w:tab w:val="num" w:pos="0"/>
        </w:tabs>
        <w:ind w:start="5040" w:hanging="1800"/>
      </w:pPr>
      <w:rPr>
        <w:u w:val="none"/>
      </w:rPr>
    </w:lvl>
  </w:abstractNum>
  <w:abstractNum w:abstractNumId="6">
    <w:lvl w:ilvl="0">
      <w:start w:val="1"/>
      <w:numFmt w:val="decimal"/>
      <w:lvlText w:val="%1."/>
      <w:lvlJc w:val="end"/>
      <w:pPr>
        <w:tabs>
          <w:tab w:val="num" w:pos="0"/>
        </w:tabs>
        <w:ind w:start="720" w:hanging="360"/>
      </w:pPr>
      <w:rPr>
        <w:u w:val="none"/>
      </w:rPr>
    </w:lvl>
    <w:lvl w:ilvl="1">
      <w:start w:val="1"/>
      <w:numFmt w:val="decimal"/>
      <w:lvlText w:val="%1.%2."/>
      <w:lvlJc w:val="end"/>
      <w:pPr>
        <w:tabs>
          <w:tab w:val="num" w:pos="0"/>
        </w:tabs>
        <w:ind w:start="1440" w:hanging="360"/>
      </w:pPr>
      <w:rPr>
        <w:u w:val="none"/>
      </w:rPr>
    </w:lvl>
    <w:lvl w:ilvl="2">
      <w:start w:val="1"/>
      <w:numFmt w:val="decimal"/>
      <w:lvlText w:val="%1.%2.%3."/>
      <w:lvlJc w:val="end"/>
      <w:pPr>
        <w:tabs>
          <w:tab w:val="num" w:pos="0"/>
        </w:tabs>
        <w:ind w:start="2160" w:hanging="360"/>
      </w:pPr>
      <w:rPr>
        <w:u w:val="none"/>
      </w:rPr>
    </w:lvl>
    <w:lvl w:ilvl="3">
      <w:start w:val="1"/>
      <w:numFmt w:val="decimal"/>
      <w:lvlText w:val="%1.%2.%3.%4."/>
      <w:lvlJc w:val="end"/>
      <w:pPr>
        <w:tabs>
          <w:tab w:val="num" w:pos="0"/>
        </w:tabs>
        <w:ind w:start="2880" w:hanging="360"/>
      </w:pPr>
      <w:rPr>
        <w:u w:val="none"/>
      </w:rPr>
    </w:lvl>
    <w:lvl w:ilvl="4">
      <w:start w:val="1"/>
      <w:numFmt w:val="decimal"/>
      <w:lvlText w:val="%1.%2.%3.%4.%5."/>
      <w:lvlJc w:val="end"/>
      <w:pPr>
        <w:tabs>
          <w:tab w:val="num" w:pos="0"/>
        </w:tabs>
        <w:ind w:start="3600" w:hanging="360"/>
      </w:pPr>
      <w:rPr>
        <w:u w:val="none"/>
      </w:rPr>
    </w:lvl>
    <w:lvl w:ilvl="5">
      <w:start w:val="1"/>
      <w:numFmt w:val="decimal"/>
      <w:lvlText w:val="%1.%2.%3.%4.%5.%6."/>
      <w:lvlJc w:val="end"/>
      <w:pPr>
        <w:tabs>
          <w:tab w:val="num" w:pos="0"/>
        </w:tabs>
        <w:ind w:start="4320" w:hanging="360"/>
      </w:pPr>
      <w:rPr>
        <w:u w:val="none"/>
      </w:rPr>
    </w:lvl>
    <w:lvl w:ilvl="6">
      <w:start w:val="1"/>
      <w:numFmt w:val="decimal"/>
      <w:lvlText w:val="%1.%2.%3.%4.%5.%6.%7."/>
      <w:lvlJc w:val="end"/>
      <w:pPr>
        <w:tabs>
          <w:tab w:val="num" w:pos="0"/>
        </w:tabs>
        <w:ind w:start="5040" w:hanging="360"/>
      </w:pPr>
      <w:rPr>
        <w:u w:val="none"/>
      </w:rPr>
    </w:lvl>
    <w:lvl w:ilvl="7">
      <w:start w:val="1"/>
      <w:numFmt w:val="decimal"/>
      <w:lvlText w:val="%1.%2.%3.%4.%5.%6.%7.%8."/>
      <w:lvlJc w:val="end"/>
      <w:pPr>
        <w:tabs>
          <w:tab w:val="num" w:pos="0"/>
        </w:tabs>
        <w:ind w:start="5760" w:hanging="360"/>
      </w:pPr>
      <w:rPr>
        <w:u w:val="none"/>
      </w:rPr>
    </w:lvl>
    <w:lvl w:ilvl="8">
      <w:start w:val="1"/>
      <w:numFmt w:val="decimal"/>
      <w:lvlText w:val="%1.%2.%3.%4.%5.%6.%7.%8.%9."/>
      <w:lvlJc w:val="end"/>
      <w:pPr>
        <w:tabs>
          <w:tab w:val="num" w:pos="0"/>
        </w:tabs>
        <w:ind w:start="6480" w:hanging="360"/>
      </w:pPr>
      <w:rPr>
        <w:u w:val="none"/>
      </w:rPr>
    </w:lvl>
  </w:abstractNum>
  <w:abstractNum w:abstractNumId="7">
    <w:lvl w:ilvl="0">
      <w:start w:val="1"/>
      <w:numFmt w:val="decimal"/>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8">
    <w:lvl w:ilvl="0">
      <w:start w:val="13"/>
      <w:numFmt w:val="decimal"/>
      <w:lvlText w:val="%1."/>
      <w:lvlJc w:val="start"/>
      <w:pPr>
        <w:tabs>
          <w:tab w:val="num" w:pos="0"/>
        </w:tabs>
        <w:ind w:start="720" w:hanging="360"/>
      </w:pPr>
      <w:rPr>
        <w:u w:val="none"/>
      </w:rPr>
    </w:lvl>
    <w:lvl w:ilvl="1">
      <w:start w:val="1"/>
      <w:numFmt w:val="decimal"/>
      <w:lvlText w:val="%1.%2."/>
      <w:lvlJc w:val="start"/>
      <w:pPr>
        <w:tabs>
          <w:tab w:val="num" w:pos="0"/>
        </w:tabs>
        <w:ind w:start="1353" w:hanging="359"/>
      </w:pPr>
      <w:rPr>
        <w:u w:val="none"/>
      </w:rPr>
    </w:lvl>
    <w:lvl w:ilvl="2">
      <w:start w:val="1"/>
      <w:numFmt w:val="decimal"/>
      <w:lvlText w:val="%1.%2.%3."/>
      <w:lvlJc w:val="start"/>
      <w:pPr>
        <w:tabs>
          <w:tab w:val="num" w:pos="0"/>
        </w:tabs>
        <w:ind w:start="1800" w:hanging="720"/>
      </w:pPr>
      <w:rPr>
        <w:u w:val="none"/>
      </w:rPr>
    </w:lvl>
    <w:lvl w:ilvl="3">
      <w:start w:val="1"/>
      <w:numFmt w:val="decimal"/>
      <w:lvlText w:val="%1.%2.%3.%4."/>
      <w:lvlJc w:val="start"/>
      <w:pPr>
        <w:tabs>
          <w:tab w:val="num" w:pos="0"/>
        </w:tabs>
        <w:ind w:start="2160" w:hanging="720"/>
      </w:pPr>
      <w:rPr>
        <w:u w:val="none"/>
      </w:rPr>
    </w:lvl>
    <w:lvl w:ilvl="4">
      <w:start w:val="1"/>
      <w:numFmt w:val="decimal"/>
      <w:lvlText w:val="%1.%2.%3.%4.%5."/>
      <w:lvlJc w:val="start"/>
      <w:pPr>
        <w:tabs>
          <w:tab w:val="num" w:pos="0"/>
        </w:tabs>
        <w:ind w:start="2880" w:hanging="1080"/>
      </w:pPr>
      <w:rPr>
        <w:u w:val="none"/>
      </w:rPr>
    </w:lvl>
    <w:lvl w:ilvl="5">
      <w:start w:val="1"/>
      <w:numFmt w:val="decimal"/>
      <w:lvlText w:val="%1.%2.%3.%4.%5.%6."/>
      <w:lvlJc w:val="start"/>
      <w:pPr>
        <w:tabs>
          <w:tab w:val="num" w:pos="0"/>
        </w:tabs>
        <w:ind w:start="3240" w:hanging="1080"/>
      </w:pPr>
      <w:rPr>
        <w:u w:val="none"/>
      </w:rPr>
    </w:lvl>
    <w:lvl w:ilvl="6">
      <w:start w:val="1"/>
      <w:numFmt w:val="decimal"/>
      <w:lvlText w:val="%1.%2.%3.%4.%5.%6.%7."/>
      <w:lvlJc w:val="start"/>
      <w:pPr>
        <w:tabs>
          <w:tab w:val="num" w:pos="0"/>
        </w:tabs>
        <w:ind w:start="3960" w:hanging="1440"/>
      </w:pPr>
      <w:rPr>
        <w:u w:val="none"/>
      </w:rPr>
    </w:lvl>
    <w:lvl w:ilvl="7">
      <w:start w:val="1"/>
      <w:numFmt w:val="decimal"/>
      <w:lvlText w:val="%1.%2.%3.%4.%5.%6.%7.%8."/>
      <w:lvlJc w:val="start"/>
      <w:pPr>
        <w:tabs>
          <w:tab w:val="num" w:pos="0"/>
        </w:tabs>
        <w:ind w:start="4320" w:hanging="1440"/>
      </w:pPr>
      <w:rPr>
        <w:u w:val="none"/>
      </w:rPr>
    </w:lvl>
    <w:lvl w:ilvl="8">
      <w:start w:val="1"/>
      <w:numFmt w:val="decimal"/>
      <w:lvlText w:val="%1.%2.%3.%4.%5.%6.%7.%8.%9."/>
      <w:lvlJc w:val="start"/>
      <w:pPr>
        <w:tabs>
          <w:tab w:val="num" w:pos="0"/>
        </w:tabs>
        <w:ind w:start="5040" w:hanging="1800"/>
      </w:pPr>
      <w:rPr>
        <w:u w:val="none"/>
      </w:rPr>
    </w:lvl>
  </w:abstractNum>
  <w:abstractNum w:abstractNumId="9">
    <w:lvl w:ilvl="0">
      <w:start w:val="1"/>
      <w:numFmt w:val="upperRoman"/>
      <w:lvlText w:val="%1."/>
      <w:lvlJc w:val="end"/>
      <w:pPr>
        <w:tabs>
          <w:tab w:val="num" w:pos="0"/>
        </w:tabs>
        <w:ind w:start="1440" w:hanging="360"/>
      </w:pPr>
      <w:rPr>
        <w:u w:val="none"/>
      </w:rPr>
    </w:lvl>
    <w:lvl w:ilvl="1">
      <w:start w:val="1"/>
      <w:numFmt w:val="upperLetter"/>
      <w:lvlText w:val="%2."/>
      <w:lvlJc w:val="start"/>
      <w:pPr>
        <w:tabs>
          <w:tab w:val="num" w:pos="0"/>
        </w:tabs>
        <w:ind w:start="2160" w:hanging="360"/>
      </w:pPr>
      <w:rPr>
        <w:u w:val="none"/>
      </w:rPr>
    </w:lvl>
    <w:lvl w:ilvl="2">
      <w:start w:val="1"/>
      <w:numFmt w:val="decimal"/>
      <w:lvlText w:val="%3."/>
      <w:lvlJc w:val="start"/>
      <w:pPr>
        <w:tabs>
          <w:tab w:val="num" w:pos="0"/>
        </w:tabs>
        <w:ind w:start="2880" w:hanging="360"/>
      </w:pPr>
      <w:rPr>
        <w:u w:val="none"/>
      </w:rPr>
    </w:lvl>
    <w:lvl w:ilvl="3">
      <w:start w:val="1"/>
      <w:numFmt w:val="lowerLetter"/>
      <w:lvlText w:val="%4)"/>
      <w:lvlJc w:val="start"/>
      <w:pPr>
        <w:tabs>
          <w:tab w:val="num" w:pos="0"/>
        </w:tabs>
        <w:ind w:start="3600" w:hanging="360"/>
      </w:pPr>
      <w:rPr>
        <w:u w:val="none"/>
      </w:rPr>
    </w:lvl>
    <w:lvl w:ilvl="4">
      <w:start w:val="1"/>
      <w:numFmt w:val="decimal"/>
      <w:lvlText w:val="(%5)"/>
      <w:lvlJc w:val="start"/>
      <w:pPr>
        <w:tabs>
          <w:tab w:val="num" w:pos="0"/>
        </w:tabs>
        <w:ind w:start="4320" w:hanging="360"/>
      </w:pPr>
      <w:rPr>
        <w:u w:val="none"/>
      </w:rPr>
    </w:lvl>
    <w:lvl w:ilvl="5">
      <w:start w:val="1"/>
      <w:numFmt w:val="lowerLetter"/>
      <w:lvlText w:val="(%6)"/>
      <w:lvlJc w:val="start"/>
      <w:pPr>
        <w:tabs>
          <w:tab w:val="num" w:pos="0"/>
        </w:tabs>
        <w:ind w:start="5040" w:hanging="360"/>
      </w:pPr>
      <w:rPr>
        <w:u w:val="none"/>
      </w:rPr>
    </w:lvl>
    <w:lvl w:ilvl="6">
      <w:start w:val="1"/>
      <w:numFmt w:val="lowerRoman"/>
      <w:lvlText w:val="(%7)"/>
      <w:lvlJc w:val="end"/>
      <w:pPr>
        <w:tabs>
          <w:tab w:val="num" w:pos="0"/>
        </w:tabs>
        <w:ind w:start="5760" w:hanging="360"/>
      </w:pPr>
      <w:rPr>
        <w:u w:val="none"/>
      </w:rPr>
    </w:lvl>
    <w:lvl w:ilvl="7">
      <w:start w:val="1"/>
      <w:numFmt w:val="lowerLetter"/>
      <w:lvlText w:val="(%8)"/>
      <w:lvlJc w:val="start"/>
      <w:pPr>
        <w:tabs>
          <w:tab w:val="num" w:pos="0"/>
        </w:tabs>
        <w:ind w:start="6480" w:hanging="360"/>
      </w:pPr>
      <w:rPr>
        <w:u w:val="none"/>
      </w:rPr>
    </w:lvl>
    <w:lvl w:ilvl="8">
      <w:start w:val="1"/>
      <w:numFmt w:val="lowerRoman"/>
      <w:lvlText w:val="(%9)"/>
      <w:lvlJc w:val="end"/>
      <w:pPr>
        <w:tabs>
          <w:tab w:val="num" w:pos="0"/>
        </w:tabs>
        <w:ind w:start="7200" w:hanging="360"/>
      </w:pPr>
      <w:rPr>
        <w:u w:val="none"/>
      </w:rPr>
    </w:lvl>
  </w:abstractNum>
  <w:abstractNum w:abstractNumId="10">
    <w:lvl w:ilvl="0">
      <w:start w:val="1"/>
      <w:numFmt w:val="lowerLetter"/>
      <w:lvlText w:val="%1)"/>
      <w:lvlJc w:val="start"/>
      <w:pPr>
        <w:tabs>
          <w:tab w:val="num" w:pos="0"/>
        </w:tabs>
        <w:ind w:start="1608" w:hanging="360"/>
      </w:pPr>
      <w:rPr>
        <w:u w:val="none"/>
      </w:rPr>
    </w:lvl>
    <w:lvl w:ilvl="1">
      <w:start w:val="1"/>
      <w:numFmt w:val="lowerLetter"/>
      <w:lvlText w:val="%2."/>
      <w:lvlJc w:val="start"/>
      <w:pPr>
        <w:tabs>
          <w:tab w:val="num" w:pos="0"/>
        </w:tabs>
        <w:ind w:start="2328" w:hanging="360"/>
      </w:pPr>
      <w:rPr>
        <w:u w:val="none"/>
      </w:rPr>
    </w:lvl>
    <w:lvl w:ilvl="2">
      <w:start w:val="1"/>
      <w:numFmt w:val="lowerRoman"/>
      <w:lvlText w:val="%3."/>
      <w:lvlJc w:val="end"/>
      <w:pPr>
        <w:tabs>
          <w:tab w:val="num" w:pos="0"/>
        </w:tabs>
        <w:ind w:start="3048" w:hanging="180"/>
      </w:pPr>
      <w:rPr>
        <w:u w:val="none"/>
      </w:rPr>
    </w:lvl>
    <w:lvl w:ilvl="3">
      <w:start w:val="1"/>
      <w:numFmt w:val="decimal"/>
      <w:lvlText w:val="%4."/>
      <w:lvlJc w:val="start"/>
      <w:pPr>
        <w:tabs>
          <w:tab w:val="num" w:pos="0"/>
        </w:tabs>
        <w:ind w:start="3768" w:hanging="360"/>
      </w:pPr>
      <w:rPr>
        <w:u w:val="none"/>
      </w:rPr>
    </w:lvl>
    <w:lvl w:ilvl="4">
      <w:start w:val="1"/>
      <w:numFmt w:val="lowerLetter"/>
      <w:lvlText w:val="%5."/>
      <w:lvlJc w:val="start"/>
      <w:pPr>
        <w:tabs>
          <w:tab w:val="num" w:pos="0"/>
        </w:tabs>
        <w:ind w:start="4488" w:hanging="360"/>
      </w:pPr>
      <w:rPr>
        <w:u w:val="none"/>
      </w:rPr>
    </w:lvl>
    <w:lvl w:ilvl="5">
      <w:start w:val="1"/>
      <w:numFmt w:val="lowerRoman"/>
      <w:lvlText w:val="%6."/>
      <w:lvlJc w:val="end"/>
      <w:pPr>
        <w:tabs>
          <w:tab w:val="num" w:pos="0"/>
        </w:tabs>
        <w:ind w:start="5208" w:hanging="180"/>
      </w:pPr>
      <w:rPr>
        <w:u w:val="none"/>
      </w:rPr>
    </w:lvl>
    <w:lvl w:ilvl="6">
      <w:start w:val="1"/>
      <w:numFmt w:val="decimal"/>
      <w:lvlText w:val="%7."/>
      <w:lvlJc w:val="start"/>
      <w:pPr>
        <w:tabs>
          <w:tab w:val="num" w:pos="0"/>
        </w:tabs>
        <w:ind w:start="5928" w:hanging="360"/>
      </w:pPr>
      <w:rPr>
        <w:u w:val="none"/>
      </w:rPr>
    </w:lvl>
    <w:lvl w:ilvl="7">
      <w:start w:val="1"/>
      <w:numFmt w:val="lowerLetter"/>
      <w:lvlText w:val="%8."/>
      <w:lvlJc w:val="start"/>
      <w:pPr>
        <w:tabs>
          <w:tab w:val="num" w:pos="0"/>
        </w:tabs>
        <w:ind w:start="6648" w:hanging="360"/>
      </w:pPr>
      <w:rPr>
        <w:u w:val="none"/>
      </w:rPr>
    </w:lvl>
    <w:lvl w:ilvl="8">
      <w:start w:val="1"/>
      <w:numFmt w:val="lowerRoman"/>
      <w:lvlText w:val="%9."/>
      <w:lvlJc w:val="end"/>
      <w:pPr>
        <w:tabs>
          <w:tab w:val="num" w:pos="0"/>
        </w:tabs>
        <w:ind w:start="7368" w:hanging="180"/>
      </w:pPr>
      <w:rPr>
        <w:u w:val="none"/>
      </w:rPr>
    </w:lvl>
  </w:abstractNum>
  <w:abstractNum w:abstractNumId="11">
    <w:lvl w:ilvl="0">
      <w:start w:val="1"/>
      <w:numFmt w:val="upperLetter"/>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36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36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360"/>
      </w:pPr>
      <w:rPr>
        <w:u w:val="none"/>
      </w:rPr>
    </w:lvl>
  </w:abstractNum>
  <w:abstractNum w:abstractNumId="12">
    <w:lvl w:ilvl="0">
      <w:start w:val="1"/>
      <w:numFmt w:val="lowerLetter"/>
      <w:lvlText w:val="%1)"/>
      <w:lvlJc w:val="start"/>
      <w:pPr>
        <w:tabs>
          <w:tab w:val="num" w:pos="0"/>
        </w:tabs>
        <w:ind w:start="1608" w:hanging="360"/>
      </w:pPr>
      <w:rPr>
        <w:u w:val="none"/>
      </w:rPr>
    </w:lvl>
    <w:lvl w:ilvl="1">
      <w:start w:val="1"/>
      <w:numFmt w:val="lowerLetter"/>
      <w:lvlText w:val="%2."/>
      <w:lvlJc w:val="start"/>
      <w:pPr>
        <w:tabs>
          <w:tab w:val="num" w:pos="0"/>
        </w:tabs>
        <w:ind w:start="2328" w:hanging="360"/>
      </w:pPr>
      <w:rPr>
        <w:u w:val="none"/>
      </w:rPr>
    </w:lvl>
    <w:lvl w:ilvl="2">
      <w:start w:val="1"/>
      <w:numFmt w:val="lowerRoman"/>
      <w:lvlText w:val="%3."/>
      <w:lvlJc w:val="end"/>
      <w:pPr>
        <w:tabs>
          <w:tab w:val="num" w:pos="0"/>
        </w:tabs>
        <w:ind w:start="3048" w:hanging="180"/>
      </w:pPr>
      <w:rPr>
        <w:u w:val="none"/>
      </w:rPr>
    </w:lvl>
    <w:lvl w:ilvl="3">
      <w:start w:val="1"/>
      <w:numFmt w:val="decimal"/>
      <w:lvlText w:val="%4."/>
      <w:lvlJc w:val="start"/>
      <w:pPr>
        <w:tabs>
          <w:tab w:val="num" w:pos="0"/>
        </w:tabs>
        <w:ind w:start="3768" w:hanging="360"/>
      </w:pPr>
      <w:rPr>
        <w:u w:val="none"/>
      </w:rPr>
    </w:lvl>
    <w:lvl w:ilvl="4">
      <w:start w:val="1"/>
      <w:numFmt w:val="lowerLetter"/>
      <w:lvlText w:val="%5."/>
      <w:lvlJc w:val="start"/>
      <w:pPr>
        <w:tabs>
          <w:tab w:val="num" w:pos="0"/>
        </w:tabs>
        <w:ind w:start="4488" w:hanging="360"/>
      </w:pPr>
      <w:rPr>
        <w:u w:val="none"/>
      </w:rPr>
    </w:lvl>
    <w:lvl w:ilvl="5">
      <w:start w:val="1"/>
      <w:numFmt w:val="lowerRoman"/>
      <w:lvlText w:val="%6."/>
      <w:lvlJc w:val="end"/>
      <w:pPr>
        <w:tabs>
          <w:tab w:val="num" w:pos="0"/>
        </w:tabs>
        <w:ind w:start="5208" w:hanging="180"/>
      </w:pPr>
      <w:rPr>
        <w:u w:val="none"/>
      </w:rPr>
    </w:lvl>
    <w:lvl w:ilvl="6">
      <w:start w:val="1"/>
      <w:numFmt w:val="decimal"/>
      <w:lvlText w:val="%7."/>
      <w:lvlJc w:val="start"/>
      <w:pPr>
        <w:tabs>
          <w:tab w:val="num" w:pos="0"/>
        </w:tabs>
        <w:ind w:start="5928" w:hanging="360"/>
      </w:pPr>
      <w:rPr>
        <w:u w:val="none"/>
      </w:rPr>
    </w:lvl>
    <w:lvl w:ilvl="7">
      <w:start w:val="1"/>
      <w:numFmt w:val="lowerLetter"/>
      <w:lvlText w:val="%8."/>
      <w:lvlJc w:val="start"/>
      <w:pPr>
        <w:tabs>
          <w:tab w:val="num" w:pos="0"/>
        </w:tabs>
        <w:ind w:start="6648" w:hanging="360"/>
      </w:pPr>
      <w:rPr>
        <w:u w:val="none"/>
      </w:rPr>
    </w:lvl>
    <w:lvl w:ilvl="8">
      <w:start w:val="1"/>
      <w:numFmt w:val="lowerRoman"/>
      <w:lvlText w:val="%9."/>
      <w:lvlJc w:val="end"/>
      <w:pPr>
        <w:tabs>
          <w:tab w:val="num" w:pos="0"/>
        </w:tabs>
        <w:ind w:start="7368" w:hanging="180"/>
      </w:pPr>
      <w:rPr>
        <w:u w:val="none"/>
      </w:rPr>
    </w:lvl>
  </w:abstractNum>
  <w:abstractNum w:abstractNumId="13">
    <w:lvl w:ilvl="0">
      <w:start w:val="1"/>
      <w:numFmt w:val="decimal"/>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36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36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360"/>
      </w:pPr>
      <w:rPr>
        <w:u w:val="none"/>
      </w:rPr>
    </w:lvl>
  </w:abstractNum>
  <w:abstractNum w:abstractNumId="14">
    <w:lvl w:ilvl="0">
      <w:start w:val="1"/>
      <w:numFmt w:val="upperRoman"/>
      <w:lvlText w:val="%1)"/>
      <w:lvlJc w:val="start"/>
      <w:pPr>
        <w:tabs>
          <w:tab w:val="num" w:pos="0"/>
        </w:tabs>
        <w:ind w:start="2136" w:hanging="720"/>
      </w:pPr>
      <w:rPr>
        <w:u w:val="none"/>
      </w:rPr>
    </w:lvl>
    <w:lvl w:ilvl="1">
      <w:start w:val="1"/>
      <w:numFmt w:val="lowerLetter"/>
      <w:lvlText w:val="%2."/>
      <w:lvlJc w:val="start"/>
      <w:pPr>
        <w:tabs>
          <w:tab w:val="num" w:pos="0"/>
        </w:tabs>
        <w:ind w:start="2496" w:hanging="360"/>
      </w:pPr>
      <w:rPr>
        <w:u w:val="none"/>
      </w:rPr>
    </w:lvl>
    <w:lvl w:ilvl="2">
      <w:start w:val="1"/>
      <w:numFmt w:val="lowerRoman"/>
      <w:lvlText w:val="%3."/>
      <w:lvlJc w:val="end"/>
      <w:pPr>
        <w:tabs>
          <w:tab w:val="num" w:pos="0"/>
        </w:tabs>
        <w:ind w:start="3216" w:hanging="180"/>
      </w:pPr>
      <w:rPr>
        <w:u w:val="none"/>
      </w:rPr>
    </w:lvl>
    <w:lvl w:ilvl="3">
      <w:start w:val="1"/>
      <w:numFmt w:val="decimal"/>
      <w:lvlText w:val="%4."/>
      <w:lvlJc w:val="start"/>
      <w:pPr>
        <w:tabs>
          <w:tab w:val="num" w:pos="0"/>
        </w:tabs>
        <w:ind w:start="3936" w:hanging="360"/>
      </w:pPr>
      <w:rPr>
        <w:u w:val="none"/>
      </w:rPr>
    </w:lvl>
    <w:lvl w:ilvl="4">
      <w:start w:val="1"/>
      <w:numFmt w:val="lowerLetter"/>
      <w:lvlText w:val="%5."/>
      <w:lvlJc w:val="start"/>
      <w:pPr>
        <w:tabs>
          <w:tab w:val="num" w:pos="0"/>
        </w:tabs>
        <w:ind w:start="4656" w:hanging="360"/>
      </w:pPr>
      <w:rPr>
        <w:u w:val="none"/>
      </w:rPr>
    </w:lvl>
    <w:lvl w:ilvl="5">
      <w:start w:val="1"/>
      <w:numFmt w:val="lowerRoman"/>
      <w:lvlText w:val="%6."/>
      <w:lvlJc w:val="end"/>
      <w:pPr>
        <w:tabs>
          <w:tab w:val="num" w:pos="0"/>
        </w:tabs>
        <w:ind w:start="5376" w:hanging="180"/>
      </w:pPr>
      <w:rPr>
        <w:u w:val="none"/>
      </w:rPr>
    </w:lvl>
    <w:lvl w:ilvl="6">
      <w:start w:val="1"/>
      <w:numFmt w:val="decimal"/>
      <w:lvlText w:val="%7."/>
      <w:lvlJc w:val="start"/>
      <w:pPr>
        <w:tabs>
          <w:tab w:val="num" w:pos="0"/>
        </w:tabs>
        <w:ind w:start="6096" w:hanging="360"/>
      </w:pPr>
      <w:rPr>
        <w:u w:val="none"/>
      </w:rPr>
    </w:lvl>
    <w:lvl w:ilvl="7">
      <w:start w:val="1"/>
      <w:numFmt w:val="lowerLetter"/>
      <w:lvlText w:val="%8."/>
      <w:lvlJc w:val="start"/>
      <w:pPr>
        <w:tabs>
          <w:tab w:val="num" w:pos="0"/>
        </w:tabs>
        <w:ind w:start="6816" w:hanging="360"/>
      </w:pPr>
      <w:rPr>
        <w:u w:val="none"/>
      </w:rPr>
    </w:lvl>
    <w:lvl w:ilvl="8">
      <w:start w:val="1"/>
      <w:numFmt w:val="lowerRoman"/>
      <w:lvlText w:val="%9."/>
      <w:lvlJc w:val="end"/>
      <w:pPr>
        <w:tabs>
          <w:tab w:val="num" w:pos="0"/>
        </w:tabs>
        <w:ind w:start="7536" w:hanging="180"/>
      </w:pPr>
      <w:rPr>
        <w:u w:val="none"/>
      </w:rPr>
    </w:lvl>
  </w:abstractNum>
  <w:abstractNum w:abstractNumId="15">
    <w:lvl w:ilvl="0">
      <w:start w:val="19"/>
      <w:numFmt w:val="decimal"/>
      <w:lvlText w:val="%1."/>
      <w:lvlJc w:val="start"/>
      <w:pPr>
        <w:tabs>
          <w:tab w:val="num" w:pos="0"/>
        </w:tabs>
        <w:ind w:start="360" w:hanging="360"/>
      </w:pPr>
      <w:rPr>
        <w:u w:val="none"/>
      </w:rPr>
    </w:lvl>
    <w:lvl w:ilvl="1">
      <w:start w:val="1"/>
      <w:numFmt w:val="decimal"/>
      <w:lvlText w:val="%1.%2."/>
      <w:lvlJc w:val="start"/>
      <w:pPr>
        <w:tabs>
          <w:tab w:val="num" w:pos="0"/>
        </w:tabs>
        <w:ind w:start="792" w:hanging="432"/>
      </w:pPr>
      <w:rPr>
        <w:u w:val="none"/>
      </w:rPr>
    </w:lvl>
    <w:lvl w:ilvl="2">
      <w:start w:val="1"/>
      <w:numFmt w:val="lowerLetter"/>
      <w:lvlText w:val="%3)"/>
      <w:lvlJc w:val="start"/>
      <w:pPr>
        <w:tabs>
          <w:tab w:val="num" w:pos="0"/>
        </w:tabs>
        <w:ind w:start="1224" w:hanging="504"/>
      </w:pPr>
      <w:rPr>
        <w:u w:val="none"/>
      </w:rPr>
    </w:lvl>
    <w:lvl w:ilvl="3">
      <w:start w:val="1"/>
      <w:numFmt w:val="decimal"/>
      <w:lvlText w:val="%1.%2.%3.%4."/>
      <w:lvlJc w:val="start"/>
      <w:pPr>
        <w:tabs>
          <w:tab w:val="num" w:pos="0"/>
        </w:tabs>
        <w:ind w:start="1728" w:hanging="647"/>
      </w:pPr>
      <w:rPr>
        <w:u w:val="none"/>
      </w:rPr>
    </w:lvl>
    <w:lvl w:ilvl="4">
      <w:start w:val="1"/>
      <w:numFmt w:val="decimal"/>
      <w:lvlText w:val="%1.%2.%3.%4.%5."/>
      <w:lvlJc w:val="start"/>
      <w:pPr>
        <w:tabs>
          <w:tab w:val="num" w:pos="0"/>
        </w:tabs>
        <w:ind w:start="2232" w:hanging="792"/>
      </w:pPr>
      <w:rPr>
        <w:u w:val="none"/>
      </w:rPr>
    </w:lvl>
    <w:lvl w:ilvl="5">
      <w:start w:val="1"/>
      <w:numFmt w:val="decimal"/>
      <w:lvlText w:val="%1.%2.%3.%4.%5.%6."/>
      <w:lvlJc w:val="start"/>
      <w:pPr>
        <w:tabs>
          <w:tab w:val="num" w:pos="0"/>
        </w:tabs>
        <w:ind w:start="2736" w:hanging="933"/>
      </w:pPr>
      <w:rPr>
        <w:u w:val="none"/>
      </w:rPr>
    </w:lvl>
    <w:lvl w:ilvl="6">
      <w:start w:val="1"/>
      <w:numFmt w:val="decimal"/>
      <w:lvlText w:val="%1.%2.%3.%4.%5.%6.%7."/>
      <w:lvlJc w:val="start"/>
      <w:pPr>
        <w:tabs>
          <w:tab w:val="num" w:pos="0"/>
        </w:tabs>
        <w:ind w:start="3240" w:hanging="1080"/>
      </w:pPr>
      <w:rPr>
        <w:u w:val="none"/>
      </w:rPr>
    </w:lvl>
    <w:lvl w:ilvl="7">
      <w:start w:val="1"/>
      <w:numFmt w:val="decimal"/>
      <w:lvlText w:val="%1.%2.%3.%4.%5.%6.%7.%8."/>
      <w:lvlJc w:val="start"/>
      <w:pPr>
        <w:tabs>
          <w:tab w:val="num" w:pos="0"/>
        </w:tabs>
        <w:ind w:start="3744" w:hanging="1224"/>
      </w:pPr>
      <w:rPr>
        <w:u w:val="none"/>
      </w:rPr>
    </w:lvl>
    <w:lvl w:ilvl="8">
      <w:start w:val="1"/>
      <w:numFmt w:val="decimal"/>
      <w:lvlText w:val="%1.%2.%3.%4.%5.%6.%7.%8.%9."/>
      <w:lvlJc w:val="start"/>
      <w:pPr>
        <w:tabs>
          <w:tab w:val="num" w:pos="0"/>
        </w:tabs>
        <w:ind w:start="4320" w:hanging="1440"/>
      </w:pPr>
      <w:rPr>
        <w:u w:val="none"/>
      </w:rPr>
    </w:lvl>
  </w:abstractNum>
  <w:abstractNum w:abstractNumId="16">
    <w:lvl w:ilvl="0">
      <w:start w:val="1"/>
      <w:numFmt w:val="lowerLetter"/>
      <w:lvlText w:val="%1)"/>
      <w:lvlJc w:val="start"/>
      <w:pPr>
        <w:tabs>
          <w:tab w:val="num" w:pos="0"/>
        </w:tabs>
        <w:ind w:start="2073" w:hanging="360"/>
      </w:pPr>
      <w:rPr>
        <w:u w:val="none"/>
      </w:rPr>
    </w:lvl>
    <w:lvl w:ilvl="1">
      <w:start w:val="1"/>
      <w:numFmt w:val="lowerLetter"/>
      <w:lvlText w:val="%2."/>
      <w:lvlJc w:val="start"/>
      <w:pPr>
        <w:tabs>
          <w:tab w:val="num" w:pos="0"/>
        </w:tabs>
        <w:ind w:start="2793" w:hanging="360"/>
      </w:pPr>
      <w:rPr>
        <w:u w:val="none"/>
      </w:rPr>
    </w:lvl>
    <w:lvl w:ilvl="2">
      <w:start w:val="1"/>
      <w:numFmt w:val="lowerRoman"/>
      <w:lvlText w:val="%3."/>
      <w:lvlJc w:val="end"/>
      <w:pPr>
        <w:tabs>
          <w:tab w:val="num" w:pos="0"/>
        </w:tabs>
        <w:ind w:start="3513" w:hanging="180"/>
      </w:pPr>
      <w:rPr>
        <w:u w:val="none"/>
      </w:rPr>
    </w:lvl>
    <w:lvl w:ilvl="3">
      <w:start w:val="1"/>
      <w:numFmt w:val="decimal"/>
      <w:lvlText w:val="%4."/>
      <w:lvlJc w:val="start"/>
      <w:pPr>
        <w:tabs>
          <w:tab w:val="num" w:pos="0"/>
        </w:tabs>
        <w:ind w:start="4233" w:hanging="360"/>
      </w:pPr>
      <w:rPr>
        <w:u w:val="none"/>
      </w:rPr>
    </w:lvl>
    <w:lvl w:ilvl="4">
      <w:start w:val="1"/>
      <w:numFmt w:val="lowerLetter"/>
      <w:lvlText w:val="%5."/>
      <w:lvlJc w:val="start"/>
      <w:pPr>
        <w:tabs>
          <w:tab w:val="num" w:pos="0"/>
        </w:tabs>
        <w:ind w:start="4953" w:hanging="360"/>
      </w:pPr>
      <w:rPr>
        <w:u w:val="none"/>
      </w:rPr>
    </w:lvl>
    <w:lvl w:ilvl="5">
      <w:start w:val="1"/>
      <w:numFmt w:val="lowerRoman"/>
      <w:lvlText w:val="%6."/>
      <w:lvlJc w:val="end"/>
      <w:pPr>
        <w:tabs>
          <w:tab w:val="num" w:pos="0"/>
        </w:tabs>
        <w:ind w:start="5673" w:hanging="180"/>
      </w:pPr>
      <w:rPr>
        <w:u w:val="none"/>
      </w:rPr>
    </w:lvl>
    <w:lvl w:ilvl="6">
      <w:start w:val="1"/>
      <w:numFmt w:val="decimal"/>
      <w:lvlText w:val="%7."/>
      <w:lvlJc w:val="start"/>
      <w:pPr>
        <w:tabs>
          <w:tab w:val="num" w:pos="0"/>
        </w:tabs>
        <w:ind w:start="6393" w:hanging="360"/>
      </w:pPr>
      <w:rPr>
        <w:u w:val="none"/>
      </w:rPr>
    </w:lvl>
    <w:lvl w:ilvl="7">
      <w:start w:val="1"/>
      <w:numFmt w:val="lowerLetter"/>
      <w:lvlText w:val="%8."/>
      <w:lvlJc w:val="start"/>
      <w:pPr>
        <w:tabs>
          <w:tab w:val="num" w:pos="0"/>
        </w:tabs>
        <w:ind w:start="7113" w:hanging="360"/>
      </w:pPr>
      <w:rPr>
        <w:u w:val="none"/>
      </w:rPr>
    </w:lvl>
    <w:lvl w:ilvl="8">
      <w:start w:val="1"/>
      <w:numFmt w:val="lowerRoman"/>
      <w:lvlText w:val="%9."/>
      <w:lvlJc w:val="end"/>
      <w:pPr>
        <w:tabs>
          <w:tab w:val="num" w:pos="0"/>
        </w:tabs>
        <w:ind w:start="7833" w:hanging="180"/>
      </w:pPr>
      <w:rPr>
        <w:u w:val="none"/>
      </w:rPr>
    </w:lvl>
  </w:abstractNum>
  <w:abstractNum w:abstractNumId="17">
    <w:lvl w:ilvl="0">
      <w:start w:val="11"/>
      <w:numFmt w:val="decimal"/>
      <w:lvlText w:val="%1."/>
      <w:lvlJc w:val="start"/>
      <w:pPr>
        <w:tabs>
          <w:tab w:val="num" w:pos="0"/>
        </w:tabs>
        <w:ind w:start="720" w:hanging="360"/>
      </w:pPr>
      <w:rPr>
        <w:u w:val="none"/>
      </w:rPr>
    </w:lvl>
    <w:lvl w:ilvl="1">
      <w:start w:val="1"/>
      <w:numFmt w:val="decimal"/>
      <w:lvlText w:val="%1.%2."/>
      <w:lvlJc w:val="start"/>
      <w:pPr>
        <w:tabs>
          <w:tab w:val="num" w:pos="0"/>
        </w:tabs>
        <w:ind w:start="1353" w:hanging="359"/>
      </w:pPr>
      <w:rPr>
        <w:u w:val="none"/>
      </w:rPr>
    </w:lvl>
    <w:lvl w:ilvl="2">
      <w:start w:val="1"/>
      <w:numFmt w:val="decimal"/>
      <w:lvlText w:val="%1.%2.%3."/>
      <w:lvlJc w:val="start"/>
      <w:pPr>
        <w:tabs>
          <w:tab w:val="num" w:pos="0"/>
        </w:tabs>
        <w:ind w:start="1800" w:hanging="720"/>
      </w:pPr>
      <w:rPr>
        <w:u w:val="none"/>
      </w:rPr>
    </w:lvl>
    <w:lvl w:ilvl="3">
      <w:start w:val="1"/>
      <w:numFmt w:val="decimal"/>
      <w:lvlText w:val="%1.%2.%3.%4."/>
      <w:lvlJc w:val="start"/>
      <w:pPr>
        <w:tabs>
          <w:tab w:val="num" w:pos="0"/>
        </w:tabs>
        <w:ind w:start="2160" w:hanging="720"/>
      </w:pPr>
      <w:rPr>
        <w:u w:val="none"/>
      </w:rPr>
    </w:lvl>
    <w:lvl w:ilvl="4">
      <w:start w:val="1"/>
      <w:numFmt w:val="decimal"/>
      <w:lvlText w:val="%1.%2.%3.%4.%5."/>
      <w:lvlJc w:val="start"/>
      <w:pPr>
        <w:tabs>
          <w:tab w:val="num" w:pos="0"/>
        </w:tabs>
        <w:ind w:start="2880" w:hanging="1080"/>
      </w:pPr>
      <w:rPr>
        <w:u w:val="none"/>
      </w:rPr>
    </w:lvl>
    <w:lvl w:ilvl="5">
      <w:start w:val="1"/>
      <w:numFmt w:val="decimal"/>
      <w:lvlText w:val="%1.%2.%3.%4.%5.%6."/>
      <w:lvlJc w:val="start"/>
      <w:pPr>
        <w:tabs>
          <w:tab w:val="num" w:pos="0"/>
        </w:tabs>
        <w:ind w:start="3240" w:hanging="1080"/>
      </w:pPr>
      <w:rPr>
        <w:u w:val="none"/>
      </w:rPr>
    </w:lvl>
    <w:lvl w:ilvl="6">
      <w:start w:val="1"/>
      <w:numFmt w:val="decimal"/>
      <w:lvlText w:val="%1.%2.%3.%4.%5.%6.%7."/>
      <w:lvlJc w:val="start"/>
      <w:pPr>
        <w:tabs>
          <w:tab w:val="num" w:pos="0"/>
        </w:tabs>
        <w:ind w:start="3960" w:hanging="1440"/>
      </w:pPr>
      <w:rPr>
        <w:u w:val="none"/>
      </w:rPr>
    </w:lvl>
    <w:lvl w:ilvl="7">
      <w:start w:val="1"/>
      <w:numFmt w:val="decimal"/>
      <w:lvlText w:val="%1.%2.%3.%4.%5.%6.%7.%8."/>
      <w:lvlJc w:val="start"/>
      <w:pPr>
        <w:tabs>
          <w:tab w:val="num" w:pos="0"/>
        </w:tabs>
        <w:ind w:start="4320" w:hanging="1440"/>
      </w:pPr>
      <w:rPr>
        <w:u w:val="none"/>
      </w:rPr>
    </w:lvl>
    <w:lvl w:ilvl="8">
      <w:start w:val="1"/>
      <w:numFmt w:val="decimal"/>
      <w:lvlText w:val="%1.%2.%3.%4.%5.%6.%7.%8.%9."/>
      <w:lvlJc w:val="start"/>
      <w:pPr>
        <w:tabs>
          <w:tab w:val="num" w:pos="0"/>
        </w:tabs>
        <w:ind w:start="5040" w:hanging="1800"/>
      </w:pPr>
      <w:rPr>
        <w:u w:val="none"/>
      </w:rPr>
    </w:lvl>
  </w:abstractNum>
  <w:abstractNum w:abstractNumId="18">
    <w:lvl w:ilvl="0">
      <w:start w:val="1"/>
      <w:numFmt w:val="decimal"/>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36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36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360"/>
      </w:pPr>
      <w:rPr>
        <w:u w:val="none"/>
      </w:rPr>
    </w:lvl>
  </w:abstractNum>
  <w:abstractNum w:abstractNumId="19">
    <w:lvl w:ilvl="0">
      <w:start w:val="1"/>
      <w:numFmt w:val="lowerLetter"/>
      <w:lvlText w:val="%1)"/>
      <w:lvlJc w:val="start"/>
      <w:pPr>
        <w:tabs>
          <w:tab w:val="num" w:pos="0"/>
        </w:tabs>
        <w:ind w:start="1287" w:hanging="360"/>
      </w:pPr>
      <w:rPr>
        <w:u w:val="none"/>
      </w:rPr>
    </w:lvl>
    <w:lvl w:ilvl="1">
      <w:start w:val="1"/>
      <w:numFmt w:val="decimal"/>
      <w:lvlText w:val="%2."/>
      <w:lvlJc w:val="start"/>
      <w:pPr>
        <w:tabs>
          <w:tab w:val="num" w:pos="0"/>
        </w:tabs>
        <w:ind w:start="2007" w:hanging="360"/>
      </w:pPr>
      <w:rPr>
        <w:u w:val="none"/>
      </w:rPr>
    </w:lvl>
    <w:lvl w:ilvl="2">
      <w:start w:val="1"/>
      <w:numFmt w:val="lowerRoman"/>
      <w:lvlText w:val="%3."/>
      <w:lvlJc w:val="end"/>
      <w:pPr>
        <w:tabs>
          <w:tab w:val="num" w:pos="0"/>
        </w:tabs>
        <w:ind w:start="2727" w:hanging="180"/>
      </w:pPr>
      <w:rPr>
        <w:u w:val="none"/>
      </w:rPr>
    </w:lvl>
    <w:lvl w:ilvl="3">
      <w:start w:val="1"/>
      <w:numFmt w:val="decimal"/>
      <w:lvlText w:val="%4."/>
      <w:lvlJc w:val="start"/>
      <w:pPr>
        <w:tabs>
          <w:tab w:val="num" w:pos="0"/>
        </w:tabs>
        <w:ind w:start="3447" w:hanging="360"/>
      </w:pPr>
      <w:rPr>
        <w:u w:val="none"/>
      </w:rPr>
    </w:lvl>
    <w:lvl w:ilvl="4">
      <w:start w:val="1"/>
      <w:numFmt w:val="lowerLetter"/>
      <w:lvlText w:val="%5."/>
      <w:lvlJc w:val="start"/>
      <w:pPr>
        <w:tabs>
          <w:tab w:val="num" w:pos="0"/>
        </w:tabs>
        <w:ind w:start="4167" w:hanging="360"/>
      </w:pPr>
      <w:rPr>
        <w:u w:val="none"/>
      </w:rPr>
    </w:lvl>
    <w:lvl w:ilvl="5">
      <w:start w:val="1"/>
      <w:numFmt w:val="lowerRoman"/>
      <w:lvlText w:val="%6."/>
      <w:lvlJc w:val="end"/>
      <w:pPr>
        <w:tabs>
          <w:tab w:val="num" w:pos="0"/>
        </w:tabs>
        <w:ind w:start="4887" w:hanging="180"/>
      </w:pPr>
      <w:rPr>
        <w:u w:val="none"/>
      </w:rPr>
    </w:lvl>
    <w:lvl w:ilvl="6">
      <w:start w:val="1"/>
      <w:numFmt w:val="decimal"/>
      <w:lvlText w:val="%7."/>
      <w:lvlJc w:val="start"/>
      <w:pPr>
        <w:tabs>
          <w:tab w:val="num" w:pos="0"/>
        </w:tabs>
        <w:ind w:start="5607" w:hanging="360"/>
      </w:pPr>
      <w:rPr>
        <w:u w:val="none"/>
      </w:rPr>
    </w:lvl>
    <w:lvl w:ilvl="7">
      <w:start w:val="1"/>
      <w:numFmt w:val="lowerLetter"/>
      <w:lvlText w:val="%8."/>
      <w:lvlJc w:val="start"/>
      <w:pPr>
        <w:tabs>
          <w:tab w:val="num" w:pos="0"/>
        </w:tabs>
        <w:ind w:start="6327" w:hanging="360"/>
      </w:pPr>
      <w:rPr>
        <w:u w:val="none"/>
      </w:rPr>
    </w:lvl>
    <w:lvl w:ilvl="8">
      <w:start w:val="1"/>
      <w:numFmt w:val="lowerRoman"/>
      <w:lvlText w:val="%9."/>
      <w:lvlJc w:val="end"/>
      <w:pPr>
        <w:tabs>
          <w:tab w:val="num" w:pos="0"/>
        </w:tabs>
        <w:ind w:start="7047" w:hanging="180"/>
      </w:pPr>
      <w:rPr>
        <w:u w:val="none"/>
      </w:rPr>
    </w:lvl>
  </w:abstractNum>
  <w:abstractNum w:abstractNumId="20">
    <w:lvl w:ilvl="0">
      <w:start w:val="8"/>
      <w:numFmt w:val="decimal"/>
      <w:lvlText w:val="%1."/>
      <w:lvlJc w:val="start"/>
      <w:pPr>
        <w:tabs>
          <w:tab w:val="num" w:pos="0"/>
        </w:tabs>
        <w:ind w:start="720" w:hanging="360"/>
      </w:pPr>
      <w:rPr>
        <w:u w:val="none"/>
      </w:rPr>
    </w:lvl>
    <w:lvl w:ilvl="1">
      <w:start w:val="1"/>
      <w:numFmt w:val="decimal"/>
      <w:lvlText w:val="%1.%2."/>
      <w:lvlJc w:val="start"/>
      <w:pPr>
        <w:tabs>
          <w:tab w:val="num" w:pos="0"/>
        </w:tabs>
        <w:ind w:start="1353" w:hanging="359"/>
      </w:pPr>
      <w:rPr>
        <w:u w:val="none"/>
      </w:rPr>
    </w:lvl>
    <w:lvl w:ilvl="2">
      <w:start w:val="1"/>
      <w:numFmt w:val="decimal"/>
      <w:lvlText w:val="%1.%2.%3."/>
      <w:lvlJc w:val="start"/>
      <w:pPr>
        <w:tabs>
          <w:tab w:val="num" w:pos="0"/>
        </w:tabs>
        <w:ind w:start="1800" w:hanging="720"/>
      </w:pPr>
      <w:rPr>
        <w:u w:val="none"/>
      </w:rPr>
    </w:lvl>
    <w:lvl w:ilvl="3">
      <w:start w:val="1"/>
      <w:numFmt w:val="decimal"/>
      <w:lvlText w:val="%1.%2.%3.%4."/>
      <w:lvlJc w:val="start"/>
      <w:pPr>
        <w:tabs>
          <w:tab w:val="num" w:pos="0"/>
        </w:tabs>
        <w:ind w:start="2160" w:hanging="720"/>
      </w:pPr>
      <w:rPr>
        <w:u w:val="none"/>
      </w:rPr>
    </w:lvl>
    <w:lvl w:ilvl="4">
      <w:start w:val="1"/>
      <w:numFmt w:val="decimal"/>
      <w:lvlText w:val="%1.%2.%3.%4.%5."/>
      <w:lvlJc w:val="start"/>
      <w:pPr>
        <w:tabs>
          <w:tab w:val="num" w:pos="0"/>
        </w:tabs>
        <w:ind w:start="2880" w:hanging="1080"/>
      </w:pPr>
      <w:rPr>
        <w:u w:val="none"/>
      </w:rPr>
    </w:lvl>
    <w:lvl w:ilvl="5">
      <w:start w:val="1"/>
      <w:numFmt w:val="decimal"/>
      <w:lvlText w:val="%1.%2.%3.%4.%5.%6."/>
      <w:lvlJc w:val="start"/>
      <w:pPr>
        <w:tabs>
          <w:tab w:val="num" w:pos="0"/>
        </w:tabs>
        <w:ind w:start="3240" w:hanging="1080"/>
      </w:pPr>
      <w:rPr>
        <w:u w:val="none"/>
      </w:rPr>
    </w:lvl>
    <w:lvl w:ilvl="6">
      <w:start w:val="1"/>
      <w:numFmt w:val="decimal"/>
      <w:lvlText w:val="%1.%2.%3.%4.%5.%6.%7."/>
      <w:lvlJc w:val="start"/>
      <w:pPr>
        <w:tabs>
          <w:tab w:val="num" w:pos="0"/>
        </w:tabs>
        <w:ind w:start="3960" w:hanging="1440"/>
      </w:pPr>
      <w:rPr>
        <w:u w:val="none"/>
      </w:rPr>
    </w:lvl>
    <w:lvl w:ilvl="7">
      <w:start w:val="1"/>
      <w:numFmt w:val="decimal"/>
      <w:lvlText w:val="%1.%2.%3.%4.%5.%6.%7.%8."/>
      <w:lvlJc w:val="start"/>
      <w:pPr>
        <w:tabs>
          <w:tab w:val="num" w:pos="0"/>
        </w:tabs>
        <w:ind w:start="4320" w:hanging="1440"/>
      </w:pPr>
      <w:rPr>
        <w:u w:val="none"/>
      </w:rPr>
    </w:lvl>
    <w:lvl w:ilvl="8">
      <w:start w:val="1"/>
      <w:numFmt w:val="decimal"/>
      <w:lvlText w:val="%1.%2.%3.%4.%5.%6.%7.%8.%9."/>
      <w:lvlJc w:val="start"/>
      <w:pPr>
        <w:tabs>
          <w:tab w:val="num" w:pos="0"/>
        </w:tabs>
        <w:ind w:start="5040" w:hanging="1800"/>
      </w:pPr>
      <w:rPr>
        <w:u w:val="none"/>
      </w:rPr>
    </w:lvl>
  </w:abstractNum>
  <w:abstractNum w:abstractNumId="21">
    <w:lvl w:ilvl="0">
      <w:start w:val="1"/>
      <w:numFmt w:val="upperLetter"/>
      <w:lvlText w:val="%1."/>
      <w:lvlJc w:val="start"/>
      <w:pPr>
        <w:tabs>
          <w:tab w:val="num" w:pos="0"/>
        </w:tabs>
        <w:ind w:start="720" w:hanging="360"/>
      </w:pPr>
      <w:rPr>
        <w:u w:val="none"/>
      </w:rPr>
    </w:lvl>
    <w:lvl w:ilvl="1">
      <w:start w:val="1"/>
      <w:numFmt w:val="upperRoman"/>
      <w:lvlText w:val="%2."/>
      <w:lvlJc w:val="end"/>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22">
    <w:lvl w:ilvl="0">
      <w:start w:val="1"/>
      <w:numFmt w:val="decimal"/>
      <w:lvlText w:val="%1."/>
      <w:lvlJc w:val="start"/>
      <w:pPr>
        <w:tabs>
          <w:tab w:val="num" w:pos="0"/>
        </w:tabs>
        <w:ind w:start="360" w:hanging="360"/>
      </w:pPr>
      <w:rPr>
        <w:rFonts w:ascii="Arial" w:hAnsi="Arial" w:eastAsia="Arial" w:cs="Arial"/>
        <w:b/>
        <w:bCs/>
        <w:position w:val="0"/>
        <w:sz w:val="20"/>
        <w:vertAlign w:val="baseline"/>
      </w:rPr>
    </w:lvl>
    <w:lvl w:ilvl="1">
      <w:start w:val="1"/>
      <w:numFmt w:val="decimal"/>
      <w:lvlText w:val="%1.%2."/>
      <w:lvlJc w:val="start"/>
      <w:pPr>
        <w:tabs>
          <w:tab w:val="num" w:pos="0"/>
        </w:tabs>
        <w:ind w:start="792" w:hanging="432"/>
      </w:pPr>
      <w:rPr>
        <w:position w:val="0"/>
        <w:sz w:val="20"/>
        <w:vertAlign w:val="baseline"/>
      </w:rPr>
    </w:lvl>
    <w:lvl w:ilvl="2">
      <w:start w:val="1"/>
      <w:numFmt w:val="decimal"/>
      <w:lvlText w:val="%1.%2.%3."/>
      <w:lvlJc w:val="start"/>
      <w:pPr>
        <w:tabs>
          <w:tab w:val="num" w:pos="0"/>
        </w:tabs>
        <w:ind w:start="1224" w:hanging="504"/>
      </w:pPr>
      <w:rPr>
        <w:position w:val="0"/>
        <w:sz w:val="20"/>
        <w:vertAlign w:val="baseline"/>
      </w:rPr>
    </w:lvl>
    <w:lvl w:ilvl="3">
      <w:start w:val="1"/>
      <w:numFmt w:val="decimal"/>
      <w:lvlText w:val="%1.%2.%3.%4."/>
      <w:lvlJc w:val="start"/>
      <w:pPr>
        <w:tabs>
          <w:tab w:val="num" w:pos="0"/>
        </w:tabs>
        <w:ind w:start="1728" w:hanging="647"/>
      </w:pPr>
      <w:rPr>
        <w:position w:val="0"/>
        <w:sz w:val="20"/>
        <w:vertAlign w:val="baseline"/>
      </w:rPr>
    </w:lvl>
    <w:lvl w:ilvl="4">
      <w:start w:val="1"/>
      <w:numFmt w:val="decimal"/>
      <w:lvlText w:val="%1.%2.%3.%4.%5."/>
      <w:lvlJc w:val="start"/>
      <w:pPr>
        <w:tabs>
          <w:tab w:val="num" w:pos="0"/>
        </w:tabs>
        <w:ind w:start="2232" w:hanging="792"/>
      </w:pPr>
      <w:rPr>
        <w:position w:val="0"/>
        <w:sz w:val="20"/>
        <w:vertAlign w:val="baseline"/>
      </w:rPr>
    </w:lvl>
    <w:lvl w:ilvl="5">
      <w:start w:val="1"/>
      <w:numFmt w:val="decimal"/>
      <w:lvlText w:val="%1.%2.%3.%4.%5.%6."/>
      <w:lvlJc w:val="start"/>
      <w:pPr>
        <w:tabs>
          <w:tab w:val="num" w:pos="0"/>
        </w:tabs>
        <w:ind w:start="2736" w:hanging="933"/>
      </w:pPr>
      <w:rPr>
        <w:position w:val="0"/>
        <w:sz w:val="20"/>
        <w:vertAlign w:val="baseline"/>
      </w:rPr>
    </w:lvl>
    <w:lvl w:ilvl="6">
      <w:start w:val="1"/>
      <w:numFmt w:val="decimal"/>
      <w:lvlText w:val="%1.%2.%3.%4.%5.%6.%7."/>
      <w:lvlJc w:val="start"/>
      <w:pPr>
        <w:tabs>
          <w:tab w:val="num" w:pos="0"/>
        </w:tabs>
        <w:ind w:start="3240" w:hanging="1080"/>
      </w:pPr>
      <w:rPr>
        <w:position w:val="0"/>
        <w:sz w:val="20"/>
        <w:vertAlign w:val="baseline"/>
      </w:rPr>
    </w:lvl>
    <w:lvl w:ilvl="7">
      <w:start w:val="1"/>
      <w:numFmt w:val="decimal"/>
      <w:lvlText w:val="%1.%2.%3.%4.%5.%6.%7.%8."/>
      <w:lvlJc w:val="start"/>
      <w:pPr>
        <w:tabs>
          <w:tab w:val="num" w:pos="0"/>
        </w:tabs>
        <w:ind w:start="3744" w:hanging="1224"/>
      </w:pPr>
      <w:rPr>
        <w:position w:val="0"/>
        <w:sz w:val="20"/>
        <w:vertAlign w:val="baseline"/>
      </w:rPr>
    </w:lvl>
    <w:lvl w:ilvl="8">
      <w:start w:val="1"/>
      <w:numFmt w:val="decimal"/>
      <w:lvlText w:val="%1.%2.%3.%4.%5.%6.%7.%8.%9."/>
      <w:lvlJc w:val="start"/>
      <w:pPr>
        <w:tabs>
          <w:tab w:val="num" w:pos="0"/>
        </w:tabs>
        <w:ind w:start="4320" w:hanging="1440"/>
      </w:pPr>
      <w:rPr>
        <w:position w:val="0"/>
        <w:sz w:val="20"/>
        <w:vertAlign w:val="baseline"/>
      </w:rPr>
    </w:lvl>
  </w:abstractNum>
  <w:abstractNum w:abstractNumId="23">
    <w:lvl w:ilvl="0">
      <w:start w:val="1"/>
      <w:numFmt w:val="decimal"/>
      <w:lvlText w:val="%1."/>
      <w:lvlJc w:val="start"/>
      <w:pPr>
        <w:tabs>
          <w:tab w:val="num" w:pos="0"/>
        </w:tabs>
        <w:ind w:start="1080" w:hanging="360"/>
      </w:pPr>
      <w:rPr>
        <w:rFonts w:ascii="Arial" w:hAnsi="Arial" w:eastAsia="Arial" w:cs="Arial"/>
        <w:b/>
        <w:bCs/>
        <w:position w:val="0"/>
        <w:sz w:val="20"/>
        <w:vertAlign w:val="baseline"/>
      </w:rPr>
    </w:lvl>
    <w:lvl w:ilvl="1">
      <w:start w:val="1"/>
      <w:numFmt w:val="decimal"/>
      <w:lvlText w:val="%1.%2."/>
      <w:lvlJc w:val="start"/>
      <w:pPr>
        <w:tabs>
          <w:tab w:val="num" w:pos="0"/>
        </w:tabs>
        <w:ind w:start="1145" w:hanging="0"/>
      </w:pPr>
      <w:rPr>
        <w:b w:val="false"/>
        <w:bCs w:val="false"/>
        <w:color w:val="000000"/>
        <w:position w:val="0"/>
        <w:sz w:val="22"/>
        <w:szCs w:val="22"/>
        <w:u w:val="none"/>
        <w:shd w:fill="auto" w:val="clear"/>
        <w:vertAlign w:val="baseline"/>
      </w:rPr>
    </w:lvl>
    <w:lvl w:ilvl="2">
      <w:start w:val="1"/>
      <w:numFmt w:val="decimal"/>
      <w:lvlText w:val="%1.%2.%3."/>
      <w:lvlJc w:val="start"/>
      <w:pPr>
        <w:tabs>
          <w:tab w:val="num" w:pos="0"/>
        </w:tabs>
        <w:ind w:start="2075" w:hanging="504"/>
      </w:pPr>
      <w:rPr>
        <w:color w:val="000000"/>
        <w:position w:val="0"/>
        <w:sz w:val="20"/>
        <w:vertAlign w:val="baseline"/>
      </w:rPr>
    </w:lvl>
    <w:lvl w:ilvl="3">
      <w:start w:val="1"/>
      <w:numFmt w:val="decimal"/>
      <w:lvlText w:val="%1.%2.%3.%4."/>
      <w:lvlJc w:val="start"/>
      <w:pPr>
        <w:tabs>
          <w:tab w:val="num" w:pos="0"/>
        </w:tabs>
        <w:ind w:start="2448" w:hanging="647"/>
      </w:pPr>
      <w:rPr>
        <w:position w:val="0"/>
        <w:sz w:val="20"/>
        <w:vertAlign w:val="baseline"/>
      </w:rPr>
    </w:lvl>
    <w:lvl w:ilvl="4">
      <w:start w:val="1"/>
      <w:numFmt w:val="decimal"/>
      <w:lvlText w:val="%1.%2.%3.%4.%5."/>
      <w:lvlJc w:val="start"/>
      <w:pPr>
        <w:tabs>
          <w:tab w:val="num" w:pos="0"/>
        </w:tabs>
        <w:ind w:start="2952" w:hanging="792"/>
      </w:pPr>
      <w:rPr>
        <w:position w:val="0"/>
        <w:sz w:val="20"/>
        <w:vertAlign w:val="baseline"/>
      </w:rPr>
    </w:lvl>
    <w:lvl w:ilvl="5">
      <w:start w:val="1"/>
      <w:numFmt w:val="decimal"/>
      <w:lvlText w:val="%1.%2.%3.%4.%5.%6."/>
      <w:lvlJc w:val="start"/>
      <w:pPr>
        <w:tabs>
          <w:tab w:val="num" w:pos="0"/>
        </w:tabs>
        <w:ind w:start="3456" w:hanging="934"/>
      </w:pPr>
      <w:rPr>
        <w:position w:val="0"/>
        <w:sz w:val="20"/>
        <w:vertAlign w:val="baseline"/>
      </w:rPr>
    </w:lvl>
    <w:lvl w:ilvl="6">
      <w:start w:val="1"/>
      <w:numFmt w:val="decimal"/>
      <w:lvlText w:val="%1.%2.%3.%4.%5.%6.%7."/>
      <w:lvlJc w:val="start"/>
      <w:pPr>
        <w:tabs>
          <w:tab w:val="num" w:pos="0"/>
        </w:tabs>
        <w:ind w:start="3960" w:hanging="1080"/>
      </w:pPr>
      <w:rPr>
        <w:position w:val="0"/>
        <w:sz w:val="20"/>
        <w:vertAlign w:val="baseline"/>
      </w:rPr>
    </w:lvl>
    <w:lvl w:ilvl="7">
      <w:start w:val="1"/>
      <w:numFmt w:val="decimal"/>
      <w:lvlText w:val="%1.%2.%3.%4.%5.%6.%7.%8."/>
      <w:lvlJc w:val="start"/>
      <w:pPr>
        <w:tabs>
          <w:tab w:val="num" w:pos="0"/>
        </w:tabs>
        <w:ind w:start="4464" w:hanging="1224"/>
      </w:pPr>
      <w:rPr>
        <w:position w:val="0"/>
        <w:sz w:val="20"/>
        <w:vertAlign w:val="baseline"/>
      </w:rPr>
    </w:lvl>
    <w:lvl w:ilvl="8">
      <w:start w:val="1"/>
      <w:numFmt w:val="decimal"/>
      <w:lvlText w:val="%1.%2.%3.%4.%5.%6.%7.%8.%9."/>
      <w:lvlJc w:val="start"/>
      <w:pPr>
        <w:tabs>
          <w:tab w:val="num" w:pos="0"/>
        </w:tabs>
        <w:ind w:start="5040" w:hanging="1440"/>
      </w:pPr>
      <w:rPr>
        <w:position w:val="0"/>
        <w:sz w:val="20"/>
        <w:vertAlign w:val="baseline"/>
      </w:rPr>
    </w:lvl>
  </w:abstractNum>
  <w:abstractNum w:abstractNumId="24">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25">
    <w:lvl w:ilvl="0">
      <w:start w:val="5"/>
      <w:numFmt w:val="decimal"/>
      <w:lvlText w:val="%1."/>
      <w:lvlJc w:val="start"/>
      <w:pPr>
        <w:tabs>
          <w:tab w:val="num" w:pos="0"/>
        </w:tabs>
        <w:ind w:start="720" w:hanging="360"/>
      </w:pPr>
      <w:rPr>
        <w:u w:val="none"/>
      </w:rPr>
    </w:lvl>
    <w:lvl w:ilvl="1">
      <w:start w:val="1"/>
      <w:numFmt w:val="decimal"/>
      <w:lvlText w:val="%1.%2."/>
      <w:lvlJc w:val="start"/>
      <w:pPr>
        <w:tabs>
          <w:tab w:val="num" w:pos="0"/>
        </w:tabs>
        <w:ind w:start="1353" w:hanging="359"/>
      </w:pPr>
      <w:rPr>
        <w:u w:val="none"/>
      </w:rPr>
    </w:lvl>
    <w:lvl w:ilvl="2">
      <w:start w:val="1"/>
      <w:numFmt w:val="decimal"/>
      <w:lvlText w:val="%1.%2.%3."/>
      <w:lvlJc w:val="start"/>
      <w:pPr>
        <w:tabs>
          <w:tab w:val="num" w:pos="0"/>
        </w:tabs>
        <w:ind w:start="1800" w:hanging="720"/>
      </w:pPr>
      <w:rPr>
        <w:u w:val="none"/>
      </w:rPr>
    </w:lvl>
    <w:lvl w:ilvl="3">
      <w:start w:val="1"/>
      <w:numFmt w:val="decimal"/>
      <w:lvlText w:val="%1.%2.%3.%4."/>
      <w:lvlJc w:val="start"/>
      <w:pPr>
        <w:tabs>
          <w:tab w:val="num" w:pos="0"/>
        </w:tabs>
        <w:ind w:start="2160" w:hanging="720"/>
      </w:pPr>
      <w:rPr>
        <w:u w:val="none"/>
      </w:rPr>
    </w:lvl>
    <w:lvl w:ilvl="4">
      <w:start w:val="1"/>
      <w:numFmt w:val="decimal"/>
      <w:lvlText w:val="%1.%2.%3.%4.%5."/>
      <w:lvlJc w:val="start"/>
      <w:pPr>
        <w:tabs>
          <w:tab w:val="num" w:pos="0"/>
        </w:tabs>
        <w:ind w:start="2880" w:hanging="1080"/>
      </w:pPr>
      <w:rPr>
        <w:u w:val="none"/>
      </w:rPr>
    </w:lvl>
    <w:lvl w:ilvl="5">
      <w:start w:val="1"/>
      <w:numFmt w:val="decimal"/>
      <w:lvlText w:val="%1.%2.%3.%4.%5.%6."/>
      <w:lvlJc w:val="start"/>
      <w:pPr>
        <w:tabs>
          <w:tab w:val="num" w:pos="0"/>
        </w:tabs>
        <w:ind w:start="3240" w:hanging="1080"/>
      </w:pPr>
      <w:rPr>
        <w:u w:val="none"/>
      </w:rPr>
    </w:lvl>
    <w:lvl w:ilvl="6">
      <w:start w:val="1"/>
      <w:numFmt w:val="decimal"/>
      <w:lvlText w:val="%1.%2.%3.%4.%5.%6.%7."/>
      <w:lvlJc w:val="start"/>
      <w:pPr>
        <w:tabs>
          <w:tab w:val="num" w:pos="0"/>
        </w:tabs>
        <w:ind w:start="3960" w:hanging="1440"/>
      </w:pPr>
      <w:rPr>
        <w:u w:val="none"/>
      </w:rPr>
    </w:lvl>
    <w:lvl w:ilvl="7">
      <w:start w:val="1"/>
      <w:numFmt w:val="decimal"/>
      <w:lvlText w:val="%1.%2.%3.%4.%5.%6.%7.%8."/>
      <w:lvlJc w:val="start"/>
      <w:pPr>
        <w:tabs>
          <w:tab w:val="num" w:pos="0"/>
        </w:tabs>
        <w:ind w:start="4320" w:hanging="1440"/>
      </w:pPr>
      <w:rPr>
        <w:u w:val="none"/>
      </w:rPr>
    </w:lvl>
    <w:lvl w:ilvl="8">
      <w:start w:val="1"/>
      <w:numFmt w:val="decimal"/>
      <w:lvlText w:val="%1.%2.%3.%4.%5.%6.%7.%8.%9."/>
      <w:lvlJc w:val="start"/>
      <w:pPr>
        <w:tabs>
          <w:tab w:val="num" w:pos="0"/>
        </w:tabs>
        <w:ind w:start="5040" w:hanging="1800"/>
      </w:pPr>
      <w:rPr>
        <w:u w:val="none"/>
      </w:rPr>
    </w:lvl>
  </w:abstractNum>
  <w:abstractNum w:abstractNumId="26">
    <w:lvl w:ilvl="0">
      <w:start w:val="1"/>
      <w:numFmt w:val="lowerLetter"/>
      <w:lvlText w:val="%1)"/>
      <w:lvlJc w:val="start"/>
      <w:pPr>
        <w:tabs>
          <w:tab w:val="num" w:pos="0"/>
        </w:tabs>
        <w:ind w:start="2073"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27">
    <w:lvl w:ilvl="0">
      <w:start w:val="19"/>
      <w:numFmt w:val="decimal"/>
      <w:lvlText w:val="%1."/>
      <w:lvlJc w:val="start"/>
      <w:pPr>
        <w:tabs>
          <w:tab w:val="num" w:pos="0"/>
        </w:tabs>
        <w:ind w:start="360" w:hanging="360"/>
      </w:pPr>
      <w:rPr>
        <w:u w:val="none"/>
      </w:rPr>
    </w:lvl>
    <w:lvl w:ilvl="1">
      <w:start w:val="1"/>
      <w:numFmt w:val="decimal"/>
      <w:lvlText w:val="%1.%2."/>
      <w:lvlJc w:val="start"/>
      <w:pPr>
        <w:tabs>
          <w:tab w:val="num" w:pos="0"/>
        </w:tabs>
        <w:ind w:start="792" w:hanging="432"/>
      </w:pPr>
      <w:rPr>
        <w:u w:val="none"/>
      </w:rPr>
    </w:lvl>
    <w:lvl w:ilvl="2">
      <w:start w:val="1"/>
      <w:numFmt w:val="lowerLetter"/>
      <w:lvlText w:val="%3)"/>
      <w:lvlJc w:val="start"/>
      <w:pPr>
        <w:tabs>
          <w:tab w:val="num" w:pos="0"/>
        </w:tabs>
        <w:ind w:start="1224" w:hanging="504"/>
      </w:pPr>
      <w:rPr>
        <w:u w:val="none"/>
      </w:rPr>
    </w:lvl>
    <w:lvl w:ilvl="3">
      <w:start w:val="1"/>
      <w:numFmt w:val="decimal"/>
      <w:lvlText w:val="%1.%2.%3.%4."/>
      <w:lvlJc w:val="start"/>
      <w:pPr>
        <w:tabs>
          <w:tab w:val="num" w:pos="0"/>
        </w:tabs>
        <w:ind w:start="1728" w:hanging="647"/>
      </w:pPr>
      <w:rPr>
        <w:u w:val="none"/>
      </w:rPr>
    </w:lvl>
    <w:lvl w:ilvl="4">
      <w:start w:val="1"/>
      <w:numFmt w:val="decimal"/>
      <w:lvlText w:val="%1.%2.%3.%4.%5."/>
      <w:lvlJc w:val="start"/>
      <w:pPr>
        <w:tabs>
          <w:tab w:val="num" w:pos="0"/>
        </w:tabs>
        <w:ind w:start="2232" w:hanging="792"/>
      </w:pPr>
      <w:rPr>
        <w:u w:val="none"/>
      </w:rPr>
    </w:lvl>
    <w:lvl w:ilvl="5">
      <w:start w:val="1"/>
      <w:numFmt w:val="decimal"/>
      <w:lvlText w:val="%1.%2.%3.%4.%5.%6."/>
      <w:lvlJc w:val="start"/>
      <w:pPr>
        <w:tabs>
          <w:tab w:val="num" w:pos="0"/>
        </w:tabs>
        <w:ind w:start="2736" w:hanging="933"/>
      </w:pPr>
      <w:rPr>
        <w:u w:val="none"/>
      </w:rPr>
    </w:lvl>
    <w:lvl w:ilvl="6">
      <w:start w:val="1"/>
      <w:numFmt w:val="decimal"/>
      <w:lvlText w:val="%1.%2.%3.%4.%5.%6.%7."/>
      <w:lvlJc w:val="start"/>
      <w:pPr>
        <w:tabs>
          <w:tab w:val="num" w:pos="0"/>
        </w:tabs>
        <w:ind w:start="3240" w:hanging="1080"/>
      </w:pPr>
      <w:rPr>
        <w:u w:val="none"/>
      </w:rPr>
    </w:lvl>
    <w:lvl w:ilvl="7">
      <w:start w:val="1"/>
      <w:numFmt w:val="decimal"/>
      <w:lvlText w:val="%1.%2.%3.%4.%5.%6.%7.%8."/>
      <w:lvlJc w:val="start"/>
      <w:pPr>
        <w:tabs>
          <w:tab w:val="num" w:pos="0"/>
        </w:tabs>
        <w:ind w:start="3744" w:hanging="1224"/>
      </w:pPr>
      <w:rPr>
        <w:u w:val="none"/>
      </w:rPr>
    </w:lvl>
    <w:lvl w:ilvl="8">
      <w:start w:val="1"/>
      <w:numFmt w:val="decimal"/>
      <w:lvlText w:val="%1.%2.%3.%4.%5.%6.%7.%8.%9."/>
      <w:lvlJc w:val="start"/>
      <w:pPr>
        <w:tabs>
          <w:tab w:val="num" w:pos="0"/>
        </w:tabs>
        <w:ind w:start="4320" w:hanging="1440"/>
      </w:pPr>
      <w:rPr>
        <w:u w:val="none"/>
      </w:rPr>
    </w:lvl>
  </w:abstractNum>
  <w:abstractNum w:abstractNumId="28">
    <w:lvl w:ilvl="0">
      <w:start w:val="10"/>
      <w:numFmt w:val="decimal"/>
      <w:lvlText w:val="%1."/>
      <w:lvlJc w:val="start"/>
      <w:pPr>
        <w:tabs>
          <w:tab w:val="num" w:pos="0"/>
        </w:tabs>
        <w:ind w:start="720" w:hanging="360"/>
      </w:pPr>
      <w:rPr>
        <w:u w:val="none"/>
      </w:rPr>
    </w:lvl>
    <w:lvl w:ilvl="1">
      <w:start w:val="1"/>
      <w:numFmt w:val="decimal"/>
      <w:lvlText w:val="%1.%2."/>
      <w:lvlJc w:val="start"/>
      <w:pPr>
        <w:tabs>
          <w:tab w:val="num" w:pos="0"/>
        </w:tabs>
        <w:ind w:start="1353" w:hanging="359"/>
      </w:pPr>
      <w:rPr>
        <w:u w:val="none"/>
      </w:rPr>
    </w:lvl>
    <w:lvl w:ilvl="2">
      <w:start w:val="1"/>
      <w:numFmt w:val="decimal"/>
      <w:lvlText w:val="%1.%2.%3."/>
      <w:lvlJc w:val="start"/>
      <w:pPr>
        <w:tabs>
          <w:tab w:val="num" w:pos="0"/>
        </w:tabs>
        <w:ind w:start="1800" w:hanging="720"/>
      </w:pPr>
      <w:rPr>
        <w:u w:val="none"/>
      </w:rPr>
    </w:lvl>
    <w:lvl w:ilvl="3">
      <w:start w:val="1"/>
      <w:numFmt w:val="decimal"/>
      <w:lvlText w:val="%1.%2.%3.%4."/>
      <w:lvlJc w:val="start"/>
      <w:pPr>
        <w:tabs>
          <w:tab w:val="num" w:pos="0"/>
        </w:tabs>
        <w:ind w:start="2160" w:hanging="720"/>
      </w:pPr>
      <w:rPr>
        <w:u w:val="none"/>
      </w:rPr>
    </w:lvl>
    <w:lvl w:ilvl="4">
      <w:start w:val="1"/>
      <w:numFmt w:val="decimal"/>
      <w:lvlText w:val="%1.%2.%3.%4.%5."/>
      <w:lvlJc w:val="start"/>
      <w:pPr>
        <w:tabs>
          <w:tab w:val="num" w:pos="0"/>
        </w:tabs>
        <w:ind w:start="2880" w:hanging="1080"/>
      </w:pPr>
      <w:rPr>
        <w:u w:val="none"/>
      </w:rPr>
    </w:lvl>
    <w:lvl w:ilvl="5">
      <w:start w:val="1"/>
      <w:numFmt w:val="decimal"/>
      <w:lvlText w:val="%1.%2.%3.%4.%5.%6."/>
      <w:lvlJc w:val="start"/>
      <w:pPr>
        <w:tabs>
          <w:tab w:val="num" w:pos="0"/>
        </w:tabs>
        <w:ind w:start="3240" w:hanging="1080"/>
      </w:pPr>
      <w:rPr>
        <w:u w:val="none"/>
      </w:rPr>
    </w:lvl>
    <w:lvl w:ilvl="6">
      <w:start w:val="1"/>
      <w:numFmt w:val="decimal"/>
      <w:lvlText w:val="%1.%2.%3.%4.%5.%6.%7."/>
      <w:lvlJc w:val="start"/>
      <w:pPr>
        <w:tabs>
          <w:tab w:val="num" w:pos="0"/>
        </w:tabs>
        <w:ind w:start="3960" w:hanging="1440"/>
      </w:pPr>
      <w:rPr>
        <w:u w:val="none"/>
      </w:rPr>
    </w:lvl>
    <w:lvl w:ilvl="7">
      <w:start w:val="1"/>
      <w:numFmt w:val="decimal"/>
      <w:lvlText w:val="%1.%2.%3.%4.%5.%6.%7.%8."/>
      <w:lvlJc w:val="start"/>
      <w:pPr>
        <w:tabs>
          <w:tab w:val="num" w:pos="0"/>
        </w:tabs>
        <w:ind w:start="4320" w:hanging="1440"/>
      </w:pPr>
      <w:rPr>
        <w:u w:val="none"/>
      </w:rPr>
    </w:lvl>
    <w:lvl w:ilvl="8">
      <w:start w:val="1"/>
      <w:numFmt w:val="decimal"/>
      <w:lvlText w:val="%1.%2.%3.%4.%5.%6.%7.%8.%9."/>
      <w:lvlJc w:val="start"/>
      <w:pPr>
        <w:tabs>
          <w:tab w:val="num" w:pos="0"/>
        </w:tabs>
        <w:ind w:start="5040" w:hanging="1800"/>
      </w:pPr>
      <w:rPr>
        <w:u w:val="none"/>
      </w:rPr>
    </w:lvl>
  </w:abstractNum>
  <w:abstractNum w:abstractNumId="29">
    <w:lvl w:ilvl="0">
      <w:start w:val="1"/>
      <w:numFmt w:val="decimal"/>
      <w:lvlText w:val="%1)"/>
      <w:lvlJc w:val="start"/>
      <w:pPr>
        <w:tabs>
          <w:tab w:val="num" w:pos="0"/>
        </w:tabs>
        <w:ind w:start="2160" w:hanging="360"/>
      </w:pPr>
      <w:rPr>
        <w:u w:val="none"/>
      </w:rPr>
    </w:lvl>
    <w:lvl w:ilvl="1">
      <w:start w:val="1"/>
      <w:numFmt w:val="lowerLetter"/>
      <w:lvlText w:val="%2)"/>
      <w:lvlJc w:val="start"/>
      <w:pPr>
        <w:tabs>
          <w:tab w:val="num" w:pos="0"/>
        </w:tabs>
        <w:ind w:start="2880" w:hanging="360"/>
      </w:pPr>
      <w:rPr>
        <w:u w:val="none"/>
      </w:rPr>
    </w:lvl>
    <w:lvl w:ilvl="2">
      <w:start w:val="1"/>
      <w:numFmt w:val="lowerRoman"/>
      <w:lvlText w:val="%3)"/>
      <w:lvlJc w:val="end"/>
      <w:pPr>
        <w:tabs>
          <w:tab w:val="num" w:pos="0"/>
        </w:tabs>
        <w:ind w:start="3600" w:hanging="360"/>
      </w:pPr>
      <w:rPr>
        <w:u w:val="none"/>
      </w:rPr>
    </w:lvl>
    <w:lvl w:ilvl="3">
      <w:start w:val="1"/>
      <w:numFmt w:val="decimal"/>
      <w:lvlText w:val="(%4)"/>
      <w:lvlJc w:val="start"/>
      <w:pPr>
        <w:tabs>
          <w:tab w:val="num" w:pos="0"/>
        </w:tabs>
        <w:ind w:start="4320" w:hanging="360"/>
      </w:pPr>
      <w:rPr>
        <w:u w:val="none"/>
      </w:rPr>
    </w:lvl>
    <w:lvl w:ilvl="4">
      <w:start w:val="1"/>
      <w:numFmt w:val="lowerLetter"/>
      <w:lvlText w:val="(%5)"/>
      <w:lvlJc w:val="start"/>
      <w:pPr>
        <w:tabs>
          <w:tab w:val="num" w:pos="0"/>
        </w:tabs>
        <w:ind w:start="5040" w:hanging="360"/>
      </w:pPr>
      <w:rPr>
        <w:u w:val="none"/>
      </w:rPr>
    </w:lvl>
    <w:lvl w:ilvl="5">
      <w:start w:val="1"/>
      <w:numFmt w:val="lowerRoman"/>
      <w:lvlText w:val="(%6)"/>
      <w:lvlJc w:val="end"/>
      <w:pPr>
        <w:tabs>
          <w:tab w:val="num" w:pos="0"/>
        </w:tabs>
        <w:ind w:start="5760" w:hanging="360"/>
      </w:pPr>
      <w:rPr>
        <w:u w:val="none"/>
      </w:rPr>
    </w:lvl>
    <w:lvl w:ilvl="6">
      <w:start w:val="1"/>
      <w:numFmt w:val="decimal"/>
      <w:lvlText w:val="%7."/>
      <w:lvlJc w:val="start"/>
      <w:pPr>
        <w:tabs>
          <w:tab w:val="num" w:pos="0"/>
        </w:tabs>
        <w:ind w:start="6480" w:hanging="360"/>
      </w:pPr>
      <w:rPr>
        <w:u w:val="none"/>
      </w:rPr>
    </w:lvl>
    <w:lvl w:ilvl="7">
      <w:start w:val="1"/>
      <w:numFmt w:val="lowerLetter"/>
      <w:lvlText w:val="%8."/>
      <w:lvlJc w:val="start"/>
      <w:pPr>
        <w:tabs>
          <w:tab w:val="num" w:pos="0"/>
        </w:tabs>
        <w:ind w:start="7200" w:hanging="360"/>
      </w:pPr>
      <w:rPr>
        <w:u w:val="none"/>
      </w:rPr>
    </w:lvl>
    <w:lvl w:ilvl="8">
      <w:start w:val="1"/>
      <w:numFmt w:val="lowerRoman"/>
      <w:lvlText w:val="%9."/>
      <w:lvlJc w:val="end"/>
      <w:pPr>
        <w:tabs>
          <w:tab w:val="num" w:pos="0"/>
        </w:tabs>
        <w:ind w:start="7920" w:hanging="360"/>
      </w:pPr>
      <w:rPr>
        <w:u w:val="none"/>
      </w:rPr>
    </w:lvl>
  </w:abstractNum>
  <w:abstractNum w:abstractNumId="30">
    <w:lvl w:ilvl="0">
      <w:start w:val="1"/>
      <w:numFmt w:val="upperLetter"/>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36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36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360"/>
      </w:pPr>
      <w:rPr>
        <w:u w:val="none"/>
      </w:rPr>
    </w:lvl>
  </w:abstractNum>
  <w:abstractNum w:abstractNumId="31">
    <w:lvl w:ilvl="0">
      <w:start w:val="7"/>
      <w:numFmt w:val="decimal"/>
      <w:lvlText w:val="%1."/>
      <w:lvlJc w:val="start"/>
      <w:pPr>
        <w:tabs>
          <w:tab w:val="num" w:pos="0"/>
        </w:tabs>
        <w:ind w:start="720" w:hanging="360"/>
      </w:pPr>
      <w:rPr>
        <w:u w:val="none"/>
      </w:rPr>
    </w:lvl>
    <w:lvl w:ilvl="1">
      <w:start w:val="1"/>
      <w:numFmt w:val="decimal"/>
      <w:lvlText w:val="%1.%2."/>
      <w:lvlJc w:val="start"/>
      <w:pPr>
        <w:tabs>
          <w:tab w:val="num" w:pos="0"/>
        </w:tabs>
        <w:ind w:start="1353" w:hanging="359"/>
      </w:pPr>
      <w:rPr>
        <w:u w:val="none"/>
      </w:rPr>
    </w:lvl>
    <w:lvl w:ilvl="2">
      <w:start w:val="1"/>
      <w:numFmt w:val="decimal"/>
      <w:lvlText w:val="%1.%2.%3."/>
      <w:lvlJc w:val="start"/>
      <w:pPr>
        <w:tabs>
          <w:tab w:val="num" w:pos="0"/>
        </w:tabs>
        <w:ind w:start="1800" w:hanging="720"/>
      </w:pPr>
      <w:rPr>
        <w:u w:val="none"/>
      </w:rPr>
    </w:lvl>
    <w:lvl w:ilvl="3">
      <w:start w:val="1"/>
      <w:numFmt w:val="decimal"/>
      <w:lvlText w:val="%1.%2.%3.%4."/>
      <w:lvlJc w:val="start"/>
      <w:pPr>
        <w:tabs>
          <w:tab w:val="num" w:pos="0"/>
        </w:tabs>
        <w:ind w:start="2160" w:hanging="720"/>
      </w:pPr>
      <w:rPr>
        <w:u w:val="none"/>
      </w:rPr>
    </w:lvl>
    <w:lvl w:ilvl="4">
      <w:start w:val="1"/>
      <w:numFmt w:val="decimal"/>
      <w:lvlText w:val="%1.%2.%3.%4.%5."/>
      <w:lvlJc w:val="start"/>
      <w:pPr>
        <w:tabs>
          <w:tab w:val="num" w:pos="0"/>
        </w:tabs>
        <w:ind w:start="2880" w:hanging="1080"/>
      </w:pPr>
      <w:rPr>
        <w:u w:val="none"/>
      </w:rPr>
    </w:lvl>
    <w:lvl w:ilvl="5">
      <w:start w:val="1"/>
      <w:numFmt w:val="decimal"/>
      <w:lvlText w:val="%1.%2.%3.%4.%5.%6."/>
      <w:lvlJc w:val="start"/>
      <w:pPr>
        <w:tabs>
          <w:tab w:val="num" w:pos="0"/>
        </w:tabs>
        <w:ind w:start="3240" w:hanging="1080"/>
      </w:pPr>
      <w:rPr>
        <w:u w:val="none"/>
      </w:rPr>
    </w:lvl>
    <w:lvl w:ilvl="6">
      <w:start w:val="1"/>
      <w:numFmt w:val="decimal"/>
      <w:lvlText w:val="%1.%2.%3.%4.%5.%6.%7."/>
      <w:lvlJc w:val="start"/>
      <w:pPr>
        <w:tabs>
          <w:tab w:val="num" w:pos="0"/>
        </w:tabs>
        <w:ind w:start="3960" w:hanging="1440"/>
      </w:pPr>
      <w:rPr>
        <w:u w:val="none"/>
      </w:rPr>
    </w:lvl>
    <w:lvl w:ilvl="7">
      <w:start w:val="1"/>
      <w:numFmt w:val="decimal"/>
      <w:lvlText w:val="%1.%2.%3.%4.%5.%6.%7.%8."/>
      <w:lvlJc w:val="start"/>
      <w:pPr>
        <w:tabs>
          <w:tab w:val="num" w:pos="0"/>
        </w:tabs>
        <w:ind w:start="4320" w:hanging="1440"/>
      </w:pPr>
      <w:rPr>
        <w:u w:val="none"/>
      </w:rPr>
    </w:lvl>
    <w:lvl w:ilvl="8">
      <w:start w:val="1"/>
      <w:numFmt w:val="decimal"/>
      <w:lvlText w:val="%1.%2.%3.%4.%5.%6.%7.%8.%9."/>
      <w:lvlJc w:val="start"/>
      <w:pPr>
        <w:tabs>
          <w:tab w:val="num" w:pos="0"/>
        </w:tabs>
        <w:ind w:start="5040" w:hanging="1800"/>
      </w:pPr>
      <w:rPr>
        <w:u w:val="none"/>
      </w:rPr>
    </w:lvl>
  </w:abstractNum>
  <w:abstractNum w:abstractNumId="32">
    <w:lvl w:ilvl="0">
      <w:start w:val="1"/>
      <w:numFmt w:val="lowerLetter"/>
      <w:lvlText w:val="%1)"/>
      <w:lvlJc w:val="start"/>
      <w:pPr>
        <w:tabs>
          <w:tab w:val="num" w:pos="0"/>
        </w:tabs>
        <w:ind w:start="2073" w:hanging="360"/>
      </w:pPr>
      <w:rPr>
        <w:u w:val="none"/>
      </w:rPr>
    </w:lvl>
    <w:lvl w:ilvl="1">
      <w:start w:val="1"/>
      <w:numFmt w:val="lowerLetter"/>
      <w:lvlText w:val="%2."/>
      <w:lvlJc w:val="start"/>
      <w:pPr>
        <w:tabs>
          <w:tab w:val="num" w:pos="0"/>
        </w:tabs>
        <w:ind w:start="2793" w:hanging="360"/>
      </w:pPr>
      <w:rPr>
        <w:u w:val="none"/>
      </w:rPr>
    </w:lvl>
    <w:lvl w:ilvl="2">
      <w:start w:val="1"/>
      <w:numFmt w:val="lowerRoman"/>
      <w:lvlText w:val="%3."/>
      <w:lvlJc w:val="end"/>
      <w:pPr>
        <w:tabs>
          <w:tab w:val="num" w:pos="0"/>
        </w:tabs>
        <w:ind w:start="3513" w:hanging="180"/>
      </w:pPr>
      <w:rPr>
        <w:u w:val="none"/>
      </w:rPr>
    </w:lvl>
    <w:lvl w:ilvl="3">
      <w:start w:val="1"/>
      <w:numFmt w:val="decimal"/>
      <w:lvlText w:val="%4."/>
      <w:lvlJc w:val="start"/>
      <w:pPr>
        <w:tabs>
          <w:tab w:val="num" w:pos="0"/>
        </w:tabs>
        <w:ind w:start="4233" w:hanging="360"/>
      </w:pPr>
      <w:rPr>
        <w:u w:val="none"/>
      </w:rPr>
    </w:lvl>
    <w:lvl w:ilvl="4">
      <w:start w:val="1"/>
      <w:numFmt w:val="lowerLetter"/>
      <w:lvlText w:val="%5."/>
      <w:lvlJc w:val="start"/>
      <w:pPr>
        <w:tabs>
          <w:tab w:val="num" w:pos="0"/>
        </w:tabs>
        <w:ind w:start="4953" w:hanging="360"/>
      </w:pPr>
      <w:rPr>
        <w:u w:val="none"/>
      </w:rPr>
    </w:lvl>
    <w:lvl w:ilvl="5">
      <w:start w:val="1"/>
      <w:numFmt w:val="lowerRoman"/>
      <w:lvlText w:val="%6."/>
      <w:lvlJc w:val="end"/>
      <w:pPr>
        <w:tabs>
          <w:tab w:val="num" w:pos="0"/>
        </w:tabs>
        <w:ind w:start="5673" w:hanging="180"/>
      </w:pPr>
      <w:rPr>
        <w:u w:val="none"/>
      </w:rPr>
    </w:lvl>
    <w:lvl w:ilvl="6">
      <w:start w:val="1"/>
      <w:numFmt w:val="decimal"/>
      <w:lvlText w:val="%7."/>
      <w:lvlJc w:val="start"/>
      <w:pPr>
        <w:tabs>
          <w:tab w:val="num" w:pos="0"/>
        </w:tabs>
        <w:ind w:start="6393" w:hanging="360"/>
      </w:pPr>
      <w:rPr>
        <w:u w:val="none"/>
      </w:rPr>
    </w:lvl>
    <w:lvl w:ilvl="7">
      <w:start w:val="1"/>
      <w:numFmt w:val="lowerLetter"/>
      <w:lvlText w:val="%8."/>
      <w:lvlJc w:val="start"/>
      <w:pPr>
        <w:tabs>
          <w:tab w:val="num" w:pos="0"/>
        </w:tabs>
        <w:ind w:start="7113" w:hanging="360"/>
      </w:pPr>
      <w:rPr>
        <w:u w:val="none"/>
      </w:rPr>
    </w:lvl>
    <w:lvl w:ilvl="8">
      <w:start w:val="1"/>
      <w:numFmt w:val="lowerRoman"/>
      <w:lvlText w:val="%9."/>
      <w:lvlJc w:val="end"/>
      <w:pPr>
        <w:tabs>
          <w:tab w:val="num" w:pos="0"/>
        </w:tabs>
        <w:ind w:start="7833" w:hanging="180"/>
      </w:pPr>
      <w:rPr>
        <w:u w:val="none"/>
      </w:rPr>
    </w:lvl>
  </w:abstractNum>
  <w:abstractNum w:abstractNumId="33">
    <w:lvl w:ilvl="0">
      <w:start w:val="4"/>
      <w:numFmt w:val="decimal"/>
      <w:lvlText w:val="%1."/>
      <w:lvlJc w:val="start"/>
      <w:pPr>
        <w:tabs>
          <w:tab w:val="num" w:pos="0"/>
        </w:tabs>
        <w:ind w:start="720" w:hanging="360"/>
      </w:pPr>
      <w:rPr>
        <w:u w:val="none"/>
      </w:rPr>
    </w:lvl>
    <w:lvl w:ilvl="1">
      <w:start w:val="1"/>
      <w:numFmt w:val="decimal"/>
      <w:lvlText w:val="%1.%2."/>
      <w:lvlJc w:val="start"/>
      <w:pPr>
        <w:tabs>
          <w:tab w:val="num" w:pos="0"/>
        </w:tabs>
        <w:ind w:start="1353" w:hanging="359"/>
      </w:pPr>
      <w:rPr>
        <w:u w:val="none"/>
      </w:rPr>
    </w:lvl>
    <w:lvl w:ilvl="2">
      <w:start w:val="1"/>
      <w:numFmt w:val="decimal"/>
      <w:lvlText w:val="%1.%2.%3."/>
      <w:lvlJc w:val="start"/>
      <w:pPr>
        <w:tabs>
          <w:tab w:val="num" w:pos="0"/>
        </w:tabs>
        <w:ind w:start="1800" w:hanging="720"/>
      </w:pPr>
      <w:rPr>
        <w:u w:val="none"/>
      </w:rPr>
    </w:lvl>
    <w:lvl w:ilvl="3">
      <w:start w:val="1"/>
      <w:numFmt w:val="decimal"/>
      <w:lvlText w:val="%1.%2.%3.%4."/>
      <w:lvlJc w:val="start"/>
      <w:pPr>
        <w:tabs>
          <w:tab w:val="num" w:pos="0"/>
        </w:tabs>
        <w:ind w:start="2160" w:hanging="720"/>
      </w:pPr>
      <w:rPr>
        <w:u w:val="none"/>
      </w:rPr>
    </w:lvl>
    <w:lvl w:ilvl="4">
      <w:start w:val="1"/>
      <w:numFmt w:val="decimal"/>
      <w:lvlText w:val="%1.%2.%3.%4.%5."/>
      <w:lvlJc w:val="start"/>
      <w:pPr>
        <w:tabs>
          <w:tab w:val="num" w:pos="0"/>
        </w:tabs>
        <w:ind w:start="2880" w:hanging="1080"/>
      </w:pPr>
      <w:rPr>
        <w:u w:val="none"/>
      </w:rPr>
    </w:lvl>
    <w:lvl w:ilvl="5">
      <w:start w:val="1"/>
      <w:numFmt w:val="decimal"/>
      <w:lvlText w:val="%1.%2.%3.%4.%5.%6."/>
      <w:lvlJc w:val="start"/>
      <w:pPr>
        <w:tabs>
          <w:tab w:val="num" w:pos="0"/>
        </w:tabs>
        <w:ind w:start="3240" w:hanging="1080"/>
      </w:pPr>
      <w:rPr>
        <w:u w:val="none"/>
      </w:rPr>
    </w:lvl>
    <w:lvl w:ilvl="6">
      <w:start w:val="1"/>
      <w:numFmt w:val="decimal"/>
      <w:lvlText w:val="%1.%2.%3.%4.%5.%6.%7."/>
      <w:lvlJc w:val="start"/>
      <w:pPr>
        <w:tabs>
          <w:tab w:val="num" w:pos="0"/>
        </w:tabs>
        <w:ind w:start="3960" w:hanging="1440"/>
      </w:pPr>
      <w:rPr>
        <w:u w:val="none"/>
      </w:rPr>
    </w:lvl>
    <w:lvl w:ilvl="7">
      <w:start w:val="1"/>
      <w:numFmt w:val="decimal"/>
      <w:lvlText w:val="%1.%2.%3.%4.%5.%6.%7.%8."/>
      <w:lvlJc w:val="start"/>
      <w:pPr>
        <w:tabs>
          <w:tab w:val="num" w:pos="0"/>
        </w:tabs>
        <w:ind w:start="4320" w:hanging="1440"/>
      </w:pPr>
      <w:rPr>
        <w:u w:val="none"/>
      </w:rPr>
    </w:lvl>
    <w:lvl w:ilvl="8">
      <w:start w:val="1"/>
      <w:numFmt w:val="decimal"/>
      <w:lvlText w:val="%1.%2.%3.%4.%5.%6.%7.%8.%9."/>
      <w:lvlJc w:val="start"/>
      <w:pPr>
        <w:tabs>
          <w:tab w:val="num" w:pos="0"/>
        </w:tabs>
        <w:ind w:start="5040" w:hanging="1800"/>
      </w:pPr>
      <w:rPr>
        <w:u w:val="none"/>
      </w:rPr>
    </w:lvl>
  </w:abstractNum>
  <w:abstractNum w:abstractNumId="34">
    <w:lvl w:ilvl="0">
      <w:start w:val="6"/>
      <w:numFmt w:val="decimal"/>
      <w:lvlText w:val="%1."/>
      <w:lvlJc w:val="start"/>
      <w:pPr>
        <w:tabs>
          <w:tab w:val="num" w:pos="0"/>
        </w:tabs>
        <w:ind w:start="720" w:hanging="360"/>
      </w:pPr>
      <w:rPr>
        <w:u w:val="none"/>
      </w:rPr>
    </w:lvl>
    <w:lvl w:ilvl="1">
      <w:start w:val="6"/>
      <w:numFmt w:val="decimal"/>
      <w:lvlText w:val="%1.%2."/>
      <w:lvlJc w:val="start"/>
      <w:pPr>
        <w:tabs>
          <w:tab w:val="num" w:pos="0"/>
        </w:tabs>
        <w:ind w:start="1353" w:hanging="359"/>
      </w:pPr>
      <w:rPr>
        <w:u w:val="none"/>
      </w:rPr>
    </w:lvl>
    <w:lvl w:ilvl="2">
      <w:start w:val="1"/>
      <w:numFmt w:val="decimal"/>
      <w:lvlText w:val="%1.%2.%3."/>
      <w:lvlJc w:val="start"/>
      <w:pPr>
        <w:tabs>
          <w:tab w:val="num" w:pos="0"/>
        </w:tabs>
        <w:ind w:start="1800" w:hanging="720"/>
      </w:pPr>
      <w:rPr>
        <w:u w:val="none"/>
      </w:rPr>
    </w:lvl>
    <w:lvl w:ilvl="3">
      <w:start w:val="1"/>
      <w:numFmt w:val="decimal"/>
      <w:lvlText w:val="%1.%2.%3.%4."/>
      <w:lvlJc w:val="start"/>
      <w:pPr>
        <w:tabs>
          <w:tab w:val="num" w:pos="0"/>
        </w:tabs>
        <w:ind w:start="2160" w:hanging="720"/>
      </w:pPr>
      <w:rPr>
        <w:u w:val="none"/>
      </w:rPr>
    </w:lvl>
    <w:lvl w:ilvl="4">
      <w:start w:val="1"/>
      <w:numFmt w:val="decimal"/>
      <w:lvlText w:val="%1.%2.%3.%4.%5."/>
      <w:lvlJc w:val="start"/>
      <w:pPr>
        <w:tabs>
          <w:tab w:val="num" w:pos="0"/>
        </w:tabs>
        <w:ind w:start="2880" w:hanging="1080"/>
      </w:pPr>
      <w:rPr>
        <w:u w:val="none"/>
      </w:rPr>
    </w:lvl>
    <w:lvl w:ilvl="5">
      <w:start w:val="1"/>
      <w:numFmt w:val="decimal"/>
      <w:lvlText w:val="%1.%2.%3.%4.%5.%6."/>
      <w:lvlJc w:val="start"/>
      <w:pPr>
        <w:tabs>
          <w:tab w:val="num" w:pos="0"/>
        </w:tabs>
        <w:ind w:start="3240" w:hanging="1080"/>
      </w:pPr>
      <w:rPr>
        <w:u w:val="none"/>
      </w:rPr>
    </w:lvl>
    <w:lvl w:ilvl="6">
      <w:start w:val="1"/>
      <w:numFmt w:val="decimal"/>
      <w:lvlText w:val="%1.%2.%3.%4.%5.%6.%7."/>
      <w:lvlJc w:val="start"/>
      <w:pPr>
        <w:tabs>
          <w:tab w:val="num" w:pos="0"/>
        </w:tabs>
        <w:ind w:start="3960" w:hanging="1440"/>
      </w:pPr>
      <w:rPr>
        <w:u w:val="none"/>
      </w:rPr>
    </w:lvl>
    <w:lvl w:ilvl="7">
      <w:start w:val="1"/>
      <w:numFmt w:val="decimal"/>
      <w:lvlText w:val="%1.%2.%3.%4.%5.%6.%7.%8."/>
      <w:lvlJc w:val="start"/>
      <w:pPr>
        <w:tabs>
          <w:tab w:val="num" w:pos="0"/>
        </w:tabs>
        <w:ind w:start="4320" w:hanging="1440"/>
      </w:pPr>
      <w:rPr>
        <w:u w:val="none"/>
      </w:rPr>
    </w:lvl>
    <w:lvl w:ilvl="8">
      <w:start w:val="1"/>
      <w:numFmt w:val="decimal"/>
      <w:lvlText w:val="%1.%2.%3.%4.%5.%6.%7.%8.%9."/>
      <w:lvlJc w:val="start"/>
      <w:pPr>
        <w:tabs>
          <w:tab w:val="num" w:pos="0"/>
        </w:tabs>
        <w:ind w:start="5040" w:hanging="1800"/>
      </w:pPr>
      <w:rPr>
        <w:u w:val="none"/>
      </w:rPr>
    </w:lvl>
  </w:abstractNum>
  <w:abstractNum w:abstractNumId="35">
    <w:lvl w:ilvl="0">
      <w:start w:val="1"/>
      <w:numFmt w:val="decimal"/>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36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36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360"/>
      </w:pPr>
      <w:rPr>
        <w:u w:val="none"/>
      </w:rPr>
    </w:lvl>
  </w:abstractNum>
  <w:abstractNum w:abstractNumId="36">
    <w:lvl w:ilvl="0">
      <w:start w:val="9"/>
      <w:numFmt w:val="decimal"/>
      <w:lvlText w:val="%1."/>
      <w:lvlJc w:val="start"/>
      <w:pPr>
        <w:tabs>
          <w:tab w:val="num" w:pos="0"/>
        </w:tabs>
        <w:ind w:start="720" w:hanging="360"/>
      </w:pPr>
      <w:rPr>
        <w:u w:val="none"/>
      </w:rPr>
    </w:lvl>
    <w:lvl w:ilvl="1">
      <w:start w:val="1"/>
      <w:numFmt w:val="decimal"/>
      <w:lvlText w:val="%1.%2."/>
      <w:lvlJc w:val="start"/>
      <w:pPr>
        <w:tabs>
          <w:tab w:val="num" w:pos="0"/>
        </w:tabs>
        <w:ind w:start="1353" w:hanging="359"/>
      </w:pPr>
      <w:rPr>
        <w:u w:val="none"/>
      </w:rPr>
    </w:lvl>
    <w:lvl w:ilvl="2">
      <w:start w:val="1"/>
      <w:numFmt w:val="decimal"/>
      <w:lvlText w:val="%1.%2.%3."/>
      <w:lvlJc w:val="start"/>
      <w:pPr>
        <w:tabs>
          <w:tab w:val="num" w:pos="0"/>
        </w:tabs>
        <w:ind w:start="1800" w:hanging="720"/>
      </w:pPr>
      <w:rPr>
        <w:u w:val="none"/>
      </w:rPr>
    </w:lvl>
    <w:lvl w:ilvl="3">
      <w:start w:val="1"/>
      <w:numFmt w:val="decimal"/>
      <w:lvlText w:val="%1.%2.%3.%4."/>
      <w:lvlJc w:val="start"/>
      <w:pPr>
        <w:tabs>
          <w:tab w:val="num" w:pos="0"/>
        </w:tabs>
        <w:ind w:start="2160" w:hanging="720"/>
      </w:pPr>
      <w:rPr>
        <w:u w:val="none"/>
      </w:rPr>
    </w:lvl>
    <w:lvl w:ilvl="4">
      <w:start w:val="1"/>
      <w:numFmt w:val="decimal"/>
      <w:lvlText w:val="%1.%2.%3.%4.%5."/>
      <w:lvlJc w:val="start"/>
      <w:pPr>
        <w:tabs>
          <w:tab w:val="num" w:pos="0"/>
        </w:tabs>
        <w:ind w:start="2880" w:hanging="1080"/>
      </w:pPr>
      <w:rPr>
        <w:u w:val="none"/>
      </w:rPr>
    </w:lvl>
    <w:lvl w:ilvl="5">
      <w:start w:val="1"/>
      <w:numFmt w:val="decimal"/>
      <w:lvlText w:val="%1.%2.%3.%4.%5.%6."/>
      <w:lvlJc w:val="start"/>
      <w:pPr>
        <w:tabs>
          <w:tab w:val="num" w:pos="0"/>
        </w:tabs>
        <w:ind w:start="3240" w:hanging="1080"/>
      </w:pPr>
      <w:rPr>
        <w:u w:val="none"/>
      </w:rPr>
    </w:lvl>
    <w:lvl w:ilvl="6">
      <w:start w:val="1"/>
      <w:numFmt w:val="decimal"/>
      <w:lvlText w:val="%1.%2.%3.%4.%5.%6.%7."/>
      <w:lvlJc w:val="start"/>
      <w:pPr>
        <w:tabs>
          <w:tab w:val="num" w:pos="0"/>
        </w:tabs>
        <w:ind w:start="3960" w:hanging="1440"/>
      </w:pPr>
      <w:rPr>
        <w:u w:val="none"/>
      </w:rPr>
    </w:lvl>
    <w:lvl w:ilvl="7">
      <w:start w:val="1"/>
      <w:numFmt w:val="decimal"/>
      <w:lvlText w:val="%1.%2.%3.%4.%5.%6.%7.%8."/>
      <w:lvlJc w:val="start"/>
      <w:pPr>
        <w:tabs>
          <w:tab w:val="num" w:pos="0"/>
        </w:tabs>
        <w:ind w:start="4320" w:hanging="1440"/>
      </w:pPr>
      <w:rPr>
        <w:u w:val="none"/>
      </w:rPr>
    </w:lvl>
    <w:lvl w:ilvl="8">
      <w:start w:val="1"/>
      <w:numFmt w:val="decimal"/>
      <w:lvlText w:val="%1.%2.%3.%4.%5.%6.%7.%8.%9."/>
      <w:lvlJc w:val="start"/>
      <w:pPr>
        <w:tabs>
          <w:tab w:val="num" w:pos="0"/>
        </w:tabs>
        <w:ind w:start="5040" w:hanging="1800"/>
      </w:pPr>
      <w:rPr>
        <w:u w:val="none"/>
      </w:rPr>
    </w:lvl>
  </w:abstractNum>
  <w:abstractNum w:abstractNumId="37">
    <w:lvl w:ilvl="0">
      <w:start w:val="12"/>
      <w:numFmt w:val="decimal"/>
      <w:lvlText w:val="%1."/>
      <w:lvlJc w:val="start"/>
      <w:pPr>
        <w:tabs>
          <w:tab w:val="num" w:pos="0"/>
        </w:tabs>
        <w:ind w:start="720" w:hanging="360"/>
      </w:pPr>
      <w:rPr>
        <w:u w:val="none"/>
      </w:rPr>
    </w:lvl>
    <w:lvl w:ilvl="1">
      <w:start w:val="1"/>
      <w:numFmt w:val="decimal"/>
      <w:lvlText w:val="%1.%2."/>
      <w:lvlJc w:val="start"/>
      <w:pPr>
        <w:tabs>
          <w:tab w:val="num" w:pos="0"/>
        </w:tabs>
        <w:ind w:start="1353" w:hanging="359"/>
      </w:pPr>
      <w:rPr>
        <w:u w:val="none"/>
      </w:rPr>
    </w:lvl>
    <w:lvl w:ilvl="2">
      <w:start w:val="1"/>
      <w:numFmt w:val="decimal"/>
      <w:lvlText w:val="%1.%2.%3."/>
      <w:lvlJc w:val="start"/>
      <w:pPr>
        <w:tabs>
          <w:tab w:val="num" w:pos="0"/>
        </w:tabs>
        <w:ind w:start="1800" w:hanging="720"/>
      </w:pPr>
      <w:rPr>
        <w:u w:val="none"/>
      </w:rPr>
    </w:lvl>
    <w:lvl w:ilvl="3">
      <w:start w:val="1"/>
      <w:numFmt w:val="decimal"/>
      <w:lvlText w:val="%1.%2.%3.%4."/>
      <w:lvlJc w:val="start"/>
      <w:pPr>
        <w:tabs>
          <w:tab w:val="num" w:pos="0"/>
        </w:tabs>
        <w:ind w:start="2160" w:hanging="720"/>
      </w:pPr>
      <w:rPr>
        <w:u w:val="none"/>
      </w:rPr>
    </w:lvl>
    <w:lvl w:ilvl="4">
      <w:start w:val="1"/>
      <w:numFmt w:val="decimal"/>
      <w:lvlText w:val="%1.%2.%3.%4.%5."/>
      <w:lvlJc w:val="start"/>
      <w:pPr>
        <w:tabs>
          <w:tab w:val="num" w:pos="0"/>
        </w:tabs>
        <w:ind w:start="2880" w:hanging="1080"/>
      </w:pPr>
      <w:rPr>
        <w:u w:val="none"/>
      </w:rPr>
    </w:lvl>
    <w:lvl w:ilvl="5">
      <w:start w:val="1"/>
      <w:numFmt w:val="decimal"/>
      <w:lvlText w:val="%1.%2.%3.%4.%5.%6."/>
      <w:lvlJc w:val="start"/>
      <w:pPr>
        <w:tabs>
          <w:tab w:val="num" w:pos="0"/>
        </w:tabs>
        <w:ind w:start="3240" w:hanging="1080"/>
      </w:pPr>
      <w:rPr>
        <w:u w:val="none"/>
      </w:rPr>
    </w:lvl>
    <w:lvl w:ilvl="6">
      <w:start w:val="1"/>
      <w:numFmt w:val="decimal"/>
      <w:lvlText w:val="%1.%2.%3.%4.%5.%6.%7."/>
      <w:lvlJc w:val="start"/>
      <w:pPr>
        <w:tabs>
          <w:tab w:val="num" w:pos="0"/>
        </w:tabs>
        <w:ind w:start="3960" w:hanging="1440"/>
      </w:pPr>
      <w:rPr>
        <w:u w:val="none"/>
      </w:rPr>
    </w:lvl>
    <w:lvl w:ilvl="7">
      <w:start w:val="1"/>
      <w:numFmt w:val="decimal"/>
      <w:lvlText w:val="%1.%2.%3.%4.%5.%6.%7.%8."/>
      <w:lvlJc w:val="start"/>
      <w:pPr>
        <w:tabs>
          <w:tab w:val="num" w:pos="0"/>
        </w:tabs>
        <w:ind w:start="4320" w:hanging="1440"/>
      </w:pPr>
      <w:rPr>
        <w:u w:val="none"/>
      </w:rPr>
    </w:lvl>
    <w:lvl w:ilvl="8">
      <w:start w:val="1"/>
      <w:numFmt w:val="decimal"/>
      <w:lvlText w:val="%1.%2.%3.%4.%5.%6.%7.%8.%9."/>
      <w:lvlJc w:val="start"/>
      <w:pPr>
        <w:tabs>
          <w:tab w:val="num" w:pos="0"/>
        </w:tabs>
        <w:ind w:start="5040" w:hanging="1800"/>
      </w:pPr>
      <w:rPr>
        <w:u w:val="none"/>
      </w:rPr>
    </w:lvl>
  </w:abstractNum>
  <w:abstractNum w:abstractNumId="38">
    <w:lvl w:ilvl="0">
      <w:start w:val="1"/>
      <w:numFmt w:val="lowerLetter"/>
      <w:lvlText w:val="%1)"/>
      <w:lvlJc w:val="start"/>
      <w:pPr>
        <w:tabs>
          <w:tab w:val="num" w:pos="0"/>
        </w:tabs>
        <w:ind w:start="1608" w:hanging="360"/>
      </w:pPr>
      <w:rPr>
        <w:u w:val="none"/>
      </w:rPr>
    </w:lvl>
    <w:lvl w:ilvl="1">
      <w:start w:val="1"/>
      <w:numFmt w:val="lowerLetter"/>
      <w:lvlText w:val="%2."/>
      <w:lvlJc w:val="start"/>
      <w:pPr>
        <w:tabs>
          <w:tab w:val="num" w:pos="0"/>
        </w:tabs>
        <w:ind w:start="2328" w:hanging="360"/>
      </w:pPr>
      <w:rPr>
        <w:u w:val="none"/>
      </w:rPr>
    </w:lvl>
    <w:lvl w:ilvl="2">
      <w:start w:val="1"/>
      <w:numFmt w:val="lowerRoman"/>
      <w:lvlText w:val="%3."/>
      <w:lvlJc w:val="end"/>
      <w:pPr>
        <w:tabs>
          <w:tab w:val="num" w:pos="0"/>
        </w:tabs>
        <w:ind w:start="3048" w:hanging="180"/>
      </w:pPr>
      <w:rPr>
        <w:u w:val="none"/>
      </w:rPr>
    </w:lvl>
    <w:lvl w:ilvl="3">
      <w:start w:val="1"/>
      <w:numFmt w:val="decimal"/>
      <w:lvlText w:val="%4."/>
      <w:lvlJc w:val="start"/>
      <w:pPr>
        <w:tabs>
          <w:tab w:val="num" w:pos="0"/>
        </w:tabs>
        <w:ind w:start="3768" w:hanging="360"/>
      </w:pPr>
      <w:rPr>
        <w:u w:val="none"/>
      </w:rPr>
    </w:lvl>
    <w:lvl w:ilvl="4">
      <w:start w:val="1"/>
      <w:numFmt w:val="lowerLetter"/>
      <w:lvlText w:val="%5."/>
      <w:lvlJc w:val="start"/>
      <w:pPr>
        <w:tabs>
          <w:tab w:val="num" w:pos="0"/>
        </w:tabs>
        <w:ind w:start="4488" w:hanging="360"/>
      </w:pPr>
      <w:rPr>
        <w:u w:val="none"/>
      </w:rPr>
    </w:lvl>
    <w:lvl w:ilvl="5">
      <w:start w:val="1"/>
      <w:numFmt w:val="lowerRoman"/>
      <w:lvlText w:val="%6."/>
      <w:lvlJc w:val="end"/>
      <w:pPr>
        <w:tabs>
          <w:tab w:val="num" w:pos="0"/>
        </w:tabs>
        <w:ind w:start="5208" w:hanging="180"/>
      </w:pPr>
      <w:rPr>
        <w:u w:val="none"/>
      </w:rPr>
    </w:lvl>
    <w:lvl w:ilvl="6">
      <w:start w:val="1"/>
      <w:numFmt w:val="decimal"/>
      <w:lvlText w:val="%7."/>
      <w:lvlJc w:val="start"/>
      <w:pPr>
        <w:tabs>
          <w:tab w:val="num" w:pos="0"/>
        </w:tabs>
        <w:ind w:start="5928" w:hanging="360"/>
      </w:pPr>
      <w:rPr>
        <w:u w:val="none"/>
      </w:rPr>
    </w:lvl>
    <w:lvl w:ilvl="7">
      <w:start w:val="1"/>
      <w:numFmt w:val="lowerLetter"/>
      <w:lvlText w:val="%8."/>
      <w:lvlJc w:val="start"/>
      <w:pPr>
        <w:tabs>
          <w:tab w:val="num" w:pos="0"/>
        </w:tabs>
        <w:ind w:start="6648" w:hanging="360"/>
      </w:pPr>
      <w:rPr>
        <w:u w:val="none"/>
      </w:rPr>
    </w:lvl>
    <w:lvl w:ilvl="8">
      <w:start w:val="1"/>
      <w:numFmt w:val="lowerRoman"/>
      <w:lvlText w:val="%9."/>
      <w:lvlJc w:val="end"/>
      <w:pPr>
        <w:tabs>
          <w:tab w:val="num" w:pos="0"/>
        </w:tabs>
        <w:ind w:start="7368" w:hanging="180"/>
      </w:pPr>
      <w:rPr>
        <w:u w:val="none"/>
      </w:rPr>
    </w:lvl>
  </w:abstractNum>
  <w:abstractNum w:abstractNumId="39">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bering>
</file>

<file path=word/settings.xml><?xml version="1.0" encoding="utf-8"?>
<w:settings xmlns:w="http://schemas.openxmlformats.org/wordprocessingml/2006/main">
  <w:zoom w:percent="100"/>
  <w:embedTrueTypeFonts/>
  <w:defaultTabStop w:val="720"/>
  <w:autoHyphenation w:val="true"/>
  <w:hyphenationZone w:val="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ind w:hanging="1"/>
      <w:jc w:val="start"/>
    </w:pPr>
    <w:rPr>
      <w:rFonts w:ascii="Arial" w:hAnsi="Arial" w:eastAsia="Arial" w:cs="Arial"/>
      <w:color w:val="auto"/>
      <w:kern w:val="0"/>
      <w:sz w:val="20"/>
      <w:szCs w:val="20"/>
      <w:lang w:val="en-US" w:eastAsia="zh-CN" w:bidi="hi-IN"/>
    </w:rPr>
  </w:style>
  <w:style w:type="paragraph" w:styleId="Heading1">
    <w:name w:val="heading 1"/>
    <w:basedOn w:val="normal1"/>
    <w:next w:val="normal1"/>
    <w:qFormat/>
    <w:pPr>
      <w:keepNext w:val="true"/>
      <w:keepLines/>
      <w:pageBreakBefore w:val="false"/>
      <w:widowControl w:val="false"/>
      <w:shd w:val="clear" w:fill="auto"/>
      <w:spacing w:lineRule="auto" w:line="240" w:before="480" w:after="120"/>
      <w:ind w:hanging="1" w:start="0" w:end="0"/>
      <w:jc w:val="start"/>
    </w:pPr>
    <w:rPr>
      <w:rFonts w:ascii="Trebuchet MS" w:hAnsi="Trebuchet MS" w:eastAsia="Trebuchet MS" w:cs="Trebuchet MS"/>
      <w:b/>
      <w:bCs/>
      <w:i w:val="false"/>
      <w:iCs w:val="false"/>
      <w:caps w:val="false"/>
      <w:smallCaps w:val="false"/>
      <w:strike w:val="false"/>
      <w:dstrike w:val="false"/>
      <w:color w:val="000000"/>
      <w:position w:val="0"/>
      <w:sz w:val="48"/>
      <w:szCs w:val="48"/>
      <w:u w:val="none"/>
      <w:shd w:fill="auto" w:val="clear"/>
      <w:vertAlign w:val="baseline"/>
    </w:rPr>
  </w:style>
  <w:style w:type="paragraph" w:styleId="Heading2">
    <w:name w:val="heading 2"/>
    <w:basedOn w:val="normal1"/>
    <w:next w:val="normal1"/>
    <w:qFormat/>
    <w:pPr>
      <w:keepNext w:val="true"/>
      <w:keepLines/>
      <w:pageBreakBefore w:val="false"/>
      <w:widowControl w:val="false"/>
      <w:shd w:val="clear" w:fill="auto"/>
      <w:spacing w:lineRule="auto" w:line="240" w:before="360" w:after="80"/>
      <w:ind w:hanging="1" w:start="0" w:end="0"/>
      <w:jc w:val="start"/>
    </w:pPr>
    <w:rPr>
      <w:rFonts w:ascii="Trebuchet MS" w:hAnsi="Trebuchet MS" w:eastAsia="Trebuchet MS" w:cs="Trebuchet MS"/>
      <w:b/>
      <w:bCs/>
      <w:i w:val="false"/>
      <w:iCs w:val="false"/>
      <w:caps w:val="false"/>
      <w:smallCaps w:val="false"/>
      <w:strike w:val="false"/>
      <w:dstrike w:val="false"/>
      <w:color w:val="000000"/>
      <w:position w:val="0"/>
      <w:sz w:val="36"/>
      <w:szCs w:val="36"/>
      <w:u w:val="none"/>
      <w:shd w:fill="auto" w:val="clear"/>
      <w:vertAlign w:val="baseline"/>
    </w:rPr>
  </w:style>
  <w:style w:type="paragraph" w:styleId="Heading3">
    <w:name w:val="heading 3"/>
    <w:basedOn w:val="normal1"/>
    <w:next w:val="normal1"/>
    <w:qFormat/>
    <w:pPr>
      <w:keepNext w:val="true"/>
      <w:keepLines/>
      <w:pageBreakBefore w:val="false"/>
      <w:widowControl w:val="false"/>
      <w:shd w:val="clear" w:fill="auto"/>
      <w:spacing w:lineRule="auto" w:line="240" w:before="280" w:after="80"/>
      <w:ind w:hanging="1" w:start="0" w:end="0"/>
      <w:jc w:val="start"/>
    </w:pPr>
    <w:rPr>
      <w:rFonts w:ascii="Trebuchet MS" w:hAnsi="Trebuchet MS" w:eastAsia="Trebuchet MS" w:cs="Trebuchet MS"/>
      <w:b/>
      <w:bCs/>
      <w:i w:val="false"/>
      <w:iCs w:val="false"/>
      <w:caps w:val="false"/>
      <w:smallCaps w:val="false"/>
      <w:strike w:val="false"/>
      <w:dstrike w:val="false"/>
      <w:color w:val="000000"/>
      <w:position w:val="0"/>
      <w:sz w:val="28"/>
      <w:szCs w:val="28"/>
      <w:u w:val="none"/>
      <w:shd w:fill="auto" w:val="clear"/>
      <w:vertAlign w:val="baseline"/>
    </w:rPr>
  </w:style>
  <w:style w:type="paragraph" w:styleId="Heading4">
    <w:name w:val="heading 4"/>
    <w:basedOn w:val="normal1"/>
    <w:next w:val="normal1"/>
    <w:qFormat/>
    <w:pPr>
      <w:keepNext w:val="true"/>
      <w:keepLines/>
      <w:pageBreakBefore w:val="false"/>
      <w:widowControl w:val="false"/>
      <w:shd w:val="clear" w:fill="auto"/>
      <w:spacing w:lineRule="auto" w:line="240" w:before="240" w:after="40"/>
      <w:ind w:hanging="1" w:start="0" w:end="0"/>
      <w:jc w:val="start"/>
    </w:pPr>
    <w:rPr>
      <w:rFonts w:ascii="Trebuchet MS" w:hAnsi="Trebuchet MS" w:eastAsia="Trebuchet MS" w:cs="Trebuchet MS"/>
      <w:b/>
      <w:bCs/>
      <w:i w:val="false"/>
      <w:iCs w:val="false"/>
      <w:caps w:val="false"/>
      <w:smallCaps w:val="false"/>
      <w:strike w:val="false"/>
      <w:dstrike w:val="false"/>
      <w:color w:val="000000"/>
      <w:position w:val="0"/>
      <w:sz w:val="24"/>
      <w:szCs w:val="24"/>
      <w:u w:val="none"/>
      <w:shd w:fill="auto" w:val="clear"/>
      <w:vertAlign w:val="baseline"/>
    </w:rPr>
  </w:style>
  <w:style w:type="paragraph" w:styleId="Heading5">
    <w:name w:val="heading 5"/>
    <w:basedOn w:val="normal1"/>
    <w:next w:val="normal1"/>
    <w:qFormat/>
    <w:pPr>
      <w:keepNext w:val="true"/>
      <w:keepLines/>
      <w:pageBreakBefore w:val="false"/>
      <w:widowControl w:val="false"/>
      <w:shd w:val="clear" w:fill="auto"/>
      <w:spacing w:lineRule="auto" w:line="240" w:before="220" w:after="40"/>
      <w:ind w:hanging="1" w:start="0" w:end="0"/>
      <w:jc w:val="start"/>
    </w:pPr>
    <w:rPr>
      <w:rFonts w:ascii="Trebuchet MS" w:hAnsi="Trebuchet MS" w:eastAsia="Trebuchet MS" w:cs="Trebuchet MS"/>
      <w:b/>
      <w:bCs/>
      <w:i w:val="false"/>
      <w:iCs w:val="false"/>
      <w:caps w:val="false"/>
      <w:smallCaps w:val="false"/>
      <w:strike w:val="false"/>
      <w:dstrike w:val="false"/>
      <w:color w:val="000000"/>
      <w:position w:val="0"/>
      <w:sz w:val="22"/>
      <w:szCs w:val="22"/>
      <w:u w:val="none"/>
      <w:shd w:fill="auto" w:val="clear"/>
      <w:vertAlign w:val="baseline"/>
    </w:rPr>
  </w:style>
  <w:style w:type="paragraph" w:styleId="Heading6">
    <w:name w:val="heading 6"/>
    <w:basedOn w:val="normal1"/>
    <w:next w:val="normal1"/>
    <w:qFormat/>
    <w:pPr>
      <w:keepNext w:val="true"/>
      <w:keepLines/>
      <w:pageBreakBefore w:val="false"/>
      <w:widowControl w:val="false"/>
      <w:shd w:val="clear" w:fill="auto"/>
      <w:spacing w:lineRule="auto" w:line="240" w:before="200" w:after="40"/>
      <w:ind w:hanging="1" w:start="0" w:end="0"/>
      <w:jc w:val="start"/>
    </w:pPr>
    <w:rPr>
      <w:rFonts w:ascii="Trebuchet MS" w:hAnsi="Trebuchet MS" w:eastAsia="Trebuchet MS" w:cs="Trebuchet MS"/>
      <w:b/>
      <w:bCs/>
      <w:i w:val="false"/>
      <w:iCs w:val="false"/>
      <w:caps w:val="false"/>
      <w:smallCaps w:val="false"/>
      <w:strike w:val="false"/>
      <w:dstrike w:val="false"/>
      <w:color w:val="000000"/>
      <w:position w:val="0"/>
      <w:sz w:val="20"/>
      <w:szCs w:val="20"/>
      <w:u w:val="none"/>
      <w:shd w:fill="auto" w:val="clear"/>
      <w:vertAlign w:val="baseline"/>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normal1" w:default="1">
    <w:name w:val="normal1"/>
    <w:qFormat/>
    <w:pPr>
      <w:widowControl/>
      <w:suppressAutoHyphens w:val="true"/>
      <w:bidi w:val="0"/>
      <w:spacing w:before="0" w:after="0"/>
      <w:ind w:hanging="1"/>
      <w:jc w:val="start"/>
    </w:pPr>
    <w:rPr>
      <w:rFonts w:ascii="Arial" w:hAnsi="Arial" w:eastAsia="Arial" w:cs="Arial"/>
      <w:color w:val="auto"/>
      <w:kern w:val="0"/>
      <w:sz w:val="20"/>
      <w:szCs w:val="20"/>
      <w:lang w:val="en-US" w:eastAsia="zh-CN" w:bidi="hi-IN"/>
    </w:rPr>
  </w:style>
  <w:style w:type="paragraph" w:styleId="Title">
    <w:name w:val="Title"/>
    <w:basedOn w:val="normal1"/>
    <w:next w:val="normal1"/>
    <w:qFormat/>
    <w:pPr>
      <w:keepNext w:val="true"/>
      <w:keepLines/>
      <w:pageBreakBefore w:val="false"/>
      <w:widowControl w:val="false"/>
      <w:shd w:val="clear" w:fill="auto"/>
      <w:spacing w:lineRule="auto" w:line="240" w:before="480" w:after="120"/>
      <w:ind w:hanging="1" w:start="0" w:end="0"/>
      <w:jc w:val="start"/>
    </w:pPr>
    <w:rPr>
      <w:rFonts w:ascii="Arial" w:hAnsi="Arial" w:eastAsia="Arial" w:cs="Arial"/>
      <w:b/>
      <w:bCs/>
      <w:i w:val="false"/>
      <w:iCs w:val="false"/>
      <w:caps w:val="false"/>
      <w:smallCaps w:val="false"/>
      <w:strike w:val="false"/>
      <w:dstrike w:val="false"/>
      <w:color w:val="000000"/>
      <w:position w:val="0"/>
      <w:sz w:val="24"/>
      <w:szCs w:val="24"/>
      <w:u w:val="none"/>
      <w:shd w:fill="auto" w:val="clear"/>
      <w:vertAlign w:val="baseline"/>
    </w:rPr>
  </w:style>
  <w:style w:type="paragraph" w:styleId="Subtitle">
    <w:name w:val="Subtitle"/>
    <w:basedOn w:val="normal1"/>
    <w:next w:val="normal1"/>
    <w:qFormat/>
    <w:pPr>
      <w:keepNext w:val="true"/>
      <w:keepLines/>
      <w:spacing w:lineRule="auto" w:line="240" w:before="360" w:after="80"/>
    </w:pPr>
    <w:rPr>
      <w:rFonts w:ascii="Georgia" w:hAnsi="Georgia" w:eastAsia="Georgia" w:cs="Georgia"/>
      <w:i/>
      <w:iCs/>
      <w:color w:val="666666"/>
      <w:sz w:val="48"/>
      <w:szCs w:val="48"/>
    </w:rPr>
  </w:style>
  <w:style w:type="paragraph" w:styleId="Cabealhoerodapuser">
    <w:name w:val="Cabeçalho e rodapé (user)"/>
    <w:basedOn w:val="Normal"/>
    <w:qFormat/>
    <w:pPr/>
    <w:rPr/>
  </w:style>
  <w:style w:type="paragraph" w:styleId="Cabealhoerodap">
    <w:name w:val="Cabeçalho e rodapé"/>
    <w:basedOn w:val="Normal"/>
    <w:qFormat/>
    <w:pPr/>
    <w:rPr/>
  </w:style>
  <w:style w:type="paragraph" w:styleId="Header">
    <w:name w:val="header"/>
    <w:basedOn w:val="Cabealhoerodapuser"/>
    <w:pPr/>
    <w:rPr/>
  </w:style>
  <w:style w:type="paragraph" w:styleId="Footer">
    <w:name w:val="footer"/>
    <w:basedOn w:val="Cabealhoerodapuser"/>
    <w:pPr/>
    <w:rPr/>
  </w:style>
  <w:style w:type="table" w:default="1" w:styleId="TableNormal">
    <w:name w:val="TableNormal"/>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bc.pmf.sc.gov.br/" TargetMode="External"/><Relationship Id="rId3" Type="http://schemas.openxmlformats.org/officeDocument/2006/relationships/hyperlink" Target="https://wbc.pmf.sc.gov.br/" TargetMode="External"/><Relationship Id="rId4" Type="http://schemas.openxmlformats.org/officeDocument/2006/relationships/hyperlink" Target="https://wbc.pmf.sc.gov.br/" TargetMode="External"/><Relationship Id="rId5" Type="http://schemas.openxmlformats.org/officeDocument/2006/relationships/hyperlink" Target="https://wbc.pmf.sc.gov.br/" TargetMode="External"/><Relationship Id="rId6" Type="http://schemas.openxmlformats.org/officeDocument/2006/relationships/hyperlink" Target="https://wbc.pmf.sc.gov.br/" TargetMode="External"/><Relationship Id="rId7" Type="http://schemas.openxmlformats.org/officeDocument/2006/relationships/hyperlink" Target="https://wbc.pmf.sc.gov.br/"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Relationship Id="rId19" Type="http://schemas.openxmlformats.org/officeDocument/2006/relationships/font" Target="fonts/font19.odttf"/><Relationship Id="rId20" Type="http://schemas.openxmlformats.org/officeDocument/2006/relationships/font" Target="fonts/font20.odttf"/><Relationship Id="rId21" Type="http://schemas.openxmlformats.org/officeDocument/2006/relationships/font" Target="fonts/font21.odttf"/><Relationship Id="rId22" Type="http://schemas.openxmlformats.org/officeDocument/2006/relationships/font" Target="fonts/font22.odttf"/><Relationship Id="rId23" Type="http://schemas.openxmlformats.org/officeDocument/2006/relationships/font" Target="fonts/font23.odttf"/><Relationship Id="rId24" Type="http://schemas.openxmlformats.org/officeDocument/2006/relationships/font" Target="fonts/font24.odttf"/><Relationship Id="rId25" Type="http://schemas.openxmlformats.org/officeDocument/2006/relationships/font" Target="fonts/font25.odttf"/>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funpEOm9f5xa8GBe+eWgW/nUvHg==">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2</TotalTime>
  <Application>LibreOffice/25.8.5.2$Windows_X86_64 LibreOffice_project/9c8b85f387cc00a89945a79c9e6239f32e450ac2</Application>
  <AppVersion>15.0000</AppVersion>
  <Pages>68</Pages>
  <Words>20442</Words>
  <Characters>116936</Characters>
  <CharactersWithSpaces>136449</CharactersWithSpaces>
  <Paragraphs>947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2026-04-28T17:20:51Z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