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3.png" ContentType="image/png"/>
  <Override PartName="/word/media/image2.wmf" ContentType="image/x-wmf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>
      <w:pPr>
        <w:pStyle w:val="Normal"/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presente instrumento de justificativa se presta a cumprir o contido no art. 75, inciso II, da Lei 14.133/21 considerando que o valor a ser pago pelo trabalho não ultrapassa o limite previsto no próprio inciso.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Trata-se de uma necessidade que precisa ser resolvida urgentemente, por este motivo, à luz do artigo 75, inciso II, da lei 14133/21, o gestor municipal, ao considerar a morosidade do processo licitatório e o risco de adquirir o material depois do evento cívico, usa da contratação direta para solver a necessidade no trânsito.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 fazer o evento patriótico, é usado as duas vias mais importantes do município de Içara, rua Altamiro Guimarães e Rua Sete de Setembro. Além do mais, o evento acaba passando por várias vias adjacentes. Desde modo, todas as intersecções merecem ser sinalizadas, fechadas e orientadas.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Igualmente, o evento reúne autoridades das forças armadas dos três entes públicos, envolve os setores educacionais e as famílias içarenses que vem fazer suas homenagens nacionalistas. Pelo meio, é indispensável a aquisição dos materiais requisitados.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Núcleo de Transporte e Circulação necessita dos 200 cones de sinalização, 6 barreiras e 30(trinta) fitas como instrumento de trabalho. É por meio deste material, que o Departamento de Trânsito sinaliza as vias que estão em obras, interdita os lugares que tem risco de desmoronamento, efetua blitz educativa e controladora e usa também para o evento nacional do 7(sete) de setembro.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quantidade de material requerida mostra-se bastante razoável, porquanto os objetos de sinalização também são distribuídos para setor da Usina de Asfalto, Samae e também para Defesa Civil. É normal o material ser usado para sinalizar e controlar eventos de uso coletivo, como a festa do São Donato, Passeio Ciclístico e demais eventos que ocorrem nos finais de semana no município de Içara.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Busca-se através da aquisição do material de sinalização que o evento Cívico seja garantido com maior fluidez e segurança no trânsito, fazendo o uso do material para controle do fluxo de veículos nas áreas de desfile e comemoração. Também, para isolar vias específicas para garantir segurança da população e garantir organização do espaço para montagem de palcos, estruturas e áreas de concentração.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É bem verdade que o material adquirido será, posteriormente, reutilizado em manutenção viária, ações educativas e fiscalizações e rotinas de segurança urbana.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material requerido é essencial para atividades fins do Departamento de Trânsito. É por meio destes objetos que é realizado interdições temporárias, como reformas de calçadas, pintura e manutenção nas vias. Outrossim, o material é comumente utilizado como apoio visual durante campanhas de conscientização no trânsito, tais como, Maio Amarelo e Semana Nacional do Trânsito. Eles também auxiliam em ocorrências de acidentes de trânsito, quedas de árvores ou rompimentos das vias.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Essa necessidade está de acordo com os artigos elencados na lei 9503/97, especial, o artigo 1º, §2°.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Ao não atender a necessidade acima, poderá se desdobrar em prejuízos consideráveis ao evento do 7(sete) de setembro como também a segurança no trânsito. Problemas como: risco à integridade física das pessoas, desorganização do tráfego, impossibilidade de eventos com segurança e comprometimentos das operações rotineiras.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Nestes termos: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Objeto de Serviço:</w:t>
      </w:r>
      <w:r>
        <w:rPr/>
        <w:t xml:space="preserve"> a contratação de empresa especializada para aquisição de 6(seis) barreiras pantográficas, 200 (ducentos) cones de sinalização e 30(trinta) fitas zebradas, visando atender às necessidades do evento cívico 7(sete) de setembro e controle de acesso, isolamento de áreas e sinalização de segurança em ambientes internos e externos no perímetro do município de Içara.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Objetivo</w:t>
      </w:r>
      <w:r>
        <w:rPr>
          <w:rFonts w:ascii="Times New Roman" w:hAnsi="Times New Roman"/>
          <w:sz w:val="24"/>
          <w:szCs w:val="24"/>
        </w:rPr>
        <w:t>: garantir que o evento cívico de 7(sete) de setembro ocorra de forma segura e com mobilidade urbana.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/>
        <w:t>Pelos seguintes itens:</w:t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>
          <w:b/>
        </w:rPr>
        <w:t xml:space="preserve">Item 01 </w:t>
      </w:r>
      <w:r>
        <w:rPr/>
        <w:t>– aquisição de 200 cones semi-flexível de borracha com 2 anéis de adesivo refletivo personalizado com 75cm, cor laranja, base quadrada preta com logotipo que identifique o Núcleo de Transporte e Circulação.</w:t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>
          <w:b/>
        </w:rPr>
        <w:t>Item 02</w:t>
      </w:r>
      <w:r>
        <w:rPr/>
        <w:t>- Aquisição de 6(seis) barreiras de PVC com 16 réguas etipo favo quando aberta BR com 70 cm de altura, com logotipo que identifique o Núcleo de Transporte e Circulação.</w:t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>
          <w:b/>
        </w:rPr>
        <w:t>Item 03</w:t>
      </w:r>
      <w:r>
        <w:rPr/>
        <w:t xml:space="preserve"> Aquisição de 30 fita zebrada para sinalização de 200x 7cm. </w:t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/>
      </w:r>
    </w:p>
    <w:p>
      <w:pPr>
        <w:pStyle w:val="NormalWeb"/>
        <w:spacing w:lineRule="auto" w:line="360" w:beforeAutospacing="0" w:before="0" w:afterAutospacing="0" w:after="0"/>
        <w:ind w:firstLine="1134"/>
        <w:jc w:val="both"/>
        <w:rPr/>
      </w:pPr>
      <w:r>
        <w:rPr/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134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134"/>
        <w:jc w:val="both"/>
        <w:rPr/>
      </w:pPr>
      <w:r>
        <w:rPr>
          <w:rFonts w:ascii="Times New Roman" w:hAnsi="Times New Roman"/>
          <w:b/>
          <w:sz w:val="24"/>
          <w:szCs w:val="24"/>
        </w:rPr>
        <w:t>III - Preço: R$ 4</w:t>
      </w:r>
      <w:r>
        <w:rPr>
          <w:rFonts w:ascii="Times New Roman" w:hAnsi="Times New Roman"/>
          <w:b/>
          <w:sz w:val="24"/>
          <w:szCs w:val="24"/>
        </w:rPr>
        <w:t>2.692</w:t>
      </w:r>
      <w:r>
        <w:rPr>
          <w:rFonts w:ascii="Times New Roman" w:hAnsi="Times New Roman"/>
          <w:b/>
          <w:sz w:val="24"/>
          <w:szCs w:val="24"/>
        </w:rPr>
        <w:t xml:space="preserve">,00(Quarenta e </w:t>
      </w:r>
      <w:r>
        <w:rPr>
          <w:rFonts w:ascii="Times New Roman" w:hAnsi="Times New Roman"/>
          <w:b/>
          <w:sz w:val="24"/>
          <w:szCs w:val="24"/>
        </w:rPr>
        <w:t>dois mil seiscentos e noventa e dois</w:t>
      </w:r>
      <w:r>
        <w:rPr>
          <w:rFonts w:ascii="Times New Roman" w:hAnsi="Times New Roman"/>
          <w:b/>
          <w:sz w:val="24"/>
          <w:szCs w:val="24"/>
        </w:rPr>
        <w:t xml:space="preserve"> reais).</w:t>
      </w:r>
    </w:p>
    <w:tbl>
      <w:tblPr>
        <w:tblW w:w="9140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2"/>
        <w:gridCol w:w="2975"/>
        <w:gridCol w:w="674"/>
        <w:gridCol w:w="1613"/>
        <w:gridCol w:w="1714"/>
        <w:gridCol w:w="1551"/>
      </w:tblGrid>
      <w:tr>
        <w:trPr>
          <w:trHeight w:val="525" w:hRule="atLeast"/>
        </w:trPr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fldChar w:fldCharType="begin"/>
            </w:r>
            <w:r>
              <w:instrText>LINK Excel.Sheet.12 "C:\\Users\\Usuario\\Desktop\\Luiz\\Cones e barreiras\\tabela de preços.xlsx" "Planilha2!L1C1:L5C6" \a \f 4 \h</w:instrText>
            </w:r>
            <w:r>
              <w:fldChar w:fldCharType="separate"/>
            </w:r>
            <w:bookmarkStart w:id="0" w:name="__Fieldmark__68_705557425"/>
            <w:r>
              <w:rPr/>
              <w:t>X</w:t>
            </w:r>
            <w:bookmarkEnd w:id="0"/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7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6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7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FORNECEDOR</w:t>
            </w:r>
          </w:p>
        </w:tc>
      </w:tr>
      <w:tr>
        <w:trPr>
          <w:trHeight w:val="1035" w:hRule="atLeast"/>
        </w:trPr>
        <w:tc>
          <w:tcPr>
            <w:tcW w:w="6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2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cone semi-flexível com base de borracha 2 anéis de adesivo reflexivo personalizado, com medida de 75 cm</w:t>
            </w:r>
          </w:p>
        </w:tc>
        <w:tc>
          <w:tcPr>
            <w:tcW w:w="67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161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178,00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35.600,00</w:t>
            </w:r>
          </w:p>
        </w:tc>
        <w:tc>
          <w:tcPr>
            <w:tcW w:w="1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SUPERIOR SINALIZAÇÃO</w:t>
            </w:r>
          </w:p>
        </w:tc>
      </w:tr>
      <w:tr>
        <w:trPr>
          <w:trHeight w:val="780" w:hRule="atLeast"/>
        </w:trPr>
        <w:tc>
          <w:tcPr>
            <w:tcW w:w="6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2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Barreira de PVC com 16 réguas etipo favo quando aberta BR 70 cm de altura</w:t>
            </w:r>
          </w:p>
        </w:tc>
        <w:tc>
          <w:tcPr>
            <w:tcW w:w="67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61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1.048,00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6.288,00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SUPERIOR SINALIZAÇÃO</w:t>
            </w:r>
          </w:p>
        </w:tc>
      </w:tr>
      <w:tr>
        <w:trPr>
          <w:trHeight w:val="525" w:hRule="atLeast"/>
        </w:trPr>
        <w:tc>
          <w:tcPr>
            <w:tcW w:w="6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2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fita zebrada para sinalização 200m x 7 cm</w:t>
            </w:r>
          </w:p>
        </w:tc>
        <w:tc>
          <w:tcPr>
            <w:tcW w:w="67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61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26,80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 xml:space="preserve">R$           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804,00</w:t>
            </w:r>
          </w:p>
        </w:tc>
        <w:tc>
          <w:tcPr>
            <w:tcW w:w="1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SUPERIOR SINALIZAÇÃO</w:t>
            </w:r>
          </w:p>
        </w:tc>
      </w:tr>
      <w:tr>
        <w:trPr>
          <w:trHeight w:val="300" w:hRule="atLeast"/>
        </w:trPr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297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0"/>
                <w:szCs w:val="20"/>
                <w:lang w:eastAsia="pt-BR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67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0"/>
                <w:szCs w:val="20"/>
                <w:lang w:eastAsia="pt-BR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6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A5A5A5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eastAsia="pt-BR"/>
              </w:rPr>
              <w:t>VALOR GLOBAL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A5A5A5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eastAsia="pt-BR"/>
              </w:rPr>
              <w:t>R$            4</w:t>
            </w: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eastAsia="pt-BR"/>
              </w:rPr>
              <w:t>2.692,00</w:t>
            </w:r>
          </w:p>
        </w:tc>
        <w:tc>
          <w:tcPr>
            <w:tcW w:w="155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eastAsia="pt-BR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color w:val="FF0000"/>
          <w:sz w:val="24"/>
          <w:szCs w:val="24"/>
        </w:rPr>
      </w:pPr>
      <w:bookmarkStart w:id="1" w:name="_GoBack"/>
      <w:bookmarkStart w:id="2" w:name="_GoBack"/>
      <w:bookmarkEnd w:id="2"/>
      <w:r>
        <w:rPr>
          <w:rFonts w:ascii="Times New Roman" w:hAnsi="Times New Roman"/>
          <w:b/>
          <w:color w:val="FF0000"/>
          <w:sz w:val="24"/>
          <w:szCs w:val="24"/>
        </w:rPr>
      </w:r>
    </w:p>
    <w:p>
      <w:pPr>
        <w:pStyle w:val="Normal"/>
        <w:tabs>
          <w:tab w:val="left" w:pos="6334" w:leader="none"/>
        </w:tabs>
        <w:spacing w:lineRule="auto" w:line="360" w:before="0" w:after="0"/>
        <w:jc w:val="both"/>
        <w:rPr>
          <w:rFonts w:ascii="Times New Roman" w:hAnsi="Times New Roman"/>
          <w:b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 – Razão da escolha do fornecedor</w:t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134"/>
        <w:jc w:val="both"/>
        <w:rPr/>
      </w:pPr>
      <w:r>
        <w:rPr>
          <w:rFonts w:ascii="Times New Roman" w:hAnsi="Times New Roman"/>
          <w:sz w:val="24"/>
          <w:szCs w:val="24"/>
        </w:rPr>
        <w:t xml:space="preserve">O critério para escolher a melhor proposta é o menor preço por item, destarte, como a </w:t>
      </w:r>
      <w:r>
        <w:rPr>
          <w:rFonts w:ascii="Times New Roman" w:hAnsi="Times New Roman"/>
          <w:sz w:val="24"/>
          <w:szCs w:val="24"/>
        </w:rPr>
        <w:t>SUPERIOR SINALIZAÇÃO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apresentou a proposta com o menor valor nos três itens, declara-se como fornecedora escolhida.</w:t>
      </w:r>
    </w:p>
    <w:p>
      <w:pPr>
        <w:pStyle w:val="Normal"/>
        <w:tabs>
          <w:tab w:val="left" w:pos="6334" w:leader="none"/>
        </w:tabs>
        <w:spacing w:lineRule="auto" w:line="360" w:before="0" w:after="0"/>
        <w:ind w:firstLine="141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Assim, ratifico a justificativa e determino aos Setores Competentes (Compras e Comissão de Avaliação e Controle de Despesas Administrativas – CACDA – Decreto n° 14133/21) para as providências devidas.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Içara, 24 de julho de 2025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/>
        <mc:AlternateContent>
          <mc:Choice Requires="wps">
            <w:drawing>
              <wp:inline distT="0" distB="0" distL="0" distR="0">
                <wp:extent cx="2439035" cy="1219835"/>
                <wp:effectExtent l="0" t="0" r="0" b="0"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2438280" cy="1219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96.05pt;width:191.95pt;height:95.95pt;mso-position-vertical:top">
                <v:imagedata r:id="rId2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>
                <wp:extent cx="2439035" cy="1219835"/>
                <wp:effectExtent l="0" t="0" r="0" b="0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2438280" cy="1219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96.05pt;width:191.95pt;height:95.95pt;mso-position-vertical:top">
                <v:imagedata r:id="rId3" o:detectmouseclick="t"/>
                <w10:wrap type="none"/>
                <v:stroke color="#3465a4" joinstyle="round" endcap="flat"/>
              </v:rect>
            </w:pict>
          </mc:Fallback>
        </mc:AlternateContent>
      </w:r>
    </w:p>
    <w:sectPr>
      <w:headerReference w:type="default" r:id="rId4"/>
      <w:footerReference w:type="default" r:id="rId5"/>
      <w:type w:val="nextPage"/>
      <w:pgSz w:w="11906" w:h="16838"/>
      <w:pgMar w:left="993" w:right="991" w:header="708" w:top="765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NTC- Núcleo de Transporte e Circulação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Rua Donato Valvassori , nº 30 -Terminal Rodoviário- Centro – Içara/SC, CEP 88.820-000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Fone: (48) 3432-3935 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drawing>
        <wp:anchor behindDoc="0" distT="0" distB="0" distL="114300" distR="114300" simplePos="0" locked="0" layoutInCell="1" allowOverlap="1" relativeHeight="4">
          <wp:simplePos x="0" y="0"/>
          <wp:positionH relativeFrom="column">
            <wp:posOffset>245745</wp:posOffset>
          </wp:positionH>
          <wp:positionV relativeFrom="paragraph">
            <wp:posOffset>-287655</wp:posOffset>
          </wp:positionV>
          <wp:extent cx="852805" cy="859790"/>
          <wp:effectExtent l="0" t="0" r="0" b="0"/>
          <wp:wrapTight wrapText="bothSides">
            <wp:wrapPolygon edited="0">
              <wp:start x="6679" y="0"/>
              <wp:lineTo x="4734" y="948"/>
              <wp:lineTo x="864" y="6182"/>
              <wp:lineTo x="864" y="10951"/>
              <wp:lineTo x="1831" y="15712"/>
              <wp:lineTo x="6679" y="20946"/>
              <wp:lineTo x="7158" y="20946"/>
              <wp:lineTo x="9582" y="20946"/>
              <wp:lineTo x="11038" y="20946"/>
              <wp:lineTo x="19286" y="15712"/>
              <wp:lineTo x="20742" y="6182"/>
              <wp:lineTo x="16374" y="948"/>
              <wp:lineTo x="14438" y="0"/>
              <wp:lineTo x="6679" y="0"/>
            </wp:wrapPolygon>
          </wp:wrapTight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859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P</w:t>
    </w:r>
    <w:r>
      <w:rPr/>
      <w:t>refeitura Municipal de Içara</w:t>
    </w:r>
  </w:p>
  <w:p>
    <w:pPr>
      <w:pStyle w:val="Cabealho"/>
      <w:ind w:left="2832" w:hanging="0"/>
      <w:rPr/>
    </w:pPr>
    <w:r>
      <w:rPr/>
      <w:t xml:space="preserve">                </w:t>
    </w:r>
    <w:r>
      <w:rPr/>
      <w:t>Núcleo de Transporte e Circulação – NTC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6c50"/>
    <w:pPr>
      <w:widowControl/>
      <w:bidi w:val="0"/>
      <w:spacing w:lineRule="auto" w:line="276" w:before="0" w:after="200"/>
      <w:jc w:val="left"/>
    </w:pPr>
    <w:rPr>
      <w:rFonts w:ascii="Arial" w:hAnsi="Arial" w:eastAsia="Calibri" w:cs="Times New Roman"/>
      <w:color w:val="auto"/>
      <w:sz w:val="22"/>
      <w:szCs w:val="22"/>
      <w:lang w:eastAsia="en-US" w:val="pt-BR" w:bidi="ar-SA"/>
    </w:rPr>
  </w:style>
  <w:style w:type="paragraph" w:styleId="Ttulo2">
    <w:name w:val="Heading 2"/>
    <w:basedOn w:val="Normal"/>
    <w:link w:val="Ttulo2Char"/>
    <w:uiPriority w:val="9"/>
    <w:qFormat/>
    <w:rsid w:val="007c35ca"/>
    <w:pPr>
      <w:spacing w:lineRule="auto" w:line="240" w:beforeAutospacing="1" w:afterAutospacing="1"/>
      <w:outlineLvl w:val="1"/>
    </w:pPr>
    <w:rPr>
      <w:rFonts w:ascii="Times New Roman" w:hAnsi="Times New Roman" w:eastAsia="Times New Roman"/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c35ca"/>
    <w:pPr>
      <w:keepNext/>
      <w:keepLines/>
      <w:spacing w:before="200" w:after="0"/>
      <w:outlineLvl w:val="3"/>
    </w:pPr>
    <w:rPr>
      <w:rFonts w:ascii="Cambria" w:hAnsi="Cambria" w:eastAsia="Times New Roman"/>
      <w:b/>
      <w:bCs/>
      <w:i/>
      <w:iCs/>
      <w:color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uiPriority w:val="99"/>
    <w:semiHidden/>
    <w:unhideWhenUsed/>
    <w:qFormat/>
    <w:rsid w:val="00a41a9e"/>
    <w:rPr>
      <w:vertAlign w:val="superscript"/>
    </w:rPr>
  </w:style>
  <w:style w:type="character" w:styleId="Strong">
    <w:name w:val="Strong"/>
    <w:uiPriority w:val="22"/>
    <w:qFormat/>
    <w:rsid w:val="00ca264b"/>
    <w:rPr>
      <w:b/>
      <w:bCs/>
    </w:rPr>
  </w:style>
  <w:style w:type="character" w:styleId="Ttulo2Char" w:customStyle="1">
    <w:name w:val="Título 2 Char"/>
    <w:link w:val="Ttulo2"/>
    <w:uiPriority w:val="9"/>
    <w:qFormat/>
    <w:rsid w:val="007c35ca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character" w:styleId="Ttulo4Char" w:customStyle="1">
    <w:name w:val="Título 4 Char"/>
    <w:link w:val="Ttulo4"/>
    <w:uiPriority w:val="9"/>
    <w:qFormat/>
    <w:rsid w:val="007c35ca"/>
    <w:rPr>
      <w:rFonts w:ascii="Cambria" w:hAnsi="Cambria" w:eastAsia="Times New Roman" w:cs="Times New Roman"/>
      <w:b/>
      <w:bCs/>
      <w:i/>
      <w:iCs/>
      <w:color w:val="4F81BD"/>
    </w:rPr>
  </w:style>
  <w:style w:type="character" w:styleId="Nfase">
    <w:name w:val="Ênfase"/>
    <w:uiPriority w:val="20"/>
    <w:qFormat/>
    <w:rsid w:val="007c35ca"/>
    <w:rPr>
      <w:i/>
      <w:iCs/>
    </w:rPr>
  </w:style>
  <w:style w:type="character" w:styleId="CabealhoChar" w:customStyle="1">
    <w:name w:val="Cabeçalho Char"/>
    <w:link w:val="Cabealho"/>
    <w:uiPriority w:val="99"/>
    <w:qFormat/>
    <w:rsid w:val="00505b89"/>
    <w:rPr>
      <w:rFonts w:ascii="Calibri" w:hAnsi="Calibri" w:eastAsia="Calibri" w:cs="Times New Roman"/>
    </w:rPr>
  </w:style>
  <w:style w:type="character" w:styleId="RodapChar" w:customStyle="1">
    <w:name w:val="Rodapé Char"/>
    <w:link w:val="Rodap"/>
    <w:uiPriority w:val="99"/>
    <w:qFormat/>
    <w:rsid w:val="00505b89"/>
    <w:rPr>
      <w:rFonts w:ascii="Calibri" w:hAnsi="Calibri" w:eastAsia="Calibri" w:cs="Times New Roman"/>
    </w:rPr>
  </w:style>
  <w:style w:type="character" w:styleId="TextodebaloChar" w:customStyle="1">
    <w:name w:val="Texto de balão Char"/>
    <w:link w:val="Textodebalo"/>
    <w:uiPriority w:val="99"/>
    <w:semiHidden/>
    <w:qFormat/>
    <w:rsid w:val="00505b89"/>
    <w:rPr>
      <w:rFonts w:ascii="Tahoma" w:hAnsi="Tahoma" w:eastAsia="Calibri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Art" w:customStyle="1">
    <w:name w:val="art"/>
    <w:basedOn w:val="Normal"/>
    <w:qFormat/>
    <w:rsid w:val="00ca264b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ca264b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05b8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505b8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05b8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e3fa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Application>LibreOffice/5.2.4.2$Windows_x86 LibreOffice_project/3d5603e1122f0f102b62521720ab13a38a4e0eb0</Application>
  <Pages>3</Pages>
  <Words>862</Words>
  <Characters>4668</Characters>
  <CharactersWithSpaces>5577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2025-07-22T17:46:00Z</dcterms:created>
  <dc:creator>Usuario</dc:creator>
  <dc:description/>
  <dc:language>pt-BR</dc:language>
  <cp:lastModifiedBy/>
  <cp:lastPrinted>2025-08-15T10:18:18Z</cp:lastPrinted>
  <dcterms:modified xsi:type="dcterms:W3CDTF">2025-08-15T10:19:53Z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