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8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8"/>
        <w:gridCol w:w="574"/>
        <w:gridCol w:w="2828"/>
        <w:gridCol w:w="76"/>
        <w:gridCol w:w="2242"/>
        <w:gridCol w:w="762"/>
        <w:gridCol w:w="2561"/>
      </w:tblGrid>
      <w:tr w:rsidR="00161AE3" w:rsidRPr="005B72E6" w14:paraId="7D03934B" w14:textId="77777777" w:rsidTr="0063540F">
        <w:tc>
          <w:tcPr>
            <w:tcW w:w="9781" w:type="dxa"/>
            <w:gridSpan w:val="7"/>
            <w:shd w:val="clear" w:color="auto" w:fill="auto"/>
            <w:vAlign w:val="center"/>
          </w:tcPr>
          <w:p w14:paraId="2166BA3E" w14:textId="77777777" w:rsidR="00161AE3" w:rsidRPr="005B72E6" w:rsidRDefault="00161AE3" w:rsidP="00161AE3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5B72E6">
              <w:rPr>
                <w:rFonts w:ascii="Verdana" w:hAnsi="Verdana"/>
                <w:b/>
                <w:sz w:val="16"/>
                <w:szCs w:val="16"/>
              </w:rPr>
              <w:t>MAPA DE RISCOS</w:t>
            </w:r>
          </w:p>
        </w:tc>
      </w:tr>
      <w:tr w:rsidR="0017041B" w:rsidRPr="005B72E6" w14:paraId="030AD038" w14:textId="77777777" w:rsidTr="0063540F">
        <w:tc>
          <w:tcPr>
            <w:tcW w:w="9781" w:type="dxa"/>
            <w:gridSpan w:val="7"/>
            <w:shd w:val="clear" w:color="auto" w:fill="auto"/>
            <w:vAlign w:val="center"/>
          </w:tcPr>
          <w:p w14:paraId="0D369BFC" w14:textId="4C6EAC79" w:rsidR="0017041B" w:rsidRPr="005B72E6" w:rsidRDefault="0017041B" w:rsidP="0017041B">
            <w:pPr>
              <w:rPr>
                <w:rFonts w:ascii="Verdana" w:hAnsi="Verdana"/>
                <w:b/>
                <w:sz w:val="16"/>
                <w:szCs w:val="16"/>
              </w:rPr>
            </w:pPr>
            <w:r w:rsidRPr="005B72E6">
              <w:rPr>
                <w:rFonts w:ascii="Verdana" w:hAnsi="Verdana"/>
                <w:b/>
                <w:sz w:val="16"/>
                <w:szCs w:val="16"/>
              </w:rPr>
              <w:t>Objeto:</w:t>
            </w:r>
            <w:r w:rsidR="00BB1CE3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  <w:r w:rsidR="00BB1CE3" w:rsidRPr="00BB1CE3">
              <w:rPr>
                <w:rFonts w:ascii="Verdana" w:hAnsi="Verdana"/>
                <w:b/>
                <w:sz w:val="16"/>
                <w:szCs w:val="16"/>
              </w:rPr>
              <w:t>Aquisição de placas inaugurais e placas patrimoniais, para o Município de Nova Veneza/SC.</w:t>
            </w:r>
          </w:p>
        </w:tc>
      </w:tr>
      <w:tr w:rsidR="00161AE3" w:rsidRPr="005B72E6" w14:paraId="4E714613" w14:textId="77777777" w:rsidTr="005B72E6">
        <w:tc>
          <w:tcPr>
            <w:tcW w:w="4216" w:type="dxa"/>
            <w:gridSpan w:val="4"/>
            <w:shd w:val="clear" w:color="auto" w:fill="auto"/>
          </w:tcPr>
          <w:p w14:paraId="50E29443" w14:textId="77777777" w:rsidR="00161AE3" w:rsidRPr="005B72E6" w:rsidRDefault="00161AE3" w:rsidP="0063540F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5B72E6">
              <w:rPr>
                <w:rFonts w:ascii="Verdana" w:hAnsi="Verdana"/>
                <w:b/>
                <w:sz w:val="16"/>
                <w:szCs w:val="16"/>
              </w:rPr>
              <w:t xml:space="preserve">Constatação de Ocorrência </w:t>
            </w:r>
          </w:p>
        </w:tc>
        <w:tc>
          <w:tcPr>
            <w:tcW w:w="2242" w:type="dxa"/>
            <w:shd w:val="clear" w:color="auto" w:fill="auto"/>
          </w:tcPr>
          <w:p w14:paraId="1F5EB6B8" w14:textId="77777777" w:rsidR="00161AE3" w:rsidRPr="005B72E6" w:rsidRDefault="00161AE3" w:rsidP="0063540F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5B72E6">
              <w:rPr>
                <w:rFonts w:ascii="Verdana" w:hAnsi="Verdana"/>
                <w:b/>
                <w:sz w:val="16"/>
                <w:szCs w:val="16"/>
              </w:rPr>
              <w:t>Risco</w:t>
            </w:r>
          </w:p>
        </w:tc>
        <w:tc>
          <w:tcPr>
            <w:tcW w:w="3323" w:type="dxa"/>
            <w:gridSpan w:val="2"/>
            <w:shd w:val="clear" w:color="auto" w:fill="auto"/>
          </w:tcPr>
          <w:p w14:paraId="0F947C4D" w14:textId="77777777" w:rsidR="00161AE3" w:rsidRPr="005B72E6" w:rsidRDefault="00161AE3" w:rsidP="0063540F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5B72E6">
              <w:rPr>
                <w:rFonts w:ascii="Verdana" w:hAnsi="Verdana"/>
                <w:b/>
                <w:sz w:val="16"/>
                <w:szCs w:val="16"/>
              </w:rPr>
              <w:t>Medida</w:t>
            </w:r>
          </w:p>
        </w:tc>
      </w:tr>
      <w:tr w:rsidR="00161AE3" w:rsidRPr="005B72E6" w14:paraId="0AA9DD87" w14:textId="77777777" w:rsidTr="005B72E6">
        <w:tc>
          <w:tcPr>
            <w:tcW w:w="738" w:type="dxa"/>
            <w:shd w:val="clear" w:color="auto" w:fill="auto"/>
            <w:vAlign w:val="center"/>
          </w:tcPr>
          <w:p w14:paraId="6A9A3844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(     )</w:t>
            </w:r>
          </w:p>
        </w:tc>
        <w:tc>
          <w:tcPr>
            <w:tcW w:w="3478" w:type="dxa"/>
            <w:gridSpan w:val="3"/>
            <w:shd w:val="clear" w:color="auto" w:fill="auto"/>
            <w:vAlign w:val="center"/>
          </w:tcPr>
          <w:p w14:paraId="396D8216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Dispensa de licitação de valor sem adequado planejamento da contratação ou certificação de que exista licitação realizada para objeto semelhante</w:t>
            </w:r>
          </w:p>
        </w:tc>
        <w:tc>
          <w:tcPr>
            <w:tcW w:w="2242" w:type="dxa"/>
            <w:shd w:val="clear" w:color="auto" w:fill="auto"/>
            <w:vAlign w:val="center"/>
          </w:tcPr>
          <w:p w14:paraId="392469B9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Fracionamento indevido</w:t>
            </w:r>
          </w:p>
          <w:p w14:paraId="44F8AEFB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</w:p>
        </w:tc>
        <w:tc>
          <w:tcPr>
            <w:tcW w:w="3323" w:type="dxa"/>
            <w:gridSpan w:val="2"/>
            <w:shd w:val="clear" w:color="auto" w:fill="auto"/>
            <w:vAlign w:val="center"/>
          </w:tcPr>
          <w:p w14:paraId="135DA5AF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Declaração do setor requisitante de que as despesas não constituem fracionamento indevido e de que o somatório das despesas realizadas com objetos idênticos ou de mesma natureza, no mesmo exercício financeiro, pela unidade gestora, não ultrapassa os limites do art. 75, incisos I e II e §2º, da Lei 14.133/21; ou revogação do procedimento.</w:t>
            </w:r>
          </w:p>
        </w:tc>
      </w:tr>
      <w:tr w:rsidR="00161AE3" w:rsidRPr="005B72E6" w14:paraId="16040683" w14:textId="77777777" w:rsidTr="005B72E6">
        <w:tc>
          <w:tcPr>
            <w:tcW w:w="738" w:type="dxa"/>
            <w:shd w:val="clear" w:color="auto" w:fill="auto"/>
            <w:vAlign w:val="center"/>
          </w:tcPr>
          <w:p w14:paraId="31A44B4D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(     )</w:t>
            </w:r>
          </w:p>
        </w:tc>
        <w:tc>
          <w:tcPr>
            <w:tcW w:w="3478" w:type="dxa"/>
            <w:gridSpan w:val="3"/>
            <w:shd w:val="clear" w:color="auto" w:fill="auto"/>
            <w:vAlign w:val="center"/>
          </w:tcPr>
          <w:p w14:paraId="06E998DA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Contratação por dispensa de valor utilizando apenas a cotação de fornecedores convidados</w:t>
            </w:r>
          </w:p>
        </w:tc>
        <w:tc>
          <w:tcPr>
            <w:tcW w:w="2242" w:type="dxa"/>
            <w:shd w:val="clear" w:color="auto" w:fill="auto"/>
            <w:vAlign w:val="center"/>
          </w:tcPr>
          <w:p w14:paraId="4A99886F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Elevação do custo da</w:t>
            </w:r>
          </w:p>
          <w:p w14:paraId="7F13EEB9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contratação</w:t>
            </w:r>
          </w:p>
        </w:tc>
        <w:tc>
          <w:tcPr>
            <w:tcW w:w="3323" w:type="dxa"/>
            <w:gridSpan w:val="2"/>
            <w:shd w:val="clear" w:color="auto" w:fill="auto"/>
            <w:vAlign w:val="center"/>
          </w:tcPr>
          <w:p w14:paraId="3ABA3EB2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Realização, de forma preferencial, de pesquisa com base em preços públicos de licitações de outros órgãos, realizadas em menos de 1 (um) ano</w:t>
            </w:r>
          </w:p>
        </w:tc>
      </w:tr>
      <w:tr w:rsidR="00161AE3" w:rsidRPr="005B72E6" w14:paraId="70EA047C" w14:textId="77777777" w:rsidTr="005B72E6">
        <w:tc>
          <w:tcPr>
            <w:tcW w:w="738" w:type="dxa"/>
            <w:shd w:val="clear" w:color="auto" w:fill="auto"/>
            <w:vAlign w:val="center"/>
          </w:tcPr>
          <w:p w14:paraId="337A8CE2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(     )</w:t>
            </w:r>
          </w:p>
        </w:tc>
        <w:tc>
          <w:tcPr>
            <w:tcW w:w="3478" w:type="dxa"/>
            <w:gridSpan w:val="3"/>
            <w:shd w:val="clear" w:color="auto" w:fill="auto"/>
            <w:vAlign w:val="center"/>
          </w:tcPr>
          <w:p w14:paraId="7F7B83E7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ETP - Análise de apenas uma das soluções de mercado existentes</w:t>
            </w:r>
          </w:p>
        </w:tc>
        <w:tc>
          <w:tcPr>
            <w:tcW w:w="2242" w:type="dxa"/>
            <w:shd w:val="clear" w:color="auto" w:fill="auto"/>
            <w:vAlign w:val="center"/>
          </w:tcPr>
          <w:p w14:paraId="408031E6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Caracterização de direcionamento</w:t>
            </w:r>
          </w:p>
          <w:p w14:paraId="11071D7F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da licitação</w:t>
            </w:r>
          </w:p>
        </w:tc>
        <w:tc>
          <w:tcPr>
            <w:tcW w:w="3323" w:type="dxa"/>
            <w:gridSpan w:val="2"/>
            <w:shd w:val="clear" w:color="auto" w:fill="auto"/>
            <w:vAlign w:val="center"/>
          </w:tcPr>
          <w:p w14:paraId="59035BEA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Devolução do ETP ao setor requisitante para reformulação</w:t>
            </w:r>
          </w:p>
        </w:tc>
      </w:tr>
      <w:tr w:rsidR="00161AE3" w:rsidRPr="005B72E6" w14:paraId="4CEC545F" w14:textId="77777777" w:rsidTr="005B72E6">
        <w:tc>
          <w:tcPr>
            <w:tcW w:w="738" w:type="dxa"/>
            <w:shd w:val="clear" w:color="auto" w:fill="auto"/>
            <w:vAlign w:val="center"/>
          </w:tcPr>
          <w:p w14:paraId="5CBAF923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(     )</w:t>
            </w:r>
          </w:p>
        </w:tc>
        <w:tc>
          <w:tcPr>
            <w:tcW w:w="3478" w:type="dxa"/>
            <w:gridSpan w:val="3"/>
            <w:shd w:val="clear" w:color="auto" w:fill="auto"/>
            <w:vAlign w:val="center"/>
          </w:tcPr>
          <w:p w14:paraId="0BF4A9BB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ETP - Adoção de tipo de solução obsoleto ou próximo da obsolescência</w:t>
            </w:r>
          </w:p>
        </w:tc>
        <w:tc>
          <w:tcPr>
            <w:tcW w:w="2242" w:type="dxa"/>
            <w:shd w:val="clear" w:color="auto" w:fill="auto"/>
            <w:vAlign w:val="center"/>
          </w:tcPr>
          <w:p w14:paraId="442021A2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Descontinuidade da</w:t>
            </w:r>
          </w:p>
          <w:p w14:paraId="1FB70E42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solução antes da Administração conseguir desfrutar do investimento feito na solução</w:t>
            </w:r>
          </w:p>
        </w:tc>
        <w:tc>
          <w:tcPr>
            <w:tcW w:w="3323" w:type="dxa"/>
            <w:gridSpan w:val="2"/>
            <w:shd w:val="clear" w:color="auto" w:fill="auto"/>
            <w:vAlign w:val="center"/>
          </w:tcPr>
          <w:p w14:paraId="4CAABB9D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Devolução do ETP ao setor requisitante para reformulação, a fim de indicar solução mais moderna</w:t>
            </w:r>
          </w:p>
        </w:tc>
      </w:tr>
      <w:tr w:rsidR="00161AE3" w:rsidRPr="005B72E6" w14:paraId="41022CC5" w14:textId="77777777" w:rsidTr="005B72E6">
        <w:tc>
          <w:tcPr>
            <w:tcW w:w="738" w:type="dxa"/>
            <w:shd w:val="clear" w:color="auto" w:fill="auto"/>
            <w:vAlign w:val="center"/>
          </w:tcPr>
          <w:p w14:paraId="216D8E4A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(     )</w:t>
            </w:r>
          </w:p>
        </w:tc>
        <w:tc>
          <w:tcPr>
            <w:tcW w:w="3478" w:type="dxa"/>
            <w:gridSpan w:val="3"/>
            <w:shd w:val="clear" w:color="auto" w:fill="auto"/>
            <w:vAlign w:val="center"/>
          </w:tcPr>
          <w:p w14:paraId="02F87531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ETP - Utilização de especificações técnicas não comuns no mercado</w:t>
            </w:r>
          </w:p>
        </w:tc>
        <w:tc>
          <w:tcPr>
            <w:tcW w:w="2242" w:type="dxa"/>
            <w:shd w:val="clear" w:color="auto" w:fill="auto"/>
            <w:vAlign w:val="center"/>
          </w:tcPr>
          <w:p w14:paraId="10B49725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Dificuldade de encontrar referências de preços em contratos públicos</w:t>
            </w:r>
          </w:p>
        </w:tc>
        <w:tc>
          <w:tcPr>
            <w:tcW w:w="3323" w:type="dxa"/>
            <w:gridSpan w:val="2"/>
            <w:shd w:val="clear" w:color="auto" w:fill="auto"/>
            <w:vAlign w:val="center"/>
          </w:tcPr>
          <w:p w14:paraId="7B171EB6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 xml:space="preserve">Devolução do ETP ao setor requisitante para reformulação, a fim de indicar solução com especificações técnicas já utilizadas sempre que estas atenderem </w:t>
            </w:r>
            <w:proofErr w:type="spellStart"/>
            <w:r w:rsidRPr="005B72E6">
              <w:rPr>
                <w:rFonts w:ascii="Verdana" w:hAnsi="Verdana" w:cs="Calibri"/>
                <w:sz w:val="16"/>
                <w:szCs w:val="16"/>
              </w:rPr>
              <w:t>a</w:t>
            </w:r>
            <w:proofErr w:type="spellEnd"/>
            <w:r w:rsidRPr="005B72E6">
              <w:rPr>
                <w:rFonts w:ascii="Verdana" w:hAnsi="Verdana" w:cs="Calibri"/>
                <w:sz w:val="16"/>
                <w:szCs w:val="16"/>
              </w:rPr>
              <w:t xml:space="preserve"> suas necessidades</w:t>
            </w:r>
          </w:p>
        </w:tc>
      </w:tr>
      <w:tr w:rsidR="00161AE3" w:rsidRPr="005B72E6" w14:paraId="4FAD9DBA" w14:textId="77777777" w:rsidTr="005B72E6">
        <w:tc>
          <w:tcPr>
            <w:tcW w:w="738" w:type="dxa"/>
            <w:shd w:val="clear" w:color="auto" w:fill="auto"/>
            <w:vAlign w:val="center"/>
          </w:tcPr>
          <w:p w14:paraId="0B7C56C3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(     )</w:t>
            </w:r>
          </w:p>
        </w:tc>
        <w:tc>
          <w:tcPr>
            <w:tcW w:w="3478" w:type="dxa"/>
            <w:gridSpan w:val="3"/>
            <w:shd w:val="clear" w:color="auto" w:fill="auto"/>
            <w:vAlign w:val="center"/>
          </w:tcPr>
          <w:p w14:paraId="3C193E79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ETP - Não parcelamento da solução mesmo quando for viável</w:t>
            </w:r>
          </w:p>
        </w:tc>
        <w:tc>
          <w:tcPr>
            <w:tcW w:w="2242" w:type="dxa"/>
            <w:shd w:val="clear" w:color="auto" w:fill="auto"/>
            <w:vAlign w:val="center"/>
          </w:tcPr>
          <w:p w14:paraId="2F7E744F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Diminuição da competição nas licitações por não permitir que empresas especializadas participem da licitação</w:t>
            </w:r>
          </w:p>
        </w:tc>
        <w:tc>
          <w:tcPr>
            <w:tcW w:w="3323" w:type="dxa"/>
            <w:gridSpan w:val="2"/>
            <w:shd w:val="clear" w:color="auto" w:fill="auto"/>
            <w:vAlign w:val="center"/>
          </w:tcPr>
          <w:p w14:paraId="2140D810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Devolução do ETP ao setor requisitante para reformulação, com apresentação de  justificativa expressa quanto à necessidade de agrupamento de itens</w:t>
            </w:r>
          </w:p>
        </w:tc>
      </w:tr>
      <w:tr w:rsidR="00161AE3" w:rsidRPr="005B72E6" w14:paraId="3CB8F21D" w14:textId="77777777" w:rsidTr="005B72E6">
        <w:tc>
          <w:tcPr>
            <w:tcW w:w="738" w:type="dxa"/>
            <w:shd w:val="clear" w:color="auto" w:fill="auto"/>
            <w:vAlign w:val="center"/>
          </w:tcPr>
          <w:p w14:paraId="5288C016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(     )</w:t>
            </w:r>
          </w:p>
        </w:tc>
        <w:tc>
          <w:tcPr>
            <w:tcW w:w="3478" w:type="dxa"/>
            <w:gridSpan w:val="3"/>
            <w:shd w:val="clear" w:color="auto" w:fill="auto"/>
            <w:vAlign w:val="center"/>
          </w:tcPr>
          <w:p w14:paraId="633DEBD3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ETP - Quantitativo</w:t>
            </w:r>
          </w:p>
          <w:p w14:paraId="598CE3B4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(    ) subestimado ou (    ) superestimado</w:t>
            </w:r>
          </w:p>
        </w:tc>
        <w:tc>
          <w:tcPr>
            <w:tcW w:w="2242" w:type="dxa"/>
            <w:shd w:val="clear" w:color="auto" w:fill="auto"/>
            <w:vAlign w:val="center"/>
          </w:tcPr>
          <w:p w14:paraId="0D08595E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Falta ou sobra de produtos/serviços, necessidade de aditivos ou supressões, perda da economia de escala, desperdício de recursos</w:t>
            </w:r>
          </w:p>
        </w:tc>
        <w:tc>
          <w:tcPr>
            <w:tcW w:w="3323" w:type="dxa"/>
            <w:gridSpan w:val="2"/>
            <w:shd w:val="clear" w:color="auto" w:fill="auto"/>
            <w:vAlign w:val="center"/>
          </w:tcPr>
          <w:p w14:paraId="145930FC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Devolução do ETP ao setor requisitante para reformulação, com readequação dos quantitativos</w:t>
            </w:r>
          </w:p>
        </w:tc>
      </w:tr>
      <w:tr w:rsidR="00161AE3" w:rsidRPr="005B72E6" w14:paraId="4564EBB6" w14:textId="77777777" w:rsidTr="005B72E6">
        <w:tc>
          <w:tcPr>
            <w:tcW w:w="738" w:type="dxa"/>
            <w:shd w:val="clear" w:color="auto" w:fill="auto"/>
            <w:vAlign w:val="center"/>
          </w:tcPr>
          <w:p w14:paraId="1E2D0FB7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(     )</w:t>
            </w:r>
          </w:p>
        </w:tc>
        <w:tc>
          <w:tcPr>
            <w:tcW w:w="3478" w:type="dxa"/>
            <w:gridSpan w:val="3"/>
            <w:shd w:val="clear" w:color="auto" w:fill="auto"/>
            <w:vAlign w:val="center"/>
          </w:tcPr>
          <w:p w14:paraId="41C09667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Ausência de documentos comprobatórios da pesquisa de preços realizada conforme art. 23, da Lei nº 14.133/21</w:t>
            </w:r>
          </w:p>
        </w:tc>
        <w:tc>
          <w:tcPr>
            <w:tcW w:w="2242" w:type="dxa"/>
            <w:shd w:val="clear" w:color="auto" w:fill="auto"/>
            <w:vAlign w:val="center"/>
          </w:tcPr>
          <w:p w14:paraId="1456CCBB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Orçamento estimado em valor não condizente com os preços de mercado</w:t>
            </w:r>
          </w:p>
        </w:tc>
        <w:tc>
          <w:tcPr>
            <w:tcW w:w="3323" w:type="dxa"/>
            <w:gridSpan w:val="2"/>
            <w:shd w:val="clear" w:color="auto" w:fill="auto"/>
            <w:vAlign w:val="center"/>
          </w:tcPr>
          <w:p w14:paraId="60F8D735" w14:textId="06CA7402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 xml:space="preserve">Solicitação ao </w:t>
            </w:r>
            <w:r w:rsidR="00B23A33">
              <w:rPr>
                <w:rFonts w:ascii="Verdana" w:hAnsi="Verdana" w:cs="Calibri"/>
                <w:sz w:val="16"/>
                <w:szCs w:val="16"/>
              </w:rPr>
              <w:t>setor requisitante</w:t>
            </w:r>
            <w:r w:rsidRPr="005B72E6">
              <w:rPr>
                <w:rFonts w:ascii="Verdana" w:hAnsi="Verdana" w:cs="Calibri"/>
                <w:sz w:val="16"/>
                <w:szCs w:val="16"/>
              </w:rPr>
              <w:t xml:space="preserve"> </w:t>
            </w:r>
            <w:r w:rsidR="00B23A33">
              <w:rPr>
                <w:rFonts w:ascii="Verdana" w:hAnsi="Verdana" w:cs="Calibri"/>
                <w:sz w:val="16"/>
                <w:szCs w:val="16"/>
              </w:rPr>
              <w:t xml:space="preserve">da </w:t>
            </w:r>
            <w:r w:rsidRPr="005B72E6">
              <w:rPr>
                <w:rFonts w:ascii="Verdana" w:hAnsi="Verdana" w:cs="Calibri"/>
                <w:sz w:val="16"/>
                <w:szCs w:val="16"/>
              </w:rPr>
              <w:t>juntada dos documentos no processo</w:t>
            </w:r>
          </w:p>
        </w:tc>
      </w:tr>
      <w:tr w:rsidR="00161AE3" w:rsidRPr="005B72E6" w14:paraId="272D4C2D" w14:textId="77777777" w:rsidTr="005B72E6">
        <w:tc>
          <w:tcPr>
            <w:tcW w:w="738" w:type="dxa"/>
            <w:shd w:val="clear" w:color="auto" w:fill="auto"/>
            <w:vAlign w:val="center"/>
          </w:tcPr>
          <w:p w14:paraId="4BB38EB1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(     )</w:t>
            </w:r>
          </w:p>
        </w:tc>
        <w:tc>
          <w:tcPr>
            <w:tcW w:w="3478" w:type="dxa"/>
            <w:gridSpan w:val="3"/>
            <w:shd w:val="clear" w:color="auto" w:fill="auto"/>
            <w:vAlign w:val="center"/>
          </w:tcPr>
          <w:p w14:paraId="4275F384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Estimativa inadequada de preços</w:t>
            </w:r>
          </w:p>
          <w:p w14:paraId="420BF947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(    ) subestimado ou (    ) superestimado</w:t>
            </w:r>
          </w:p>
        </w:tc>
        <w:tc>
          <w:tcPr>
            <w:tcW w:w="2242" w:type="dxa"/>
            <w:shd w:val="clear" w:color="auto" w:fill="auto"/>
            <w:vAlign w:val="center"/>
          </w:tcPr>
          <w:p w14:paraId="6066E8F7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Sobrepreço ou licitação deserta</w:t>
            </w:r>
          </w:p>
        </w:tc>
        <w:tc>
          <w:tcPr>
            <w:tcW w:w="3323" w:type="dxa"/>
            <w:gridSpan w:val="2"/>
            <w:shd w:val="clear" w:color="auto" w:fill="auto"/>
            <w:vAlign w:val="center"/>
          </w:tcPr>
          <w:p w14:paraId="67043334" w14:textId="6EC2917A" w:rsidR="00161AE3" w:rsidRPr="005B72E6" w:rsidRDefault="00B23A3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Setor requisitante</w:t>
            </w:r>
            <w:r w:rsidRPr="005B72E6">
              <w:rPr>
                <w:rFonts w:ascii="Verdana" w:hAnsi="Verdana" w:cs="Calibri"/>
                <w:sz w:val="16"/>
                <w:szCs w:val="16"/>
              </w:rPr>
              <w:t xml:space="preserve"> </w:t>
            </w:r>
            <w:r w:rsidR="00161AE3" w:rsidRPr="005B72E6">
              <w:rPr>
                <w:rFonts w:ascii="Verdana" w:hAnsi="Verdana" w:cs="Calibri"/>
                <w:sz w:val="16"/>
                <w:szCs w:val="16"/>
              </w:rPr>
              <w:t>reformula a pesquisa com base em preços públicos de licitações de outros órgãos, realizadas em menos de 1 (um) ano</w:t>
            </w:r>
          </w:p>
        </w:tc>
      </w:tr>
      <w:tr w:rsidR="00161AE3" w:rsidRPr="005B72E6" w14:paraId="775BEF9D" w14:textId="77777777" w:rsidTr="005B72E6">
        <w:tc>
          <w:tcPr>
            <w:tcW w:w="738" w:type="dxa"/>
            <w:shd w:val="clear" w:color="auto" w:fill="auto"/>
            <w:vAlign w:val="center"/>
          </w:tcPr>
          <w:p w14:paraId="0FD01E9C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(     )</w:t>
            </w:r>
          </w:p>
        </w:tc>
        <w:tc>
          <w:tcPr>
            <w:tcW w:w="3478" w:type="dxa"/>
            <w:gridSpan w:val="3"/>
            <w:shd w:val="clear" w:color="auto" w:fill="auto"/>
            <w:vAlign w:val="center"/>
          </w:tcPr>
          <w:p w14:paraId="3E330C5B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Objeto da contratação com constante variação de preços no mercado</w:t>
            </w:r>
          </w:p>
        </w:tc>
        <w:tc>
          <w:tcPr>
            <w:tcW w:w="2242" w:type="dxa"/>
            <w:shd w:val="clear" w:color="auto" w:fill="auto"/>
            <w:vAlign w:val="center"/>
          </w:tcPr>
          <w:p w14:paraId="476DD60D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Requerimento de reequilíbrio econômico-financeiro em prazo inferior a 180 (cento e oitenta) dias da assinatura do contrato</w:t>
            </w:r>
          </w:p>
        </w:tc>
        <w:tc>
          <w:tcPr>
            <w:tcW w:w="3323" w:type="dxa"/>
            <w:gridSpan w:val="2"/>
            <w:shd w:val="clear" w:color="auto" w:fill="auto"/>
            <w:vAlign w:val="center"/>
          </w:tcPr>
          <w:p w14:paraId="5BB98624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Inclusão de cláusula de matriz de risco no contrato, estipulando margem de variação sem possibilidade de reequilíbrio</w:t>
            </w:r>
          </w:p>
        </w:tc>
      </w:tr>
      <w:tr w:rsidR="00161AE3" w:rsidRPr="005B72E6" w14:paraId="4726E79A" w14:textId="77777777" w:rsidTr="005B72E6">
        <w:tc>
          <w:tcPr>
            <w:tcW w:w="738" w:type="dxa"/>
            <w:shd w:val="clear" w:color="auto" w:fill="auto"/>
            <w:vAlign w:val="center"/>
          </w:tcPr>
          <w:p w14:paraId="1D044064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(     )</w:t>
            </w:r>
          </w:p>
        </w:tc>
        <w:tc>
          <w:tcPr>
            <w:tcW w:w="3478" w:type="dxa"/>
            <w:gridSpan w:val="3"/>
            <w:shd w:val="clear" w:color="auto" w:fill="auto"/>
            <w:vAlign w:val="center"/>
          </w:tcPr>
          <w:p w14:paraId="4726F499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Risco da licitação finalizar sem nenhum fornecedor habilitado</w:t>
            </w:r>
          </w:p>
        </w:tc>
        <w:tc>
          <w:tcPr>
            <w:tcW w:w="2242" w:type="dxa"/>
            <w:shd w:val="clear" w:color="auto" w:fill="auto"/>
            <w:vAlign w:val="center"/>
          </w:tcPr>
          <w:p w14:paraId="3C827B3B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Atraso no procedimento licitatório</w:t>
            </w:r>
          </w:p>
        </w:tc>
        <w:tc>
          <w:tcPr>
            <w:tcW w:w="3323" w:type="dxa"/>
            <w:gridSpan w:val="2"/>
            <w:shd w:val="clear" w:color="auto" w:fill="auto"/>
            <w:vAlign w:val="center"/>
          </w:tcPr>
          <w:p w14:paraId="74BE649E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Verificar as exigências solicitadas e analisar se encontram-se compatíveis com a realidade do mercado.</w:t>
            </w:r>
          </w:p>
        </w:tc>
      </w:tr>
      <w:tr w:rsidR="00161AE3" w:rsidRPr="005B72E6" w14:paraId="6FB4D80A" w14:textId="77777777" w:rsidTr="005B72E6">
        <w:tc>
          <w:tcPr>
            <w:tcW w:w="738" w:type="dxa"/>
            <w:shd w:val="clear" w:color="auto" w:fill="auto"/>
            <w:vAlign w:val="center"/>
          </w:tcPr>
          <w:p w14:paraId="3A8FCF7E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(     )</w:t>
            </w:r>
          </w:p>
        </w:tc>
        <w:tc>
          <w:tcPr>
            <w:tcW w:w="3478" w:type="dxa"/>
            <w:gridSpan w:val="3"/>
            <w:shd w:val="clear" w:color="auto" w:fill="auto"/>
            <w:vAlign w:val="center"/>
          </w:tcPr>
          <w:p w14:paraId="3A17F8BA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Requisitos da contratação estipula prazo mínimo de garantia do fabricante/fornecedor sem estipular a forma de execução</w:t>
            </w:r>
          </w:p>
        </w:tc>
        <w:tc>
          <w:tcPr>
            <w:tcW w:w="2242" w:type="dxa"/>
            <w:shd w:val="clear" w:color="auto" w:fill="auto"/>
            <w:vAlign w:val="center"/>
          </w:tcPr>
          <w:p w14:paraId="44ADDD3F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Dificuldades de execução da garantia, podendo gerar custos de transporte/envio do bem ou equipamento</w:t>
            </w:r>
          </w:p>
        </w:tc>
        <w:tc>
          <w:tcPr>
            <w:tcW w:w="3323" w:type="dxa"/>
            <w:gridSpan w:val="2"/>
            <w:shd w:val="clear" w:color="auto" w:fill="auto"/>
            <w:vAlign w:val="center"/>
          </w:tcPr>
          <w:p w14:paraId="5D0DA662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Inclusão de cláusula de matriz de risco no contrato, estipulando responsabilidade do fabricante/fornecedor por arcar com os custos de transporte/envio ou prestar a garantia na sede da Administração</w:t>
            </w:r>
          </w:p>
        </w:tc>
      </w:tr>
      <w:tr w:rsidR="00161AE3" w:rsidRPr="005B72E6" w14:paraId="7F9CDC03" w14:textId="77777777" w:rsidTr="005B72E6">
        <w:tc>
          <w:tcPr>
            <w:tcW w:w="738" w:type="dxa"/>
            <w:shd w:val="clear" w:color="auto" w:fill="auto"/>
            <w:vAlign w:val="center"/>
          </w:tcPr>
          <w:p w14:paraId="07D0DAB1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lastRenderedPageBreak/>
              <w:t>(     )</w:t>
            </w:r>
          </w:p>
        </w:tc>
        <w:tc>
          <w:tcPr>
            <w:tcW w:w="3478" w:type="dxa"/>
            <w:gridSpan w:val="3"/>
            <w:shd w:val="clear" w:color="auto" w:fill="auto"/>
            <w:vAlign w:val="center"/>
          </w:tcPr>
          <w:p w14:paraId="726270DE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Aquisição de itens comuns de consumo sem prever a utilização de sistema de registro de preços</w:t>
            </w:r>
          </w:p>
        </w:tc>
        <w:tc>
          <w:tcPr>
            <w:tcW w:w="2242" w:type="dxa"/>
            <w:shd w:val="clear" w:color="auto" w:fill="auto"/>
            <w:vAlign w:val="center"/>
          </w:tcPr>
          <w:p w14:paraId="4590FA2C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Possibilidade de adjudicação de quantitativo superior ao necessário, além do comprometimento de dotação orçamentária</w:t>
            </w:r>
          </w:p>
        </w:tc>
        <w:tc>
          <w:tcPr>
            <w:tcW w:w="3323" w:type="dxa"/>
            <w:gridSpan w:val="2"/>
            <w:shd w:val="clear" w:color="auto" w:fill="auto"/>
            <w:vAlign w:val="center"/>
          </w:tcPr>
          <w:p w14:paraId="65DA37D5" w14:textId="7662EF8D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 xml:space="preserve">Recomendar ao </w:t>
            </w:r>
            <w:r w:rsidR="00F049AF">
              <w:rPr>
                <w:rFonts w:ascii="Verdana" w:hAnsi="Verdana" w:cs="Calibri"/>
                <w:sz w:val="16"/>
                <w:szCs w:val="16"/>
              </w:rPr>
              <w:t xml:space="preserve">setor requisitante </w:t>
            </w:r>
            <w:r w:rsidRPr="005B72E6">
              <w:rPr>
                <w:rFonts w:ascii="Verdana" w:hAnsi="Verdana" w:cs="Calibri"/>
                <w:sz w:val="16"/>
                <w:szCs w:val="16"/>
              </w:rPr>
              <w:t>a utilização de Sistema de Registro de Preços sempre que possível</w:t>
            </w:r>
          </w:p>
        </w:tc>
      </w:tr>
      <w:tr w:rsidR="00161AE3" w:rsidRPr="005B72E6" w14:paraId="6C324F57" w14:textId="77777777" w:rsidTr="005B72E6">
        <w:tc>
          <w:tcPr>
            <w:tcW w:w="738" w:type="dxa"/>
            <w:shd w:val="clear" w:color="auto" w:fill="auto"/>
            <w:vAlign w:val="center"/>
          </w:tcPr>
          <w:p w14:paraId="3FB16609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(     )</w:t>
            </w:r>
          </w:p>
        </w:tc>
        <w:tc>
          <w:tcPr>
            <w:tcW w:w="3478" w:type="dxa"/>
            <w:gridSpan w:val="3"/>
            <w:shd w:val="clear" w:color="auto" w:fill="auto"/>
            <w:vAlign w:val="center"/>
          </w:tcPr>
          <w:p w14:paraId="13A4465B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Falta de indicação no ETP do fiscal do contrato</w:t>
            </w:r>
          </w:p>
        </w:tc>
        <w:tc>
          <w:tcPr>
            <w:tcW w:w="2242" w:type="dxa"/>
            <w:shd w:val="clear" w:color="auto" w:fill="auto"/>
            <w:vAlign w:val="center"/>
          </w:tcPr>
          <w:p w14:paraId="202BD7CB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Ausência de acompanhamento e de fiscalização concomitante à execução do contrato</w:t>
            </w:r>
          </w:p>
        </w:tc>
        <w:tc>
          <w:tcPr>
            <w:tcW w:w="3323" w:type="dxa"/>
            <w:gridSpan w:val="2"/>
            <w:shd w:val="clear" w:color="auto" w:fill="auto"/>
            <w:vAlign w:val="center"/>
          </w:tcPr>
          <w:p w14:paraId="4D024C34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Solicitação ao setor requisitante que indique o servidor que será designado fiscal do contrato</w:t>
            </w:r>
          </w:p>
        </w:tc>
      </w:tr>
      <w:tr w:rsidR="00161AE3" w:rsidRPr="005B72E6" w14:paraId="101E0CC4" w14:textId="77777777" w:rsidTr="00F049AF">
        <w:trPr>
          <w:trHeight w:val="1801"/>
        </w:trPr>
        <w:tc>
          <w:tcPr>
            <w:tcW w:w="738" w:type="dxa"/>
            <w:shd w:val="clear" w:color="auto" w:fill="auto"/>
            <w:vAlign w:val="center"/>
          </w:tcPr>
          <w:p w14:paraId="611A9E63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(     )</w:t>
            </w:r>
          </w:p>
        </w:tc>
        <w:tc>
          <w:tcPr>
            <w:tcW w:w="3478" w:type="dxa"/>
            <w:gridSpan w:val="3"/>
            <w:shd w:val="clear" w:color="auto" w:fill="auto"/>
            <w:vAlign w:val="center"/>
          </w:tcPr>
          <w:p w14:paraId="553B1774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</w:p>
          <w:p w14:paraId="56FF8EA9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Objeto referente à atividade terceirizada que possa ocasionar riscos de acidentes de trabalho ou danos a terceiros</w:t>
            </w:r>
          </w:p>
          <w:p w14:paraId="2510DB36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</w:p>
          <w:p w14:paraId="12B67D16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</w:p>
        </w:tc>
        <w:tc>
          <w:tcPr>
            <w:tcW w:w="2242" w:type="dxa"/>
            <w:shd w:val="clear" w:color="auto" w:fill="auto"/>
            <w:vAlign w:val="center"/>
          </w:tcPr>
          <w:p w14:paraId="7DE97FFE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Possibilidade de acionamento judicial da Administração por danos a funcionário terceirizado ou a terceiros</w:t>
            </w:r>
          </w:p>
        </w:tc>
        <w:tc>
          <w:tcPr>
            <w:tcW w:w="3323" w:type="dxa"/>
            <w:gridSpan w:val="2"/>
            <w:shd w:val="clear" w:color="auto" w:fill="auto"/>
            <w:vAlign w:val="center"/>
          </w:tcPr>
          <w:p w14:paraId="01E02CA9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Cláusula contratual prevendo a responsabilidade exclusiva do contratado, bem como previsão da exigência de equipamentos de proteção individual (EPIs) nas especificações técnicas do termo de referência, bem como, fiscalizar e exigir o uso de EPIs pelos  funcionários terceirizados.</w:t>
            </w:r>
          </w:p>
        </w:tc>
      </w:tr>
      <w:tr w:rsidR="00F049AF" w:rsidRPr="005B72E6" w14:paraId="25D8DA81" w14:textId="77777777" w:rsidTr="00F049AF">
        <w:trPr>
          <w:trHeight w:val="338"/>
        </w:trPr>
        <w:tc>
          <w:tcPr>
            <w:tcW w:w="738" w:type="dxa"/>
            <w:shd w:val="clear" w:color="auto" w:fill="auto"/>
            <w:vAlign w:val="center"/>
          </w:tcPr>
          <w:p w14:paraId="5DE55B95" w14:textId="16614494" w:rsidR="00F049AF" w:rsidRPr="005B72E6" w:rsidRDefault="00F049AF" w:rsidP="0017041B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(     )</w:t>
            </w:r>
          </w:p>
        </w:tc>
        <w:tc>
          <w:tcPr>
            <w:tcW w:w="3402" w:type="dxa"/>
            <w:gridSpan w:val="2"/>
            <w:shd w:val="clear" w:color="auto" w:fill="auto"/>
            <w:vAlign w:val="center"/>
          </w:tcPr>
          <w:p w14:paraId="18DAB006" w14:textId="13A571D2" w:rsidR="00F049AF" w:rsidRPr="005B72E6" w:rsidRDefault="00F049AF" w:rsidP="00F049AF">
            <w:pPr>
              <w:ind w:right="-251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 xml:space="preserve">Outros:  </w:t>
            </w:r>
          </w:p>
        </w:tc>
        <w:tc>
          <w:tcPr>
            <w:tcW w:w="2318" w:type="dxa"/>
            <w:gridSpan w:val="2"/>
            <w:shd w:val="clear" w:color="auto" w:fill="auto"/>
            <w:vAlign w:val="center"/>
          </w:tcPr>
          <w:p w14:paraId="189F980B" w14:textId="77777777" w:rsidR="00F049AF" w:rsidRPr="005B72E6" w:rsidRDefault="00F049AF" w:rsidP="00F049AF">
            <w:pPr>
              <w:ind w:right="-251"/>
              <w:rPr>
                <w:rFonts w:ascii="Verdana" w:hAnsi="Verdana" w:cs="Calibri"/>
                <w:sz w:val="16"/>
                <w:szCs w:val="16"/>
              </w:rPr>
            </w:pPr>
          </w:p>
        </w:tc>
        <w:tc>
          <w:tcPr>
            <w:tcW w:w="3323" w:type="dxa"/>
            <w:gridSpan w:val="2"/>
            <w:shd w:val="clear" w:color="auto" w:fill="auto"/>
            <w:vAlign w:val="center"/>
          </w:tcPr>
          <w:p w14:paraId="42F75731" w14:textId="18A1F903" w:rsidR="00F049AF" w:rsidRPr="005B72E6" w:rsidRDefault="00F049AF" w:rsidP="0017041B">
            <w:pPr>
              <w:rPr>
                <w:rFonts w:ascii="Verdana" w:hAnsi="Verdana" w:cs="Calibri"/>
                <w:sz w:val="16"/>
                <w:szCs w:val="16"/>
              </w:rPr>
            </w:pPr>
          </w:p>
        </w:tc>
      </w:tr>
      <w:tr w:rsidR="0017041B" w:rsidRPr="005B72E6" w14:paraId="219A5505" w14:textId="77777777" w:rsidTr="00F049AF">
        <w:trPr>
          <w:trHeight w:val="358"/>
        </w:trPr>
        <w:tc>
          <w:tcPr>
            <w:tcW w:w="738" w:type="dxa"/>
            <w:shd w:val="clear" w:color="auto" w:fill="auto"/>
            <w:vAlign w:val="center"/>
          </w:tcPr>
          <w:p w14:paraId="6BDC659D" w14:textId="1AFFB9BD" w:rsidR="0017041B" w:rsidRPr="005B72E6" w:rsidRDefault="0017041B" w:rsidP="00BB1CE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 xml:space="preserve">(   </w:t>
            </w:r>
            <w:r w:rsidR="00BB1CE3">
              <w:rPr>
                <w:rFonts w:ascii="Verdana" w:hAnsi="Verdana" w:cs="Calibri"/>
                <w:sz w:val="16"/>
                <w:szCs w:val="16"/>
              </w:rPr>
              <w:t>X</w:t>
            </w:r>
            <w:r w:rsidRPr="005B72E6">
              <w:rPr>
                <w:rFonts w:ascii="Verdana" w:hAnsi="Verdana" w:cs="Calibri"/>
                <w:sz w:val="16"/>
                <w:szCs w:val="16"/>
              </w:rPr>
              <w:t xml:space="preserve"> )</w:t>
            </w:r>
          </w:p>
        </w:tc>
        <w:tc>
          <w:tcPr>
            <w:tcW w:w="9043" w:type="dxa"/>
            <w:gridSpan w:val="6"/>
            <w:shd w:val="clear" w:color="auto" w:fill="auto"/>
            <w:vAlign w:val="center"/>
          </w:tcPr>
          <w:p w14:paraId="0133218A" w14:textId="3EE3358B" w:rsidR="0017041B" w:rsidRPr="005B72E6" w:rsidRDefault="0017041B" w:rsidP="0017041B">
            <w:pPr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Não foi encontrada neste certame nenhuma ocorrência de risco, podendo assim</w:t>
            </w:r>
            <w:r w:rsidR="00B23A33">
              <w:rPr>
                <w:rFonts w:ascii="Verdana" w:hAnsi="Verdana" w:cs="Calibri"/>
                <w:sz w:val="16"/>
                <w:szCs w:val="16"/>
              </w:rPr>
              <w:t xml:space="preserve"> seguir</w:t>
            </w:r>
            <w:r w:rsidRPr="005B72E6">
              <w:rPr>
                <w:rFonts w:ascii="Verdana" w:hAnsi="Verdana" w:cs="Calibri"/>
                <w:sz w:val="16"/>
                <w:szCs w:val="16"/>
              </w:rPr>
              <w:t xml:space="preserve"> seus trâmites legais</w:t>
            </w:r>
            <w:r w:rsidR="005B72E6">
              <w:rPr>
                <w:rFonts w:ascii="Verdana" w:hAnsi="Verdana" w:cs="Calibri"/>
                <w:sz w:val="16"/>
                <w:szCs w:val="16"/>
              </w:rPr>
              <w:t>.</w:t>
            </w:r>
          </w:p>
        </w:tc>
      </w:tr>
      <w:tr w:rsidR="00161AE3" w:rsidRPr="005B72E6" w14:paraId="08883CF5" w14:textId="77777777" w:rsidTr="005B72E6">
        <w:trPr>
          <w:trHeight w:val="53"/>
        </w:trPr>
        <w:tc>
          <w:tcPr>
            <w:tcW w:w="1312" w:type="dxa"/>
            <w:gridSpan w:val="2"/>
            <w:shd w:val="clear" w:color="auto" w:fill="auto"/>
          </w:tcPr>
          <w:p w14:paraId="38BC68E6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Responsável:</w:t>
            </w:r>
          </w:p>
        </w:tc>
        <w:tc>
          <w:tcPr>
            <w:tcW w:w="5146" w:type="dxa"/>
            <w:gridSpan w:val="3"/>
            <w:shd w:val="clear" w:color="auto" w:fill="auto"/>
          </w:tcPr>
          <w:p w14:paraId="2F111ADB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</w:p>
          <w:p w14:paraId="3E4016E1" w14:textId="7AD46DAC" w:rsidR="00161AE3" w:rsidRPr="005B72E6" w:rsidRDefault="00BB1C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 xml:space="preserve">Osnir </w:t>
            </w:r>
            <w:proofErr w:type="spellStart"/>
            <w:r>
              <w:rPr>
                <w:rFonts w:ascii="Verdana" w:hAnsi="Verdana" w:cs="Calibri"/>
                <w:sz w:val="16"/>
                <w:szCs w:val="16"/>
              </w:rPr>
              <w:t>Angelo</w:t>
            </w:r>
            <w:proofErr w:type="spellEnd"/>
            <w:r>
              <w:rPr>
                <w:rFonts w:ascii="Verdana" w:hAnsi="Verdana" w:cs="Calibri"/>
                <w:sz w:val="16"/>
                <w:szCs w:val="16"/>
              </w:rPr>
              <w:t xml:space="preserve"> Ghellere e </w:t>
            </w:r>
            <w:proofErr w:type="spellStart"/>
            <w:r>
              <w:rPr>
                <w:rFonts w:ascii="Verdana" w:hAnsi="Verdana" w:cs="Calibri"/>
                <w:sz w:val="16"/>
                <w:szCs w:val="16"/>
              </w:rPr>
              <w:t>Dilcionir</w:t>
            </w:r>
            <w:proofErr w:type="spellEnd"/>
            <w:r>
              <w:rPr>
                <w:rFonts w:ascii="Verdana" w:hAnsi="Verdana" w:cs="Calibri"/>
                <w:sz w:val="16"/>
                <w:szCs w:val="16"/>
              </w:rPr>
              <w:t xml:space="preserve"> José Ghellere</w:t>
            </w:r>
          </w:p>
        </w:tc>
        <w:tc>
          <w:tcPr>
            <w:tcW w:w="762" w:type="dxa"/>
            <w:shd w:val="clear" w:color="auto" w:fill="auto"/>
            <w:vAlign w:val="center"/>
          </w:tcPr>
          <w:p w14:paraId="3BBA8EFA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Cargo:</w:t>
            </w:r>
          </w:p>
        </w:tc>
        <w:tc>
          <w:tcPr>
            <w:tcW w:w="2561" w:type="dxa"/>
            <w:shd w:val="clear" w:color="auto" w:fill="auto"/>
            <w:vAlign w:val="center"/>
          </w:tcPr>
          <w:p w14:paraId="7F0BF378" w14:textId="2375E863" w:rsidR="00161AE3" w:rsidRPr="005B72E6" w:rsidRDefault="00BB1C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Secretário de Administração e Finanças e Chefe de Gabinete</w:t>
            </w:r>
          </w:p>
        </w:tc>
      </w:tr>
      <w:tr w:rsidR="00161AE3" w:rsidRPr="005B72E6" w14:paraId="4377136A" w14:textId="77777777" w:rsidTr="005B72E6">
        <w:trPr>
          <w:trHeight w:val="53"/>
        </w:trPr>
        <w:tc>
          <w:tcPr>
            <w:tcW w:w="1312" w:type="dxa"/>
            <w:gridSpan w:val="2"/>
            <w:shd w:val="clear" w:color="auto" w:fill="auto"/>
          </w:tcPr>
          <w:p w14:paraId="6D9727F1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Assinatura:</w:t>
            </w:r>
          </w:p>
        </w:tc>
        <w:tc>
          <w:tcPr>
            <w:tcW w:w="5146" w:type="dxa"/>
            <w:gridSpan w:val="3"/>
            <w:shd w:val="clear" w:color="auto" w:fill="auto"/>
          </w:tcPr>
          <w:p w14:paraId="5AE43771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</w:p>
          <w:p w14:paraId="002FE3AA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</w:p>
        </w:tc>
        <w:tc>
          <w:tcPr>
            <w:tcW w:w="762" w:type="dxa"/>
            <w:shd w:val="clear" w:color="auto" w:fill="auto"/>
            <w:vAlign w:val="center"/>
          </w:tcPr>
          <w:p w14:paraId="483D9CAA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Data:</w:t>
            </w:r>
          </w:p>
        </w:tc>
        <w:tc>
          <w:tcPr>
            <w:tcW w:w="2561" w:type="dxa"/>
            <w:shd w:val="clear" w:color="auto" w:fill="auto"/>
            <w:vAlign w:val="center"/>
          </w:tcPr>
          <w:p w14:paraId="7EB01087" w14:textId="7BC567DA" w:rsidR="00161AE3" w:rsidRPr="005B72E6" w:rsidRDefault="00BB1C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01</w:t>
            </w:r>
            <w:bookmarkStart w:id="0" w:name="_GoBack"/>
            <w:bookmarkEnd w:id="0"/>
            <w:r>
              <w:rPr>
                <w:rFonts w:ascii="Verdana" w:hAnsi="Verdana" w:cs="Calibri"/>
                <w:sz w:val="16"/>
                <w:szCs w:val="16"/>
              </w:rPr>
              <w:t>/08/2024</w:t>
            </w:r>
          </w:p>
        </w:tc>
      </w:tr>
    </w:tbl>
    <w:p w14:paraId="4A309376" w14:textId="77777777" w:rsidR="00E25380" w:rsidRDefault="00E25380" w:rsidP="00161AE3"/>
    <w:sectPr w:rsidR="00E2538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1AE3"/>
    <w:rsid w:val="00161AE3"/>
    <w:rsid w:val="0017041B"/>
    <w:rsid w:val="005473A8"/>
    <w:rsid w:val="005B72E6"/>
    <w:rsid w:val="00B23A33"/>
    <w:rsid w:val="00BB1CE3"/>
    <w:rsid w:val="00E25380"/>
    <w:rsid w:val="00F04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E6895A"/>
  <w15:chartTrackingRefBased/>
  <w15:docId w15:val="{1F607235-594A-4DD9-9111-D8160C0BA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1A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805</Words>
  <Characters>4347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2024-08-12T17:12:00Z</dcterms:created>
  <dcterms:modified xsi:type="dcterms:W3CDTF">2024-08-12T17:12:00Z</dcterms:modified>
</cp:coreProperties>
</file>