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574"/>
        <w:gridCol w:w="2828"/>
        <w:gridCol w:w="76"/>
        <w:gridCol w:w="2242"/>
        <w:gridCol w:w="762"/>
        <w:gridCol w:w="2561"/>
      </w:tblGrid>
      <w:tr w:rsidR="00161AE3" w:rsidRPr="005B72E6" w14:paraId="7D03934B" w14:textId="77777777" w:rsidTr="0063540F">
        <w:tc>
          <w:tcPr>
            <w:tcW w:w="9781" w:type="dxa"/>
            <w:gridSpan w:val="7"/>
            <w:shd w:val="clear" w:color="auto" w:fill="auto"/>
            <w:vAlign w:val="center"/>
          </w:tcPr>
          <w:p w14:paraId="2166BA3E" w14:textId="77777777" w:rsidR="00161AE3" w:rsidRPr="005B72E6" w:rsidRDefault="00161AE3" w:rsidP="00161AE3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MAPA DE RISCOS</w:t>
            </w:r>
          </w:p>
        </w:tc>
      </w:tr>
      <w:tr w:rsidR="0017041B" w:rsidRPr="005B72E6" w14:paraId="030AD038" w14:textId="77777777" w:rsidTr="0063540F">
        <w:tc>
          <w:tcPr>
            <w:tcW w:w="9781" w:type="dxa"/>
            <w:gridSpan w:val="7"/>
            <w:shd w:val="clear" w:color="auto" w:fill="auto"/>
            <w:vAlign w:val="center"/>
          </w:tcPr>
          <w:p w14:paraId="0EEC0E30" w14:textId="77777777" w:rsidR="00810FAD" w:rsidRDefault="0017041B" w:rsidP="00AC40C3">
            <w:pPr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Objeto:</w:t>
            </w:r>
          </w:p>
          <w:p w14:paraId="06DBFF64" w14:textId="77777777" w:rsidR="00C924AE" w:rsidRDefault="00C924AE" w:rsidP="00C924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Contratação de pessoa jurídica para realização de palestra motivacional com a temática de como integrar diferentes gerações para melhorar o atendimento, impulsionar a produtividade e aumentar as vendas para </w:t>
            </w:r>
          </w:p>
          <w:p w14:paraId="2EAFFEC9" w14:textId="40E146F7" w:rsidR="00C924AE" w:rsidRDefault="00C924AE" w:rsidP="00C924AE">
            <w:pPr>
              <w:rPr>
                <w:rFonts w:ascii="Verdana" w:hAnsi="Verdana"/>
                <w:b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</w:rPr>
              <w:t>o</w:t>
            </w:r>
            <w:proofErr w:type="gramEnd"/>
            <w:r>
              <w:rPr>
                <w:rFonts w:ascii="Arial" w:hAnsi="Arial" w:cs="Arial"/>
              </w:rPr>
              <w:t xml:space="preserve"> público-alvo composto por empresários, pessoas do comércio e alunos do ensino médio da rede estadual de ensino, no Município de Nova Veneza/SC.</w:t>
            </w:r>
            <w:bookmarkStart w:id="0" w:name="_GoBack"/>
            <w:bookmarkEnd w:id="0"/>
          </w:p>
          <w:p w14:paraId="78212CBC" w14:textId="77777777" w:rsidR="006E03BC" w:rsidRDefault="006E03BC" w:rsidP="00AC40C3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0D369BFC" w14:textId="1DFA0DA5" w:rsidR="0017041B" w:rsidRPr="005B72E6" w:rsidRDefault="0017041B" w:rsidP="00C924AE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61AE3" w:rsidRPr="005B72E6" w14:paraId="4E714613" w14:textId="77777777" w:rsidTr="005B72E6">
        <w:tc>
          <w:tcPr>
            <w:tcW w:w="4216" w:type="dxa"/>
            <w:gridSpan w:val="4"/>
            <w:shd w:val="clear" w:color="auto" w:fill="auto"/>
          </w:tcPr>
          <w:p w14:paraId="50E29443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 xml:space="preserve">Constatação de Ocorrência </w:t>
            </w:r>
          </w:p>
        </w:tc>
        <w:tc>
          <w:tcPr>
            <w:tcW w:w="2242" w:type="dxa"/>
            <w:shd w:val="clear" w:color="auto" w:fill="auto"/>
          </w:tcPr>
          <w:p w14:paraId="1F5EB6B8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Risco</w:t>
            </w:r>
          </w:p>
        </w:tc>
        <w:tc>
          <w:tcPr>
            <w:tcW w:w="3323" w:type="dxa"/>
            <w:gridSpan w:val="2"/>
            <w:shd w:val="clear" w:color="auto" w:fill="auto"/>
          </w:tcPr>
          <w:p w14:paraId="0F947C4D" w14:textId="77777777" w:rsidR="00161AE3" w:rsidRPr="005B72E6" w:rsidRDefault="00161AE3" w:rsidP="0063540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B72E6">
              <w:rPr>
                <w:rFonts w:ascii="Verdana" w:hAnsi="Verdana"/>
                <w:b/>
                <w:sz w:val="16"/>
                <w:szCs w:val="16"/>
              </w:rPr>
              <w:t>Medida</w:t>
            </w:r>
          </w:p>
        </w:tc>
      </w:tr>
      <w:tr w:rsidR="00161AE3" w:rsidRPr="005B72E6" w14:paraId="0AA9DD87" w14:textId="77777777" w:rsidTr="005B72E6">
        <w:tc>
          <w:tcPr>
            <w:tcW w:w="738" w:type="dxa"/>
            <w:shd w:val="clear" w:color="auto" w:fill="auto"/>
            <w:vAlign w:val="center"/>
          </w:tcPr>
          <w:p w14:paraId="6A9A384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96D82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Dispensa de licitação de valor sem adequado planejamento da contratação ou certificação de que exista licitação realizada para objeto semelhante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392469B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Fracionamento indevido</w:t>
            </w:r>
          </w:p>
          <w:p w14:paraId="44F8AEF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135DA5A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Declaração do setor requisitante de que as despesas não constituem fracionamento indevido e de que o somatório das despesas realizadas com objetos idênticos ou de mesma natureza, no mesmo exercício financeiro, pela unidade gestora, não ultrapassa os limites do art. 75, incisos I e II e §2º, da Lei 14.133/21; ou revogação do procedimento.</w:t>
            </w:r>
          </w:p>
        </w:tc>
      </w:tr>
      <w:tr w:rsidR="00161AE3" w:rsidRPr="005B72E6" w14:paraId="16040683" w14:textId="77777777" w:rsidTr="005B72E6">
        <w:tc>
          <w:tcPr>
            <w:tcW w:w="738" w:type="dxa"/>
            <w:shd w:val="clear" w:color="auto" w:fill="auto"/>
            <w:vAlign w:val="center"/>
          </w:tcPr>
          <w:p w14:paraId="31A44B4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06E998D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Contratação por dispensa de valor utilizando apenas a cotação de fornecedores convidados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A99886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Elevação do custo da</w:t>
            </w:r>
          </w:p>
          <w:p w14:paraId="7F13EEB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contratação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3ABA3EB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Realização, de forma preferencial, de pesquisa com base em preços públicos de licitações de outros órgãos, realizadas em menos de 1 (um) ano</w:t>
            </w:r>
          </w:p>
        </w:tc>
      </w:tr>
      <w:tr w:rsidR="00161AE3" w:rsidRPr="005B72E6" w14:paraId="70EA047C" w14:textId="77777777" w:rsidTr="005B72E6">
        <w:tc>
          <w:tcPr>
            <w:tcW w:w="738" w:type="dxa"/>
            <w:shd w:val="clear" w:color="auto" w:fill="auto"/>
            <w:vAlign w:val="center"/>
          </w:tcPr>
          <w:p w14:paraId="337A8CE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7F7B83E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Análise de apenas uma das soluções de mercado existentes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08031E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Caracterização de direcionamento</w:t>
            </w:r>
          </w:p>
          <w:p w14:paraId="11071D7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da licitação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9035BE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</w:t>
            </w:r>
          </w:p>
        </w:tc>
      </w:tr>
      <w:tr w:rsidR="00161AE3" w:rsidRPr="005B72E6" w14:paraId="4CEC545F" w14:textId="77777777" w:rsidTr="005B72E6">
        <w:tc>
          <w:tcPr>
            <w:tcW w:w="738" w:type="dxa"/>
            <w:shd w:val="clear" w:color="auto" w:fill="auto"/>
            <w:vAlign w:val="center"/>
          </w:tcPr>
          <w:p w14:paraId="5CBAF92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0BF4A9B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Adoção de tipo de solução obsoleto ou próximo da obsolescência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42021A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Descontinuidade da</w:t>
            </w:r>
          </w:p>
          <w:p w14:paraId="1FB70E4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solução antes da Administração conseguir desfrutar do investimento feito na solução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CAABB9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a fim de indicar solução mais moderna</w:t>
            </w:r>
          </w:p>
        </w:tc>
      </w:tr>
      <w:tr w:rsidR="00161AE3" w:rsidRPr="005B72E6" w14:paraId="41022CC5" w14:textId="77777777" w:rsidTr="005B72E6">
        <w:tc>
          <w:tcPr>
            <w:tcW w:w="738" w:type="dxa"/>
            <w:shd w:val="clear" w:color="auto" w:fill="auto"/>
            <w:vAlign w:val="center"/>
          </w:tcPr>
          <w:p w14:paraId="216D8E4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02F8753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Utilização de especificações técnicas não comuns no mercado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10B49725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Dificuldade de encontrar referências de preços em contratos públicos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7B171EB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a fim de indicar solução com especificações técnicas já utilizadas sempre que estas atenderem a suas necessidades</w:t>
            </w:r>
          </w:p>
        </w:tc>
      </w:tr>
      <w:tr w:rsidR="00161AE3" w:rsidRPr="005B72E6" w14:paraId="4FAD9DBA" w14:textId="77777777" w:rsidTr="005B72E6">
        <w:tc>
          <w:tcPr>
            <w:tcW w:w="738" w:type="dxa"/>
            <w:shd w:val="clear" w:color="auto" w:fill="auto"/>
            <w:vAlign w:val="center"/>
          </w:tcPr>
          <w:p w14:paraId="0B7C56C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C193E7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Não parcelamento da solução mesmo quando for viável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2F7E744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Diminuição da competição nas licitações por não permitir que empresas especializadas participem da licitação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2140D810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Devolução do ETP ao setor requisitante para reformulação, com apresentação </w:t>
            </w:r>
            <w:proofErr w:type="gramStart"/>
            <w:r w:rsidRPr="005B72E6">
              <w:rPr>
                <w:rFonts w:ascii="Verdana" w:hAnsi="Verdana" w:cs="Calibri"/>
                <w:sz w:val="16"/>
                <w:szCs w:val="16"/>
              </w:rPr>
              <w:t>de  justificativa</w:t>
            </w:r>
            <w:proofErr w:type="gramEnd"/>
            <w:r w:rsidRPr="005B72E6">
              <w:rPr>
                <w:rFonts w:ascii="Verdana" w:hAnsi="Verdana" w:cs="Calibri"/>
                <w:sz w:val="16"/>
                <w:szCs w:val="16"/>
              </w:rPr>
              <w:t xml:space="preserve"> expressa quanto à necessidade de agrupamento de itens</w:t>
            </w:r>
          </w:p>
        </w:tc>
      </w:tr>
      <w:tr w:rsidR="00161AE3" w:rsidRPr="005B72E6" w14:paraId="3CB8F21D" w14:textId="77777777" w:rsidTr="005B72E6">
        <w:tc>
          <w:tcPr>
            <w:tcW w:w="738" w:type="dxa"/>
            <w:shd w:val="clear" w:color="auto" w:fill="auto"/>
            <w:vAlign w:val="center"/>
          </w:tcPr>
          <w:p w14:paraId="5288C0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633DEBD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ETP - Quantitativo</w:t>
            </w:r>
          </w:p>
          <w:p w14:paraId="598CE3B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proofErr w:type="gramStart"/>
            <w:r w:rsidRPr="005B72E6">
              <w:rPr>
                <w:rFonts w:ascii="Verdana" w:hAnsi="Verdana" w:cs="Calibri"/>
                <w:sz w:val="16"/>
                <w:szCs w:val="16"/>
              </w:rPr>
              <w:t xml:space="preserve">(  </w:t>
            </w:r>
            <w:proofErr w:type="gramEnd"/>
            <w:r w:rsidRPr="005B72E6">
              <w:rPr>
                <w:rFonts w:ascii="Verdana" w:hAnsi="Verdana" w:cs="Calibri"/>
                <w:sz w:val="16"/>
                <w:szCs w:val="16"/>
              </w:rPr>
              <w:t xml:space="preserve">  ) subestimado ou (    ) superestimado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0D08595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Falta ou sobra de produtos/serviços, necessidade de aditivos ou supressões, perda da economia de escala, desperdício de recursos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145930F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Devolução do ETP ao setor requisitante para reformulação, com readequação dos quantitativos</w:t>
            </w:r>
          </w:p>
        </w:tc>
      </w:tr>
      <w:tr w:rsidR="00161AE3" w:rsidRPr="005B72E6" w14:paraId="4564EBB6" w14:textId="77777777" w:rsidTr="005B72E6">
        <w:tc>
          <w:tcPr>
            <w:tcW w:w="738" w:type="dxa"/>
            <w:shd w:val="clear" w:color="auto" w:fill="auto"/>
            <w:vAlign w:val="center"/>
          </w:tcPr>
          <w:p w14:paraId="1E2D0FB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1C0966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Ausência de documentos comprobatórios da pesquisa de preços realizada conforme art. 23, da Lei nº 14.133/21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1456CCB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Orçamento estimado em valor não condizente com os preços de mercado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0F8D735" w14:textId="06CA7402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Solicitação ao </w:t>
            </w:r>
            <w:r w:rsidR="00B23A33">
              <w:rPr>
                <w:rFonts w:ascii="Verdana" w:hAnsi="Verdana" w:cs="Calibri"/>
                <w:sz w:val="16"/>
                <w:szCs w:val="16"/>
              </w:rPr>
              <w:t>setor requisitante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</w:t>
            </w:r>
            <w:r w:rsidR="00B23A33">
              <w:rPr>
                <w:rFonts w:ascii="Verdana" w:hAnsi="Verdana" w:cs="Calibri"/>
                <w:sz w:val="16"/>
                <w:szCs w:val="16"/>
              </w:rPr>
              <w:t xml:space="preserve">da </w:t>
            </w:r>
            <w:r w:rsidRPr="005B72E6">
              <w:rPr>
                <w:rFonts w:ascii="Verdana" w:hAnsi="Verdana" w:cs="Calibri"/>
                <w:sz w:val="16"/>
                <w:szCs w:val="16"/>
              </w:rPr>
              <w:t>juntada dos documentos no processo</w:t>
            </w:r>
          </w:p>
        </w:tc>
      </w:tr>
      <w:tr w:rsidR="00161AE3" w:rsidRPr="005B72E6" w14:paraId="272D4C2D" w14:textId="77777777" w:rsidTr="005B72E6">
        <w:tc>
          <w:tcPr>
            <w:tcW w:w="738" w:type="dxa"/>
            <w:shd w:val="clear" w:color="auto" w:fill="auto"/>
            <w:vAlign w:val="center"/>
          </w:tcPr>
          <w:p w14:paraId="4BB38EB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275F38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Estimativa inadequada de preços</w:t>
            </w:r>
          </w:p>
          <w:p w14:paraId="420BF94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proofErr w:type="gramStart"/>
            <w:r w:rsidRPr="005B72E6">
              <w:rPr>
                <w:rFonts w:ascii="Verdana" w:hAnsi="Verdana" w:cs="Calibri"/>
                <w:sz w:val="16"/>
                <w:szCs w:val="16"/>
              </w:rPr>
              <w:t xml:space="preserve">(  </w:t>
            </w:r>
            <w:proofErr w:type="gramEnd"/>
            <w:r w:rsidRPr="005B72E6">
              <w:rPr>
                <w:rFonts w:ascii="Verdana" w:hAnsi="Verdana" w:cs="Calibri"/>
                <w:sz w:val="16"/>
                <w:szCs w:val="16"/>
              </w:rPr>
              <w:t xml:space="preserve">  ) subestimado ou (    ) superestimado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6066E8F7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Sobrepreço ou licitação deserta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7043334" w14:textId="6EC2917A" w:rsidR="00161AE3" w:rsidRPr="005B72E6" w:rsidRDefault="00B23A3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Setor requisitante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</w:t>
            </w:r>
            <w:r w:rsidR="00161AE3" w:rsidRPr="005B72E6">
              <w:rPr>
                <w:rFonts w:ascii="Verdana" w:hAnsi="Verdana" w:cs="Calibri"/>
                <w:sz w:val="16"/>
                <w:szCs w:val="16"/>
              </w:rPr>
              <w:t>reformula a pesquisa com base em preços públicos de licitações de outros órgãos, realizadas em menos de 1 (um) ano</w:t>
            </w:r>
          </w:p>
        </w:tc>
      </w:tr>
      <w:tr w:rsidR="00161AE3" w:rsidRPr="005B72E6" w14:paraId="775BEF9D" w14:textId="77777777" w:rsidTr="005B72E6">
        <w:tc>
          <w:tcPr>
            <w:tcW w:w="738" w:type="dxa"/>
            <w:shd w:val="clear" w:color="auto" w:fill="auto"/>
            <w:vAlign w:val="center"/>
          </w:tcPr>
          <w:p w14:paraId="0FD01E9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E330C5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Objeto da contratação com constante variação de preços no mercado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76DD60D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Requerimento de reequilíbrio econômico-financeiro em prazo inferior a 180 (cento e oitenta) dias da assinatura do contrato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BB9862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Inclusão de cláusula de matriz de risco no contrato, estipulando margem de variação sem possibilidade de reequilíbrio</w:t>
            </w:r>
          </w:p>
        </w:tc>
      </w:tr>
      <w:tr w:rsidR="00161AE3" w:rsidRPr="005B72E6" w14:paraId="4726E79A" w14:textId="77777777" w:rsidTr="005B72E6">
        <w:tc>
          <w:tcPr>
            <w:tcW w:w="738" w:type="dxa"/>
            <w:shd w:val="clear" w:color="auto" w:fill="auto"/>
            <w:vAlign w:val="center"/>
          </w:tcPr>
          <w:p w14:paraId="1D04406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726F49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Risco da licitação finalizar sem nenhum fornecedor habilitado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3C827B3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Atraso no procedimento licitatório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74BE649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Verificar as exigências solicitadas e analisar se encontram-se compatíveis com a realidade do mercado.</w:t>
            </w:r>
          </w:p>
        </w:tc>
      </w:tr>
      <w:tr w:rsidR="00161AE3" w:rsidRPr="005B72E6" w14:paraId="6FB4D80A" w14:textId="77777777" w:rsidTr="005B72E6">
        <w:tc>
          <w:tcPr>
            <w:tcW w:w="738" w:type="dxa"/>
            <w:shd w:val="clear" w:color="auto" w:fill="auto"/>
            <w:vAlign w:val="center"/>
          </w:tcPr>
          <w:p w14:paraId="3A8FCF7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A17F8B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Requisitos da contratação estipula prazo mínimo de garantia do </w:t>
            </w: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>fabricante/fornecedor sem estipular a forma de execução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4ADDD3F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 xml:space="preserve">Dificuldades de execução da garantia, podendo </w:t>
            </w: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>gerar custos de transporte/envio do bem ou equipamento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D0DA662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 xml:space="preserve">Inclusão de cláusula de matriz de risco no contrato, estipulando </w:t>
            </w: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>responsabilidade do fabricante/fornecedor por arcar com os custos de transporte/envio ou prestar a garantia na sede da Administração</w:t>
            </w:r>
          </w:p>
        </w:tc>
      </w:tr>
      <w:tr w:rsidR="00161AE3" w:rsidRPr="005B72E6" w14:paraId="7F9CDC03" w14:textId="77777777" w:rsidTr="005B72E6">
        <w:tc>
          <w:tcPr>
            <w:tcW w:w="738" w:type="dxa"/>
            <w:shd w:val="clear" w:color="auto" w:fill="auto"/>
            <w:vAlign w:val="center"/>
          </w:tcPr>
          <w:p w14:paraId="07D0DAB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lastRenderedPageBreak/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726270D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Aquisição de itens comuns de consumo sem prever a utilização de sistema de registro de preços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590FA2C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Possibilidade de adjudicação de quantitativo superior ao necessário, além do comprometimento de dotação orçamentária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5DA37D5" w14:textId="7662EF8D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Recomendar ao </w:t>
            </w:r>
            <w:r w:rsidR="00F049AF">
              <w:rPr>
                <w:rFonts w:ascii="Verdana" w:hAnsi="Verdana" w:cs="Calibri"/>
                <w:sz w:val="16"/>
                <w:szCs w:val="16"/>
              </w:rPr>
              <w:t xml:space="preserve">setor requisitante </w:t>
            </w:r>
            <w:r w:rsidRPr="005B72E6">
              <w:rPr>
                <w:rFonts w:ascii="Verdana" w:hAnsi="Verdana" w:cs="Calibri"/>
                <w:sz w:val="16"/>
                <w:szCs w:val="16"/>
              </w:rPr>
              <w:t>a utilização de Sistema de Registro de Preços sempre que possível</w:t>
            </w:r>
          </w:p>
        </w:tc>
      </w:tr>
      <w:tr w:rsidR="00161AE3" w:rsidRPr="005B72E6" w14:paraId="6C324F57" w14:textId="77777777" w:rsidTr="005B72E6">
        <w:tc>
          <w:tcPr>
            <w:tcW w:w="738" w:type="dxa"/>
            <w:shd w:val="clear" w:color="auto" w:fill="auto"/>
            <w:vAlign w:val="center"/>
          </w:tcPr>
          <w:p w14:paraId="3FB1660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3A4465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Falta de indicação no ETP do fiscal do contrato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202BD7CB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Ausência de acompanhamento e de fiscalização concomitante à execução do contrato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D024C3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Solicitação ao setor requisitante que indique o servidor que será designado fiscal do contrato</w:t>
            </w:r>
          </w:p>
        </w:tc>
      </w:tr>
      <w:tr w:rsidR="00161AE3" w:rsidRPr="005B72E6" w14:paraId="101E0CC4" w14:textId="77777777" w:rsidTr="00F049AF">
        <w:trPr>
          <w:trHeight w:val="1801"/>
        </w:trPr>
        <w:tc>
          <w:tcPr>
            <w:tcW w:w="738" w:type="dxa"/>
            <w:shd w:val="clear" w:color="auto" w:fill="auto"/>
            <w:vAlign w:val="center"/>
          </w:tcPr>
          <w:p w14:paraId="611A9E63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553B1774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56FF8EA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Objeto referente à atividade terceirizada que possa ocasionar riscos de acidentes de trabalho ou danos a terceiros</w:t>
            </w:r>
          </w:p>
          <w:p w14:paraId="2510DB3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12B67D1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2242" w:type="dxa"/>
            <w:shd w:val="clear" w:color="auto" w:fill="auto"/>
            <w:vAlign w:val="center"/>
          </w:tcPr>
          <w:p w14:paraId="7DE97FFE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Possibilidade de acionamento judicial da Administração por danos a funcionário terceirizado ou a terceiros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01E02CA9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 xml:space="preserve">Cláusula contratual prevendo a responsabilidade exclusiva do contratado, bem como previsão da exigência de equipamentos de proteção individual (EPIs) nas especificações técnicas do termo de referência, bem como, fiscalizar e exigir o uso de EPIs </w:t>
            </w:r>
            <w:proofErr w:type="gramStart"/>
            <w:r w:rsidRPr="005B72E6">
              <w:rPr>
                <w:rFonts w:ascii="Verdana" w:hAnsi="Verdana" w:cs="Calibri"/>
                <w:sz w:val="16"/>
                <w:szCs w:val="16"/>
              </w:rPr>
              <w:t>pelos  funcionários</w:t>
            </w:r>
            <w:proofErr w:type="gramEnd"/>
            <w:r w:rsidRPr="005B72E6">
              <w:rPr>
                <w:rFonts w:ascii="Verdana" w:hAnsi="Verdana" w:cs="Calibri"/>
                <w:sz w:val="16"/>
                <w:szCs w:val="16"/>
              </w:rPr>
              <w:t xml:space="preserve"> terceirizados.</w:t>
            </w:r>
          </w:p>
        </w:tc>
      </w:tr>
      <w:tr w:rsidR="00F049AF" w:rsidRPr="005B72E6" w14:paraId="25D8DA81" w14:textId="77777777" w:rsidTr="00745ADB">
        <w:trPr>
          <w:trHeight w:val="338"/>
        </w:trPr>
        <w:tc>
          <w:tcPr>
            <w:tcW w:w="738" w:type="dxa"/>
            <w:shd w:val="clear" w:color="auto" w:fill="auto"/>
            <w:vAlign w:val="center"/>
          </w:tcPr>
          <w:p w14:paraId="5DE55B95" w14:textId="16614494" w:rsidR="00F049AF" w:rsidRPr="005B72E6" w:rsidRDefault="00F049AF" w:rsidP="0017041B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18DAB006" w14:textId="13A571D2" w:rsidR="00F049AF" w:rsidRPr="005B72E6" w:rsidRDefault="00F049AF" w:rsidP="00F049AF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Outros:  </w:t>
            </w:r>
          </w:p>
        </w:tc>
        <w:tc>
          <w:tcPr>
            <w:tcW w:w="2318" w:type="dxa"/>
            <w:gridSpan w:val="2"/>
            <w:shd w:val="clear" w:color="auto" w:fill="auto"/>
            <w:vAlign w:val="center"/>
          </w:tcPr>
          <w:p w14:paraId="189F980B" w14:textId="77777777" w:rsidR="00F049AF" w:rsidRPr="005B72E6" w:rsidRDefault="00F049AF" w:rsidP="00F049AF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2F75731" w14:textId="18A1F903" w:rsidR="00F049AF" w:rsidRPr="005B72E6" w:rsidRDefault="00F049AF" w:rsidP="0017041B">
            <w:pPr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7041B" w:rsidRPr="005B72E6" w14:paraId="219A5505" w14:textId="77777777" w:rsidTr="00F049AF">
        <w:trPr>
          <w:trHeight w:val="358"/>
        </w:trPr>
        <w:tc>
          <w:tcPr>
            <w:tcW w:w="738" w:type="dxa"/>
            <w:shd w:val="clear" w:color="auto" w:fill="auto"/>
            <w:vAlign w:val="center"/>
          </w:tcPr>
          <w:p w14:paraId="6BDC659D" w14:textId="48B4B2F1" w:rsidR="0017041B" w:rsidRPr="0056339B" w:rsidRDefault="0017041B" w:rsidP="0017041B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proofErr w:type="gramStart"/>
            <w:r w:rsidRPr="007F7E46">
              <w:rPr>
                <w:rFonts w:ascii="Verdana" w:hAnsi="Verdana" w:cs="Calibri"/>
                <w:b/>
                <w:bCs/>
                <w:color w:val="002060"/>
                <w:sz w:val="16"/>
                <w:szCs w:val="16"/>
              </w:rPr>
              <w:t>(</w:t>
            </w:r>
            <w:r w:rsidR="0056339B" w:rsidRPr="007F7E46">
              <w:rPr>
                <w:rFonts w:ascii="Verdana" w:hAnsi="Verdana" w:cs="Calibri"/>
                <w:b/>
                <w:bCs/>
                <w:color w:val="002060"/>
                <w:sz w:val="16"/>
                <w:szCs w:val="16"/>
              </w:rPr>
              <w:t xml:space="preserve"> </w:t>
            </w:r>
            <w:r w:rsidR="00D00989" w:rsidRPr="007F7E46">
              <w:rPr>
                <w:rFonts w:ascii="Verdana" w:hAnsi="Verdana" w:cs="Calibri"/>
                <w:b/>
                <w:bCs/>
                <w:color w:val="002060"/>
                <w:sz w:val="16"/>
                <w:szCs w:val="16"/>
              </w:rPr>
              <w:t>x</w:t>
            </w:r>
            <w:proofErr w:type="gramEnd"/>
            <w:r w:rsidR="0056339B" w:rsidRPr="007F7E46">
              <w:rPr>
                <w:rFonts w:ascii="Verdana" w:hAnsi="Verdana" w:cs="Calibri"/>
                <w:b/>
                <w:bCs/>
                <w:color w:val="002060"/>
                <w:sz w:val="16"/>
                <w:szCs w:val="16"/>
              </w:rPr>
              <w:t xml:space="preserve"> </w:t>
            </w:r>
            <w:r w:rsidRPr="007F7E46">
              <w:rPr>
                <w:rFonts w:ascii="Verdana" w:hAnsi="Verdana" w:cs="Calibri"/>
                <w:b/>
                <w:bCs/>
                <w:color w:val="002060"/>
                <w:sz w:val="16"/>
                <w:szCs w:val="16"/>
              </w:rPr>
              <w:t>)</w:t>
            </w:r>
          </w:p>
        </w:tc>
        <w:tc>
          <w:tcPr>
            <w:tcW w:w="9043" w:type="dxa"/>
            <w:gridSpan w:val="6"/>
            <w:shd w:val="clear" w:color="auto" w:fill="auto"/>
            <w:vAlign w:val="center"/>
          </w:tcPr>
          <w:p w14:paraId="0133218A" w14:textId="3EE3358B" w:rsidR="0017041B" w:rsidRPr="005B72E6" w:rsidRDefault="0017041B" w:rsidP="0017041B">
            <w:pPr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Não foi encontrada neste certame nenhuma ocorrência de risco, podendo assim</w:t>
            </w:r>
            <w:r w:rsidR="00B23A33">
              <w:rPr>
                <w:rFonts w:ascii="Verdana" w:hAnsi="Verdana" w:cs="Calibri"/>
                <w:sz w:val="16"/>
                <w:szCs w:val="16"/>
              </w:rPr>
              <w:t xml:space="preserve"> seguir</w:t>
            </w:r>
            <w:r w:rsidRPr="005B72E6">
              <w:rPr>
                <w:rFonts w:ascii="Verdana" w:hAnsi="Verdana" w:cs="Calibri"/>
                <w:sz w:val="16"/>
                <w:szCs w:val="16"/>
              </w:rPr>
              <w:t xml:space="preserve"> seus trâmites legais</w:t>
            </w:r>
            <w:r w:rsidR="005B72E6">
              <w:rPr>
                <w:rFonts w:ascii="Verdana" w:hAnsi="Verdana" w:cs="Calibri"/>
                <w:sz w:val="16"/>
                <w:szCs w:val="16"/>
              </w:rPr>
              <w:t>.</w:t>
            </w:r>
          </w:p>
        </w:tc>
      </w:tr>
      <w:tr w:rsidR="00161AE3" w:rsidRPr="005B72E6" w14:paraId="08883CF5" w14:textId="77777777" w:rsidTr="003D2BFB">
        <w:trPr>
          <w:trHeight w:val="547"/>
        </w:trPr>
        <w:tc>
          <w:tcPr>
            <w:tcW w:w="1312" w:type="dxa"/>
            <w:gridSpan w:val="2"/>
            <w:shd w:val="clear" w:color="auto" w:fill="auto"/>
          </w:tcPr>
          <w:p w14:paraId="38BC68E6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Responsável:</w:t>
            </w:r>
          </w:p>
        </w:tc>
        <w:tc>
          <w:tcPr>
            <w:tcW w:w="5146" w:type="dxa"/>
            <w:gridSpan w:val="3"/>
            <w:shd w:val="clear" w:color="auto" w:fill="auto"/>
          </w:tcPr>
          <w:p w14:paraId="3E4016E1" w14:textId="5D60707E" w:rsidR="00161AE3" w:rsidRPr="003D2BFB" w:rsidRDefault="00984B94" w:rsidP="0063540F">
            <w:pPr>
              <w:jc w:val="center"/>
              <w:rPr>
                <w:rFonts w:ascii="Verdana" w:hAnsi="Verdana" w:cs="Calibri"/>
                <w:b/>
                <w:bCs/>
                <w:color w:val="4472C4" w:themeColor="accen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2060"/>
                <w:sz w:val="16"/>
                <w:szCs w:val="16"/>
              </w:rPr>
              <w:t>RICARDO BROGNI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BBA8EF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Cargo: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7F0BF378" w14:textId="402B5F52" w:rsidR="00161AE3" w:rsidRPr="00745ADB" w:rsidRDefault="00984B94" w:rsidP="0063540F">
            <w:pPr>
              <w:jc w:val="center"/>
              <w:rPr>
                <w:rFonts w:ascii="Verdana" w:hAnsi="Verdana" w:cs="Calibri"/>
                <w:b/>
                <w:bCs/>
                <w:color w:val="92D05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2060"/>
                <w:sz w:val="16"/>
                <w:szCs w:val="16"/>
              </w:rPr>
              <w:t>SEC. DE PLANEJAMENTO E URBANISMO</w:t>
            </w:r>
          </w:p>
        </w:tc>
      </w:tr>
      <w:tr w:rsidR="00161AE3" w:rsidRPr="005B72E6" w14:paraId="4377136A" w14:textId="77777777" w:rsidTr="005B72E6">
        <w:trPr>
          <w:trHeight w:val="53"/>
        </w:trPr>
        <w:tc>
          <w:tcPr>
            <w:tcW w:w="1312" w:type="dxa"/>
            <w:gridSpan w:val="2"/>
            <w:shd w:val="clear" w:color="auto" w:fill="auto"/>
          </w:tcPr>
          <w:p w14:paraId="6D9727F1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Assinatura:</w:t>
            </w:r>
          </w:p>
        </w:tc>
        <w:tc>
          <w:tcPr>
            <w:tcW w:w="5146" w:type="dxa"/>
            <w:gridSpan w:val="3"/>
            <w:shd w:val="clear" w:color="auto" w:fill="auto"/>
          </w:tcPr>
          <w:p w14:paraId="5AE43771" w14:textId="77777777" w:rsidR="00161AE3" w:rsidRPr="003D2BFB" w:rsidRDefault="00161AE3" w:rsidP="0063540F">
            <w:pPr>
              <w:jc w:val="center"/>
              <w:rPr>
                <w:rFonts w:ascii="Verdana" w:hAnsi="Verdana" w:cs="Calibri"/>
                <w:b/>
                <w:bCs/>
                <w:color w:val="4472C4" w:themeColor="accent1"/>
                <w:sz w:val="16"/>
                <w:szCs w:val="16"/>
              </w:rPr>
            </w:pPr>
          </w:p>
          <w:p w14:paraId="002FE3AA" w14:textId="77777777" w:rsidR="00161AE3" w:rsidRPr="003D2BFB" w:rsidRDefault="00161AE3" w:rsidP="0063540F">
            <w:pPr>
              <w:jc w:val="center"/>
              <w:rPr>
                <w:rFonts w:ascii="Verdana" w:hAnsi="Verdana" w:cs="Calibri"/>
                <w:b/>
                <w:bCs/>
                <w:color w:val="4472C4" w:themeColor="accent1"/>
                <w:sz w:val="16"/>
                <w:szCs w:val="16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483D9CAA" w14:textId="77777777" w:rsidR="00161AE3" w:rsidRPr="005B72E6" w:rsidRDefault="00161AE3" w:rsidP="0063540F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5B72E6">
              <w:rPr>
                <w:rFonts w:ascii="Verdana" w:hAnsi="Verdana" w:cs="Calibri"/>
                <w:sz w:val="16"/>
                <w:szCs w:val="16"/>
              </w:rPr>
              <w:t>Data: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7EB01087" w14:textId="2A406E91" w:rsidR="00161AE3" w:rsidRPr="007F7E46" w:rsidRDefault="00844F60" w:rsidP="0063540F">
            <w:pPr>
              <w:jc w:val="center"/>
              <w:rPr>
                <w:rFonts w:ascii="Verdana" w:hAnsi="Verdana" w:cs="Calibri"/>
                <w:b/>
                <w:bCs/>
                <w:color w:val="00206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2060"/>
                <w:sz w:val="16"/>
                <w:szCs w:val="16"/>
              </w:rPr>
              <w:t>20/08</w:t>
            </w:r>
            <w:r w:rsidR="00082032" w:rsidRPr="007F7E46">
              <w:rPr>
                <w:rFonts w:ascii="Verdana" w:hAnsi="Verdana" w:cs="Calibri"/>
                <w:b/>
                <w:bCs/>
                <w:color w:val="002060"/>
                <w:sz w:val="16"/>
                <w:szCs w:val="16"/>
              </w:rPr>
              <w:t>/2024</w:t>
            </w:r>
          </w:p>
        </w:tc>
      </w:tr>
    </w:tbl>
    <w:p w14:paraId="4A309376" w14:textId="77777777" w:rsidR="00E25380" w:rsidRDefault="00E25380" w:rsidP="00161AE3"/>
    <w:sectPr w:rsidR="00E253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E3"/>
    <w:rsid w:val="00082032"/>
    <w:rsid w:val="000D1A99"/>
    <w:rsid w:val="00106AF2"/>
    <w:rsid w:val="00126356"/>
    <w:rsid w:val="00161AE3"/>
    <w:rsid w:val="0017041B"/>
    <w:rsid w:val="00242E5F"/>
    <w:rsid w:val="00384889"/>
    <w:rsid w:val="003D2BFB"/>
    <w:rsid w:val="00515FC2"/>
    <w:rsid w:val="005473A8"/>
    <w:rsid w:val="0056339B"/>
    <w:rsid w:val="005B72E6"/>
    <w:rsid w:val="006E03BC"/>
    <w:rsid w:val="00704284"/>
    <w:rsid w:val="007050CA"/>
    <w:rsid w:val="00745ADB"/>
    <w:rsid w:val="00776BD3"/>
    <w:rsid w:val="007F7E46"/>
    <w:rsid w:val="00810FAD"/>
    <w:rsid w:val="00844F60"/>
    <w:rsid w:val="00984B94"/>
    <w:rsid w:val="00AB1221"/>
    <w:rsid w:val="00AC40C3"/>
    <w:rsid w:val="00B17C0E"/>
    <w:rsid w:val="00B23A33"/>
    <w:rsid w:val="00C924AE"/>
    <w:rsid w:val="00D00989"/>
    <w:rsid w:val="00D35F68"/>
    <w:rsid w:val="00E25380"/>
    <w:rsid w:val="00F049AF"/>
    <w:rsid w:val="00F147FE"/>
    <w:rsid w:val="00F3185F"/>
    <w:rsid w:val="00F9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6895A"/>
  <w15:docId w15:val="{69A2FBC8-09BA-4CE2-B4C6-99403EFF6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263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635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836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2024-07-31T13:15:00Z</cp:lastPrinted>
  <dcterms:created xsi:type="dcterms:W3CDTF">2024-07-26T14:05:00Z</dcterms:created>
  <dcterms:modified xsi:type="dcterms:W3CDTF">2024-08-20T17:53:00Z</dcterms:modified>
</cp:coreProperties>
</file>