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317C2" w14:paraId="581B1EF9" w14:textId="77777777">
        <w:tc>
          <w:tcPr>
            <w:tcW w:w="9781" w:type="dxa"/>
            <w:shd w:val="clear" w:color="auto" w:fill="auto"/>
            <w:vAlign w:val="center"/>
          </w:tcPr>
          <w:p w14:paraId="20CF9F33" w14:textId="77777777" w:rsidR="001317C2" w:rsidRDefault="00A42E3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MAPA DE RISCOS</w:t>
            </w:r>
          </w:p>
        </w:tc>
      </w:tr>
    </w:tbl>
    <w:tbl>
      <w:tblPr>
        <w:tblStyle w:val="Tabelacomgrade"/>
        <w:tblW w:w="9781" w:type="dxa"/>
        <w:tblInd w:w="-572" w:type="dxa"/>
        <w:tblLook w:val="04A0" w:firstRow="1" w:lastRow="0" w:firstColumn="1" w:lastColumn="0" w:noHBand="0" w:noVBand="1"/>
      </w:tblPr>
      <w:tblGrid>
        <w:gridCol w:w="9781"/>
      </w:tblGrid>
      <w:tr w:rsidR="00F11CA3" w14:paraId="0EA6E11E" w14:textId="77777777" w:rsidTr="00F11CA3">
        <w:trPr>
          <w:trHeight w:val="397"/>
        </w:trPr>
        <w:tc>
          <w:tcPr>
            <w:tcW w:w="9781" w:type="dxa"/>
            <w:shd w:val="clear" w:color="auto" w:fill="auto"/>
            <w:vAlign w:val="center"/>
          </w:tcPr>
          <w:p w14:paraId="2CB09DEA" w14:textId="29ECCAE1" w:rsidR="00F11CA3" w:rsidRDefault="00F11CA3" w:rsidP="000212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Objet: </w:t>
            </w:r>
            <w:r>
              <w:rPr>
                <w:rFonts w:ascii="Arial" w:hAnsi="Arial" w:cs="Arial"/>
                <w:b/>
                <w:sz w:val="22"/>
                <w:szCs w:val="22"/>
              </w:rPr>
              <w:t>Contratação de Serviço Especializado de Criação de Traje e desenvolvimento de Ficha Técnica para Rainha e Princesas da Festa da Gastronomia Típica Italiana 2024.</w:t>
            </w:r>
          </w:p>
        </w:tc>
      </w:tr>
    </w:tbl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574"/>
        <w:gridCol w:w="2828"/>
        <w:gridCol w:w="76"/>
        <w:gridCol w:w="2242"/>
        <w:gridCol w:w="762"/>
        <w:gridCol w:w="2561"/>
      </w:tblGrid>
      <w:tr w:rsidR="001317C2" w14:paraId="055F69DE" w14:textId="77777777">
        <w:tc>
          <w:tcPr>
            <w:tcW w:w="9781" w:type="dxa"/>
            <w:gridSpan w:val="7"/>
            <w:shd w:val="clear" w:color="auto" w:fill="auto"/>
            <w:vAlign w:val="center"/>
          </w:tcPr>
          <w:p w14:paraId="2380202F" w14:textId="7C2FE44A" w:rsidR="001317C2" w:rsidRDefault="001317C2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317C2" w14:paraId="1B3A4388" w14:textId="77777777">
        <w:tc>
          <w:tcPr>
            <w:tcW w:w="4216" w:type="dxa"/>
            <w:gridSpan w:val="4"/>
            <w:shd w:val="clear" w:color="auto" w:fill="auto"/>
          </w:tcPr>
          <w:p w14:paraId="386D255E" w14:textId="77777777" w:rsidR="001317C2" w:rsidRDefault="00A42E3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Constatação de Ocorrência </w:t>
            </w:r>
          </w:p>
        </w:tc>
        <w:tc>
          <w:tcPr>
            <w:tcW w:w="2242" w:type="dxa"/>
            <w:shd w:val="clear" w:color="auto" w:fill="auto"/>
          </w:tcPr>
          <w:p w14:paraId="4E3F5812" w14:textId="77777777" w:rsidR="001317C2" w:rsidRDefault="00A42E3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Risco</w:t>
            </w:r>
          </w:p>
        </w:tc>
        <w:tc>
          <w:tcPr>
            <w:tcW w:w="3323" w:type="dxa"/>
            <w:gridSpan w:val="2"/>
            <w:shd w:val="clear" w:color="auto" w:fill="auto"/>
          </w:tcPr>
          <w:p w14:paraId="6F228AF8" w14:textId="77777777" w:rsidR="001317C2" w:rsidRDefault="00A42E3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Medida</w:t>
            </w:r>
          </w:p>
        </w:tc>
      </w:tr>
      <w:tr w:rsidR="001317C2" w14:paraId="0D435BF3" w14:textId="77777777">
        <w:tc>
          <w:tcPr>
            <w:tcW w:w="738" w:type="dxa"/>
            <w:shd w:val="clear" w:color="auto" w:fill="auto"/>
            <w:vAlign w:val="center"/>
          </w:tcPr>
          <w:p w14:paraId="253D809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4379EB14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Dispensa de </w:t>
            </w:r>
            <w:r>
              <w:rPr>
                <w:rFonts w:ascii="Verdana" w:hAnsi="Verdana" w:cs="Calibri"/>
                <w:sz w:val="16"/>
                <w:szCs w:val="16"/>
              </w:rPr>
              <w:t>licitação de valor sem adequado planejamento da contratação ou certificação de que exista licitação realizada para objeto semelhante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373C4525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sz w:val="16"/>
                <w:szCs w:val="16"/>
              </w:rPr>
              <w:t>Fracionamen</w:t>
            </w:r>
            <w:proofErr w:type="spellEnd"/>
          </w:p>
          <w:p w14:paraId="1E355EFB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proofErr w:type="spellStart"/>
            <w:r>
              <w:rPr>
                <w:rFonts w:ascii="Verdana" w:hAnsi="Verdana" w:cs="Calibri"/>
                <w:sz w:val="16"/>
                <w:szCs w:val="16"/>
              </w:rPr>
              <w:t>to</w:t>
            </w:r>
            <w:proofErr w:type="spellEnd"/>
            <w:r>
              <w:rPr>
                <w:rFonts w:ascii="Verdana" w:hAnsi="Verdana" w:cs="Calibri"/>
                <w:sz w:val="16"/>
                <w:szCs w:val="16"/>
              </w:rPr>
              <w:t xml:space="preserve"> indevido</w:t>
            </w:r>
          </w:p>
          <w:p w14:paraId="0089820D" w14:textId="77777777" w:rsidR="001317C2" w:rsidRDefault="001317C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364EEF69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Declaração do setor requisitante de que as despesas não constituem fracionamento indevido e de que</w:t>
            </w:r>
            <w:r>
              <w:rPr>
                <w:rFonts w:ascii="Verdana" w:hAnsi="Verdana" w:cs="Calibri"/>
                <w:sz w:val="16"/>
                <w:szCs w:val="16"/>
              </w:rPr>
              <w:t xml:space="preserve"> o somatório das despesas realizadas com objetos idênticos ou de mesma natureza, no mesmo exercício financeiro, pela unidade gestora, não ultrapassa os limites do art. 75, incisos I e II e §2º, da Lei 14.133/21; ou revogação do procedimento.</w:t>
            </w:r>
          </w:p>
        </w:tc>
      </w:tr>
      <w:tr w:rsidR="001317C2" w14:paraId="34A46AAA" w14:textId="77777777">
        <w:tc>
          <w:tcPr>
            <w:tcW w:w="738" w:type="dxa"/>
            <w:shd w:val="clear" w:color="auto" w:fill="auto"/>
            <w:vAlign w:val="center"/>
          </w:tcPr>
          <w:p w14:paraId="6C2B3F2F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5223D9F8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Contr</w:t>
            </w:r>
            <w:r>
              <w:rPr>
                <w:rFonts w:ascii="Verdana" w:hAnsi="Verdana" w:cs="Calibri"/>
                <w:sz w:val="16"/>
                <w:szCs w:val="16"/>
              </w:rPr>
              <w:t>atação por dispensa de valor utilizando apenas a cotação de fornecedores convidados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46DEE83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Elevação do custo da</w:t>
            </w:r>
          </w:p>
          <w:p w14:paraId="4863F54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contratação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3DC4740A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Realização, de forma preferencial, de pesquisa com base em preços públicos de licitações de outros órgãos, realizadas em menos de 1 (um) an</w:t>
            </w:r>
            <w:r>
              <w:rPr>
                <w:rFonts w:ascii="Verdana" w:hAnsi="Verdana" w:cs="Calibri"/>
                <w:sz w:val="16"/>
                <w:szCs w:val="16"/>
              </w:rPr>
              <w:t>o</w:t>
            </w:r>
          </w:p>
        </w:tc>
      </w:tr>
      <w:tr w:rsidR="001317C2" w14:paraId="52A09C2F" w14:textId="77777777">
        <w:tc>
          <w:tcPr>
            <w:tcW w:w="738" w:type="dxa"/>
            <w:shd w:val="clear" w:color="auto" w:fill="auto"/>
            <w:vAlign w:val="center"/>
          </w:tcPr>
          <w:p w14:paraId="229CDD17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76DA9351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ETP - Análise de apenas uma das soluções de mercado existentes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3A529412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Caracterização de direcionamento</w:t>
            </w:r>
          </w:p>
          <w:p w14:paraId="0D0743F2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da licitação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6AC6406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Devolução do ETP ao setor requisitante para reformulação</w:t>
            </w:r>
          </w:p>
        </w:tc>
      </w:tr>
      <w:tr w:rsidR="001317C2" w14:paraId="7EF10A4C" w14:textId="77777777">
        <w:tc>
          <w:tcPr>
            <w:tcW w:w="738" w:type="dxa"/>
            <w:shd w:val="clear" w:color="auto" w:fill="auto"/>
            <w:vAlign w:val="center"/>
          </w:tcPr>
          <w:p w14:paraId="769493E8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3CFB2D82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ETP - Adoção de tipo de solução obsoleto ou próximo da </w:t>
            </w:r>
            <w:r>
              <w:rPr>
                <w:rFonts w:ascii="Verdana" w:hAnsi="Verdana" w:cs="Calibri"/>
                <w:sz w:val="16"/>
                <w:szCs w:val="16"/>
              </w:rPr>
              <w:t>obsolescência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0B0DA261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Descontinuidade da</w:t>
            </w:r>
          </w:p>
          <w:p w14:paraId="251B2806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solução antes da Administração conseguir desfrutar do investimento feito na solução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1DDB3E48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Devolução do ETP ao setor requisitante para reformulação, a fim de indicar solução mais moderna</w:t>
            </w:r>
          </w:p>
        </w:tc>
      </w:tr>
      <w:tr w:rsidR="001317C2" w14:paraId="2C44C407" w14:textId="77777777">
        <w:tc>
          <w:tcPr>
            <w:tcW w:w="738" w:type="dxa"/>
            <w:shd w:val="clear" w:color="auto" w:fill="auto"/>
            <w:vAlign w:val="center"/>
          </w:tcPr>
          <w:p w14:paraId="00250405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2717D16A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ETP - Utilização de especificações</w:t>
            </w:r>
            <w:r>
              <w:rPr>
                <w:rFonts w:ascii="Verdana" w:hAnsi="Verdana" w:cs="Calibri"/>
                <w:sz w:val="16"/>
                <w:szCs w:val="16"/>
              </w:rPr>
              <w:t xml:space="preserve"> técnicas não comuns no mercado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57C99FAE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Dificuldade de encontrar referências de preços em contratos públicos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6CFFCC12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Devolução do ETP ao setor requisitante para reformulação, a fim de indicar solução com especificações técnicas já utilizadas sempre que estas atenderem </w:t>
            </w:r>
            <w:proofErr w:type="spellStart"/>
            <w:r>
              <w:rPr>
                <w:rFonts w:ascii="Verdana" w:hAnsi="Verdana" w:cs="Calibri"/>
                <w:sz w:val="16"/>
                <w:szCs w:val="16"/>
              </w:rPr>
              <w:t>a</w:t>
            </w:r>
            <w:proofErr w:type="spellEnd"/>
            <w:r>
              <w:rPr>
                <w:rFonts w:ascii="Verdana" w:hAnsi="Verdana" w:cs="Calibri"/>
                <w:sz w:val="16"/>
                <w:szCs w:val="16"/>
              </w:rPr>
              <w:t xml:space="preserve"> s</w:t>
            </w:r>
            <w:r>
              <w:rPr>
                <w:rFonts w:ascii="Verdana" w:hAnsi="Verdana" w:cs="Calibri"/>
                <w:sz w:val="16"/>
                <w:szCs w:val="16"/>
              </w:rPr>
              <w:t>uas necessidades</w:t>
            </w:r>
          </w:p>
        </w:tc>
      </w:tr>
      <w:tr w:rsidR="001317C2" w14:paraId="32E78348" w14:textId="77777777">
        <w:tc>
          <w:tcPr>
            <w:tcW w:w="738" w:type="dxa"/>
            <w:shd w:val="clear" w:color="auto" w:fill="auto"/>
            <w:vAlign w:val="center"/>
          </w:tcPr>
          <w:p w14:paraId="6521133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40E9FFB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ETP - Não parcelamento da solução mesmo quando for viável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6C02E85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Diminuição da competição nas licitações por não permitir que empresas especializadas participem da licitação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46973C0C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Devolução do ETP ao setor requisitante para </w:t>
            </w:r>
            <w:r>
              <w:rPr>
                <w:rFonts w:ascii="Verdana" w:hAnsi="Verdana" w:cs="Calibri"/>
                <w:sz w:val="16"/>
                <w:szCs w:val="16"/>
              </w:rPr>
              <w:t>reformulação, com apresentação de  justificativa expressa quanto à necessidade de agrupamento de itens</w:t>
            </w:r>
          </w:p>
        </w:tc>
      </w:tr>
      <w:tr w:rsidR="001317C2" w14:paraId="4B7D12A5" w14:textId="77777777">
        <w:tc>
          <w:tcPr>
            <w:tcW w:w="738" w:type="dxa"/>
            <w:shd w:val="clear" w:color="auto" w:fill="auto"/>
            <w:vAlign w:val="center"/>
          </w:tcPr>
          <w:p w14:paraId="76A442B6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16A02CFE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ETP - Quantitativo</w:t>
            </w:r>
          </w:p>
          <w:p w14:paraId="19EABCE8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) subestimado ou (    ) superestimado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5D5DBF56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Falta ou sobra de produtos/serviços, necessidade de aditivos ou supressões, perda </w:t>
            </w:r>
            <w:r>
              <w:rPr>
                <w:rFonts w:ascii="Verdana" w:hAnsi="Verdana" w:cs="Calibri"/>
                <w:sz w:val="16"/>
                <w:szCs w:val="16"/>
              </w:rPr>
              <w:t>da economia de escala, desperdício de recursos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708222C7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Devolução do ETP ao setor requisitante para reformulação, com readequação dos quantitativos</w:t>
            </w:r>
          </w:p>
        </w:tc>
      </w:tr>
      <w:tr w:rsidR="001317C2" w14:paraId="25AEEE99" w14:textId="77777777">
        <w:tc>
          <w:tcPr>
            <w:tcW w:w="738" w:type="dxa"/>
            <w:shd w:val="clear" w:color="auto" w:fill="auto"/>
            <w:vAlign w:val="center"/>
          </w:tcPr>
          <w:p w14:paraId="18412294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15D84B0E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Ausência de documentos comprobatórios da pesquisa de preços realizada conforme art. 23, da Lei nº 14.133/21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25C40FE9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Orçamento estimado em valor não condizente com os preços de mercado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6DA31D7B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Solicitação ao setor requisitante da juntada dos documentos no processo</w:t>
            </w:r>
          </w:p>
        </w:tc>
      </w:tr>
      <w:tr w:rsidR="001317C2" w14:paraId="5A99DD2A" w14:textId="77777777">
        <w:tc>
          <w:tcPr>
            <w:tcW w:w="738" w:type="dxa"/>
            <w:shd w:val="clear" w:color="auto" w:fill="auto"/>
            <w:vAlign w:val="center"/>
          </w:tcPr>
          <w:p w14:paraId="4304214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107C5A89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Estimativa inadequada de preços</w:t>
            </w:r>
          </w:p>
          <w:p w14:paraId="0DA9FBC9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) subestimado ou (    ) superestimado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D2D0278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Sobrepreço ou licitação </w:t>
            </w:r>
            <w:r>
              <w:rPr>
                <w:rFonts w:ascii="Verdana" w:hAnsi="Verdana" w:cs="Calibri"/>
                <w:sz w:val="16"/>
                <w:szCs w:val="16"/>
              </w:rPr>
              <w:t>deserta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52C4952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Setor requisitante reformula a pesquisa com base em preços públicos de licitações de outros órgãos, realizadas em menos de 1 (um) ano</w:t>
            </w:r>
          </w:p>
        </w:tc>
      </w:tr>
      <w:tr w:rsidR="001317C2" w14:paraId="786625B1" w14:textId="77777777">
        <w:tc>
          <w:tcPr>
            <w:tcW w:w="738" w:type="dxa"/>
            <w:shd w:val="clear" w:color="auto" w:fill="auto"/>
            <w:vAlign w:val="center"/>
          </w:tcPr>
          <w:p w14:paraId="5BC68DB7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6B37902D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Objeto da contratação com constante variação de preços no mercado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4DA3015D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Requerimento de reequilíbrio econômico-</w:t>
            </w:r>
            <w:r>
              <w:rPr>
                <w:rFonts w:ascii="Verdana" w:hAnsi="Verdana" w:cs="Calibri"/>
                <w:sz w:val="16"/>
                <w:szCs w:val="16"/>
              </w:rPr>
              <w:t>financeiro em prazo inferior a 180 (cento e oitenta) dias da assinatura do contrato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01781FBC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Inclusão de cláusula de matriz de risco no contrato, estipulando margem de variação sem possibilidade de reequilíbrio</w:t>
            </w:r>
          </w:p>
        </w:tc>
      </w:tr>
      <w:tr w:rsidR="001317C2" w14:paraId="4842C763" w14:textId="77777777">
        <w:tc>
          <w:tcPr>
            <w:tcW w:w="738" w:type="dxa"/>
            <w:shd w:val="clear" w:color="auto" w:fill="auto"/>
            <w:vAlign w:val="center"/>
          </w:tcPr>
          <w:p w14:paraId="01C0F290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622635AF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Risco </w:t>
            </w:r>
            <w:proofErr w:type="gramStart"/>
            <w:r>
              <w:rPr>
                <w:rFonts w:ascii="Verdana" w:hAnsi="Verdana" w:cs="Calibri"/>
                <w:sz w:val="16"/>
                <w:szCs w:val="16"/>
              </w:rPr>
              <w:t>da</w:t>
            </w:r>
            <w:proofErr w:type="gramEnd"/>
            <w:r>
              <w:rPr>
                <w:rFonts w:ascii="Verdana" w:hAnsi="Verdana" w:cs="Calibri"/>
                <w:sz w:val="16"/>
                <w:szCs w:val="16"/>
              </w:rPr>
              <w:t xml:space="preserve"> licitação finalizar sem nenhum forne</w:t>
            </w:r>
            <w:r>
              <w:rPr>
                <w:rFonts w:ascii="Verdana" w:hAnsi="Verdana" w:cs="Calibri"/>
                <w:sz w:val="16"/>
                <w:szCs w:val="16"/>
              </w:rPr>
              <w:t>cedor habilitado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6EE65D54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Atraso no procedimento licitatório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16975FCC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Verificar as exigências solicitadas e analisar se encontram-se compatíveis com a realidade do mercado.</w:t>
            </w:r>
          </w:p>
        </w:tc>
      </w:tr>
      <w:tr w:rsidR="001317C2" w14:paraId="340DA15F" w14:textId="77777777">
        <w:tc>
          <w:tcPr>
            <w:tcW w:w="738" w:type="dxa"/>
            <w:shd w:val="clear" w:color="auto" w:fill="auto"/>
            <w:vAlign w:val="center"/>
          </w:tcPr>
          <w:p w14:paraId="44E7F63C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11DE2A66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Requisitos da contratação estipula prazo mínimo de garantia do </w:t>
            </w:r>
            <w:r>
              <w:rPr>
                <w:rFonts w:ascii="Verdana" w:hAnsi="Verdana" w:cs="Calibri"/>
                <w:sz w:val="16"/>
                <w:szCs w:val="16"/>
              </w:rPr>
              <w:t>fabricante/fornecedor sem estipular a forma de execução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130D534A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Dificuldades de execução da garantia, podendo gerar custos de transporte/envio do bem ou equipamento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0140F542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Inclusão de cláusula de matriz de risco no contrato, estipulando responsabilidade do fabricante/for</w:t>
            </w:r>
            <w:r>
              <w:rPr>
                <w:rFonts w:ascii="Verdana" w:hAnsi="Verdana" w:cs="Calibri"/>
                <w:sz w:val="16"/>
                <w:szCs w:val="16"/>
              </w:rPr>
              <w:t xml:space="preserve">necedor por arcar com os custos de transporte/envio ou </w:t>
            </w:r>
            <w:r>
              <w:rPr>
                <w:rFonts w:ascii="Verdana" w:hAnsi="Verdana" w:cs="Calibri"/>
                <w:sz w:val="16"/>
                <w:szCs w:val="16"/>
              </w:rPr>
              <w:lastRenderedPageBreak/>
              <w:t>prestar a garantia na sede da Administração</w:t>
            </w:r>
          </w:p>
        </w:tc>
      </w:tr>
      <w:tr w:rsidR="001317C2" w14:paraId="7E8A7962" w14:textId="77777777">
        <w:tc>
          <w:tcPr>
            <w:tcW w:w="738" w:type="dxa"/>
            <w:shd w:val="clear" w:color="auto" w:fill="auto"/>
            <w:vAlign w:val="center"/>
          </w:tcPr>
          <w:p w14:paraId="09F47C6D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lastRenderedPageBreak/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03562872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Aquisição de itens comuns de consumo sem prever a utilização de sistema de registro de preços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1B5A5A25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Possibilidade de adjudicação de quantitativo superior </w:t>
            </w:r>
            <w:r>
              <w:rPr>
                <w:rFonts w:ascii="Verdana" w:hAnsi="Verdana" w:cs="Calibri"/>
                <w:sz w:val="16"/>
                <w:szCs w:val="16"/>
              </w:rPr>
              <w:t>ao necessário, além do comprometimento de dotação orçamentária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74410C86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Recomendar ao setor requisitante a utilização de Sistema de Registro de Preços sempre que possível</w:t>
            </w:r>
          </w:p>
        </w:tc>
      </w:tr>
      <w:tr w:rsidR="001317C2" w14:paraId="70A26B2F" w14:textId="77777777">
        <w:tc>
          <w:tcPr>
            <w:tcW w:w="738" w:type="dxa"/>
            <w:shd w:val="clear" w:color="auto" w:fill="auto"/>
            <w:vAlign w:val="center"/>
          </w:tcPr>
          <w:p w14:paraId="215FA136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6CB84ACA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Falta de indicação no ETP do fiscal do contrato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751A0DBB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Ausência de acompanhamento e de fisca</w:t>
            </w:r>
            <w:r>
              <w:rPr>
                <w:rFonts w:ascii="Verdana" w:hAnsi="Verdana" w:cs="Calibri"/>
                <w:sz w:val="16"/>
                <w:szCs w:val="16"/>
              </w:rPr>
              <w:t>lização concomitante à execução do contrato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038DC3EF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Solicitação ao setor requisitante que indique o servidor que será designado fiscal do contrato</w:t>
            </w:r>
          </w:p>
        </w:tc>
      </w:tr>
      <w:tr w:rsidR="001317C2" w14:paraId="78584580" w14:textId="77777777">
        <w:trPr>
          <w:trHeight w:val="1801"/>
        </w:trPr>
        <w:tc>
          <w:tcPr>
            <w:tcW w:w="738" w:type="dxa"/>
            <w:shd w:val="clear" w:color="auto" w:fill="auto"/>
            <w:vAlign w:val="center"/>
          </w:tcPr>
          <w:p w14:paraId="21F6CF3B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78" w:type="dxa"/>
            <w:gridSpan w:val="3"/>
            <w:shd w:val="clear" w:color="auto" w:fill="auto"/>
            <w:vAlign w:val="center"/>
          </w:tcPr>
          <w:p w14:paraId="1478C64E" w14:textId="77777777" w:rsidR="001317C2" w:rsidRDefault="001317C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785C56D4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Objeto referente à atividade terceirizada que possa ocasionar riscos de acidentes de trabalho ou danos a </w:t>
            </w:r>
            <w:r>
              <w:rPr>
                <w:rFonts w:ascii="Verdana" w:hAnsi="Verdana" w:cs="Calibri"/>
                <w:sz w:val="16"/>
                <w:szCs w:val="16"/>
              </w:rPr>
              <w:t>terceiros</w:t>
            </w:r>
          </w:p>
          <w:p w14:paraId="097C0193" w14:textId="77777777" w:rsidR="001317C2" w:rsidRDefault="001317C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75550FEF" w14:textId="77777777" w:rsidR="001317C2" w:rsidRDefault="001317C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2242" w:type="dxa"/>
            <w:shd w:val="clear" w:color="auto" w:fill="auto"/>
            <w:vAlign w:val="center"/>
          </w:tcPr>
          <w:p w14:paraId="5B51321E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Possibilidade de acionamento judicial da Administração por danos a funcionário terceirizado ou a terceiros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54FC911F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Cláusula contratual prevendo a responsabilidade exclusiva do contratado, bem como previsão da exigência de equipamentos de </w:t>
            </w:r>
            <w:r>
              <w:rPr>
                <w:rFonts w:ascii="Verdana" w:hAnsi="Verdana" w:cs="Calibri"/>
                <w:sz w:val="16"/>
                <w:szCs w:val="16"/>
              </w:rPr>
              <w:t>proteção individual (EPIs) nas especificações técnicas do termo de referência, bem como, fiscalizar e exigir o uso de EPIs pelos  funcionários terceirizados.</w:t>
            </w:r>
          </w:p>
        </w:tc>
      </w:tr>
      <w:tr w:rsidR="001317C2" w14:paraId="6C093474" w14:textId="77777777">
        <w:trPr>
          <w:trHeight w:val="338"/>
        </w:trPr>
        <w:tc>
          <w:tcPr>
            <w:tcW w:w="738" w:type="dxa"/>
            <w:shd w:val="clear" w:color="auto" w:fill="auto"/>
            <w:vAlign w:val="center"/>
          </w:tcPr>
          <w:p w14:paraId="6D6F2746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(     )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5C42984C" w14:textId="77777777" w:rsidR="001317C2" w:rsidRDefault="00A42E3D">
            <w:pPr>
              <w:ind w:right="-251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Outros:  </w:t>
            </w:r>
          </w:p>
        </w:tc>
        <w:tc>
          <w:tcPr>
            <w:tcW w:w="2318" w:type="dxa"/>
            <w:gridSpan w:val="2"/>
            <w:shd w:val="clear" w:color="auto" w:fill="auto"/>
            <w:vAlign w:val="center"/>
          </w:tcPr>
          <w:p w14:paraId="01D97CCC" w14:textId="77777777" w:rsidR="001317C2" w:rsidRDefault="001317C2">
            <w:pPr>
              <w:ind w:right="-251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0F9541C7" w14:textId="77777777" w:rsidR="001317C2" w:rsidRDefault="001317C2">
            <w:pPr>
              <w:rPr>
                <w:rFonts w:ascii="Verdana" w:hAnsi="Verdana" w:cs="Calibri"/>
                <w:sz w:val="16"/>
                <w:szCs w:val="16"/>
              </w:rPr>
            </w:pPr>
          </w:p>
        </w:tc>
      </w:tr>
      <w:tr w:rsidR="001317C2" w14:paraId="42B19D9B" w14:textId="77777777">
        <w:trPr>
          <w:trHeight w:val="358"/>
        </w:trPr>
        <w:tc>
          <w:tcPr>
            <w:tcW w:w="738" w:type="dxa"/>
            <w:shd w:val="clear" w:color="auto" w:fill="auto"/>
            <w:vAlign w:val="center"/>
          </w:tcPr>
          <w:p w14:paraId="382E29B9" w14:textId="68B7CA85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(   </w:t>
            </w:r>
            <w:r w:rsidR="00F11CA3">
              <w:rPr>
                <w:rFonts w:ascii="Verdana" w:hAnsi="Verdana" w:cs="Calibri"/>
                <w:sz w:val="16"/>
                <w:szCs w:val="16"/>
              </w:rPr>
              <w:t>x</w:t>
            </w:r>
            <w:r>
              <w:rPr>
                <w:rFonts w:ascii="Verdana" w:hAnsi="Verdana" w:cs="Calibri"/>
                <w:sz w:val="16"/>
                <w:szCs w:val="16"/>
              </w:rPr>
              <w:t xml:space="preserve">  )</w:t>
            </w:r>
          </w:p>
        </w:tc>
        <w:tc>
          <w:tcPr>
            <w:tcW w:w="9043" w:type="dxa"/>
            <w:gridSpan w:val="6"/>
            <w:shd w:val="clear" w:color="auto" w:fill="auto"/>
            <w:vAlign w:val="center"/>
          </w:tcPr>
          <w:p w14:paraId="5E03611E" w14:textId="77777777" w:rsidR="001317C2" w:rsidRDefault="00A42E3D">
            <w:pPr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 xml:space="preserve">Não foi encontrada neste certame nenhuma ocorrência de risco, </w:t>
            </w:r>
            <w:r>
              <w:rPr>
                <w:rFonts w:ascii="Verdana" w:hAnsi="Verdana" w:cs="Calibri"/>
                <w:sz w:val="16"/>
                <w:szCs w:val="16"/>
              </w:rPr>
              <w:t>podendo assim seguir seus trâmites legais.</w:t>
            </w:r>
          </w:p>
        </w:tc>
      </w:tr>
      <w:tr w:rsidR="001317C2" w14:paraId="49CE88CE" w14:textId="77777777">
        <w:trPr>
          <w:trHeight w:val="53"/>
        </w:trPr>
        <w:tc>
          <w:tcPr>
            <w:tcW w:w="1312" w:type="dxa"/>
            <w:gridSpan w:val="2"/>
            <w:shd w:val="clear" w:color="auto" w:fill="auto"/>
          </w:tcPr>
          <w:p w14:paraId="32F817C1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Responsável:</w:t>
            </w:r>
          </w:p>
        </w:tc>
        <w:tc>
          <w:tcPr>
            <w:tcW w:w="5146" w:type="dxa"/>
            <w:gridSpan w:val="3"/>
            <w:shd w:val="clear" w:color="auto" w:fill="auto"/>
          </w:tcPr>
          <w:p w14:paraId="72B415C9" w14:textId="77777777" w:rsidR="001317C2" w:rsidRDefault="001317C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01B4B596" w14:textId="05B36F93" w:rsidR="001317C2" w:rsidRDefault="00F11CA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Carolina Warmling Ghislandi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0CA6EED2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Cargo:</w:t>
            </w:r>
          </w:p>
        </w:tc>
        <w:tc>
          <w:tcPr>
            <w:tcW w:w="2561" w:type="dxa"/>
            <w:shd w:val="clear" w:color="auto" w:fill="auto"/>
            <w:vAlign w:val="center"/>
          </w:tcPr>
          <w:p w14:paraId="7B24B206" w14:textId="763DF2C4" w:rsidR="001317C2" w:rsidRDefault="00F11CA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Secretária de Cultura, Esporte e Turismo</w:t>
            </w:r>
          </w:p>
        </w:tc>
      </w:tr>
      <w:tr w:rsidR="001317C2" w14:paraId="084C86ED" w14:textId="77777777">
        <w:trPr>
          <w:trHeight w:val="53"/>
        </w:trPr>
        <w:tc>
          <w:tcPr>
            <w:tcW w:w="1312" w:type="dxa"/>
            <w:gridSpan w:val="2"/>
            <w:shd w:val="clear" w:color="auto" w:fill="auto"/>
          </w:tcPr>
          <w:p w14:paraId="1363227A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Assinatura:</w:t>
            </w:r>
          </w:p>
        </w:tc>
        <w:tc>
          <w:tcPr>
            <w:tcW w:w="5146" w:type="dxa"/>
            <w:gridSpan w:val="3"/>
            <w:shd w:val="clear" w:color="auto" w:fill="auto"/>
          </w:tcPr>
          <w:p w14:paraId="5D2E5B6A" w14:textId="77777777" w:rsidR="001317C2" w:rsidRDefault="001317C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  <w:p w14:paraId="5675DB15" w14:textId="77777777" w:rsidR="001317C2" w:rsidRDefault="001317C2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762" w:type="dxa"/>
            <w:shd w:val="clear" w:color="auto" w:fill="auto"/>
            <w:vAlign w:val="center"/>
          </w:tcPr>
          <w:p w14:paraId="02628BD9" w14:textId="77777777" w:rsidR="001317C2" w:rsidRDefault="00A42E3D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Data:</w:t>
            </w:r>
          </w:p>
        </w:tc>
        <w:tc>
          <w:tcPr>
            <w:tcW w:w="2561" w:type="dxa"/>
            <w:shd w:val="clear" w:color="auto" w:fill="auto"/>
            <w:vAlign w:val="center"/>
          </w:tcPr>
          <w:p w14:paraId="199BC7CB" w14:textId="62DB7E65" w:rsidR="001317C2" w:rsidRDefault="00F11CA3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>
              <w:rPr>
                <w:rFonts w:ascii="Verdana" w:hAnsi="Verdana" w:cs="Calibri"/>
                <w:sz w:val="16"/>
                <w:szCs w:val="16"/>
              </w:rPr>
              <w:t>21/03/2024</w:t>
            </w:r>
          </w:p>
        </w:tc>
      </w:tr>
    </w:tbl>
    <w:p w14:paraId="7AE0E3D9" w14:textId="77777777" w:rsidR="001317C2" w:rsidRDefault="001317C2"/>
    <w:sectPr w:rsidR="001317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EBF73" w14:textId="77777777" w:rsidR="001317C2" w:rsidRDefault="00A42E3D">
      <w:r>
        <w:separator/>
      </w:r>
    </w:p>
  </w:endnote>
  <w:endnote w:type="continuationSeparator" w:id="0">
    <w:p w14:paraId="33B91924" w14:textId="77777777" w:rsidR="001317C2" w:rsidRDefault="00A42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1ED0D" w14:textId="77777777" w:rsidR="001317C2" w:rsidRDefault="00A42E3D">
      <w:r>
        <w:separator/>
      </w:r>
    </w:p>
  </w:footnote>
  <w:footnote w:type="continuationSeparator" w:id="0">
    <w:p w14:paraId="403D3AAE" w14:textId="77777777" w:rsidR="001317C2" w:rsidRDefault="00A42E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AE3"/>
    <w:rsid w:val="001317C2"/>
    <w:rsid w:val="00161AE3"/>
    <w:rsid w:val="0017041B"/>
    <w:rsid w:val="005473A8"/>
    <w:rsid w:val="005B72E6"/>
    <w:rsid w:val="00A42E3D"/>
    <w:rsid w:val="00B23A33"/>
    <w:rsid w:val="00E25380"/>
    <w:rsid w:val="00F049AF"/>
    <w:rsid w:val="00F11CA3"/>
    <w:rsid w:val="1A081A45"/>
    <w:rsid w:val="1D312852"/>
    <w:rsid w:val="1FE02011"/>
    <w:rsid w:val="2D9B1977"/>
    <w:rsid w:val="349456AC"/>
    <w:rsid w:val="796C5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678C6"/>
  <w15:docId w15:val="{F9E41345-75FC-474A-8161-902BAC86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qFormat/>
    <w:rsid w:val="00F11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810</Words>
  <Characters>4379</Characters>
  <Application>Microsoft Office Word</Application>
  <DocSecurity>0</DocSecurity>
  <Lines>36</Lines>
  <Paragraphs>10</Paragraphs>
  <ScaleCrop>false</ScaleCrop>
  <Company/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Leonardo Gava</cp:lastModifiedBy>
  <cp:revision>2</cp:revision>
  <cp:lastPrinted>2024-01-30T18:34:00Z</cp:lastPrinted>
  <dcterms:created xsi:type="dcterms:W3CDTF">2024-03-21T13:31:00Z</dcterms:created>
  <dcterms:modified xsi:type="dcterms:W3CDTF">2024-03-21T13:31:00Z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6F55B8862D124FF4A36C2A34F0B7EBCD_13</vt:lpwstr>
  </property>
</Properties>
</file>