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1.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288" w:after="288"/>
        <w:ind w:right="-1134"/>
        <w:jc w:val="center"/>
        <w:rPr>
          <w:rFonts w:ascii="Arial Narrow" w:hAnsi="Arial Narrow"/>
          <w:b/>
          <w:bCs/>
          <w:sz w:val="24"/>
          <w:szCs w:val="24"/>
          <w:u w:val="single"/>
        </w:rPr>
      </w:pPr>
      <w:r>
        <w:rPr>
          <w:rFonts w:ascii="Arial Narrow" w:hAnsi="Arial Narrow"/>
          <w:b/>
          <w:bCs/>
          <w:sz w:val="24"/>
          <w:szCs w:val="24"/>
          <w:u w:val="single"/>
        </w:rPr>
      </w:r>
    </w:p>
    <w:p>
      <w:pPr>
        <w:pStyle w:val="Normal"/>
        <w:rPr>
          <w:rFonts w:eastAsia="" w:eastAsiaTheme="minorEastAsia"/>
          <w:highlight w:val="none"/>
          <w:shd w:fill="auto" w:val="clear"/>
        </w:rPr>
      </w:pPr>
      <w:r>
        <w:rPr>
          <w:rFonts w:eastAsia="" w:cs="Arial" w:ascii="Arial Narrow" w:hAnsi="Arial Narrow" w:eastAsiaTheme="minorEastAsia"/>
          <w:b/>
          <w:bCs/>
          <w:sz w:val="24"/>
          <w:szCs w:val="24"/>
          <w:shd w:fill="auto" w:val="clear"/>
        </w:rPr>
        <w:t xml:space="preserve">CONCORRÊNCIA </w:t>
      </w:r>
      <w:r>
        <w:rPr>
          <w:rFonts w:eastAsia="" w:cs="Arial" w:ascii="Arial Narrow" w:hAnsi="Arial Narrow" w:eastAsiaTheme="minorEastAsia"/>
          <w:b/>
          <w:bCs/>
          <w:sz w:val="24"/>
          <w:szCs w:val="24"/>
          <w:shd w:fill="auto" w:val="clear"/>
        </w:rPr>
        <w:t>ELETRÔNICA</w:t>
      </w:r>
      <w:r>
        <w:rPr>
          <w:rFonts w:eastAsia="" w:cs="Arial" w:ascii="Arial Narrow" w:hAnsi="Arial Narrow" w:eastAsiaTheme="minorEastAsia"/>
          <w:i/>
          <w:iCs/>
          <w:sz w:val="24"/>
          <w:szCs w:val="24"/>
          <w:shd w:fill="auto" w:val="clear"/>
        </w:rPr>
        <w:t xml:space="preserve"> 01/2024</w:t>
      </w:r>
    </w:p>
    <w:p>
      <w:pPr>
        <w:pStyle w:val="Normal"/>
        <w:spacing w:lineRule="auto" w:line="259"/>
        <w:rPr>
          <w:rFonts w:ascii="Arial Narrow" w:hAnsi="Arial Narrow" w:cs="Arial"/>
          <w:b/>
          <w:bCs/>
          <w:sz w:val="24"/>
          <w:szCs w:val="24"/>
        </w:rPr>
      </w:pPr>
      <w:r>
        <w:rPr>
          <w:rFonts w:cs="Arial" w:ascii="Arial Narrow" w:hAnsi="Arial Narrow"/>
          <w:b/>
          <w:bCs/>
          <w:sz w:val="24"/>
          <w:szCs w:val="24"/>
        </w:rPr>
      </w:r>
    </w:p>
    <w:p>
      <w:pPr>
        <w:pStyle w:val="Normal"/>
        <w:spacing w:lineRule="auto" w:line="259"/>
        <w:rPr>
          <w:sz w:val="24"/>
          <w:szCs w:val="24"/>
        </w:rPr>
      </w:pPr>
      <w:r>
        <w:rPr>
          <w:rFonts w:cs="Arial" w:ascii="Arial Narrow" w:hAnsi="Arial Narrow"/>
          <w:b/>
          <w:bCs/>
          <w:sz w:val="24"/>
          <w:szCs w:val="24"/>
        </w:rPr>
        <w:t>CONTRATANTE</w:t>
      </w:r>
    </w:p>
    <w:p>
      <w:pPr>
        <w:pStyle w:val="Normal"/>
        <w:rPr>
          <w:sz w:val="24"/>
          <w:szCs w:val="24"/>
        </w:rPr>
      </w:pPr>
      <w:r>
        <w:rPr>
          <w:rFonts w:ascii="Arial Narrow" w:hAnsi="Arial Narrow"/>
          <w:bCs/>
          <w:sz w:val="24"/>
          <w:szCs w:val="24"/>
        </w:rPr>
        <w:t>MUNICÍPIO DE SANTA ROSA DE LIMA</w:t>
      </w:r>
    </w:p>
    <w:p>
      <w:pPr>
        <w:pStyle w:val="Normal"/>
        <w:rPr>
          <w:rFonts w:ascii="Arial Narrow" w:hAnsi="Arial Narrow" w:cs="Arial"/>
          <w:b/>
          <w:bCs/>
          <w:sz w:val="24"/>
          <w:szCs w:val="24"/>
        </w:rPr>
      </w:pPr>
      <w:r>
        <w:rPr>
          <w:rFonts w:cs="Arial" w:ascii="Arial Narrow" w:hAnsi="Arial Narrow"/>
          <w:b/>
          <w:bCs/>
          <w:sz w:val="24"/>
          <w:szCs w:val="24"/>
        </w:rPr>
      </w:r>
    </w:p>
    <w:p>
      <w:pPr>
        <w:pStyle w:val="Normal"/>
        <w:rPr>
          <w:sz w:val="24"/>
          <w:szCs w:val="24"/>
        </w:rPr>
      </w:pPr>
      <w:r>
        <w:rPr>
          <w:rFonts w:cs="Arial" w:ascii="Arial Narrow" w:hAnsi="Arial Narrow"/>
          <w:b/>
          <w:bCs/>
          <w:sz w:val="24"/>
          <w:szCs w:val="24"/>
        </w:rPr>
        <w:t>OBJETO</w:t>
      </w:r>
    </w:p>
    <w:p>
      <w:pPr>
        <w:pStyle w:val="BodyText"/>
        <w:spacing w:before="280" w:after="280"/>
        <w:jc w:val="both"/>
        <w:rPr>
          <w:sz w:val="24"/>
          <w:szCs w:val="24"/>
        </w:rPr>
      </w:pPr>
      <w:r>
        <w:rPr>
          <w:rFonts w:ascii="Arial Narrow" w:hAnsi="Arial Narrow"/>
          <w:b/>
          <w:sz w:val="24"/>
          <w:szCs w:val="24"/>
        </w:rPr>
        <w:t>“</w:t>
      </w:r>
      <w:r>
        <w:rPr>
          <w:rFonts w:eastAsia="Arial" w:cs="Arial" w:ascii="Arial" w:hAnsi="Arial"/>
          <w:b/>
          <w:bCs/>
          <w:color w:val="000000"/>
          <w:sz w:val="24"/>
          <w:szCs w:val="24"/>
          <w:shd w:fill="FFFFFF" w:val="clear"/>
        </w:rPr>
        <w:t>CONCESSÃO PARA EXPLORAÇÃO DE UM ESPAÇO FÍSICO CONHECIDA COMO BAR/LANCHONETE DO GINÁSIO EDSON BENZ DE OLIVEIRA FILHO DO MUNICÍPIO DE SANTA ROSA DE LIMA/SC</w:t>
      </w:r>
      <w:r>
        <w:rPr>
          <w:rFonts w:ascii="Arial Narrow" w:hAnsi="Arial Narrow"/>
          <w:b/>
          <w:sz w:val="24"/>
          <w:szCs w:val="24"/>
        </w:rPr>
        <w:t>”</w:t>
      </w:r>
    </w:p>
    <w:p>
      <w:pPr>
        <w:pStyle w:val="Normal"/>
        <w:rPr>
          <w:rFonts w:ascii="Arial Narrow" w:hAnsi="Arial Narrow" w:cs="Arial"/>
          <w:sz w:val="24"/>
          <w:szCs w:val="24"/>
        </w:rPr>
      </w:pPr>
      <w:r>
        <w:rPr>
          <w:rFonts w:cs="Arial" w:ascii="Arial Narrow" w:hAnsi="Arial Narrow"/>
          <w:sz w:val="24"/>
          <w:szCs w:val="24"/>
        </w:rPr>
      </w:r>
    </w:p>
    <w:p>
      <w:pPr>
        <w:pStyle w:val="Normal"/>
        <w:rPr>
          <w:sz w:val="24"/>
          <w:szCs w:val="24"/>
        </w:rPr>
      </w:pPr>
      <w:r>
        <w:rPr>
          <w:rFonts w:cs="Arial" w:ascii="Arial Narrow" w:hAnsi="Arial Narrow"/>
          <w:b/>
          <w:bCs/>
          <w:sz w:val="24"/>
          <w:szCs w:val="24"/>
        </w:rPr>
        <w:t>VALOR TOTAL ESTIMADO DA OUTORGA/CONTRATAÇÃO</w:t>
      </w:r>
    </w:p>
    <w:p>
      <w:pPr>
        <w:pStyle w:val="Normal"/>
        <w:rPr>
          <w:sz w:val="24"/>
          <w:szCs w:val="24"/>
        </w:rPr>
      </w:pPr>
      <w:r>
        <w:rPr>
          <w:rFonts w:cs="Arial" w:ascii="Arial Narrow" w:hAnsi="Arial Narrow"/>
          <w:sz w:val="24"/>
          <w:szCs w:val="24"/>
        </w:rPr>
        <w:t>R$ 9.000,00 (nove mil reais)</w:t>
      </w:r>
    </w:p>
    <w:p>
      <w:pPr>
        <w:pStyle w:val="Normal"/>
        <w:rPr>
          <w:rFonts w:ascii="Arial Narrow" w:hAnsi="Arial Narrow" w:eastAsia="" w:cs="Arial" w:eastAsiaTheme="minorEastAsia"/>
          <w:sz w:val="24"/>
          <w:szCs w:val="24"/>
          <w:highlight w:val="none"/>
          <w:shd w:fill="auto" w:val="clear"/>
        </w:rPr>
      </w:pPr>
      <w:r>
        <w:rPr>
          <w:rFonts w:eastAsia="" w:cs="Arial" w:eastAsiaTheme="minorEastAsia" w:ascii="Arial Narrow" w:hAnsi="Arial Narrow"/>
          <w:sz w:val="24"/>
          <w:szCs w:val="24"/>
          <w:shd w:fill="auto" w:val="clear"/>
        </w:rPr>
      </w:r>
    </w:p>
    <w:p>
      <w:pPr>
        <w:pStyle w:val="Normal"/>
        <w:rPr>
          <w:rFonts w:eastAsia="" w:eastAsiaTheme="minorEastAsia"/>
          <w:highlight w:val="none"/>
          <w:shd w:fill="auto" w:val="clear"/>
        </w:rPr>
      </w:pPr>
      <w:r>
        <w:rPr>
          <w:rFonts w:eastAsia="" w:cs="Arial" w:ascii="Arial Narrow" w:hAnsi="Arial Narrow" w:eastAsiaTheme="minorEastAsia"/>
          <w:b/>
          <w:bCs/>
          <w:sz w:val="24"/>
          <w:szCs w:val="24"/>
          <w:shd w:fill="auto" w:val="clear"/>
        </w:rPr>
        <w:t>DATA DA SESSÃO PÚBLICA</w:t>
      </w:r>
    </w:p>
    <w:p>
      <w:pPr>
        <w:pStyle w:val="Normal"/>
        <w:rPr>
          <w:rFonts w:eastAsia="" w:eastAsiaTheme="minorEastAsia"/>
          <w:highlight w:val="none"/>
          <w:shd w:fill="auto" w:val="clear"/>
        </w:rPr>
      </w:pPr>
      <w:r>
        <w:rPr>
          <w:rFonts w:eastAsia="" w:cs="Arial" w:ascii="Arial Narrow" w:hAnsi="Arial Narrow" w:eastAsiaTheme="minorEastAsia"/>
          <w:sz w:val="24"/>
          <w:szCs w:val="24"/>
          <w:shd w:fill="auto" w:val="clear"/>
        </w:rPr>
        <w:t>Dia 09/05/202 as 09:01 h (horário de Brasília)</w:t>
      </w:r>
    </w:p>
    <w:p>
      <w:pPr>
        <w:pStyle w:val="Normal"/>
        <w:rPr>
          <w:rFonts w:ascii="Arial Narrow" w:hAnsi="Arial Narrow" w:cs="Arial"/>
          <w:b/>
          <w:bCs/>
          <w:sz w:val="24"/>
          <w:szCs w:val="24"/>
        </w:rPr>
      </w:pPr>
      <w:r>
        <w:rPr>
          <w:rFonts w:cs="Arial" w:ascii="Arial Narrow" w:hAnsi="Arial Narrow"/>
          <w:b/>
          <w:bCs/>
          <w:sz w:val="24"/>
          <w:szCs w:val="24"/>
        </w:rPr>
      </w:r>
    </w:p>
    <w:p>
      <w:pPr>
        <w:pStyle w:val="Normal"/>
        <w:jc w:val="both"/>
        <w:rPr>
          <w:sz w:val="24"/>
          <w:szCs w:val="24"/>
        </w:rPr>
      </w:pPr>
      <w:r>
        <w:rPr>
          <w:rFonts w:cs="Arial" w:ascii="Arial Narrow" w:hAnsi="Arial Narrow"/>
          <w:b/>
          <w:bCs/>
          <w:caps/>
          <w:sz w:val="24"/>
          <w:szCs w:val="24"/>
        </w:rPr>
        <w:t>Critério de Julgamento:</w:t>
      </w:r>
    </w:p>
    <w:p>
      <w:pPr>
        <w:pStyle w:val="Normal"/>
        <w:jc w:val="both"/>
        <w:rPr>
          <w:sz w:val="24"/>
          <w:szCs w:val="24"/>
        </w:rPr>
      </w:pPr>
      <w:r>
        <w:rPr>
          <w:rFonts w:cs="Arial" w:ascii="Arial Narrow" w:hAnsi="Arial Narrow"/>
          <w:sz w:val="24"/>
          <w:szCs w:val="24"/>
        </w:rPr>
        <w:t>MAIOR VALOR/MAIOR LANCE</w:t>
      </w:r>
    </w:p>
    <w:p>
      <w:pPr>
        <w:pStyle w:val="Normal"/>
        <w:jc w:val="both"/>
        <w:rPr>
          <w:rFonts w:ascii="Arial Narrow" w:hAnsi="Arial Narrow" w:cs="Arial"/>
          <w:b/>
          <w:bCs/>
          <w:caps/>
          <w:sz w:val="24"/>
          <w:szCs w:val="24"/>
        </w:rPr>
      </w:pPr>
      <w:r>
        <w:rPr>
          <w:rFonts w:cs="Arial" w:ascii="Arial Narrow" w:hAnsi="Arial Narrow"/>
          <w:b/>
          <w:bCs/>
          <w:caps/>
          <w:sz w:val="24"/>
          <w:szCs w:val="24"/>
        </w:rPr>
      </w:r>
    </w:p>
    <w:p>
      <w:pPr>
        <w:pStyle w:val="Normal"/>
        <w:jc w:val="both"/>
        <w:rPr>
          <w:sz w:val="24"/>
          <w:szCs w:val="24"/>
        </w:rPr>
      </w:pPr>
      <w:r>
        <w:rPr>
          <w:rFonts w:cs="Arial" w:ascii="Arial Narrow" w:hAnsi="Arial Narrow"/>
          <w:b/>
          <w:bCs/>
          <w:caps/>
          <w:sz w:val="24"/>
          <w:szCs w:val="24"/>
        </w:rPr>
        <w:t>Modo de disputa:</w:t>
      </w:r>
    </w:p>
    <w:p>
      <w:pPr>
        <w:pStyle w:val="Normal"/>
        <w:jc w:val="both"/>
        <w:rPr>
          <w:sz w:val="24"/>
          <w:szCs w:val="24"/>
        </w:rPr>
      </w:pPr>
      <w:r>
        <w:rPr>
          <w:rFonts w:cs="Arial" w:ascii="Arial Narrow" w:hAnsi="Arial Narrow"/>
          <w:sz w:val="24"/>
          <w:szCs w:val="24"/>
        </w:rPr>
        <w:t xml:space="preserve">ABERTO </w:t>
      </w:r>
    </w:p>
    <w:p>
      <w:pPr>
        <w:pStyle w:val="Normal"/>
        <w:jc w:val="both"/>
        <w:rPr>
          <w:rFonts w:ascii="Arial Narrow" w:hAnsi="Arial Narrow" w:cs="Arial"/>
          <w:sz w:val="24"/>
          <w:szCs w:val="24"/>
        </w:rPr>
      </w:pPr>
      <w:r>
        <w:rPr>
          <w:rFonts w:cs="Arial" w:ascii="Arial Narrow" w:hAnsi="Arial Narrow"/>
          <w:sz w:val="24"/>
          <w:szCs w:val="24"/>
        </w:rPr>
      </w:r>
    </w:p>
    <w:p>
      <w:pPr>
        <w:pStyle w:val="Normal"/>
        <w:rPr>
          <w:sz w:val="24"/>
          <w:szCs w:val="24"/>
        </w:rPr>
      </w:pPr>
      <w:r>
        <w:rPr>
          <w:rFonts w:cs="Arial" w:ascii="Arial Narrow" w:hAnsi="Arial Narrow"/>
          <w:b/>
          <w:bCs/>
          <w:sz w:val="24"/>
          <w:szCs w:val="24"/>
        </w:rPr>
        <w:t>PREFERÊNCIA ME/EPP/EQUIPARADAS</w:t>
      </w:r>
    </w:p>
    <w:p>
      <w:pPr>
        <w:pStyle w:val="Normal"/>
        <w:rPr>
          <w:sz w:val="24"/>
          <w:szCs w:val="24"/>
        </w:rPr>
      </w:pPr>
      <w:r>
        <w:rPr>
          <w:rFonts w:cs="Arial" w:ascii="Arial Narrow" w:hAnsi="Arial Narrow"/>
          <w:sz w:val="24"/>
          <w:szCs w:val="24"/>
        </w:rPr>
        <w:t>SIM</w:t>
      </w:r>
    </w:p>
    <w:p>
      <w:pPr>
        <w:pStyle w:val="Normal"/>
        <w:rPr>
          <w:rFonts w:ascii="Arial Narrow" w:hAnsi="Arial Narrow" w:cs="Arial"/>
          <w:sz w:val="24"/>
          <w:szCs w:val="24"/>
        </w:rPr>
      </w:pPr>
      <w:r>
        <w:rPr>
          <w:rFonts w:cs="Arial" w:ascii="Arial Narrow" w:hAnsi="Arial Narrow"/>
          <w:sz w:val="24"/>
          <w:szCs w:val="24"/>
        </w:rPr>
      </w:r>
    </w:p>
    <w:p>
      <w:pPr>
        <w:pStyle w:val="Normal"/>
        <w:rPr>
          <w:rFonts w:ascii="Arial Narrow" w:hAnsi="Arial Narrow" w:cs="Arial"/>
          <w:sz w:val="24"/>
          <w:szCs w:val="24"/>
        </w:rPr>
      </w:pPr>
      <w:r>
        <w:rPr>
          <w:rFonts w:cs="Arial" w:ascii="Arial Narrow" w:hAnsi="Arial Narrow"/>
          <w:sz w:val="24"/>
          <w:szCs w:val="24"/>
        </w:rPr>
      </w:r>
    </w:p>
    <w:p>
      <w:pPr>
        <w:pStyle w:val="Normal"/>
        <w:rPr>
          <w:rFonts w:ascii="Arial Narrow" w:hAnsi="Arial Narrow" w:cs="Arial"/>
          <w:sz w:val="24"/>
          <w:szCs w:val="24"/>
        </w:rPr>
      </w:pPr>
      <w:r>
        <w:rPr>
          <w:rFonts w:cs="Arial" w:ascii="Arial Narrow" w:hAnsi="Arial Narrow"/>
          <w:sz w:val="24"/>
          <w:szCs w:val="24"/>
        </w:rPr>
      </w:r>
    </w:p>
    <w:p>
      <w:pPr>
        <w:pStyle w:val="Normal"/>
        <w:rPr>
          <w:rFonts w:ascii="Arial Narrow" w:hAnsi="Arial Narrow" w:cs="Arial"/>
          <w:sz w:val="24"/>
          <w:szCs w:val="24"/>
        </w:rPr>
      </w:pPr>
      <w:r>
        <w:rPr>
          <w:rFonts w:cs="Arial" w:ascii="Arial Narrow" w:hAnsi="Arial Narrow"/>
          <w:sz w:val="24"/>
          <w:szCs w:val="24"/>
        </w:rPr>
      </w:r>
    </w:p>
    <w:p>
      <w:pPr>
        <w:pStyle w:val="Normal"/>
        <w:rPr>
          <w:rFonts w:ascii="Arial Narrow" w:hAnsi="Arial Narrow" w:cs="Arial"/>
          <w:sz w:val="24"/>
          <w:szCs w:val="24"/>
        </w:rPr>
      </w:pPr>
      <w:r>
        <w:rPr>
          <w:rFonts w:cs="Arial" w:ascii="Arial Narrow" w:hAnsi="Arial Narrow"/>
          <w:sz w:val="24"/>
          <w:szCs w:val="24"/>
        </w:rPr>
      </w:r>
    </w:p>
    <w:p>
      <w:pPr>
        <w:pStyle w:val="Normal"/>
        <w:rPr>
          <w:rFonts w:ascii="Arial Narrow" w:hAnsi="Arial Narrow" w:cs="Arial"/>
          <w:sz w:val="24"/>
          <w:szCs w:val="24"/>
        </w:rPr>
      </w:pPr>
      <w:r>
        <w:rPr>
          <w:rFonts w:cs="Arial" w:ascii="Arial Narrow" w:hAnsi="Arial Narrow"/>
          <w:sz w:val="24"/>
          <w:szCs w:val="24"/>
        </w:rPr>
      </w:r>
    </w:p>
    <w:p>
      <w:pPr>
        <w:pStyle w:val="Normal"/>
        <w:rPr>
          <w:rFonts w:ascii="Arial Narrow" w:hAnsi="Arial Narrow" w:cs="Arial"/>
          <w:sz w:val="24"/>
          <w:szCs w:val="24"/>
        </w:rPr>
      </w:pPr>
      <w:r>
        <w:rPr>
          <w:rFonts w:cs="Arial" w:ascii="Arial Narrow" w:hAnsi="Arial Narrow"/>
          <w:sz w:val="24"/>
          <w:szCs w:val="24"/>
        </w:rPr>
      </w:r>
    </w:p>
    <w:p>
      <w:pPr>
        <w:pStyle w:val="Normal"/>
        <w:rPr>
          <w:rFonts w:ascii="Arial Narrow" w:hAnsi="Arial Narrow" w:cs="Arial"/>
          <w:sz w:val="24"/>
          <w:szCs w:val="24"/>
        </w:rPr>
      </w:pPr>
      <w:r>
        <w:rPr>
          <w:rFonts w:cs="Arial" w:ascii="Arial Narrow" w:hAnsi="Arial Narrow"/>
          <w:sz w:val="24"/>
          <w:szCs w:val="24"/>
        </w:rPr>
      </w:r>
    </w:p>
    <w:p>
      <w:pPr>
        <w:pStyle w:val="Normal"/>
        <w:rPr>
          <w:rFonts w:ascii="Arial Narrow" w:hAnsi="Arial Narrow" w:cs="Arial"/>
          <w:sz w:val="24"/>
          <w:szCs w:val="24"/>
        </w:rPr>
      </w:pPr>
      <w:r>
        <w:rPr>
          <w:rFonts w:cs="Arial" w:ascii="Arial Narrow" w:hAnsi="Arial Narrow"/>
          <w:sz w:val="24"/>
          <w:szCs w:val="24"/>
        </w:rPr>
      </w:r>
    </w:p>
    <w:p>
      <w:pPr>
        <w:pStyle w:val="Normal"/>
        <w:spacing w:lineRule="auto" w:line="312" w:before="288" w:after="288"/>
        <w:jc w:val="center"/>
        <w:rPr>
          <w:rFonts w:ascii="Arial Narrow" w:hAnsi="Arial Narrow"/>
          <w:b/>
          <w:sz w:val="24"/>
          <w:szCs w:val="24"/>
        </w:rPr>
      </w:pPr>
      <w:r>
        <w:rPr>
          <w:rFonts w:ascii="Arial Narrow" w:hAnsi="Arial Narrow"/>
          <w:b/>
          <w:sz w:val="24"/>
          <w:szCs w:val="24"/>
        </w:rPr>
      </w:r>
    </w:p>
    <w:p>
      <w:pPr>
        <w:pStyle w:val="Normal"/>
        <w:spacing w:lineRule="auto" w:line="312" w:before="288" w:after="288"/>
        <w:jc w:val="center"/>
        <w:rPr>
          <w:rFonts w:ascii="Arial Narrow" w:hAnsi="Arial Narrow"/>
          <w:b/>
          <w:sz w:val="24"/>
          <w:szCs w:val="24"/>
        </w:rPr>
      </w:pPr>
      <w:r>
        <w:rPr>
          <w:rFonts w:ascii="Arial Narrow" w:hAnsi="Arial Narrow"/>
          <w:b/>
          <w:sz w:val="24"/>
          <w:szCs w:val="24"/>
        </w:rPr>
      </w:r>
    </w:p>
    <w:p>
      <w:pPr>
        <w:pStyle w:val="Normal"/>
        <w:spacing w:lineRule="auto" w:line="312" w:before="288" w:after="288"/>
        <w:jc w:val="center"/>
        <w:rPr>
          <w:rFonts w:ascii="Arial Narrow" w:hAnsi="Arial Narrow"/>
          <w:b/>
          <w:sz w:val="24"/>
          <w:szCs w:val="24"/>
        </w:rPr>
      </w:pPr>
      <w:r>
        <w:rPr>
          <w:rFonts w:ascii="Arial Narrow" w:hAnsi="Arial Narrow"/>
          <w:b/>
          <w:sz w:val="24"/>
          <w:szCs w:val="24"/>
        </w:rPr>
      </w:r>
    </w:p>
    <w:p>
      <w:pPr>
        <w:pStyle w:val="Normal"/>
        <w:spacing w:lineRule="auto" w:line="312" w:before="288" w:after="288"/>
        <w:jc w:val="center"/>
        <w:rPr>
          <w:rFonts w:ascii="Arial Narrow" w:hAnsi="Arial Narrow"/>
          <w:b/>
          <w:sz w:val="24"/>
          <w:szCs w:val="24"/>
        </w:rPr>
      </w:pPr>
      <w:r>
        <w:rPr>
          <w:rFonts w:ascii="Arial Narrow" w:hAnsi="Arial Narrow"/>
          <w:b/>
          <w:sz w:val="24"/>
          <w:szCs w:val="24"/>
        </w:rPr>
      </w:r>
    </w:p>
    <w:p>
      <w:pPr>
        <w:pStyle w:val="Normal"/>
        <w:spacing w:lineRule="auto" w:line="312" w:before="288" w:after="288"/>
        <w:jc w:val="center"/>
        <w:rPr>
          <w:rFonts w:ascii="Arial Narrow" w:hAnsi="Arial Narrow"/>
          <w:b/>
          <w:sz w:val="24"/>
          <w:szCs w:val="24"/>
        </w:rPr>
      </w:pPr>
      <w:r>
        <w:rPr>
          <w:rFonts w:ascii="Arial Narrow" w:hAnsi="Arial Narrow"/>
          <w:b/>
          <w:sz w:val="24"/>
          <w:szCs w:val="24"/>
        </w:rPr>
      </w:r>
    </w:p>
    <w:p>
      <w:pPr>
        <w:pStyle w:val="Normal"/>
        <w:spacing w:lineRule="auto" w:line="312" w:before="288" w:after="288"/>
        <w:jc w:val="center"/>
        <w:rPr>
          <w:sz w:val="24"/>
          <w:szCs w:val="24"/>
        </w:rPr>
      </w:pPr>
      <w:r>
        <w:rPr>
          <w:rFonts w:ascii="Arial Narrow" w:hAnsi="Arial Narrow"/>
          <w:b/>
          <w:sz w:val="24"/>
          <w:szCs w:val="24"/>
        </w:rPr>
        <w:t xml:space="preserve">PREFEITURA MUNICIPAL DE SANTA ROSA DE LIMA </w:t>
      </w:r>
    </w:p>
    <w:p>
      <w:pPr>
        <w:pStyle w:val="Normal"/>
        <w:spacing w:lineRule="auto" w:line="312" w:before="288" w:after="288"/>
        <w:jc w:val="center"/>
        <w:rPr>
          <w:rFonts w:eastAsia="" w:eastAsiaTheme="minorEastAsia"/>
          <w:highlight w:val="none"/>
          <w:shd w:fill="auto" w:val="clear"/>
        </w:rPr>
      </w:pPr>
      <w:r>
        <w:rPr>
          <w:rFonts w:eastAsia="" w:cs="Arial" w:ascii="Arial Narrow" w:hAnsi="Arial Narrow" w:eastAsiaTheme="minorEastAsia"/>
          <w:b/>
          <w:sz w:val="24"/>
          <w:szCs w:val="24"/>
          <w:shd w:fill="auto" w:val="clear"/>
        </w:rPr>
        <w:t>CONCORRÊNCIA ELETRÔNICA Nº 01/2024</w:t>
      </w:r>
    </w:p>
    <w:p>
      <w:pPr>
        <w:pStyle w:val="Normal"/>
        <w:snapToGrid w:val="false"/>
        <w:spacing w:lineRule="auto" w:line="276" w:before="288" w:after="288"/>
        <w:jc w:val="both"/>
        <w:rPr>
          <w:sz w:val="24"/>
          <w:szCs w:val="24"/>
        </w:rPr>
      </w:pPr>
      <w:r>
        <w:rPr>
          <w:rFonts w:eastAsia="Times New Roman" w:cs="Arial" w:ascii="Arial Narrow" w:hAnsi="Arial Narrow"/>
          <w:sz w:val="24"/>
          <w:szCs w:val="24"/>
        </w:rPr>
        <w:t xml:space="preserve">O </w:t>
      </w:r>
      <w:r>
        <w:rPr>
          <w:rFonts w:eastAsia="Times New Roman" w:cs="Arial" w:ascii="Arial Narrow" w:hAnsi="Arial Narrow"/>
          <w:b/>
          <w:bCs/>
          <w:sz w:val="24"/>
          <w:szCs w:val="24"/>
        </w:rPr>
        <w:t>MUNICÍPIO DE SANTA ROSA DE LIMA</w:t>
      </w:r>
      <w:r>
        <w:rPr>
          <w:rFonts w:eastAsia="Times New Roman" w:cs="Arial" w:ascii="Arial Narrow" w:hAnsi="Arial Narrow"/>
          <w:sz w:val="24"/>
          <w:szCs w:val="24"/>
        </w:rPr>
        <w:t xml:space="preserve">, sediado na Rua 10 de Maio, 80, centro, Santa Rosa de Lima - SC, torna público que realizará licitação, na modalidade </w:t>
      </w:r>
      <w:r>
        <w:rPr>
          <w:rFonts w:eastAsia="Times New Roman" w:cs="Arial" w:ascii="Arial Narrow" w:hAnsi="Arial Narrow"/>
          <w:b/>
          <w:bCs/>
          <w:sz w:val="24"/>
          <w:szCs w:val="24"/>
        </w:rPr>
        <w:t>CONCORRÊNCIA</w:t>
      </w:r>
      <w:r>
        <w:rPr>
          <w:rFonts w:eastAsia="Times New Roman" w:cs="Arial" w:ascii="Arial Narrow" w:hAnsi="Arial Narrow"/>
          <w:sz w:val="24"/>
          <w:szCs w:val="24"/>
        </w:rPr>
        <w:t xml:space="preserve">, na forma </w:t>
      </w:r>
      <w:r>
        <w:rPr>
          <w:rFonts w:eastAsia="Times New Roman" w:cs="Arial" w:ascii="Arial Narrow" w:hAnsi="Arial Narrow"/>
          <w:b/>
          <w:bCs/>
          <w:sz w:val="24"/>
          <w:szCs w:val="24"/>
        </w:rPr>
        <w:t>ELETRÔNICA</w:t>
      </w:r>
      <w:r>
        <w:rPr>
          <w:rFonts w:eastAsia="Times New Roman" w:cs="Arial" w:ascii="Arial Narrow" w:hAnsi="Arial Narrow"/>
          <w:sz w:val="24"/>
          <w:szCs w:val="24"/>
        </w:rPr>
        <w:t>, nos termos da Lei nº 14.133, de 2021, do Decreto Municipal nº 231/2023 e alterações posteriores, Lei Municipal nº 3509/2022 e alterações posteriores, Decreto Municipal nº 81/2023 e 82/2023 e alterações posteriores, e demais legislações aplicáveis e, ainda, de acordo com as condições estabelecidas neste Edital.</w:t>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cPr>
          <w:p>
            <w:pPr>
              <w:pStyle w:val="Normal"/>
              <w:widowControl/>
              <w:suppressAutoHyphens w:val="true"/>
              <w:snapToGrid w:val="false"/>
              <w:spacing w:lineRule="auto" w:line="276" w:before="288" w:after="288"/>
              <w:jc w:val="both"/>
              <w:rPr>
                <w:rFonts w:eastAsia="" w:eastAsiaTheme="minorEastAsia"/>
                <w:highlight w:val="none"/>
                <w:shd w:fill="auto" w:val="clear"/>
              </w:rPr>
            </w:pPr>
            <w:r>
              <w:rPr>
                <w:rFonts w:eastAsia="Times New Roman" w:cs="Arial" w:ascii="Arial Narrow" w:hAnsi="Arial Narrow"/>
                <w:kern w:val="0"/>
                <w:sz w:val="24"/>
                <w:szCs w:val="24"/>
                <w:shd w:fill="auto" w:val="clear"/>
                <w:lang w:val="pt-BR" w:bidi="ar-SA"/>
              </w:rPr>
              <w:t>DATA LIMITE PARA PEDIDOS DE ESCLARECIMENTO: 06/05/2024 as 09:00 h</w:t>
            </w:r>
          </w:p>
          <w:p>
            <w:pPr>
              <w:pStyle w:val="Normal"/>
              <w:widowControl/>
              <w:suppressAutoHyphens w:val="true"/>
              <w:snapToGrid w:val="false"/>
              <w:spacing w:lineRule="auto" w:line="276" w:before="288" w:after="288"/>
              <w:jc w:val="both"/>
              <w:rPr>
                <w:rFonts w:eastAsia="" w:eastAsiaTheme="minorEastAsia"/>
                <w:highlight w:val="none"/>
                <w:shd w:fill="auto" w:val="clear"/>
              </w:rPr>
            </w:pPr>
            <w:r>
              <w:rPr>
                <w:rFonts w:eastAsia="Times New Roman" w:cs="Arial" w:ascii="Arial Narrow" w:hAnsi="Arial Narrow"/>
                <w:kern w:val="0"/>
                <w:sz w:val="24"/>
                <w:szCs w:val="24"/>
                <w:shd w:fill="auto" w:val="clear"/>
                <w:lang w:val="pt-BR" w:bidi="ar-SA"/>
              </w:rPr>
              <w:t>DATA LIMITE PARA PEDIDOS DE IMPUGNAÇÃO: 06/05/2024 as 09:00 h</w:t>
            </w:r>
          </w:p>
          <w:p>
            <w:pPr>
              <w:pStyle w:val="Normal"/>
              <w:widowControl/>
              <w:suppressAutoHyphens w:val="true"/>
              <w:snapToGrid w:val="false"/>
              <w:spacing w:lineRule="auto" w:line="276" w:before="288" w:after="288"/>
              <w:jc w:val="both"/>
              <w:rPr>
                <w:rFonts w:eastAsia="" w:eastAsiaTheme="minorEastAsia"/>
                <w:highlight w:val="none"/>
                <w:shd w:fill="auto" w:val="clear"/>
              </w:rPr>
            </w:pPr>
            <w:r>
              <w:rPr>
                <w:rFonts w:eastAsia="Times New Roman" w:cs="Arial" w:ascii="Arial Narrow" w:hAnsi="Arial Narrow"/>
                <w:kern w:val="0"/>
                <w:sz w:val="24"/>
                <w:szCs w:val="24"/>
                <w:shd w:fill="auto" w:val="clear"/>
                <w:lang w:val="pt-BR" w:bidi="ar-SA"/>
              </w:rPr>
              <w:t>DATA FINAL DO RECEBIMENTO DE PROPOSTAS: 09/05/2024 as 08:30 h</w:t>
            </w:r>
          </w:p>
          <w:p>
            <w:pPr>
              <w:pStyle w:val="Normal"/>
              <w:widowControl/>
              <w:suppressAutoHyphens w:val="true"/>
              <w:snapToGrid w:val="false"/>
              <w:spacing w:lineRule="auto" w:line="276" w:before="288" w:after="288"/>
              <w:jc w:val="both"/>
              <w:rPr>
                <w:rFonts w:eastAsia="" w:eastAsiaTheme="minorEastAsia"/>
                <w:highlight w:val="none"/>
                <w:shd w:fill="auto" w:val="clear"/>
              </w:rPr>
            </w:pPr>
            <w:r>
              <w:rPr>
                <w:rFonts w:eastAsia="Times New Roman" w:cs="Arial" w:ascii="Arial Narrow" w:hAnsi="Arial Narrow"/>
                <w:kern w:val="0"/>
                <w:sz w:val="24"/>
                <w:szCs w:val="24"/>
                <w:shd w:fill="auto" w:val="clear"/>
                <w:lang w:val="pt-BR" w:bidi="ar-SA"/>
              </w:rPr>
              <w:t>ABERTURA DA SESSÃO PÚBLICA ELETRÔNICA: 09/05/2024 as 09:01 h</w:t>
            </w:r>
          </w:p>
        </w:tc>
      </w:tr>
    </w:tbl>
    <w:p>
      <w:pPr>
        <w:pStyle w:val="Nivel01"/>
        <w:numPr>
          <w:ilvl w:val="0"/>
          <w:numId w:val="1"/>
        </w:numPr>
        <w:ind w:hanging="0" w:left="0"/>
        <w:rPr>
          <w:sz w:val="24"/>
          <w:szCs w:val="24"/>
        </w:rPr>
      </w:pPr>
      <w:bookmarkStart w:id="0" w:name="_Toc135469195"/>
      <w:r>
        <w:rPr>
          <w:rFonts w:ascii="Arial Narrow" w:hAnsi="Arial Narrow"/>
          <w:sz w:val="24"/>
          <w:szCs w:val="24"/>
          <w:lang w:eastAsia="en-US"/>
        </w:rPr>
        <w:t xml:space="preserve">DO </w:t>
      </w:r>
      <w:r>
        <w:rPr>
          <w:rFonts w:ascii="Arial Narrow" w:hAnsi="Arial Narrow"/>
          <w:sz w:val="24"/>
          <w:szCs w:val="24"/>
        </w:rPr>
        <w:t>OBJETO</w:t>
      </w:r>
      <w:bookmarkEnd w:id="0"/>
    </w:p>
    <w:p>
      <w:pPr>
        <w:pStyle w:val="Nivel2"/>
        <w:numPr>
          <w:ilvl w:val="1"/>
          <w:numId w:val="7"/>
        </w:numPr>
        <w:rPr>
          <w:sz w:val="24"/>
          <w:szCs w:val="24"/>
        </w:rPr>
      </w:pPr>
      <w:r>
        <w:rPr>
          <w:rFonts w:ascii="Arial Narrow" w:hAnsi="Arial Narrow"/>
          <w:sz w:val="24"/>
          <w:szCs w:val="24"/>
        </w:rPr>
        <w:t xml:space="preserve">O </w:t>
      </w:r>
      <w:r>
        <w:rPr>
          <w:rFonts w:ascii="Arial Narrow" w:hAnsi="Arial Narrow"/>
          <w:color w:val="auto"/>
          <w:sz w:val="24"/>
          <w:szCs w:val="24"/>
        </w:rPr>
        <w:t xml:space="preserve">objeto da presente licitação é a </w:t>
      </w:r>
      <w:r>
        <w:rPr>
          <w:rFonts w:eastAsia="Arial" w:cs="Arial"/>
          <w:b/>
          <w:bCs/>
          <w:color w:val="000000"/>
          <w:sz w:val="24"/>
          <w:szCs w:val="24"/>
          <w:shd w:fill="FFFFFF" w:val="clear"/>
        </w:rPr>
        <w:t>CONCESSÃO PARA EXPLORAÇÃO DE UM ESPAÇO FÍSICO CONHECIDA COMO BAR/LANCHONETE DO GINÁSIO EDSON BENZ DE OLIVEIRA FILHO DO MUNICÍPIO DE SANTA ROSA DE LIMA/SC</w:t>
      </w:r>
      <w:r>
        <w:rPr>
          <w:rFonts w:ascii="Arial Narrow" w:hAnsi="Arial Narrow"/>
          <w:color w:val="auto"/>
          <w:sz w:val="24"/>
          <w:szCs w:val="24"/>
        </w:rPr>
        <w:t>, conforme condições, quantidades e exigências estabelecidas neste Edital e seus anexos.</w:t>
      </w:r>
    </w:p>
    <w:p>
      <w:pPr>
        <w:pStyle w:val="Nvel2-Red"/>
        <w:numPr>
          <w:ilvl w:val="1"/>
          <w:numId w:val="7"/>
        </w:numPr>
        <w:rPr>
          <w:sz w:val="24"/>
          <w:szCs w:val="24"/>
        </w:rPr>
      </w:pPr>
      <w:r>
        <w:rPr>
          <w:rFonts w:ascii="Arial Narrow" w:hAnsi="Arial Narrow"/>
          <w:i w:val="false"/>
          <w:iCs w:val="false"/>
          <w:color w:val="auto"/>
          <w:sz w:val="24"/>
          <w:szCs w:val="24"/>
        </w:rPr>
        <w:t>A licitação será realizada em único item.</w:t>
      </w:r>
    </w:p>
    <w:p>
      <w:pPr>
        <w:pStyle w:val="Nivel01"/>
        <w:numPr>
          <w:ilvl w:val="0"/>
          <w:numId w:val="7"/>
        </w:numPr>
        <w:ind w:hanging="0" w:left="0"/>
        <w:rPr>
          <w:sz w:val="24"/>
          <w:szCs w:val="24"/>
        </w:rPr>
      </w:pPr>
      <w:bookmarkStart w:id="1" w:name="_Toc135469197"/>
      <w:r>
        <w:rPr>
          <w:rFonts w:ascii="Arial Narrow" w:hAnsi="Arial Narrow"/>
          <w:sz w:val="24"/>
          <w:szCs w:val="24"/>
        </w:rPr>
        <w:t>DA PARTICIPAÇÃO NA LICITAÇÃO</w:t>
      </w:r>
      <w:bookmarkEnd w:id="1"/>
    </w:p>
    <w:p>
      <w:pPr>
        <w:pStyle w:val="Nivel2"/>
        <w:numPr>
          <w:ilvl w:val="1"/>
          <w:numId w:val="7"/>
        </w:numPr>
        <w:ind w:hanging="0" w:left="0"/>
        <w:rPr>
          <w:sz w:val="24"/>
          <w:szCs w:val="24"/>
        </w:rPr>
      </w:pPr>
      <w:r>
        <w:rPr>
          <w:rFonts w:ascii="Arial Narrow" w:hAnsi="Arial Narrow"/>
          <w:color w:val="auto"/>
          <w:sz w:val="24"/>
          <w:szCs w:val="24"/>
        </w:rPr>
        <w:t>Poderão participar do certame todos os interessados que atuem no ramo e atividade pertinente ao objeto da contratação, que preencherem as condições constantes deste Edital</w:t>
      </w:r>
      <w:r>
        <w:rPr>
          <w:rFonts w:ascii="Arial Narrow" w:hAnsi="Arial Narrow"/>
          <w:sz w:val="24"/>
          <w:szCs w:val="24"/>
        </w:rPr>
        <w:t>.</w:t>
      </w:r>
    </w:p>
    <w:p>
      <w:pPr>
        <w:pStyle w:val="Nivel3"/>
        <w:numPr>
          <w:ilvl w:val="2"/>
          <w:numId w:val="7"/>
        </w:numPr>
        <w:ind w:hanging="0" w:left="284"/>
        <w:rPr/>
      </w:pPr>
      <w:r>
        <w:rPr>
          <w:rFonts w:ascii="Arial Narrow" w:hAnsi="Arial Narrow"/>
          <w:color w:val="auto"/>
          <w:sz w:val="24"/>
          <w:szCs w:val="24"/>
        </w:rPr>
        <w:t xml:space="preserve">A participação se dará pela plataforma </w:t>
      </w:r>
      <w:r>
        <w:rPr>
          <w:rFonts w:ascii="Arial Narrow" w:hAnsi="Arial Narrow"/>
          <w:color w:val="auto"/>
          <w:sz w:val="24"/>
          <w:szCs w:val="24"/>
        </w:rPr>
        <w:t xml:space="preserve">Jundo ao Órgão provedor do sistema </w:t>
      </w:r>
      <w:r>
        <w:rPr>
          <w:rFonts w:ascii="Arial Narrow" w:hAnsi="Arial Narrow"/>
          <w:b/>
          <w:bCs/>
          <w:color w:val="auto"/>
          <w:sz w:val="24"/>
          <w:szCs w:val="24"/>
          <w:u w:val="single"/>
        </w:rPr>
        <w:t>www.bll.org.br</w:t>
      </w:r>
      <w:r>
        <w:rPr>
          <w:rFonts w:ascii="Arial Narrow" w:hAnsi="Arial Narrow"/>
          <w:color w:val="auto"/>
          <w:sz w:val="24"/>
          <w:szCs w:val="24"/>
        </w:rPr>
        <w:t xml:space="preserve">. </w:t>
      </w:r>
    </w:p>
    <w:p>
      <w:pPr>
        <w:pStyle w:val="Nivel2"/>
        <w:numPr>
          <w:ilvl w:val="1"/>
          <w:numId w:val="7"/>
        </w:numPr>
        <w:ind w:hanging="0" w:left="0"/>
        <w:rPr>
          <w:sz w:val="24"/>
          <w:szCs w:val="24"/>
        </w:rPr>
      </w:pPr>
      <w:r>
        <w:rPr>
          <w:rFonts w:ascii="Arial Narrow" w:hAnsi="Arial Narrow"/>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1"/>
          <w:numId w:val="7"/>
        </w:numPr>
        <w:ind w:hanging="0" w:left="0"/>
        <w:rPr>
          <w:sz w:val="24"/>
          <w:szCs w:val="24"/>
        </w:rPr>
      </w:pPr>
      <w:r>
        <w:rPr>
          <w:rFonts w:ascii="Arial Narrow" w:hAnsi="Arial Narrow"/>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1"/>
          <w:numId w:val="7"/>
        </w:numPr>
        <w:ind w:hanging="0" w:left="0"/>
        <w:rPr>
          <w:sz w:val="24"/>
          <w:szCs w:val="24"/>
        </w:rPr>
      </w:pPr>
      <w:r>
        <w:rPr>
          <w:rFonts w:ascii="Arial Narrow" w:hAnsi="Arial Narrow"/>
          <w:sz w:val="24"/>
          <w:szCs w:val="24"/>
        </w:rPr>
        <w:t>A não observância do disposto no item anterior poderá ensejar desclassificação no momento da habilitação.</w:t>
      </w:r>
    </w:p>
    <w:p>
      <w:pPr>
        <w:pStyle w:val="Nivel2"/>
        <w:numPr>
          <w:ilvl w:val="1"/>
          <w:numId w:val="7"/>
        </w:numPr>
        <w:ind w:hanging="0" w:left="0"/>
        <w:rPr/>
      </w:pPr>
      <w:r>
        <w:rPr>
          <w:rFonts w:ascii="Arial Narrow" w:hAnsi="Arial Narrow"/>
          <w:color w:val="auto"/>
          <w:sz w:val="24"/>
          <w:szCs w:val="24"/>
        </w:rPr>
        <w:t xml:space="preserve">Será concedido tratamento favorecido para as microempresas e empresas de pequeno porte, nos limites previstos da </w:t>
      </w:r>
      <w:hyperlink r:id="rId2">
        <w:r>
          <w:rPr>
            <w:rStyle w:val="Hyperlink"/>
            <w:rFonts w:ascii="Arial Narrow" w:hAnsi="Arial Narrow"/>
            <w:color w:val="auto"/>
            <w:sz w:val="24"/>
            <w:szCs w:val="24"/>
            <w:u w:val="none"/>
          </w:rPr>
          <w:t>Lei Complementar nº 123, de 2006</w:t>
        </w:r>
      </w:hyperlink>
      <w:r>
        <w:rPr>
          <w:rFonts w:ascii="Arial Narrow" w:hAnsi="Arial Narrow"/>
          <w:color w:val="auto"/>
          <w:sz w:val="24"/>
          <w:szCs w:val="24"/>
        </w:rPr>
        <w:t xml:space="preserve"> e do Decreto n.º 8.538, de 2015</w:t>
      </w:r>
      <w:r>
        <w:rPr>
          <w:color w:val="auto"/>
          <w:sz w:val="24"/>
          <w:szCs w:val="24"/>
        </w:rPr>
        <w:t>.</w:t>
      </w:r>
    </w:p>
    <w:p>
      <w:pPr>
        <w:pStyle w:val="Nivel2"/>
        <w:numPr>
          <w:ilvl w:val="1"/>
          <w:numId w:val="7"/>
        </w:numPr>
        <w:ind w:hanging="0" w:left="0"/>
        <w:rPr>
          <w:sz w:val="24"/>
          <w:szCs w:val="24"/>
        </w:rPr>
      </w:pPr>
      <w:bookmarkStart w:id="2" w:name="_Ref117000692"/>
      <w:r>
        <w:rPr>
          <w:rFonts w:ascii="Arial Narrow" w:hAnsi="Arial Narrow"/>
          <w:sz w:val="24"/>
          <w:szCs w:val="24"/>
        </w:rPr>
        <w:t>Não poderão disputar esta licitação:</w:t>
      </w:r>
      <w:bookmarkEnd w:id="2"/>
    </w:p>
    <w:p>
      <w:pPr>
        <w:pStyle w:val="Nivel3"/>
        <w:numPr>
          <w:ilvl w:val="2"/>
          <w:numId w:val="7"/>
        </w:numPr>
        <w:ind w:hanging="0" w:left="284"/>
        <w:rPr>
          <w:sz w:val="24"/>
          <w:szCs w:val="24"/>
        </w:rPr>
      </w:pPr>
      <w:r>
        <w:rPr>
          <w:rFonts w:ascii="Arial Narrow" w:hAnsi="Arial Narrow"/>
          <w:sz w:val="24"/>
          <w:szCs w:val="24"/>
        </w:rPr>
        <w:t>aquele que não atenda às condições deste Edital e seu(s) anexo(s);</w:t>
      </w:r>
    </w:p>
    <w:p>
      <w:pPr>
        <w:pStyle w:val="Nivel3"/>
        <w:numPr>
          <w:ilvl w:val="2"/>
          <w:numId w:val="7"/>
        </w:numPr>
        <w:ind w:hanging="0" w:left="284"/>
        <w:rPr>
          <w:sz w:val="24"/>
          <w:szCs w:val="24"/>
        </w:rPr>
      </w:pPr>
      <w:bookmarkStart w:id="3" w:name="_Ref114659912"/>
      <w:bookmarkStart w:id="4" w:name="_Ref113883338"/>
      <w:r>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3"/>
      <w:bookmarkEnd w:id="4"/>
    </w:p>
    <w:p>
      <w:pPr>
        <w:pStyle w:val="Nivel3"/>
        <w:numPr>
          <w:ilvl w:val="2"/>
          <w:numId w:val="7"/>
        </w:numPr>
        <w:ind w:hanging="0" w:left="284"/>
        <w:rPr>
          <w:sz w:val="24"/>
          <w:szCs w:val="24"/>
        </w:rPr>
      </w:pPr>
      <w:bookmarkStart w:id="5" w:name="_Ref113883339"/>
      <w:bookmarkStart w:id="6" w:name="_Ref114659913"/>
      <w:r>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Pr>
          <w:rFonts w:ascii="Arial Narrow" w:hAnsi="Arial Narrow"/>
          <w:sz w:val="24"/>
          <w:szCs w:val="24"/>
        </w:rPr>
        <w:t xml:space="preserve"> </w:t>
      </w:r>
      <w:bookmarkEnd w:id="5"/>
    </w:p>
    <w:p>
      <w:pPr>
        <w:pStyle w:val="Nivel3"/>
        <w:numPr>
          <w:ilvl w:val="2"/>
          <w:numId w:val="7"/>
        </w:numPr>
        <w:ind w:hanging="0" w:left="284"/>
        <w:rPr>
          <w:sz w:val="24"/>
          <w:szCs w:val="24"/>
        </w:rPr>
      </w:pPr>
      <w:bookmarkStart w:id="7" w:name="_Ref113883003"/>
      <w:r>
        <w:rPr>
          <w:rFonts w:ascii="Arial Narrow" w:hAnsi="Arial Narrow"/>
          <w:sz w:val="24"/>
          <w:szCs w:val="24"/>
        </w:rPr>
        <w:t>pessoa física ou jurídica que se encontre, ao tempo da licitação, impossibilitada de participar da licitação em decorrência de sanção que lhe foi imposta;</w:t>
      </w:r>
      <w:bookmarkEnd w:id="7"/>
    </w:p>
    <w:p>
      <w:pPr>
        <w:pStyle w:val="Nivel3"/>
        <w:numPr>
          <w:ilvl w:val="2"/>
          <w:numId w:val="7"/>
        </w:numPr>
        <w:ind w:hanging="0" w:left="284"/>
        <w:rPr>
          <w:sz w:val="24"/>
          <w:szCs w:val="24"/>
        </w:rPr>
      </w:pPr>
      <w:r>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2"/>
          <w:numId w:val="7"/>
        </w:numPr>
        <w:ind w:hanging="0" w:left="284"/>
        <w:rPr>
          <w:sz w:val="24"/>
          <w:szCs w:val="24"/>
        </w:rPr>
      </w:pPr>
      <w:bookmarkStart w:id="8" w:name="_Ref113883579"/>
      <w:r>
        <w:rPr>
          <w:rFonts w:ascii="Arial Narrow" w:hAnsi="Arial Narrow"/>
          <w:sz w:val="24"/>
          <w:szCs w:val="24"/>
        </w:rPr>
        <w:t>empresas controladoras, controladas ou coligadas, nos termos da Lei nº 6.404, de 15 de dezembro de 1976, concorrendo entre si;</w:t>
      </w:r>
      <w:bookmarkEnd w:id="8"/>
    </w:p>
    <w:p>
      <w:pPr>
        <w:pStyle w:val="Nivel3"/>
        <w:numPr>
          <w:ilvl w:val="2"/>
          <w:numId w:val="7"/>
        </w:numPr>
        <w:ind w:hanging="0" w:left="284"/>
        <w:rPr>
          <w:sz w:val="24"/>
          <w:szCs w:val="24"/>
        </w:rPr>
      </w:pPr>
      <w:r>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2"/>
          <w:numId w:val="7"/>
        </w:numPr>
        <w:ind w:hanging="0" w:left="284"/>
        <w:rPr>
          <w:sz w:val="24"/>
          <w:szCs w:val="24"/>
        </w:rPr>
      </w:pPr>
      <w:bookmarkStart w:id="9" w:name="_Ref113962336"/>
      <w:r>
        <w:rPr>
          <w:rFonts w:ascii="Arial Narrow" w:hAnsi="Arial Narrow"/>
          <w:sz w:val="24"/>
          <w:szCs w:val="24"/>
        </w:rPr>
        <w:t>agente público do órgão ou entidade licitante;</w:t>
      </w:r>
      <w:bookmarkEnd w:id="9"/>
    </w:p>
    <w:p>
      <w:pPr>
        <w:pStyle w:val="Nvel3-R"/>
        <w:numPr>
          <w:ilvl w:val="2"/>
          <w:numId w:val="7"/>
        </w:numPr>
        <w:ind w:hanging="0" w:left="284"/>
        <w:rPr>
          <w:sz w:val="24"/>
          <w:szCs w:val="24"/>
        </w:rPr>
      </w:pPr>
      <w:r>
        <w:rPr>
          <w:rFonts w:ascii="Arial Narrow" w:hAnsi="Arial Narrow"/>
          <w:i w:val="false"/>
          <w:iCs w:val="false"/>
          <w:color w:val="auto"/>
          <w:sz w:val="24"/>
          <w:szCs w:val="24"/>
        </w:rPr>
        <w:t>pessoas jurídicas reunidas em consórcio ou cooperativas;</w:t>
      </w:r>
    </w:p>
    <w:p>
      <w:pPr>
        <w:pStyle w:val="Nivel3"/>
        <w:numPr>
          <w:ilvl w:val="2"/>
          <w:numId w:val="7"/>
        </w:numPr>
        <w:ind w:hanging="0" w:left="284"/>
        <w:rPr>
          <w:sz w:val="24"/>
          <w:szCs w:val="24"/>
        </w:rPr>
      </w:pPr>
      <w:r>
        <w:rPr>
          <w:rFonts w:ascii="Arial Narrow" w:hAnsi="Arial Narrow"/>
          <w:sz w:val="24"/>
          <w:szCs w:val="24"/>
        </w:rPr>
        <w:t>Organizações da Sociedade Civil de Interesse Público - OSCIP, atuando nessa condição;</w:t>
      </w:r>
    </w:p>
    <w:p>
      <w:pPr>
        <w:pStyle w:val="Nivel3"/>
        <w:numPr>
          <w:ilvl w:val="2"/>
          <w:numId w:val="7"/>
        </w:numPr>
        <w:ind w:hanging="0" w:left="284"/>
        <w:rPr>
          <w:sz w:val="24"/>
          <w:szCs w:val="24"/>
        </w:rPr>
      </w:pPr>
      <w:r>
        <w:rPr>
          <w:rFonts w:ascii="Arial Narrow" w:hAnsi="Arial Narrow"/>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pPr>
        <w:pStyle w:val="Nivel2"/>
        <w:numPr>
          <w:ilvl w:val="1"/>
          <w:numId w:val="7"/>
        </w:numPr>
        <w:ind w:hanging="0" w:left="0"/>
        <w:rPr>
          <w:sz w:val="24"/>
          <w:szCs w:val="24"/>
        </w:rPr>
      </w:pPr>
      <w:r>
        <w:rPr>
          <w:rFonts w:ascii="Arial Narrow" w:hAnsi="Arial Narrow"/>
          <w:sz w:val="24"/>
          <w:szCs w:val="24"/>
        </w:rPr>
        <w:t xml:space="preserve">O impedimento de que trata o item </w:t>
      </w:r>
      <w:r>
        <w:rPr>
          <w:rFonts w:ascii="Arial Narrow" w:hAnsi="Arial Narrow"/>
          <w:sz w:val="24"/>
          <w:szCs w:val="24"/>
        </w:rPr>
        <w:fldChar w:fldCharType="begin"/>
      </w:r>
      <w:r>
        <w:rPr>
          <w:sz w:val="24"/>
          <w:szCs w:val="24"/>
          <w:rFonts w:ascii="Arial Narrow" w:hAnsi="Arial Narrow"/>
        </w:rPr>
        <w:instrText xml:space="preserve"> REF _Ref113883003 \r \h </w:instrText>
      </w:r>
      <w:r>
        <w:rPr>
          <w:sz w:val="24"/>
          <w:szCs w:val="24"/>
          <w:rFonts w:ascii="Arial Narrow" w:hAnsi="Arial Narrow"/>
        </w:rPr>
        <w:fldChar w:fldCharType="separate"/>
      </w:r>
      <w:r>
        <w:rPr>
          <w:sz w:val="24"/>
          <w:szCs w:val="24"/>
          <w:rFonts w:ascii="Arial Narrow" w:hAnsi="Arial Narrow"/>
        </w:rPr>
        <w:t>2.6.4</w:t>
      </w:r>
      <w:r>
        <w:rPr>
          <w:sz w:val="24"/>
          <w:szCs w:val="24"/>
          <w:rFonts w:ascii="Arial Narrow" w:hAnsi="Arial Narrow"/>
        </w:rPr>
        <w:fldChar w:fldCharType="end"/>
      </w:r>
      <w:r>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ivel2"/>
        <w:numPr>
          <w:ilvl w:val="1"/>
          <w:numId w:val="7"/>
        </w:numPr>
        <w:ind w:hanging="0" w:left="0"/>
        <w:rPr>
          <w:sz w:val="24"/>
          <w:szCs w:val="24"/>
        </w:rPr>
      </w:pPr>
      <w:bookmarkStart w:id="10" w:name="art14§2"/>
      <w:bookmarkEnd w:id="10"/>
      <w:r>
        <w:rPr>
          <w:rFonts w:ascii="Arial Narrow" w:hAnsi="Arial Narrow"/>
          <w:sz w:val="24"/>
          <w:szCs w:val="24"/>
        </w:rPr>
        <w:t xml:space="preserve">A critério da Administração e exclusivamente a seu serviço, o autor dos projetos e a empresa a que se referem os itens </w:t>
      </w:r>
      <w:r>
        <w:rPr>
          <w:rFonts w:ascii="Arial Narrow" w:hAnsi="Arial Narrow"/>
          <w:sz w:val="24"/>
          <w:szCs w:val="24"/>
        </w:rPr>
        <w:fldChar w:fldCharType="begin"/>
      </w:r>
      <w:r>
        <w:rPr>
          <w:sz w:val="24"/>
          <w:szCs w:val="24"/>
          <w:rFonts w:ascii="Arial Narrow" w:hAnsi="Arial Narrow"/>
        </w:rPr>
        <w:instrText xml:space="preserve"> REF _Ref114659912 \r \h </w:instrText>
      </w:r>
      <w:r>
        <w:rPr>
          <w:sz w:val="24"/>
          <w:szCs w:val="24"/>
          <w:rFonts w:ascii="Arial Narrow" w:hAnsi="Arial Narrow"/>
        </w:rPr>
        <w:fldChar w:fldCharType="separate"/>
      </w:r>
      <w:r>
        <w:rPr>
          <w:sz w:val="24"/>
          <w:szCs w:val="24"/>
          <w:rFonts w:ascii="Arial Narrow" w:hAnsi="Arial Narrow"/>
        </w:rPr>
        <w:t>2.6.2</w:t>
      </w:r>
      <w:r>
        <w:rPr>
          <w:sz w:val="24"/>
          <w:szCs w:val="24"/>
          <w:rFonts w:ascii="Arial Narrow" w:hAnsi="Arial Narrow"/>
        </w:rPr>
        <w:fldChar w:fldCharType="end"/>
      </w:r>
      <w:r>
        <w:rPr>
          <w:rFonts w:ascii="Arial Narrow" w:hAnsi="Arial Narrow"/>
          <w:sz w:val="24"/>
          <w:szCs w:val="24"/>
        </w:rPr>
        <w:t xml:space="preserve"> e </w:t>
      </w:r>
      <w:r>
        <w:rPr>
          <w:rFonts w:ascii="Arial Narrow" w:hAnsi="Arial Narrow"/>
          <w:sz w:val="24"/>
          <w:szCs w:val="24"/>
        </w:rPr>
        <w:fldChar w:fldCharType="begin"/>
      </w:r>
      <w:r>
        <w:rPr>
          <w:sz w:val="24"/>
          <w:szCs w:val="24"/>
          <w:rFonts w:ascii="Arial Narrow" w:hAnsi="Arial Narrow"/>
        </w:rPr>
        <w:instrText xml:space="preserve"> REF _Ref114659913 \r \h </w:instrText>
      </w:r>
      <w:r>
        <w:rPr>
          <w:sz w:val="24"/>
          <w:szCs w:val="24"/>
          <w:rFonts w:ascii="Arial Narrow" w:hAnsi="Arial Narrow"/>
        </w:rPr>
        <w:fldChar w:fldCharType="separate"/>
      </w:r>
      <w:r>
        <w:rPr>
          <w:sz w:val="24"/>
          <w:szCs w:val="24"/>
          <w:rFonts w:ascii="Arial Narrow" w:hAnsi="Arial Narrow"/>
        </w:rPr>
        <w:t>2.6.3</w:t>
      </w:r>
      <w:r>
        <w:rPr>
          <w:sz w:val="24"/>
          <w:szCs w:val="24"/>
          <w:rFonts w:ascii="Arial Narrow" w:hAnsi="Arial Narrow"/>
        </w:rPr>
        <w:fldChar w:fldCharType="end"/>
      </w:r>
      <w:r>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pPr>
        <w:pStyle w:val="Nivel2"/>
        <w:numPr>
          <w:ilvl w:val="1"/>
          <w:numId w:val="7"/>
        </w:numPr>
        <w:ind w:hanging="0" w:left="0"/>
        <w:rPr>
          <w:sz w:val="24"/>
          <w:szCs w:val="24"/>
        </w:rPr>
      </w:pPr>
      <w:bookmarkStart w:id="11" w:name="art14§3"/>
      <w:bookmarkEnd w:id="11"/>
      <w:r>
        <w:rPr>
          <w:rFonts w:ascii="Arial Narrow" w:hAnsi="Arial Narrow"/>
          <w:sz w:val="24"/>
          <w:szCs w:val="24"/>
        </w:rPr>
        <w:t>Equiparam-se aos autores do projeto as empresas integrantes do mesmo grupo econômico.</w:t>
      </w:r>
    </w:p>
    <w:p>
      <w:pPr>
        <w:pStyle w:val="Nivel2"/>
        <w:numPr>
          <w:ilvl w:val="1"/>
          <w:numId w:val="7"/>
        </w:numPr>
        <w:ind w:hanging="0" w:left="0"/>
        <w:rPr>
          <w:sz w:val="24"/>
          <w:szCs w:val="24"/>
        </w:rPr>
      </w:pPr>
      <w:bookmarkStart w:id="12" w:name="art14§4"/>
      <w:bookmarkEnd w:id="12"/>
      <w:r>
        <w:rPr>
          <w:rFonts w:ascii="Arial Narrow" w:hAnsi="Arial Narrow"/>
          <w:sz w:val="24"/>
          <w:szCs w:val="24"/>
        </w:rPr>
        <w:t xml:space="preserve">O disposto nos itens </w:t>
      </w:r>
      <w:r>
        <w:rPr>
          <w:rFonts w:ascii="Arial Narrow" w:hAnsi="Arial Narrow"/>
          <w:sz w:val="24"/>
          <w:szCs w:val="24"/>
        </w:rPr>
        <w:fldChar w:fldCharType="begin"/>
      </w:r>
      <w:r>
        <w:rPr>
          <w:sz w:val="24"/>
          <w:szCs w:val="24"/>
          <w:rFonts w:ascii="Arial Narrow" w:hAnsi="Arial Narrow"/>
        </w:rPr>
        <w:instrText xml:space="preserve"> REF _Ref114659912 \r \h </w:instrText>
      </w:r>
      <w:r>
        <w:rPr>
          <w:sz w:val="24"/>
          <w:szCs w:val="24"/>
          <w:rFonts w:ascii="Arial Narrow" w:hAnsi="Arial Narrow"/>
        </w:rPr>
        <w:fldChar w:fldCharType="separate"/>
      </w:r>
      <w:r>
        <w:rPr>
          <w:sz w:val="24"/>
          <w:szCs w:val="24"/>
          <w:rFonts w:ascii="Arial Narrow" w:hAnsi="Arial Narrow"/>
        </w:rPr>
        <w:t>2.6.2</w:t>
      </w:r>
      <w:r>
        <w:rPr>
          <w:sz w:val="24"/>
          <w:szCs w:val="24"/>
          <w:rFonts w:ascii="Arial Narrow" w:hAnsi="Arial Narrow"/>
        </w:rPr>
        <w:fldChar w:fldCharType="end"/>
      </w:r>
      <w:r>
        <w:rPr>
          <w:rFonts w:ascii="Arial Narrow" w:hAnsi="Arial Narrow"/>
          <w:sz w:val="24"/>
          <w:szCs w:val="24"/>
        </w:rPr>
        <w:t xml:space="preserve"> e </w:t>
      </w:r>
      <w:r>
        <w:rPr>
          <w:rFonts w:ascii="Arial Narrow" w:hAnsi="Arial Narrow"/>
          <w:sz w:val="24"/>
          <w:szCs w:val="24"/>
        </w:rPr>
        <w:fldChar w:fldCharType="begin"/>
      </w:r>
      <w:r>
        <w:rPr>
          <w:sz w:val="24"/>
          <w:szCs w:val="24"/>
          <w:rFonts w:ascii="Arial Narrow" w:hAnsi="Arial Narrow"/>
        </w:rPr>
        <w:instrText xml:space="preserve"> REF _Ref114659913 \r \h </w:instrText>
      </w:r>
      <w:r>
        <w:rPr>
          <w:sz w:val="24"/>
          <w:szCs w:val="24"/>
          <w:rFonts w:ascii="Arial Narrow" w:hAnsi="Arial Narrow"/>
        </w:rPr>
        <w:fldChar w:fldCharType="separate"/>
      </w:r>
      <w:r>
        <w:rPr>
          <w:sz w:val="24"/>
          <w:szCs w:val="24"/>
          <w:rFonts w:ascii="Arial Narrow" w:hAnsi="Arial Narrow"/>
        </w:rPr>
        <w:t>2.6.3</w:t>
      </w:r>
      <w:r>
        <w:rPr>
          <w:sz w:val="24"/>
          <w:szCs w:val="24"/>
          <w:rFonts w:ascii="Arial Narrow" w:hAnsi="Arial Narrow"/>
        </w:rPr>
        <w:fldChar w:fldCharType="end"/>
      </w:r>
      <w:r>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Nivel2"/>
        <w:numPr>
          <w:ilvl w:val="1"/>
          <w:numId w:val="7"/>
        </w:numPr>
        <w:ind w:hanging="0" w:left="0"/>
        <w:rPr>
          <w:sz w:val="24"/>
          <w:szCs w:val="24"/>
        </w:rPr>
      </w:pPr>
      <w:bookmarkStart w:id="13" w:name="art14§5"/>
      <w:bookmarkEnd w:id="13"/>
      <w:r>
        <w:rPr>
          <w:rFonts w:ascii="Arial Narrow" w:hAnsi="Arial Narrow"/>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Nivel2"/>
        <w:numPr>
          <w:ilvl w:val="1"/>
          <w:numId w:val="7"/>
        </w:numPr>
        <w:ind w:hanging="0" w:left="0"/>
        <w:rPr>
          <w:sz w:val="24"/>
          <w:szCs w:val="24"/>
        </w:rPr>
      </w:pPr>
      <w:r>
        <w:rPr>
          <w:rFonts w:ascii="Arial Narrow" w:hAnsi="Arial Narrow"/>
          <w:sz w:val="24"/>
          <w:szCs w:val="24"/>
        </w:rPr>
        <w:t xml:space="preserve">A vedação de que trata o item </w:t>
      </w:r>
      <w:r>
        <w:rPr>
          <w:rFonts w:ascii="Arial Narrow" w:hAnsi="Arial Narrow"/>
          <w:sz w:val="24"/>
          <w:szCs w:val="24"/>
        </w:rPr>
        <w:fldChar w:fldCharType="begin"/>
      </w:r>
      <w:r>
        <w:rPr>
          <w:sz w:val="24"/>
          <w:szCs w:val="24"/>
          <w:rFonts w:ascii="Arial Narrow" w:hAnsi="Arial Narrow"/>
        </w:rPr>
        <w:instrText xml:space="preserve"> REF _Ref113962336 \r \h </w:instrText>
      </w:r>
      <w:r>
        <w:rPr>
          <w:sz w:val="24"/>
          <w:szCs w:val="24"/>
          <w:rFonts w:ascii="Arial Narrow" w:hAnsi="Arial Narrow"/>
        </w:rPr>
        <w:fldChar w:fldCharType="separate"/>
      </w:r>
      <w:r>
        <w:rPr>
          <w:sz w:val="24"/>
          <w:szCs w:val="24"/>
          <w:rFonts w:ascii="Arial Narrow" w:hAnsi="Arial Narrow"/>
        </w:rPr>
        <w:t>2.6.8</w:t>
      </w:r>
      <w:r>
        <w:rPr>
          <w:sz w:val="24"/>
          <w:szCs w:val="24"/>
          <w:rFonts w:ascii="Arial Narrow" w:hAnsi="Arial Narrow"/>
        </w:rPr>
        <w:fldChar w:fldCharType="end"/>
      </w:r>
      <w:r>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pPr>
        <w:pStyle w:val="Nivel01"/>
        <w:numPr>
          <w:ilvl w:val="0"/>
          <w:numId w:val="7"/>
        </w:numPr>
        <w:ind w:hanging="0" w:left="0"/>
        <w:rPr>
          <w:sz w:val="24"/>
          <w:szCs w:val="24"/>
        </w:rPr>
      </w:pPr>
      <w:bookmarkStart w:id="14" w:name="_Toc135469198"/>
      <w:r>
        <w:rPr>
          <w:rFonts w:ascii="Arial Narrow" w:hAnsi="Arial Narrow"/>
          <w:sz w:val="24"/>
          <w:szCs w:val="24"/>
        </w:rPr>
        <w:t>DA APRESENTAÇÃO DA PROPOSTA E DOS DOCUMENTOS DE HABILITAÇÃO</w:t>
      </w:r>
      <w:bookmarkEnd w:id="14"/>
    </w:p>
    <w:p>
      <w:pPr>
        <w:pStyle w:val="Nvel2-Red"/>
        <w:numPr>
          <w:ilvl w:val="1"/>
          <w:numId w:val="7"/>
        </w:numPr>
        <w:ind w:hanging="0" w:left="0"/>
        <w:rPr>
          <w:sz w:val="24"/>
          <w:szCs w:val="24"/>
        </w:rPr>
      </w:pPr>
      <w:r>
        <w:rPr>
          <w:rFonts w:ascii="Arial Narrow" w:hAnsi="Arial Narrow"/>
          <w:i w:val="false"/>
          <w:iCs w:val="false"/>
          <w:color w:val="auto"/>
          <w:sz w:val="24"/>
          <w:szCs w:val="24"/>
        </w:rPr>
        <w:t>Na presente licitação, a fase de habilitação sucederá as fases de apresentação de propostas e lances e de julgamento.</w:t>
      </w:r>
    </w:p>
    <w:p>
      <w:pPr>
        <w:pStyle w:val="Nivel2"/>
        <w:numPr>
          <w:ilvl w:val="1"/>
          <w:numId w:val="7"/>
        </w:numPr>
        <w:ind w:hanging="0" w:left="0"/>
        <w:rPr>
          <w:sz w:val="24"/>
          <w:szCs w:val="24"/>
        </w:rPr>
      </w:pPr>
      <w:bookmarkStart w:id="15" w:name="_Ref113886867"/>
      <w:r>
        <w:rPr>
          <w:rFonts w:ascii="Arial Narrow" w:hAnsi="Arial Narrow"/>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5"/>
    </w:p>
    <w:p>
      <w:pPr>
        <w:pStyle w:val="Nivel2"/>
        <w:numPr>
          <w:ilvl w:val="1"/>
          <w:numId w:val="7"/>
        </w:numPr>
        <w:ind w:hanging="0" w:left="0"/>
        <w:rPr>
          <w:sz w:val="24"/>
          <w:szCs w:val="24"/>
        </w:rPr>
      </w:pPr>
      <w:bookmarkStart w:id="16" w:name="_Ref113968921"/>
      <w:r>
        <w:rPr>
          <w:rFonts w:ascii="Arial Narrow" w:hAnsi="Arial Narrow"/>
          <w:sz w:val="24"/>
          <w:szCs w:val="24"/>
        </w:rPr>
        <w:t>No cadastramento da proposta inicial, o licitante declarará, em campo próprio do sistema, que:</w:t>
      </w:r>
      <w:bookmarkEnd w:id="16"/>
    </w:p>
    <w:p>
      <w:pPr>
        <w:pStyle w:val="Nivel3"/>
        <w:numPr>
          <w:ilvl w:val="2"/>
          <w:numId w:val="7"/>
        </w:numPr>
        <w:ind w:hanging="0" w:left="284"/>
        <w:rPr>
          <w:sz w:val="24"/>
          <w:szCs w:val="24"/>
        </w:rPr>
      </w:pPr>
      <w:r>
        <w:rPr>
          <w:rFonts w:ascii="Arial Narrow" w:hAnsi="Arial Narrow"/>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ivel3"/>
        <w:numPr>
          <w:ilvl w:val="2"/>
          <w:numId w:val="7"/>
        </w:numPr>
        <w:ind w:hanging="0" w:left="284"/>
        <w:rPr>
          <w:sz w:val="24"/>
          <w:szCs w:val="24"/>
        </w:rPr>
      </w:pPr>
      <w:r>
        <w:rPr>
          <w:rFonts w:ascii="Arial Narrow" w:hAnsi="Arial Narrow"/>
          <w:sz w:val="24"/>
          <w:szCs w:val="24"/>
        </w:rPr>
        <w:t>não emprega menor de 18 anos em trabalho noturno, perigoso ou insalubre e não emprega menor de 16 anos, salvo menor, a partir de 14 anos, na condição de aprendiz, nos termos do artigo 7°, XXXIII, da Constituição;</w:t>
      </w:r>
    </w:p>
    <w:p>
      <w:pPr>
        <w:pStyle w:val="Nivel3"/>
        <w:numPr>
          <w:ilvl w:val="2"/>
          <w:numId w:val="7"/>
        </w:numPr>
        <w:ind w:hanging="0" w:left="284"/>
        <w:rPr>
          <w:sz w:val="24"/>
          <w:szCs w:val="24"/>
        </w:rPr>
      </w:pPr>
      <w:r>
        <w:rPr>
          <w:rFonts w:ascii="Arial Narrow" w:hAnsi="Arial Narrow"/>
          <w:sz w:val="24"/>
          <w:szCs w:val="24"/>
        </w:rPr>
        <w:t>não possui empregados executando trabalho degradante ou forçado, observando o disposto nos incisos III e IV do art. 1º e no inciso III do art. 5º da Constituição Federal;</w:t>
      </w:r>
    </w:p>
    <w:p>
      <w:pPr>
        <w:pStyle w:val="Nivel3"/>
        <w:numPr>
          <w:ilvl w:val="2"/>
          <w:numId w:val="7"/>
        </w:numPr>
        <w:ind w:hanging="0" w:left="284"/>
        <w:rPr>
          <w:sz w:val="24"/>
          <w:szCs w:val="24"/>
        </w:rPr>
      </w:pPr>
      <w:r>
        <w:rPr>
          <w:rFonts w:ascii="Arial Narrow" w:hAnsi="Arial Narrow"/>
          <w:sz w:val="24"/>
          <w:szCs w:val="24"/>
        </w:rPr>
        <w:t>cumpre as exigências de reserva de cargos para pessoa com deficiência e para reabilitado da Previdência Social, previstas em lei e em outras normas específicas.</w:t>
      </w:r>
    </w:p>
    <w:p>
      <w:pPr>
        <w:pStyle w:val="Nivel2"/>
        <w:numPr>
          <w:ilvl w:val="1"/>
          <w:numId w:val="7"/>
        </w:numPr>
        <w:ind w:hanging="0" w:left="0"/>
        <w:rPr>
          <w:sz w:val="24"/>
          <w:szCs w:val="24"/>
        </w:rPr>
      </w:pPr>
      <w:bookmarkStart w:id="17" w:name="_Ref117000019"/>
      <w:r>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17"/>
      <w:r>
        <w:rPr>
          <w:rFonts w:ascii="Arial Narrow" w:hAnsi="Arial Narrow"/>
          <w:sz w:val="24"/>
          <w:szCs w:val="24"/>
        </w:rPr>
        <w:t>arts. 42 a 49, observado o disposto nos §§ 1º ao 3º do art. 4º, da Lei n.º 14.133, de 2021.</w:t>
      </w:r>
    </w:p>
    <w:p>
      <w:pPr>
        <w:pStyle w:val="Nivel2"/>
        <w:numPr>
          <w:ilvl w:val="1"/>
          <w:numId w:val="7"/>
        </w:numPr>
        <w:ind w:hanging="0" w:left="0"/>
        <w:rPr>
          <w:sz w:val="24"/>
          <w:szCs w:val="24"/>
        </w:rPr>
      </w:pPr>
      <w:r>
        <w:rPr>
          <w:rFonts w:ascii="Arial Narrow" w:hAnsi="Arial Narrow"/>
          <w:sz w:val="24"/>
          <w:szCs w:val="24"/>
        </w:rPr>
        <w:t xml:space="preserve">A falsidade da declaração de que trata o item </w:t>
      </w:r>
      <w:r>
        <w:rPr>
          <w:rFonts w:ascii="Arial Narrow" w:hAnsi="Arial Narrow"/>
          <w:sz w:val="24"/>
          <w:szCs w:val="24"/>
        </w:rPr>
        <w:fldChar w:fldCharType="begin"/>
      </w:r>
      <w:r>
        <w:rPr>
          <w:sz w:val="24"/>
          <w:szCs w:val="24"/>
          <w:rFonts w:ascii="Arial Narrow" w:hAnsi="Arial Narrow"/>
        </w:rPr>
        <w:instrText xml:space="preserve"> REF _Ref113968921 \r \h </w:instrText>
      </w:r>
      <w:r>
        <w:rPr>
          <w:sz w:val="24"/>
          <w:szCs w:val="24"/>
          <w:rFonts w:ascii="Arial Narrow" w:hAnsi="Arial Narrow"/>
        </w:rPr>
        <w:fldChar w:fldCharType="separate"/>
      </w:r>
      <w:r>
        <w:rPr>
          <w:sz w:val="24"/>
          <w:szCs w:val="24"/>
          <w:rFonts w:ascii="Arial Narrow" w:hAnsi="Arial Narrow"/>
        </w:rPr>
        <w:t>3.3</w:t>
      </w:r>
      <w:r>
        <w:rPr>
          <w:sz w:val="24"/>
          <w:szCs w:val="24"/>
          <w:rFonts w:ascii="Arial Narrow" w:hAnsi="Arial Narrow"/>
        </w:rPr>
        <w:fldChar w:fldCharType="end"/>
      </w:r>
      <w:r>
        <w:rPr>
          <w:rFonts w:ascii="Arial Narrow" w:hAnsi="Arial Narrow"/>
          <w:sz w:val="24"/>
          <w:szCs w:val="24"/>
        </w:rPr>
        <w:t xml:space="preserve"> sujeitará o licitante às sanções previstas na Lei nº 14.133, de 2021, e neste Edital.</w:t>
      </w:r>
    </w:p>
    <w:p>
      <w:pPr>
        <w:pStyle w:val="Nivel2"/>
        <w:numPr>
          <w:ilvl w:val="1"/>
          <w:numId w:val="7"/>
        </w:numPr>
        <w:ind w:hanging="0" w:left="0"/>
        <w:rPr>
          <w:sz w:val="24"/>
          <w:szCs w:val="24"/>
        </w:rPr>
      </w:pPr>
      <w:r>
        <w:rPr>
          <w:rFonts w:ascii="Arial Narrow" w:hAnsi="Arial Narrow"/>
          <w:sz w:val="24"/>
          <w:szCs w:val="24"/>
        </w:rPr>
        <w:t>Os licitantes poderão retirar ou substituir a proposta até a abertura da sessão pública.</w:t>
      </w:r>
    </w:p>
    <w:p>
      <w:pPr>
        <w:pStyle w:val="Nivel2"/>
        <w:numPr>
          <w:ilvl w:val="1"/>
          <w:numId w:val="7"/>
        </w:numPr>
        <w:ind w:hanging="0" w:left="0"/>
        <w:rPr>
          <w:sz w:val="24"/>
          <w:szCs w:val="24"/>
        </w:rPr>
      </w:pPr>
      <w:r>
        <w:rPr>
          <w:rFonts w:ascii="Arial Narrow" w:hAnsi="Arial Narrow"/>
          <w:sz w:val="24"/>
          <w:szCs w:val="24"/>
        </w:rPr>
        <w:t>Não haverá ordem de classificação na etapa de apresentação da proposta, o que ocorrerá somente após os procedimentos de abertura da sessão pública e da fase de envio de lances.</w:t>
      </w:r>
    </w:p>
    <w:p>
      <w:pPr>
        <w:pStyle w:val="Nivel2"/>
        <w:numPr>
          <w:ilvl w:val="1"/>
          <w:numId w:val="7"/>
        </w:numPr>
        <w:ind w:hanging="0" w:left="0"/>
        <w:rPr>
          <w:sz w:val="24"/>
          <w:szCs w:val="24"/>
        </w:rPr>
      </w:pPr>
      <w:r>
        <w:rPr>
          <w:rFonts w:ascii="Arial Narrow" w:hAnsi="Arial Narrow"/>
          <w:sz w:val="24"/>
          <w:szCs w:val="24"/>
        </w:rPr>
        <w:t>Serão disponibilizados para acesso público os documentos que compõem a proposta dos licitantes convocados para apresentação de propostas, após a fase de envio de lances.</w:t>
      </w:r>
    </w:p>
    <w:p>
      <w:pPr>
        <w:pStyle w:val="Nivel2"/>
        <w:numPr>
          <w:ilvl w:val="1"/>
          <w:numId w:val="7"/>
        </w:numPr>
        <w:ind w:hanging="0" w:left="0"/>
        <w:rPr>
          <w:sz w:val="24"/>
          <w:szCs w:val="24"/>
        </w:rPr>
      </w:pPr>
      <w:bookmarkStart w:id="18" w:name="_Ref116992247"/>
      <w:r>
        <w:rPr>
          <w:rFonts w:ascii="Arial Narrow" w:hAnsi="Arial Narrow"/>
          <w:sz w:val="24"/>
          <w:szCs w:val="24"/>
        </w:rPr>
        <w:t>Desde que disponibilizada a funcionalidade no sistema, o licitante poderá parametrizar o seu valor final máximo quando do cadastramento da proposta e obedecerá às seguintes regras:</w:t>
      </w:r>
      <w:bookmarkEnd w:id="18"/>
    </w:p>
    <w:p>
      <w:pPr>
        <w:pStyle w:val="Nivel3"/>
        <w:numPr>
          <w:ilvl w:val="2"/>
          <w:numId w:val="7"/>
        </w:numPr>
        <w:ind w:hanging="0" w:left="284"/>
        <w:rPr>
          <w:sz w:val="24"/>
          <w:szCs w:val="24"/>
        </w:rPr>
      </w:pPr>
      <w:r>
        <w:rPr>
          <w:rFonts w:ascii="Arial Narrow" w:hAnsi="Arial Narrow"/>
          <w:sz w:val="24"/>
          <w:szCs w:val="24"/>
        </w:rPr>
        <w:t>a aplicação do intervalo mínimo de diferença de valores entre os lances, que incidirá tanto em relação aos lances intermediários quanto em relação ao lance que cobrir a melhor oferta; e</w:t>
      </w:r>
    </w:p>
    <w:p>
      <w:pPr>
        <w:pStyle w:val="Nivel3"/>
        <w:numPr>
          <w:ilvl w:val="2"/>
          <w:numId w:val="7"/>
        </w:numPr>
        <w:ind w:hanging="0" w:left="284"/>
        <w:rPr>
          <w:sz w:val="24"/>
          <w:szCs w:val="24"/>
        </w:rPr>
      </w:pPr>
      <w:r>
        <w:rPr>
          <w:rFonts w:ascii="Arial Narrow" w:hAnsi="Arial Narrow"/>
          <w:sz w:val="24"/>
          <w:szCs w:val="24"/>
        </w:rPr>
        <w:t>os lances serão de envio automático pelo sistema, respeitado o valor final máximo, caso estabelecido, e o intervalo de que trata o subitem acima.</w:t>
      </w:r>
    </w:p>
    <w:p>
      <w:pPr>
        <w:pStyle w:val="Nivel2"/>
        <w:numPr>
          <w:ilvl w:val="1"/>
          <w:numId w:val="7"/>
        </w:numPr>
        <w:ind w:hanging="0" w:left="0"/>
        <w:rPr>
          <w:sz w:val="24"/>
          <w:szCs w:val="24"/>
        </w:rPr>
      </w:pPr>
      <w:r>
        <w:rPr>
          <w:rFonts w:ascii="Arial Narrow" w:hAnsi="Arial Narrow"/>
          <w:sz w:val="24"/>
          <w:szCs w:val="24"/>
        </w:rPr>
        <w:t>O valor final máximo parametrizado no sistema poderá ser alterado pelo fornecedor durante a fase de disputa, sendo vedado:</w:t>
      </w:r>
    </w:p>
    <w:p>
      <w:pPr>
        <w:pStyle w:val="Nivel3"/>
        <w:numPr>
          <w:ilvl w:val="2"/>
          <w:numId w:val="7"/>
        </w:numPr>
        <w:ind w:hanging="0" w:left="284"/>
        <w:rPr>
          <w:sz w:val="24"/>
          <w:szCs w:val="24"/>
        </w:rPr>
      </w:pPr>
      <w:r>
        <w:rPr>
          <w:rFonts w:ascii="Arial Narrow" w:hAnsi="Arial Narrow"/>
          <w:sz w:val="24"/>
          <w:szCs w:val="24"/>
        </w:rPr>
        <w:t>valor inferior a lance já registrado pelo fornecedor no sistema.</w:t>
      </w:r>
    </w:p>
    <w:p>
      <w:pPr>
        <w:pStyle w:val="Nivel2"/>
        <w:numPr>
          <w:ilvl w:val="1"/>
          <w:numId w:val="7"/>
        </w:numPr>
        <w:ind w:hanging="0" w:left="0"/>
        <w:rPr>
          <w:sz w:val="24"/>
          <w:szCs w:val="24"/>
        </w:rPr>
      </w:pPr>
      <w:r>
        <w:rPr>
          <w:rFonts w:ascii="Arial Narrow" w:hAnsi="Arial Narrow"/>
          <w:sz w:val="24"/>
          <w:szCs w:val="24"/>
        </w:rPr>
        <w:t>O valor final máximo parametrizado possuirá caráter sigiloso para os demais fornecedores e para o órgão ou entidade promotora da licitação, podendo ser disponibilizado estrita e permanentemente aos órgãos de controle externo e interno.</w:t>
      </w:r>
    </w:p>
    <w:p>
      <w:pPr>
        <w:pStyle w:val="Nivel2"/>
        <w:numPr>
          <w:ilvl w:val="1"/>
          <w:numId w:val="7"/>
        </w:numPr>
        <w:ind w:hanging="0" w:left="0"/>
        <w:rPr>
          <w:sz w:val="24"/>
          <w:szCs w:val="24"/>
        </w:rPr>
      </w:pPr>
      <w:r>
        <w:rPr>
          <w:rFonts w:ascii="Arial Narrow" w:hAnsi="Arial Narrow"/>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Nivel2"/>
        <w:numPr>
          <w:ilvl w:val="1"/>
          <w:numId w:val="7"/>
        </w:numPr>
        <w:ind w:hanging="0" w:left="0"/>
        <w:rPr>
          <w:sz w:val="24"/>
          <w:szCs w:val="24"/>
        </w:rPr>
      </w:pPr>
      <w:r>
        <w:rPr>
          <w:rFonts w:ascii="Arial Narrow" w:hAnsi="Arial Narrow"/>
          <w:sz w:val="24"/>
          <w:szCs w:val="24"/>
        </w:rPr>
        <w:t>O licitante deverá comunicar imediatamente ao provedor do sistema qualquer acontecimento que possa comprometer o sigilo ou a segurança, para imediato bloqueio de acesso.</w:t>
      </w:r>
    </w:p>
    <w:p>
      <w:pPr>
        <w:pStyle w:val="Nivel01"/>
        <w:numPr>
          <w:ilvl w:val="0"/>
          <w:numId w:val="7"/>
        </w:numPr>
        <w:ind w:hanging="0" w:left="0"/>
        <w:rPr>
          <w:sz w:val="24"/>
          <w:szCs w:val="24"/>
        </w:rPr>
      </w:pPr>
      <w:bookmarkStart w:id="19" w:name="_Toc135469199"/>
      <w:r>
        <w:rPr>
          <w:rFonts w:ascii="Arial Narrow" w:hAnsi="Arial Narrow"/>
          <w:sz w:val="24"/>
          <w:szCs w:val="24"/>
        </w:rPr>
        <w:t>DO PREENCHIMENTO DA PROPOSTA</w:t>
      </w:r>
      <w:bookmarkEnd w:id="19"/>
    </w:p>
    <w:p>
      <w:pPr>
        <w:pStyle w:val="Nivel2"/>
        <w:numPr>
          <w:ilvl w:val="1"/>
          <w:numId w:val="7"/>
        </w:numPr>
        <w:ind w:hanging="0" w:left="0"/>
        <w:rPr>
          <w:sz w:val="24"/>
          <w:szCs w:val="24"/>
        </w:rPr>
      </w:pPr>
      <w:r>
        <w:rPr>
          <w:rFonts w:ascii="Arial Narrow" w:hAnsi="Arial Narrow"/>
          <w:sz w:val="24"/>
          <w:szCs w:val="24"/>
        </w:rPr>
        <w:t>O licitante deverá enviar sua proposta mediante o preenchimento, no sistema eletrônico, dos seguintes campos:</w:t>
      </w:r>
    </w:p>
    <w:p>
      <w:pPr>
        <w:pStyle w:val="Nvel3-R"/>
        <w:numPr>
          <w:ilvl w:val="2"/>
          <w:numId w:val="7"/>
        </w:numPr>
        <w:ind w:hanging="0" w:left="284"/>
        <w:rPr>
          <w:sz w:val="24"/>
          <w:szCs w:val="24"/>
        </w:rPr>
      </w:pPr>
      <w:r>
        <w:rPr>
          <w:rFonts w:ascii="Arial Narrow" w:hAnsi="Arial Narrow"/>
          <w:i w:val="false"/>
          <w:iCs w:val="false"/>
          <w:color w:val="auto"/>
          <w:sz w:val="24"/>
          <w:szCs w:val="24"/>
        </w:rPr>
        <w:t xml:space="preserve">valor unitário do item, </w:t>
      </w:r>
      <w:r>
        <w:rPr>
          <w:rFonts w:ascii="Arial Narrow" w:hAnsi="Arial Narrow"/>
          <w:b/>
          <w:bCs/>
          <w:i w:val="false"/>
          <w:iCs w:val="false"/>
          <w:color w:val="auto"/>
          <w:sz w:val="24"/>
          <w:szCs w:val="24"/>
        </w:rPr>
        <w:t>sendo o valor mínimo de R$ 150,00 (cento e cinquenta), Mensal</w:t>
      </w:r>
      <w:r>
        <w:rPr>
          <w:rFonts w:ascii="Arial Narrow" w:hAnsi="Arial Narrow"/>
          <w:i w:val="false"/>
          <w:iCs w:val="false"/>
          <w:color w:val="auto"/>
          <w:sz w:val="24"/>
          <w:szCs w:val="24"/>
        </w:rPr>
        <w:t>;</w:t>
      </w:r>
    </w:p>
    <w:p>
      <w:pPr>
        <w:pStyle w:val="Nvel3-R"/>
        <w:numPr>
          <w:ilvl w:val="2"/>
          <w:numId w:val="7"/>
        </w:numPr>
        <w:ind w:hanging="0" w:left="284"/>
        <w:rPr>
          <w:sz w:val="24"/>
          <w:szCs w:val="24"/>
        </w:rPr>
      </w:pPr>
      <w:r>
        <w:rPr>
          <w:rFonts w:ascii="Arial Narrow" w:hAnsi="Arial Narrow"/>
          <w:i w:val="false"/>
          <w:iCs w:val="false"/>
          <w:color w:val="auto"/>
          <w:sz w:val="24"/>
          <w:szCs w:val="24"/>
        </w:rPr>
        <w:t>valor global da proposta.</w:t>
      </w:r>
    </w:p>
    <w:p>
      <w:pPr>
        <w:pStyle w:val="Nivel2"/>
        <w:numPr>
          <w:ilvl w:val="1"/>
          <w:numId w:val="7"/>
        </w:numPr>
        <w:ind w:hanging="0" w:left="0"/>
        <w:rPr>
          <w:sz w:val="24"/>
          <w:szCs w:val="24"/>
        </w:rPr>
      </w:pPr>
      <w:r>
        <w:rPr>
          <w:rFonts w:ascii="Arial Narrow" w:hAnsi="Arial Narrow"/>
          <w:sz w:val="24"/>
          <w:szCs w:val="24"/>
        </w:rPr>
        <w:t>Todas as especificações do objeto contidas na proposta vinculam o licitante.</w:t>
      </w:r>
    </w:p>
    <w:p>
      <w:pPr>
        <w:pStyle w:val="Nivel3"/>
        <w:numPr>
          <w:ilvl w:val="2"/>
          <w:numId w:val="7"/>
        </w:numPr>
        <w:ind w:hanging="0" w:left="284"/>
        <w:rPr/>
      </w:pPr>
      <w:r>
        <w:rPr>
          <w:rStyle w:val="Normaltextrun"/>
          <w:rFonts w:ascii="Arial Narrow" w:hAnsi="Arial Narrow"/>
          <w:sz w:val="24"/>
          <w:szCs w:val="24"/>
          <w:shd w:fill="FFFFFF" w:val="clear"/>
        </w:rPr>
        <w:t> </w:t>
      </w:r>
      <w:r>
        <w:rPr>
          <w:rFonts w:ascii="Arial Narrow" w:hAnsi="Arial Narrow"/>
          <w:sz w:val="24"/>
          <w:szCs w:val="24"/>
        </w:rPr>
        <w:t>O licitante NÃO poderá oferecer proposta em quantitativo inferior ao máximo previsto para contratação.</w:t>
      </w:r>
      <w:r>
        <w:rPr>
          <w:rStyle w:val="Eop"/>
          <w:rFonts w:ascii="Arial Narrow" w:hAnsi="Arial Narrow"/>
          <w:color w:val="0078D4"/>
          <w:sz w:val="24"/>
          <w:szCs w:val="24"/>
          <w:shd w:fill="FFFFFF" w:val="clear"/>
        </w:rPr>
        <w:t> </w:t>
      </w:r>
    </w:p>
    <w:p>
      <w:pPr>
        <w:pStyle w:val="Nivel2"/>
        <w:numPr>
          <w:ilvl w:val="1"/>
          <w:numId w:val="7"/>
        </w:numPr>
        <w:ind w:hanging="0" w:left="0"/>
        <w:rPr>
          <w:sz w:val="24"/>
          <w:szCs w:val="24"/>
        </w:rPr>
      </w:pPr>
      <w:r>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pPr>
        <w:pStyle w:val="Nivel2"/>
        <w:numPr>
          <w:ilvl w:val="1"/>
          <w:numId w:val="7"/>
        </w:numPr>
        <w:ind w:hanging="0" w:left="0"/>
        <w:rPr>
          <w:sz w:val="24"/>
          <w:szCs w:val="24"/>
        </w:rPr>
      </w:pPr>
      <w:r>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ivel2"/>
        <w:numPr>
          <w:ilvl w:val="1"/>
          <w:numId w:val="7"/>
        </w:numPr>
        <w:tabs>
          <w:tab w:val="clear" w:pos="708"/>
          <w:tab w:val="left" w:pos="709" w:leader="none"/>
        </w:tabs>
        <w:ind w:hanging="0" w:left="0"/>
        <w:rPr>
          <w:sz w:val="24"/>
          <w:szCs w:val="24"/>
        </w:rPr>
      </w:pPr>
      <w:r>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w:t>
      </w:r>
      <w:r>
        <w:rPr>
          <w:rFonts w:ascii="Arial Narrow" w:hAnsi="Arial Narrow"/>
          <w:color w:val="auto"/>
          <w:sz w:val="24"/>
          <w:szCs w:val="24"/>
        </w:rPr>
        <w:t xml:space="preserve">meses. </w:t>
      </w:r>
    </w:p>
    <w:p>
      <w:pPr>
        <w:pStyle w:val="Nvel2-Red"/>
        <w:numPr>
          <w:ilvl w:val="1"/>
          <w:numId w:val="7"/>
        </w:numPr>
        <w:ind w:hanging="0" w:left="0"/>
        <w:rPr>
          <w:sz w:val="24"/>
          <w:szCs w:val="24"/>
        </w:rPr>
      </w:pPr>
      <w:r>
        <w:rPr>
          <w:rFonts w:ascii="Arial Narrow" w:hAnsi="Arial Narrow"/>
          <w:i w:val="false"/>
          <w:iCs w:val="false"/>
          <w:color w:val="auto"/>
          <w:sz w:val="24"/>
          <w:szCs w:val="24"/>
        </w:rPr>
        <w:t>Na presente licitação, a Microempresa e a Empresa de Pequeno Porte poderão se beneficiar do regime de tributação pelo Simples Nacional.</w:t>
      </w:r>
    </w:p>
    <w:p>
      <w:pPr>
        <w:pStyle w:val="Nivel2"/>
        <w:numPr>
          <w:ilvl w:val="1"/>
          <w:numId w:val="7"/>
        </w:numPr>
        <w:ind w:hanging="0" w:left="0"/>
        <w:rPr>
          <w:sz w:val="24"/>
          <w:szCs w:val="24"/>
        </w:rPr>
      </w:pPr>
      <w:r>
        <w:rPr>
          <w:rFonts w:ascii="Arial Narrow" w:hAnsi="Arial Narrow"/>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7"/>
        </w:numPr>
        <w:ind w:hanging="0" w:left="0"/>
        <w:rPr>
          <w:sz w:val="24"/>
          <w:szCs w:val="24"/>
        </w:rPr>
      </w:pPr>
      <w:r>
        <w:rPr>
          <w:rFonts w:ascii="Arial Narrow" w:hAnsi="Arial Narrow"/>
          <w:sz w:val="24"/>
          <w:szCs w:val="24"/>
        </w:rPr>
        <w:t xml:space="preserve">O prazo de validade da proposta não será inferior </w:t>
      </w:r>
      <w:r>
        <w:rPr>
          <w:rFonts w:ascii="Arial Narrow" w:hAnsi="Arial Narrow"/>
          <w:color w:val="auto"/>
          <w:sz w:val="24"/>
          <w:szCs w:val="24"/>
        </w:rPr>
        <w:t>a 60 (sessenta) dias</w:t>
      </w:r>
      <w:r>
        <w:rPr>
          <w:rFonts w:ascii="Arial Narrow" w:hAnsi="Arial Narrow"/>
          <w:b/>
          <w:sz w:val="24"/>
          <w:szCs w:val="24"/>
        </w:rPr>
        <w:t>,</w:t>
      </w:r>
      <w:r>
        <w:rPr>
          <w:rFonts w:ascii="Arial Narrow" w:hAnsi="Arial Narrow"/>
          <w:sz w:val="24"/>
          <w:szCs w:val="24"/>
        </w:rPr>
        <w:t xml:space="preserve"> a contar da data de sua apresentação.</w:t>
      </w:r>
    </w:p>
    <w:p>
      <w:pPr>
        <w:pStyle w:val="Nivel2"/>
        <w:numPr>
          <w:ilvl w:val="1"/>
          <w:numId w:val="7"/>
        </w:numPr>
        <w:ind w:hanging="0" w:left="0"/>
        <w:rPr>
          <w:sz w:val="24"/>
          <w:szCs w:val="24"/>
        </w:rPr>
      </w:pPr>
      <w:r>
        <w:rPr>
          <w:rFonts w:ascii="Arial Narrow" w:hAnsi="Arial Narrow"/>
          <w:sz w:val="24"/>
          <w:szCs w:val="24"/>
        </w:rPr>
        <w:t>Os licitantes devem respeitar o preço mínimo de referência, não sendo aceitas propostas em valor inferior, caso em que, se apresentadas, serão desclassificadas, não participando da etapa de lances os licitantes que as ofertarem.</w:t>
      </w:r>
    </w:p>
    <w:p>
      <w:pPr>
        <w:pStyle w:val="Nivel01"/>
        <w:numPr>
          <w:ilvl w:val="0"/>
          <w:numId w:val="7"/>
        </w:numPr>
        <w:ind w:hanging="0" w:left="0"/>
        <w:rPr>
          <w:sz w:val="24"/>
          <w:szCs w:val="24"/>
        </w:rPr>
      </w:pPr>
      <w:bookmarkStart w:id="20" w:name="_Toc135469200"/>
      <w:r>
        <w:rPr>
          <w:rFonts w:ascii="Arial Narrow" w:hAnsi="Arial Narrow"/>
          <w:sz w:val="24"/>
          <w:szCs w:val="24"/>
        </w:rPr>
        <w:t>DA ABERTURA DA SESSÃO, CLASSIFICAÇÃO DAS PROPOSTAS E FORMULAÇÃO DE LANCES</w:t>
      </w:r>
      <w:bookmarkEnd w:id="20"/>
    </w:p>
    <w:p>
      <w:pPr>
        <w:pStyle w:val="Nivel2"/>
        <w:numPr>
          <w:ilvl w:val="1"/>
          <w:numId w:val="7"/>
        </w:numPr>
        <w:ind w:hanging="0" w:left="0"/>
        <w:rPr>
          <w:sz w:val="24"/>
          <w:szCs w:val="24"/>
        </w:rPr>
      </w:pPr>
      <w:r>
        <w:rPr>
          <w:rFonts w:ascii="Arial Narrow" w:hAnsi="Arial Narrow"/>
          <w:sz w:val="24"/>
          <w:szCs w:val="24"/>
        </w:rPr>
        <w:t>A abertura da presente licitação dar-se-á automaticamente em sessão pública, por meio de sistema eletrônico, na data, horário e local indicados neste Edital.</w:t>
      </w:r>
    </w:p>
    <w:p>
      <w:pPr>
        <w:pStyle w:val="Nivel2"/>
        <w:numPr>
          <w:ilvl w:val="1"/>
          <w:numId w:val="7"/>
        </w:numPr>
        <w:ind w:hanging="0" w:left="0"/>
        <w:rPr>
          <w:sz w:val="24"/>
          <w:szCs w:val="24"/>
        </w:rPr>
      </w:pPr>
      <w:r>
        <w:rPr>
          <w:rFonts w:ascii="Arial Narrow" w:hAnsi="Arial Narrow"/>
          <w:sz w:val="24"/>
          <w:szCs w:val="24"/>
        </w:rPr>
        <w:t>Os licitantes poderão retirar ou substituir a proposta até a abertura da sessão pública.</w:t>
      </w:r>
    </w:p>
    <w:p>
      <w:pPr>
        <w:pStyle w:val="Nivel2"/>
        <w:numPr>
          <w:ilvl w:val="1"/>
          <w:numId w:val="7"/>
        </w:numPr>
        <w:ind w:hanging="0" w:left="0"/>
        <w:rPr>
          <w:sz w:val="24"/>
          <w:szCs w:val="24"/>
        </w:rPr>
      </w:pPr>
      <w:r>
        <w:rPr>
          <w:rFonts w:ascii="Arial Narrow" w:hAnsi="Arial Narrow"/>
          <w:sz w:val="24"/>
          <w:szCs w:val="24"/>
        </w:rPr>
        <w:t>O sistema disponibilizará campo próprio para troca de mensagens entre o Agente de Contratação/Comissão e os licitantes.</w:t>
      </w:r>
    </w:p>
    <w:p>
      <w:pPr>
        <w:pStyle w:val="Nivel2"/>
        <w:numPr>
          <w:ilvl w:val="1"/>
          <w:numId w:val="7"/>
        </w:numPr>
        <w:ind w:hanging="0" w:left="0"/>
        <w:rPr>
          <w:sz w:val="24"/>
          <w:szCs w:val="24"/>
        </w:rPr>
      </w:pPr>
      <w:r>
        <w:rPr>
          <w:rFonts w:ascii="Arial Narrow" w:hAnsi="Arial Narrow"/>
          <w:sz w:val="24"/>
          <w:szCs w:val="24"/>
        </w:rPr>
        <w:t xml:space="preserve">Iniciada a etapa competitiva, os licitantes deverão encaminhar lances exclusivamente por meio de sistema eletrônico, sendo imediatamente informados do seu recebimento e do valor consignado no registro. </w:t>
      </w:r>
    </w:p>
    <w:p>
      <w:pPr>
        <w:pStyle w:val="Nivel2"/>
        <w:numPr>
          <w:ilvl w:val="1"/>
          <w:numId w:val="7"/>
        </w:numPr>
        <w:ind w:hanging="0" w:left="0"/>
        <w:rPr>
          <w:sz w:val="24"/>
          <w:szCs w:val="24"/>
        </w:rPr>
      </w:pPr>
      <w:r>
        <w:rPr>
          <w:rFonts w:ascii="Arial Narrow" w:hAnsi="Arial Narrow"/>
          <w:sz w:val="24"/>
          <w:szCs w:val="24"/>
        </w:rPr>
        <w:t xml:space="preserve">O critério de julgamento será o de </w:t>
      </w:r>
      <w:r>
        <w:rPr>
          <w:rFonts w:ascii="Arial Narrow" w:hAnsi="Arial Narrow"/>
          <w:b/>
          <w:bCs/>
          <w:sz w:val="24"/>
          <w:szCs w:val="24"/>
        </w:rPr>
        <w:t>PROPOSTA MAIS VANTAJOSA À ADMINISTRAÇÃO</w:t>
      </w:r>
      <w:r>
        <w:rPr>
          <w:rFonts w:ascii="Arial Narrow" w:hAnsi="Arial Narrow"/>
          <w:sz w:val="24"/>
          <w:szCs w:val="24"/>
        </w:rPr>
        <w:t>. Considera-se proposta mais vantajosa a de maior valor / maior lance.</w:t>
      </w:r>
    </w:p>
    <w:p>
      <w:pPr>
        <w:pStyle w:val="Nivel2"/>
        <w:numPr>
          <w:ilvl w:val="1"/>
          <w:numId w:val="7"/>
        </w:numPr>
        <w:ind w:hanging="0" w:left="0"/>
        <w:rPr>
          <w:sz w:val="24"/>
          <w:szCs w:val="24"/>
        </w:rPr>
      </w:pPr>
      <w:r>
        <w:rPr>
          <w:rFonts w:ascii="Arial Narrow" w:hAnsi="Arial Narrow"/>
          <w:sz w:val="24"/>
          <w:szCs w:val="24"/>
        </w:rPr>
        <w:t xml:space="preserve">O lance deverá ser ofertado pelo </w:t>
      </w:r>
      <w:r>
        <w:rPr>
          <w:rFonts w:ascii="Arial Narrow" w:hAnsi="Arial Narrow"/>
          <w:b/>
          <w:bCs/>
          <w:sz w:val="24"/>
          <w:szCs w:val="24"/>
        </w:rPr>
        <w:t>VALOR UNITÁRIO MENSAL</w:t>
      </w:r>
      <w:r>
        <w:rPr>
          <w:rFonts w:ascii="Arial Narrow" w:hAnsi="Arial Narrow"/>
          <w:sz w:val="24"/>
          <w:szCs w:val="24"/>
        </w:rPr>
        <w:t>.</w:t>
      </w:r>
    </w:p>
    <w:p>
      <w:pPr>
        <w:pStyle w:val="Nivel2"/>
        <w:numPr>
          <w:ilvl w:val="1"/>
          <w:numId w:val="7"/>
        </w:numPr>
        <w:ind w:hanging="0" w:left="0"/>
        <w:rPr>
          <w:sz w:val="24"/>
          <w:szCs w:val="24"/>
        </w:rPr>
      </w:pPr>
      <w:r>
        <w:rPr>
          <w:rFonts w:ascii="Arial Narrow" w:hAnsi="Arial Narrow"/>
          <w:sz w:val="24"/>
          <w:szCs w:val="24"/>
        </w:rPr>
        <w:t>Os licitantes poderão oferecer lances sucessivos, observando o horário fixado para abertura da sessão e as regras estabelecidas no Edital.</w:t>
      </w:r>
    </w:p>
    <w:p>
      <w:pPr>
        <w:pStyle w:val="Nivel2"/>
        <w:numPr>
          <w:ilvl w:val="1"/>
          <w:numId w:val="7"/>
        </w:numPr>
        <w:ind w:hanging="0" w:left="0"/>
        <w:rPr>
          <w:sz w:val="24"/>
          <w:szCs w:val="24"/>
        </w:rPr>
      </w:pPr>
      <w:r>
        <w:rPr>
          <w:rFonts w:ascii="Arial Narrow" w:hAnsi="Arial Narrow"/>
          <w:sz w:val="24"/>
          <w:szCs w:val="24"/>
        </w:rPr>
        <w:t xml:space="preserve">O </w:t>
      </w:r>
      <w:r>
        <w:rPr>
          <w:rFonts w:ascii="Arial Narrow" w:hAnsi="Arial Narrow"/>
          <w:color w:val="auto"/>
          <w:sz w:val="24"/>
          <w:szCs w:val="24"/>
        </w:rPr>
        <w:t xml:space="preserve">licitante somente poderá oferecer lance de </w:t>
      </w:r>
      <w:r>
        <w:rPr>
          <w:rFonts w:ascii="Arial Narrow" w:hAnsi="Arial Narrow"/>
          <w:b/>
          <w:bCs/>
          <w:color w:val="auto"/>
          <w:sz w:val="24"/>
          <w:szCs w:val="24"/>
        </w:rPr>
        <w:t xml:space="preserve">VALOR SUPERIOR </w:t>
      </w:r>
      <w:r>
        <w:rPr>
          <w:rFonts w:ascii="Arial Narrow" w:hAnsi="Arial Narrow"/>
          <w:color w:val="auto"/>
          <w:sz w:val="24"/>
          <w:szCs w:val="24"/>
        </w:rPr>
        <w:t xml:space="preserve">ao último por ele ofertado e registrado pelo sistema. </w:t>
      </w:r>
    </w:p>
    <w:p>
      <w:pPr>
        <w:pStyle w:val="Nivel2"/>
        <w:numPr>
          <w:ilvl w:val="1"/>
          <w:numId w:val="7"/>
        </w:numPr>
        <w:ind w:hanging="0" w:left="0"/>
        <w:rPr>
          <w:sz w:val="24"/>
          <w:szCs w:val="24"/>
        </w:rPr>
      </w:pPr>
      <w:r>
        <w:rPr>
          <w:rFonts w:ascii="Arial Narrow" w:hAnsi="Arial Narrow"/>
          <w:sz w:val="24"/>
          <w:szCs w:val="24"/>
        </w:rPr>
        <w:t xml:space="preserve">O intervalo mínimo de diferença de valores entre os lances, que incidirá tanto em relação aos lances intermediários quanto em relação à proposta que cobrir a melhor oferta deverá ser de </w:t>
      </w:r>
      <w:r>
        <w:rPr>
          <w:rFonts w:ascii="Arial Narrow" w:hAnsi="Arial Narrow"/>
          <w:b/>
          <w:bCs/>
          <w:sz w:val="24"/>
          <w:szCs w:val="24"/>
        </w:rPr>
        <w:t>R$ 5,00 (CINCO REAIS)</w:t>
      </w:r>
      <w:r>
        <w:rPr>
          <w:rFonts w:ascii="Arial Narrow" w:hAnsi="Arial Narrow"/>
          <w:i/>
          <w:iCs/>
          <w:sz w:val="24"/>
          <w:szCs w:val="24"/>
        </w:rPr>
        <w:t>.</w:t>
      </w:r>
    </w:p>
    <w:p>
      <w:pPr>
        <w:pStyle w:val="Nivel2"/>
        <w:numPr>
          <w:ilvl w:val="1"/>
          <w:numId w:val="7"/>
        </w:numPr>
        <w:ind w:hanging="0" w:left="0"/>
        <w:rPr>
          <w:sz w:val="24"/>
          <w:szCs w:val="24"/>
        </w:rPr>
      </w:pPr>
      <w:r>
        <w:rPr>
          <w:rFonts w:ascii="Arial Narrow" w:hAnsi="Arial Narrow"/>
          <w:sz w:val="24"/>
          <w:szCs w:val="24"/>
        </w:rPr>
        <w:t>O licitante poderá, uma única vez, excluir seu último lance ofertado, na hipótese de lance inconsistente ou inexequível.</w:t>
      </w:r>
    </w:p>
    <w:p>
      <w:pPr>
        <w:pStyle w:val="Nivel2"/>
        <w:numPr>
          <w:ilvl w:val="1"/>
          <w:numId w:val="7"/>
        </w:numPr>
        <w:ind w:hanging="0" w:left="0"/>
        <w:rPr>
          <w:sz w:val="24"/>
          <w:szCs w:val="24"/>
        </w:rPr>
      </w:pPr>
      <w:r>
        <w:rPr>
          <w:rFonts w:ascii="Arial Narrow" w:hAnsi="Arial Narrow"/>
          <w:sz w:val="24"/>
          <w:szCs w:val="24"/>
        </w:rPr>
        <w:t>O procedimento seguirá de acordo com o modo de disputa adotado.</w:t>
      </w:r>
    </w:p>
    <w:p>
      <w:pPr>
        <w:pStyle w:val="Nivel2"/>
        <w:numPr>
          <w:ilvl w:val="1"/>
          <w:numId w:val="7"/>
        </w:numPr>
        <w:ind w:hanging="0" w:left="0"/>
        <w:rPr>
          <w:sz w:val="24"/>
          <w:szCs w:val="24"/>
        </w:rPr>
      </w:pPr>
      <w:bookmarkStart w:id="21" w:name="_Hlk113697759"/>
      <w:bookmarkEnd w:id="21"/>
      <w:r>
        <w:rPr>
          <w:rFonts w:ascii="Arial Narrow" w:hAnsi="Arial Narrow"/>
          <w:sz w:val="24"/>
          <w:szCs w:val="24"/>
        </w:rPr>
        <w:t>Como o modo de disputa é o modo de disputa “</w:t>
      </w:r>
      <w:r>
        <w:rPr>
          <w:rFonts w:ascii="Arial Narrow" w:hAnsi="Arial Narrow"/>
          <w:b/>
          <w:bCs/>
          <w:sz w:val="24"/>
          <w:szCs w:val="24"/>
        </w:rPr>
        <w:t>ABERTO</w:t>
      </w:r>
      <w:r>
        <w:rPr>
          <w:rFonts w:ascii="Arial Narrow" w:hAnsi="Arial Narrow"/>
          <w:sz w:val="24"/>
          <w:szCs w:val="24"/>
        </w:rPr>
        <w:t>”, os licitantes apresentarão lances públicos e sucessivos, com prorrogações.</w:t>
      </w:r>
    </w:p>
    <w:p>
      <w:pPr>
        <w:pStyle w:val="Nivel3"/>
        <w:numPr>
          <w:ilvl w:val="2"/>
          <w:numId w:val="7"/>
        </w:numPr>
        <w:ind w:hanging="0" w:left="284"/>
        <w:rPr>
          <w:sz w:val="24"/>
          <w:szCs w:val="24"/>
        </w:rPr>
      </w:pPr>
      <w:bookmarkStart w:id="22" w:name="_Hlk113697759_Copia_1"/>
      <w:bookmarkEnd w:id="22"/>
      <w:r>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Nivel3"/>
        <w:numPr>
          <w:ilvl w:val="2"/>
          <w:numId w:val="7"/>
        </w:numPr>
        <w:ind w:hanging="0" w:left="284"/>
        <w:rPr>
          <w:sz w:val="24"/>
          <w:szCs w:val="24"/>
        </w:rPr>
      </w:pPr>
      <w:r>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Nivel3"/>
        <w:numPr>
          <w:ilvl w:val="2"/>
          <w:numId w:val="7"/>
        </w:numPr>
        <w:ind w:hanging="0" w:left="284"/>
        <w:rPr>
          <w:sz w:val="24"/>
          <w:szCs w:val="24"/>
        </w:rPr>
      </w:pPr>
      <w:r>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pPr>
        <w:pStyle w:val="Nivel3"/>
        <w:numPr>
          <w:ilvl w:val="2"/>
          <w:numId w:val="7"/>
        </w:numPr>
        <w:ind w:hanging="0" w:left="284"/>
        <w:rPr>
          <w:sz w:val="24"/>
          <w:szCs w:val="24"/>
        </w:rPr>
      </w:pPr>
      <w:r>
        <w:rPr>
          <w:rFonts w:ascii="Arial Narrow" w:hAnsi="Arial Narrow"/>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pPr>
        <w:pStyle w:val="Nivel3"/>
        <w:numPr>
          <w:ilvl w:val="2"/>
          <w:numId w:val="7"/>
        </w:numPr>
        <w:ind w:hanging="0" w:left="284"/>
        <w:rPr>
          <w:sz w:val="24"/>
          <w:szCs w:val="24"/>
        </w:rPr>
      </w:pPr>
      <w:bookmarkStart w:id="23" w:name="_Hlk113697816"/>
      <w:r>
        <w:rPr>
          <w:rFonts w:ascii="Arial Narrow" w:hAnsi="Arial Narrow"/>
          <w:sz w:val="24"/>
          <w:szCs w:val="24"/>
        </w:rPr>
        <w:t>Após o reinício previsto no item supra, os licitantes serão convocados para apresentar lances intermediários.</w:t>
      </w:r>
      <w:bookmarkStart w:id="24" w:name="_Hlk113631522"/>
      <w:bookmarkEnd w:id="23"/>
      <w:bookmarkEnd w:id="24"/>
    </w:p>
    <w:p>
      <w:pPr>
        <w:pStyle w:val="Nivel2"/>
        <w:numPr>
          <w:ilvl w:val="1"/>
          <w:numId w:val="7"/>
        </w:numPr>
        <w:ind w:hanging="0" w:left="0"/>
        <w:rPr>
          <w:sz w:val="24"/>
          <w:szCs w:val="24"/>
        </w:rPr>
      </w:pPr>
      <w:r>
        <w:rPr>
          <w:rFonts w:ascii="Arial Narrow" w:hAnsi="Arial Narrow"/>
          <w:sz w:val="24"/>
          <w:szCs w:val="24"/>
        </w:rPr>
        <w:t>Após o término dos prazos estabelecidos nos subitens anteriores, o sistema ordenará e divulgará os lances segundo a ordem decrescente de valores.</w:t>
      </w:r>
    </w:p>
    <w:p>
      <w:pPr>
        <w:pStyle w:val="Nivel2"/>
        <w:numPr>
          <w:ilvl w:val="1"/>
          <w:numId w:val="7"/>
        </w:numPr>
        <w:ind w:hanging="0" w:left="0"/>
        <w:rPr>
          <w:sz w:val="24"/>
          <w:szCs w:val="24"/>
        </w:rPr>
      </w:pPr>
      <w:r>
        <w:rPr>
          <w:rFonts w:ascii="Arial Narrow" w:hAnsi="Arial Narrow"/>
          <w:sz w:val="24"/>
          <w:szCs w:val="24"/>
        </w:rPr>
        <w:t xml:space="preserve">Não serão aceitos dois ou mais lances de mesmo valor, prevalecendo aquele que for recebido e registrado em primeiro lugar. </w:t>
      </w:r>
    </w:p>
    <w:p>
      <w:pPr>
        <w:pStyle w:val="Nivel2"/>
        <w:numPr>
          <w:ilvl w:val="1"/>
          <w:numId w:val="7"/>
        </w:numPr>
        <w:ind w:hanging="0" w:left="0"/>
        <w:rPr>
          <w:sz w:val="24"/>
          <w:szCs w:val="24"/>
        </w:rPr>
      </w:pPr>
      <w:r>
        <w:rPr>
          <w:rFonts w:ascii="Arial Narrow" w:hAnsi="Arial Narrow"/>
          <w:sz w:val="24"/>
          <w:szCs w:val="24"/>
        </w:rPr>
        <w:t xml:space="preserve">Durante o transcurso da sessão pública, os licitantes serão informados, em tempo real, do valor do Maior Lance registrado, vedada a identificação do licitante. </w:t>
      </w:r>
    </w:p>
    <w:p>
      <w:pPr>
        <w:pStyle w:val="Nivel2"/>
        <w:numPr>
          <w:ilvl w:val="1"/>
          <w:numId w:val="7"/>
        </w:numPr>
        <w:ind w:hanging="0" w:left="0"/>
        <w:rPr>
          <w:sz w:val="24"/>
          <w:szCs w:val="24"/>
        </w:rPr>
      </w:pPr>
      <w:r>
        <w:rPr>
          <w:rFonts w:ascii="Arial Narrow" w:hAnsi="Arial Narrow"/>
          <w:sz w:val="24"/>
          <w:szCs w:val="24"/>
        </w:rPr>
        <w:t xml:space="preserve">No caso de desconexão com o Agente de Contratação/Comissão, no decorrer da etapa competitiva da licitação, o sistema eletrônico poderá permanecer acessível aos licitantes para a recepção dos lances. </w:t>
      </w:r>
    </w:p>
    <w:p>
      <w:pPr>
        <w:pStyle w:val="Nivel2"/>
        <w:numPr>
          <w:ilvl w:val="1"/>
          <w:numId w:val="7"/>
        </w:numPr>
        <w:ind w:hanging="0" w:left="0"/>
        <w:rPr>
          <w:sz w:val="24"/>
          <w:szCs w:val="24"/>
        </w:rPr>
      </w:pPr>
      <w:r>
        <w:rPr>
          <w:rFonts w:ascii="Arial Narrow" w:hAnsi="Arial Narrow"/>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pPr>
        <w:pStyle w:val="Nivel2"/>
        <w:numPr>
          <w:ilvl w:val="1"/>
          <w:numId w:val="7"/>
        </w:numPr>
        <w:ind w:hanging="0" w:left="0"/>
        <w:rPr>
          <w:sz w:val="24"/>
          <w:szCs w:val="24"/>
        </w:rPr>
      </w:pPr>
      <w:r>
        <w:rPr>
          <w:rFonts w:ascii="Arial Narrow" w:hAnsi="Arial Narrow"/>
          <w:sz w:val="24"/>
          <w:szCs w:val="24"/>
        </w:rPr>
        <w:t>Caso o licitante não apresente lances, concorrerá com o valor de sua proposta.</w:t>
      </w:r>
    </w:p>
    <w:p>
      <w:pPr>
        <w:pStyle w:val="Nivel2"/>
        <w:numPr>
          <w:ilvl w:val="1"/>
          <w:numId w:val="7"/>
        </w:numPr>
        <w:ind w:hanging="0" w:left="0"/>
        <w:rPr>
          <w:sz w:val="24"/>
          <w:szCs w:val="24"/>
        </w:rPr>
      </w:pPr>
      <w:r>
        <w:rPr>
          <w:rFonts w:ascii="Arial Narrow" w:hAnsi="Arial Narrow"/>
          <w:sz w:val="24"/>
          <w:szCs w:val="24"/>
        </w:rPr>
        <w:t>Em relação a itens não exclusivos para participação de microempresas e empresas de pequeno porte, que é o caso da presente licitação, uma vez encerrada a etapa de lances</w:t>
      </w:r>
      <w:r>
        <w:rPr>
          <w:rFonts w:eastAsia="Zurich BT" w:ascii="Arial Narrow" w:hAnsi="Arial Narrow"/>
          <w:sz w:val="24"/>
          <w:szCs w:val="24"/>
        </w:rPr>
        <w:t>,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pPr>
        <w:pStyle w:val="Nivel3"/>
        <w:numPr>
          <w:ilvl w:val="2"/>
          <w:numId w:val="7"/>
        </w:numPr>
        <w:ind w:hanging="0" w:left="284"/>
        <w:rPr>
          <w:sz w:val="24"/>
          <w:szCs w:val="24"/>
        </w:rPr>
      </w:pPr>
      <w:r>
        <w:rPr>
          <w:rFonts w:ascii="Arial Narrow" w:hAnsi="Arial Narrow"/>
          <w:sz w:val="24"/>
          <w:szCs w:val="24"/>
        </w:rPr>
        <w:t xml:space="preserve">Nessas condições, as propostas de </w:t>
      </w:r>
      <w:r>
        <w:rPr>
          <w:rFonts w:eastAsia="Zurich BT" w:ascii="Arial Narrow" w:hAnsi="Arial Narrow"/>
          <w:sz w:val="24"/>
          <w:szCs w:val="24"/>
        </w:rPr>
        <w:t xml:space="preserve">microempresas e empresas de pequeno porte </w:t>
      </w:r>
      <w:r>
        <w:rPr>
          <w:rFonts w:ascii="Arial Narrow" w:hAnsi="Arial Narrow"/>
          <w:sz w:val="24"/>
          <w:szCs w:val="24"/>
        </w:rPr>
        <w:t>que se encontrarem na faixa de até 10% (dez por cento) abaixo da melhor proposta ou melhor lance serão consideradas empatadas com a primeira colocada.</w:t>
      </w:r>
    </w:p>
    <w:p>
      <w:pPr>
        <w:pStyle w:val="Nivel3"/>
        <w:numPr>
          <w:ilvl w:val="2"/>
          <w:numId w:val="7"/>
        </w:numPr>
        <w:ind w:hanging="0" w:left="284"/>
        <w:rPr>
          <w:sz w:val="24"/>
          <w:szCs w:val="24"/>
        </w:rPr>
      </w:pPr>
      <w:r>
        <w:rPr>
          <w:rFonts w:ascii="Arial Narrow" w:hAnsi="Arial Narrow"/>
          <w:sz w:val="24"/>
          <w:szCs w:val="24"/>
        </w:rPr>
        <w:t>A melhor classificada nos termos do subitem anterior terá o direito de encaminhar uma última oferta para desempate, obrigatoriamente em valor superior ao da primeira colocada, no prazo de 10 (dez) minutos controlados pelo sistema, contados após a comunicação automática para tanto.</w:t>
      </w:r>
    </w:p>
    <w:p>
      <w:pPr>
        <w:pStyle w:val="Nivel3"/>
        <w:numPr>
          <w:ilvl w:val="2"/>
          <w:numId w:val="7"/>
        </w:numPr>
        <w:ind w:hanging="0" w:left="284"/>
        <w:rPr>
          <w:sz w:val="24"/>
          <w:szCs w:val="24"/>
        </w:rPr>
      </w:pPr>
      <w:r>
        <w:rPr>
          <w:rFonts w:ascii="Arial Narrow" w:hAnsi="Arial Narrow"/>
          <w:sz w:val="24"/>
          <w:szCs w:val="24"/>
        </w:rPr>
        <w:t xml:space="preserve">Caso a </w:t>
      </w:r>
      <w:r>
        <w:rPr>
          <w:rFonts w:eastAsia="Zurich BT" w:ascii="Arial Narrow" w:hAnsi="Arial Narrow"/>
          <w:sz w:val="24"/>
          <w:szCs w:val="24"/>
        </w:rPr>
        <w:t>microempresa ou a empresa de pequeno porte</w:t>
      </w:r>
      <w:r>
        <w:rPr>
          <w:rFonts w:ascii="Arial Narrow" w:hAnsi="Arial Narrow"/>
          <w:sz w:val="24"/>
          <w:szCs w:val="24"/>
        </w:rPr>
        <w:t xml:space="preserve"> melhor classificada desista ou não se manifeste no prazo estabelecido, serão convocadas as demais licitantes </w:t>
      </w:r>
      <w:r>
        <w:rPr>
          <w:rFonts w:eastAsia="Zurich BT" w:ascii="Arial Narrow" w:hAnsi="Arial Narrow"/>
          <w:sz w:val="24"/>
          <w:szCs w:val="24"/>
        </w:rPr>
        <w:t>microempresa e empresa de pequeno porte</w:t>
      </w:r>
      <w:r>
        <w:rPr>
          <w:rFonts w:ascii="Arial Narrow" w:hAnsi="Arial Narrow"/>
          <w:sz w:val="24"/>
          <w:szCs w:val="24"/>
        </w:rPr>
        <w:t xml:space="preserve"> que se encontrem naquele intervalo de 10% (dez por cento), na ordem de classificação, para o exercício do mesmo direito, no prazo estabelecido no subitem anterior.</w:t>
      </w:r>
    </w:p>
    <w:p>
      <w:pPr>
        <w:pStyle w:val="Nivel3"/>
        <w:numPr>
          <w:ilvl w:val="2"/>
          <w:numId w:val="7"/>
        </w:numPr>
        <w:ind w:hanging="0" w:left="284"/>
        <w:rPr>
          <w:sz w:val="24"/>
          <w:szCs w:val="24"/>
        </w:rPr>
      </w:pPr>
      <w:r>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ivel2"/>
        <w:numPr>
          <w:ilvl w:val="1"/>
          <w:numId w:val="7"/>
        </w:numPr>
        <w:ind w:hanging="0" w:left="0"/>
        <w:rPr>
          <w:sz w:val="24"/>
          <w:szCs w:val="24"/>
        </w:rPr>
      </w:pPr>
      <w:r>
        <w:rPr>
          <w:rFonts w:ascii="Arial Narrow" w:hAnsi="Arial Narrow"/>
          <w:sz w:val="24"/>
          <w:szCs w:val="24"/>
        </w:rPr>
        <w:t xml:space="preserve">Só poderá haver empate entre propostas iguais (não seguidas de lances). </w:t>
      </w:r>
    </w:p>
    <w:p>
      <w:pPr>
        <w:pStyle w:val="Nivel3"/>
        <w:numPr>
          <w:ilvl w:val="2"/>
          <w:numId w:val="7"/>
        </w:numPr>
        <w:ind w:hanging="0" w:left="284"/>
        <w:rPr>
          <w:sz w:val="24"/>
          <w:szCs w:val="24"/>
        </w:rPr>
      </w:pPr>
      <w:r>
        <w:rPr>
          <w:rFonts w:ascii="Arial Narrow" w:hAnsi="Arial Narrow"/>
          <w:sz w:val="24"/>
          <w:szCs w:val="24"/>
        </w:rPr>
        <w:t xml:space="preserve">Havendo eventual empate entre propostas ou lances, o critério de desempate será aquele previsto no </w:t>
      </w:r>
      <w:r>
        <w:rPr>
          <w:rFonts w:eastAsia="Arial" w:ascii="Arial Narrow" w:hAnsi="Arial Narrow"/>
          <w:sz w:val="24"/>
          <w:szCs w:val="24"/>
        </w:rPr>
        <w:t>art</w:t>
      </w:r>
      <w:r>
        <w:rPr>
          <w:rFonts w:ascii="Arial Narrow" w:hAnsi="Arial Narrow"/>
          <w:sz w:val="24"/>
          <w:szCs w:val="24"/>
        </w:rPr>
        <w:t>. 60 da Lei nº 14.133, de 2021, nesta ordem:</w:t>
      </w:r>
    </w:p>
    <w:p>
      <w:pPr>
        <w:pStyle w:val="Nivel4"/>
        <w:numPr>
          <w:ilvl w:val="3"/>
          <w:numId w:val="7"/>
        </w:numPr>
        <w:ind w:hanging="0" w:left="567"/>
        <w:rPr>
          <w:sz w:val="24"/>
          <w:szCs w:val="24"/>
        </w:rPr>
      </w:pPr>
      <w:r>
        <w:rPr>
          <w:rFonts w:ascii="Arial Narrow" w:hAnsi="Arial Narrow"/>
          <w:sz w:val="24"/>
          <w:szCs w:val="24"/>
        </w:rPr>
        <w:t>disputa final, hipótese em que os licitantes empatados poderão apresentar nova proposta em ato contínuo à classificação;</w:t>
      </w:r>
    </w:p>
    <w:p>
      <w:pPr>
        <w:pStyle w:val="Nivel4"/>
        <w:numPr>
          <w:ilvl w:val="3"/>
          <w:numId w:val="7"/>
        </w:numPr>
        <w:ind w:hanging="0" w:left="567"/>
        <w:rPr>
          <w:sz w:val="24"/>
          <w:szCs w:val="24"/>
        </w:rPr>
      </w:pPr>
      <w:r>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pPr>
        <w:pStyle w:val="Nivel4"/>
        <w:numPr>
          <w:ilvl w:val="3"/>
          <w:numId w:val="7"/>
        </w:numPr>
        <w:ind w:hanging="0" w:left="567"/>
        <w:rPr>
          <w:sz w:val="24"/>
          <w:szCs w:val="24"/>
        </w:rPr>
      </w:pPr>
      <w:r>
        <w:rPr>
          <w:rFonts w:ascii="Arial Narrow" w:hAnsi="Arial Narrow"/>
          <w:sz w:val="24"/>
          <w:szCs w:val="24"/>
        </w:rPr>
        <w:t>desenvolvimento pelo licitante de ações de equidade entre homens e mulheres no ambiente de trabalho, conforme regulamento;</w:t>
      </w:r>
    </w:p>
    <w:p>
      <w:pPr>
        <w:pStyle w:val="Nivel4"/>
        <w:numPr>
          <w:ilvl w:val="3"/>
          <w:numId w:val="7"/>
        </w:numPr>
        <w:ind w:hanging="0" w:left="567"/>
        <w:rPr>
          <w:sz w:val="24"/>
          <w:szCs w:val="24"/>
        </w:rPr>
      </w:pPr>
      <w:r>
        <w:rPr>
          <w:rFonts w:ascii="Arial Narrow" w:hAnsi="Arial Narrow"/>
          <w:sz w:val="24"/>
          <w:szCs w:val="24"/>
        </w:rPr>
        <w:t>desenvolvimento pelo licitante de programa de integridade, conforme orientações dos órgãos de controle.</w:t>
      </w:r>
    </w:p>
    <w:p>
      <w:pPr>
        <w:pStyle w:val="Nivel3"/>
        <w:numPr>
          <w:ilvl w:val="2"/>
          <w:numId w:val="7"/>
        </w:numPr>
        <w:spacing w:lineRule="auto" w:line="312" w:before="288" w:after="288"/>
        <w:ind w:firstLine="709" w:left="0"/>
        <w:rPr>
          <w:sz w:val="24"/>
          <w:szCs w:val="24"/>
        </w:rPr>
      </w:pPr>
      <w:r>
        <w:rPr>
          <w:rFonts w:ascii="Arial Narrow" w:hAnsi="Arial Narrow"/>
          <w:sz w:val="24"/>
          <w:szCs w:val="24"/>
        </w:rPr>
        <w:t>Persistindo o empate, será assegurada preferência, sucessivamente, aos bens e serviços produzidos ou prestados por:</w:t>
      </w:r>
    </w:p>
    <w:p>
      <w:pPr>
        <w:pStyle w:val="Nivel4"/>
        <w:numPr>
          <w:ilvl w:val="3"/>
          <w:numId w:val="7"/>
        </w:numPr>
        <w:ind w:hanging="0" w:left="567"/>
        <w:rPr>
          <w:sz w:val="24"/>
          <w:szCs w:val="24"/>
        </w:rPr>
      </w:pPr>
      <w:bookmarkStart w:id="25" w:name="art60§1i"/>
      <w:bookmarkEnd w:id="25"/>
      <w:r>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ivel4"/>
        <w:numPr>
          <w:ilvl w:val="3"/>
          <w:numId w:val="7"/>
        </w:numPr>
        <w:ind w:hanging="0" w:left="567"/>
        <w:rPr>
          <w:sz w:val="24"/>
          <w:szCs w:val="24"/>
        </w:rPr>
      </w:pPr>
      <w:bookmarkStart w:id="26" w:name="art60§1ii"/>
      <w:bookmarkEnd w:id="26"/>
      <w:r>
        <w:rPr>
          <w:rFonts w:ascii="Arial Narrow" w:hAnsi="Arial Narrow"/>
          <w:sz w:val="24"/>
          <w:szCs w:val="24"/>
        </w:rPr>
        <w:t>empresas brasileiras;</w:t>
      </w:r>
    </w:p>
    <w:p>
      <w:pPr>
        <w:pStyle w:val="Nivel4"/>
        <w:numPr>
          <w:ilvl w:val="3"/>
          <w:numId w:val="7"/>
        </w:numPr>
        <w:ind w:hanging="0" w:left="567"/>
        <w:rPr>
          <w:sz w:val="24"/>
          <w:szCs w:val="24"/>
        </w:rPr>
      </w:pPr>
      <w:bookmarkStart w:id="27" w:name="art60§1iii"/>
      <w:bookmarkEnd w:id="27"/>
      <w:r>
        <w:rPr>
          <w:rFonts w:ascii="Arial Narrow" w:hAnsi="Arial Narrow"/>
          <w:sz w:val="24"/>
          <w:szCs w:val="24"/>
        </w:rPr>
        <w:t>empresas que invistam em pesquisa e no desenvolvimento de tecnologia no País;</w:t>
      </w:r>
    </w:p>
    <w:p>
      <w:pPr>
        <w:pStyle w:val="Nivel4"/>
        <w:numPr>
          <w:ilvl w:val="3"/>
          <w:numId w:val="7"/>
        </w:numPr>
        <w:ind w:hanging="0" w:left="567"/>
        <w:rPr>
          <w:sz w:val="24"/>
          <w:szCs w:val="24"/>
        </w:rPr>
      </w:pPr>
      <w:bookmarkStart w:id="28" w:name="art60§1iv"/>
      <w:bookmarkEnd w:id="28"/>
      <w:r>
        <w:rPr>
          <w:rFonts w:ascii="Arial Narrow" w:hAnsi="Arial Narrow"/>
          <w:sz w:val="24"/>
          <w:szCs w:val="24"/>
        </w:rPr>
        <w:t>empresas que comprovem a prática de mitigação, nos termos da Lei nº 12.187, de 29 de dezembro de 2009.</w:t>
      </w:r>
    </w:p>
    <w:p>
      <w:pPr>
        <w:pStyle w:val="Nivel2"/>
        <w:numPr>
          <w:ilvl w:val="1"/>
          <w:numId w:val="7"/>
        </w:numPr>
        <w:ind w:hanging="0" w:left="0"/>
        <w:rPr>
          <w:sz w:val="24"/>
          <w:szCs w:val="24"/>
        </w:rPr>
      </w:pPr>
      <w:bookmarkStart w:id="29" w:name="_Hlk114646655"/>
      <w:r>
        <w:rPr>
          <w:rFonts w:ascii="Arial Narrow" w:hAnsi="Arial Narrow"/>
          <w:sz w:val="24"/>
          <w:szCs w:val="24"/>
        </w:rPr>
        <w:t>Após a negociação do preço/etapa de lances, o Agente de Contratação/Comissão iniciará a fase de aceitação e julgamento da proposta.</w:t>
      </w:r>
      <w:bookmarkEnd w:id="29"/>
    </w:p>
    <w:p>
      <w:pPr>
        <w:pStyle w:val="Nivel01"/>
        <w:numPr>
          <w:ilvl w:val="0"/>
          <w:numId w:val="7"/>
        </w:numPr>
        <w:ind w:hanging="0" w:left="0"/>
        <w:rPr>
          <w:sz w:val="24"/>
          <w:szCs w:val="24"/>
        </w:rPr>
      </w:pPr>
      <w:bookmarkStart w:id="30" w:name="_Toc135469201"/>
      <w:r>
        <w:rPr>
          <w:rFonts w:ascii="Arial Narrow" w:hAnsi="Arial Narrow"/>
          <w:sz w:val="24"/>
          <w:szCs w:val="24"/>
        </w:rPr>
        <w:t>DA FASE DE JULGAMENTO</w:t>
      </w:r>
      <w:bookmarkEnd w:id="30"/>
    </w:p>
    <w:p>
      <w:pPr>
        <w:pStyle w:val="Nivel2"/>
        <w:numPr>
          <w:ilvl w:val="1"/>
          <w:numId w:val="7"/>
        </w:numPr>
        <w:ind w:hanging="0" w:left="0"/>
        <w:rPr>
          <w:sz w:val="24"/>
          <w:szCs w:val="24"/>
        </w:rPr>
      </w:pPr>
      <w:bookmarkStart w:id="31" w:name="_Ref117019424"/>
      <w:r>
        <w:rPr>
          <w:rFonts w:ascii="Arial Narrow" w:hAnsi="Arial Narrow"/>
          <w:sz w:val="24"/>
          <w:szCs w:val="24"/>
        </w:rPr>
        <w:t xml:space="preserve">Encerrada a etapa de negociação, o Agente de contratação/Comissão verificará se o licitante provisoriamente classificado em primeiro lugar atende às condições de participação no certame, conforme previsto no art. 14 da Lei nº 14.133/2021, legislação correlata, Estudo Técnico Preliminar, Termo de Referência e edital, </w:t>
      </w:r>
      <w:bookmarkEnd w:id="31"/>
      <w:r>
        <w:rPr>
          <w:rFonts w:ascii="Arial Narrow" w:hAnsi="Arial Narrow"/>
          <w:color w:val="auto"/>
          <w:sz w:val="24"/>
          <w:szCs w:val="24"/>
          <w:lang w:eastAsia="ar-SA"/>
        </w:rPr>
        <w:t>especialmente quanto à existência de sanção que impeça a participação no certame ou a futura contratação,</w:t>
      </w:r>
      <w:r>
        <w:rPr>
          <w:rFonts w:ascii="Arial Narrow" w:hAnsi="Arial Narrow"/>
          <w:sz w:val="24"/>
          <w:szCs w:val="24"/>
          <w:lang w:eastAsia="ar-SA"/>
        </w:rPr>
        <w:t xml:space="preserve"> mediante a consulta aos seguintes cadastros:</w:t>
      </w:r>
    </w:p>
    <w:p>
      <w:pPr>
        <w:pStyle w:val="Nivel3"/>
        <w:numPr>
          <w:ilvl w:val="2"/>
          <w:numId w:val="7"/>
        </w:numPr>
        <w:ind w:hanging="0" w:left="284"/>
        <w:rPr>
          <w:sz w:val="24"/>
          <w:szCs w:val="24"/>
        </w:rPr>
      </w:pPr>
      <w:r>
        <w:rPr>
          <w:rFonts w:ascii="Arial Narrow" w:hAnsi="Arial Narrow"/>
          <w:sz w:val="24"/>
          <w:szCs w:val="24"/>
          <w:lang w:eastAsia="ar-SA"/>
        </w:rPr>
        <w:t xml:space="preserve">Cadastro Nacional de Empresas Inidôneas e Suspensas - CEIS, mantido pela Controladoria-Geral da União (https://www.portaltransparencia.gov.br/sancoes/ceis); e </w:t>
      </w:r>
    </w:p>
    <w:p>
      <w:pPr>
        <w:pStyle w:val="Nivel3"/>
        <w:numPr>
          <w:ilvl w:val="2"/>
          <w:numId w:val="7"/>
        </w:numPr>
        <w:ind w:hanging="0" w:left="284"/>
        <w:rPr>
          <w:sz w:val="24"/>
          <w:szCs w:val="24"/>
        </w:rPr>
      </w:pPr>
      <w:r>
        <w:rPr>
          <w:rFonts w:ascii="Arial Narrow" w:hAnsi="Arial Narrow"/>
          <w:sz w:val="24"/>
          <w:szCs w:val="24"/>
          <w:lang w:eastAsia="ar-SA"/>
        </w:rPr>
        <w:t>Cadastro Nacional de Empresas Punidas – CNEP, mantido pela Controladoria-Geral da União (https://www.portaltransparencia.gov.br/sancoes/cnep).</w:t>
      </w:r>
    </w:p>
    <w:p>
      <w:pPr>
        <w:pStyle w:val="Nivel2"/>
        <w:numPr>
          <w:ilvl w:val="1"/>
          <w:numId w:val="7"/>
        </w:numPr>
        <w:ind w:hanging="0" w:left="0"/>
        <w:rPr>
          <w:sz w:val="24"/>
          <w:szCs w:val="24"/>
        </w:rPr>
      </w:pPr>
      <w:r>
        <w:rPr>
          <w:rFonts w:ascii="Arial Narrow" w:hAnsi="Arial Narrow"/>
          <w:sz w:val="24"/>
          <w:szCs w:val="24"/>
        </w:rPr>
        <w:t>A consulta aos cadastros será realizada em nome da empresa licitante e também de seu sócio majoritário, por força da vedação de que trata o artigo 12 da Lei n° 8.429, de 1992.</w:t>
      </w:r>
    </w:p>
    <w:p>
      <w:pPr>
        <w:pStyle w:val="Nivel2"/>
        <w:numPr>
          <w:ilvl w:val="1"/>
          <w:numId w:val="7"/>
        </w:numPr>
        <w:ind w:hanging="0" w:left="0"/>
        <w:rPr>
          <w:sz w:val="24"/>
          <w:szCs w:val="24"/>
        </w:rPr>
      </w:pPr>
      <w:r>
        <w:rPr>
          <w:rFonts w:ascii="Arial Narrow" w:hAnsi="Arial Narrow"/>
          <w:sz w:val="24"/>
          <w:szCs w:val="24"/>
        </w:rPr>
        <w:t>Caso conste na Consulta de Situação do l</w:t>
      </w:r>
      <w:r>
        <w:rPr>
          <w:rFonts w:ascii="Arial Narrow" w:hAnsi="Arial Narrow"/>
          <w:color w:val="auto"/>
          <w:sz w:val="24"/>
          <w:szCs w:val="24"/>
        </w:rPr>
        <w:t xml:space="preserve">icitante </w:t>
      </w:r>
      <w:r>
        <w:rPr>
          <w:rFonts w:ascii="Arial Narrow" w:hAnsi="Arial Narrow"/>
          <w:sz w:val="24"/>
          <w:szCs w:val="24"/>
        </w:rPr>
        <w:t>a existência de Ocorrências Impeditivas Indiretas, o Agente de Contratação/Comissão</w:t>
      </w:r>
      <w:r>
        <w:rPr>
          <w:rFonts w:ascii="Arial Narrow" w:hAnsi="Arial Narrow"/>
          <w:color w:val="auto"/>
          <w:sz w:val="24"/>
          <w:szCs w:val="24"/>
        </w:rPr>
        <w:t xml:space="preserve"> diligenciará para v</w:t>
      </w:r>
      <w:r>
        <w:rPr>
          <w:rFonts w:ascii="Arial Narrow" w:hAnsi="Arial Narrow"/>
          <w:sz w:val="24"/>
          <w:szCs w:val="24"/>
        </w:rPr>
        <w:t>erificar se houve fraude por parte das empresas apontadas no Relatório de Ocorrências Impeditivas Indiretas.</w:t>
      </w:r>
    </w:p>
    <w:p>
      <w:pPr>
        <w:pStyle w:val="Nivel3"/>
        <w:numPr>
          <w:ilvl w:val="2"/>
          <w:numId w:val="7"/>
        </w:numPr>
        <w:ind w:hanging="0" w:left="284"/>
        <w:rPr>
          <w:sz w:val="24"/>
          <w:szCs w:val="24"/>
        </w:rPr>
      </w:pPr>
      <w:r>
        <w:rPr>
          <w:rFonts w:ascii="Arial Narrow" w:hAnsi="Arial Narrow"/>
          <w:sz w:val="24"/>
          <w:szCs w:val="24"/>
        </w:rPr>
        <w:t xml:space="preserve">A tentativa de burla será verificada por meio dos vínculos societários, linhas de fornecimento similares, dentre outros. </w:t>
      </w:r>
    </w:p>
    <w:p>
      <w:pPr>
        <w:pStyle w:val="Nivel3"/>
        <w:numPr>
          <w:ilvl w:val="2"/>
          <w:numId w:val="7"/>
        </w:numPr>
        <w:ind w:hanging="0" w:left="284"/>
        <w:rPr>
          <w:sz w:val="24"/>
          <w:szCs w:val="24"/>
        </w:rPr>
      </w:pPr>
      <w:r>
        <w:rPr>
          <w:rFonts w:ascii="Arial Narrow" w:hAnsi="Arial Narrow"/>
          <w:sz w:val="24"/>
          <w:szCs w:val="24"/>
        </w:rPr>
        <w:t xml:space="preserve">O licitante será convocado para manifestação previamente a uma eventual desclassificação. </w:t>
      </w:r>
    </w:p>
    <w:p>
      <w:pPr>
        <w:pStyle w:val="Nivel3"/>
        <w:numPr>
          <w:ilvl w:val="2"/>
          <w:numId w:val="7"/>
        </w:numPr>
        <w:ind w:hanging="0" w:left="284"/>
        <w:rPr>
          <w:sz w:val="24"/>
          <w:szCs w:val="24"/>
        </w:rPr>
      </w:pPr>
      <w:r>
        <w:rPr>
          <w:rFonts w:ascii="Arial Narrow" w:hAnsi="Arial Narrow"/>
          <w:sz w:val="24"/>
          <w:szCs w:val="24"/>
        </w:rPr>
        <w:t xml:space="preserve">Constatada a existência </w:t>
      </w:r>
      <w:r>
        <w:rPr>
          <w:rFonts w:ascii="Arial Narrow" w:hAnsi="Arial Narrow"/>
          <w:color w:val="auto"/>
          <w:sz w:val="24"/>
          <w:szCs w:val="24"/>
          <w:lang w:eastAsia="ar-SA"/>
        </w:rPr>
        <w:t>de sanção que impeça a participação no certame ou a futura contratação</w:t>
      </w:r>
      <w:r>
        <w:rPr>
          <w:rFonts w:ascii="Arial Narrow" w:hAnsi="Arial Narrow"/>
          <w:sz w:val="24"/>
          <w:szCs w:val="24"/>
        </w:rPr>
        <w:t>, o licitante será reputado inabilitado, por falta de condição de participação.</w:t>
      </w:r>
    </w:p>
    <w:p>
      <w:pPr>
        <w:pStyle w:val="Nivel2"/>
        <w:numPr>
          <w:ilvl w:val="1"/>
          <w:numId w:val="7"/>
        </w:numPr>
        <w:ind w:hanging="0" w:left="0"/>
        <w:rPr>
          <w:sz w:val="24"/>
          <w:szCs w:val="24"/>
        </w:rPr>
      </w:pPr>
      <w:r>
        <w:rPr>
          <w:rFonts w:ascii="Arial Narrow" w:hAnsi="Arial Narrow"/>
          <w:sz w:val="24"/>
          <w:szCs w:val="24"/>
        </w:rPr>
        <w:t>Caso o licitante provisoriamente classificado em primeiro lugar tenha se utilizado de algum tratamento favorecido às ME/EPPs, o Agente de Contratação/Comissão verificará se faz jus ao benefício, em conformidade com este edital.</w:t>
      </w:r>
    </w:p>
    <w:p>
      <w:pPr>
        <w:pStyle w:val="Nivel2"/>
        <w:numPr>
          <w:ilvl w:val="1"/>
          <w:numId w:val="7"/>
        </w:numPr>
        <w:ind w:hanging="0" w:left="0"/>
        <w:rPr>
          <w:sz w:val="24"/>
          <w:szCs w:val="24"/>
        </w:rPr>
      </w:pPr>
      <w:r>
        <w:rPr>
          <w:rFonts w:ascii="Arial Narrow" w:hAnsi="Arial Narrow"/>
          <w:sz w:val="24"/>
          <w:szCs w:val="24"/>
        </w:rPr>
        <w:t>Verificadas as condições de participação e de utilização do tratamento favorecido, o Agente de Contratação/Comissão examinará a proposta classificada em primeiro lugar quanto à adequação ao objeto e à compatibilidade do preço em relação ao mínimo estipulado para contratação neste Edital e em seus anexos.</w:t>
      </w:r>
    </w:p>
    <w:p>
      <w:pPr>
        <w:pStyle w:val="Nivel2"/>
        <w:numPr>
          <w:ilvl w:val="1"/>
          <w:numId w:val="7"/>
        </w:numPr>
        <w:ind w:hanging="0" w:left="0"/>
        <w:rPr>
          <w:sz w:val="24"/>
          <w:szCs w:val="24"/>
        </w:rPr>
      </w:pPr>
      <w:r>
        <w:rPr>
          <w:rFonts w:ascii="Arial Narrow" w:hAnsi="Arial Narrow"/>
          <w:sz w:val="24"/>
          <w:szCs w:val="24"/>
        </w:rPr>
        <w:t xml:space="preserve">Será desclassificada a proposta vencedora que: </w:t>
      </w:r>
    </w:p>
    <w:p>
      <w:pPr>
        <w:pStyle w:val="Nivel3"/>
        <w:numPr>
          <w:ilvl w:val="2"/>
          <w:numId w:val="7"/>
        </w:numPr>
        <w:ind w:hanging="0" w:left="284"/>
        <w:rPr>
          <w:sz w:val="24"/>
          <w:szCs w:val="24"/>
        </w:rPr>
      </w:pPr>
      <w:r>
        <w:rPr>
          <w:rFonts w:ascii="Arial Narrow" w:hAnsi="Arial Narrow"/>
          <w:sz w:val="24"/>
          <w:szCs w:val="24"/>
        </w:rPr>
        <w:t>contiver vícios insanáveis;</w:t>
      </w:r>
    </w:p>
    <w:p>
      <w:pPr>
        <w:pStyle w:val="Nivel3"/>
        <w:numPr>
          <w:ilvl w:val="2"/>
          <w:numId w:val="7"/>
        </w:numPr>
        <w:ind w:hanging="0" w:left="284"/>
        <w:rPr>
          <w:sz w:val="24"/>
          <w:szCs w:val="24"/>
        </w:rPr>
      </w:pPr>
      <w:r>
        <w:rPr>
          <w:rFonts w:ascii="Arial Narrow" w:hAnsi="Arial Narrow"/>
          <w:sz w:val="24"/>
          <w:szCs w:val="24"/>
        </w:rPr>
        <w:t>não obedecer às especificações técnicas contidas no Projeto Básico/Termo de Referência;</w:t>
      </w:r>
    </w:p>
    <w:p>
      <w:pPr>
        <w:pStyle w:val="Nivel3"/>
        <w:numPr>
          <w:ilvl w:val="2"/>
          <w:numId w:val="7"/>
        </w:numPr>
        <w:ind w:hanging="0" w:left="284"/>
        <w:rPr>
          <w:sz w:val="24"/>
          <w:szCs w:val="24"/>
        </w:rPr>
      </w:pPr>
      <w:r>
        <w:rPr>
          <w:rFonts w:ascii="Arial Narrow" w:hAnsi="Arial Narrow"/>
          <w:sz w:val="24"/>
          <w:szCs w:val="24"/>
        </w:rPr>
        <w:t>apresentar preços inexequíveis;</w:t>
      </w:r>
    </w:p>
    <w:p>
      <w:pPr>
        <w:pStyle w:val="Nivel3"/>
        <w:numPr>
          <w:ilvl w:val="2"/>
          <w:numId w:val="7"/>
        </w:numPr>
        <w:ind w:hanging="0" w:left="284"/>
        <w:rPr>
          <w:sz w:val="24"/>
          <w:szCs w:val="24"/>
        </w:rPr>
      </w:pPr>
      <w:r>
        <w:rPr>
          <w:rFonts w:ascii="Arial Narrow" w:hAnsi="Arial Narrow"/>
          <w:sz w:val="24"/>
          <w:szCs w:val="24"/>
        </w:rPr>
        <w:t>não tiverem sua exequibilidade demonstrada, quando exigido pela Administração;</w:t>
      </w:r>
    </w:p>
    <w:p>
      <w:pPr>
        <w:pStyle w:val="Nivel3"/>
        <w:numPr>
          <w:ilvl w:val="2"/>
          <w:numId w:val="7"/>
        </w:numPr>
        <w:ind w:hanging="0" w:left="284"/>
        <w:rPr>
          <w:sz w:val="24"/>
          <w:szCs w:val="24"/>
        </w:rPr>
      </w:pPr>
      <w:r>
        <w:rPr>
          <w:rFonts w:ascii="Arial Narrow" w:hAnsi="Arial Narrow"/>
          <w:sz w:val="24"/>
          <w:szCs w:val="24"/>
        </w:rPr>
        <w:t>apresentar desconformidade com quaisquer outras exigências deste Edital ou seus anexos, desde que insanável.</w:t>
      </w:r>
    </w:p>
    <w:p>
      <w:pPr>
        <w:pStyle w:val="Nivel2"/>
        <w:numPr>
          <w:ilvl w:val="1"/>
          <w:numId w:val="7"/>
        </w:numPr>
        <w:ind w:hanging="0" w:left="0"/>
        <w:rPr>
          <w:sz w:val="24"/>
          <w:szCs w:val="24"/>
        </w:rPr>
      </w:pPr>
      <w:r>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 da proposta.</w:t>
      </w:r>
    </w:p>
    <w:p>
      <w:pPr>
        <w:pStyle w:val="Nivel2"/>
        <w:numPr>
          <w:ilvl w:val="1"/>
          <w:numId w:val="7"/>
        </w:numPr>
        <w:ind w:hanging="0" w:left="0"/>
        <w:rPr>
          <w:sz w:val="24"/>
          <w:szCs w:val="24"/>
        </w:rPr>
      </w:pPr>
      <w:r>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sendo que a análise e aprovação da Planilha Analítica ficará a cargo da Secretaria Requisitante.</w:t>
      </w:r>
    </w:p>
    <w:p>
      <w:pPr>
        <w:pStyle w:val="Nivel2"/>
        <w:numPr>
          <w:ilvl w:val="1"/>
          <w:numId w:val="7"/>
        </w:numPr>
        <w:ind w:hanging="0" w:left="0"/>
        <w:rPr>
          <w:sz w:val="24"/>
          <w:szCs w:val="24"/>
        </w:rPr>
      </w:pPr>
      <w:r>
        <w:rPr>
          <w:rFonts w:ascii="Arial Narrow" w:hAnsi="Arial Narrow"/>
          <w:sz w:val="24"/>
          <w:szCs w:val="24"/>
        </w:rPr>
        <w:t>Erros no preenchimento da planilha não constituem motivo para a desclassificação da proposta, se corrigida no prazo estabelecido pela Administração. A planilha poderá́ ser ajustada pelo fornecedor, no prazo indicado pelo sistema, desde que n</w:t>
      </w:r>
      <w:r>
        <w:rPr>
          <w:rFonts w:cs="Arial Narrow" w:ascii="Arial Narrow" w:hAnsi="Arial Narrow"/>
          <w:sz w:val="24"/>
          <w:szCs w:val="24"/>
        </w:rPr>
        <w:t>ã</w:t>
      </w:r>
      <w:r>
        <w:rPr>
          <w:rFonts w:ascii="Arial Narrow" w:hAnsi="Arial Narrow"/>
          <w:sz w:val="24"/>
          <w:szCs w:val="24"/>
        </w:rPr>
        <w:t>o haja majora</w:t>
      </w:r>
      <w:r>
        <w:rPr>
          <w:rFonts w:cs="Arial Narrow" w:ascii="Arial Narrow" w:hAnsi="Arial Narrow"/>
          <w:sz w:val="24"/>
          <w:szCs w:val="24"/>
        </w:rPr>
        <w:t>çã</w:t>
      </w:r>
      <w:r>
        <w:rPr>
          <w:rFonts w:ascii="Arial Narrow" w:hAnsi="Arial Narrow"/>
          <w:sz w:val="24"/>
          <w:szCs w:val="24"/>
        </w:rPr>
        <w:t>o do pre</w:t>
      </w:r>
      <w:r>
        <w:rPr>
          <w:rFonts w:cs="Arial Narrow" w:ascii="Arial Narrow" w:hAnsi="Arial Narrow"/>
          <w:sz w:val="24"/>
          <w:szCs w:val="24"/>
        </w:rPr>
        <w:t>ç</w:t>
      </w:r>
      <w:r>
        <w:rPr>
          <w:rFonts w:ascii="Arial Narrow" w:hAnsi="Arial Narrow"/>
          <w:sz w:val="24"/>
          <w:szCs w:val="24"/>
        </w:rPr>
        <w:t>o (global e unitário) e que se comprove que este é o bastante para arcar com todos os custos da contratação.</w:t>
      </w:r>
    </w:p>
    <w:p>
      <w:pPr>
        <w:pStyle w:val="Nivel3"/>
        <w:numPr>
          <w:ilvl w:val="2"/>
          <w:numId w:val="7"/>
        </w:numPr>
        <w:ind w:hanging="0" w:left="284"/>
        <w:rPr>
          <w:sz w:val="24"/>
          <w:szCs w:val="24"/>
        </w:rPr>
      </w:pPr>
      <w:r>
        <w:rPr>
          <w:rFonts w:ascii="Arial Narrow" w:hAnsi="Arial Narrow"/>
          <w:sz w:val="24"/>
          <w:szCs w:val="24"/>
        </w:rPr>
        <w:t>O ajuste de que trata este dispositivo se limita a sanar erros ou falhas que não alterem a substância das propostas;</w:t>
      </w:r>
    </w:p>
    <w:p>
      <w:pPr>
        <w:pStyle w:val="Nivel3"/>
        <w:numPr>
          <w:ilvl w:val="2"/>
          <w:numId w:val="7"/>
        </w:numPr>
        <w:ind w:hanging="0" w:left="284"/>
        <w:rPr>
          <w:sz w:val="24"/>
          <w:szCs w:val="24"/>
        </w:rPr>
      </w:pPr>
      <w:r>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pPr>
        <w:pStyle w:val="Nivel2"/>
        <w:numPr>
          <w:ilvl w:val="1"/>
          <w:numId w:val="7"/>
        </w:numPr>
        <w:ind w:hanging="0" w:left="0"/>
        <w:rPr>
          <w:sz w:val="24"/>
          <w:szCs w:val="24"/>
        </w:rPr>
      </w:pPr>
      <w:r>
        <w:rPr>
          <w:rFonts w:ascii="Arial Narrow" w:hAnsi="Arial Narrow"/>
          <w:sz w:val="24"/>
          <w:szCs w:val="24"/>
          <w:lang w:eastAsia="en-US"/>
        </w:rPr>
        <w:t xml:space="preserve">Para fins de análise da proposta quanto ao cumprimento </w:t>
      </w:r>
      <w:r>
        <w:rPr>
          <w:rFonts w:ascii="Arial Narrow" w:hAnsi="Arial Narrow"/>
          <w:sz w:val="24"/>
          <w:szCs w:val="24"/>
        </w:rPr>
        <w:t>das</w:t>
      </w:r>
      <w:r>
        <w:rPr>
          <w:rFonts w:ascii="Arial Narrow" w:hAnsi="Arial Narrow"/>
          <w:sz w:val="24"/>
          <w:szCs w:val="24"/>
          <w:lang w:eastAsia="en-US"/>
        </w:rPr>
        <w:t xml:space="preserve"> especificações do objeto, poderá ser colhida a </w:t>
      </w:r>
      <w:r>
        <w:rPr>
          <w:rFonts w:ascii="Arial Narrow" w:hAnsi="Arial Narrow"/>
          <w:sz w:val="24"/>
          <w:szCs w:val="24"/>
        </w:rPr>
        <w:t>manifestação</w:t>
      </w:r>
      <w:r>
        <w:rPr>
          <w:rFonts w:ascii="Arial Narrow" w:hAnsi="Arial Narrow"/>
          <w:sz w:val="24"/>
          <w:szCs w:val="24"/>
          <w:lang w:eastAsia="en-US"/>
        </w:rPr>
        <w:t xml:space="preserve"> escrita do setor requisitante do serviço ou da área especializada no objeto.</w:t>
      </w:r>
    </w:p>
    <w:p>
      <w:pPr>
        <w:pStyle w:val="Nivel01"/>
        <w:numPr>
          <w:ilvl w:val="0"/>
          <w:numId w:val="7"/>
        </w:numPr>
        <w:ind w:hanging="0" w:left="0"/>
        <w:rPr>
          <w:sz w:val="24"/>
          <w:szCs w:val="24"/>
        </w:rPr>
      </w:pPr>
      <w:bookmarkStart w:id="32" w:name="_Toc135469202"/>
      <w:r>
        <w:rPr>
          <w:rFonts w:ascii="Arial Narrow" w:hAnsi="Arial Narrow"/>
          <w:sz w:val="24"/>
          <w:szCs w:val="24"/>
        </w:rPr>
        <w:t>DA FASE DE HABILITAÇÃO</w:t>
      </w:r>
      <w:bookmarkEnd w:id="32"/>
    </w:p>
    <w:p>
      <w:pPr>
        <w:pStyle w:val="Normal"/>
        <w:rPr>
          <w:rFonts w:ascii="Arial Narrow" w:hAnsi="Arial Narrow"/>
          <w:sz w:val="24"/>
          <w:szCs w:val="24"/>
        </w:rPr>
      </w:pPr>
      <w:r>
        <w:rPr>
          <w:rFonts w:ascii="Arial Narrow" w:hAnsi="Arial Narrow"/>
          <w:sz w:val="24"/>
          <w:szCs w:val="24"/>
        </w:rPr>
      </w:r>
    </w:p>
    <w:p>
      <w:pPr>
        <w:pStyle w:val="Nivel2"/>
        <w:numPr>
          <w:ilvl w:val="0"/>
          <w:numId w:val="0"/>
        </w:numPr>
        <w:spacing w:before="0" w:after="0"/>
        <w:ind w:hanging="0" w:left="0"/>
        <w:rPr>
          <w:sz w:val="24"/>
          <w:szCs w:val="24"/>
        </w:rPr>
      </w:pPr>
      <w:bookmarkStart w:id="33" w:name="_Ref114663777"/>
      <w:bookmarkEnd w:id="33"/>
      <w:r>
        <w:rPr>
          <w:rFonts w:ascii="Arial Narrow" w:hAnsi="Arial Narrow"/>
          <w:b/>
          <w:bCs/>
          <w:sz w:val="24"/>
          <w:szCs w:val="24"/>
          <w:u w:val="single"/>
        </w:rPr>
        <w:t xml:space="preserve">Para fins de habilitação, deverá o licitante comprovar os seguintes requisitos, encaminhando os seguintes documentos via Plataforma Eletrônica Sistema </w:t>
      </w:r>
      <w:r>
        <w:rPr>
          <w:rFonts w:ascii="Arial Narrow" w:hAnsi="Arial Narrow"/>
          <w:b/>
          <w:bCs/>
          <w:sz w:val="24"/>
          <w:szCs w:val="24"/>
          <w:u w:val="single"/>
        </w:rPr>
        <w:t>www.bll.org.br,</w:t>
      </w:r>
      <w:r>
        <w:rPr>
          <w:rFonts w:ascii="Arial Narrow" w:hAnsi="Arial Narrow"/>
          <w:b/>
          <w:bCs/>
          <w:sz w:val="24"/>
          <w:szCs w:val="24"/>
          <w:u w:val="single"/>
        </w:rPr>
        <w:t xml:space="preserve"> no prazo máximo de 02 (dois) horas, contados do final da sessão pública virtual, solicitado pelo Agente de Contratação/Comissão</w:t>
      </w:r>
      <w:r>
        <w:rPr>
          <w:rFonts w:ascii="Arial Narrow" w:hAnsi="Arial Narrow"/>
          <w:color w:val="auto"/>
          <w:sz w:val="24"/>
          <w:szCs w:val="24"/>
          <w:u w:val="single"/>
        </w:rPr>
        <w:t>:</w:t>
      </w:r>
    </w:p>
    <w:p>
      <w:pPr>
        <w:pStyle w:val="Nivel2"/>
        <w:numPr>
          <w:ilvl w:val="0"/>
          <w:numId w:val="0"/>
        </w:numPr>
        <w:spacing w:before="0" w:after="0"/>
        <w:ind w:hanging="0" w:left="0"/>
        <w:rPr>
          <w:rFonts w:ascii="Arial Narrow" w:hAnsi="Arial Narrow"/>
          <w:color w:val="auto"/>
          <w:sz w:val="24"/>
          <w:szCs w:val="24"/>
        </w:rPr>
      </w:pPr>
      <w:r>
        <w:rPr>
          <w:rFonts w:ascii="Arial Narrow" w:hAnsi="Arial Narrow"/>
          <w:color w:val="auto"/>
          <w:sz w:val="24"/>
          <w:szCs w:val="24"/>
        </w:rPr>
      </w:r>
    </w:p>
    <w:p>
      <w:pPr>
        <w:pStyle w:val="Normal"/>
        <w:widowControl w:val="false"/>
        <w:jc w:val="both"/>
        <w:rPr>
          <w:sz w:val="24"/>
          <w:szCs w:val="24"/>
        </w:rPr>
      </w:pPr>
      <w:r>
        <w:rPr>
          <w:rFonts w:eastAsia="Arial MT" w:cs="Arial" w:ascii="Arial Narrow" w:hAnsi="Arial Narrow"/>
          <w:b/>
          <w:bCs/>
          <w:sz w:val="24"/>
          <w:szCs w:val="24"/>
          <w:lang w:val="pt-PT"/>
        </w:rPr>
        <w:t xml:space="preserve">Habilitação Jurídica: </w:t>
      </w:r>
    </w:p>
    <w:p>
      <w:pPr>
        <w:pStyle w:val="Normal"/>
        <w:widowControl w:val="false"/>
        <w:jc w:val="both"/>
        <w:rPr>
          <w:rFonts w:ascii="Arial Narrow" w:hAnsi="Arial Narrow" w:eastAsia="Arial MT" w:cs="Arial"/>
          <w:b/>
          <w:bCs/>
          <w:sz w:val="24"/>
          <w:szCs w:val="24"/>
          <w:lang w:val="pt-PT"/>
        </w:rPr>
      </w:pPr>
      <w:r>
        <w:rPr>
          <w:rFonts w:eastAsia="Arial MT" w:cs="Arial" w:ascii="Arial Narrow" w:hAnsi="Arial Narrow"/>
          <w:b/>
          <w:bCs/>
          <w:sz w:val="24"/>
          <w:szCs w:val="24"/>
          <w:lang w:val="pt-PT"/>
        </w:rPr>
      </w:r>
    </w:p>
    <w:p>
      <w:pPr>
        <w:pStyle w:val="Nivel2"/>
        <w:numPr>
          <w:ilvl w:val="0"/>
          <w:numId w:val="0"/>
        </w:numPr>
        <w:spacing w:lineRule="auto" w:line="360"/>
        <w:ind w:hanging="0" w:left="0"/>
        <w:rPr>
          <w:rFonts w:ascii="Arial" w:hAnsi="Arial" w:cs="Arial"/>
          <w:sz w:val="22"/>
          <w:szCs w:val="22"/>
        </w:rPr>
      </w:pPr>
      <w:r>
        <w:rPr>
          <w:rFonts w:cs="Arial"/>
          <w:b/>
          <w:bCs/>
          <w:sz w:val="22"/>
          <w:szCs w:val="22"/>
        </w:rPr>
        <w:t xml:space="preserve">7.1. </w:t>
      </w:r>
      <w:bookmarkStart w:id="34" w:name="_Ref115800561"/>
      <w:r>
        <w:rPr>
          <w:rFonts w:cs="Arial"/>
          <w:b/>
          <w:bCs/>
          <w:sz w:val="22"/>
          <w:szCs w:val="22"/>
        </w:rPr>
        <w:t>Pessoa física:</w:t>
      </w:r>
      <w:r>
        <w:rPr>
          <w:rFonts w:cs="Arial"/>
          <w:sz w:val="22"/>
          <w:szCs w:val="22"/>
        </w:rPr>
        <w:t xml:space="preserve"> cédula de identidade (RG) ou documento equivalente que, por força de lei, tenha validade para fins de identificação em todo o território nacional</w:t>
      </w:r>
      <w:bookmarkEnd w:id="34"/>
      <w:r>
        <w:rPr>
          <w:rFonts w:cs="Arial"/>
          <w:sz w:val="22"/>
          <w:szCs w:val="22"/>
        </w:rPr>
        <w:t>.</w:t>
      </w:r>
    </w:p>
    <w:p>
      <w:pPr>
        <w:pStyle w:val="Nivel2"/>
        <w:numPr>
          <w:ilvl w:val="0"/>
          <w:numId w:val="0"/>
        </w:numPr>
        <w:spacing w:lineRule="auto" w:line="360"/>
        <w:ind w:hanging="0" w:left="0"/>
        <w:rPr>
          <w:rFonts w:ascii="Arial" w:hAnsi="Arial" w:cs="Arial"/>
          <w:sz w:val="22"/>
          <w:szCs w:val="22"/>
        </w:rPr>
      </w:pPr>
      <w:r>
        <w:rPr>
          <w:rFonts w:cs="Arial"/>
          <w:b/>
          <w:bCs/>
          <w:sz w:val="22"/>
          <w:szCs w:val="22"/>
        </w:rPr>
        <w:t>7.2. Empresário individual:</w:t>
      </w:r>
      <w:r>
        <w:rPr>
          <w:rFonts w:cs="Arial"/>
          <w:sz w:val="22"/>
          <w:szCs w:val="22"/>
        </w:rPr>
        <w:t xml:space="preserve"> inscrição no Registro Público de Empresas Mercantis, a cargo da Junta Comercial da respectiva sede; </w:t>
      </w:r>
    </w:p>
    <w:p>
      <w:pPr>
        <w:pStyle w:val="Nivel2"/>
        <w:numPr>
          <w:ilvl w:val="0"/>
          <w:numId w:val="0"/>
        </w:numPr>
        <w:spacing w:lineRule="auto" w:line="360"/>
        <w:ind w:hanging="0" w:left="0"/>
        <w:rPr>
          <w:rFonts w:ascii="Arial" w:hAnsi="Arial" w:cs="Arial"/>
          <w:sz w:val="22"/>
          <w:szCs w:val="22"/>
        </w:rPr>
      </w:pPr>
      <w:r>
        <w:rPr>
          <w:rFonts w:cs="Arial"/>
          <w:b/>
          <w:bCs/>
          <w:sz w:val="22"/>
          <w:szCs w:val="22"/>
        </w:rPr>
        <w:t>7.3. Microempreendedor Individual - MEI:</w:t>
      </w:r>
      <w:r>
        <w:rPr>
          <w:rFonts w:cs="Arial"/>
          <w:sz w:val="22"/>
          <w:szCs w:val="22"/>
        </w:rPr>
        <w:t xml:space="preserve"> Certificado da Condição de Microempreendedor Individual - CCMEI, cuja aceitação ficará condicionada à verificação da autenticidade no sítio </w:t>
      </w:r>
      <w:hyperlink r:id="rId3">
        <w:r>
          <w:rPr>
            <w:rStyle w:val="Hyperlink"/>
            <w:rFonts w:cs="Arial"/>
            <w:sz w:val="22"/>
            <w:szCs w:val="22"/>
          </w:rPr>
          <w:t>https://www.gov.br/empresas-e-negocios/pt-br/empreendedor</w:t>
        </w:r>
      </w:hyperlink>
      <w:r>
        <w:rPr>
          <w:rFonts w:cs="Arial"/>
          <w:sz w:val="22"/>
          <w:szCs w:val="22"/>
        </w:rPr>
        <w:t xml:space="preserve">; </w:t>
      </w:r>
    </w:p>
    <w:p>
      <w:pPr>
        <w:pStyle w:val="Nivel2"/>
        <w:numPr>
          <w:ilvl w:val="0"/>
          <w:numId w:val="0"/>
        </w:numPr>
        <w:spacing w:lineRule="auto" w:line="360"/>
        <w:ind w:hanging="0" w:left="0"/>
        <w:rPr>
          <w:rFonts w:ascii="Arial" w:hAnsi="Arial" w:cs="Arial"/>
          <w:sz w:val="22"/>
          <w:szCs w:val="22"/>
        </w:rPr>
      </w:pPr>
      <w:r>
        <w:rPr>
          <w:rFonts w:cs="Arial"/>
          <w:b/>
          <w:bCs/>
          <w:sz w:val="22"/>
          <w:szCs w:val="22"/>
        </w:rPr>
        <w:t>7.4. Sociedade empresária, sociedade limitada unipessoal – SLU ou sociedade identificada como empresa individual de responsabilidade limitada - EIRELI</w:t>
      </w:r>
      <w:r>
        <w:rPr>
          <w:rFonts w:cs="Arial"/>
          <w:sz w:val="22"/>
          <w:szCs w:val="22"/>
        </w:rPr>
        <w:t>: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spacing w:lineRule="auto" w:line="360"/>
        <w:ind w:hanging="0" w:left="0"/>
        <w:rPr>
          <w:rFonts w:ascii="Arial" w:hAnsi="Arial" w:cs="Arial"/>
          <w:sz w:val="22"/>
          <w:szCs w:val="22"/>
        </w:rPr>
      </w:pPr>
      <w:r>
        <w:rPr>
          <w:rFonts w:cs="Arial"/>
          <w:b/>
          <w:bCs/>
          <w:sz w:val="22"/>
          <w:szCs w:val="22"/>
        </w:rPr>
        <w:t xml:space="preserve">7.5. Sociedade simples: </w:t>
      </w:r>
      <w:r>
        <w:rPr>
          <w:rFonts w:cs="Arial"/>
          <w:sz w:val="22"/>
          <w:szCs w:val="22"/>
        </w:rPr>
        <w:t>inscrição do ato constitutivo no Registro Civil de Pessoas Jurídicas do local de sua sede, acompanhada de documento comprobatório de seus administradores;</w:t>
      </w:r>
    </w:p>
    <w:p>
      <w:pPr>
        <w:pStyle w:val="Nivel2"/>
        <w:numPr>
          <w:ilvl w:val="0"/>
          <w:numId w:val="0"/>
        </w:numPr>
        <w:spacing w:lineRule="auto" w:line="360"/>
        <w:ind w:hanging="0" w:left="0"/>
        <w:rPr>
          <w:rFonts w:ascii="Arial" w:hAnsi="Arial" w:cs="Arial"/>
          <w:sz w:val="22"/>
          <w:szCs w:val="22"/>
        </w:rPr>
      </w:pPr>
      <w:r>
        <w:rPr>
          <w:rFonts w:cs="Arial"/>
          <w:b/>
          <w:bCs/>
          <w:sz w:val="22"/>
          <w:szCs w:val="22"/>
        </w:rPr>
        <w:t>7.6. Filial, sucursal ou agência de sociedade simples ou empresária:</w:t>
      </w:r>
      <w:r>
        <w:rPr>
          <w:rFonts w:cs="Arial"/>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ivel2"/>
        <w:numPr>
          <w:ilvl w:val="0"/>
          <w:numId w:val="0"/>
        </w:numPr>
        <w:spacing w:lineRule="auto" w:line="360"/>
        <w:ind w:hanging="0" w:left="0"/>
        <w:rPr>
          <w:rFonts w:ascii="Arial" w:hAnsi="Arial" w:cs="Arial"/>
          <w:sz w:val="22"/>
          <w:szCs w:val="22"/>
        </w:rPr>
      </w:pPr>
      <w:r>
        <w:rPr>
          <w:rFonts w:cs="Arial"/>
          <w:b/>
          <w:bCs/>
          <w:sz w:val="22"/>
          <w:szCs w:val="22"/>
        </w:rPr>
        <w:t>7.7</w:t>
      </w:r>
      <w:r>
        <w:rPr>
          <w:rFonts w:cs="Arial"/>
          <w:sz w:val="22"/>
          <w:szCs w:val="22"/>
        </w:rPr>
        <w:t>. Os documentos apresentados deverão estar acompanhados de todas as alterações ou da consolidação respectiva.</w:t>
      </w:r>
    </w:p>
    <w:p>
      <w:pPr>
        <w:pStyle w:val="Nivel2"/>
        <w:numPr>
          <w:ilvl w:val="0"/>
          <w:numId w:val="0"/>
        </w:numPr>
        <w:spacing w:lineRule="auto" w:line="360"/>
        <w:ind w:hanging="0" w:left="0"/>
        <w:rPr>
          <w:b/>
          <w:bCs/>
        </w:rPr>
      </w:pPr>
      <w:r>
        <w:rPr>
          <w:b/>
          <w:bCs/>
          <w:sz w:val="22"/>
          <w:szCs w:val="22"/>
        </w:rPr>
        <w:t>Habilitação fiscal, social e trabalhista</w:t>
      </w:r>
    </w:p>
    <w:p>
      <w:pPr>
        <w:pStyle w:val="Nivel2"/>
        <w:numPr>
          <w:ilvl w:val="0"/>
          <w:numId w:val="0"/>
        </w:numPr>
        <w:spacing w:lineRule="auto" w:line="360"/>
        <w:ind w:hanging="0" w:left="0"/>
        <w:rPr>
          <w:rFonts w:ascii="Arial" w:hAnsi="Arial" w:cs="Arial"/>
          <w:sz w:val="22"/>
          <w:szCs w:val="22"/>
        </w:rPr>
      </w:pPr>
      <w:r>
        <w:rPr>
          <w:rFonts w:cs="Arial"/>
          <w:b/>
          <w:bCs/>
          <w:sz w:val="22"/>
          <w:szCs w:val="22"/>
        </w:rPr>
        <w:t>7.8</w:t>
      </w:r>
      <w:r>
        <w:rPr>
          <w:rFonts w:cs="Arial"/>
          <w:sz w:val="22"/>
          <w:szCs w:val="22"/>
        </w:rPr>
        <w:t xml:space="preserve"> Prova de inscrição no Cadastro Nacional de Pessoas Jurídicas ou no Cadastro de Pessoas Físicas, conforme o caso;</w:t>
      </w:r>
    </w:p>
    <w:p>
      <w:pPr>
        <w:pStyle w:val="Nivel2"/>
        <w:numPr>
          <w:ilvl w:val="0"/>
          <w:numId w:val="0"/>
        </w:numPr>
        <w:spacing w:lineRule="auto" w:line="360"/>
        <w:ind w:hanging="0" w:left="0"/>
        <w:rPr>
          <w:rFonts w:ascii="Arial" w:hAnsi="Arial" w:cs="Arial"/>
          <w:sz w:val="22"/>
          <w:szCs w:val="22"/>
        </w:rPr>
      </w:pPr>
      <w:r>
        <w:rPr>
          <w:rFonts w:cs="Arial"/>
          <w:b/>
          <w:bCs/>
          <w:sz w:val="22"/>
          <w:szCs w:val="22"/>
        </w:rPr>
        <w:t>7.9.</w:t>
      </w:r>
      <w:r>
        <w:rPr>
          <w:rFonts w:cs="Arial"/>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spacing w:lineRule="auto" w:line="360"/>
        <w:ind w:hanging="0" w:left="0"/>
        <w:rPr>
          <w:rFonts w:ascii="Arial" w:hAnsi="Arial" w:cs="Arial"/>
          <w:sz w:val="22"/>
          <w:szCs w:val="22"/>
        </w:rPr>
      </w:pPr>
      <w:r>
        <w:rPr>
          <w:rFonts w:cs="Arial"/>
          <w:b/>
          <w:bCs/>
          <w:sz w:val="22"/>
          <w:szCs w:val="22"/>
        </w:rPr>
        <w:t>7.10.</w:t>
      </w:r>
      <w:r>
        <w:rPr>
          <w:rFonts w:cs="Arial"/>
          <w:sz w:val="22"/>
          <w:szCs w:val="22"/>
        </w:rPr>
        <w:t xml:space="preserve"> Prova de regularidade com o Fundo de Garantia do Tempo de Serviço (FGTS);</w:t>
      </w:r>
    </w:p>
    <w:p>
      <w:pPr>
        <w:pStyle w:val="Nivel2"/>
        <w:numPr>
          <w:ilvl w:val="0"/>
          <w:numId w:val="0"/>
        </w:numPr>
        <w:spacing w:lineRule="auto" w:line="360"/>
        <w:ind w:hanging="0" w:left="0"/>
        <w:rPr>
          <w:rFonts w:ascii="Arial" w:hAnsi="Arial" w:cs="Arial"/>
          <w:sz w:val="22"/>
          <w:szCs w:val="22"/>
        </w:rPr>
      </w:pPr>
      <w:r>
        <w:rPr>
          <w:rFonts w:cs="Arial"/>
          <w:b/>
          <w:bCs/>
          <w:sz w:val="22"/>
          <w:szCs w:val="22"/>
        </w:rPr>
        <w:t>7.11</w:t>
      </w:r>
      <w:r>
        <w:rPr>
          <w:rFonts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spacing w:lineRule="auto" w:line="360"/>
        <w:ind w:hanging="0" w:left="0"/>
        <w:rPr>
          <w:rFonts w:ascii="Arial" w:hAnsi="Arial" w:cs="Arial"/>
          <w:sz w:val="22"/>
          <w:szCs w:val="22"/>
        </w:rPr>
      </w:pPr>
      <w:r>
        <w:rPr>
          <w:rFonts w:cs="Arial"/>
          <w:b/>
          <w:bCs/>
          <w:sz w:val="22"/>
          <w:szCs w:val="22"/>
        </w:rPr>
        <w:t xml:space="preserve">7.12 </w:t>
      </w:r>
      <w:r>
        <w:rPr>
          <w:rFonts w:cs="Arial"/>
          <w:sz w:val="22"/>
          <w:szCs w:val="22"/>
        </w:rPr>
        <w:t xml:space="preserve">Prova de inscrição no cadastro de contribuintes </w:t>
      </w:r>
      <w:r>
        <w:rPr>
          <w:rFonts w:cs="Arial"/>
          <w:i/>
          <w:iCs/>
          <w:sz w:val="22"/>
          <w:szCs w:val="22"/>
        </w:rPr>
        <w:t>Estadual</w:t>
      </w:r>
      <w:r>
        <w:rPr>
          <w:rFonts w:cs="Arial"/>
          <w:sz w:val="22"/>
          <w:szCs w:val="22"/>
        </w:rPr>
        <w:t xml:space="preserve"> ou </w:t>
      </w:r>
      <w:r>
        <w:rPr>
          <w:rFonts w:cs="Arial"/>
          <w:i/>
          <w:iCs/>
          <w:sz w:val="22"/>
          <w:szCs w:val="22"/>
        </w:rPr>
        <w:t>Municipal</w:t>
      </w:r>
      <w:r>
        <w:rPr>
          <w:rFonts w:cs="Arial"/>
          <w:sz w:val="22"/>
          <w:szCs w:val="22"/>
        </w:rPr>
        <w:t xml:space="preserve"> relativo ao domicílio ou sede do fornecedor, pertinente ao seu ramo de atividade e compatível com o objeto contratual; </w:t>
      </w:r>
    </w:p>
    <w:p>
      <w:pPr>
        <w:pStyle w:val="Nivel2"/>
        <w:numPr>
          <w:ilvl w:val="0"/>
          <w:numId w:val="0"/>
        </w:numPr>
        <w:spacing w:lineRule="auto" w:line="360"/>
        <w:ind w:hanging="0" w:left="0"/>
        <w:rPr>
          <w:rFonts w:ascii="Arial" w:hAnsi="Arial" w:cs="Arial"/>
          <w:sz w:val="22"/>
          <w:szCs w:val="22"/>
        </w:rPr>
      </w:pPr>
      <w:r>
        <w:rPr>
          <w:rFonts w:cs="Arial"/>
          <w:b/>
          <w:bCs/>
          <w:sz w:val="22"/>
          <w:szCs w:val="22"/>
        </w:rPr>
        <w:t>7.13.</w:t>
      </w:r>
      <w:r>
        <w:rPr>
          <w:rFonts w:cs="Arial"/>
          <w:sz w:val="22"/>
          <w:szCs w:val="22"/>
        </w:rPr>
        <w:t xml:space="preserve"> Prova de regularidade com a Fazenda </w:t>
      </w:r>
      <w:r>
        <w:rPr>
          <w:rFonts w:cs="Arial"/>
          <w:i/>
          <w:iCs/>
          <w:sz w:val="22"/>
          <w:szCs w:val="22"/>
        </w:rPr>
        <w:t>Estadual e Municipal</w:t>
      </w:r>
      <w:r>
        <w:rPr>
          <w:rFonts w:cs="Arial"/>
          <w:sz w:val="22"/>
          <w:szCs w:val="22"/>
        </w:rPr>
        <w:t xml:space="preserve"> do domicílio ou sede do fornecedor, relativa à atividade em cujo exercício contrata ou concorre;</w:t>
      </w:r>
    </w:p>
    <w:p>
      <w:pPr>
        <w:pStyle w:val="Nivel2"/>
        <w:numPr>
          <w:ilvl w:val="0"/>
          <w:numId w:val="0"/>
        </w:numPr>
        <w:spacing w:lineRule="auto" w:line="360"/>
        <w:ind w:hanging="0" w:left="0"/>
        <w:rPr>
          <w:rFonts w:ascii="Arial" w:hAnsi="Arial" w:cs="Arial"/>
          <w:sz w:val="22"/>
          <w:szCs w:val="22"/>
        </w:rPr>
      </w:pPr>
      <w:r>
        <w:rPr>
          <w:rFonts w:cs="Arial"/>
          <w:b/>
          <w:bCs/>
          <w:sz w:val="22"/>
          <w:szCs w:val="22"/>
        </w:rPr>
        <w:t>7.14.</w:t>
      </w:r>
      <w:r>
        <w:rPr>
          <w:rFonts w:cs="Arial"/>
          <w:sz w:val="22"/>
          <w:szCs w:val="22"/>
        </w:rPr>
        <w:t xml:space="preserve"> Caso o fornecedor seja considerado isento dos tributos </w:t>
      </w:r>
      <w:r>
        <w:rPr>
          <w:rFonts w:cs="Arial"/>
          <w:i/>
          <w:iCs/>
          <w:sz w:val="22"/>
          <w:szCs w:val="22"/>
        </w:rPr>
        <w:t>Estadual ou Municipal</w:t>
      </w:r>
      <w:r>
        <w:rPr>
          <w:rFonts w:cs="Arial"/>
          <w:sz w:val="22"/>
          <w:szCs w:val="22"/>
        </w:rPr>
        <w:t xml:space="preserve"> relacionados ao objeto contratual, deverá comprovar tal condição mediante a apresentação de declaração da Fazenda respectiva do seu domicílio ou sede, ou outra equivalente, na forma da lei.</w:t>
      </w:r>
    </w:p>
    <w:p>
      <w:pPr>
        <w:pStyle w:val="Nivel2"/>
        <w:numPr>
          <w:ilvl w:val="0"/>
          <w:numId w:val="0"/>
        </w:numPr>
        <w:spacing w:lineRule="auto" w:line="360"/>
        <w:ind w:hanging="0" w:left="0"/>
        <w:rPr>
          <w:rFonts w:ascii="Arial" w:hAnsi="Arial" w:cs="Arial"/>
          <w:sz w:val="22"/>
          <w:szCs w:val="22"/>
        </w:rPr>
      </w:pPr>
      <w:r>
        <w:rPr>
          <w:rFonts w:cs="Arial"/>
          <w:b/>
          <w:bCs/>
          <w:sz w:val="22"/>
          <w:szCs w:val="22"/>
        </w:rPr>
        <w:t>7.15.</w:t>
      </w:r>
      <w:r>
        <w:rPr>
          <w:rFonts w:cs="Arial"/>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ivel2"/>
        <w:numPr>
          <w:ilvl w:val="0"/>
          <w:numId w:val="0"/>
        </w:numPr>
        <w:spacing w:lineRule="auto" w:line="360"/>
        <w:ind w:hanging="0" w:left="0"/>
        <w:rPr>
          <w:rFonts w:ascii="Arial" w:hAnsi="Arial" w:cs="Arial"/>
          <w:sz w:val="22"/>
          <w:szCs w:val="22"/>
        </w:rPr>
      </w:pPr>
      <w:r>
        <w:rPr>
          <w:rFonts w:cs="Arial"/>
          <w:b/>
          <w:bCs/>
          <w:sz w:val="22"/>
          <w:szCs w:val="22"/>
        </w:rPr>
        <w:t xml:space="preserve">7.16. </w:t>
      </w:r>
      <w:r>
        <w:rPr>
          <w:rFonts w:cs="Arial"/>
          <w:sz w:val="22"/>
          <w:szCs w:val="22"/>
        </w:rPr>
        <w:t xml:space="preserve">Em caso de pessoa física, devem ser cumpridos os mesmos requisitos acima descritos, no que for aplicável. </w:t>
      </w:r>
    </w:p>
    <w:p>
      <w:pPr>
        <w:pStyle w:val="Nvel1-SemNumPreto"/>
        <w:numPr>
          <w:ilvl w:val="0"/>
          <w:numId w:val="0"/>
        </w:numPr>
        <w:spacing w:lineRule="auto" w:line="360" w:before="120" w:after="120"/>
        <w:ind w:hanging="0" w:left="720"/>
        <w:rPr>
          <w:sz w:val="22"/>
          <w:szCs w:val="22"/>
        </w:rPr>
      </w:pPr>
      <w:r>
        <w:rPr>
          <w:sz w:val="22"/>
          <w:szCs w:val="22"/>
        </w:rPr>
        <w:t>Qualificação Econômico-Financeira</w:t>
      </w:r>
    </w:p>
    <w:p>
      <w:pPr>
        <w:pStyle w:val="Nivel2"/>
        <w:numPr>
          <w:ilvl w:val="0"/>
          <w:numId w:val="0"/>
        </w:numPr>
        <w:spacing w:lineRule="auto" w:line="360"/>
        <w:ind w:hanging="0" w:left="0"/>
        <w:rPr>
          <w:rFonts w:ascii="Arial" w:hAnsi="Arial" w:cs="Arial"/>
          <w:sz w:val="22"/>
          <w:szCs w:val="22"/>
        </w:rPr>
      </w:pPr>
      <w:r>
        <w:rPr>
          <w:rFonts w:cs="Arial"/>
          <w:b/>
          <w:bCs/>
          <w:sz w:val="22"/>
          <w:szCs w:val="22"/>
        </w:rPr>
        <w:t>7.17</w:t>
      </w:r>
      <w:r>
        <w:rPr>
          <w:rFonts w:cs="Arial"/>
          <w:sz w:val="22"/>
          <w:szCs w:val="22"/>
        </w:rPr>
        <w:t xml:space="preserve">. Certidão negativa de falência expedida pelo distribuidor da sede do fornecedor - </w:t>
      </w:r>
      <w:r>
        <w:fldChar w:fldCharType="begin"/>
      </w:r>
      <w:r>
        <w:rPr>
          <w:rStyle w:val="Hyperlink"/>
          <w:sz w:val="22"/>
          <w:szCs w:val="22"/>
          <w:rFonts w:cs="Arial"/>
        </w:rPr>
        <w:instrText xml:space="preserve"> HYPERLINK "http://www.planalto.gov.br/ccivil_03/_ato2019-2022/2021/lei/L14133.htm" \l "art69"</w:instrText>
      </w:r>
      <w:r>
        <w:rPr>
          <w:rStyle w:val="Hyperlink"/>
          <w:sz w:val="22"/>
          <w:szCs w:val="22"/>
          <w:rFonts w:cs="Arial"/>
        </w:rPr>
        <w:fldChar w:fldCharType="separate"/>
      </w:r>
      <w:r>
        <w:rPr>
          <w:rStyle w:val="Hyperlink"/>
          <w:rFonts w:cs="Arial"/>
          <w:sz w:val="22"/>
          <w:szCs w:val="22"/>
        </w:rPr>
        <w:t>Lei nº 14.133, de 2021, art. 69, caput, inciso II</w:t>
      </w:r>
      <w:r>
        <w:rPr>
          <w:rStyle w:val="Hyperlink"/>
          <w:sz w:val="22"/>
          <w:szCs w:val="22"/>
          <w:rFonts w:cs="Arial"/>
        </w:rPr>
        <w:fldChar w:fldCharType="end"/>
      </w:r>
      <w:r>
        <w:rPr>
          <w:rFonts w:cs="Arial"/>
          <w:sz w:val="22"/>
          <w:szCs w:val="22"/>
        </w:rPr>
        <w:t>;</w:t>
      </w:r>
    </w:p>
    <w:p>
      <w:pPr>
        <w:pStyle w:val="Nivel2"/>
        <w:numPr>
          <w:ilvl w:val="0"/>
          <w:numId w:val="0"/>
        </w:numPr>
        <w:spacing w:lineRule="auto" w:line="360"/>
        <w:ind w:hanging="0" w:left="0"/>
        <w:rPr>
          <w:rFonts w:ascii="Arial" w:hAnsi="Arial" w:cs="Arial"/>
          <w:color w:val="000000"/>
          <w:sz w:val="22"/>
          <w:szCs w:val="22"/>
        </w:rPr>
      </w:pPr>
      <w:r>
        <w:rPr>
          <w:rFonts w:cs="Arial"/>
          <w:b/>
          <w:bCs/>
          <w:color w:val="000000"/>
          <w:sz w:val="22"/>
          <w:szCs w:val="22"/>
        </w:rPr>
        <w:t xml:space="preserve">7.18. </w:t>
      </w:r>
      <w:r>
        <w:rPr>
          <w:rFonts w:cs="Arial"/>
          <w:color w:val="000000"/>
          <w:sz w:val="22"/>
          <w:szCs w:val="22"/>
        </w:rPr>
        <w:t>Certidão de insolvência civil em caso de pessoa física.</w:t>
      </w:r>
    </w:p>
    <w:p>
      <w:pPr>
        <w:pStyle w:val="Nvel1-SemNumPreto"/>
        <w:numPr>
          <w:ilvl w:val="0"/>
          <w:numId w:val="0"/>
        </w:numPr>
        <w:spacing w:lineRule="auto" w:line="360" w:before="120" w:after="120"/>
        <w:ind w:hanging="0" w:left="720"/>
        <w:rPr>
          <w:sz w:val="22"/>
          <w:szCs w:val="22"/>
        </w:rPr>
      </w:pPr>
      <w:r>
        <w:rPr>
          <w:sz w:val="22"/>
          <w:szCs w:val="22"/>
        </w:rPr>
        <w:t>Qualificação Técnica</w:t>
      </w:r>
    </w:p>
    <w:p>
      <w:pPr>
        <w:pStyle w:val="Normal"/>
        <w:widowControl/>
        <w:numPr>
          <w:ilvl w:val="0"/>
          <w:numId w:val="0"/>
        </w:numPr>
        <w:tabs>
          <w:tab w:val="clear" w:pos="708"/>
          <w:tab w:val="left" w:pos="390" w:leader="none"/>
        </w:tabs>
        <w:suppressAutoHyphens w:val="true"/>
        <w:bidi w:val="0"/>
        <w:spacing w:lineRule="auto" w:line="360" w:before="120" w:after="120"/>
        <w:ind w:hanging="0" w:left="0" w:right="0"/>
        <w:jc w:val="both"/>
        <w:rPr/>
      </w:pPr>
      <w:r>
        <w:rPr>
          <w:rFonts w:cs="Arial"/>
          <w:b/>
          <w:bCs/>
          <w:sz w:val="23"/>
          <w:szCs w:val="23"/>
        </w:rPr>
        <w:t xml:space="preserve">7.19. </w:t>
      </w:r>
      <w:bookmarkStart w:id="35" w:name="_Hlk163469195"/>
      <w:r>
        <w:rPr>
          <w:rFonts w:cs="Arial"/>
          <w:sz w:val="23"/>
          <w:szCs w:val="23"/>
        </w:rPr>
        <w:t>Alvará de Funcionamento, caso pessoa jurídica expedido pelo município da sede da empresa, no ramo pertinente ao objeto licitado.</w:t>
      </w:r>
      <w:bookmarkEnd w:id="35"/>
    </w:p>
    <w:p>
      <w:pPr>
        <w:pStyle w:val="Nivel01"/>
        <w:numPr>
          <w:ilvl w:val="0"/>
          <w:numId w:val="3"/>
        </w:numPr>
        <w:spacing w:lineRule="auto" w:line="360" w:before="120" w:after="120"/>
        <w:rPr>
          <w:rFonts w:cs="Arial"/>
          <w:sz w:val="22"/>
          <w:szCs w:val="22"/>
        </w:rPr>
      </w:pPr>
      <w:r>
        <w:rPr>
          <w:rFonts w:cs="Arial"/>
          <w:sz w:val="22"/>
          <w:szCs w:val="22"/>
        </w:rPr>
        <w:t>Outros Documentos</w:t>
      </w:r>
    </w:p>
    <w:p>
      <w:pPr>
        <w:pStyle w:val="Nivel2"/>
        <w:numPr>
          <w:ilvl w:val="0"/>
          <w:numId w:val="0"/>
        </w:numPr>
        <w:spacing w:lineRule="auto" w:line="360"/>
        <w:ind w:hanging="0" w:left="0"/>
        <w:rPr>
          <w:rFonts w:ascii="Arial" w:hAnsi="Arial" w:cs="Arial"/>
          <w:i/>
          <w:i/>
          <w:sz w:val="22"/>
          <w:szCs w:val="22"/>
          <w:lang w:eastAsia="zh-CN" w:bidi="hi-IN"/>
        </w:rPr>
      </w:pPr>
      <w:r>
        <w:rPr>
          <w:rFonts w:cs="Arial"/>
          <w:b/>
          <w:bCs/>
          <w:sz w:val="22"/>
          <w:szCs w:val="22"/>
          <w:lang w:eastAsia="zh-CN" w:bidi="hi-IN"/>
        </w:rPr>
        <w:t>7.20</w:t>
      </w:r>
      <w:r>
        <w:rPr>
          <w:rFonts w:cs="Arial"/>
          <w:sz w:val="22"/>
          <w:szCs w:val="22"/>
          <w:lang w:eastAsia="zh-CN" w:bidi="hi-IN"/>
        </w:rPr>
        <w:t>.</w:t>
      </w:r>
      <w:bookmarkStart w:id="36" w:name="_Hlk163469934"/>
      <w:r>
        <w:rPr>
          <w:rFonts w:cs="Arial"/>
          <w:sz w:val="22"/>
          <w:szCs w:val="22"/>
          <w:lang w:eastAsia="zh-CN" w:bidi="hi-IN"/>
        </w:rPr>
        <w:t>Certidão Negativa Correcional – TCU;</w:t>
      </w:r>
    </w:p>
    <w:p>
      <w:pPr>
        <w:pStyle w:val="Nivel2"/>
        <w:numPr>
          <w:ilvl w:val="0"/>
          <w:numId w:val="0"/>
        </w:numPr>
        <w:spacing w:lineRule="auto" w:line="360"/>
        <w:ind w:hanging="0" w:left="0"/>
        <w:rPr>
          <w:rFonts w:ascii="Arial" w:hAnsi="Arial" w:cs="Arial"/>
          <w:i/>
          <w:i/>
          <w:sz w:val="22"/>
          <w:szCs w:val="22"/>
          <w:lang w:eastAsia="zh-CN" w:bidi="hi-IN"/>
        </w:rPr>
      </w:pPr>
      <w:r>
        <w:rPr>
          <w:rFonts w:cs="Arial"/>
          <w:b/>
          <w:bCs/>
          <w:sz w:val="22"/>
          <w:szCs w:val="22"/>
          <w:lang w:eastAsia="zh-CN" w:bidi="hi-IN"/>
        </w:rPr>
        <w:t>7.21</w:t>
      </w:r>
      <w:r>
        <w:rPr>
          <w:rFonts w:cs="Arial"/>
          <w:sz w:val="22"/>
          <w:szCs w:val="22"/>
          <w:lang w:eastAsia="zh-CN" w:bidi="hi-IN"/>
        </w:rPr>
        <w:t>.Declaração de inexistência de Fatos Impeditivos;</w:t>
      </w:r>
    </w:p>
    <w:p>
      <w:pPr>
        <w:pStyle w:val="Nivel2"/>
        <w:numPr>
          <w:ilvl w:val="0"/>
          <w:numId w:val="0"/>
        </w:numPr>
        <w:spacing w:lineRule="auto" w:line="360"/>
        <w:ind w:hanging="0" w:left="0"/>
        <w:rPr>
          <w:rFonts w:ascii="Arial" w:hAnsi="Arial" w:cs="Arial"/>
          <w:i/>
          <w:i/>
          <w:color w:val="000000"/>
          <w:sz w:val="22"/>
          <w:szCs w:val="22"/>
          <w:lang w:eastAsia="zh-CN" w:bidi="hi-IN"/>
        </w:rPr>
      </w:pPr>
      <w:r>
        <w:rPr>
          <w:rFonts w:cs="Arial"/>
          <w:b/>
          <w:bCs/>
          <w:color w:val="000000"/>
          <w:sz w:val="22"/>
          <w:szCs w:val="22"/>
          <w:lang w:eastAsia="zh-CN" w:bidi="hi-IN"/>
        </w:rPr>
        <w:t xml:space="preserve">7.22. </w:t>
      </w:r>
      <w:r>
        <w:rPr>
          <w:rFonts w:cs="Arial"/>
          <w:color w:val="000000"/>
          <w:sz w:val="22"/>
          <w:szCs w:val="22"/>
          <w:lang w:eastAsia="zh-CN" w:bidi="hi-IN"/>
        </w:rPr>
        <w:t>Declaração de idoneidade;</w:t>
      </w:r>
    </w:p>
    <w:p>
      <w:pPr>
        <w:pStyle w:val="Nivel2"/>
        <w:numPr>
          <w:ilvl w:val="0"/>
          <w:numId w:val="0"/>
        </w:numPr>
        <w:spacing w:lineRule="auto" w:line="360"/>
        <w:ind w:hanging="0" w:left="0"/>
        <w:rPr>
          <w:rFonts w:ascii="Arial" w:hAnsi="Arial" w:cs="Arial"/>
          <w:i/>
          <w:i/>
          <w:color w:val="000000"/>
          <w:sz w:val="22"/>
          <w:szCs w:val="22"/>
          <w:lang w:eastAsia="zh-CN" w:bidi="hi-IN"/>
        </w:rPr>
      </w:pPr>
      <w:r>
        <w:rPr>
          <w:rFonts w:cs="Arial"/>
          <w:b/>
          <w:bCs/>
          <w:color w:val="000000"/>
          <w:sz w:val="22"/>
          <w:szCs w:val="22"/>
          <w:lang w:eastAsia="zh-CN" w:bidi="hi-IN"/>
        </w:rPr>
        <w:t>7.23</w:t>
      </w:r>
      <w:r>
        <w:rPr>
          <w:rFonts w:cs="Arial"/>
          <w:color w:val="000000"/>
          <w:sz w:val="22"/>
          <w:szCs w:val="22"/>
          <w:lang w:eastAsia="zh-CN" w:bidi="hi-IN"/>
        </w:rPr>
        <w:t>. Declaração de que não possui</w:t>
      </w:r>
      <w:r>
        <w:rPr>
          <w:rFonts w:cs="Arial"/>
          <w:color w:val="000000"/>
          <w:sz w:val="22"/>
          <w:szCs w:val="22"/>
        </w:rPr>
        <w:t xml:space="preserve"> vínculo de natureza técnica, comercial, econômica, financeira, trabalhista ou civil com dirigente do órgão ou entidade contratante (Município de Rio Fortuna) ou com agente público que desempenhe função na licitação ou atue na fiscalização ou na gestão do contrato, ou que deles seja cônjuge, companheiro ou parente em linha reta, colateral ou por afinidade, até o terceiro grau;</w:t>
      </w:r>
    </w:p>
    <w:p>
      <w:pPr>
        <w:pStyle w:val="Nivel2"/>
        <w:numPr>
          <w:ilvl w:val="0"/>
          <w:numId w:val="0"/>
        </w:numPr>
        <w:spacing w:lineRule="auto" w:line="360"/>
        <w:ind w:hanging="0" w:left="0"/>
        <w:rPr>
          <w:rFonts w:ascii="Arial" w:hAnsi="Arial" w:cs="Arial"/>
          <w:i/>
          <w:i/>
          <w:color w:val="000000"/>
          <w:sz w:val="22"/>
          <w:szCs w:val="22"/>
          <w:lang w:eastAsia="zh-CN" w:bidi="hi-IN"/>
        </w:rPr>
      </w:pPr>
      <w:r>
        <w:rPr>
          <w:rFonts w:cs="Arial"/>
          <w:b/>
          <w:bCs/>
          <w:color w:val="000000"/>
          <w:sz w:val="22"/>
          <w:szCs w:val="22"/>
          <w:lang w:eastAsia="zh-CN" w:bidi="hi-IN"/>
        </w:rPr>
        <w:t>7.24</w:t>
      </w:r>
      <w:r>
        <w:rPr>
          <w:rFonts w:cs="Arial"/>
          <w:color w:val="000000"/>
          <w:sz w:val="22"/>
          <w:szCs w:val="22"/>
          <w:lang w:eastAsia="zh-CN" w:bidi="hi-IN"/>
        </w:rPr>
        <w:t>.Se empregador, declaração firmada pela licitante de que não possui em seu quadro funcional menores de dezoito anos, em trabalho noturno, perigoso ou insalubre, e nem menores de dezesseis anos em qualquer trabalho, salvo na condição de aprendiz a partir dos catorze anos;</w:t>
      </w:r>
    </w:p>
    <w:p>
      <w:pPr>
        <w:pStyle w:val="Nivel2"/>
        <w:numPr>
          <w:ilvl w:val="0"/>
          <w:numId w:val="0"/>
        </w:numPr>
        <w:spacing w:lineRule="auto" w:line="360"/>
        <w:ind w:hanging="0" w:left="0"/>
        <w:rPr>
          <w:rFonts w:ascii="Arial" w:hAnsi="Arial" w:cs="Arial"/>
          <w:i/>
          <w:i/>
          <w:color w:val="000000"/>
          <w:sz w:val="22"/>
          <w:szCs w:val="22"/>
          <w:lang w:eastAsia="zh-CN" w:bidi="hi-IN"/>
        </w:rPr>
      </w:pPr>
      <w:r>
        <w:rPr>
          <w:rFonts w:cs="Arial"/>
          <w:b/>
          <w:bCs/>
          <w:color w:val="000000"/>
          <w:sz w:val="22"/>
          <w:szCs w:val="22"/>
          <w:lang w:eastAsia="zh-CN" w:bidi="hi-IN"/>
        </w:rPr>
        <w:t>7.25</w:t>
      </w:r>
      <w:r>
        <w:rPr>
          <w:rFonts w:cs="Arial"/>
          <w:color w:val="000000"/>
          <w:sz w:val="22"/>
          <w:szCs w:val="22"/>
          <w:lang w:eastAsia="zh-CN" w:bidi="hi-IN"/>
        </w:rPr>
        <w:t>. Se empregador, declaração de não possui empregados executando trabalho degradante ou forçado, observando o disposto nos incisos III e IV do art. 1º e no inciso III do art. 5º da Constituição Federal;</w:t>
      </w:r>
    </w:p>
    <w:p>
      <w:pPr>
        <w:pStyle w:val="Nivel2"/>
        <w:numPr>
          <w:ilvl w:val="0"/>
          <w:numId w:val="0"/>
        </w:numPr>
        <w:spacing w:lineRule="auto" w:line="360"/>
        <w:ind w:hanging="0" w:left="0"/>
        <w:rPr>
          <w:rFonts w:ascii="Arial" w:hAnsi="Arial" w:cs="Arial"/>
          <w:i/>
          <w:i/>
          <w:color w:val="000000"/>
          <w:sz w:val="22"/>
          <w:szCs w:val="22"/>
          <w:lang w:eastAsia="zh-CN" w:bidi="hi-IN"/>
        </w:rPr>
      </w:pPr>
      <w:r>
        <w:rPr>
          <w:rFonts w:eastAsia="Arial" w:cs="Arial"/>
          <w:b/>
          <w:bCs/>
          <w:color w:val="000000"/>
          <w:sz w:val="22"/>
          <w:szCs w:val="22"/>
          <w:lang w:val="pt-PT" w:eastAsia="zh-CN" w:bidi="hi-IN"/>
        </w:rPr>
        <w:t>7.26</w:t>
      </w:r>
      <w:r>
        <w:rPr>
          <w:rFonts w:eastAsia="Arial" w:cs="Arial"/>
          <w:color w:val="000000"/>
          <w:sz w:val="22"/>
          <w:szCs w:val="22"/>
          <w:lang w:val="pt-PT" w:eastAsia="zh-CN" w:bidi="hi-IN"/>
        </w:rPr>
        <w:t>. Se entregador, declaração de que cumpre as exigências de reserva de cargos para pessoa com deficiência e para reabilitado da Previdência Social, previstas em lei e em outras normas específicas.</w:t>
      </w:r>
      <w:bookmarkEnd w:id="36"/>
    </w:p>
    <w:p>
      <w:pPr>
        <w:pStyle w:val="Nivel2"/>
        <w:numPr>
          <w:ilvl w:val="0"/>
          <w:numId w:val="0"/>
        </w:numPr>
        <w:spacing w:before="288" w:after="288"/>
        <w:ind w:hanging="0" w:left="0"/>
        <w:rPr>
          <w:sz w:val="24"/>
          <w:szCs w:val="24"/>
        </w:rPr>
      </w:pPr>
      <w:bookmarkStart w:id="37" w:name="_Toc161311860"/>
      <w:r>
        <w:rPr>
          <w:rFonts w:ascii="Arial Narrow" w:hAnsi="Arial Narrow"/>
          <w:b/>
          <w:bCs/>
          <w:sz w:val="24"/>
          <w:szCs w:val="24"/>
        </w:rPr>
        <w:t>7.27. Regras para Análise dos Documentos de Habilitação</w:t>
      </w:r>
      <w:bookmarkEnd w:id="37"/>
      <w:r>
        <w:rPr>
          <w:rFonts w:ascii="Arial Narrow" w:hAnsi="Arial Narrow"/>
          <w:b/>
          <w:bCs/>
          <w:sz w:val="24"/>
          <w:szCs w:val="24"/>
        </w:rPr>
        <w:t>:</w:t>
      </w:r>
    </w:p>
    <w:p>
      <w:pPr>
        <w:pStyle w:val="Normal"/>
        <w:jc w:val="both"/>
        <w:rPr>
          <w:sz w:val="24"/>
          <w:szCs w:val="24"/>
        </w:rPr>
      </w:pPr>
      <w:r>
        <w:rPr>
          <w:rFonts w:ascii="Arial Narrow" w:hAnsi="Arial Narrow"/>
          <w:sz w:val="24"/>
          <w:szCs w:val="24"/>
        </w:rPr>
        <w:t>a) Após a entrega dos documentos para habilitação, não será permitida a substituição ou a apresentação de novos documentos, salvo em sede de diligência, para (Lei 14.133/21, art. 64):</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a-1) complementação de informações acerca dos documentos já apresentados pelos licitantes e desde que necessária para apurar fatos existentes à época da abertura do certame; e</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a-2) atualização de documentos cuja validade tenha expirado após a data de recebimento das propostas.</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b) Na análise dos documentos de habilitação, poderão ser sanados erros ou falhas, que não alterem a substância dos documentos e sua validade jurídica, mediante decisão fundamentada, registrada em ata e acessível a todos, atribuindo-lhes eﬁcácia para fins de habilitação e classificação.</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c) Na hipótese de o licitante não atender às exigências para habilitação, o Agente de Contratação/Comissão examinará a proposta subsequente e assim sucessivamente, na ordem de classificação, até a apuração de uma proposta que atenda ao presente edital.</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d) Somente serão disponibilizados para acesso público os documentos de habilitação do licitante cuja proposta atenda ao edital de licitação, após concluídos os procedimentos de que trata o subitem anterior.</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e) Se houve a participação de empresas estrangeiras que não funcionem no País, as exigências de habilitação serão atendidas mediante documentos equivalentes, inicialmente apresentados em tradução livre.</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 xml:space="preserve">f) A habilitação será verificada por meio da plataforma </w:t>
      </w:r>
      <w:r>
        <w:rPr>
          <w:rFonts w:ascii="Arial Narrow" w:hAnsi="Arial Narrow"/>
          <w:sz w:val="24"/>
          <w:szCs w:val="24"/>
        </w:rPr>
        <w:t>www.bll.org.br</w:t>
      </w:r>
      <w:r>
        <w:rPr>
          <w:rFonts w:ascii="Arial Narrow" w:hAnsi="Arial Narrow"/>
          <w:sz w:val="24"/>
          <w:szCs w:val="24"/>
        </w:rPr>
        <w:t>.</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 xml:space="preserve">f-1) Somente haverá a necessidade de comprovação do preenchimento de requisitos mediante apresentação dos documentos originais não-digitais quando houver dúvida em relação à integridade do documento digital ou quando a lei expressamente o exigir. </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 xml:space="preserve">g) É de responsabilidade do licitante conferir a exatidão dos seus dados cadastrais e documentos de habilitação. </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 xml:space="preserve">g-1) A não observância do disposto no item anterior poderá ensejar desclassificação no momento da habilitação. </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h) A verificação dos documentos somente será feita em relação ao licitante vencedor.</w:t>
      </w:r>
    </w:p>
    <w:p>
      <w:pPr>
        <w:pStyle w:val="Normal"/>
        <w:jc w:val="both"/>
        <w:rPr>
          <w:rFonts w:ascii="Arial Narrow" w:hAnsi="Arial Narrow"/>
          <w:sz w:val="24"/>
          <w:szCs w:val="24"/>
        </w:rPr>
      </w:pPr>
      <w:r>
        <w:rPr>
          <w:rFonts w:ascii="Arial Narrow" w:hAnsi="Arial Narrow"/>
          <w:sz w:val="24"/>
          <w:szCs w:val="24"/>
        </w:rPr>
      </w:r>
    </w:p>
    <w:p>
      <w:pPr>
        <w:pStyle w:val="Normal"/>
        <w:jc w:val="both"/>
        <w:rPr>
          <w:sz w:val="24"/>
          <w:szCs w:val="24"/>
        </w:rPr>
      </w:pPr>
      <w:r>
        <w:rPr>
          <w:rFonts w:ascii="Arial Narrow" w:hAnsi="Arial Narrow"/>
          <w:sz w:val="24"/>
          <w:szCs w:val="24"/>
        </w:rPr>
        <w:t>i) Na hipótese de o licitante não atender às exigências para habilitação, o Agente de Contratação/Comissão examinará a proposta subsequente e assim sucessivamente, na ordem de classificação, até a apuração de uma proposta que atenda ao presente edital.</w:t>
      </w:r>
    </w:p>
    <w:p>
      <w:pPr>
        <w:pStyle w:val="Nivel01"/>
        <w:numPr>
          <w:ilvl w:val="0"/>
          <w:numId w:val="7"/>
        </w:numPr>
        <w:ind w:hanging="0" w:left="0"/>
        <w:rPr>
          <w:sz w:val="24"/>
          <w:szCs w:val="24"/>
        </w:rPr>
      </w:pPr>
      <w:bookmarkStart w:id="38" w:name="_Toc135469205"/>
      <w:bookmarkStart w:id="39" w:name="_Ref114663777_Copia_1"/>
      <w:bookmarkEnd w:id="39"/>
      <w:r>
        <w:rPr>
          <w:rFonts w:ascii="Arial Narrow" w:hAnsi="Arial Narrow"/>
          <w:sz w:val="24"/>
          <w:szCs w:val="24"/>
        </w:rPr>
        <w:t>DOS RECURSOS</w:t>
      </w:r>
      <w:bookmarkEnd w:id="38"/>
    </w:p>
    <w:p>
      <w:pPr>
        <w:pStyle w:val="Nivel2"/>
        <w:numPr>
          <w:ilvl w:val="1"/>
          <w:numId w:val="4"/>
        </w:numPr>
        <w:rPr>
          <w:sz w:val="24"/>
          <w:szCs w:val="24"/>
        </w:rPr>
      </w:pPr>
      <w:r>
        <w:rPr>
          <w:rFonts w:ascii="Arial Narrow" w:hAnsi="Arial Narrow"/>
          <w:sz w:val="24"/>
          <w:szCs w:val="24"/>
        </w:rPr>
        <w:t>A interposição de recurso referente ao julgamento das propostas, à habilitação ou inabilitação de licitantes, à anulação ou revogação da licitação, observará o disposto no art. 165 da Lei nº 14.133, de 2021.</w:t>
      </w:r>
    </w:p>
    <w:p>
      <w:pPr>
        <w:pStyle w:val="Nivel2"/>
        <w:numPr>
          <w:ilvl w:val="1"/>
          <w:numId w:val="5"/>
        </w:numPr>
        <w:rPr>
          <w:sz w:val="24"/>
          <w:szCs w:val="24"/>
        </w:rPr>
      </w:pPr>
      <w:r>
        <w:rPr>
          <w:rFonts w:ascii="Arial Narrow" w:hAnsi="Arial Narrow"/>
          <w:sz w:val="24"/>
          <w:szCs w:val="24"/>
        </w:rPr>
        <w:t>O prazo recursal é de 3 (três) dias úteis, contados da data de intimação ou de lavratura da ata.</w:t>
      </w:r>
    </w:p>
    <w:p>
      <w:pPr>
        <w:pStyle w:val="Nivel2"/>
        <w:numPr>
          <w:ilvl w:val="1"/>
          <w:numId w:val="5"/>
        </w:numPr>
        <w:rPr>
          <w:sz w:val="24"/>
          <w:szCs w:val="24"/>
        </w:rPr>
      </w:pPr>
      <w:r>
        <w:rPr>
          <w:rFonts w:ascii="Arial Narrow" w:hAnsi="Arial Narrow"/>
          <w:sz w:val="24"/>
          <w:szCs w:val="24"/>
        </w:rPr>
        <w:t>Quando o recurso apresentado impugnar o julgamento das propostas ou o ato de habilitação ou inabilitação do licitante:</w:t>
      </w:r>
    </w:p>
    <w:p>
      <w:pPr>
        <w:pStyle w:val="Nivel3"/>
        <w:numPr>
          <w:ilvl w:val="2"/>
          <w:numId w:val="5"/>
        </w:numPr>
        <w:ind w:hanging="0" w:left="284"/>
        <w:rPr>
          <w:sz w:val="24"/>
          <w:szCs w:val="24"/>
        </w:rPr>
      </w:pPr>
      <w:r>
        <w:rPr>
          <w:rFonts w:ascii="Arial Narrow" w:hAnsi="Arial Narrow"/>
          <w:sz w:val="24"/>
          <w:szCs w:val="24"/>
        </w:rPr>
        <w:t>a intenção de recorrer deverá ser manifestada imediatamente, sob pena de preclusão;</w:t>
      </w:r>
    </w:p>
    <w:p>
      <w:pPr>
        <w:pStyle w:val="Nivel3"/>
        <w:numPr>
          <w:ilvl w:val="2"/>
          <w:numId w:val="5"/>
        </w:numPr>
        <w:ind w:hanging="0" w:left="284"/>
        <w:rPr>
          <w:sz w:val="24"/>
          <w:szCs w:val="24"/>
        </w:rPr>
      </w:pPr>
      <w:r>
        <w:rPr>
          <w:rFonts w:ascii="Arial Narrow" w:hAnsi="Arial Narrow"/>
          <w:sz w:val="24"/>
          <w:szCs w:val="24"/>
        </w:rPr>
        <w:t xml:space="preserve">o prazo para a manifestação da intenção de recorrer não será inferior a </w:t>
      </w:r>
      <w:r>
        <w:rPr>
          <w:rFonts w:ascii="Arial Narrow" w:hAnsi="Arial Narrow"/>
          <w:b/>
          <w:bCs/>
          <w:sz w:val="24"/>
          <w:szCs w:val="24"/>
        </w:rPr>
        <w:t>10 (DEZ) MINUTOS</w:t>
      </w:r>
      <w:r>
        <w:rPr>
          <w:rFonts w:ascii="Arial Narrow" w:hAnsi="Arial Narrow"/>
          <w:sz w:val="24"/>
          <w:szCs w:val="24"/>
        </w:rPr>
        <w:t>.</w:t>
      </w:r>
    </w:p>
    <w:p>
      <w:pPr>
        <w:pStyle w:val="Nivel3"/>
        <w:numPr>
          <w:ilvl w:val="2"/>
          <w:numId w:val="5"/>
        </w:numPr>
        <w:ind w:hanging="0" w:left="284"/>
        <w:rPr>
          <w:sz w:val="24"/>
          <w:szCs w:val="24"/>
        </w:rPr>
      </w:pPr>
      <w:r>
        <w:rPr>
          <w:rFonts w:ascii="Arial Narrow" w:hAnsi="Arial Narrow"/>
          <w:sz w:val="24"/>
          <w:szCs w:val="24"/>
        </w:rPr>
        <w:t>o prazo para apresentação das razões recursais será iniciado na data de intimação ou de lavratura da ata de habilitação ou inabilitação;</w:t>
      </w:r>
    </w:p>
    <w:p>
      <w:pPr>
        <w:pStyle w:val="Nivel2"/>
        <w:numPr>
          <w:ilvl w:val="1"/>
          <w:numId w:val="5"/>
        </w:numPr>
        <w:ind w:hanging="0" w:left="0"/>
        <w:rPr>
          <w:sz w:val="24"/>
          <w:szCs w:val="24"/>
        </w:rPr>
      </w:pPr>
      <w:r>
        <w:rPr>
          <w:rFonts w:ascii="Arial Narrow" w:hAnsi="Arial Narrow"/>
          <w:sz w:val="24"/>
          <w:szCs w:val="24"/>
        </w:rPr>
        <w:t>Os recursos deverão ser encaminhados em campo próprio do sistema.</w:t>
      </w:r>
    </w:p>
    <w:p>
      <w:pPr>
        <w:pStyle w:val="Nivel2"/>
        <w:numPr>
          <w:ilvl w:val="1"/>
          <w:numId w:val="5"/>
        </w:numPr>
        <w:ind w:hanging="0" w:left="0"/>
        <w:rPr>
          <w:sz w:val="24"/>
          <w:szCs w:val="24"/>
        </w:rPr>
      </w:pPr>
      <w:r>
        <w:rPr>
          <w:rFonts w:ascii="Arial Narrow" w:hAnsi="Arial Narrow"/>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Nivel2"/>
        <w:numPr>
          <w:ilvl w:val="1"/>
          <w:numId w:val="5"/>
        </w:numPr>
        <w:ind w:hanging="0" w:left="0"/>
        <w:rPr>
          <w:sz w:val="24"/>
          <w:szCs w:val="24"/>
        </w:rPr>
      </w:pPr>
      <w:r>
        <w:rPr>
          <w:rFonts w:ascii="Arial Narrow" w:hAnsi="Arial Narrow"/>
          <w:sz w:val="24"/>
          <w:szCs w:val="24"/>
        </w:rPr>
        <w:t xml:space="preserve">Os recursos interpostos fora do prazo não serão conhecidos. </w:t>
      </w:r>
    </w:p>
    <w:p>
      <w:pPr>
        <w:pStyle w:val="Nivel2"/>
        <w:numPr>
          <w:ilvl w:val="1"/>
          <w:numId w:val="5"/>
        </w:numPr>
        <w:ind w:hanging="0" w:left="0"/>
        <w:rPr>
          <w:sz w:val="24"/>
          <w:szCs w:val="24"/>
        </w:rPr>
      </w:pPr>
      <w:r>
        <w:rPr>
          <w:rFonts w:ascii="Arial Narrow" w:hAnsi="Arial Narrow"/>
          <w:sz w:val="24"/>
          <w:szCs w:val="24"/>
        </w:rPr>
        <w:t>O prazo para apresentação de contrarrazões ao recurso pelos demais licitantes será de 3 (três) dias úteis, contados da data da intimação ou da divulgação da interposição do recurso, assegurada a vista imediata dos elementos indispensáveis à defesa de seus interesses.</w:t>
      </w:r>
    </w:p>
    <w:p>
      <w:pPr>
        <w:pStyle w:val="Nivel2"/>
        <w:numPr>
          <w:ilvl w:val="1"/>
          <w:numId w:val="5"/>
        </w:numPr>
        <w:ind w:hanging="0" w:left="0"/>
        <w:rPr>
          <w:sz w:val="24"/>
          <w:szCs w:val="24"/>
        </w:rPr>
      </w:pPr>
      <w:r>
        <w:rPr>
          <w:rFonts w:ascii="Arial Narrow" w:hAnsi="Arial Narrow"/>
          <w:sz w:val="24"/>
          <w:szCs w:val="24"/>
        </w:rPr>
        <w:t xml:space="preserve">O recurso e o pedido de reconsideração terão efeito suspensivo do ato ou da decisão recorrida até que sobrevenha decisão final da autoridade competente. </w:t>
      </w:r>
    </w:p>
    <w:p>
      <w:pPr>
        <w:pStyle w:val="Nivel2"/>
        <w:numPr>
          <w:ilvl w:val="1"/>
          <w:numId w:val="5"/>
        </w:numPr>
        <w:ind w:hanging="0" w:left="0"/>
        <w:rPr>
          <w:sz w:val="24"/>
          <w:szCs w:val="24"/>
        </w:rPr>
      </w:pPr>
      <w:r>
        <w:rPr>
          <w:rFonts w:ascii="Arial Narrow" w:hAnsi="Arial Narrow"/>
          <w:sz w:val="24"/>
          <w:szCs w:val="24"/>
        </w:rPr>
        <w:t xml:space="preserve">O acolhimento do recurso invalida tão somente os atos insuscetíveis de aproveitamento. </w:t>
      </w:r>
    </w:p>
    <w:p>
      <w:pPr>
        <w:pStyle w:val="Nivel2"/>
        <w:numPr>
          <w:ilvl w:val="1"/>
          <w:numId w:val="5"/>
        </w:numPr>
        <w:ind w:hanging="0" w:left="0"/>
        <w:rPr>
          <w:sz w:val="24"/>
          <w:szCs w:val="24"/>
        </w:rPr>
      </w:pPr>
      <w:r>
        <w:rPr>
          <w:rFonts w:ascii="Arial Narrow" w:hAnsi="Arial Narrow"/>
          <w:sz w:val="24"/>
          <w:szCs w:val="24"/>
        </w:rPr>
        <w:t>Os autos do processo permanecerão com vista franqueada aos interessados na plataforma eletrônica.</w:t>
      </w:r>
    </w:p>
    <w:p>
      <w:pPr>
        <w:pStyle w:val="Nivel01"/>
        <w:numPr>
          <w:ilvl w:val="0"/>
          <w:numId w:val="5"/>
        </w:numPr>
        <w:ind w:hanging="0" w:left="0"/>
        <w:rPr>
          <w:sz w:val="24"/>
          <w:szCs w:val="24"/>
        </w:rPr>
      </w:pPr>
      <w:bookmarkStart w:id="40" w:name="_Toc135469206"/>
      <w:r>
        <w:rPr>
          <w:rFonts w:ascii="Arial Narrow" w:hAnsi="Arial Narrow"/>
          <w:sz w:val="24"/>
          <w:szCs w:val="24"/>
        </w:rPr>
        <w:t>DAS INFRAÇÕES ADMINISTRATIVAS E SANÇÕES</w:t>
      </w:r>
      <w:bookmarkEnd w:id="40"/>
    </w:p>
    <w:p>
      <w:pPr>
        <w:pStyle w:val="Nivel2"/>
        <w:numPr>
          <w:ilvl w:val="1"/>
          <w:numId w:val="6"/>
        </w:numPr>
        <w:rPr>
          <w:sz w:val="24"/>
          <w:szCs w:val="24"/>
        </w:rPr>
      </w:pPr>
      <w:r>
        <w:rPr>
          <w:rFonts w:ascii="Arial Narrow" w:hAnsi="Arial Narrow"/>
          <w:sz w:val="24"/>
          <w:szCs w:val="24"/>
        </w:rPr>
        <w:t xml:space="preserve">Comete infração administrativa, nos termos da lei, o licitante que, com dolo ou culpa: </w:t>
      </w:r>
    </w:p>
    <w:p>
      <w:pPr>
        <w:pStyle w:val="Nivel3"/>
        <w:numPr>
          <w:ilvl w:val="2"/>
          <w:numId w:val="6"/>
        </w:numPr>
        <w:rPr>
          <w:sz w:val="24"/>
          <w:szCs w:val="24"/>
        </w:rPr>
      </w:pPr>
      <w:bookmarkStart w:id="41" w:name="_Ref114668085"/>
      <w:r>
        <w:rPr>
          <w:rFonts w:ascii="Arial Narrow" w:hAnsi="Arial Narrow"/>
          <w:sz w:val="24"/>
          <w:szCs w:val="24"/>
        </w:rPr>
        <w:t>deixar de entregar a documentação exigida para o certame ou não entregar qualquer documento que tenha sido solicitado pelo Agente de Contratação/Comissão durante o certame;</w:t>
      </w:r>
      <w:bookmarkEnd w:id="41"/>
    </w:p>
    <w:p>
      <w:pPr>
        <w:pStyle w:val="Nivel3"/>
        <w:numPr>
          <w:ilvl w:val="2"/>
          <w:numId w:val="6"/>
        </w:numPr>
        <w:ind w:hanging="0" w:left="567"/>
        <w:rPr>
          <w:sz w:val="24"/>
          <w:szCs w:val="24"/>
        </w:rPr>
      </w:pPr>
      <w:bookmarkStart w:id="42" w:name="_Ref114668108"/>
      <w:r>
        <w:rPr>
          <w:rFonts w:ascii="Arial Narrow" w:hAnsi="Arial Narrow"/>
          <w:sz w:val="24"/>
          <w:szCs w:val="24"/>
        </w:rPr>
        <w:t>Salvo em decorrência de fato superveniente devidamente justificado, não mantiver a proposta em especial quando:</w:t>
      </w:r>
      <w:bookmarkEnd w:id="42"/>
    </w:p>
    <w:p>
      <w:pPr>
        <w:pStyle w:val="Nivel4"/>
        <w:numPr>
          <w:ilvl w:val="3"/>
          <w:numId w:val="6"/>
        </w:numPr>
        <w:ind w:hanging="0" w:left="567"/>
        <w:rPr>
          <w:sz w:val="24"/>
          <w:szCs w:val="24"/>
        </w:rPr>
      </w:pPr>
      <w:r>
        <w:rPr>
          <w:rFonts w:ascii="Arial Narrow" w:hAnsi="Arial Narrow"/>
          <w:sz w:val="24"/>
          <w:szCs w:val="24"/>
        </w:rPr>
        <w:t xml:space="preserve">não enviar a proposta adequada ao último lance ofertado ou após a negociação; </w:t>
      </w:r>
    </w:p>
    <w:p>
      <w:pPr>
        <w:pStyle w:val="Nivel4"/>
        <w:numPr>
          <w:ilvl w:val="3"/>
          <w:numId w:val="6"/>
        </w:numPr>
        <w:ind w:hanging="0" w:left="567"/>
        <w:rPr>
          <w:sz w:val="24"/>
          <w:szCs w:val="24"/>
        </w:rPr>
      </w:pPr>
      <w:r>
        <w:rPr>
          <w:rFonts w:ascii="Arial Narrow" w:hAnsi="Arial Narrow"/>
          <w:sz w:val="24"/>
          <w:szCs w:val="24"/>
        </w:rPr>
        <w:t xml:space="preserve">recusar-se a enviar o detalhamento da proposta quando exigível; </w:t>
      </w:r>
    </w:p>
    <w:p>
      <w:pPr>
        <w:pStyle w:val="Nivel4"/>
        <w:numPr>
          <w:ilvl w:val="3"/>
          <w:numId w:val="6"/>
        </w:numPr>
        <w:ind w:hanging="0" w:left="567"/>
        <w:rPr>
          <w:sz w:val="24"/>
          <w:szCs w:val="24"/>
        </w:rPr>
      </w:pPr>
      <w:r>
        <w:rPr>
          <w:rFonts w:ascii="Arial Narrow" w:hAnsi="Arial Narrow"/>
          <w:sz w:val="24"/>
          <w:szCs w:val="24"/>
        </w:rPr>
        <w:t>pedir para ser desclassificado quando encerrada a etapa competitiva; ou</w:t>
      </w:r>
    </w:p>
    <w:p>
      <w:pPr>
        <w:pStyle w:val="Nivel4"/>
        <w:numPr>
          <w:ilvl w:val="3"/>
          <w:numId w:val="6"/>
        </w:numPr>
        <w:ind w:hanging="0" w:left="567"/>
        <w:rPr>
          <w:sz w:val="24"/>
          <w:szCs w:val="24"/>
        </w:rPr>
      </w:pPr>
      <w:r>
        <w:rPr>
          <w:rFonts w:ascii="Arial Narrow" w:hAnsi="Arial Narrow"/>
          <w:sz w:val="24"/>
          <w:szCs w:val="24"/>
        </w:rPr>
        <w:t>apresentar proposta ou amostra em desacordo com as especificações do edital.</w:t>
      </w:r>
    </w:p>
    <w:p>
      <w:pPr>
        <w:pStyle w:val="Nivel3"/>
        <w:numPr>
          <w:ilvl w:val="2"/>
          <w:numId w:val="6"/>
        </w:numPr>
        <w:ind w:hanging="0" w:left="284"/>
        <w:rPr>
          <w:sz w:val="24"/>
          <w:szCs w:val="24"/>
        </w:rPr>
      </w:pPr>
      <w:bookmarkStart w:id="43" w:name="_Ref114668139"/>
      <w:r>
        <w:rPr>
          <w:rFonts w:ascii="Arial Narrow" w:hAnsi="Arial Narrow"/>
          <w:sz w:val="24"/>
          <w:szCs w:val="24"/>
        </w:rPr>
        <w:t>não celebrar o contrato ou não entregar a documentação exigida para a contratação, quando convocado dentro do prazo de validade de sua proposta;</w:t>
      </w:r>
      <w:bookmarkEnd w:id="43"/>
    </w:p>
    <w:p>
      <w:pPr>
        <w:pStyle w:val="Nivel4"/>
        <w:numPr>
          <w:ilvl w:val="3"/>
          <w:numId w:val="6"/>
        </w:numPr>
        <w:ind w:hanging="0" w:left="567"/>
        <w:rPr>
          <w:sz w:val="24"/>
          <w:szCs w:val="24"/>
        </w:rPr>
      </w:pPr>
      <w:r>
        <w:rPr>
          <w:rFonts w:ascii="Arial Narrow" w:hAnsi="Arial Narrow"/>
          <w:sz w:val="24"/>
          <w:szCs w:val="24"/>
        </w:rPr>
        <w:t>recusar-se, sem justificativa, a assinar o contrato ou a ata de registro de preço, ou a aceitar ou retirar o instrumento equivalente no prazo estabelecido pela Administração;</w:t>
      </w:r>
    </w:p>
    <w:p>
      <w:pPr>
        <w:pStyle w:val="Nivel3"/>
        <w:numPr>
          <w:ilvl w:val="2"/>
          <w:numId w:val="6"/>
        </w:numPr>
        <w:ind w:hanging="0" w:left="284"/>
        <w:rPr>
          <w:sz w:val="24"/>
          <w:szCs w:val="24"/>
        </w:rPr>
      </w:pPr>
      <w:bookmarkStart w:id="44" w:name="_Ref114668249"/>
      <w:r>
        <w:rPr>
          <w:rFonts w:ascii="Arial Narrow" w:hAnsi="Arial Narrow"/>
          <w:sz w:val="24"/>
          <w:szCs w:val="24"/>
        </w:rPr>
        <w:t>apresentar declaração ou documentação falsa exigida para o certame ou prestar declaração falsa durante a licitação</w:t>
      </w:r>
      <w:bookmarkEnd w:id="44"/>
      <w:r>
        <w:rPr>
          <w:rFonts w:ascii="Arial Narrow" w:hAnsi="Arial Narrow"/>
          <w:sz w:val="24"/>
          <w:szCs w:val="24"/>
        </w:rPr>
        <w:t>;</w:t>
      </w:r>
    </w:p>
    <w:p>
      <w:pPr>
        <w:pStyle w:val="Nivel3"/>
        <w:numPr>
          <w:ilvl w:val="2"/>
          <w:numId w:val="6"/>
        </w:numPr>
        <w:ind w:hanging="0" w:left="284"/>
        <w:rPr>
          <w:sz w:val="24"/>
          <w:szCs w:val="24"/>
        </w:rPr>
      </w:pPr>
      <w:bookmarkStart w:id="45" w:name="_Ref114668245"/>
      <w:r>
        <w:rPr>
          <w:rFonts w:ascii="Arial Narrow" w:hAnsi="Arial Narrow"/>
          <w:sz w:val="24"/>
          <w:szCs w:val="24"/>
        </w:rPr>
        <w:t>fraudar a licitação</w:t>
      </w:r>
      <w:bookmarkEnd w:id="45"/>
      <w:r>
        <w:rPr>
          <w:rFonts w:ascii="Arial Narrow" w:hAnsi="Arial Narrow"/>
          <w:sz w:val="24"/>
          <w:szCs w:val="24"/>
        </w:rPr>
        <w:t>;</w:t>
      </w:r>
    </w:p>
    <w:p>
      <w:pPr>
        <w:pStyle w:val="Nivel3"/>
        <w:numPr>
          <w:ilvl w:val="2"/>
          <w:numId w:val="6"/>
        </w:numPr>
        <w:ind w:hanging="0" w:left="284"/>
        <w:rPr>
          <w:sz w:val="24"/>
          <w:szCs w:val="24"/>
        </w:rPr>
      </w:pPr>
      <w:bookmarkStart w:id="46" w:name="_Ref114668247"/>
      <w:r>
        <w:rPr>
          <w:rFonts w:ascii="Arial Narrow" w:hAnsi="Arial Narrow"/>
          <w:sz w:val="24"/>
          <w:szCs w:val="24"/>
        </w:rPr>
        <w:t>comportar-se de modo inidôneo ou cometer fraude de qualquer natureza, em especial quando:</w:t>
      </w:r>
      <w:bookmarkEnd w:id="46"/>
    </w:p>
    <w:p>
      <w:pPr>
        <w:pStyle w:val="Nivel4"/>
        <w:numPr>
          <w:ilvl w:val="3"/>
          <w:numId w:val="6"/>
        </w:numPr>
        <w:ind w:hanging="0" w:left="567"/>
        <w:rPr>
          <w:sz w:val="24"/>
          <w:szCs w:val="24"/>
        </w:rPr>
      </w:pPr>
      <w:r>
        <w:rPr>
          <w:rFonts w:ascii="Arial Narrow" w:hAnsi="Arial Narrow"/>
          <w:sz w:val="24"/>
          <w:szCs w:val="24"/>
        </w:rPr>
        <w:t xml:space="preserve">induzir deliberadamente a erro no julgamento; </w:t>
      </w:r>
    </w:p>
    <w:p>
      <w:pPr>
        <w:pStyle w:val="Nivel4"/>
        <w:numPr>
          <w:ilvl w:val="3"/>
          <w:numId w:val="6"/>
        </w:numPr>
        <w:ind w:hanging="0" w:left="567"/>
        <w:rPr>
          <w:sz w:val="24"/>
          <w:szCs w:val="24"/>
        </w:rPr>
      </w:pPr>
      <w:r>
        <w:rPr>
          <w:rFonts w:ascii="Arial Narrow" w:hAnsi="Arial Narrow"/>
          <w:sz w:val="24"/>
          <w:szCs w:val="24"/>
        </w:rPr>
        <w:t xml:space="preserve">apresentar amostra falsificada ou deteriorada; </w:t>
      </w:r>
    </w:p>
    <w:p>
      <w:pPr>
        <w:pStyle w:val="Nivel3"/>
        <w:numPr>
          <w:ilvl w:val="2"/>
          <w:numId w:val="6"/>
        </w:numPr>
        <w:ind w:hanging="0" w:left="284"/>
        <w:rPr>
          <w:sz w:val="24"/>
          <w:szCs w:val="24"/>
        </w:rPr>
      </w:pPr>
      <w:bookmarkStart w:id="47" w:name="_Ref114668251"/>
      <w:r>
        <w:rPr>
          <w:rFonts w:ascii="Arial Narrow" w:hAnsi="Arial Narrow"/>
          <w:sz w:val="24"/>
          <w:szCs w:val="24"/>
        </w:rPr>
        <w:t>praticar atos ilícitos com vistas a frustrar os objetivos da licitação</w:t>
      </w:r>
      <w:bookmarkEnd w:id="47"/>
      <w:r>
        <w:rPr>
          <w:rFonts w:ascii="Arial Narrow" w:hAnsi="Arial Narrow"/>
          <w:sz w:val="24"/>
          <w:szCs w:val="24"/>
        </w:rPr>
        <w:t>;</w:t>
      </w:r>
    </w:p>
    <w:p>
      <w:pPr>
        <w:pStyle w:val="Nivel3"/>
        <w:numPr>
          <w:ilvl w:val="2"/>
          <w:numId w:val="6"/>
        </w:numPr>
        <w:ind w:hanging="0" w:left="284"/>
        <w:rPr>
          <w:sz w:val="24"/>
          <w:szCs w:val="24"/>
        </w:rPr>
      </w:pPr>
      <w:bookmarkStart w:id="48" w:name="_Ref114668252"/>
      <w:bookmarkStart w:id="49" w:name="_Hlk114652595"/>
      <w:r>
        <w:rPr>
          <w:rFonts w:ascii="Arial Narrow" w:hAnsi="Arial Narrow"/>
          <w:sz w:val="24"/>
          <w:szCs w:val="24"/>
        </w:rPr>
        <w:t>praticar ato lesivo previsto no art. 5º da Lei n.º 12.846, de 2013.</w:t>
      </w:r>
      <w:bookmarkEnd w:id="48"/>
      <w:bookmarkEnd w:id="49"/>
    </w:p>
    <w:p>
      <w:pPr>
        <w:pStyle w:val="Nivel2"/>
        <w:numPr>
          <w:ilvl w:val="1"/>
          <w:numId w:val="6"/>
        </w:numPr>
        <w:ind w:hanging="0" w:left="0"/>
        <w:rPr>
          <w:sz w:val="24"/>
          <w:szCs w:val="24"/>
        </w:rPr>
      </w:pPr>
      <w:r>
        <w:rPr>
          <w:rFonts w:ascii="Arial Narrow" w:hAnsi="Arial Narrow"/>
          <w:sz w:val="24"/>
          <w:szCs w:val="24"/>
        </w:rPr>
        <w:t xml:space="preserve">Com fulcro na Lei nº 14.133, de 2021, a Administração poderá, garantida a prévia defesa, aplicar aos licitantes e/ou adjudicatários as seguintes sanções, sem prejuízo das responsabilidades civil e criminal: </w:t>
      </w:r>
    </w:p>
    <w:p>
      <w:pPr>
        <w:pStyle w:val="Nivel3"/>
        <w:numPr>
          <w:ilvl w:val="2"/>
          <w:numId w:val="6"/>
        </w:numPr>
        <w:ind w:hanging="0" w:left="284"/>
        <w:rPr>
          <w:sz w:val="24"/>
          <w:szCs w:val="24"/>
        </w:rPr>
      </w:pPr>
      <w:r>
        <w:rPr>
          <w:rFonts w:ascii="Arial Narrow" w:hAnsi="Arial Narrow"/>
          <w:sz w:val="24"/>
          <w:szCs w:val="24"/>
        </w:rPr>
        <w:t xml:space="preserve">advertência; </w:t>
      </w:r>
    </w:p>
    <w:p>
      <w:pPr>
        <w:pStyle w:val="Nivel3"/>
        <w:numPr>
          <w:ilvl w:val="2"/>
          <w:numId w:val="6"/>
        </w:numPr>
        <w:ind w:hanging="0" w:left="284"/>
        <w:rPr>
          <w:sz w:val="24"/>
          <w:szCs w:val="24"/>
        </w:rPr>
      </w:pPr>
      <w:r>
        <w:rPr>
          <w:rFonts w:ascii="Arial Narrow" w:hAnsi="Arial Narrow"/>
          <w:sz w:val="24"/>
          <w:szCs w:val="24"/>
        </w:rPr>
        <w:t>multa;</w:t>
      </w:r>
    </w:p>
    <w:p>
      <w:pPr>
        <w:pStyle w:val="Nivel3"/>
        <w:numPr>
          <w:ilvl w:val="2"/>
          <w:numId w:val="6"/>
        </w:numPr>
        <w:ind w:hanging="0" w:left="284"/>
        <w:rPr>
          <w:sz w:val="24"/>
          <w:szCs w:val="24"/>
        </w:rPr>
      </w:pPr>
      <w:r>
        <w:rPr>
          <w:rFonts w:ascii="Arial Narrow" w:hAnsi="Arial Narrow"/>
          <w:sz w:val="24"/>
          <w:szCs w:val="24"/>
        </w:rPr>
        <w:t>impedimento de licitar e contratar; e</w:t>
      </w:r>
    </w:p>
    <w:p>
      <w:pPr>
        <w:pStyle w:val="Nivel3"/>
        <w:numPr>
          <w:ilvl w:val="2"/>
          <w:numId w:val="6"/>
        </w:numPr>
        <w:ind w:hanging="0" w:left="284"/>
        <w:rPr>
          <w:sz w:val="24"/>
          <w:szCs w:val="24"/>
        </w:rPr>
      </w:pPr>
      <w:r>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pPr>
        <w:pStyle w:val="Nivel2"/>
        <w:numPr>
          <w:ilvl w:val="1"/>
          <w:numId w:val="6"/>
        </w:numPr>
        <w:ind w:hanging="0" w:left="0"/>
        <w:rPr>
          <w:sz w:val="24"/>
          <w:szCs w:val="24"/>
        </w:rPr>
      </w:pPr>
      <w:r>
        <w:rPr>
          <w:rFonts w:ascii="Arial Narrow" w:hAnsi="Arial Narrow"/>
          <w:sz w:val="24"/>
          <w:szCs w:val="24"/>
        </w:rPr>
        <w:t>Na aplicação das sanções serão considerados:</w:t>
      </w:r>
    </w:p>
    <w:p>
      <w:pPr>
        <w:pStyle w:val="Nivel3"/>
        <w:numPr>
          <w:ilvl w:val="2"/>
          <w:numId w:val="6"/>
        </w:numPr>
        <w:ind w:hanging="0" w:left="284"/>
        <w:rPr>
          <w:sz w:val="24"/>
          <w:szCs w:val="24"/>
        </w:rPr>
      </w:pPr>
      <w:r>
        <w:rPr>
          <w:rFonts w:ascii="Arial Narrow" w:hAnsi="Arial Narrow"/>
          <w:sz w:val="24"/>
          <w:szCs w:val="24"/>
        </w:rPr>
        <w:t>a natureza e a gravidade da infração cometida.</w:t>
      </w:r>
    </w:p>
    <w:p>
      <w:pPr>
        <w:pStyle w:val="Nivel3"/>
        <w:numPr>
          <w:ilvl w:val="2"/>
          <w:numId w:val="6"/>
        </w:numPr>
        <w:ind w:hanging="0" w:left="284"/>
        <w:rPr>
          <w:sz w:val="24"/>
          <w:szCs w:val="24"/>
        </w:rPr>
      </w:pPr>
      <w:r>
        <w:rPr>
          <w:rFonts w:ascii="Arial Narrow" w:hAnsi="Arial Narrow"/>
          <w:sz w:val="24"/>
          <w:szCs w:val="24"/>
        </w:rPr>
        <w:t>as peculiaridades do caso concreto;</w:t>
      </w:r>
    </w:p>
    <w:p>
      <w:pPr>
        <w:pStyle w:val="Nivel3"/>
        <w:numPr>
          <w:ilvl w:val="2"/>
          <w:numId w:val="6"/>
        </w:numPr>
        <w:ind w:hanging="0" w:left="284"/>
        <w:rPr>
          <w:sz w:val="24"/>
          <w:szCs w:val="24"/>
        </w:rPr>
      </w:pPr>
      <w:r>
        <w:rPr>
          <w:rFonts w:ascii="Arial Narrow" w:hAnsi="Arial Narrow"/>
          <w:sz w:val="24"/>
          <w:szCs w:val="24"/>
        </w:rPr>
        <w:t>as circunstâncias agravantes ou atenuantes;</w:t>
      </w:r>
    </w:p>
    <w:p>
      <w:pPr>
        <w:pStyle w:val="Nivel3"/>
        <w:numPr>
          <w:ilvl w:val="2"/>
          <w:numId w:val="6"/>
        </w:numPr>
        <w:ind w:hanging="0" w:left="284"/>
        <w:rPr>
          <w:sz w:val="24"/>
          <w:szCs w:val="24"/>
        </w:rPr>
      </w:pPr>
      <w:r>
        <w:rPr>
          <w:rFonts w:ascii="Arial Narrow" w:hAnsi="Arial Narrow"/>
          <w:sz w:val="24"/>
          <w:szCs w:val="24"/>
        </w:rPr>
        <w:t>os danos que dela provierem para a Administração Pública;</w:t>
      </w:r>
    </w:p>
    <w:p>
      <w:pPr>
        <w:pStyle w:val="Nivel3"/>
        <w:numPr>
          <w:ilvl w:val="2"/>
          <w:numId w:val="6"/>
        </w:numPr>
        <w:ind w:hanging="0" w:left="284"/>
        <w:rPr>
          <w:sz w:val="24"/>
          <w:szCs w:val="24"/>
        </w:rPr>
      </w:pPr>
      <w:r>
        <w:rPr>
          <w:rFonts w:ascii="Arial Narrow" w:hAnsi="Arial Narrow"/>
          <w:sz w:val="24"/>
          <w:szCs w:val="24"/>
        </w:rPr>
        <w:t>a implantação ou o aperfeiçoamento de programa de integridade, conforme normas e orientações dos órgãos de controle.</w:t>
      </w:r>
    </w:p>
    <w:p>
      <w:pPr>
        <w:pStyle w:val="Nivel2"/>
        <w:numPr>
          <w:ilvl w:val="1"/>
          <w:numId w:val="6"/>
        </w:numPr>
        <w:ind w:hanging="0" w:left="0"/>
        <w:rPr>
          <w:sz w:val="24"/>
          <w:szCs w:val="24"/>
        </w:rPr>
      </w:pPr>
      <w:r>
        <w:rPr>
          <w:rFonts w:ascii="Arial Narrow" w:hAnsi="Arial Narrow"/>
          <w:sz w:val="24"/>
          <w:szCs w:val="24"/>
        </w:rPr>
        <w:t xml:space="preserve">A multa será recolhida </w:t>
      </w:r>
      <w:r>
        <w:rPr>
          <w:rFonts w:ascii="Arial Narrow" w:hAnsi="Arial Narrow"/>
          <w:color w:val="auto"/>
          <w:sz w:val="24"/>
          <w:szCs w:val="24"/>
        </w:rPr>
        <w:t xml:space="preserve">em percentual de 0,5% a 30% incidente sobre o valor do contrato licitado, recolhida no prazo máximo de 10 (dez) dias úteis, a contar da comunicação oficial. </w:t>
      </w:r>
    </w:p>
    <w:p>
      <w:pPr>
        <w:pStyle w:val="Nivel2"/>
        <w:numPr>
          <w:ilvl w:val="1"/>
          <w:numId w:val="6"/>
        </w:numPr>
        <w:ind w:hanging="0" w:left="0"/>
        <w:rPr>
          <w:sz w:val="24"/>
          <w:szCs w:val="24"/>
        </w:rPr>
      </w:pPr>
      <w:r>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pPr>
        <w:pStyle w:val="Nivel2"/>
        <w:numPr>
          <w:ilvl w:val="1"/>
          <w:numId w:val="6"/>
        </w:numPr>
        <w:ind w:hanging="0" w:left="0"/>
        <w:rPr>
          <w:sz w:val="24"/>
          <w:szCs w:val="24"/>
        </w:rPr>
      </w:pPr>
      <w:r>
        <w:rPr>
          <w:rFonts w:ascii="Arial Narrow" w:hAnsi="Arial Narrow"/>
          <w:sz w:val="24"/>
          <w:szCs w:val="24"/>
        </w:rPr>
        <w:t>Na aplicação da sanção de multa será facultada a defesa do interessado no prazo de 15 (quinze) dias úteis, contado da data de sua intimação.</w:t>
      </w:r>
    </w:p>
    <w:p>
      <w:pPr>
        <w:pStyle w:val="Nivel2"/>
        <w:numPr>
          <w:ilvl w:val="1"/>
          <w:numId w:val="6"/>
        </w:numPr>
        <w:ind w:hanging="0" w:left="0"/>
        <w:rPr>
          <w:sz w:val="24"/>
          <w:szCs w:val="24"/>
        </w:rPr>
      </w:pPr>
      <w:r>
        <w:rPr>
          <w:rFonts w:ascii="Arial Narrow" w:hAnsi="Arial Narrow"/>
          <w:sz w:val="24"/>
          <w:szCs w:val="24"/>
        </w:rPr>
        <w:t>A sanção de impedimento de licitar e contratar será aplicada ao responsável,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ivel2"/>
        <w:numPr>
          <w:ilvl w:val="1"/>
          <w:numId w:val="6"/>
        </w:numPr>
        <w:ind w:hanging="0" w:left="0"/>
        <w:rPr>
          <w:sz w:val="24"/>
          <w:szCs w:val="24"/>
        </w:rPr>
      </w:pPr>
      <w:r>
        <w:rPr>
          <w:rFonts w:ascii="Arial Narrow" w:hAnsi="Arial Narrow"/>
          <w:sz w:val="24"/>
          <w:szCs w:val="24"/>
        </w:rPr>
        <w:t xml:space="preserve">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pPr>
        <w:pStyle w:val="Nivel2"/>
        <w:numPr>
          <w:ilvl w:val="1"/>
          <w:numId w:val="6"/>
        </w:numPr>
        <w:ind w:hanging="0" w:left="0"/>
        <w:rPr>
          <w:sz w:val="24"/>
          <w:szCs w:val="24"/>
        </w:rPr>
      </w:pPr>
      <w:r>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ivel2"/>
        <w:numPr>
          <w:ilvl w:val="1"/>
          <w:numId w:val="6"/>
        </w:numPr>
        <w:ind w:hanging="0" w:left="0"/>
        <w:rPr>
          <w:sz w:val="24"/>
          <w:szCs w:val="24"/>
        </w:rPr>
      </w:pPr>
      <w:r>
        <w:rPr>
          <w:rFonts w:ascii="Arial Narrow" w:hAnsi="Arial Narrow"/>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ivel2"/>
        <w:numPr>
          <w:ilvl w:val="1"/>
          <w:numId w:val="6"/>
        </w:numPr>
        <w:ind w:hanging="0" w:left="0"/>
        <w:rPr>
          <w:sz w:val="24"/>
          <w:szCs w:val="24"/>
        </w:rPr>
      </w:pPr>
      <w:r>
        <w:rPr>
          <w:rFonts w:ascii="Arial Narrow" w:hAnsi="Arial Narrow"/>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ivel2"/>
        <w:numPr>
          <w:ilvl w:val="1"/>
          <w:numId w:val="6"/>
        </w:numPr>
        <w:ind w:hanging="0" w:left="0"/>
        <w:rPr>
          <w:sz w:val="24"/>
          <w:szCs w:val="24"/>
        </w:rPr>
      </w:pPr>
      <w:r>
        <w:rPr>
          <w:rFonts w:ascii="Arial Narrow" w:hAnsi="Arial Narrow"/>
          <w:sz w:val="24"/>
          <w:szCs w:val="24"/>
        </w:rPr>
        <w:t>O recurso e o pedido de reconsideração terão efeito suspensivo do ato ou da decisão recorrida até que sobrevenha decisão final da autoridade competente.</w:t>
      </w:r>
    </w:p>
    <w:p>
      <w:pPr>
        <w:pStyle w:val="Nivel2"/>
        <w:numPr>
          <w:ilvl w:val="1"/>
          <w:numId w:val="6"/>
        </w:numPr>
        <w:ind w:hanging="0" w:left="0"/>
        <w:rPr>
          <w:sz w:val="24"/>
          <w:szCs w:val="24"/>
        </w:rPr>
      </w:pPr>
      <w:r>
        <w:rPr>
          <w:rFonts w:ascii="Arial Narrow" w:hAnsi="Arial Narrow"/>
          <w:sz w:val="24"/>
          <w:szCs w:val="24"/>
        </w:rPr>
        <w:t>A aplicação das sanções previstas neste edital não exclui, em hipótese alguma, a obrigação de reparação integral dos danos causados.</w:t>
      </w:r>
    </w:p>
    <w:p>
      <w:pPr>
        <w:pStyle w:val="Nivel01"/>
        <w:numPr>
          <w:ilvl w:val="0"/>
          <w:numId w:val="6"/>
        </w:numPr>
        <w:ind w:hanging="0" w:left="0"/>
        <w:rPr>
          <w:sz w:val="24"/>
          <w:szCs w:val="24"/>
        </w:rPr>
      </w:pPr>
      <w:bookmarkStart w:id="50" w:name="_Toc135469207"/>
      <w:r>
        <w:rPr>
          <w:sz w:val="24"/>
          <w:szCs w:val="24"/>
        </w:rPr>
        <w:t xml:space="preserve">DA </w:t>
      </w:r>
      <w:r>
        <w:rPr>
          <w:rFonts w:ascii="Arial Narrow" w:hAnsi="Arial Narrow"/>
          <w:sz w:val="24"/>
          <w:szCs w:val="24"/>
        </w:rPr>
        <w:t>IMPUGNAÇÃO AO EDITAL E DO PEDIDO DE ESCLARECIMENTO</w:t>
      </w:r>
      <w:bookmarkEnd w:id="50"/>
    </w:p>
    <w:p>
      <w:pPr>
        <w:pStyle w:val="Nivel2"/>
        <w:numPr>
          <w:ilvl w:val="1"/>
          <w:numId w:val="6"/>
        </w:numPr>
        <w:ind w:hanging="0" w:left="0"/>
        <w:rPr>
          <w:sz w:val="24"/>
          <w:szCs w:val="24"/>
        </w:rPr>
      </w:pPr>
      <w:r>
        <w:rPr>
          <w:rFonts w:ascii="Arial Narrow" w:hAnsi="Arial Narrow"/>
          <w:sz w:val="24"/>
          <w:szCs w:val="24"/>
        </w:rPr>
        <w:t>Qualquer pessoa é parte legítima para impugnar este Edital por irregularidade na aplicação da Lei nº 14.133, de 2021, devendo protocolar o pedido até 3 (três) dias úteis antes da data da abertura do certame.</w:t>
      </w:r>
    </w:p>
    <w:p>
      <w:pPr>
        <w:pStyle w:val="Nivel2"/>
        <w:numPr>
          <w:ilvl w:val="1"/>
          <w:numId w:val="6"/>
        </w:numPr>
        <w:ind w:hanging="0" w:left="0"/>
        <w:rPr>
          <w:sz w:val="24"/>
          <w:szCs w:val="24"/>
        </w:rPr>
      </w:pPr>
      <w:r>
        <w:rPr>
          <w:rFonts w:ascii="Arial Narrow" w:hAnsi="Arial Narrow"/>
          <w:sz w:val="24"/>
          <w:szCs w:val="24"/>
        </w:rPr>
        <w:t>A 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6"/>
        </w:numPr>
        <w:jc w:val="both"/>
        <w:rPr>
          <w:sz w:val="24"/>
          <w:szCs w:val="24"/>
        </w:rPr>
      </w:pPr>
      <w:r>
        <w:rPr>
          <w:rFonts w:ascii="Arial Narrow" w:hAnsi="Arial Narrow"/>
          <w:sz w:val="24"/>
          <w:szCs w:val="24"/>
        </w:rPr>
        <w:t xml:space="preserve">A impugnação e o pedido de esclarecimento poderão ser realizados por forma eletrônica, pelos seguintes meios: </w:t>
      </w:r>
      <w:r>
        <w:rPr>
          <w:rFonts w:cs="Arial" w:ascii="Arial Narrow" w:hAnsi="Arial Narrow"/>
          <w:sz w:val="24"/>
          <w:szCs w:val="24"/>
        </w:rPr>
        <w:t xml:space="preserve">diretamente no </w:t>
      </w:r>
      <w:r>
        <w:rPr>
          <w:rFonts w:cs="Arial" w:ascii="Arial Narrow" w:hAnsi="Arial Narrow"/>
          <w:sz w:val="24"/>
          <w:szCs w:val="24"/>
        </w:rPr>
        <w:t>www.bll.org.br</w:t>
      </w:r>
      <w:r>
        <w:rPr>
          <w:rFonts w:cs="Arial" w:ascii="Arial Narrow" w:hAnsi="Arial Narrow"/>
          <w:sz w:val="24"/>
          <w:szCs w:val="24"/>
        </w:rPr>
        <w:t>.</w:t>
      </w:r>
    </w:p>
    <w:p>
      <w:pPr>
        <w:pStyle w:val="Nivel2"/>
        <w:numPr>
          <w:ilvl w:val="1"/>
          <w:numId w:val="6"/>
        </w:numPr>
        <w:ind w:hanging="0" w:left="0"/>
        <w:rPr>
          <w:sz w:val="24"/>
          <w:szCs w:val="24"/>
        </w:rPr>
      </w:pPr>
      <w:r>
        <w:rPr>
          <w:rFonts w:ascii="Arial Narrow" w:hAnsi="Arial Narrow"/>
          <w:sz w:val="24"/>
          <w:szCs w:val="24"/>
        </w:rPr>
        <w:t>As impugnações e pedidos de esclarecimentos não suspendem os prazos previstos no certame.</w:t>
      </w:r>
    </w:p>
    <w:p>
      <w:pPr>
        <w:pStyle w:val="Nivel2"/>
        <w:numPr>
          <w:ilvl w:val="1"/>
          <w:numId w:val="6"/>
        </w:numPr>
        <w:ind w:hanging="0" w:left="0"/>
        <w:rPr>
          <w:sz w:val="24"/>
          <w:szCs w:val="24"/>
        </w:rPr>
      </w:pPr>
      <w:r>
        <w:rPr>
          <w:rFonts w:ascii="Arial Narrow" w:hAnsi="Arial Narrow"/>
          <w:sz w:val="24"/>
          <w:szCs w:val="24"/>
        </w:rPr>
        <w:t>A concessão de efeito suspensivo à impugnação é medida excepcional e deverá ser motivada pelo agente de contratação, nos autos do processo de licitação.</w:t>
      </w:r>
    </w:p>
    <w:p>
      <w:pPr>
        <w:pStyle w:val="Nivel01"/>
        <w:numPr>
          <w:ilvl w:val="0"/>
          <w:numId w:val="6"/>
        </w:numPr>
        <w:ind w:hanging="0" w:left="0"/>
        <w:rPr>
          <w:sz w:val="24"/>
          <w:szCs w:val="24"/>
        </w:rPr>
      </w:pPr>
      <w:bookmarkStart w:id="51" w:name="_Toc135469208"/>
      <w:r>
        <w:rPr>
          <w:rFonts w:ascii="Arial Narrow" w:hAnsi="Arial Narrow"/>
          <w:sz w:val="24"/>
          <w:szCs w:val="24"/>
        </w:rPr>
        <w:t>DAS DISPOSIÇÕES GERAIS</w:t>
      </w:r>
      <w:bookmarkEnd w:id="51"/>
    </w:p>
    <w:p>
      <w:pPr>
        <w:pStyle w:val="Nivel2"/>
        <w:numPr>
          <w:ilvl w:val="1"/>
          <w:numId w:val="6"/>
        </w:numPr>
        <w:ind w:hanging="0" w:left="0"/>
        <w:rPr>
          <w:sz w:val="24"/>
          <w:szCs w:val="24"/>
        </w:rPr>
      </w:pPr>
      <w:r>
        <w:rPr>
          <w:rFonts w:ascii="Arial Narrow" w:hAnsi="Arial Narrow"/>
          <w:sz w:val="24"/>
          <w:szCs w:val="24"/>
        </w:rPr>
        <w:t>Será divulgada ata da sessão pública no sistema eletrônico.</w:t>
      </w:r>
    </w:p>
    <w:p>
      <w:pPr>
        <w:pStyle w:val="Nivel2"/>
        <w:numPr>
          <w:ilvl w:val="1"/>
          <w:numId w:val="6"/>
        </w:numPr>
        <w:ind w:hanging="0" w:left="0"/>
        <w:rPr>
          <w:sz w:val="24"/>
          <w:szCs w:val="24"/>
        </w:rPr>
      </w:pPr>
      <w:r>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pPr>
        <w:pStyle w:val="Nivel2"/>
        <w:numPr>
          <w:ilvl w:val="1"/>
          <w:numId w:val="6"/>
        </w:numPr>
        <w:ind w:hanging="0" w:left="0"/>
        <w:rPr>
          <w:sz w:val="24"/>
          <w:szCs w:val="24"/>
        </w:rPr>
      </w:pPr>
      <w:r>
        <w:rPr>
          <w:rFonts w:ascii="Arial Narrow" w:hAnsi="Arial Narrow"/>
          <w:sz w:val="24"/>
          <w:szCs w:val="24"/>
        </w:rPr>
        <w:t>Todas as referências de tempo no Edital, no aviso e durante a sessão pública observarão o horário de Brasília - DF.</w:t>
      </w:r>
    </w:p>
    <w:p>
      <w:pPr>
        <w:pStyle w:val="Nivel2"/>
        <w:numPr>
          <w:ilvl w:val="1"/>
          <w:numId w:val="6"/>
        </w:numPr>
        <w:ind w:hanging="0" w:left="0"/>
        <w:rPr>
          <w:sz w:val="24"/>
          <w:szCs w:val="24"/>
        </w:rPr>
      </w:pPr>
      <w:r>
        <w:rPr>
          <w:rFonts w:ascii="Arial Narrow" w:hAnsi="Arial Narrow"/>
          <w:sz w:val="24"/>
          <w:szCs w:val="24"/>
        </w:rPr>
        <w:t>A homologação do resultado desta licitação não implicará direito à contratação.</w:t>
      </w:r>
    </w:p>
    <w:p>
      <w:pPr>
        <w:pStyle w:val="Nivel2"/>
        <w:numPr>
          <w:ilvl w:val="1"/>
          <w:numId w:val="6"/>
        </w:numPr>
        <w:ind w:hanging="0" w:left="0"/>
        <w:rPr>
          <w:sz w:val="24"/>
          <w:szCs w:val="24"/>
        </w:rPr>
      </w:pPr>
      <w:r>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6"/>
        </w:numPr>
        <w:ind w:hanging="0" w:left="0"/>
        <w:rPr>
          <w:sz w:val="24"/>
          <w:szCs w:val="24"/>
        </w:rPr>
      </w:pPr>
      <w:r>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pPr>
        <w:pStyle w:val="Nivel2"/>
        <w:numPr>
          <w:ilvl w:val="1"/>
          <w:numId w:val="6"/>
        </w:numPr>
        <w:ind w:hanging="0" w:left="0"/>
        <w:rPr>
          <w:sz w:val="24"/>
          <w:szCs w:val="24"/>
        </w:rPr>
      </w:pPr>
      <w:r>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pPr>
        <w:pStyle w:val="Nivel2"/>
        <w:numPr>
          <w:ilvl w:val="1"/>
          <w:numId w:val="6"/>
        </w:numPr>
        <w:ind w:hanging="0" w:left="0"/>
        <w:rPr>
          <w:sz w:val="24"/>
          <w:szCs w:val="24"/>
        </w:rPr>
      </w:pPr>
      <w:r>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pPr>
        <w:pStyle w:val="Nivel2"/>
        <w:numPr>
          <w:ilvl w:val="1"/>
          <w:numId w:val="6"/>
        </w:numPr>
        <w:ind w:hanging="0" w:left="0"/>
        <w:rPr>
          <w:sz w:val="24"/>
          <w:szCs w:val="24"/>
        </w:rPr>
      </w:pPr>
      <w:r>
        <w:rPr>
          <w:rFonts w:eastAsia="Times New Roman" w:ascii="Arial Narrow" w:hAnsi="Arial Narrow"/>
          <w:b/>
          <w:bCs/>
          <w:sz w:val="24"/>
          <w:szCs w:val="24"/>
        </w:rPr>
        <w:t>Em caso de divergência entre disposições deste Edital e de seus anexos ou demais peças que compõem o processo, prevalecerá as deste Edital</w:t>
      </w:r>
      <w:r>
        <w:rPr>
          <w:rFonts w:eastAsia="Times New Roman" w:ascii="Arial Narrow" w:hAnsi="Arial Narrow"/>
          <w:sz w:val="24"/>
          <w:szCs w:val="24"/>
        </w:rPr>
        <w:t>.</w:t>
      </w:r>
    </w:p>
    <w:p>
      <w:pPr>
        <w:pStyle w:val="Nivel2"/>
        <w:numPr>
          <w:ilvl w:val="1"/>
          <w:numId w:val="6"/>
        </w:numPr>
        <w:ind w:hanging="0" w:left="0"/>
        <w:rPr>
          <w:sz w:val="24"/>
          <w:szCs w:val="24"/>
        </w:rPr>
      </w:pPr>
      <w:r>
        <w:rPr>
          <w:rFonts w:ascii="Arial Narrow" w:hAnsi="Arial Narrow"/>
          <w:sz w:val="24"/>
          <w:szCs w:val="24"/>
        </w:rPr>
        <w:t xml:space="preserve">O Edital e seus </w:t>
      </w:r>
      <w:r>
        <w:rPr>
          <w:rFonts w:ascii="Arial Narrow" w:hAnsi="Arial Narrow"/>
          <w:color w:val="auto"/>
          <w:sz w:val="24"/>
          <w:szCs w:val="24"/>
        </w:rPr>
        <w:t>anexos estão disponíveis, na íntegra, no Portal Nacional de Contratações Públicas (PNCP) e endereço eletrônico do Município.</w:t>
      </w:r>
    </w:p>
    <w:p>
      <w:pPr>
        <w:pStyle w:val="Nivel2"/>
        <w:numPr>
          <w:ilvl w:val="1"/>
          <w:numId w:val="6"/>
        </w:numPr>
        <w:ind w:hanging="0" w:left="0"/>
        <w:rPr>
          <w:sz w:val="24"/>
          <w:szCs w:val="24"/>
        </w:rPr>
      </w:pPr>
      <w:r>
        <w:rPr>
          <w:rFonts w:ascii="Arial Narrow" w:hAnsi="Arial Narrow"/>
          <w:sz w:val="24"/>
          <w:szCs w:val="24"/>
        </w:rPr>
        <w:t>Integram este Edital, para todos os fins e efeitos, os seguintes anexos:</w:t>
      </w:r>
    </w:p>
    <w:p>
      <w:pPr>
        <w:pStyle w:val="Nivel3"/>
        <w:numPr>
          <w:ilvl w:val="2"/>
          <w:numId w:val="6"/>
        </w:numPr>
        <w:ind w:hanging="0" w:left="284"/>
        <w:rPr>
          <w:sz w:val="24"/>
          <w:szCs w:val="24"/>
        </w:rPr>
      </w:pPr>
      <w:r>
        <w:rPr>
          <w:rFonts w:ascii="Arial Narrow" w:hAnsi="Arial Narrow"/>
          <w:color w:val="auto"/>
          <w:sz w:val="24"/>
          <w:szCs w:val="24"/>
        </w:rPr>
        <w:t>ANEXO I – Termo de Referência;</w:t>
      </w:r>
    </w:p>
    <w:p>
      <w:pPr>
        <w:pStyle w:val="Nivel3"/>
        <w:numPr>
          <w:ilvl w:val="2"/>
          <w:numId w:val="6"/>
        </w:numPr>
        <w:ind w:hanging="0" w:left="284"/>
        <w:rPr>
          <w:sz w:val="24"/>
          <w:szCs w:val="24"/>
        </w:rPr>
      </w:pPr>
      <w:r>
        <w:rPr>
          <w:rFonts w:ascii="Arial Narrow" w:hAnsi="Arial Narrow"/>
          <w:color w:val="auto"/>
          <w:sz w:val="24"/>
          <w:szCs w:val="24"/>
        </w:rPr>
        <w:t>Anexo II – Estudo Técnico Preliminar;</w:t>
      </w:r>
    </w:p>
    <w:p>
      <w:pPr>
        <w:pStyle w:val="Nivel3"/>
        <w:numPr>
          <w:ilvl w:val="2"/>
          <w:numId w:val="6"/>
        </w:numPr>
        <w:ind w:hanging="0" w:left="284"/>
        <w:rPr>
          <w:sz w:val="24"/>
          <w:szCs w:val="24"/>
        </w:rPr>
      </w:pPr>
      <w:r>
        <w:rPr>
          <w:rFonts w:ascii="Arial Narrow" w:hAnsi="Arial Narrow"/>
          <w:color w:val="auto"/>
          <w:sz w:val="24"/>
          <w:szCs w:val="24"/>
        </w:rPr>
        <w:t>ANEXO III – Minuta de Termo de Contrato.</w:t>
      </w:r>
    </w:p>
    <w:p>
      <w:pPr>
        <w:pStyle w:val="Normal"/>
        <w:spacing w:lineRule="auto" w:line="312" w:before="288" w:after="288"/>
        <w:rPr>
          <w:sz w:val="24"/>
          <w:szCs w:val="24"/>
        </w:rPr>
      </w:pPr>
      <w:r>
        <w:rPr>
          <w:rFonts w:eastAsia="MS Mincho" w:cs="Arial" w:ascii="Arial Narrow" w:hAnsi="Arial Narrow"/>
          <w:color w:val="000000"/>
          <w:sz w:val="24"/>
          <w:szCs w:val="24"/>
        </w:rPr>
        <w:t>Santa Rosa de Lima/SC, assinado na data constante da assinatura eletrônica.</w:t>
      </w:r>
    </w:p>
    <w:p>
      <w:pPr>
        <w:pStyle w:val="Normal"/>
        <w:spacing w:lineRule="auto" w:line="312" w:before="288" w:after="288"/>
        <w:rPr>
          <w:rFonts w:ascii="Arial Narrow" w:hAnsi="Arial Narrow" w:eastAsia="MS Mincho" w:cs="Arial"/>
          <w:color w:val="000000"/>
          <w:sz w:val="24"/>
          <w:szCs w:val="24"/>
        </w:rPr>
      </w:pPr>
      <w:r>
        <w:rPr>
          <w:rFonts w:eastAsia="MS Mincho" w:cs="Arial" w:ascii="Arial Narrow" w:hAnsi="Arial Narrow"/>
          <w:color w:val="000000"/>
          <w:sz w:val="24"/>
          <w:szCs w:val="24"/>
        </w:rPr>
      </w:r>
    </w:p>
    <w:p>
      <w:pPr>
        <w:pStyle w:val="Normal"/>
        <w:jc w:val="center"/>
        <w:rPr>
          <w:sz w:val="24"/>
          <w:szCs w:val="24"/>
        </w:rPr>
      </w:pPr>
      <w:r>
        <w:rPr>
          <w:rFonts w:eastAsia="MS Mincho" w:cs="Arial" w:ascii="Arial Narrow" w:hAnsi="Arial Narrow"/>
          <w:b/>
          <w:bCs/>
          <w:color w:val="000000"/>
          <w:sz w:val="24"/>
          <w:szCs w:val="24"/>
        </w:rPr>
        <w:t>MUNICÍPIO DE SANTA ROSA DE LIMA</w:t>
      </w:r>
    </w:p>
    <w:p>
      <w:pPr>
        <w:sectPr>
          <w:headerReference w:type="default" r:id="rId4"/>
          <w:headerReference w:type="first" r:id="rId5"/>
          <w:footerReference w:type="default" r:id="rId6"/>
          <w:footerReference w:type="first" r:id="rId7"/>
          <w:type w:val="nextPage"/>
          <w:pgSz w:w="11906" w:h="16838"/>
          <w:pgMar w:left="1134" w:right="1134" w:gutter="0" w:header="709" w:top="2127" w:footer="0" w:bottom="1418"/>
          <w:pgNumType w:fmt="decimal"/>
          <w:formProt w:val="false"/>
          <w:titlePg/>
          <w:textDirection w:val="lrTb"/>
          <w:docGrid w:type="default" w:linePitch="360" w:charSpace="0"/>
        </w:sectPr>
        <w:pStyle w:val="Normal"/>
        <w:jc w:val="center"/>
        <w:rPr>
          <w:sz w:val="24"/>
          <w:szCs w:val="24"/>
        </w:rPr>
      </w:pPr>
      <w:bookmarkStart w:id="52" w:name="_Hlk82473550"/>
      <w:r>
        <w:rPr>
          <w:rFonts w:eastAsia="MS Mincho" w:cs="Arial" w:ascii="Arial Narrow" w:hAnsi="Arial Narrow"/>
          <w:color w:val="000000"/>
          <w:sz w:val="24"/>
          <w:szCs w:val="24"/>
        </w:rPr>
        <w:t>Sr. SALESIO WI</w:t>
      </w:r>
      <w:bookmarkEnd w:id="52"/>
      <w:r>
        <w:rPr>
          <w:rFonts w:eastAsia="MS Mincho" w:cs="Arial" w:ascii="Arial Narrow" w:hAnsi="Arial Narrow"/>
          <w:color w:val="000000"/>
          <w:sz w:val="24"/>
          <w:szCs w:val="24"/>
        </w:rPr>
        <w:t>EMES</w:t>
      </w:r>
    </w:p>
    <w:p>
      <w:pPr>
        <w:pStyle w:val="Normal"/>
        <w:jc w:val="center"/>
        <w:rPr/>
      </w:pPr>
      <w:r>
        <w:rPr>
          <w:rFonts w:eastAsia="Arial" w:cs="Arial" w:ascii="Arial" w:hAnsi="Arial"/>
          <w:b/>
          <w:color w:val="000000"/>
          <w:sz w:val="20"/>
          <w:szCs w:val="20"/>
          <w:u w:val="single"/>
        </w:rPr>
        <w:t>TERMO DE REFERÊNCIA</w:t>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CONDIÇÕES GERAIS DA CONTRATAÇÃO</w:t>
      </w:r>
    </w:p>
    <w:p>
      <w:pPr>
        <w:pStyle w:val="Normal"/>
        <w:widowControl w:val="false"/>
        <w:ind w:left="360"/>
        <w:jc w:val="both"/>
        <w:rPr/>
      </w:pPr>
      <w:r>
        <w:rPr>
          <w:rFonts w:eastAsia="Arial" w:cs="Arial" w:ascii="Arial" w:hAnsi="Arial"/>
          <w:color w:val="000000"/>
          <w:sz w:val="20"/>
          <w:szCs w:val="20"/>
          <w:shd w:fill="FFFFFF" w:val="clear"/>
        </w:rPr>
        <w:t>O objeto desta Concorrência é a concessão para exploração de um espaço físico conhecida como bar/lanchonete do ginásio Edson Benz de Oliveira Filho do Município de Santa Rosa de Lima/SC.</w:t>
      </w:r>
    </w:p>
    <w:p>
      <w:pPr>
        <w:pStyle w:val="Normal"/>
        <w:numPr>
          <w:ilvl w:val="1"/>
          <w:numId w:val="1"/>
        </w:numPr>
        <w:spacing w:lineRule="auto" w:line="276" w:before="120" w:after="120"/>
        <w:ind w:hanging="0" w:left="0"/>
        <w:jc w:val="both"/>
        <w:rPr>
          <w:rFonts w:ascii="Arial" w:hAnsi="Arial" w:eastAsia="Arial" w:cs="Arial"/>
          <w:color w:val="000000"/>
          <w:sz w:val="20"/>
          <w:szCs w:val="20"/>
          <w:shd w:fill="FFFFFF" w:val="clear"/>
        </w:rPr>
      </w:pPr>
      <w:r>
        <w:rPr>
          <w:rFonts w:eastAsia="Arial" w:cs="Arial" w:ascii="Arial" w:hAnsi="Arial"/>
          <w:color w:val="000000"/>
          <w:sz w:val="20"/>
          <w:szCs w:val="20"/>
          <w:shd w:fill="FFFFFF" w:val="clear"/>
        </w:rPr>
      </w:r>
    </w:p>
    <w:tbl>
      <w:tblPr>
        <w:tblW w:w="10489" w:type="dxa"/>
        <w:jc w:val="left"/>
        <w:tblInd w:w="19" w:type="dxa"/>
        <w:tblLayout w:type="fixed"/>
        <w:tblCellMar>
          <w:top w:w="0" w:type="dxa"/>
          <w:left w:w="93" w:type="dxa"/>
          <w:bottom w:w="0" w:type="dxa"/>
          <w:right w:w="108" w:type="dxa"/>
        </w:tblCellMar>
        <w:tblLook w:firstRow="0" w:noVBand="1" w:lastRow="0" w:firstColumn="0" w:lastColumn="0" w:noHBand="0" w:val="0400"/>
      </w:tblPr>
      <w:tblGrid>
        <w:gridCol w:w="710"/>
        <w:gridCol w:w="4363"/>
        <w:gridCol w:w="1446"/>
        <w:gridCol w:w="708"/>
        <w:gridCol w:w="716"/>
        <w:gridCol w:w="1271"/>
        <w:gridCol w:w="1274"/>
      </w:tblGrid>
      <w:tr>
        <w:trPr/>
        <w:tc>
          <w:tcPr>
            <w:tcW w:w="710"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ITEM</w:t>
            </w:r>
          </w:p>
        </w:tc>
        <w:tc>
          <w:tcPr>
            <w:tcW w:w="4363"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DESCRIÇÃO</w:t>
            </w:r>
          </w:p>
        </w:tc>
        <w:tc>
          <w:tcPr>
            <w:tcW w:w="1446" w:type="dxa"/>
            <w:tcBorders>
              <w:top w:val="single" w:sz="4" w:space="0" w:color="000001"/>
              <w:left w:val="single" w:sz="4" w:space="0" w:color="000001"/>
              <w:bottom w:val="single" w:sz="4" w:space="0" w:color="000001"/>
              <w:right w:val="single" w:sz="4" w:space="0" w:color="000001"/>
            </w:tcBorders>
            <w:shd w:color="auto" w:fill="auto" w:val="clear"/>
          </w:tcPr>
          <w:p>
            <w:pPr>
              <w:pStyle w:val="Normal"/>
              <w:jc w:val="center"/>
              <w:rPr>
                <w:rFonts w:ascii="Arial" w:hAnsi="Arial" w:eastAsia="Arial" w:cs="Arial"/>
                <w:b/>
                <w:color w:val="000000"/>
                <w:sz w:val="20"/>
                <w:szCs w:val="20"/>
              </w:rPr>
            </w:pPr>
            <w:r>
              <w:rPr>
                <w:rFonts w:eastAsia="Arial" w:cs="Arial" w:ascii="Arial" w:hAnsi="Arial"/>
                <w:b/>
                <w:color w:val="000000"/>
                <w:sz w:val="20"/>
                <w:szCs w:val="20"/>
              </w:rPr>
              <w:t>CATSER</w:t>
            </w:r>
          </w:p>
        </w:tc>
        <w:tc>
          <w:tcPr>
            <w:tcW w:w="708"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QTD</w:t>
            </w:r>
          </w:p>
        </w:tc>
        <w:tc>
          <w:tcPr>
            <w:tcW w:w="716"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UND</w:t>
            </w:r>
          </w:p>
        </w:tc>
        <w:tc>
          <w:tcPr>
            <w:tcW w:w="1271"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VALOR UNITÁRIO</w:t>
            </w:r>
          </w:p>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R$</w:t>
            </w:r>
          </w:p>
        </w:tc>
        <w:tc>
          <w:tcPr>
            <w:tcW w:w="1274"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VALOR TOTAL</w:t>
            </w:r>
          </w:p>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R$</w:t>
            </w:r>
          </w:p>
        </w:tc>
      </w:tr>
      <w:tr>
        <w:trPr/>
        <w:tc>
          <w:tcPr>
            <w:tcW w:w="710"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1</w:t>
            </w:r>
          </w:p>
        </w:tc>
        <w:tc>
          <w:tcPr>
            <w:tcW w:w="4363" w:type="dxa"/>
            <w:tcBorders>
              <w:top w:val="single" w:sz="4" w:space="0" w:color="000001"/>
              <w:left w:val="single" w:sz="4" w:space="0" w:color="000001"/>
              <w:bottom w:val="single" w:sz="4" w:space="0" w:color="000001"/>
              <w:right w:val="single" w:sz="4" w:space="0" w:color="000001"/>
            </w:tcBorders>
            <w:shd w:color="auto" w:fill="auto" w:val="clear"/>
          </w:tcPr>
          <w:p>
            <w:pPr>
              <w:pStyle w:val="Normal"/>
              <w:jc w:val="both"/>
              <w:rPr>
                <w:color w:val="000000"/>
              </w:rPr>
            </w:pPr>
            <w:r>
              <w:rPr>
                <w:rFonts w:eastAsia="Arial" w:cs="Arial" w:ascii="Arial" w:hAnsi="Arial"/>
                <w:color w:val="000000"/>
                <w:sz w:val="20"/>
                <w:szCs w:val="20"/>
              </w:rPr>
              <w:t>Concessão de Uso do Bar/Lanchonete do Ginásio Edson Benz de Oliveira Filho</w:t>
            </w:r>
          </w:p>
        </w:tc>
        <w:tc>
          <w:tcPr>
            <w:tcW w:w="1446"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color w:val="000000"/>
              </w:rPr>
            </w:pPr>
            <w:r>
              <w:rPr>
                <w:color w:val="000000"/>
              </w:rPr>
              <w:t>Não encontrado</w:t>
            </w:r>
          </w:p>
        </w:tc>
        <w:tc>
          <w:tcPr>
            <w:tcW w:w="708"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color w:val="000000"/>
              </w:rPr>
            </w:pPr>
            <w:r>
              <w:rPr>
                <w:color w:val="000000"/>
              </w:rPr>
              <w:t>12</w:t>
            </w:r>
          </w:p>
        </w:tc>
        <w:tc>
          <w:tcPr>
            <w:tcW w:w="716"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color w:val="000000"/>
                <w:sz w:val="20"/>
                <w:szCs w:val="20"/>
              </w:rPr>
            </w:pPr>
            <w:r>
              <w:rPr>
                <w:rFonts w:eastAsia="Arial" w:cs="Arial" w:ascii="Arial" w:hAnsi="Arial"/>
                <w:color w:val="000000"/>
                <w:sz w:val="20"/>
                <w:szCs w:val="20"/>
              </w:rPr>
              <w:t>Mês</w:t>
            </w:r>
          </w:p>
        </w:tc>
        <w:tc>
          <w:tcPr>
            <w:tcW w:w="1271"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color w:val="000000"/>
                <w:sz w:val="20"/>
                <w:szCs w:val="20"/>
              </w:rPr>
            </w:pPr>
            <w:r>
              <w:rPr>
                <w:rFonts w:eastAsia="Arial" w:cs="Arial" w:ascii="Arial" w:hAnsi="Arial"/>
                <w:color w:val="000000"/>
                <w:sz w:val="20"/>
                <w:szCs w:val="20"/>
              </w:rPr>
              <w:t>150,00</w:t>
            </w:r>
          </w:p>
        </w:tc>
        <w:tc>
          <w:tcPr>
            <w:tcW w:w="1274"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color w:val="000000"/>
                <w:sz w:val="20"/>
                <w:szCs w:val="20"/>
              </w:rPr>
            </w:pPr>
            <w:r>
              <w:rPr>
                <w:rFonts w:eastAsia="Arial" w:cs="Arial" w:ascii="Arial" w:hAnsi="Arial"/>
                <w:color w:val="000000"/>
                <w:sz w:val="20"/>
                <w:szCs w:val="20"/>
              </w:rPr>
              <w:t>1.800,00</w:t>
            </w:r>
          </w:p>
        </w:tc>
      </w:tr>
      <w:tr>
        <w:trPr/>
        <w:tc>
          <w:tcPr>
            <w:tcW w:w="710"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Times New Roman" w:hAnsi="Times New Roman" w:eastAsia="Times New Roman" w:cs="Times New Roman"/>
                <w:b/>
                <w:color w:val="000000"/>
                <w:sz w:val="20"/>
                <w:szCs w:val="20"/>
              </w:rPr>
            </w:pPr>
            <w:r>
              <w:rPr>
                <w:rFonts w:eastAsia="Times New Roman" w:cs="Times New Roman" w:ascii="Times New Roman" w:hAnsi="Times New Roman"/>
                <w:b/>
                <w:color w:val="000000"/>
                <w:sz w:val="20"/>
                <w:szCs w:val="20"/>
              </w:rPr>
            </w:r>
          </w:p>
        </w:tc>
        <w:tc>
          <w:tcPr>
            <w:tcW w:w="4363"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t>TOTAL GERAL R$</w:t>
            </w:r>
          </w:p>
        </w:tc>
        <w:tc>
          <w:tcPr>
            <w:tcW w:w="1446"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Times New Roman" w:hAnsi="Times New Roman" w:eastAsia="Times New Roman" w:cs="Times New Roman"/>
                <w:b/>
                <w:color w:val="000000"/>
                <w:sz w:val="20"/>
                <w:szCs w:val="20"/>
              </w:rPr>
            </w:pPr>
            <w:r>
              <w:rPr>
                <w:rFonts w:eastAsia="Times New Roman" w:cs="Times New Roman" w:ascii="Times New Roman" w:hAnsi="Times New Roman"/>
                <w:b/>
                <w:color w:val="000000"/>
                <w:sz w:val="20"/>
                <w:szCs w:val="20"/>
              </w:rPr>
            </w:r>
          </w:p>
        </w:tc>
        <w:tc>
          <w:tcPr>
            <w:tcW w:w="3969" w:type="dxa"/>
            <w:gridSpan w:val="4"/>
            <w:tcBorders>
              <w:top w:val="single" w:sz="4" w:space="0" w:color="000001"/>
              <w:left w:val="single" w:sz="4" w:space="0" w:color="000001"/>
              <w:bottom w:val="single" w:sz="4" w:space="0" w:color="000001"/>
              <w:right w:val="single" w:sz="4" w:space="0" w:color="000001"/>
            </w:tcBorders>
            <w:shd w:color="auto" w:fill="auto" w:val="clear"/>
          </w:tcPr>
          <w:p>
            <w:pPr>
              <w:pStyle w:val="Normal"/>
              <w:spacing w:lineRule="auto" w:line="360"/>
              <w:jc w:val="center"/>
              <w:rPr>
                <w:rFonts w:ascii="Arial" w:hAnsi="Arial" w:eastAsia="Arial" w:cs="Arial"/>
                <w:b/>
                <w:color w:val="000000"/>
                <w:sz w:val="20"/>
                <w:szCs w:val="20"/>
              </w:rPr>
            </w:pPr>
            <w:r>
              <w:rPr>
                <w:rFonts w:eastAsia="Arial" w:cs="Arial" w:ascii="Arial" w:hAnsi="Arial"/>
                <w:b/>
                <w:color w:val="000000"/>
                <w:sz w:val="20"/>
                <w:szCs w:val="20"/>
              </w:rPr>
            </w:r>
          </w:p>
        </w:tc>
      </w:tr>
    </w:tbl>
    <w:p>
      <w:pPr>
        <w:pStyle w:val="Normal"/>
        <w:keepNext w:val="true"/>
        <w:spacing w:lineRule="auto" w:line="276" w:before="120" w:after="120"/>
        <w:jc w:val="both"/>
        <w:rPr>
          <w:rFonts w:ascii="Arial" w:hAnsi="Arial" w:eastAsia="Arial" w:cs="Arial"/>
          <w:color w:val="000000"/>
          <w:sz w:val="20"/>
          <w:szCs w:val="20"/>
          <w:shd w:fill="FFFFFF" w:val="clear"/>
        </w:rPr>
      </w:pPr>
      <w:r>
        <w:rPr>
          <w:rFonts w:eastAsia="Arial" w:cs="Arial" w:ascii="Arial" w:hAnsi="Arial"/>
          <w:color w:val="000000"/>
          <w:sz w:val="20"/>
          <w:szCs w:val="20"/>
          <w:shd w:fill="FFFFFF" w:val="clear"/>
        </w:rPr>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Os serviços objeto desta contratação são caracterizados como comuns, haja vista que se trata de objeto cujos padrões de desempenho e qualidade podem ser objetivamente definidos no edital por meio de especificações usuais no mercado.</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 xml:space="preserve">O prazo de vigência da contratação </w:t>
      </w:r>
      <w:r>
        <w:rPr/>
        <w:t>é de 12 (doze) meses, contados do(a) assinatura do Contrato, podendo haver prorrogação na forma do artigo 106 e 107, da Lei n° 14.133, de 2021.</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contrato oferece maior detalhamento das regras que serão aplicadas em relação à vigência da contratação.</w:t>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FUNDAMENTAÇÃO E DESCRIÇÃO DA NECESSIDADE DA CONTRATAÇÃO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A Fundamentação da Contratação e de seus quantitativos encontra-se pormenorizada em Tópico específico do Estudo Técnico Preliminar retro.</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O objeto da contratação não está previsto no Plano de Contratações Anual, haja vista que o Município de Santa Rosa de Lima/SC ainda não elaborou o referido instrumento de planejamento.</w:t>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DESCRIÇÃO DA SOLUÇÃO COMO UM TODO CONSIDERADO O CICLO DE VIDA DO OBJETO E ESPECIFICAÇÃO DO PRODUTO</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A descrição da solução como um todo encontra-se pormenorizada em tópico específico do Estudo Técnico Preliminar retro.</w:t>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REQUISITOS DA CONTRATAÇÃO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Sustentabilidade:</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Não é o caso.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Indicação de marcas ou modelos</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Não é o caso.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 xml:space="preserve">Da vedação de contratação de marca ou produto </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Não é o caso.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Da exigência de amostra</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Não é o caso.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Da exigência de carta de solidariedade</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Não é o caso.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Subcontratação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Não é admitida a subcontratação do objeto contratual.</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Garantia da contratação</w:t>
      </w:r>
    </w:p>
    <w:p>
      <w:pPr>
        <w:pStyle w:val="Normal"/>
        <w:keepNext w:val="true"/>
        <w:numPr>
          <w:ilvl w:val="0"/>
          <w:numId w:val="1"/>
        </w:numPr>
        <w:spacing w:lineRule="auto" w:line="276" w:before="120" w:after="120"/>
        <w:jc w:val="both"/>
        <w:rPr/>
      </w:pPr>
      <w:r>
        <w:rPr>
          <w:rFonts w:eastAsia="Arial" w:cs="Arial" w:ascii="Arial" w:hAnsi="Arial"/>
          <w:color w:val="000000"/>
          <w:sz w:val="20"/>
          <w:szCs w:val="20"/>
          <w:shd w:fill="FFFFFF" w:val="clear"/>
        </w:rPr>
        <w:t xml:space="preserve">Não haverá exigência da garantia da contratação dos </w:t>
      </w:r>
      <w:r>
        <w:fldChar w:fldCharType="begin"/>
      </w:r>
      <w:r>
        <w:rPr>
          <w:rStyle w:val="Hyperlink"/>
          <w:sz w:val="20"/>
          <w:szCs w:val="20"/>
          <w:highlight w:val="white"/>
          <w:rFonts w:eastAsia="Arial" w:cs="Arial" w:ascii="Arial" w:hAnsi="Arial"/>
          <w:color w:val="000000"/>
        </w:rPr>
        <w:instrText xml:space="preserve"> HYPERLINK "http://www.planalto.gov.br/ccivil_03/_ato2019-2022/2021/lei/L14133.htm" \l "art96"</w:instrText>
      </w:r>
      <w:r>
        <w:rPr>
          <w:rStyle w:val="Hyperlink"/>
          <w:sz w:val="20"/>
          <w:szCs w:val="20"/>
          <w:highlight w:val="white"/>
          <w:rFonts w:eastAsia="Arial" w:cs="Arial" w:ascii="Arial" w:hAnsi="Arial"/>
          <w:color w:val="000000"/>
        </w:rPr>
        <w:fldChar w:fldCharType="separate"/>
      </w:r>
      <w:r>
        <w:rPr>
          <w:rStyle w:val="Hyperlink"/>
          <w:rFonts w:eastAsia="Arial" w:cs="Arial" w:ascii="Arial" w:hAnsi="Arial"/>
          <w:color w:val="000000"/>
          <w:sz w:val="20"/>
          <w:szCs w:val="20"/>
          <w:highlight w:val="white"/>
        </w:rPr>
        <w:t>artigos 96 e seguintes da Lei nº 14.133, de 2021</w:t>
      </w:r>
      <w:r>
        <w:rPr>
          <w:rStyle w:val="Hyperlink"/>
          <w:sz w:val="20"/>
          <w:szCs w:val="20"/>
          <w:highlight w:val="white"/>
          <w:rFonts w:eastAsia="Arial" w:cs="Arial" w:ascii="Arial" w:hAnsi="Arial"/>
          <w:color w:val="000000"/>
        </w:rPr>
        <w:fldChar w:fldCharType="end"/>
      </w:r>
      <w:r>
        <w:rPr>
          <w:rFonts w:eastAsia="Arial" w:cs="Arial" w:ascii="Arial" w:hAnsi="Arial"/>
          <w:color w:val="000000"/>
          <w:sz w:val="20"/>
          <w:szCs w:val="20"/>
          <w:shd w:fill="FFFFFF" w:val="clear"/>
        </w:rPr>
        <w:t>.</w:t>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MODELO DE EXECUÇÃO DO OBJETO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Condições de Entrega</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 xml:space="preserve">A prestação de serviços deve ser prestada durante o </w:t>
      </w:r>
      <w:r>
        <w:rPr/>
        <w:t>tempo de 12 meses, podendo ser renovada por um tempo máximo de 05 (cinco) anos. A</w:t>
      </w:r>
      <w:r>
        <w:rPr>
          <w:rFonts w:eastAsia="Arial" w:cs="Arial" w:ascii="Arial" w:hAnsi="Arial"/>
          <w:color w:val="000000"/>
          <w:sz w:val="20"/>
          <w:szCs w:val="20"/>
          <w:shd w:fill="FFFFFF" w:val="clear"/>
        </w:rPr>
        <w:t xml:space="preserve"> prestação do serviço contempla a boa conservação do espaço físico do bar/lanchonete do Ginásio Edson Benz de Oliveira Filho.</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Cabe ainda a limpeza de todo o espaço fisico do Ginásio Edson Benz de Oliveira Filho nos finais de semana e feriados em que ocorrer atividades festivas e/ou esportivas.</w:t>
      </w:r>
    </w:p>
    <w:p>
      <w:pPr>
        <w:pStyle w:val="Normal"/>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É dever do responsável recolher todo o lixo das arquibancadas e banheiros que possa ficar no interior do Ginásio do ginásio durante os sete dias da semana;</w:t>
      </w:r>
    </w:p>
    <w:p>
      <w:pPr>
        <w:pStyle w:val="Normal"/>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Fica sobre a responsabilidade do locador a limpeza da quadra de esportes, quando necessário, durante os meses de janeiro, sábados, domingos e feriados municipais e/ou federais;</w:t>
      </w:r>
    </w:p>
    <w:p>
      <w:pPr>
        <w:pStyle w:val="Normal"/>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O concessionário também será o responsável em abrir e fechar as portas do ginásio todos os dias em que houverem jogos e competições no espaço, bem como apagar as luzes e fechar todo o local zelando pelo imóvel;</w:t>
      </w:r>
    </w:p>
    <w:p>
      <w:pPr>
        <w:pStyle w:val="Normal"/>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Sempre que ver a necessidade de manutenção de algo, o concessionário deve comunicar imediatamente o setor responsável para que sejam providenciados os devidos serviços e reparos.</w:t>
      </w:r>
    </w:p>
    <w:p>
      <w:pPr>
        <w:pStyle w:val="Normal"/>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Durante todo o período da vigência do contrato d</w:t>
      </w:r>
      <w:r>
        <w:rPr>
          <w:rFonts w:eastAsia="Arial" w:cs="Arial" w:ascii="Arial" w:hAnsi="Arial"/>
          <w:color w:val="000000"/>
          <w:sz w:val="20"/>
          <w:szCs w:val="20"/>
          <w:shd w:fill="auto" w:val="clear"/>
        </w:rPr>
        <w:t xml:space="preserve">o concessionário </w:t>
      </w:r>
      <w:r>
        <w:rPr>
          <w:rFonts w:eastAsia="Arial" w:cs="Arial" w:ascii="Arial" w:hAnsi="Arial"/>
          <w:color w:val="000000"/>
          <w:sz w:val="20"/>
          <w:szCs w:val="20"/>
          <w:shd w:fill="FFFFFF" w:val="clear"/>
        </w:rPr>
        <w:t>é responsabilidade do mesmo o zelo e cuidado pelo espaço, cabendo quebra de contrato por parte da Prefeitura Municipal de Santa Rosa de Lima se comprovado o mau uso do espaço peço locador.</w:t>
      </w:r>
    </w:p>
    <w:p>
      <w:pPr>
        <w:pStyle w:val="Normal"/>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Ainda,</w:t>
      </w:r>
      <w:r>
        <w:rPr>
          <w:rFonts w:eastAsia="Arial" w:cs="Arial" w:ascii="Arial" w:hAnsi="Arial"/>
          <w:color w:val="000000"/>
          <w:sz w:val="20"/>
          <w:szCs w:val="20"/>
          <w:shd w:fill="auto" w:val="clear"/>
        </w:rPr>
        <w:t xml:space="preserve"> o concessionário d</w:t>
      </w:r>
      <w:r>
        <w:rPr>
          <w:rFonts w:eastAsia="Arial" w:cs="Arial" w:ascii="Arial" w:hAnsi="Arial"/>
          <w:color w:val="000000"/>
          <w:sz w:val="20"/>
          <w:szCs w:val="20"/>
          <w:shd w:fill="FFFFFF" w:val="clear"/>
        </w:rPr>
        <w:t>everá entregar o espaço ao término do contrato em perfeitas condições de uso assim como será entregue pela Prefeitura ao locador no início da vigência do contrato.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Garantia, manutenção e assistência técnica</w:t>
      </w:r>
    </w:p>
    <w:p>
      <w:pPr>
        <w:pStyle w:val="Normal"/>
        <w:keepNext w:val="true"/>
        <w:numPr>
          <w:ilvl w:val="0"/>
          <w:numId w:val="1"/>
        </w:numPr>
        <w:spacing w:lineRule="auto" w:line="276" w:before="120" w:after="120"/>
        <w:jc w:val="both"/>
        <w:rPr/>
      </w:pPr>
      <w:r>
        <w:rPr>
          <w:rFonts w:eastAsia="Arial" w:cs="Arial" w:ascii="Arial" w:hAnsi="Arial"/>
          <w:color w:val="000000"/>
          <w:highlight w:val="white"/>
          <w:shd w:fill="FFFFFF" w:val="clear"/>
        </w:rPr>
        <w:t>As manutenções do prédio são responsabilidades da Secretaria Municipal de Educação e Desporto, cabendo ao concessionário as manutenções dos equipamentos de uso privado que</w:t>
      </w:r>
      <w:r>
        <w:rPr>
          <w:rFonts w:eastAsia="Arial" w:cs="Arial" w:ascii="Arial" w:hAnsi="Arial"/>
          <w:color w:val="000000"/>
          <w:shd w:fill="auto" w:val="clear"/>
        </w:rPr>
        <w:t xml:space="preserve"> passam a ser do concessionário </w:t>
      </w:r>
      <w:r>
        <w:rPr>
          <w:rFonts w:eastAsia="Arial" w:cs="Arial" w:ascii="Arial" w:hAnsi="Arial"/>
          <w:color w:val="000000"/>
          <w:highlight w:val="white"/>
          <w:shd w:fill="FFFFFF" w:val="clear"/>
        </w:rPr>
        <w:t>mesmo no espaço do bar.</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MODELO DE GESTÃO DO CONTRATO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contrato deverá ser executado fielmente pelas partes, de acordo com as cláusulas avençadas e as normas da Lei nº 14.133, de 2021, e cada parte responderá pelas consequências de sua inexecução total ou parcial.</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Em caso de impedimento, ordem de paralisação ou suspensão do contrato, o cronograma de execução será prorrogado automaticamente pelo tempo correspondente, anotadas tais circunstâncias mediante simples apostila.</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As comunicações entre o órgão ou entidade e a contratada devem ser realizadas por escrito sempre que o ato exigir tal formalidade, admitindo-se o uso de mensagem eletrônica para esse fim.</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órgão ou entidade poderá convocar representante da empresa para adoção de providências que devam ser cumpridas de imediato.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 </w:t>
      </w:r>
      <w:r>
        <w:rPr>
          <w:rFonts w:eastAsia="Arial" w:cs="Arial" w:ascii="Arial" w:hAnsi="Arial"/>
          <w:color w:val="000000"/>
          <w:sz w:val="20"/>
          <w:szCs w:val="20"/>
          <w:shd w:fill="FFFFFF" w:val="clear"/>
        </w:rPr>
        <w:t>Após a assinatura do contrato ou instrumento equivalente</w:t>
      </w:r>
      <w:r>
        <w:rPr>
          <w:rFonts w:eastAsia="Arial" w:cs="Arial" w:ascii="Arial" w:hAnsi="Arial"/>
          <w:strike/>
          <w:color w:val="000000"/>
          <w:sz w:val="20"/>
          <w:szCs w:val="20"/>
          <w:shd w:fill="FFFFFF" w:val="clear"/>
        </w:rPr>
        <w:t>,</w:t>
      </w:r>
      <w:r>
        <w:rPr>
          <w:rFonts w:eastAsia="Arial" w:cs="Arial" w:ascii="Arial" w:hAnsi="Arial"/>
          <w:color w:val="000000"/>
          <w:sz w:val="20"/>
          <w:szCs w:val="20"/>
          <w:shd w:fill="FFFFFF" w:val="clea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ormal"/>
        <w:keepNext w:val="true"/>
        <w:spacing w:lineRule="auto" w:line="276" w:before="120" w:after="12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Fiscalização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A execução do contrato deverá ser acompanhada e fiscalizada pelo(s) fiscal(is) do contrato, ou pelos respectivos substitutos.</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Será fiscal do Contrato a Ana Maria Vandresen</w:t>
      </w:r>
      <w:r>
        <w:rPr>
          <w:rFonts w:eastAsia="Arial" w:cs="Arial" w:ascii="Arial" w:hAnsi="Arial"/>
          <w:b/>
          <w:color w:val="000000"/>
          <w:sz w:val="20"/>
          <w:szCs w:val="20"/>
          <w:shd w:fill="FFFFFF" w:val="clear"/>
        </w:rPr>
        <w:t xml:space="preserve">, </w:t>
      </w:r>
      <w:r>
        <w:rPr>
          <w:rFonts w:eastAsia="Arial" w:cs="Arial" w:ascii="Arial" w:hAnsi="Arial"/>
          <w:color w:val="000000"/>
          <w:sz w:val="20"/>
          <w:szCs w:val="20"/>
          <w:shd w:fill="FFFFFF" w:val="clear"/>
        </w:rPr>
        <w:t>ocupante do cargo de Treinador Esporrtivo.</w:t>
      </w:r>
    </w:p>
    <w:p>
      <w:pPr>
        <w:pStyle w:val="Normal"/>
        <w:numPr>
          <w:ilvl w:val="1"/>
          <w:numId w:val="1"/>
        </w:numPr>
        <w:spacing w:lineRule="auto" w:line="276" w:before="120" w:after="120"/>
        <w:ind w:hanging="0" w:left="0"/>
        <w:jc w:val="both"/>
        <w:rPr/>
      </w:pPr>
      <w:r>
        <w:rPr>
          <w:rFonts w:eastAsia="Arial" w:cs="Arial" w:ascii="Arial" w:hAnsi="Arial"/>
          <w:color w:val="000000"/>
          <w:sz w:val="20"/>
          <w:szCs w:val="20"/>
          <w:shd w:fill="FFFFFF" w:val="clear"/>
        </w:rPr>
        <w:t>Matrícula 1281, que exercerá a fiscalização técnica e administrativa do Contrato.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Fiscalização Técnica</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fiscal técnico do contrato acompanhará a execução do contrato, para que sejam cumpridas todas as condições estabelecidas no contrato, de modo a assegurar os melhores resultados para a Administração.</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Identificada qualquer inexatidão ou irregularidade, o fiscal técnico do contrato emitirá notificações para a correção da execução do contrato, determinando prazo para a correção;</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O fiscal técnico do contrato informará ao gestor do </w:t>
      </w:r>
      <w:r>
        <w:rPr>
          <w:rFonts w:eastAsia="Arial" w:cs="Arial" w:ascii="Arial" w:hAnsi="Arial"/>
          <w:color w:val="000000"/>
          <w:sz w:val="20"/>
          <w:szCs w:val="20"/>
        </w:rPr>
        <w:t>contrato</w:t>
      </w:r>
      <w:r>
        <w:rPr>
          <w:rFonts w:eastAsia="Arial" w:cs="Arial" w:ascii="Arial" w:hAnsi="Arial"/>
          <w:color w:val="000000"/>
          <w:sz w:val="20"/>
          <w:szCs w:val="20"/>
          <w:shd w:fill="FFFFFF" w:val="clear"/>
        </w:rPr>
        <w:t>, em tempo hábil, a situação que demandar decisão ou adoção de medidas que ultrapassem sua competência, para que adote as medidas necessárias e saneadoras, se for o caso;</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No caso de ocorrências que possam inviabilizar a execução do contrato nas datas aprazadas, o fiscal técnico do contrato comunicará o fato imediatamente ao gestor do contrato;</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fiscal técnico do contrato comunicará ao gestor do contrato, em tempo hábil, o término do contrato sob sua responsabilidade, com vistas à renovação tempestiva ou à prorrogação contratual.</w:t>
      </w:r>
    </w:p>
    <w:p>
      <w:pPr>
        <w:pStyle w:val="Normal"/>
        <w:keepNext w:val="true"/>
        <w:spacing w:lineRule="auto" w:line="276" w:before="120" w:after="120"/>
        <w:ind w:left="284"/>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Fiscalização Administrativa</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rPr>
          <w:rStyle w:val="Hyperlink"/>
          <w:sz w:val="20"/>
          <w:szCs w:val="20"/>
          <w:highlight w:val="white"/>
          <w:rFonts w:eastAsia="Arial" w:cs="Arial" w:ascii="Arial" w:hAnsi="Arial"/>
          <w:color w:val="000000"/>
        </w:rPr>
        <w:instrText xml:space="preserve"> HYPERLINK "https://www.planalto.gov.br/ccivil_03/_ato2019-2022/2022/Decreto/D11246.htm" \l "art23"</w:instrText>
      </w:r>
      <w:r>
        <w:rPr>
          <w:rStyle w:val="Hyperlink"/>
          <w:sz w:val="20"/>
          <w:szCs w:val="20"/>
          <w:highlight w:val="white"/>
          <w:rFonts w:eastAsia="Arial" w:cs="Arial" w:ascii="Arial" w:hAnsi="Arial"/>
          <w:color w:val="000000"/>
        </w:rPr>
        <w:fldChar w:fldCharType="separate"/>
      </w:r>
      <w:r>
        <w:rPr>
          <w:rStyle w:val="Hyperlink"/>
          <w:rFonts w:eastAsia="Arial" w:cs="Arial" w:ascii="Arial" w:hAnsi="Arial"/>
          <w:color w:val="000000"/>
          <w:sz w:val="20"/>
          <w:szCs w:val="20"/>
          <w:highlight w:val="white"/>
        </w:rPr>
        <w:t>Art. 23, I e II, do Decreto nº 11.246, de 2022</w:t>
      </w:r>
      <w:r>
        <w:rPr>
          <w:rStyle w:val="Hyperlink"/>
          <w:sz w:val="20"/>
          <w:szCs w:val="20"/>
          <w:highlight w:val="white"/>
          <w:rFonts w:eastAsia="Arial" w:cs="Arial" w:ascii="Arial" w:hAnsi="Arial"/>
          <w:color w:val="000000"/>
        </w:rPr>
        <w:fldChar w:fldCharType="end"/>
      </w:r>
      <w:r>
        <w:rPr>
          <w:rFonts w:eastAsia="Arial" w:cs="Arial" w:ascii="Arial" w:hAnsi="Arial"/>
          <w:color w:val="000000"/>
          <w:sz w:val="20"/>
          <w:szCs w:val="20"/>
          <w:shd w:fill="FFFFFF" w:val="clear"/>
        </w:rPr>
        <w:t>).</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Caso ocorra descumprimento das obrigações contratuais, o fiscal administrativo do contrato atuará tempestivamente na solução do problema, reportando ao gestor do contrato para que tome as providências cabíveis, quando ultrapassar a sua competência.</w:t>
      </w:r>
    </w:p>
    <w:p>
      <w:pPr>
        <w:pStyle w:val="Normal"/>
        <w:keepNext w:val="true"/>
        <w:keepLines/>
        <w:tabs>
          <w:tab w:val="clear" w:pos="708"/>
          <w:tab w:val="left" w:pos="567" w:leader="none"/>
        </w:tabs>
        <w:spacing w:lineRule="auto" w:line="276" w:before="240" w:after="120"/>
        <w:jc w:val="both"/>
        <w:rPr>
          <w:rFonts w:ascii="Arial" w:hAnsi="Arial" w:eastAsia="Arial" w:cs="Arial"/>
          <w:b/>
          <w:color w:val="FF0000"/>
          <w:sz w:val="20"/>
          <w:szCs w:val="20"/>
          <w:highlight w:val="white"/>
        </w:rPr>
      </w:pPr>
      <w:r>
        <w:rPr>
          <w:rFonts w:eastAsia="Arial" w:cs="Arial" w:ascii="Arial" w:hAnsi="Arial"/>
          <w:b/>
          <w:color w:val="000000"/>
          <w:sz w:val="20"/>
          <w:szCs w:val="20"/>
          <w:shd w:fill="FFFFFF" w:val="clear"/>
        </w:rPr>
        <w:t>Gestor do Contrato – Karla Luana Folster Roesner</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O gestor do contrato designado pela autoridade superior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gestor do contrato deverá elaborar relatório final com informações sobre a consecução dos objetivos que tenham justificado a contratação e eventuais condutas a serem adotadas para o aprimoramento das atividades da Administração.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gestor do contrato deverá enviar a documentação pertinente ao setor de contratos para a formalização dos procedimentos de liquidação e pagamento, no valor dimensionado pela fiscalização e gestão nos termos do contrato.</w:t>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CRITÉRIOS DE MEDIÇÃO E DE PAGAMENTO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Recebimento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pagamento do valor fixado pela concessão do espaço deverá ser feito mensalmente na conta da CME;</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não pagamento do valor fixado acarretará na suspensão do contrato mesmo que antes do tempo máximo previsto.</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 xml:space="preserve">No caso de controvérsia sobre a execução do objeto, quanto à dimensão, qualidade e quantidade, deverá ser observado o teor do </w:t>
      </w:r>
      <w:r>
        <w:fldChar w:fldCharType="begin"/>
      </w:r>
      <w:r>
        <w:rPr>
          <w:rStyle w:val="Hyperlink"/>
          <w:sz w:val="20"/>
          <w:szCs w:val="20"/>
          <w:highlight w:val="white"/>
          <w:rFonts w:eastAsia="Arial" w:cs="Arial" w:ascii="Arial" w:hAnsi="Arial"/>
          <w:color w:val="000000"/>
        </w:rPr>
        <w:instrText xml:space="preserve"> HYPERLINK "http://www.planalto.gov.br/ccivil_03/_ato2019-2022/2021/lei/L14133.htm" \l "art143"</w:instrText>
      </w:r>
      <w:r>
        <w:rPr>
          <w:rStyle w:val="Hyperlink"/>
          <w:sz w:val="20"/>
          <w:szCs w:val="20"/>
          <w:highlight w:val="white"/>
          <w:rFonts w:eastAsia="Arial" w:cs="Arial" w:ascii="Arial" w:hAnsi="Arial"/>
          <w:color w:val="000000"/>
        </w:rPr>
        <w:fldChar w:fldCharType="separate"/>
      </w:r>
      <w:r>
        <w:rPr>
          <w:rStyle w:val="Hyperlink"/>
          <w:rFonts w:eastAsia="Arial" w:cs="Arial" w:ascii="Arial" w:hAnsi="Arial"/>
          <w:color w:val="000000"/>
          <w:sz w:val="20"/>
          <w:szCs w:val="20"/>
          <w:highlight w:val="white"/>
        </w:rPr>
        <w:t>art. 143 da Lei nº 14.133, de 2021</w:t>
      </w:r>
      <w:r>
        <w:rPr>
          <w:rStyle w:val="Hyperlink"/>
          <w:sz w:val="20"/>
          <w:szCs w:val="20"/>
          <w:highlight w:val="white"/>
          <w:rFonts w:eastAsia="Arial" w:cs="Arial" w:ascii="Arial" w:hAnsi="Arial"/>
          <w:color w:val="000000"/>
        </w:rPr>
        <w:fldChar w:fldCharType="end"/>
      </w:r>
      <w:r>
        <w:rPr>
          <w:rFonts w:eastAsia="Arial" w:cs="Arial" w:ascii="Arial" w:hAnsi="Arial"/>
          <w:color w:val="000000"/>
          <w:sz w:val="20"/>
          <w:szCs w:val="20"/>
          <w:shd w:fill="FFFFFF" w:val="clear"/>
        </w:rPr>
        <w:t>, comunicando-se à empresa para emissão de Nota Fiscal no que pertine à parcela incontroversa da execução do objeto, para efeito de liquidação e pagamento.</w:t>
      </w:r>
    </w:p>
    <w:p>
      <w:pPr>
        <w:pStyle w:val="Normal"/>
        <w:keepNext w:val="true"/>
        <w:numPr>
          <w:ilvl w:val="1"/>
          <w:numId w:val="1"/>
        </w:numPr>
        <w:spacing w:lineRule="auto" w:line="276" w:before="120" w:after="120"/>
        <w:ind w:hanging="0" w:left="567"/>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recebimento provisório ou definitivo não excluirá a responsabilidade civil pela solidez e pela segurança dos bens nem a responsabilidade ético-profissional pela perfeita execução do contrato.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Liquidação</w:t>
      </w:r>
    </w:p>
    <w:p>
      <w:pPr>
        <w:pStyle w:val="Normal"/>
        <w:keepNext w:val="true"/>
        <w:spacing w:lineRule="auto" w:line="276" w:before="120" w:after="120"/>
        <w:jc w:val="both"/>
        <w:rPr>
          <w:rFonts w:ascii="Arial" w:hAnsi="Arial" w:eastAsia="Arial" w:cs="Arial"/>
          <w:color w:val="000000"/>
          <w:sz w:val="20"/>
          <w:szCs w:val="20"/>
          <w:highlight w:val="white"/>
          <w:shd w:fill="FFFFFF" w:val="clear"/>
        </w:rPr>
      </w:pPr>
      <w:r>
        <w:rPr>
          <w:rFonts w:eastAsia="Arial" w:cs="Arial" w:ascii="Arial" w:hAnsi="Arial"/>
          <w:color w:val="000000"/>
          <w:sz w:val="20"/>
          <w:szCs w:val="20"/>
          <w:highlight w:val="white"/>
          <w:shd w:fill="FFFFFF" w:val="clear"/>
        </w:rPr>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pagamento por parte do locador deverá acontecer todos os meses até o 5° dia util de cada mês.</w:t>
      </w:r>
    </w:p>
    <w:p>
      <w:pPr>
        <w:pStyle w:val="Normal"/>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Persistindo a irregularidade, o contratante deverá adotar as medidas necessárias à rescisão contratual nos autos do processo administrativo correspondente, assegurada ao contratado a ampla defesa.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Havendo a efetiva execução do objeto, os pagamentos serão realizados normalmente, até que se decida pela rescisão do contrato, caso o contratado não regularize sua situação de inadimplência.  </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Prazo de pagamento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O pagamento deverá ter início 30 dias após a assinatura do contrato e deverá ocorrer sempre até o 5° dia util de cada mês. </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Forma de pagamento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pagamento será realizado por meio de ordem bancária, para crédito em banco, agência e conta corrente indicados pelo contratante.</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Será considerada data do pagamento o dia em que constar o valor na conta indicada.</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A presente contratação NÃO permite a antecipação de pagamento.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Cessão de crédito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Não é admitida a cessão de crédito.</w:t>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FORMA E CRITÉRIOS DE SELEÇÃO DO FORNECEDOR E FORMA DE FORNECIMENTO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yellow"/>
        </w:rPr>
      </w:pPr>
      <w:r>
        <w:rPr>
          <w:rFonts w:eastAsia="Arial" w:cs="Arial" w:ascii="Arial" w:hAnsi="Arial"/>
          <w:b/>
          <w:color w:val="000000"/>
          <w:sz w:val="20"/>
          <w:szCs w:val="20"/>
          <w:shd w:fill="FFFFFF" w:val="clear"/>
        </w:rPr>
        <w:t>Forma de seleção e critério de julgamento da proposta</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O fornecedor será selecionado por meio da realização de procedimento de LICITAÇÃO, na modalidade CONCORRÊNCIA, sob a forma ELETRÔNICA, com adoção do critério de julgamento pelo MAIOR OFERTA PARA O ITEM LICITADO.</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Forma de fornecimento</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highlight w:val="white"/>
        </w:rPr>
        <w:t>O fornecimento do objeto ocorrerá,conforme contrato firmado entre as partes.</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Exigências de habilitação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Para fins de habilitação, deverá o licitante comprovar os seguintes requisitos:</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Habilitação jurídica</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bookmarkStart w:id="53" w:name="_heading=h.gjdgxs"/>
      <w:bookmarkEnd w:id="53"/>
      <w:r>
        <w:rPr>
          <w:rFonts w:eastAsia="Arial" w:cs="Arial" w:ascii="Arial" w:hAnsi="Arial"/>
          <w:b/>
          <w:color w:val="000000"/>
          <w:sz w:val="20"/>
          <w:szCs w:val="20"/>
          <w:shd w:fill="FFFFFF" w:val="clear"/>
        </w:rPr>
        <w:t>Pessoa física:</w:t>
      </w:r>
      <w:r>
        <w:rPr>
          <w:rFonts w:eastAsia="Arial" w:cs="Arial" w:ascii="Arial" w:hAnsi="Arial"/>
          <w:color w:val="000000"/>
          <w:sz w:val="20"/>
          <w:szCs w:val="20"/>
          <w:shd w:fill="FFFFFF" w:val="clear"/>
        </w:rPr>
        <w:t xml:space="preserve"> cédula de identidade (RG) ou documento equivalente que, por força de lei, tenha validade para fins de identificação em todo o território nacional – </w:t>
      </w:r>
      <w:r>
        <w:rPr>
          <w:rFonts w:eastAsia="Arial" w:cs="Arial" w:ascii="Arial" w:hAnsi="Arial"/>
          <w:b/>
          <w:color w:val="000000"/>
          <w:sz w:val="20"/>
          <w:szCs w:val="20"/>
          <w:u w:val="single"/>
          <w:shd w:fill="FFFFFF" w:val="clear"/>
        </w:rPr>
        <w:t>não é o caso</w:t>
      </w:r>
      <w:r>
        <w:rPr>
          <w:rFonts w:eastAsia="Arial" w:cs="Arial" w:ascii="Arial" w:hAnsi="Arial"/>
          <w:color w:val="000000"/>
          <w:sz w:val="20"/>
          <w:szCs w:val="20"/>
          <w:shd w:fill="FFFFFF" w:val="clear"/>
        </w:rPr>
        <w:t>;</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b/>
          <w:color w:val="000000"/>
          <w:sz w:val="20"/>
          <w:szCs w:val="20"/>
          <w:shd w:fill="FFFFFF" w:val="clear"/>
        </w:rPr>
        <w:t>Empresário individual:</w:t>
      </w:r>
      <w:r>
        <w:rPr>
          <w:rFonts w:eastAsia="Arial" w:cs="Arial" w:ascii="Arial" w:hAnsi="Arial"/>
          <w:color w:val="000000"/>
          <w:sz w:val="20"/>
          <w:szCs w:val="20"/>
          <w:shd w:fill="FFFFFF" w:val="clear"/>
        </w:rPr>
        <w:t xml:space="preserve"> inscrição no Registro Público de Empresas Mercantis, a cargo da Junta Comercial da respectiva sede; </w:t>
      </w:r>
    </w:p>
    <w:p>
      <w:pPr>
        <w:pStyle w:val="Normal"/>
        <w:keepNext w:val="true"/>
        <w:numPr>
          <w:ilvl w:val="1"/>
          <w:numId w:val="1"/>
        </w:numPr>
        <w:spacing w:lineRule="auto" w:line="276" w:before="120" w:after="120"/>
        <w:ind w:hanging="0" w:left="0"/>
        <w:jc w:val="both"/>
        <w:rPr/>
      </w:pPr>
      <w:r>
        <w:rPr>
          <w:rFonts w:eastAsia="Arial" w:cs="Arial" w:ascii="Arial" w:hAnsi="Arial"/>
          <w:b/>
          <w:color w:val="000000"/>
          <w:sz w:val="20"/>
          <w:szCs w:val="20"/>
          <w:shd w:fill="FFFFFF" w:val="clear"/>
        </w:rPr>
        <w:t>Microempreendedor Individual - MEI:</w:t>
      </w:r>
      <w:r>
        <w:rPr>
          <w:rFonts w:eastAsia="Arial" w:cs="Arial" w:ascii="Arial" w:hAnsi="Arial"/>
          <w:color w:val="000000"/>
          <w:sz w:val="20"/>
          <w:szCs w:val="20"/>
          <w:shd w:fill="FFFFFF" w:val="clear"/>
        </w:rPr>
        <w:t xml:space="preserve"> Certificado da Condição de Microempreendedor Individual - CCMEI, cuja aceitação ficará condicionada à verificação da autenticidade no sítio </w:t>
      </w:r>
      <w:hyperlink r:id="rId8">
        <w:r>
          <w:rPr>
            <w:rStyle w:val="Hyperlink"/>
            <w:rFonts w:eastAsia="Arial" w:cs="Arial" w:ascii="Arial" w:hAnsi="Arial"/>
            <w:color w:val="000000"/>
            <w:sz w:val="20"/>
            <w:szCs w:val="20"/>
            <w:highlight w:val="white"/>
          </w:rPr>
          <w:t>https://www.gov.br/empresas-e-negocios/pt-br/empreendedor</w:t>
        </w:r>
      </w:hyperlink>
      <w:r>
        <w:rPr>
          <w:rFonts w:eastAsia="Arial" w:cs="Arial" w:ascii="Arial" w:hAnsi="Arial"/>
          <w:color w:val="000000"/>
          <w:sz w:val="20"/>
          <w:szCs w:val="20"/>
          <w:shd w:fill="FFFFFF" w:val="clear"/>
        </w:rPr>
        <w:t xml:space="preserve">;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ormal"/>
        <w:keepNext w:val="true"/>
        <w:numPr>
          <w:ilvl w:val="1"/>
          <w:numId w:val="1"/>
        </w:numPr>
        <w:spacing w:lineRule="auto" w:line="276" w:before="120" w:after="120"/>
        <w:ind w:hanging="0" w:left="0"/>
        <w:jc w:val="both"/>
        <w:rPr/>
      </w:pPr>
      <w:r>
        <w:rPr>
          <w:rFonts w:eastAsia="Arial" w:cs="Arial" w:ascii="Arial" w:hAnsi="Arial"/>
          <w:b/>
          <w:color w:val="000000"/>
          <w:sz w:val="20"/>
          <w:szCs w:val="20"/>
          <w:shd w:fill="FFFFFF" w:val="clear"/>
        </w:rPr>
        <w:t>Sociedade empresária estrangeira:</w:t>
      </w:r>
      <w:r>
        <w:rPr>
          <w:rFonts w:eastAsia="Arial" w:cs="Arial" w:ascii="Arial" w:hAnsi="Arial"/>
          <w:color w:val="000000"/>
          <w:sz w:val="20"/>
          <w:szCs w:val="20"/>
          <w:shd w:fill="FFFFFF" w:val="clea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
        <w:r>
          <w:rPr>
            <w:rStyle w:val="Hyperlink"/>
            <w:rFonts w:eastAsia="Arial" w:cs="Arial" w:ascii="Arial" w:hAnsi="Arial"/>
            <w:color w:val="000000"/>
            <w:sz w:val="20"/>
            <w:szCs w:val="20"/>
            <w:highlight w:val="white"/>
          </w:rPr>
          <w:t>Normativa DREI/ME n.º 77, de 18 de março de 2020</w:t>
        </w:r>
      </w:hyperlink>
      <w:r>
        <w:rPr>
          <w:rFonts w:eastAsia="Arial" w:cs="Arial" w:ascii="Arial" w:hAnsi="Arial"/>
          <w:color w:val="000000"/>
          <w:sz w:val="20"/>
          <w:szCs w:val="20"/>
          <w:shd w:fill="FFFFFF" w:val="clear"/>
        </w:rPr>
        <w:t xml:space="preserve"> – </w:t>
      </w:r>
      <w:r>
        <w:rPr>
          <w:rFonts w:eastAsia="Arial" w:cs="Arial" w:ascii="Arial" w:hAnsi="Arial"/>
          <w:b/>
          <w:color w:val="000000"/>
          <w:sz w:val="20"/>
          <w:szCs w:val="20"/>
          <w:u w:val="single"/>
          <w:shd w:fill="FFFFFF" w:val="clear"/>
        </w:rPr>
        <w:t>não é o caso</w:t>
      </w:r>
      <w:r>
        <w:rPr>
          <w:rFonts w:eastAsia="Arial" w:cs="Arial" w:ascii="Arial" w:hAnsi="Arial"/>
          <w:color w:val="000000"/>
          <w:sz w:val="20"/>
          <w:szCs w:val="20"/>
          <w:shd w:fill="FFFFFF" w:val="clear"/>
        </w:rPr>
        <w:t>;</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b/>
          <w:color w:val="000000"/>
          <w:sz w:val="20"/>
          <w:szCs w:val="20"/>
          <w:shd w:fill="FFFFFF" w:val="clear"/>
        </w:rPr>
        <w:t xml:space="preserve">Sociedade simples: </w:t>
      </w:r>
      <w:r>
        <w:rPr>
          <w:rFonts w:eastAsia="Arial" w:cs="Arial" w:ascii="Arial" w:hAnsi="Arial"/>
          <w:color w:val="000000"/>
          <w:sz w:val="20"/>
          <w:szCs w:val="20"/>
          <w:shd w:fill="FFFFFF" w:val="clear"/>
        </w:rPr>
        <w:t>inscrição do ato constitutivo no Registro Civil de Pessoas Jurídicas do local de sua sede, acompanhada de documento comprobatório de seus administradores;</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bookmarkStart w:id="54" w:name="_heading=h.30j0zll"/>
      <w:bookmarkEnd w:id="54"/>
      <w:r>
        <w:rPr>
          <w:rFonts w:eastAsia="Arial" w:cs="Arial" w:ascii="Arial" w:hAnsi="Arial"/>
          <w:b/>
          <w:color w:val="000000"/>
          <w:sz w:val="20"/>
          <w:szCs w:val="20"/>
          <w:shd w:fill="FFFFFF" w:val="clear"/>
        </w:rPr>
        <w:t>Filial, sucursal ou agência de sociedade simples ou empresária:</w:t>
      </w:r>
      <w:r>
        <w:rPr>
          <w:rFonts w:eastAsia="Arial" w:cs="Arial" w:ascii="Arial" w:hAnsi="Arial"/>
          <w:color w:val="000000"/>
          <w:sz w:val="20"/>
          <w:szCs w:val="20"/>
          <w:shd w:fill="FFFFFF" w:val="clea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Os documentos apresentados deverão estar acompanhados de todas as alterações ou da consolidação respectiva.</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Habilitação fiscal, social e trabalhista</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Prova de inscrição no Cadastro Nacional de Pessoas Jurídicas ou no Cadastro de Pessoas Físicas, conforme o caso;</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Prova de regularidade com o Fundo de Garantia do Tempo de Serviço (FGTS);</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 xml:space="preserve">Prova de inscrição no cadastro de contribuintes Estadual ou Municipal relativo ao domicílio ou sede do fornecedor, pertinente ao seu ramo de atividade e compatível com o objeto contratual; </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Prova de regularidade com a Fazenda Estadual e Municipal do domicílio ou sede do fornecedor, relativa à atividade em cujo exercício contrata ou concorre;</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Qualificação Econômico-Financeira</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Certidão negativa de insolvência civil expedida pelo distribuidor do domicílio ou sede do licitante, caso se trate de pessoa física, desde que admitida a sua participação na licitação (</w:t>
      </w:r>
      <w:r>
        <w:fldChar w:fldCharType="begin"/>
      </w:r>
      <w:r>
        <w:rPr>
          <w:rStyle w:val="Hyperlink"/>
          <w:sz w:val="20"/>
          <w:szCs w:val="20"/>
          <w:highlight w:val="white"/>
          <w:rFonts w:eastAsia="Arial" w:cs="Arial" w:ascii="Arial" w:hAnsi="Arial"/>
          <w:color w:val="000000"/>
        </w:rPr>
        <w:instrText xml:space="preserve"> HYPERLINK "https://www.gov.br/compras/pt-br/acesso-a-informacao/legislacao/instrucoes-normativas/instrucao-normativa-seges-me-no-116-de-21-de-dezembro-de-2021" \l "art5"</w:instrText>
      </w:r>
      <w:r>
        <w:rPr>
          <w:rStyle w:val="Hyperlink"/>
          <w:sz w:val="20"/>
          <w:szCs w:val="20"/>
          <w:highlight w:val="white"/>
          <w:rFonts w:eastAsia="Arial" w:cs="Arial" w:ascii="Arial" w:hAnsi="Arial"/>
          <w:color w:val="000000"/>
        </w:rPr>
        <w:fldChar w:fldCharType="separate"/>
      </w:r>
      <w:r>
        <w:rPr>
          <w:rStyle w:val="Hyperlink"/>
          <w:rFonts w:eastAsia="Arial" w:cs="Arial" w:ascii="Arial" w:hAnsi="Arial"/>
          <w:color w:val="000000"/>
          <w:sz w:val="20"/>
          <w:szCs w:val="20"/>
          <w:highlight w:val="white"/>
        </w:rPr>
        <w:t>art. 5º, inciso II, alínea “c”, da Instrução Normativa Seges/ME nº 116, de 2021</w:t>
      </w:r>
      <w:r>
        <w:rPr>
          <w:rStyle w:val="Hyperlink"/>
          <w:sz w:val="20"/>
          <w:szCs w:val="20"/>
          <w:highlight w:val="white"/>
          <w:rFonts w:eastAsia="Arial" w:cs="Arial" w:ascii="Arial" w:hAnsi="Arial"/>
          <w:color w:val="000000"/>
        </w:rPr>
        <w:fldChar w:fldCharType="end"/>
      </w:r>
      <w:r>
        <w:rPr>
          <w:rFonts w:eastAsia="Arial" w:cs="Arial" w:ascii="Arial" w:hAnsi="Arial"/>
          <w:color w:val="000000"/>
          <w:sz w:val="20"/>
          <w:szCs w:val="20"/>
          <w:shd w:fill="FFFFFF" w:val="clear"/>
        </w:rPr>
        <w:t xml:space="preserve">), ou de sociedade simples; </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 xml:space="preserve">Certidão negativa de falência expedida pelo distribuidor da sede do fornecedor - </w:t>
      </w:r>
      <w:r>
        <w:fldChar w:fldCharType="begin"/>
      </w:r>
      <w:r>
        <w:rPr>
          <w:rStyle w:val="Hyperlink"/>
          <w:sz w:val="20"/>
          <w:szCs w:val="20"/>
          <w:highlight w:val="white"/>
          <w:rFonts w:eastAsia="Arial" w:cs="Arial" w:ascii="Arial" w:hAnsi="Arial"/>
          <w:color w:val="000000"/>
        </w:rPr>
        <w:instrText xml:space="preserve"> HYPERLINK "http://www.planalto.gov.br/ccivil_03/_ato2019-2022/2021/lei/L14133.htm" \l "art69"</w:instrText>
      </w:r>
      <w:r>
        <w:rPr>
          <w:rStyle w:val="Hyperlink"/>
          <w:sz w:val="20"/>
          <w:szCs w:val="20"/>
          <w:highlight w:val="white"/>
          <w:rFonts w:eastAsia="Arial" w:cs="Arial" w:ascii="Arial" w:hAnsi="Arial"/>
          <w:color w:val="000000"/>
        </w:rPr>
        <w:fldChar w:fldCharType="separate"/>
      </w:r>
      <w:r>
        <w:rPr>
          <w:rStyle w:val="Hyperlink"/>
          <w:rFonts w:eastAsia="Arial" w:cs="Arial" w:ascii="Arial" w:hAnsi="Arial"/>
          <w:color w:val="000000"/>
          <w:sz w:val="20"/>
          <w:szCs w:val="20"/>
          <w:highlight w:val="white"/>
        </w:rPr>
        <w:t>Lei nº 14.133, de 2021, art. 69, caput, inciso II</w:t>
      </w:r>
      <w:r>
        <w:rPr>
          <w:rStyle w:val="Hyperlink"/>
          <w:sz w:val="20"/>
          <w:szCs w:val="20"/>
          <w:highlight w:val="white"/>
          <w:rFonts w:eastAsia="Arial" w:cs="Arial" w:ascii="Arial" w:hAnsi="Arial"/>
          <w:color w:val="000000"/>
        </w:rPr>
        <w:fldChar w:fldCharType="end"/>
      </w:r>
      <w:r>
        <w:rPr>
          <w:rFonts w:eastAsia="Arial" w:cs="Arial" w:ascii="Arial" w:hAnsi="Arial"/>
          <w:color w:val="000000"/>
          <w:sz w:val="20"/>
          <w:szCs w:val="20"/>
          <w:shd w:fill="FFFFFF" w:val="clear"/>
        </w:rPr>
        <w:t>;</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Balanço patrimonial, demonstração de resultado de exercício e demais demonstrações contábeis do último exercício social, comprovando;</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índices de Liquidez Geral (LG), Liquidez Corrente (LC), e Solvência Geral (SG) superiores a 1 (um);</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As empresas criadas no exercício financeiro da licitação deverão atender a todas as exigências da habilitação e poderão substituir os demonstrativos contábeis pelo balanço de abertur.;</w:t>
      </w:r>
    </w:p>
    <w:p>
      <w:pPr>
        <w:pStyle w:val="Normal"/>
        <w:keepNext w:val="true"/>
        <w:numPr>
          <w:ilvl w:val="2"/>
          <w:numId w:val="1"/>
        </w:numPr>
        <w:spacing w:lineRule="auto" w:line="276" w:before="120" w:after="120"/>
        <w:ind w:hanging="0" w:left="284"/>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Os documentos referidos acima deverão ser exigidos com base no limite definido pela Receita Federal do Brasil para transmissão da Escrituração Contábil Digital - ECD ao Sped.</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As empresas criadas no exercício financeiro da licitação deverão atender a todas as exigências da habilitação e poderão substituir os demonstrativos contábeis pelo balanço de abertura. (Lei nº 14.133, de 2021, art. 65, §1º).</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O atendimento dos índices econômicos previstos neste item deverá ser atestado mediante declaração assinada por profissional habilitado da área contábil, apresentada pelo fornecedor.</w:t>
      </w:r>
    </w:p>
    <w:p>
      <w:pPr>
        <w:pStyle w:val="Normal"/>
        <w:rPr/>
      </w:pPr>
      <w:r>
        <w:rPr/>
        <w:t>Qualificação Técnica</w:t>
      </w:r>
    </w:p>
    <w:p>
      <w:pPr>
        <w:pStyle w:val="Normal"/>
        <w:numPr>
          <w:ilvl w:val="0"/>
          <w:numId w:val="1"/>
        </w:numPr>
        <w:rPr/>
      </w:pPr>
      <w:bookmarkStart w:id="55" w:name="_heading=h.1fob9te"/>
      <w:bookmarkEnd w:id="55"/>
      <w:r>
        <w:rPr/>
        <w:t xml:space="preserve">Alvará de Funcionamento e alvará sanitário expedido pelo município da sede da empresa, no ramo pertinente ao objeto licitado; </w:t>
      </w:r>
    </w:p>
    <w:p>
      <w:pPr>
        <w:pStyle w:val="Normal"/>
        <w:keepNext w:val="true"/>
        <w:keepLines/>
        <w:tabs>
          <w:tab w:val="clear" w:pos="708"/>
          <w:tab w:val="left" w:pos="567" w:leader="none"/>
        </w:tabs>
        <w:spacing w:lineRule="auto" w:line="276" w:before="240" w:after="120"/>
        <w:jc w:val="both"/>
        <w:rPr>
          <w:rFonts w:ascii="Arial" w:hAnsi="Arial" w:eastAsia="Arial" w:cs="Arial"/>
          <w:b/>
          <w:color w:val="000000"/>
          <w:sz w:val="20"/>
          <w:szCs w:val="20"/>
          <w:highlight w:val="white"/>
        </w:rPr>
      </w:pPr>
      <w:r>
        <w:rPr>
          <w:rFonts w:eastAsia="Arial" w:cs="Arial" w:ascii="Arial" w:hAnsi="Arial"/>
          <w:b/>
          <w:color w:val="000000"/>
          <w:sz w:val="20"/>
          <w:szCs w:val="20"/>
          <w:shd w:fill="FFFFFF" w:val="clear"/>
        </w:rPr>
        <w:t>Outros Documentos</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Certidão Negativa Correcional – TCU;</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Declaração de inexistência de Fatos Impeditivos;</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Declaração de idoneidade;</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Declaração de que não possui vínculo de natureza técnica, comercial, econômica, financeira, trabalhista ou civil com dirigente do órgão ou entidade contratante (Município de Santa Rosa de Lima) ou com agente público que desempenhe função na licitação ou atue na fiscalização ou na gestão do contrato, ou que deles seja cônjuge, companheiro ou parente em linha reta, colateral ou por afinidade, até o terceiro grau;</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Declaração, firmada pela licitante de que não possui em seu quadro funcional menores de dezoito anos, em trabalho noturno, perigoso ou insalubre, e nem menores de dezesseis anos em qualquer trabalho, salvo na condição de aprendiz a partir dos quatorze anos;</w:t>
      </w:r>
    </w:p>
    <w:p>
      <w:pPr>
        <w:pStyle w:val="Normal"/>
        <w:keepNext w:val="true"/>
        <w:numPr>
          <w:ilvl w:val="1"/>
          <w:numId w:val="1"/>
        </w:numPr>
        <w:spacing w:lineRule="auto" w:line="276" w:before="120" w:after="120"/>
        <w:ind w:hanging="0" w:left="0"/>
        <w:jc w:val="both"/>
        <w:rPr/>
      </w:pPr>
      <w:r>
        <w:rPr>
          <w:rFonts w:eastAsia="Arial" w:cs="Arial" w:ascii="Arial" w:hAnsi="Arial"/>
          <w:color w:val="000000"/>
          <w:sz w:val="20"/>
          <w:szCs w:val="20"/>
          <w:shd w:fill="FFFFFF" w:val="clear"/>
        </w:rPr>
        <w:t xml:space="preserve">Declaração de não possui empregados executando trabalho degradante ou forçado, observando o disposto nos </w:t>
      </w:r>
      <w:hyperlink r:id="rId10">
        <w:r>
          <w:rPr>
            <w:rStyle w:val="Hyperlink"/>
            <w:rFonts w:eastAsia="Arial" w:cs="Arial" w:ascii="Arial" w:hAnsi="Arial"/>
            <w:color w:val="000000"/>
            <w:sz w:val="20"/>
            <w:szCs w:val="20"/>
            <w:highlight w:val="white"/>
          </w:rPr>
          <w:t>incisos III e IV do art. 1º e no inciso III do art. 5º da Constituição Federal</w:t>
        </w:r>
      </w:hyperlink>
      <w:r>
        <w:rPr>
          <w:rFonts w:eastAsia="Arial" w:cs="Arial" w:ascii="Arial" w:hAnsi="Arial"/>
          <w:color w:val="000000"/>
          <w:sz w:val="20"/>
          <w:szCs w:val="20"/>
          <w:shd w:fill="FFFFFF" w:val="clear"/>
        </w:rPr>
        <w:t>;</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Declaração de que cumpre as exigências de reserva de cargos para pessoa com deficiência e para reabilitado da Previdência Social, previstas em lei e em outras normas específicas.</w:t>
      </w:r>
    </w:p>
    <w:p>
      <w:pPr>
        <w:pStyle w:val="Normal"/>
        <w:keepNext w:val="true"/>
        <w:keepLines/>
        <w:numPr>
          <w:ilvl w:val="0"/>
          <w:numId w:val="1"/>
        </w:numPr>
        <w:tabs>
          <w:tab w:val="clear" w:pos="708"/>
          <w:tab w:val="left" w:pos="567" w:leader="none"/>
        </w:tabs>
        <w:spacing w:lineRule="auto" w:line="276" w:before="240" w:after="120"/>
        <w:ind w:hanging="0" w:left="0"/>
        <w:jc w:val="both"/>
        <w:rPr>
          <w:color w:val="000000"/>
          <w:sz w:val="16"/>
          <w:szCs w:val="16"/>
          <w:highlight w:val="white"/>
        </w:rPr>
      </w:pPr>
      <w:r>
        <w:rPr>
          <w:rFonts w:eastAsia="Arial" w:cs="Arial" w:ascii="Arial" w:hAnsi="Arial"/>
          <w:b/>
          <w:color w:val="000000"/>
          <w:sz w:val="20"/>
          <w:szCs w:val="20"/>
          <w:shd w:fill="FFFFFF" w:val="clear"/>
        </w:rPr>
        <w:t>ESTIMATIVAS DO VALOR DA CONTRATAÇÃO</w:t>
      </w:r>
    </w:p>
    <w:p>
      <w:pPr>
        <w:pStyle w:val="Normal"/>
        <w:keepNext w:val="true"/>
        <w:numPr>
          <w:ilvl w:val="0"/>
          <w:numId w:val="1"/>
        </w:numPr>
        <w:spacing w:lineRule="auto" w:line="276" w:before="120" w:after="120"/>
        <w:jc w:val="both"/>
        <w:rPr>
          <w:highlight w:val="none"/>
          <w:shd w:fill="auto" w:val="clear"/>
        </w:rPr>
      </w:pPr>
      <w:r>
        <w:rPr>
          <w:rFonts w:eastAsia="Arial" w:cs="Arial" w:ascii="Arial" w:hAnsi="Arial"/>
          <w:color w:val="000000"/>
          <w:sz w:val="20"/>
          <w:szCs w:val="20"/>
          <w:shd w:fill="auto" w:val="clear"/>
        </w:rPr>
        <w:t>O custo estimado total da contratação é de R$ 9.000,00(nove mil reais), conforme custos unitários apostos na tabela acima.</w:t>
      </w:r>
    </w:p>
    <w:p>
      <w:pPr>
        <w:pStyle w:val="Normal"/>
        <w:keepNext w:val="true"/>
        <w:numPr>
          <w:ilvl w:val="0"/>
          <w:numId w:val="1"/>
        </w:numPr>
        <w:spacing w:lineRule="auto" w:line="276" w:before="120" w:after="120"/>
        <w:jc w:val="both"/>
        <w:rPr>
          <w:color w:val="000000"/>
          <w:highlight w:val="white"/>
        </w:rPr>
      </w:pPr>
      <w:r>
        <w:rPr>
          <w:rFonts w:eastAsia="Arial" w:cs="Arial" w:ascii="Arial" w:hAnsi="Arial"/>
          <w:color w:val="000000"/>
          <w:sz w:val="20"/>
          <w:szCs w:val="20"/>
          <w:shd w:fill="FFFFFF" w:val="clear"/>
        </w:rPr>
        <w:t>em caso de criação, alteração ou extinção de quaisquer tributos ou encargos legais ou superveniência de disposições legais, com comprovada repercussão sobre os preços registrados;</w:t>
      </w:r>
    </w:p>
    <w:p>
      <w:pPr>
        <w:pStyle w:val="Normal"/>
        <w:keepNext w:val="true"/>
        <w:numPr>
          <w:ilvl w:val="0"/>
          <w:numId w:val="1"/>
        </w:numPr>
        <w:spacing w:lineRule="auto" w:line="276" w:before="120" w:after="120"/>
        <w:jc w:val="both"/>
        <w:rPr>
          <w:color w:val="000000"/>
          <w:highlight w:val="white"/>
        </w:rPr>
      </w:pPr>
      <w:r>
        <w:rPr>
          <w:rFonts w:eastAsia="Arial" w:cs="Arial" w:ascii="Arial" w:hAnsi="Arial"/>
          <w:color w:val="000000"/>
          <w:sz w:val="20"/>
          <w:szCs w:val="20"/>
          <w:shd w:fill="FFFFFF" w:val="clear"/>
        </w:rPr>
        <w:t>serão reajustados os preços registrados, respeitada a contagem da anualidade e o índice previsto para a contratação – INPC (Índice Nacional de Preços ao Consumidor); ou</w:t>
      </w:r>
    </w:p>
    <w:p>
      <w:pPr>
        <w:pStyle w:val="Normal"/>
        <w:keepNext w:val="true"/>
        <w:numPr>
          <w:ilvl w:val="0"/>
          <w:numId w:val="1"/>
        </w:numPr>
        <w:spacing w:lineRule="auto" w:line="276" w:before="120" w:after="120"/>
        <w:jc w:val="both"/>
        <w:rPr>
          <w:color w:val="000000"/>
          <w:highlight w:val="white"/>
        </w:rPr>
      </w:pPr>
      <w:r>
        <w:rPr>
          <w:rFonts w:eastAsia="Arial" w:cs="Arial" w:ascii="Arial" w:hAnsi="Arial"/>
          <w:color w:val="000000"/>
          <w:sz w:val="20"/>
          <w:szCs w:val="20"/>
          <w:shd w:fill="FFFFFF" w:val="clear"/>
        </w:rPr>
        <w:t>poderão ser repactuados, a pedido do interessado, conforme critérios definidos para a contratação.</w:t>
      </w:r>
    </w:p>
    <w:p>
      <w:pPr>
        <w:pStyle w:val="Normal"/>
        <w:keepNext w:val="true"/>
        <w:keepLines/>
        <w:numPr>
          <w:ilvl w:val="0"/>
          <w:numId w:val="1"/>
        </w:numPr>
        <w:tabs>
          <w:tab w:val="clear" w:pos="708"/>
          <w:tab w:val="left" w:pos="567" w:leader="none"/>
        </w:tabs>
        <w:spacing w:lineRule="auto" w:line="276" w:before="240" w:after="120"/>
        <w:ind w:hanging="0" w:left="0"/>
        <w:jc w:val="both"/>
        <w:rPr/>
      </w:pPr>
      <w:r>
        <w:rPr>
          <w:rFonts w:eastAsia="Arial" w:cs="Arial" w:ascii="Arial" w:hAnsi="Arial"/>
          <w:b/>
          <w:color w:val="000000"/>
          <w:sz w:val="20"/>
          <w:szCs w:val="20"/>
          <w:shd w:fill="FFFFFF" w:val="clear"/>
        </w:rPr>
        <w:t>ADEQUAÇÃO ORÇAMENTÁRIA</w:t>
      </w:r>
    </w:p>
    <w:p>
      <w:pPr>
        <w:pStyle w:val="Normal"/>
        <w:keepNext w:val="true"/>
        <w:numPr>
          <w:ilvl w:val="1"/>
          <w:numId w:val="1"/>
        </w:numPr>
        <w:spacing w:lineRule="auto" w:line="276" w:before="120" w:after="120"/>
        <w:ind w:hanging="0" w:left="0"/>
        <w:jc w:val="both"/>
        <w:rPr>
          <w:rFonts w:ascii="Arial" w:hAnsi="Arial" w:eastAsia="Arial" w:cs="Arial"/>
          <w:color w:val="000000"/>
          <w:sz w:val="20"/>
          <w:szCs w:val="20"/>
          <w:highlight w:val="white"/>
        </w:rPr>
      </w:pPr>
      <w:r>
        <w:rPr>
          <w:rFonts w:eastAsia="Arial" w:cs="Arial" w:ascii="Arial" w:hAnsi="Arial"/>
          <w:color w:val="000000"/>
          <w:sz w:val="20"/>
          <w:szCs w:val="20"/>
          <w:shd w:fill="FFFFFF" w:val="clear"/>
        </w:rPr>
        <w:t>A presente contratação não prevê gastos para o ente, porém, caso aconteçam correrão à conta de recursos específicos consignados no Orçamento Geral do Município de Santa Rosa de Lima/SC, sendo alocadas as dotações específicas no momento da contratação.</w:t>
      </w:r>
    </w:p>
    <w:p>
      <w:pPr>
        <w:pStyle w:val="Normal"/>
        <w:keepNext w:val="true"/>
        <w:numPr>
          <w:ilvl w:val="0"/>
          <w:numId w:val="1"/>
        </w:numPr>
        <w:spacing w:lineRule="auto" w:line="276" w:before="120" w:after="120"/>
        <w:jc w:val="both"/>
        <w:rPr>
          <w:color w:val="000000"/>
          <w:sz w:val="16"/>
          <w:szCs w:val="16"/>
          <w:highlight w:val="white"/>
        </w:rPr>
      </w:pPr>
      <w:r>
        <w:rPr>
          <w:rFonts w:eastAsia="Arial" w:cs="Arial" w:ascii="Arial" w:hAnsi="Arial"/>
          <w:color w:val="000000"/>
          <w:sz w:val="20"/>
          <w:szCs w:val="20"/>
          <w:shd w:fill="FFFFFF" w:val="clear"/>
        </w:rPr>
        <w:t>A dotação relativa aos exercícios financeiros subsequentes será indicada após aprovação da Lei Orçamentária respectiva e liberação dos créditos correspondentes, mediante apostilamento, se for o caso.</w:t>
      </w:r>
    </w:p>
    <w:p>
      <w:pPr>
        <w:pStyle w:val="Normal"/>
        <w:keepNext w:val="true"/>
        <w:spacing w:lineRule="auto" w:line="276" w:before="120" w:after="120"/>
        <w:jc w:val="both"/>
        <w:rPr>
          <w:rFonts w:ascii="Arial" w:hAnsi="Arial" w:eastAsia="Arial" w:cs="Arial"/>
          <w:sz w:val="20"/>
          <w:szCs w:val="20"/>
          <w:shd w:fill="FFFFFF" w:val="clear"/>
        </w:rPr>
      </w:pPr>
      <w:r>
        <w:rPr>
          <w:rFonts w:eastAsia="Arial" w:cs="Arial" w:ascii="Arial" w:hAnsi="Arial"/>
          <w:sz w:val="20"/>
          <w:szCs w:val="20"/>
          <w:shd w:fill="FFFFFF" w:val="clear"/>
        </w:rPr>
      </w:r>
    </w:p>
    <w:p>
      <w:pPr>
        <w:pStyle w:val="Normal"/>
        <w:keepNext w:val="true"/>
        <w:spacing w:lineRule="auto" w:line="360"/>
        <w:ind w:left="142"/>
        <w:jc w:val="right"/>
        <w:rPr>
          <w:rFonts w:ascii="Times New Roman" w:hAnsi="Times New Roman" w:eastAsia="Times New Roman" w:cs="Times New Roman"/>
          <w:highlight w:val="white"/>
        </w:rPr>
      </w:pPr>
      <w:r>
        <w:rPr>
          <w:rFonts w:eastAsia="Arial" w:cs="Arial" w:ascii="Arial" w:hAnsi="Arial"/>
          <w:color w:val="000000"/>
          <w:shd w:fill="FFFFFF" w:val="clear"/>
        </w:rPr>
        <w:t>Santa Rosa de Lima, 26 de Março de 2024.</w:t>
      </w:r>
    </w:p>
    <w:p>
      <w:pPr>
        <w:pStyle w:val="Normal"/>
        <w:keepNext w:val="true"/>
        <w:spacing w:lineRule="auto" w:line="360"/>
        <w:ind w:left="142"/>
        <w:jc w:val="both"/>
        <w:rPr>
          <w:rFonts w:ascii="Arial" w:hAnsi="Arial" w:eastAsia="Arial" w:cs="Arial"/>
          <w:color w:val="000000"/>
          <w:shd w:fill="FFFFFF" w:val="clear"/>
        </w:rPr>
      </w:pPr>
      <w:r>
        <w:rPr>
          <w:rFonts w:eastAsia="Arial" w:cs="Arial" w:ascii="Arial" w:hAnsi="Arial"/>
          <w:color w:val="000000"/>
          <w:shd w:fill="FFFFFF" w:val="clear"/>
        </w:rPr>
      </w:r>
    </w:p>
    <w:p>
      <w:pPr>
        <w:pStyle w:val="Normal"/>
        <w:keepNext w:val="true"/>
        <w:spacing w:lineRule="auto" w:line="360"/>
        <w:ind w:left="142"/>
        <w:jc w:val="center"/>
        <w:rPr>
          <w:rFonts w:ascii="Times New Roman" w:hAnsi="Times New Roman" w:eastAsia="Times New Roman" w:cs="Times New Roman"/>
          <w:highlight w:val="white"/>
        </w:rPr>
      </w:pPr>
      <w:r>
        <w:rPr>
          <w:rFonts w:eastAsia="Arial" w:cs="Arial" w:ascii="Arial" w:hAnsi="Arial"/>
          <w:b/>
          <w:color w:val="000000"/>
          <w:shd w:fill="FFFFFF" w:val="clear"/>
        </w:rPr>
        <w:t>_______________________________</w:t>
      </w:r>
    </w:p>
    <w:p>
      <w:pPr>
        <w:pStyle w:val="Normal"/>
        <w:spacing w:lineRule="auto" w:line="360"/>
        <w:ind w:left="142"/>
        <w:jc w:val="center"/>
        <w:rPr/>
      </w:pPr>
      <w:r>
        <w:rPr>
          <w:rFonts w:eastAsia="Arial" w:cs="Arial" w:ascii="Arial" w:hAnsi="Arial"/>
          <w:color w:val="000000"/>
          <w:shd w:fill="FFFFFF" w:val="clear"/>
        </w:rPr>
        <w:t>KARLA LUANA FOLSTER ROESNER</w:t>
      </w:r>
    </w:p>
    <w:p>
      <w:pPr>
        <w:pStyle w:val="Normal"/>
        <w:spacing w:lineRule="auto" w:line="360"/>
        <w:ind w:left="142"/>
        <w:jc w:val="center"/>
        <w:rPr/>
      </w:pPr>
      <w:r>
        <w:rPr>
          <w:rFonts w:eastAsia="Arial" w:cs="Arial" w:ascii="Arial" w:hAnsi="Arial"/>
          <w:b/>
          <w:color w:val="000000"/>
        </w:rPr>
        <w:t>SECRETÁRIA MUNICIPAL DE EDUCAÇÃO E DESPORTO</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b/>
          <w:bCs/>
          <w:color w:val="000000"/>
          <w:sz w:val="22"/>
          <w:szCs w:val="22"/>
        </w:rPr>
        <w:t xml:space="preserve">ANEXO II – MINUTA DO CONTRATO </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TERMO DE CONCESSÃO DE USO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O MUNICÍPIO DE SANTA ROSA DE LIMA/SC, pessoa jurídica de direito público interno, inscrito no CNPJ sob o nº 82.926.593/0001-86, situado na Rua 10 de Maio, 80, Centro, neste ato, representado pelo Prefeito Municipal Sr. Salésio Wimes, doravante denominado CONTRATANTE, e (a)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da Concorrência de Licitação nº .../..., mediante as cláusulas e condições a seguir enunciadas</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CLÁUSULA PRIMEIRA – OBJETO (art. 92, I e II</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 xml:space="preserve">1.1 O objeto do presente instrumento é a </w:t>
      </w:r>
      <w:r>
        <w:rPr>
          <w:rFonts w:eastAsia="Arial" w:cs="Arial" w:ascii="Arial" w:hAnsi="Arial"/>
          <w:b/>
          <w:bCs/>
          <w:color w:val="000000"/>
          <w:sz w:val="24"/>
          <w:szCs w:val="24"/>
          <w:shd w:fill="FFFFFF" w:val="clear"/>
        </w:rPr>
        <w:t>CONCESSÃO PARA EXPLORAÇÃO DE UM ESPAÇO FÍSICO CONHECIDA COMO BAR/LANCHONETE DO GINÁSIO EDSON BENZ DE OLIVEIRA FILHO DO MUNICÍPIO DE SANTA ROSA DE LIMA/SC,</w:t>
      </w:r>
      <w:r>
        <w:rPr>
          <w:rFonts w:eastAsia="MS Mincho;ＭＳ 明朝" w:cs="Arial" w:ascii="Arial" w:hAnsi="Arial"/>
          <w:color w:val="000000"/>
          <w:sz w:val="22"/>
          <w:szCs w:val="22"/>
        </w:rPr>
        <w:t xml:space="preserve"> nas condições estabelecidas no Termo de Referência.</w:t>
      </w:r>
    </w:p>
    <w:p>
      <w:pPr>
        <w:pStyle w:val="Normal"/>
        <w:spacing w:lineRule="auto" w:line="312" w:before="288" w:after="288"/>
        <w:ind w:firstLine="567" w:right="0"/>
        <w:jc w:val="both"/>
        <w:rPr/>
      </w:pPr>
      <w:r>
        <w:rPr>
          <w:rFonts w:eastAsia="MS Mincho;ＭＳ 明朝" w:cs="Arial" w:ascii="Arial" w:hAnsi="Arial"/>
          <w:color w:val="000000"/>
          <w:sz w:val="22"/>
          <w:szCs w:val="22"/>
        </w:rPr>
        <w:t xml:space="preserve">1.2  </w:t>
      </w:r>
      <w:r>
        <w:rPr/>
        <w:t>Por este instrumento o CONCEDENTE, legítimo possuidor e proprietário, CONCEDE ao CONCESSIONÁRIO, pelo valor mensal de R$ ......... (........................) líquido, o uso para exploração de um espaço físico conhecido como “Lanchonete”, localizada no Ginásio Municipal de Esportes.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1.3 Vinculam esta contratação, independentemente de transcrição: Estado de Santa Catarina Município de Santa Rosa de Limana/SC Concorrência Eletrônico nº 001/2024 – Proc. Licitatório nº 001/2024</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1.3.1 o Termo de Referência;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1.3.2 o Edital da Licitação;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1.3.3 a Proposta do contratado;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1.3.4 eventuais anexos dos documentos supracitados.</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CLÁUSULA SEGUNDA – VIGÊNCIA E PRORROGAÇÃO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2.1 O prazo de vigência da contratação é de 01 (um) ano, contado da assinatura do presente contrato administrativo, prorrogável por até 05 anos, na forma da Lei n°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2.1.1 A prorrogação de que trata este item é condicionada ao ateste, pela autoridade competente, de que as condições e os preços permanecem vantajosos para a Administração, permitida a negociação com o contratado.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2.2 O contratado não tem direito subjetivo à prorrogação contratual.</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2.3 A prorrogação de contrato deverá ser promovida mediante celebração de termo aditivo.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2.4 O contrato não poderá ser prorrogado quando o contratado tiver sido penalizado nas sanções de declaração de inidoneidade ou impedimento de licitar e contratar com poder público, observadas as abrangências de aplicação.</w:t>
      </w:r>
    </w:p>
    <w:p>
      <w:pPr>
        <w:pStyle w:val="Normal"/>
        <w:spacing w:lineRule="auto" w:line="312" w:before="288" w:after="288"/>
        <w:ind w:firstLine="567" w:right="0"/>
        <w:jc w:val="both"/>
        <w:rPr/>
      </w:pPr>
      <w:r>
        <w:rPr>
          <w:rFonts w:eastAsia="Arial" w:cs="Arial" w:ascii="Arial" w:hAnsi="Arial"/>
          <w:b/>
          <w:bCs/>
          <w:color w:val="000000"/>
          <w:sz w:val="22"/>
          <w:szCs w:val="22"/>
        </w:rPr>
        <w:t xml:space="preserve"> </w:t>
      </w:r>
      <w:r>
        <w:rPr>
          <w:rFonts w:eastAsia="MS Mincho;ＭＳ 明朝" w:cs="Arial" w:ascii="Arial" w:hAnsi="Arial"/>
          <w:b/>
          <w:bCs/>
          <w:color w:val="000000"/>
          <w:sz w:val="22"/>
          <w:szCs w:val="22"/>
        </w:rPr>
        <w:t>CLÁUSULA TERCEIRA – MODELOS DE EXECUÇÃO E GESTÃO CONTRATUAIS (art. 92, IV, VII e XVIII)</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3.1 O regime de execução contratual, os modelos de gestão e de execução, assim como os prazos e condições de conclusão, entrega, observação e recebimento do objeto constam no Termo de Referência, anexo a este Contrato.</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 xml:space="preserve">CLÁUSULA QUARTA – PREÇO (art. 92, V)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4.1 O valor total da contratação é de R$..........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4.2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4.3 O valor acima é meramente estimativo, de forma que os pagamentos devidos ao contratado dependerão dos quantitativos efetivamente fornecidos.</w:t>
      </w:r>
    </w:p>
    <w:p>
      <w:pPr>
        <w:pStyle w:val="Normal"/>
        <w:spacing w:lineRule="auto" w:line="312" w:before="288" w:after="288"/>
        <w:ind w:firstLine="567" w:right="0"/>
        <w:jc w:val="both"/>
        <w:rPr/>
      </w:pPr>
      <w:r>
        <w:rPr>
          <w:rFonts w:eastAsia="Arial" w:cs="Arial" w:ascii="Arial" w:hAnsi="Arial"/>
          <w:b/>
          <w:bCs/>
          <w:color w:val="000000"/>
          <w:sz w:val="22"/>
          <w:szCs w:val="22"/>
        </w:rPr>
        <w:t xml:space="preserve"> </w:t>
      </w:r>
      <w:r>
        <w:rPr>
          <w:rFonts w:eastAsia="MS Mincho;ＭＳ 明朝" w:cs="Arial" w:ascii="Arial" w:hAnsi="Arial"/>
          <w:b/>
          <w:bCs/>
          <w:color w:val="000000"/>
          <w:sz w:val="22"/>
          <w:szCs w:val="22"/>
        </w:rPr>
        <w:t xml:space="preserve">CLÁUSULA QUINTA - PAGAMENTO (art. 92, V e VI) 5.1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 xml:space="preserve">O prazo para pagamento ao contratado e demais condições a ele referentes encontram-se definidos no Termo de Referência, anexo a este Contrato </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 xml:space="preserve">CLÁUSULA SEXTA - REAJUSTE (art. 92, V)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6.1 Os preços inicialmente contratados são fixos e irreajustáveis no prazo de um ano contado da data da apresentação da proposta, em __/__/__ (DD/MM/AAAA).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6.2 Após o interregno de um ano, mediante provocação da contratada, os preços iniciais serão reajustados, mediante a aplicação, pelo contratante, pelo Decreto Municipal 12/2024,ou outro que venha substituí-lo, exclusivamente, para as obrigações iniciadas e concluídas após a ocorrência da anualidade.</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6.3 Nos reajustes subsequentes ao primeiro, o interregno mínimo de um ano será contado a partir dos efeitos financeiros do último reajuste.</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6.4 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.6.5 Nas aferições finais, o(s) índice(s) utilizado(s) para reajuste será(ão), obrigatoriamente, o(s) definitivo(s).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6.6 Caso o(s) índice(s) estabelecido(s) para reajustamento venha(m) a ser extinto(s) ou de qualquer forma não possa(m) mais ser utilizado(s), será(ão) adotado(s), em substituição, o(s) que vier(em) a ser determinado(s) pela legislação então em vigor.</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6.7 Na ausência de previsão legal quanto ao índice substituto, as partes elegerão novo índice oficial, para reajustamento do preço do valor remanescente, por meio de termo aditivo.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6.8 O reajuste será realizado por apostilamento</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CLÁUSULA SÉTIMA - OBRIGAÇÕES DO CONTRATANTE (art. 92, X, XI e XIV)</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7.1 São obrigações do Contratante:</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7.2 Exigir o cumprimento de todas as obrigações assumidas pelo Contratado, de acordo com o contrato e seus anexos;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7.3 Receber o objeto no prazo e condições estabelecidas no Termo de Referência;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 xml:space="preserve">7.4 Notificar o Contratado, por escrito, sobre vícios, defeitos ou incorreções verificadas no objeto fornecido, para que seja por ele substituído, reparado ou corrigido, no total ou em parte, às suas expensas;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7.5 Acompanhar e fiscalizar a execução do contrato e o cumprimento das obrigações pelo Contratado;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7.6 Efetuar o pagamento ao Contratado do valor correspondente ao fornecimento do objeto, no prazo, forma e condições estabelecidos no presente Contrato e no Termo de Referência.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7.7 Aplicar ao Contratado as sanções previstas na lei e neste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7.8 Cientificar o órgão de representação do Município para adoção das medidas cabíveis quando do descumprimento de obrigações pelo Contratado;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7.9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7.10 A Administração terá o prazo de 30 (trinta) dias úteis, a contar da data do protocolo do requerimento para decidir, admitida a prorrogação motivada, por igual período.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7.11 Responder eventuais pedidos de reestabelecimento do equilíbrio econômico-financeiro feitos pelo contratado no prazo máximo de 30 (trinta) dias úteis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7.12 Notificar os emitentes das garantias quanto ao início de processo administrativo para apuração de descumprimento de cláusulas contratuais.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CLÁUSULA OITAVA - OBRIGAÇÕES DO CONTRATADO (art. 92, XIV, XVI e XVII)</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8.2 Entregar o objeto no prazo máximo de 10 (dez) dias após a emissão da Assinatura do Contrato pela administração municipal;</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8.3 Responsabilizar-se pelos vícios e danos decorrentes do objeto, de acordo com o Código de Defesa do Consumidor (Lei nº 8.078, de 1990);</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8.4 Comunicar ao contratante, no prazo máximo de 24 (vinte e quatro) horas que antecede a data da entrega, os motivos que impossibilitem o cumprimento do prazo previsto, com a devida comprovação;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8.5 Atender às determinações regulares emitidas pelo fiscal ou gestor do contrato ou autoridade superior (art. 137, II, da Lei n.º 14.133, de 2021) e prestar todo esclarecimento ou informação por eles solicitados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8.6 Substituir, às suas expensas, no total ou em parte, no prazo fixado pelo fiscal do contrato, os recipientes entregues, que por ventura, contenham produtos de má qualidade;</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8.10 Comunicar ao Fiscal do contrato, no prazo de 24 (vinte e quatro) horas, qualquer ocorrência anormal ou acidente que se verifique no local da execução do objeto contratual.</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8.11 Paralisar, por determinação do contratante, qualquer atividade que não esteja sendo executada de acordo com a boa técnica ou que ponha em risco a segurança de pessoas ou bens de terceiros.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8.12 Manter durante toda a vigência do contrato, em compatibilidade com as obrigações assumidas, todas as condições exigidas para habilitação na licitação;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8.13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8.14 Comprovar a reserva de cargos a que se refere a cláusula acima, no prazo fixado pelo fiscal do contrato, com a indicação dos empregados que preencheram as referidas vagas (art. 116, parágrafo único,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8.15 Guardar sigilo sobre todas as informações obtidas em decorrência do cumprimento do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8.17 Cumprir, além dos postulados legais vigentes de âmbito federal, estadual ou municipal, as normas de segurança do contratante;</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8.18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8.19 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8.20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spacing w:lineRule="auto" w:line="312" w:before="288" w:after="288"/>
        <w:ind w:firstLine="567" w:right="0"/>
        <w:jc w:val="both"/>
        <w:rPr>
          <w:rFonts w:ascii="Arial" w:hAnsi="Arial" w:eastAsia="MS Mincho;ＭＳ 明朝" w:cs="Arial"/>
          <w:color w:val="000000"/>
          <w:sz w:val="22"/>
          <w:szCs w:val="22"/>
          <w:shd w:fill="auto" w:val="clear"/>
        </w:rPr>
      </w:pPr>
      <w:r>
        <w:rPr>
          <w:rFonts w:eastAsia="MS Mincho;ＭＳ 明朝" w:cs="Arial" w:ascii="Arial" w:hAnsi="Arial"/>
          <w:color w:val="000000"/>
          <w:sz w:val="22"/>
          <w:szCs w:val="22"/>
          <w:shd w:fill="auto" w:val="clear"/>
        </w:rPr>
        <w:t>8.21 Em tudo cumprir o disposto no Edital, no Termo de Referência e demais estudos preliminares pertinentes à licitação.</w:t>
      </w:r>
    </w:p>
    <w:p>
      <w:pPr>
        <w:pStyle w:val="Normal"/>
        <w:spacing w:lineRule="auto" w:line="312" w:before="288" w:after="288"/>
        <w:ind w:firstLine="567" w:right="0"/>
        <w:jc w:val="both"/>
        <w:rPr/>
      </w:pPr>
      <w:r>
        <w:rPr>
          <w:rFonts w:eastAsia="Arial" w:cs="Arial" w:ascii="Arial" w:hAnsi="Arial"/>
          <w:b/>
          <w:bCs/>
          <w:color w:val="000000"/>
          <w:sz w:val="22"/>
          <w:szCs w:val="22"/>
        </w:rPr>
        <w:t xml:space="preserve"> </w:t>
      </w:r>
      <w:r>
        <w:rPr>
          <w:rFonts w:eastAsia="MS Mincho;ＭＳ 明朝" w:cs="Arial" w:ascii="Arial" w:hAnsi="Arial"/>
          <w:b/>
          <w:bCs/>
          <w:color w:val="000000"/>
          <w:sz w:val="22"/>
          <w:szCs w:val="22"/>
        </w:rPr>
        <w:t xml:space="preserve">CLÁUSULA NONA– GARANTIA DE EXECUÇÃO (art. 92, XII)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 xml:space="preserve">9.1 Não haverá exigência de garantia contratual da execução. </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CLÁUSULA DÉCIMA – INFRAÇÕES E SANÇÕES ADMINISTRATIVAS (art. 92, XIV) 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10.1 Comete infração administrativa, nos termos da Lei nº 14.133, de 2021, o contratado que:</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 xml:space="preserve">a) der causa à inexecução parcial do contrato;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b) der causa à inexecução parcial do contrato que cause grave dano à Administração ou ao funcionamento dos serviços públicos ou ao interesse coletivo;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c) der causa à inexecução total do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d) ensejar o retardamento da execução ou da entrega do objeto da contratação sem motivo justificado;</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e) apresentar documentação falsa ou prestar declaração falsa durante a execução do contrato;</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f) praticar ato fraudulento na execução do contrato;</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 xml:space="preserve">g) comportar-se de modo inidôneo ou cometer fraude de qualquer natureza;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h) praticar ato lesivo previsto no art. 5º da Lei nº 12.846, de 1º de agosto de 2013.</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10.2 Serão aplicadas ao contratado que incorrer nas infrações acima descritas as seguintes sanções: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i. Advertência, quando o contratado der causa à inexecução parcial do contrato, sempre que não se justificar a imposição de penalidade mais grave (art. 156, §2º,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ii. Impedimento de licitar e contratar, quando praticadas as condutas descritas nas alíneas “b”, “c” e “d” do subitem acima deste Contrato, sempre que não se justificar a imposição de penalidade mais grave (art. 156, § 4º,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iv. Multa: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 Moratória de 0,5% (meio por cento) por dia de atraso injustificado sobre o valor da parcela inadimplida, até o limite de 30 (trinta) dias;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2. Moratória de 2% (dois por cento) por dia de atraso injustificado sobre o valor total do contrato, até o máximo de 15% (quinze por cento), pela inobservância do prazo fixado para apresentação, suplementação ou reposição da garantia.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i. O atraso superior a 30 (trinta) dias autoriza a Administração a promover a extinção do contrato por descumprimento ou cumprimento irregular de suas cláusulas, conforme dispõe o inciso I do art. 137 da Lei n.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3. Compensatória, para as infrações descritas nas alíneas “e” a “h” do subitem 12.1, de 20% a 30% do valor do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4. Compensatória, para a inexecução total do contrato prevista na alínea “c” do subitem 12.1, de 20% a 30% do valor do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5. Para infração descrita na alínea “b” do subitem 12.1, a multa será de 15% a 20% do valor do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6. Para infrações descritas na alínea “d” do subitem 12.1, a multa será de 15% a 20% do valor do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7. Para a infração descrita na alínea “a” do subitem 12.1, a multa será de 10% a 20 % do valor do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10.3 A aplicação das sanções previstas neste Contrato não exclui, em hipótese alguma, a obrigação de reparação integral do dano causado ao Contratante (art. 156, §9º,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10.3.1 Todas as sanções previstas neste Contrato poderão ser aplicadas cumulativamente com a multa (art. 156, §7º,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10.3.2 Antes da aplicação da multa será facultada a defesa do interessado no prazo de 15 (quinze) dias úteis, contado da data de sua intimação (art. 157,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 xml:space="preserve">10.3.4Previamente ao encaminhamento à cobrança judicial, a multa poderá ser recolhida administrativamente no prazo máximo de 30 (trinta) dias, a contar da data do recebimento da comunicação enviada pela autoridade competente. </w:t>
      </w:r>
    </w:p>
    <w:p>
      <w:pPr>
        <w:pStyle w:val="Normal"/>
        <w:spacing w:lineRule="auto" w:line="312" w:before="288" w:after="288"/>
        <w:jc w:val="both"/>
        <w:rPr>
          <w:rFonts w:ascii="Arial" w:hAnsi="Arial" w:eastAsia="MS Mincho;ＭＳ 明朝" w:cs="Arial"/>
          <w:color w:val="000000"/>
          <w:sz w:val="22"/>
          <w:szCs w:val="22"/>
        </w:rPr>
      </w:pPr>
      <w:r>
        <w:rPr>
          <w:rFonts w:eastAsia="MS Mincho;ＭＳ 明朝" w:cs="Arial" w:ascii="Arial" w:hAnsi="Arial"/>
          <w:color w:val="000000"/>
          <w:sz w:val="22"/>
          <w:szCs w:val="22"/>
        </w:rPr>
        <w:t>10.4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10.5 Na aplicação das sanções serão considerados (art. 156, §1º,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 xml:space="preserve">a) a natureza e a gravidade da infração cometida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b) as peculiaridades do caso concreto;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c) as circunstâncias agravantes ou atenuantes;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d) os danos que dela provierem para o Contratante; e) a implantação ou o aperfeiçoamento de programa de integridade, conforme normas e orientações dos órgãos de controle.</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10.6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10.9 As sanções de impedimento de licitar e contratar e declaração de inidoneidade para licitar ou contratar são passíveis de reabilitação na forma do art. 163 da Lei nº 14.133/21.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10.10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 xml:space="preserve">CLÁUSULA DÉCIMA PRIMEIRA – DA EXTINÇÃO CONTRATUAL (art. 92, XIX)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11.1 O contrato será extinto quando vencido o prazo nele estipulado, independentemente de terem sido cumpridas ou não as obrigações de ambas as partes contraentes.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11.1.1 O contrato poderá ser extinto antes do prazo nele fixado, sem ônus para o Contratante, quando este não dispuser de créditos orçamentários para sua continuidade ou quando entender que o contrato não mais lhe oferece vantagem.</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11.1.2 A extinção nesta hipótese ocorrerá na próxima data de aniversário do contrato, desde que haja a notificação do contratado pelo contratante nesse sentido com pelo menos 2 (dois) meses de antecedência desse dia.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11.1.3 Caso a notificação da não-continuidade do contrato de que trata este subitem ocorra com menos de 2 (dois) meses da data de aniversário, a extinção contratual ocorrerá após 2 (dois) meses da data da comunicação.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11.2 O contrato poderá ser extinto antes de cumpridas as obrigações nele estipuladas, ou antes do prazo nele fixado, por algum dos motivos previstos no artigo 137 da Lei nº 14.133/21, bem como amigavelmente, assegurados o contraditório e a ampla defesa.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11.2.1 Nesta hipótese, aplicam-se também os artigos 138 e 139 da mesma Lei.</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11.2.2 A alteração social ou a modificação da finalidade ou da estrutura da empresa não ensejará a extinção se não restringir sua capacidade de concluir o contrato.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11.2.2.1 Se a operação implicar mudança da pessoa jurídica contratada, deverá ser formalizado termo aditivo para alteração subjetiva.</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11.3 O termo de extinção, sempre que possível, será precedido: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11.3.1 Balanço dos eventos contratuais já cumpridos ou parcialmente cumpridos; 11.3.2 Relação dos pagamentos já efetuados e ainda devidos;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11.3.3 Indenizações e multas.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11.4 A extinção do contrato não configura óbice para o reconhecimento do desequilíbrio econômico-financeiro, hipótese em que será concedida indenização por meio de termo indenizatório (art. 131, caput,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11.5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CLÁUSULA DÉCIMA SEGUNDA – DOTAÇÃO ORÇAMENTÁRIA (art. 92, VIII)</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12.1 As despesas decorrentes da presente contratação correrão à conta de recursos específicos consignados no Orçamento do Município de Santa Rosa de Lima deste exercício, na dotação abaixo discriminada:</w:t>
      </w:r>
    </w:p>
    <w:p>
      <w:pPr>
        <w:pStyle w:val="BodyText"/>
        <w:numPr>
          <w:ilvl w:val="0"/>
          <w:numId w:val="0"/>
        </w:numPr>
        <w:spacing w:lineRule="auto" w:line="240" w:before="280" w:after="280"/>
        <w:ind w:hanging="0" w:left="360" w:right="0"/>
        <w:jc w:val="center"/>
        <w:rPr>
          <w:rFonts w:ascii="Times New Roman" w:hAnsi="Times New Roman" w:cs="Times New Roman"/>
          <w:sz w:val="24"/>
          <w:szCs w:val="24"/>
          <w:highlight w:val="white"/>
        </w:rPr>
      </w:pPr>
      <w:r>
        <w:rPr>
          <w:rFonts w:eastAsia="MS Mincho;ＭＳ 明朝" w:cs="Arial" w:ascii="Arial" w:hAnsi="Arial"/>
          <w:color w:val="000000"/>
          <w:sz w:val="22"/>
          <w:szCs w:val="22"/>
          <w:highlight w:val="white"/>
        </w:rPr>
        <w:t xml:space="preserve">06.03.2.022 (3.3.90.00.00.00.00.00.5000) – Código Reduzido: 99) R$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12.2 A dotação relativa aos exercícios financeiros subsequentes será indicada após aprovação da Lei Orçamentária respectiva e liberação dos créditos correspondentes, mediante apostilamento.</w:t>
      </w:r>
    </w:p>
    <w:p>
      <w:pPr>
        <w:pStyle w:val="Normal"/>
        <w:spacing w:lineRule="auto" w:line="312" w:before="288" w:after="288"/>
        <w:ind w:firstLine="567" w:right="0"/>
        <w:jc w:val="both"/>
        <w:rPr/>
      </w:pPr>
      <w:r>
        <w:rPr>
          <w:rFonts w:eastAsia="Arial" w:cs="Arial" w:ascii="Arial" w:hAnsi="Arial"/>
          <w:b/>
          <w:bCs/>
          <w:color w:val="000000"/>
          <w:sz w:val="22"/>
          <w:szCs w:val="22"/>
        </w:rPr>
        <w:t xml:space="preserve"> </w:t>
      </w:r>
      <w:r>
        <w:rPr>
          <w:rFonts w:eastAsia="MS Mincho;ＭＳ 明朝" w:cs="Arial" w:ascii="Arial" w:hAnsi="Arial"/>
          <w:b/>
          <w:bCs/>
          <w:color w:val="000000"/>
          <w:sz w:val="22"/>
          <w:szCs w:val="22"/>
        </w:rPr>
        <w:t>CLÁUSULA DÉCIMA TERCEIRA – DOS CASOS OMISSOS (art. 92, III)</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pStyle w:val="Normal"/>
        <w:spacing w:lineRule="auto" w:line="312" w:before="288" w:after="288"/>
        <w:ind w:firstLine="567" w:right="0"/>
        <w:jc w:val="both"/>
        <w:rPr/>
      </w:pPr>
      <w:r>
        <w:rPr>
          <w:rFonts w:eastAsia="Arial" w:cs="Arial" w:ascii="Arial" w:hAnsi="Arial"/>
          <w:b/>
          <w:bCs/>
          <w:color w:val="000000"/>
          <w:sz w:val="22"/>
          <w:szCs w:val="22"/>
        </w:rPr>
        <w:t xml:space="preserve">  </w:t>
      </w:r>
      <w:r>
        <w:rPr>
          <w:rFonts w:eastAsia="MS Mincho;ＭＳ 明朝" w:cs="Arial" w:ascii="Arial" w:hAnsi="Arial"/>
          <w:b/>
          <w:bCs/>
          <w:color w:val="000000"/>
          <w:sz w:val="22"/>
          <w:szCs w:val="22"/>
        </w:rPr>
        <w:t xml:space="preserve">CLÁUSULA DÉCIMA QUARTA – ALTERAÇÕES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 xml:space="preserve">14.1 Eventuais alterações contratuais reger-se-ão pela disciplina dos arts. 124 e seguintes da Lei nº 14.133, de 2021. 14.2 O contratado é obrigado a aceitar, nas mesmas condições contratuais, os acréscimos ou supressões que se fizerem necessários, até o limite de 25% (vinte e cinco por cento) do valor inicial atualizado do contrato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14.3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14.4 Registros que não caracterizam alteração do contrato podem ser realizados por simples apostila, dispensada a celebração de termo aditivo, na forma do art. 136 da Lei nº 14.133, de 2021.</w:t>
      </w:r>
    </w:p>
    <w:p>
      <w:pPr>
        <w:pStyle w:val="Normal"/>
        <w:spacing w:lineRule="auto" w:line="312" w:before="288" w:after="288"/>
        <w:ind w:firstLine="567" w:right="0"/>
        <w:jc w:val="both"/>
        <w:rPr/>
      </w:pPr>
      <w:r>
        <w:rPr>
          <w:rFonts w:eastAsia="Arial" w:cs="Arial" w:ascii="Arial" w:hAnsi="Arial"/>
          <w:b/>
          <w:bCs/>
          <w:color w:val="000000"/>
          <w:sz w:val="22"/>
          <w:szCs w:val="22"/>
        </w:rPr>
        <w:t xml:space="preserve"> </w:t>
      </w:r>
      <w:r>
        <w:rPr>
          <w:rFonts w:eastAsia="MS Mincho;ＭＳ 明朝" w:cs="Arial" w:ascii="Arial" w:hAnsi="Arial"/>
          <w:b/>
          <w:bCs/>
          <w:color w:val="000000"/>
          <w:sz w:val="22"/>
          <w:szCs w:val="22"/>
        </w:rPr>
        <w:t xml:space="preserve">CLÁUSULA DÉCIMA QUINTA – PUBLICAÇÃO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15.1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pPr>
        <w:pStyle w:val="Normal"/>
        <w:spacing w:lineRule="auto" w:line="312" w:before="288" w:after="288"/>
        <w:ind w:firstLine="567" w:right="0"/>
        <w:jc w:val="both"/>
        <w:rPr/>
      </w:pPr>
      <w:r>
        <w:rPr>
          <w:rFonts w:eastAsia="Arial" w:cs="Arial" w:ascii="Arial" w:hAnsi="Arial"/>
          <w:b/>
          <w:bCs/>
          <w:color w:val="000000"/>
          <w:sz w:val="22"/>
          <w:szCs w:val="22"/>
        </w:rPr>
        <w:t xml:space="preserve"> </w:t>
      </w:r>
      <w:r>
        <w:rPr>
          <w:rFonts w:eastAsia="MS Mincho;ＭＳ 明朝" w:cs="Arial" w:ascii="Arial" w:hAnsi="Arial"/>
          <w:b/>
          <w:bCs/>
          <w:color w:val="000000"/>
          <w:sz w:val="22"/>
          <w:szCs w:val="22"/>
        </w:rPr>
        <w:t>CLÁUSULA DÉCIMA SEXTA – DA LEI GERAL DE PROTEÇÃO DE DADOS</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16.1 Fica, expressamente, autorizado o tratamento de uso de dados pessoais de que trata a Lei Geral de Proteção de Dados do(a) CONTRATADO(a), para fins únicos e exclusivos que decorrem da Lei da Transparência e da Lei Geral de Licitações, Lei nº 14.133/2021, que rege a presente contratação pública.</w:t>
      </w:r>
    </w:p>
    <w:p>
      <w:pPr>
        <w:pStyle w:val="Normal"/>
        <w:spacing w:lineRule="auto" w:line="312" w:before="288" w:after="288"/>
        <w:ind w:firstLine="567" w:right="0"/>
        <w:jc w:val="both"/>
        <w:rPr/>
      </w:pPr>
      <w:r>
        <w:rPr>
          <w:rFonts w:eastAsia="Arial" w:cs="Arial" w:ascii="Arial" w:hAnsi="Arial"/>
          <w:b/>
          <w:bCs/>
          <w:color w:val="000000"/>
          <w:sz w:val="22"/>
          <w:szCs w:val="22"/>
        </w:rPr>
        <w:t xml:space="preserve"> </w:t>
      </w:r>
      <w:r>
        <w:rPr>
          <w:rFonts w:eastAsia="MS Mincho;ＭＳ 明朝" w:cs="Arial" w:ascii="Arial" w:hAnsi="Arial"/>
          <w:b/>
          <w:bCs/>
          <w:color w:val="000000"/>
          <w:sz w:val="22"/>
          <w:szCs w:val="22"/>
        </w:rPr>
        <w:t>CLÁUSULA DÉCIMA SÉTIMA – DA GESTÃO E FISCALIZAÇÃO DOS CONTRATOS</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 xml:space="preserve">17.1 Será fiscal do Contrato a </w:t>
      </w:r>
      <w:r>
        <w:rPr>
          <w:rFonts w:eastAsia="Arial" w:cs="Arial" w:ascii="Arial" w:hAnsi="Arial"/>
          <w:color w:val="00000A"/>
          <w:sz w:val="22"/>
          <w:szCs w:val="22"/>
          <w:lang w:eastAsia="pt-BR"/>
        </w:rPr>
        <w:t>Será fiscal do Contrato o Sra. Ana Maria Vandresen, ocupante do cardo de Treinador esportivo, Matrícula 1281, que exercerá a fiscalização técnica e administrativa do Contrato.</w:t>
      </w:r>
      <w:r>
        <w:rPr>
          <w:rFonts w:eastAsia="MS Mincho;ＭＳ 明朝" w:cs="Arial" w:ascii="Arial" w:hAnsi="Arial"/>
          <w:color w:val="000000"/>
          <w:sz w:val="22"/>
          <w:szCs w:val="22"/>
        </w:rPr>
        <w:t>.</w:t>
      </w:r>
    </w:p>
    <w:p>
      <w:pPr>
        <w:pStyle w:val="Normal"/>
        <w:spacing w:lineRule="auto" w:line="312" w:before="288" w:after="288"/>
        <w:ind w:firstLine="567" w:right="0"/>
        <w:jc w:val="both"/>
        <w:rPr/>
      </w:pPr>
      <w:r>
        <w:rPr>
          <w:rFonts w:eastAsia="MS Mincho;ＭＳ 明朝" w:cs="Arial" w:ascii="Arial" w:hAnsi="Arial"/>
          <w:color w:val="000000"/>
          <w:sz w:val="22"/>
          <w:szCs w:val="22"/>
        </w:rPr>
        <w:t xml:space="preserve">17.2 Será Gestor do Contrato o </w:t>
      </w:r>
      <w:r>
        <w:rPr>
          <w:rFonts w:eastAsia="Arial" w:cs="Arial" w:ascii="Arial" w:hAnsi="Arial"/>
          <w:color w:val="00000A"/>
          <w:sz w:val="22"/>
          <w:szCs w:val="22"/>
          <w:lang w:eastAsia="pt-BR"/>
        </w:rPr>
        <w:t>Será Gestor de Contrato a Sra. Karla Luana Foster Roesner, ocupante do cardo de Secretaria Municipal de Educação e Desporto, Matrícula 1270, que exercerá a gestão do Contrato.</w:t>
      </w:r>
    </w:p>
    <w:p>
      <w:pPr>
        <w:pStyle w:val="Normal"/>
        <w:spacing w:lineRule="auto" w:line="312" w:before="288" w:after="288"/>
        <w:ind w:firstLine="567" w:right="0"/>
        <w:jc w:val="both"/>
        <w:rPr>
          <w:rFonts w:ascii="Arial" w:hAnsi="Arial" w:eastAsia="MS Mincho;ＭＳ 明朝" w:cs="Arial"/>
          <w:b/>
          <w:bCs/>
          <w:color w:val="000000"/>
          <w:sz w:val="22"/>
          <w:szCs w:val="22"/>
        </w:rPr>
      </w:pPr>
      <w:r>
        <w:rPr>
          <w:rFonts w:eastAsia="MS Mincho;ＭＳ 明朝" w:cs="Arial" w:ascii="Arial" w:hAnsi="Arial"/>
          <w:b/>
          <w:bCs/>
          <w:color w:val="000000"/>
          <w:sz w:val="22"/>
          <w:szCs w:val="22"/>
        </w:rPr>
        <w:t xml:space="preserve">CLÁUSULA DÉCIMA SÉTIMA – FORO (art. 92, §1º) </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18.1 Fica eleito o Foro da Comarca de Braço do Norte/SC, para dirimir os litígios que decorrerem da execução deste Termo de Contrato que não puderem ser compostos pelas partes contratantes.</w:t>
      </w:r>
    </w:p>
    <w:p>
      <w:pPr>
        <w:pStyle w:val="Normal"/>
        <w:spacing w:lineRule="auto" w:line="312" w:before="288" w:after="288"/>
        <w:ind w:firstLine="567" w:right="0"/>
        <w:jc w:val="both"/>
        <w:rPr/>
      </w:pPr>
      <w:r>
        <w:rPr>
          <w:rFonts w:eastAsia="MS Mincho;ＭＳ 明朝" w:cs="Arial" w:ascii="Arial" w:hAnsi="Arial"/>
          <w:color w:val="000000"/>
          <w:sz w:val="22"/>
          <w:szCs w:val="22"/>
        </w:rPr>
        <w:t xml:space="preserve">SANTA ROSA DE LIMA/SC, [dia] de [mês] de [ano]. </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 xml:space="preserve">________________________ </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Representante legal do CONTRATANTE</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 xml:space="preserve">________________________ </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Representante legal do CONTRATADO</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t>TESTEMUNHAS:</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1-</w:t>
      </w:r>
    </w:p>
    <w:p>
      <w:pPr>
        <w:pStyle w:val="Normal"/>
        <w:spacing w:lineRule="auto" w:line="312" w:before="288" w:after="288"/>
        <w:ind w:firstLine="567" w:right="0"/>
        <w:jc w:val="both"/>
        <w:rPr/>
      </w:pPr>
      <w:r>
        <w:rPr>
          <w:rFonts w:eastAsia="Arial" w:cs="Arial" w:ascii="Arial" w:hAnsi="Arial"/>
          <w:color w:val="000000"/>
          <w:sz w:val="22"/>
          <w:szCs w:val="22"/>
        </w:rPr>
        <w:t xml:space="preserve"> </w:t>
      </w:r>
      <w:r>
        <w:rPr>
          <w:rFonts w:eastAsia="MS Mincho;ＭＳ 明朝" w:cs="Arial" w:ascii="Arial" w:hAnsi="Arial"/>
          <w:color w:val="000000"/>
          <w:sz w:val="22"/>
          <w:szCs w:val="22"/>
        </w:rPr>
        <w:t>2-</w:t>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color w:val="000000"/>
          <w:sz w:val="22"/>
          <w:szCs w:val="22"/>
        </w:rPr>
      </w:pPr>
      <w:r>
        <w:rPr>
          <w:rFonts w:eastAsia="MS Mincho;ＭＳ 明朝" w:cs="Arial" w:ascii="Arial" w:hAnsi="Arial"/>
          <w:color w:val="000000"/>
          <w:sz w:val="22"/>
          <w:szCs w:val="22"/>
        </w:rPr>
      </w:r>
    </w:p>
    <w:p>
      <w:pPr>
        <w:pStyle w:val="Normal"/>
        <w:spacing w:lineRule="auto" w:line="312" w:before="288" w:after="288"/>
        <w:ind w:firstLine="567" w:right="0"/>
        <w:jc w:val="both"/>
        <w:rPr>
          <w:rFonts w:ascii="Arial" w:hAnsi="Arial" w:eastAsia="MS Mincho;ＭＳ 明朝" w:cs="Arial"/>
          <w:b/>
          <w:bCs/>
          <w:color w:val="000000"/>
          <w:sz w:val="22"/>
          <w:szCs w:val="22"/>
          <w:lang w:eastAsia="pt-BR"/>
        </w:rPr>
      </w:pPr>
      <w:r>
        <w:rPr>
          <w:rFonts w:eastAsia="MS Mincho;ＭＳ 明朝" w:cs="Arial" w:ascii="Arial" w:hAnsi="Arial"/>
          <w:b/>
          <w:bCs/>
          <w:color w:val="000000"/>
          <w:sz w:val="22"/>
          <w:szCs w:val="22"/>
          <w:lang w:eastAsia="pt-BR"/>
        </w:rPr>
      </w:r>
    </w:p>
    <w:sectPr>
      <w:headerReference w:type="default" r:id="rId11"/>
      <w:headerReference w:type="first" r:id="rId12"/>
      <w:footerReference w:type="default" r:id="rId13"/>
      <w:footerReference w:type="first" r:id="rId14"/>
      <w:type w:val="nextPage"/>
      <w:pgSz w:w="11906" w:h="16838"/>
      <w:pgMar w:left="1134" w:right="1134" w:gutter="0" w:header="709" w:top="2127" w:footer="0" w:bottom="1418"/>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Verdana">
    <w:charset w:val="00"/>
    <w:family w:val="roman"/>
    <w:pitch w:val="variable"/>
  </w:font>
  <w:font w:name="Arial Narrow">
    <w:charset w:val="00"/>
    <w:family w:val="roman"/>
    <w:pitch w:val="variable"/>
  </w:font>
  <w:font w:name="Monotype Corsiv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Monotype Corsiva" w:hAnsi="Monotype Corsiva" w:cs="Arial"/>
        <w:b/>
        <w:bCs/>
        <w:sz w:val="16"/>
        <w:szCs w:val="16"/>
      </w:rPr>
    </w:pPr>
    <w:r>
      <w:rPr>
        <w:rFonts w:cs="Arial" w:ascii="Monotype Corsiva" w:hAnsi="Monotype Corsiva"/>
        <w:b/>
        <w:bCs/>
        <w:sz w:val="16"/>
        <w:szCs w:val="16"/>
      </w:rPr>
    </w:r>
  </w:p>
  <w:p>
    <w:pPr>
      <w:pStyle w:val="Footer"/>
      <w:pBdr>
        <w:bottom w:val="single" w:sz="8" w:space="2" w:color="000000"/>
      </w:pBdr>
      <w:ind w:right="360"/>
      <w:rPr>
        <w:b/>
        <w:bCs/>
        <w:sz w:val="16"/>
      </w:rPr>
    </w:pPr>
    <w:r>
      <w:rPr>
        <w:b/>
        <w:bCs/>
        <w:sz w:val="16"/>
      </w:rPr>
      <w:drawing>
        <wp:anchor behindDoc="1" distT="0" distB="0" distL="0" distR="0" simplePos="0" locked="0" layoutInCell="1" allowOverlap="1" relativeHeight="81">
          <wp:simplePos x="0" y="0"/>
          <wp:positionH relativeFrom="column">
            <wp:posOffset>-4686935</wp:posOffset>
          </wp:positionH>
          <wp:positionV relativeFrom="paragraph">
            <wp:posOffset>11838305</wp:posOffset>
          </wp:positionV>
          <wp:extent cx="8610600" cy="689610"/>
          <wp:effectExtent l="0" t="0" r="0" b="0"/>
          <wp:wrapNone/>
          <wp:docPr id="3" name="Imagem 19 Copia 1" descr="Prefeitura de Braço do Norte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9 Copia 1" descr="Prefeitura de Braço do Norte - 02"/>
                  <pic:cNvPicPr>
                    <a:picLocks noChangeAspect="1" noChangeArrowheads="1"/>
                  </pic:cNvPicPr>
                </pic:nvPicPr>
                <pic:blipFill>
                  <a:blip r:embed="rId1"/>
                  <a:stretch>
                    <a:fillRect/>
                  </a:stretch>
                </pic:blipFill>
                <pic:spPr bwMode="auto">
                  <a:xfrm>
                    <a:off x="0" y="0"/>
                    <a:ext cx="8610600" cy="689610"/>
                  </a:xfrm>
                  <a:prstGeom prst="rect">
                    <a:avLst/>
                  </a:prstGeom>
                  <a:ln w="9525">
                    <a:solidFill>
                      <a:srgbClr val="FFFFFF"/>
                    </a:solidFill>
                  </a:ln>
                </pic:spPr>
              </pic:pic>
            </a:graphicData>
          </a:graphic>
        </wp:anchor>
      </w:drawing>
    </w:r>
  </w:p>
  <w:p>
    <w:pPr>
      <w:pStyle w:val="Footer"/>
      <w:ind w:right="360"/>
      <w:rPr>
        <w:b/>
        <w:bCs/>
        <w:sz w:val="16"/>
      </w:rPr>
    </w:pPr>
    <w:r>
      <w:rPr>
        <w:b/>
        <w:bCs/>
        <w:sz w:val="16"/>
      </w:rPr>
      <w:t>PREFEITURA MUNICIPAL DE SANTA ROSA DE LIMA (SC)</w:t>
    </w:r>
  </w:p>
  <w:p>
    <w:pPr>
      <w:pStyle w:val="Footer"/>
      <w:rPr>
        <w:b/>
        <w:bCs/>
        <w:sz w:val="16"/>
      </w:rPr>
    </w:pPr>
    <w:r>
      <w:rPr>
        <w:b/>
        <w:bCs/>
        <w:sz w:val="16"/>
      </w:rPr>
      <w:t>RUA 10 DE MAIO, Nº 80, CENTRO , CEP 88.763-000</w:t>
    </w:r>
  </w:p>
  <w:p>
    <w:pPr>
      <w:pStyle w:val="Footer"/>
      <w:rPr>
        <w:b/>
        <w:bCs/>
        <w:sz w:val="16"/>
      </w:rPr>
    </w:pPr>
    <w:r>
      <w:rPr>
        <w:b/>
        <w:bCs/>
        <w:sz w:val="16"/>
      </w:rPr>
      <w:t>FONE/FAX: (48) 3654 3000 – 3654 0023</w:t>
    </w:r>
  </w:p>
  <w:p>
    <w:pPr>
      <w:pStyle w:val="Footer"/>
      <w:rPr>
        <w:b/>
        <w:bCs/>
        <w:sz w:val="16"/>
      </w:rPr>
    </w:pPr>
    <w:r>
      <w:rPr>
        <w:b/>
        <w:bCs/>
        <w:sz w:val="16"/>
      </w:rPr>
      <w:t>CNPJ: 82.926.593/0001-86</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Monotype Corsiva" w:hAnsi="Monotype Corsiva" w:cs="Arial"/>
        <w:b/>
        <w:bCs/>
        <w:sz w:val="16"/>
        <w:szCs w:val="18"/>
      </w:rPr>
    </w:pPr>
    <w:r>
      <w:rPr/>
    </w:r>
  </w:p>
  <w:p>
    <w:pPr>
      <w:pStyle w:val="Footer"/>
      <w:pBdr>
        <w:bottom w:val="single" w:sz="8" w:space="2" w:color="000000"/>
      </w:pBdr>
      <w:ind w:right="360"/>
      <w:rPr>
        <w:b/>
        <w:bCs/>
        <w:sz w:val="16"/>
      </w:rPr>
    </w:pPr>
    <w:r>
      <w:rPr>
        <w:b/>
        <w:bCs/>
        <w:sz w:val="16"/>
      </w:rPr>
      <w:drawing>
        <wp:anchor behindDoc="1" distT="0" distB="0" distL="0" distR="0" simplePos="0" locked="0" layoutInCell="1" allowOverlap="1" relativeHeight="2">
          <wp:simplePos x="0" y="0"/>
          <wp:positionH relativeFrom="column">
            <wp:posOffset>-4686935</wp:posOffset>
          </wp:positionH>
          <wp:positionV relativeFrom="paragraph">
            <wp:posOffset>11838305</wp:posOffset>
          </wp:positionV>
          <wp:extent cx="8610600" cy="689610"/>
          <wp:effectExtent l="0" t="0" r="0" b="0"/>
          <wp:wrapNone/>
          <wp:docPr id="4" name="Imagem 19" descr="Prefeitura de Braço do Norte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9" descr="Prefeitura de Braço do Norte - 02"/>
                  <pic:cNvPicPr>
                    <a:picLocks noChangeAspect="1" noChangeArrowheads="1"/>
                  </pic:cNvPicPr>
                </pic:nvPicPr>
                <pic:blipFill>
                  <a:blip r:embed="rId1"/>
                  <a:stretch>
                    <a:fillRect/>
                  </a:stretch>
                </pic:blipFill>
                <pic:spPr bwMode="auto">
                  <a:xfrm>
                    <a:off x="0" y="0"/>
                    <a:ext cx="8610600" cy="689610"/>
                  </a:xfrm>
                  <a:prstGeom prst="rect">
                    <a:avLst/>
                  </a:prstGeom>
                  <a:ln w="9525">
                    <a:solidFill>
                      <a:srgbClr val="FFFFFF"/>
                    </a:solidFill>
                  </a:ln>
                </pic:spPr>
              </pic:pic>
            </a:graphicData>
          </a:graphic>
        </wp:anchor>
      </w:drawing>
    </w:r>
  </w:p>
  <w:p>
    <w:pPr>
      <w:pStyle w:val="Footer"/>
      <w:ind w:right="360"/>
      <w:rPr>
        <w:b/>
        <w:bCs/>
        <w:sz w:val="16"/>
      </w:rPr>
    </w:pPr>
    <w:r>
      <w:rPr>
        <w:b/>
        <w:bCs/>
        <w:sz w:val="16"/>
      </w:rPr>
      <w:t>PREFEITURA MUNICIPAL DE SANTA ROSA DE LIMA (SC)</w:t>
    </w:r>
  </w:p>
  <w:p>
    <w:pPr>
      <w:pStyle w:val="Footer"/>
      <w:rPr>
        <w:b/>
        <w:bCs/>
        <w:sz w:val="16"/>
      </w:rPr>
    </w:pPr>
    <w:r>
      <w:rPr>
        <w:b/>
        <w:bCs/>
        <w:sz w:val="16"/>
      </w:rPr>
      <w:t>RUA 10 DE MAIO, Nº 80, CENTRO , CEP 88.763-000</w:t>
    </w:r>
  </w:p>
  <w:p>
    <w:pPr>
      <w:pStyle w:val="Footer"/>
      <w:rPr>
        <w:b/>
        <w:bCs/>
        <w:sz w:val="16"/>
      </w:rPr>
    </w:pPr>
    <w:r>
      <w:rPr>
        <w:b/>
        <w:bCs/>
        <w:sz w:val="16"/>
      </w:rPr>
      <w:t>FONE/FAX: (48) 3654 3000 – 3654 0023</w:t>
    </w:r>
  </w:p>
  <w:p>
    <w:pPr>
      <w:pStyle w:val="Footer"/>
      <w:rPr>
        <w:b/>
        <w:bCs/>
        <w:sz w:val="16"/>
      </w:rPr>
    </w:pPr>
    <w:r>
      <w:rPr>
        <w:b/>
        <w:bCs/>
        <w:sz w:val="16"/>
      </w:rPr>
      <w:t>CNPJ: 82.926.593/0001-86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Monotype Corsiva" w:hAnsi="Monotype Corsiva" w:cs="Arial"/>
        <w:b/>
        <w:bCs/>
        <w:sz w:val="16"/>
        <w:szCs w:val="16"/>
      </w:rPr>
    </w:pPr>
    <w:r>
      <w:rPr>
        <w:rFonts w:cs="Arial" w:ascii="Monotype Corsiva" w:hAnsi="Monotype Corsiva"/>
        <w:b/>
        <w:bCs/>
        <w:sz w:val="16"/>
        <w:szCs w:val="16"/>
      </w:rPr>
    </w:r>
  </w:p>
  <w:p>
    <w:pPr>
      <w:pStyle w:val="Footer"/>
      <w:pBdr>
        <w:bottom w:val="single" w:sz="8" w:space="2" w:color="000000"/>
      </w:pBdr>
      <w:ind w:right="360"/>
      <w:rPr>
        <w:b/>
        <w:bCs/>
        <w:sz w:val="16"/>
      </w:rPr>
    </w:pPr>
    <w:r>
      <w:rPr>
        <w:b/>
        <w:bCs/>
        <w:sz w:val="16"/>
      </w:rPr>
      <w:drawing>
        <wp:anchor behindDoc="1" distT="0" distB="0" distL="0" distR="0" simplePos="0" locked="0" layoutInCell="1" allowOverlap="1" relativeHeight="49">
          <wp:simplePos x="0" y="0"/>
          <wp:positionH relativeFrom="column">
            <wp:posOffset>-4686935</wp:posOffset>
          </wp:positionH>
          <wp:positionV relativeFrom="paragraph">
            <wp:posOffset>11838305</wp:posOffset>
          </wp:positionV>
          <wp:extent cx="8610600" cy="689610"/>
          <wp:effectExtent l="0" t="0" r="0" b="0"/>
          <wp:wrapNone/>
          <wp:docPr id="6" name="Figura4" descr="Prefeitura de Braço do Norte -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4" descr="Prefeitura de Braço do Norte - 02"/>
                  <pic:cNvPicPr>
                    <a:picLocks noChangeAspect="1" noChangeArrowheads="1"/>
                  </pic:cNvPicPr>
                </pic:nvPicPr>
                <pic:blipFill>
                  <a:blip r:embed="rId1"/>
                  <a:stretch>
                    <a:fillRect/>
                  </a:stretch>
                </pic:blipFill>
                <pic:spPr bwMode="auto">
                  <a:xfrm>
                    <a:off x="0" y="0"/>
                    <a:ext cx="8610600" cy="689610"/>
                  </a:xfrm>
                  <a:prstGeom prst="rect">
                    <a:avLst/>
                  </a:prstGeom>
                  <a:ln w="9525">
                    <a:solidFill>
                      <a:srgbClr val="FFFFFF"/>
                    </a:solidFill>
                  </a:ln>
                </pic:spPr>
              </pic:pic>
            </a:graphicData>
          </a:graphic>
        </wp:anchor>
      </w:drawing>
    </w:r>
  </w:p>
  <w:p>
    <w:pPr>
      <w:pStyle w:val="Footer"/>
      <w:ind w:right="360"/>
      <w:rPr>
        <w:b/>
        <w:bCs/>
        <w:sz w:val="16"/>
      </w:rPr>
    </w:pPr>
    <w:r>
      <w:rPr>
        <w:b/>
        <w:bCs/>
        <w:sz w:val="16"/>
      </w:rPr>
      <w:t>PREFEITURA MUNICIPAL DE SANTA ROSA DE LIMA (SC)</w:t>
    </w:r>
  </w:p>
  <w:p>
    <w:pPr>
      <w:pStyle w:val="Footer"/>
      <w:rPr>
        <w:b/>
        <w:bCs/>
        <w:sz w:val="16"/>
      </w:rPr>
    </w:pPr>
    <w:r>
      <w:rPr>
        <w:b/>
        <w:bCs/>
        <w:sz w:val="16"/>
      </w:rPr>
      <w:t>RUA 10 DE MAIO, Nº 80, CENTRO , CEP 88.763-000</w:t>
    </w:r>
  </w:p>
  <w:p>
    <w:pPr>
      <w:pStyle w:val="Footer"/>
      <w:rPr>
        <w:b/>
        <w:bCs/>
        <w:sz w:val="16"/>
      </w:rPr>
    </w:pPr>
    <w:r>
      <w:rPr>
        <w:b/>
        <w:bCs/>
        <w:sz w:val="16"/>
      </w:rPr>
      <w:t>FONE/FAX: (48) 3654 3000 – 3654 0023</w:t>
    </w:r>
  </w:p>
  <w:p>
    <w:pPr>
      <w:pStyle w:val="Footer"/>
      <w:rPr>
        <w:b/>
        <w:bCs/>
        <w:sz w:val="16"/>
      </w:rPr>
    </w:pPr>
    <w:r>
      <w:rPr>
        <w:b/>
        <w:bCs/>
        <w:sz w:val="16"/>
      </w:rPr>
      <w:t>CNPJ: 82.926.593/0001-86</w: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tulo1"/>
      <w:rPr>
        <w:rFonts w:ascii="Times New Roman" w:hAnsi="Times New Roman" w:cs="Times New Roman"/>
        <w:sz w:val="24"/>
      </w:rPr>
    </w:pPr>
    <w:r>
      <w:drawing>
        <wp:anchor behindDoc="1" distT="0" distB="0" distL="0" distR="0" simplePos="0" locked="0" layoutInCell="1" allowOverlap="1" relativeHeight="65">
          <wp:simplePos x="0" y="0"/>
          <wp:positionH relativeFrom="column">
            <wp:posOffset>-114300</wp:posOffset>
          </wp:positionH>
          <wp:positionV relativeFrom="paragraph">
            <wp:posOffset>-228600</wp:posOffset>
          </wp:positionV>
          <wp:extent cx="612775" cy="913765"/>
          <wp:effectExtent l="0" t="0" r="0" b="0"/>
          <wp:wrapNone/>
          <wp:docPr id="1" name="Figura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Copia 1" descr=""/>
                  <pic:cNvPicPr>
                    <a:picLocks noChangeAspect="1" noChangeArrowheads="1"/>
                  </pic:cNvPicPr>
                </pic:nvPicPr>
                <pic:blipFill>
                  <a:blip r:embed="rId1"/>
                  <a:srcRect l="-292" t="-296" r="-292" b="-296"/>
                  <a:stretch>
                    <a:fillRect/>
                  </a:stretch>
                </pic:blipFill>
                <pic:spPr bwMode="auto">
                  <a:xfrm>
                    <a:off x="0" y="0"/>
                    <a:ext cx="612775" cy="913765"/>
                  </a:xfrm>
                  <a:prstGeom prst="rect">
                    <a:avLst/>
                  </a:prstGeom>
                </pic:spPr>
              </pic:pic>
            </a:graphicData>
          </a:graphic>
        </wp:anchor>
      </w:drawing>
    </w:r>
    <w:r>
      <w:rPr>
        <w:rFonts w:cs="Times New Roman" w:ascii="Times New Roman" w:hAnsi="Times New Roman"/>
        <w:sz w:val="24"/>
      </w:rPr>
      <w:t>ESTADO DE SANTA CATARINA</w:t>
    </w:r>
  </w:p>
  <w:p>
    <w:pPr>
      <w:pStyle w:val="Normal"/>
      <w:jc w:val="center"/>
      <w:rPr>
        <w:b/>
        <w:bCs/>
        <w:sz w:val="24"/>
      </w:rPr>
    </w:pPr>
    <w:r>
      <w:rPr>
        <w:b/>
        <w:bCs/>
        <w:sz w:val="24"/>
      </w:rPr>
      <w:t>PREFEITURA MUNICIPAL DE SANTA ROSA DE LIMA</w:t>
    </w:r>
  </w:p>
  <w:p>
    <w:pPr>
      <w:pStyle w:val="Normal"/>
      <w:jc w:val="center"/>
      <w:rPr>
        <w:b/>
        <w:bCs/>
        <w:sz w:val="24"/>
      </w:rPr>
    </w:pPr>
    <w:r>
      <w:rPr>
        <w:b/>
        <w:bCs/>
        <w:sz w:val="24"/>
      </w:rPr>
      <w:t>COMPRAS E LICITAÇÕES</w:t>
    </w:r>
  </w:p>
  <w:p>
    <w:pPr>
      <w:pStyle w:val="Header"/>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tulo1"/>
      <w:rPr>
        <w:rFonts w:ascii="Times New Roman" w:hAnsi="Times New Roman" w:cs="Times New Roman"/>
        <w:sz w:val="24"/>
      </w:rPr>
    </w:pPr>
    <w:r>
      <w:drawing>
        <wp:anchor behindDoc="1" distT="0" distB="0" distL="0" distR="0" simplePos="0" locked="0" layoutInCell="1" allowOverlap="1" relativeHeight="3">
          <wp:simplePos x="0" y="0"/>
          <wp:positionH relativeFrom="column">
            <wp:posOffset>-114300</wp:posOffset>
          </wp:positionH>
          <wp:positionV relativeFrom="paragraph">
            <wp:posOffset>-228600</wp:posOffset>
          </wp:positionV>
          <wp:extent cx="612775" cy="913765"/>
          <wp:effectExtent l="0" t="0" r="0" b="0"/>
          <wp:wrapNone/>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292" t="-296" r="-292" b="-296"/>
                  <a:stretch>
                    <a:fillRect/>
                  </a:stretch>
                </pic:blipFill>
                <pic:spPr bwMode="auto">
                  <a:xfrm>
                    <a:off x="0" y="0"/>
                    <a:ext cx="612775" cy="913765"/>
                  </a:xfrm>
                  <a:prstGeom prst="rect">
                    <a:avLst/>
                  </a:prstGeom>
                </pic:spPr>
              </pic:pic>
            </a:graphicData>
          </a:graphic>
        </wp:anchor>
      </w:drawing>
    </w:r>
    <w:r>
      <w:rPr>
        <w:rFonts w:cs="Times New Roman" w:ascii="Times New Roman" w:hAnsi="Times New Roman"/>
        <w:sz w:val="24"/>
      </w:rPr>
      <w:t>ESTADO DE SANTA CATARINA</w:t>
    </w:r>
  </w:p>
  <w:p>
    <w:pPr>
      <w:pStyle w:val="Normal"/>
      <w:jc w:val="center"/>
      <w:rPr>
        <w:b/>
        <w:bCs/>
        <w:sz w:val="24"/>
      </w:rPr>
    </w:pPr>
    <w:r>
      <w:rPr>
        <w:b/>
        <w:bCs/>
        <w:sz w:val="24"/>
      </w:rPr>
      <w:t>PREFEITURA MUNICIPAL DE SANTA ROSA DE LIMA</w:t>
    </w:r>
  </w:p>
  <w:p>
    <w:pPr>
      <w:pStyle w:val="Normal"/>
      <w:jc w:val="center"/>
      <w:rPr>
        <w:b/>
        <w:bCs/>
        <w:sz w:val="24"/>
      </w:rPr>
    </w:pPr>
    <w:r>
      <w:rPr>
        <w:b/>
        <w:bCs/>
        <w:sz w:val="24"/>
      </w:rPr>
      <w:t>COMPRAS E LICITAÇÕES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tulo1"/>
      <w:rPr>
        <w:rFonts w:ascii="Times New Roman" w:hAnsi="Times New Roman" w:cs="Times New Roman"/>
        <w:sz w:val="24"/>
      </w:rPr>
    </w:pPr>
    <w:r>
      <w:drawing>
        <wp:anchor behindDoc="1" distT="0" distB="0" distL="0" distR="0" simplePos="0" locked="0" layoutInCell="1" allowOverlap="1" relativeHeight="26">
          <wp:simplePos x="0" y="0"/>
          <wp:positionH relativeFrom="column">
            <wp:posOffset>-114300</wp:posOffset>
          </wp:positionH>
          <wp:positionV relativeFrom="paragraph">
            <wp:posOffset>-228600</wp:posOffset>
          </wp:positionV>
          <wp:extent cx="612775" cy="913765"/>
          <wp:effectExtent l="0" t="0" r="0" b="0"/>
          <wp:wrapNone/>
          <wp:docPr id="5"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descr=""/>
                  <pic:cNvPicPr>
                    <a:picLocks noChangeAspect="1" noChangeArrowheads="1"/>
                  </pic:cNvPicPr>
                </pic:nvPicPr>
                <pic:blipFill>
                  <a:blip r:embed="rId1"/>
                  <a:srcRect l="-292" t="-296" r="-292" b="-296"/>
                  <a:stretch>
                    <a:fillRect/>
                  </a:stretch>
                </pic:blipFill>
                <pic:spPr bwMode="auto">
                  <a:xfrm>
                    <a:off x="0" y="0"/>
                    <a:ext cx="612775" cy="913765"/>
                  </a:xfrm>
                  <a:prstGeom prst="rect">
                    <a:avLst/>
                  </a:prstGeom>
                </pic:spPr>
              </pic:pic>
            </a:graphicData>
          </a:graphic>
        </wp:anchor>
      </w:drawing>
    </w:r>
    <w:r>
      <w:rPr>
        <w:rFonts w:cs="Times New Roman" w:ascii="Times New Roman" w:hAnsi="Times New Roman"/>
        <w:sz w:val="24"/>
      </w:rPr>
      <w:t>ESTADO DE SANTA CATARINA</w:t>
    </w:r>
  </w:p>
  <w:p>
    <w:pPr>
      <w:pStyle w:val="Normal"/>
      <w:jc w:val="center"/>
      <w:rPr>
        <w:b/>
        <w:bCs/>
        <w:sz w:val="24"/>
      </w:rPr>
    </w:pPr>
    <w:r>
      <w:rPr>
        <w:b/>
        <w:bCs/>
        <w:sz w:val="24"/>
      </w:rPr>
      <w:t>PREFEITURA MUNICIPAL DE SANTA ROSA DE LIMA</w:t>
    </w:r>
  </w:p>
  <w:p>
    <w:pPr>
      <w:pStyle w:val="Normal"/>
      <w:jc w:val="center"/>
      <w:rPr>
        <w:b/>
        <w:bCs/>
        <w:sz w:val="24"/>
      </w:rPr>
    </w:pPr>
    <w:r>
      <w:rPr>
        <w:b/>
        <w:bCs/>
        <w:sz w:val="24"/>
      </w:rPr>
      <w:t>COMPRAS E LICITAÇÕES</w:t>
    </w:r>
  </w:p>
  <w:p>
    <w:pPr>
      <w:pStyle w:val="Header"/>
      <w:jc w:val="right"/>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432" w:hanging="432"/>
      </w:pPr>
      <w:rPr>
        <w:dstrike w:val="false"/>
        <w:strike w:val="false"/>
        <w:sz w:val="20"/>
        <w:i w:val="false"/>
        <w:u w:val="none"/>
        <w:b w:val="false"/>
        <w:szCs w:val="20"/>
        <w:rFonts w:ascii="Arial Narrow" w:hAnsi="Arial Narrow" w:eastAsia="" w:cs="Arial" w:eastAsiaTheme="minorEastAsia"/>
        <w:color w:val="auto"/>
      </w:rPr>
    </w:lvl>
    <w:lvl w:ilvl="2">
      <w:start w:val="1"/>
      <w:numFmt w:val="decimal"/>
      <w:lvlText w:val="%1.%2.%3."/>
      <w:lvlJc w:val="left"/>
      <w:pPr>
        <w:tabs>
          <w:tab w:val="num" w:pos="0"/>
        </w:tabs>
        <w:ind w:left="8018" w:hanging="504"/>
      </w:pPr>
      <w:rPr>
        <w:dstrike w:val="false"/>
        <w:strike w:val="false"/>
        <w:sz w:val="20"/>
        <w:i w:val="false"/>
        <w:b w:val="false"/>
        <w:szCs w:val="20"/>
        <w:rFonts w:ascii="Arial Narrow" w:hAnsi="Arial Narrow"/>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8"/>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5">
    <w:lvl w:ilvl="0">
      <w:start w:val="8"/>
      <w:numFmt w:val="decimal"/>
      <w:lvlText w:val="%1"/>
      <w:lvlJc w:val="left"/>
      <w:pPr>
        <w:tabs>
          <w:tab w:val="num" w:pos="0"/>
        </w:tabs>
        <w:ind w:left="360" w:hanging="360"/>
      </w:pPr>
      <w:rPr/>
    </w:lvl>
    <w:lvl w:ilvl="1">
      <w:start w:val="2"/>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080" w:hanging="1080"/>
      </w:pPr>
      <w:rPr/>
    </w:lvl>
    <w:lvl w:ilvl="8">
      <w:start w:val="1"/>
      <w:numFmt w:val="decimal"/>
      <w:lvlText w:val="%1.%2.%3.%4.%5.%6.%7.%8.%9"/>
      <w:lvlJc w:val="left"/>
      <w:pPr>
        <w:tabs>
          <w:tab w:val="num" w:pos="0"/>
        </w:tabs>
        <w:ind w:left="1440" w:hanging="1440"/>
      </w:pPr>
      <w:rPr/>
    </w:lvl>
  </w:abstractNum>
  <w:abstractNum w:abstractNumId="6">
    <w:lvl w:ilvl="0">
      <w:start w:val="9"/>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7">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360" w:hanging="360"/>
      </w:pPr>
      <w:rPr>
        <w:b w:val="false"/>
        <w:bCs w:val="false"/>
        <w:color w:val="000000"/>
      </w:rPr>
    </w:lvl>
    <w:lvl w:ilvl="2">
      <w:start w:val="1"/>
      <w:numFmt w:val="decimal"/>
      <w:lvlText w:val="%1.%2.%3"/>
      <w:lvlJc w:val="left"/>
      <w:pPr>
        <w:tabs>
          <w:tab w:val="num" w:pos="0"/>
        </w:tabs>
        <w:ind w:left="720" w:hanging="720"/>
      </w:pPr>
      <w:rPr>
        <w:b w:val="false"/>
        <w:bCs/>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720" w:hanging="72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080" w:hanging="1080"/>
      </w:pPr>
      <w:rPr>
        <w:color w:val="000000"/>
      </w:rPr>
    </w:lvl>
    <w:lvl w:ilvl="7">
      <w:start w:val="1"/>
      <w:numFmt w:val="decimal"/>
      <w:lvlText w:val="%1.%2.%3.%4.%5.%6.%7.%8"/>
      <w:lvlJc w:val="left"/>
      <w:pPr>
        <w:tabs>
          <w:tab w:val="num" w:pos="0"/>
        </w:tabs>
        <w:ind w:left="1080" w:hanging="1080"/>
      </w:pPr>
      <w:rPr>
        <w:color w:val="000000"/>
      </w:rPr>
    </w:lvl>
    <w:lvl w:ilvl="8">
      <w:start w:val="1"/>
      <w:numFmt w:val="decimal"/>
      <w:lvlText w:val="%1.%2.%3.%4.%5.%6.%7.%8.%9"/>
      <w:lvlJc w:val="left"/>
      <w:pPr>
        <w:tabs>
          <w:tab w:val="num" w:pos="0"/>
        </w:tabs>
        <w:ind w:left="1440" w:hanging="1440"/>
      </w:pPr>
      <w:rPr>
        <w:color w:val="000000"/>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Theme" w:semiHidden="1" w:unhideWhenUsed="1"/>
    <w:lsdException w:name="Placeholder Text" w:uiPriority="67" w:semiHidden="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iPriority w:val="99"/>
    <w:unhideWhenUsed/>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Annotationtext"/>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7603c7"/>
    <w:rPr>
      <w:rFonts w:ascii="Arial" w:hAnsi="Arial" w:eastAsia=""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themeColor="accent1" w:themeShade="bf" w:val="000000"/>
      <w:sz w:val="28"/>
      <w:szCs w:val="28"/>
      <w:lang w:eastAsia="pt-BR"/>
    </w:rPr>
  </w:style>
  <w:style w:type="character" w:styleId="Nivel4Char" w:customStyle="1">
    <w:name w:val="Nivel 4 Char"/>
    <w:basedOn w:val="DefaultParagraphFont"/>
    <w:link w:val="Nivel4"/>
    <w:qFormat/>
    <w:rsid w:val="007603c7"/>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7603c7"/>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d14643"/>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7603c7"/>
    <w:rPr>
      <w:rFonts w:ascii="Arial" w:hAnsi="Arial" w:cs="Arial"/>
      <w:i/>
      <w:iCs/>
      <w:color w:val="FF0000"/>
      <w:lang w:eastAsia="pt-BR"/>
    </w:rPr>
  </w:style>
  <w:style w:type="character" w:styleId="Nivel3Char" w:customStyle="1">
    <w:name w:val="Nivel 3 Char"/>
    <w:basedOn w:val="DefaultParagraphFont"/>
    <w:link w:val="Nivel3"/>
    <w:qFormat/>
    <w:rsid w:val="007603c7"/>
    <w:rPr>
      <w:rFonts w:ascii="Arial" w:hAnsi="Arial" w:cs="Arial"/>
      <w:color w:val="000000"/>
      <w:lang w:eastAsia="pt-BR"/>
    </w:rPr>
  </w:style>
  <w:style w:type="character" w:styleId="Nvel3-RChar" w:customStyle="1">
    <w:name w:val="Nível 3-R Char"/>
    <w:basedOn w:val="Nivel3Char"/>
    <w:link w:val="Nvel3-R"/>
    <w:qFormat/>
    <w:rsid w:val="007603c7"/>
    <w:rPr>
      <w:rFonts w:ascii="Arial" w:hAnsi="Arial" w:cs="Arial"/>
      <w:i/>
      <w:iCs/>
      <w:color w:val="FF0000"/>
      <w:lang w:eastAsia="pt-BR"/>
    </w:rPr>
  </w:style>
  <w:style w:type="character" w:styleId="Nvel4-RChar" w:customStyle="1">
    <w:name w:val="Nível 4-R Char"/>
    <w:basedOn w:val="Nivel4Char"/>
    <w:link w:val="Nvel4-R"/>
    <w:qFormat/>
    <w:rsid w:val="00031dbe"/>
    <w:rPr>
      <w:rFonts w:ascii="Arial" w:hAnsi="Arial" w:cs="Arial"/>
      <w:i/>
      <w:iCs/>
      <w:color w:val="FF0000"/>
      <w:lang w:eastAsia="pt-BR"/>
    </w:rPr>
  </w:style>
  <w:style w:type="character" w:styleId="Nvel1-SemNumChar" w:customStyle="1">
    <w:name w:val="Nível 1-Sem Num Char"/>
    <w:basedOn w:val="Nivel01Char"/>
    <w:link w:val="Nvel1-SemNum"/>
    <w:qFormat/>
    <w:rsid w:val="007603c7"/>
    <w:rPr>
      <w:rFonts w:ascii="Arial" w:hAnsi="Arial" w:eastAsia="" w:cs="Arial" w:eastAsiaTheme="majorEastAsia"/>
      <w:b/>
      <w:bCs/>
      <w:color w:themeColor="text2" w:themeShade="bf"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Citao2Char" w:customStyle="1">
    <w:name w:val="citação 2 Char"/>
    <w:basedOn w:val="CitaoChar"/>
    <w:link w:val="Citao2"/>
    <w:qFormat/>
    <w:rsid w:val="003c7a23"/>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sid w:val="009944df"/>
    <w:rPr>
      <w:color w:val="605E5C"/>
      <w:shd w:fill="E1DFDD" w:val="clear"/>
    </w:rPr>
  </w:style>
  <w:style w:type="character" w:styleId="Mentionnonrsolue1" w:customStyle="1">
    <w:name w:val="Mention non résolue1"/>
    <w:basedOn w:val="DefaultParagraphFont"/>
    <w:uiPriority w:val="99"/>
    <w:semiHidden/>
    <w:unhideWhenUsed/>
    <w:qFormat/>
    <w:rsid w:val="00be1c61"/>
    <w:rPr>
      <w:color w:val="605E5C"/>
      <w:shd w:fill="E1DFDD" w:val="clear"/>
    </w:rPr>
  </w:style>
  <w:style w:type="character" w:styleId="UnresolvedMention">
    <w:name w:val="Unresolved Mention"/>
    <w:basedOn w:val="DefaultParagraphFont"/>
    <w:uiPriority w:val="99"/>
    <w:semiHidden/>
    <w:unhideWhenUsed/>
    <w:qFormat/>
    <w:rsid w:val="00a515de"/>
    <w:rPr>
      <w:color w:val="605E5C"/>
      <w:shd w:fill="E1DFDD" w:val="clear"/>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link w:val="PargrafodaListaChar"/>
    <w:uiPriority w:val="34"/>
    <w:qFormat/>
    <w:rsid w:val="004773fc"/>
    <w:pPr>
      <w:spacing w:before="0" w:after="0"/>
      <w:ind w:left="72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Header">
    <w:name w:val="Header"/>
    <w:basedOn w:val="Normal"/>
    <w:link w:val="CabealhoChar"/>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nhideWhenUsed/>
    <w:qFormat/>
    <w:rsid w:val="00d30a43"/>
    <w:pPr/>
    <w:rPr>
      <w:sz w:val="20"/>
      <w:szCs w:val="20"/>
    </w:rPr>
  </w:style>
  <w:style w:type="paragraph" w:styleId="Annotationsubject">
    <w:name w:val="annotation subject"/>
    <w:basedOn w:val="Annotationtext"/>
    <w:next w:val="Annotationtext"/>
    <w:link w:val="AssuntodocomentrioChar"/>
    <w:semiHidden/>
    <w:unhideWhenUsed/>
    <w:qFormat/>
    <w:rsid w:val="00430fdb"/>
    <w:pPr/>
    <w:rPr>
      <w:b/>
      <w:bCs/>
    </w:rPr>
  </w:style>
  <w:style w:type="paragraph" w:styleId="Nivel01" w:customStyle="1">
    <w:name w:val="Nivel 01"/>
    <w:basedOn w:val="Heading1"/>
    <w:next w:val="Normal"/>
    <w:link w:val="Nivel01Char"/>
    <w:qFormat/>
    <w:rsid w:val="007603c7"/>
    <w:pPr>
      <w:numPr>
        <w:ilvl w:val="0"/>
        <w:numId w:val="1"/>
      </w:numPr>
      <w:tabs>
        <w:tab w:val="clear" w:pos="708"/>
        <w:tab w:val="left" w:pos="567" w:leader="none"/>
      </w:tabs>
      <w:spacing w:before="240" w:after="0"/>
      <w:ind w:hanging="0" w:left="0"/>
      <w:jc w:val="both"/>
    </w:pPr>
    <w:rPr>
      <w:rFonts w:ascii="Arial" w:hAnsi="Arial" w:cs="Arial"/>
      <w:color w:themeColor="accent1" w:themeShade="bf" w:val="auto"/>
      <w:sz w:val="20"/>
      <w:szCs w:val="20"/>
    </w:rPr>
  </w:style>
  <w:style w:type="paragraph" w:styleId="Nivel01Titulo" w:customStyle="1">
    <w:name w:val="Nivel_01_Titulo"/>
    <w:basedOn w:val="Nivel01"/>
    <w:link w:val="Nivel01TituloChar"/>
    <w:qFormat/>
    <w:rsid w:val="00e967ea"/>
    <w:pPr>
      <w:jc w:val="lef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left="357"/>
      <w:jc w:val="both"/>
    </w:pPr>
    <w:rPr>
      <w:rFonts w:ascii="Arial" w:hAnsi="Arial" w:cs="Arial"/>
      <w:bCs w:val="false"/>
      <w:color w:themeColor="accent1" w:themeShade="bf" w:val="000000"/>
    </w:rPr>
  </w:style>
  <w:style w:type="paragraph" w:styleId="PargrafodaLista1" w:customStyle="1">
    <w:name w:val="Parágrafo da Lista1"/>
    <w:basedOn w:val="Normal"/>
    <w:qFormat/>
    <w:rsid w:val="00d30a43"/>
    <w:pPr>
      <w:ind w:left="720"/>
    </w:pPr>
    <w:rPr>
      <w:rFonts w:eastAsia="Times New Roman" w:cs="Ecofont_Spranq_eco_Sans"/>
    </w:rPr>
  </w:style>
  <w:style w:type="paragraph" w:styleId="Nivel2" w:customStyle="1">
    <w:name w:val="Nivel 2"/>
    <w:basedOn w:val="Normal"/>
    <w:link w:val="Nivel2Char"/>
    <w:qFormat/>
    <w:rsid w:val="007603c7"/>
    <w:pPr>
      <w:numPr>
        <w:ilvl w:val="1"/>
        <w:numId w:val="1"/>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left="360"/>
    </w:pPr>
    <w:rPr>
      <w:b/>
    </w:rPr>
  </w:style>
  <w:style w:type="paragraph" w:styleId="Nivel3" w:customStyle="1">
    <w:name w:val="Nivel 3"/>
    <w:basedOn w:val="Normal"/>
    <w:link w:val="Nivel3Char"/>
    <w:qFormat/>
    <w:rsid w:val="007603c7"/>
    <w:pPr>
      <w:numPr>
        <w:ilvl w:val="2"/>
        <w:numId w:val="1"/>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rsid w:val="007603c7"/>
    <w:pPr>
      <w:ind w:hanging="0" w:left="567"/>
    </w:pPr>
    <w:rPr>
      <w:color w:val="auto"/>
    </w:rPr>
  </w:style>
  <w:style w:type="paragraph" w:styleId="Nivel5" w:customStyle="1">
    <w:name w:val="Nivel 5"/>
    <w:basedOn w:val="Nivel4"/>
    <w:qFormat/>
    <w:rsid w:val="007603c7"/>
    <w:pPr>
      <w:ind w:hanging="0" w:lef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d14643"/>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7603c7"/>
    <w:pPr/>
    <w:rPr>
      <w:i/>
      <w:iCs/>
      <w:color w:val="FF0000"/>
    </w:rPr>
  </w:style>
  <w:style w:type="paragraph" w:styleId="Nvel3-R" w:customStyle="1">
    <w:name w:val="Nível 3-R"/>
    <w:basedOn w:val="Nivel3"/>
    <w:link w:val="Nvel3-RChar"/>
    <w:qFormat/>
    <w:rsid w:val="007603c7"/>
    <w:pPr/>
    <w:rPr>
      <w:i/>
      <w:iCs/>
      <w:color w:val="FF0000"/>
    </w:rPr>
  </w:style>
  <w:style w:type="paragraph" w:styleId="Nvel4-R" w:customStyle="1">
    <w:name w:val="Nível 4-R"/>
    <w:basedOn w:val="Nivel4"/>
    <w:link w:val="Nvel4-RChar"/>
    <w:qFormat/>
    <w:rsid w:val="00031dbe"/>
    <w:pPr/>
    <w:rPr>
      <w:i/>
      <w:iCs/>
      <w:color w:val="FF0000"/>
    </w:rPr>
  </w:style>
  <w:style w:type="paragraph" w:styleId="Nvel1-SemNum" w:customStyle="1">
    <w:name w:val="Nível 1-Sem Num"/>
    <w:basedOn w:val="Nivel01"/>
    <w:link w:val="Nvel1-SemNumChar"/>
    <w:qFormat/>
    <w:rsid w:val="007603c7"/>
    <w:pPr>
      <w:numPr>
        <w:ilvl w:val="0"/>
        <w:numId w:val="0"/>
      </w:numPr>
      <w:ind w:hanging="0" w:left="0"/>
      <w:outlineLvl w:val="1"/>
    </w:pPr>
    <w:rPr>
      <w:color w:themeColor="accent1" w:themeShade="bf" w:val="FF0000"/>
    </w:rPr>
  </w:style>
  <w:style w:type="paragraph" w:styleId="Citao2" w:customStyle="1">
    <w:name w:val="citação 2"/>
    <w:basedOn w:val="Quote"/>
    <w:link w:val="Citao2Char"/>
    <w:qFormat/>
    <w:rsid w:val="00dc41dd"/>
    <w:pPr>
      <w:overflowPunct w:val="false"/>
    </w:pPr>
    <w:rPr>
      <w:szCs w:val="20"/>
    </w:rPr>
  </w:style>
  <w:style w:type="paragraph" w:styleId="Prembulo" w:customStyle="1">
    <w:name w:val="Preâmbulo"/>
    <w:basedOn w:val="Normal"/>
    <w:link w:val="PrembuloChar"/>
    <w:qFormat/>
    <w:rsid w:val="00bb19e4"/>
    <w:pPr>
      <w:spacing w:lineRule="auto" w:line="360" w:before="480" w:after="120"/>
      <w:ind w:left="4253" w:right="-17"/>
      <w:jc w:val="both"/>
    </w:pPr>
    <w:rPr>
      <w:rFonts w:ascii="Arial" w:hAnsi="Arial" w:eastAsia="Arial" w:cs="Arial"/>
      <w:bCs/>
      <w:sz w:val="20"/>
      <w:szCs w:val="20"/>
    </w:rPr>
  </w:style>
  <w:style w:type="paragraph" w:styleId="IndexHeading">
    <w:name w:val="Index Heading"/>
    <w:basedOn w:val="Ttulo"/>
    <w:pPr/>
    <w:rPr/>
  </w:style>
  <w:style w:type="paragraph" w:styleId="TOCHeading">
    <w:name w:val="TOC Heading"/>
    <w:basedOn w:val="Heading1"/>
    <w:next w:val="Normal"/>
    <w:uiPriority w:val="39"/>
    <w:unhideWhenUsed/>
    <w:qFormat/>
    <w:rsid w:val="003f579d"/>
    <w:pPr>
      <w:spacing w:lineRule="auto" w:line="259" w:before="240" w:after="0"/>
      <w:outlineLvl w:val="9"/>
    </w:pPr>
    <w:rPr>
      <w:b w:val="false"/>
      <w:bCs w:val="false"/>
      <w:sz w:val="32"/>
      <w:szCs w:val="32"/>
    </w:rPr>
  </w:style>
  <w:style w:type="paragraph" w:styleId="TOC1">
    <w:name w:val="TOC 1"/>
    <w:basedOn w:val="Normal"/>
    <w:next w:val="Normal"/>
    <w:autoRedefine/>
    <w:uiPriority w:val="39"/>
    <w:unhideWhenUsed/>
    <w:rsid w:val="00805832"/>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rsid w:val="0073473b"/>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Ttulo1">
    <w:name w:val="Título1"/>
    <w:basedOn w:val="Normal"/>
    <w:next w:val="BodyText"/>
    <w:qFormat/>
    <w:pPr>
      <w:jc w:val="center"/>
    </w:pPr>
    <w:rPr>
      <w:rFonts w:ascii="Verdana" w:hAnsi="Verdana" w:cs="Verdana"/>
      <w:b/>
      <w:bCs/>
    </w:rPr>
  </w:style>
  <w:style w:type="paragraph" w:styleId="Nvel1-SemNumPreto">
    <w:name w:val="Nível 1-Sem Num Preto"/>
    <w:basedOn w:val="Normal"/>
    <w:qFormat/>
    <w:pPr>
      <w:keepNext w:val="true"/>
      <w:keepLines/>
      <w:tabs>
        <w:tab w:val="clear" w:pos="708"/>
        <w:tab w:val="left" w:pos="567" w:leader="none"/>
      </w:tabs>
      <w:spacing w:lineRule="auto" w:line="276" w:before="240" w:after="120"/>
      <w:jc w:val="both"/>
      <w:outlineLvl w:val="1"/>
    </w:pPr>
    <w:rPr>
      <w:rFonts w:cs="Arial"/>
      <w:b/>
      <w:bCs/>
      <w:szCs w:val="20"/>
      <w:lang w:val="x-none" w:eastAsia="zh-CN" w:bidi="hi-IN"/>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planalto.gov.br/ccivil_03/leis/lcp/lcp123.htm" TargetMode="External"/><Relationship Id="rId3" Type="http://schemas.openxmlformats.org/officeDocument/2006/relationships/hyperlink" Target="https://www.gov.br/empresas-e-negocios/pt-br/empreendedor"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yperlink" Target="https://www.gov.br/empresas-e-negocios/pt-br/empreendedor" TargetMode="External"/><Relationship Id="rId9"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s://www.planalto.gov.br/ccivil_03/constituicao/constituicaocompilado.htm" TargetMode="Externa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 Id="rId20" Type="http://schemas.openxmlformats.org/officeDocument/2006/relationships/customXml" Target="../customXml/item2.xml"/><Relationship Id="rId21" Type="http://schemas.openxmlformats.org/officeDocument/2006/relationships/customXml" Target="../customXml/item3.xml"/><Relationship Id="rId22"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3.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299E3B-2233-4C6F-90EA-8B87367E4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Application>LibreOffice/7.6.1.2$Windows_X86_64 LibreOffice_project/f5defcebd022c5bc36bbb79be232cb6926d8f674</Application>
  <AppVersion>15.0000</AppVersion>
  <Pages>41</Pages>
  <Words>13684</Words>
  <Characters>76302</Characters>
  <CharactersWithSpaces>89392</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2024-04-01T14:52:00Z</dcterms:created>
  <dc:creator/>
  <dc:description/>
  <dc:language>pt-BR</dc:language>
  <cp:lastModifiedBy/>
  <dcterms:modified xsi:type="dcterms:W3CDTF">2024-04-15T11:47:37Z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