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package.relationships+xml" PartName="/_rels/.rels"/>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package.relationships+xml" PartName="/word/_rels/document.xml.rels"/>
  <Override ContentType="application/vnd.openxmlformats-package.relationships+xml" PartName="/word/_rels/header1.xml.rels"/>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image/x-wmf" PartName="/word/media/image1.wmf"/>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
    <Relationship Target="docProps/core.xml" Type="http://schemas.openxmlformats.org/package/2006/relationships/metadata/core-properties" Id="rId1"/>
    <Relationship Target="docProps/app.xml" Type="http://schemas.openxmlformats.org/officeDocument/2006/relationships/extended-properties" Id="rId2"/>
    <Relationship Target="docProps/custom.xml" Type="http://schemas.openxmlformats.org/officeDocument/2006/relationships/custom-properties" Id="rId3"/>
    <Relationship Target="word/document.xml" Type="http://schemas.openxmlformats.org/officeDocument/2006/relationships/officeDocument" Id="rId4"/>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body>
    <!-- Modified by docx4j 11.1.0 (Apache licensed) using REFERENCE JAXB in Azul Systems, Inc. Java 11.0.23 on Linux -->
    <w:p>
      <w:pPr>
        <w:pStyle w:val="Normal"/>
        <w:jc w:val="both"/>
        <w:rPr>
          <w:rFonts w:ascii="Bookman Old Style" w:hAnsi="Bookman Old Style" w:cs="Times New Roman"/>
          <w:b/>
          <w:bCs/>
          <w:sz w:val="22"/>
          <w:szCs w:val="22"/>
        </w:rPr>
      </w:pPr>
      <w:r>
        <w:rPr>
          <w:rFonts w:ascii="Bookman Old Style" w:hAnsi="Bookman Old Style" w:cs="Times New Roman"/>
          <w:b/>
          <w:bCs/>
          <w:sz w:val="22"/>
          <w:szCs w:val="22"/>
        </w:rPr>
      </w:r>
    </w:p>
    <w:p>
      <w:pPr>
        <w:pStyle w:val="Normal"/>
        <w:jc w:val="center"/>
        <w:rPr>
          <w:rFonts w:ascii="Bookman Old Style" w:hAnsi="Bookman Old Style"/>
          <w:sz w:val="22"/>
          <w:szCs w:val="22"/>
        </w:rPr>
      </w:pPr>
      <w:r>
        <w:rPr>
          <w:rFonts w:ascii="Bookman Old Style" w:hAnsi="Bookman Old Style" w:eastAsia="SimSun" w:cs="Times New Roman"/>
          <w:b/>
          <w:bCs/>
          <w:color w:val="00000A"/>
          <w:kern w:val="0"/>
          <w:sz w:val="22"/>
          <w:szCs w:val="22"/>
          <w:u w:val="none"/>
          <w:lang w:val="pt-BR" w:eastAsia="zh-CN" w:bidi="hi-IN"/>
        </w:rPr>
        <w:t>TERMO DE HOMOLOGAÇÃO</w:t>
      </w:r>
    </w:p>
    <w:p>
      <w:pPr>
        <w:pStyle w:val="Normal"/>
        <w:jc w:val="both"/>
        <w:rPr>
          <w:rFonts w:ascii="Bookman Old Style" w:hAnsi="Bookman Old Style" w:cs="Times New Roman"/>
          <w:b/>
          <w:bCs/>
          <w:sz w:val="22"/>
          <w:szCs w:val="22"/>
        </w:rPr>
      </w:pPr>
      <w:r>
        <w:rPr>
          <w:rFonts w:ascii="Bookman Old Style" w:hAnsi="Bookman Old Style" w:cs="Times New Roman"/>
          <w:b/>
          <w:bCs/>
          <w:sz w:val="22"/>
          <w:szCs w:val="22"/>
        </w:rPr>
      </w:r>
    </w:p>
    <w:p>
      <w:pPr>
        <w:pStyle w:val="Normal"/>
        <w:jc w:val="both"/>
        <w:rPr>
          <w:rFonts w:ascii="Bookman Old Style" w:hAnsi="Bookman Old Style"/>
          <w:sz w:val="22"/>
          <w:szCs w:val="22"/>
        </w:rPr>
      </w:pPr>
      <w:r>
        <w:rPr>
          <w:rFonts w:ascii="Bookman Old Style" w:hAnsi="Bookman Old Style" w:cs="Times New Roman"/>
          <w:b/>
          <w:bCs/>
          <w:sz w:val="22"/>
          <w:szCs w:val="22"/>
        </w:rPr>
        <w:t xml:space="preserve">Pregão</w:t>
      </w:r>
      <w:r>
        <w:rPr>
          <w:rFonts w:ascii="Bookman Old Style" w:hAnsi="Bookman Old Style" w:cs="Times New Roman"/>
          <w:b/>
          <w:bCs/>
          <w:sz w:val="22"/>
          <w:szCs w:val="22"/>
        </w:rPr>
        <w:t xml:space="preserve"> </w:t>
      </w:r>
      <w:r>
        <w:rPr>
          <w:rFonts w:ascii="Bookman Old Style" w:hAnsi="Bookman Old Style" w:cs="Times New Roman"/>
          <w:b/>
          <w:bCs/>
          <w:sz w:val="22"/>
          <w:szCs w:val="22"/>
        </w:rPr>
        <w:t xml:space="preserve">Eletrônico</w:t>
      </w:r>
      <w:r>
        <w:rPr>
          <w:rFonts w:ascii="Bookman Old Style" w:hAnsi="Bookman Old Style" w:cs="Times New Roman"/>
          <w:b/>
          <w:bCs/>
          <w:sz w:val="22"/>
          <w:szCs w:val="22"/>
        </w:rPr>
        <w:t xml:space="preserve">: </w:t>
      </w:r>
      <w:r>
        <w:rPr>
          <w:rFonts w:ascii="Bookman Old Style" w:hAnsi="Bookman Old Style" w:cs="Times New Roman"/>
          <w:sz w:val="22"/>
          <w:szCs w:val="22"/>
        </w:rPr>
        <w:t xml:space="preserve">PE42/2024</w:t>
      </w:r>
    </w:p>
    <w:p>
      <w:pPr>
        <w:pStyle w:val="Normal"/>
        <w:jc w:val="both"/>
        <w:rPr>
          <w:rFonts w:ascii="Bookman Old Style" w:hAnsi="Bookman Old Style"/>
          <w:sz w:val="22"/>
          <w:szCs w:val="22"/>
        </w:rPr>
      </w:pPr>
      <w:r>
        <w:rPr>
          <w:rFonts w:ascii="Bookman Old Style" w:hAnsi="Bookman Old Style" w:cs="Times New Roman"/>
          <w:b/>
          <w:bCs/>
          <w:sz w:val="22"/>
          <w:szCs w:val="22"/>
        </w:rPr>
        <w:t xml:space="preserve">Emissão: </w:t>
      </w:r>
      <w:r>
        <w:rPr>
          <w:rFonts w:ascii="Bookman Old Style" w:hAnsi="Bookman Old Style" w:cs="Times New Roman"/>
          <w:sz w:val="22"/>
          <w:szCs w:val="22"/>
        </w:rPr>
        <w:t xml:space="preserve">08/07/2024</w:t>
      </w:r>
    </w:p>
    <w:p>
      <w:pPr>
        <w:pStyle w:val="Normal"/>
        <w:jc w:val="both"/>
        <w:rPr>
          <w:rFonts w:ascii="Bookman Old Style" w:hAnsi="Bookman Old Style"/>
          <w:sz w:val="22"/>
          <w:szCs w:val="22"/>
        </w:rPr>
      </w:pPr>
      <w:r>
        <w:rPr>
          <w:rFonts w:ascii="Bookman Old Style" w:hAnsi="Bookman Old Style" w:cs="Times New Roman"/>
          <w:b/>
          <w:bCs/>
          <w:sz w:val="22"/>
          <w:szCs w:val="22"/>
        </w:rPr>
        <w:t xml:space="preserve">Objeto: </w:t>
      </w:r>
      <w:r>
        <w:rPr>
          <w:rFonts w:ascii="Bookman Old Style" w:hAnsi="Bookman Old Style" w:cs="Times New Roman"/>
          <w:sz w:val="22"/>
          <w:szCs w:val="22"/>
        </w:rPr>
        <w:t xml:space="preserve">REGISTRO DE PREÇOS para aquisição de forma parcelada de Segurança (interna e externa), Mesa, Som, Gerador e Limpeza para atendimento aos eventos municipais realizados pela administração municipal de Irani- SC.</w:t>
      </w:r>
    </w:p>
    <w:p>
      <w:pPr>
        <w:pStyle w:val="Normal"/>
        <w:jc w:val="both"/>
        <w:rPr>
          <w:rFonts w:ascii="Bookman Old Style" w:hAnsi="Bookman Old Style" w:cs="Times New Roman"/>
          <w:sz w:val="22"/>
          <w:szCs w:val="22"/>
        </w:rPr>
      </w:pPr>
      <w:r>
        <w:rPr>
          <w:rFonts w:ascii="Bookman Old Style" w:hAnsi="Bookman Old Style" w:cs="Times New Roman"/>
          <w:sz w:val="22"/>
          <w:szCs w:val="22"/>
        </w:rPr>
      </w:r>
    </w:p>
    <w:p>
      <w:pPr>
        <w:pStyle w:val="Normal"/>
        <w:jc w:val="center"/>
        <w:rPr>
          <w:rFonts w:ascii="Bookman Old Style" w:hAnsi="Bookman Old Style"/>
          <w:sz w:val="22"/>
          <w:szCs w:val="22"/>
        </w:rPr>
      </w:pPr>
      <w:r>
        <w:rPr>
          <w:rFonts w:ascii="Bookman Old Style" w:hAnsi="Bookman Old Style" w:cs="Times New Roman"/>
          <w:b/>
          <w:bCs/>
          <w:sz w:val="22"/>
          <w:szCs w:val="22"/>
          <w:u w:val="none"/>
        </w:rPr>
        <w:t>VALORES ADJUDICADOS POR FORNECEDOR</w:t>
      </w:r>
    </w:p>
    <w:p>
      <w:pPr>
        <w:pStyle w:val="Normal"/>
        <w:jc w:val="both"/>
        <w:rPr>
          <w:rFonts w:ascii="Bookman Old Style" w:hAnsi="Bookman Old Style" w:cs="Times New Roman"/>
          <w:sz w:val="22"/>
          <w:szCs w:val="22"/>
        </w:rPr>
      </w:pPr>
      <w:r>
        <w:rPr>
          <w:rFonts w:ascii="Bookman Old Style" w:hAnsi="Bookman Old Style" w:cs="Times New Roman"/>
          <w:sz w:val="22"/>
          <w:szCs w:val="22"/>
        </w:rPr>
      </w:r>
    </w:p>
    <w:p>
      <w:r>
        <w:rPr>
          <w:rFonts w:ascii="Bookman Old Style" w:hAnsi="Bookman Old Style" w:cs="Times New Roman"/>
          <w:sz w:val="22"/>
        </w:rPr>
        <w:t xml:space="preserve"/>
      </w:r>
      <w:r>
        <w:rPr>
          <w:rFonts w:ascii="Bookman Old Style" w:hAnsi="Bookman Old Style" w:cs="Times New Roman"/>
          <w:b/>
          <w:sz w:val="22"/>
        </w:rPr>
        <w:t xml:space="preserve">
7153 - 53.924.669 DANRLEI GIOVANI LAMP (53.924.669/0001-36)</w:t>
      </w:r>
    </w:p>
    <w:tbl>
      <w:tblPr>
        <w:tblStyle w:val="TableGrid"/>
        <w:tblW w:w="0" w:type="auto"/>
        <w:tblLook w:val="04A0"/>
      </w:tblPr>
      <w:tblGrid>
        <w:gridCol w:w="900"/>
        <w:gridCol w:w="452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14</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25473 - Profissionais Brigadista Particular</w:t>
              <w:br w:type="textWrapping"/>
              <w:t xml:space="preserve">devidamente credenciado conforme IN28/DAT/CBMSC, para atuar nas ações de prevenção e ações de emergência em eventos realizados pelo município.   HORA/HOMEM-MULHER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HR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400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60,48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24.192,00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24.192,00</w:t>
            </w:r>
          </w:p>
        </w:tc>
      </w:tr>
    </w:tbl>
    <w:p>
      <w:r>
        <w:rPr>
          <w:rFonts w:ascii="Bookman Old Style" w:hAnsi="Bookman Old Style" w:cs="Times New Roman"/>
          <w:sz w:val="22"/>
        </w:rPr>
        <w:t xml:space="preserve"/>
      </w:r>
      <w:r>
        <w:rPr>
          <w:rFonts w:ascii="Bookman Old Style" w:hAnsi="Bookman Old Style" w:cs="Times New Roman"/>
          <w:b/>
          <w:sz w:val="22"/>
        </w:rPr>
        <w:t xml:space="preserve">
696 - BI SONORIZACAO E EVENTOS LTDA - ME (11.739.076/0001-50)</w:t>
      </w:r>
    </w:p>
    <w:tbl>
      <w:tblPr>
        <w:tblStyle w:val="TableGrid"/>
        <w:tblW w:w="0" w:type="auto"/>
        <w:tblLook w:val="04A0"/>
      </w:tblPr>
      <w:tblGrid>
        <w:gridCol w:w="900"/>
        <w:gridCol w:w="4644"/>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Item</w:t>
            </w:r>
          </w:p>
        </w:tc>
        <w:tc>
          <w:tcPr>
            <w:tcW w:w="4644"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5</w:t>
            </w:r>
          </w:p>
        </w:tc>
        <w:tc>
          <w:tcPr>
            <w:tcW w:w="4644"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46026 - GERADOR DE 260KVA</w:t>
              <w:br w:type="textWrapping"/>
              <w:t xml:space="preserve">Gerador de 260 Kva - 1 a 4 horas de uso.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SER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900,00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13.500,00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6</w:t>
            </w:r>
          </w:p>
        </w:tc>
        <w:tc>
          <w:tcPr>
            <w:tcW w:w="4644"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46027 - Gerador de 260 Kva: Após 4 horas de uso.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H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179,90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10.794,00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7</w:t>
            </w:r>
          </w:p>
        </w:tc>
        <w:tc>
          <w:tcPr>
            <w:tcW w:w="4644"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46028 - GERADOR DE 150KVA</w:t>
              <w:br w:type="textWrapping"/>
              <w:t xml:space="preserve">Gerador de 150 kva - 1 a 4 horas de uso.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SER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15</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1.300,00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19.500,00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8</w:t>
            </w:r>
          </w:p>
        </w:tc>
        <w:tc>
          <w:tcPr>
            <w:tcW w:w="4644"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47824 - GERADOR DE 150KVA: Após 4 horas de uso.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H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60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219,90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13.194,00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56.988,00</w:t>
            </w:r>
          </w:p>
        </w:tc>
      </w:tr>
    </w:tbl>
    <w:p>
      <w:r>
        <w:rPr>
          <w:rFonts w:ascii="Bookman Old Style" w:hAnsi="Bookman Old Style" w:cs="Times New Roman"/>
          <w:sz w:val="22"/>
        </w:rPr>
        <w:t xml:space="preserve"/>
      </w:r>
      <w:r>
        <w:rPr>
          <w:rFonts w:ascii="Bookman Old Style" w:hAnsi="Bookman Old Style" w:cs="Times New Roman"/>
          <w:b/>
          <w:sz w:val="22"/>
        </w:rPr>
        <w:t xml:space="preserve">
7408 - CS REI DO PLASTICO LTDA (30.060.599/0001-10)</w:t>
      </w:r>
    </w:p>
    <w:tbl>
      <w:tblPr>
        <w:tblStyle w:val="TableGrid"/>
        <w:tblW w:w="0" w:type="auto"/>
        <w:tblLook w:val="04A0"/>
      </w:tblPr>
      <w:tblGrid>
        <w:gridCol w:w="900"/>
        <w:gridCol w:w="452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48964 - Mesa de plástico em polipropileno, na cor banca, com acabamento brilhoso, medindo 72cm X 70cm X 70cm (AxLxC), que suporte no mínimo 40 kg, monobloco, possibilitando empilhamento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UN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120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120,00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14.400,00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14.400,00</w:t>
            </w:r>
          </w:p>
        </w:tc>
      </w:tr>
    </w:tbl>
    <w:p>
      <w:r>
        <w:rPr>
          <w:rFonts w:ascii="Bookman Old Style" w:hAnsi="Bookman Old Style" w:cs="Times New Roman"/>
          <w:sz w:val="22"/>
        </w:rPr>
        <w:t xml:space="preserve"/>
      </w:r>
      <w:r>
        <w:rPr>
          <w:rFonts w:ascii="Bookman Old Style" w:hAnsi="Bookman Old Style" w:cs="Times New Roman"/>
          <w:b/>
          <w:sz w:val="22"/>
        </w:rPr>
        <w:t xml:space="preserve">
7179 - DESINSETIZADORA NATIONAL PEST CONTROL LTDA (11.200.983/0001-26)</w:t>
      </w:r>
    </w:p>
    <w:tbl>
      <w:tblPr>
        <w:tblStyle w:val="TableGrid"/>
        <w:tblW w:w="0" w:type="auto"/>
        <w:tblLook w:val="04A0"/>
      </w:tblPr>
      <w:tblGrid>
        <w:gridCol w:w="900"/>
        <w:gridCol w:w="452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15</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48970 - EQUIPE DE LIMPEZA</w:t>
              <w:br w:type="textWrapping"/>
              <w:t xml:space="preserve">Contratação de empresa especializada em serviços de limpeza, higienização e desinfecção de ambientes internos e externos, COM FORNECIMENTO de mão de obra, materiais e equipamentos de limpeza. Para atuar antes, durante e pós os eventos municipais. HORA HOMEM/MULHER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HR</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40,00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20.000,00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20.000,00</w:t>
            </w:r>
          </w:p>
        </w:tc>
      </w:tr>
    </w:tbl>
    <w:p>
      <w:r>
        <w:rPr>
          <w:rFonts w:ascii="Bookman Old Style" w:hAnsi="Bookman Old Style" w:cs="Times New Roman"/>
          <w:sz w:val="22"/>
        </w:rPr>
        <w:t xml:space="preserve"/>
      </w:r>
      <w:r>
        <w:rPr>
          <w:rFonts w:ascii="Bookman Old Style" w:hAnsi="Bookman Old Style" w:cs="Times New Roman"/>
          <w:b/>
          <w:sz w:val="22"/>
        </w:rPr>
        <w:t xml:space="preserve">
3008 - JOHN RR SEGURANCA LTDA (14.356.881/0001-92)</w:t>
      </w:r>
    </w:p>
    <w:tbl>
      <w:tblPr>
        <w:tblStyle w:val="TableGrid"/>
        <w:tblW w:w="0" w:type="auto"/>
        <w:tblLook w:val="04A0"/>
      </w:tblPr>
      <w:tblGrid>
        <w:gridCol w:w="900"/>
        <w:gridCol w:w="452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47801 - SEGURANÇA OSTENSIVA INTERNA </w:t>
              <w:br w:type="textWrapping"/>
              <w:t xml:space="preserve">profissional (segurança) de ambos os sexos, fornecendo ainda bastão, (não sendo permitido o uso de armas), detector de metal  portátil tipo bastão para revista e segurança, rádios portáteis de comunicação com fones de ouvido   para comunicação entre os seguranças, 02 lâmpadas negras e carimbos apropriados, apresentando ainda os demais equipamentos exigidos pela legislação. Ficará a contratada responsável pelo controle do acesso do público, revista individual bem como da identificação (ATRAVÉS DE DOCUMENTO COM FOTO) dos menores e controle do acesso dos mesmos com um responsável. A contratada deverá apresentar na contratação autorização de funcionamento e certificado de segurança emitido pela Policia Federal.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H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1.000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56,94</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56.940,00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2</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47802 - SEGURANÇA OSTENSIVA EXTERNA </w:t>
              <w:br w:type="textWrapping"/>
              <w:t xml:space="preserve">profissional (segurança) de ambos os sexos, fornecendo ainda bastão, (não sendo permitido o uso de armas), rádios portáteis de comunicação com fones de ouvido para comunicação entre os seguranças, apresentando ainda os demais equipamentos exigidos pela legislação. Ficará a contratada responsável pela segurança externa (veículos e pessoas) e organização do estacionamento. A contratada deverá apresentar na contratação autorização de funcionamento e certificado de segurança emitido pela Policia Federal.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H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1.000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57,07</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57.070,00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114.010,00</w:t>
            </w:r>
          </w:p>
        </w:tc>
      </w:tr>
    </w:tbl>
    <w:p>
      <w:r>
        <w:rPr>
          <w:rFonts w:ascii="Bookman Old Style" w:hAnsi="Bookman Old Style" w:cs="Times New Roman"/>
          <w:sz w:val="22"/>
        </w:rPr>
        <w:t xml:space="preserve"/>
      </w:r>
      <w:r>
        <w:rPr>
          <w:rFonts w:ascii="Bookman Old Style" w:hAnsi="Bookman Old Style" w:cs="Times New Roman"/>
          <w:b/>
          <w:sz w:val="22"/>
        </w:rPr>
        <w:t xml:space="preserve">
3076 - JOSUEI DEITOS GONZAGA ME (09.187.335/0001-35)</w:t>
      </w:r>
    </w:p>
    <w:tbl>
      <w:tblPr>
        <w:tblStyle w:val="TableGrid"/>
        <w:tblW w:w="0" w:type="auto"/>
        <w:tblLook w:val="04A0"/>
      </w:tblPr>
      <w:tblGrid>
        <w:gridCol w:w="900"/>
        <w:gridCol w:w="4522"/>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Item</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3</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48963 - Prestação de serviços de empresa especializada em locação, instalação e operacionalização de PAINEL DE LED</w:t>
              <w:br w:type="textWrapping"/>
              <w:t xml:space="preserve">para eventos municipais, com aproximadamente 04 (quatro) horas de duração, em locais indicados pela Secretaria, com data e horário a serem definidos na contratação. Painel led P3.9 de alta resolução de 4 X 2 01 vídeo processadora com entradas HDMI, VGA, DVI e coaxial Operador técnico responsável  Instalado em estrutura de treliças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DIA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2.600,00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52.000,00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9</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48965 - SERVIÇOS DE SONORIZAÇÃO DE PEQUENO PORTE para Eventos do Município, sem iluminação,</w:t>
              <w:br w:type="textWrapping"/>
              <w:t xml:space="preserve">contendo no mínimo:  • 01 Mesa de som 08 canais com entradas e saídas balanceadas;  • 04 caixas de som com pedestal 600 watts RMS cada; • 02 microfones sem fio uhf;  • 02 pedestais para microfone;  • 01 notebook para uso de cd e/ou mp3;  • Cabeamento completo para o sistema de sonorização; Amplificação completa conforme a necessidade do sistema de sonorização.  Profissional técnico em áudio deve dar suporte às necessidades do equipamento no decorrer do evento.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DIA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30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1.350,00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40.500,00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10</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48966 - EVENTO MÉDIO PORTE - SEM ILUMINAÇÃO </w:t>
              <w:br w:type="textWrapping"/>
              <w:t xml:space="preserve">Especificações mínimas: 02 Microfones sem fio com banda de frequência UHF ajustável 5 Microfones com fio modelo capusla cardioid ou supercardioide 01 consoles de áudio digital com no mínimo 16 canais de entradas e 6 saídas Sistema de PA com 03 caixas line array com mínimo de 2 falante de 8 polegadas por célula e um drive titânio por lado do palco 3 caixas de subgraves com alto falantes de 18 polegadas, sendo bass reflex mínimo de 2x18, ou em sistema de end fire sendo 2x18 ou 1x18 por caixa em cada lado do palco. 01 rack periférico com 1 processador digital de 6 saídas e no mínimo 3 entradas; 04 monitores de chão com 4 vias individuais ou linkadas conforme necessidade Amplificadores De áudio Digital de no mínimo 4000 watts RMS com sistema de fonte em PFC para suportar variação elétrica.  07 pedestais para microfones, Cabeamento necessário, para microfones e instrumentos. Grid em estrutura de alumínio P30 com medidas mínimas externa de 8x5mt com fixação em parafusos a325, com talhas de no mínimo 1 tonelada Acompanha ART ou RRT Sistema de áudio deve estar alinhado em flat Profissional técnico em áudio deve dar suporte às necessidades do equipamento no decorrer do evento.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DIA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3.525,00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70.500,00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11</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48967 - EVENTO MÉDIO PORTE COM ILUMINAÇÃO</w:t>
              <w:br w:type="textWrapping"/>
              <w:t xml:space="preserve">Especificações mínimas: 02 Microfones sem fio com banda de frequência UHF ajustável 5 Microfones com fio modelo capusla cardioid ou supercardioide 01 consoles de áudio digital com no mínimo 16 canais de entradas e 6 saídas Sistema de PA com 03 caixas line array com mínimo de 2 falante de 8 polegadas por célula e um drive titânio por lado do palco 3 caixas de subgraves com alto falantes de 18 polegadas, sendo bass reflex mínimo de 2x18, ou em sistema de end fire sendo 2x18 ou 1x18 por caixa em cada lado do palco. 01 rack periférico com 1 processador digital de 6 saídas e no mínimo 3 entradas; 04 monitores de chão com 4 vias individuais ou linkadas conforme necessidade Amplificadores De áudio Digital de no mínimo 4000 watts RMS com sistema de fonte em PFC para suportar variação elétrica.  07 pedestais para microfones, Cabeamento necessário, para microfones e instrumentos. Grid em estrutura de alumínio P30 com medidas mínimas externa de 8x5mt com fixação em parafusos a325, com talhas de no mínimo 1 tonelada Iluminação DMX com 4 moving bean 200 5r ou 230 7r + 6 pares led 3 watts; console de iluminação ou sistema de controle por computador Máquina de fumaça; Sistema de iluminação grid e som devem estar aterrados com haste cobreada Acompanha ART ou RRT Sistema de áudio deve estar alinhado em flat Profissional técnico em áudio e iluminação deve dar suporte às necessidades do equipamento no decorrer do evento.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DIA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20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4.000,00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80.000,00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12</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48968 - EVENTO GRANDE PORTE SEM BANDA </w:t>
              <w:br w:type="textWrapping"/>
              <w:t xml:space="preserve">Especificações mínimas:  02 Microfones sem fio com banda de frequência UHF ajustável 10 Microfones com fio modelo capusla cardioid ou supercardioide 01 consoles de áudio digital com no mínimo 32 canais de entradas e 16 saída com mínimo de 6 matrix  Sistema de PA suspenso por talhas de no mínimo 1 tonelada com 04 caixas line array com mínimo de 2 falante de 8 polegadas por célula e um drive titânio por lado do palco 4 caixas de subgraves com alto falantes de 18 polegadas, sendo bass reflex mínimo de 2x18, ou em sistema de end fire sendo 2x18 ou 1x18 por caixa em cada lado do palco. 01 rack periférico contendo 1 processador digital de 6 saídas e no mínimo 3 entradas; 04 monitores de chão com 4 vias individuais ou linkadas conforme necessidade Amplificadores De áudio Digital de no mínimo 4000 watts RMS com sistema de fonte em PFC para suportar variação elétrica. 09 pedestais para microfones, Cabeamento necessário, para microfones e instrumentos. Grid em estrutura de alumínio p30 com medidas mínimas externa de 10x6mt com fixação em parafusos A325, com uma travessa central, com talhas de no mínimo 1 tonelada Iluminação DMX com 6 moving bean 200 5r ou 230 7r + 8 pares led 3 watts; console de iluminação ou sistema de controle por computador Máquina de fumaça; Sistema de iluminação grid e som devem estar aterrados com haste cobreada Acompanha ART ou RRT Sistema de áudio deve estar alinhado em flat Profissional técnico em áudio e iluminação deve dar suporte às necessidades do equipamento no decorrer do evento.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DIA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4.900,00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49.000,00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13</w:t>
            </w:r>
          </w:p>
        </w:tc>
        <w:tc>
          <w:tcPr>
            <w:tcW w:w="4522"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48969 - EVENTO GRANDE PORTE COM BANDA </w:t>
              <w:br w:type="textWrapping"/>
              <w:t xml:space="preserve">Especificações mínimas: 02 Microfones sem fio com banda de frequência UHF ajustável 01 Kit de microfones para bateria com no mínimo 7 peças. 10 Microfones com fio modelo cápsula cardioide ou supercardioide 02 consoles de áudio digital com no mínimo 32 canais de entradas e 16 saída com mínimo de 6 matrix Sistema de PA suspenso por talhas de no mínimo 1 tonelada com 04 caixas line array com mínimo de 2 falante de 8 polegadas por célula e um drive titânio por lado do palco 4 caixas de subgraves com alto falantes de 18 polegadas, sendo bass reflex mínimo de 2x18, ou em sistema de end fire sendo 2x18 ou 1x18 por caixa em cada lado do palco. 01 rack periférico com 1 processador digital de 6 saída e no mínimo 3 entradas; 04 monitores de chão com 4 vias individuais ou linkadas conforme necessidade Cubo de guitarra com cabeçote valvulado, com caixa de 4x12 polegadas Cubo de contrabaixo com cabeçote, e caixa de 4x10 e 1x15 Amplificadores De áudio Digital de no mínimo 4000 watts RMS com sistema de fonte em PFC para suportar variação elétrica. 09 pedestais para microfones, Cabeamento necessário, para microfones e instrumentos. Grid em estrutura de alumínio p30 com medidas mínimas externa de 10x6mt com fixação em parafusos a325, com uma travessa central, com talhas de no mínimo 1 tonelada Iluminação DMX com 10 moving bean 200 5r ou 230 7r + 10 par led 3 watts; console de iluminação ou sistema de controle por computador Máquina de fumaça; Sistema de iluminação grid e som devem estar aterrados com haste cobreada Acompanha ART ou RRT Sistema de áudio deve estar alinhado em flat Profissional técnico em áudio e iluminação deve dar suporte às necessidades do equipamento no decorrer do evento. </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DIA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Bookman Old Style" w:hAnsi="Bookman Old Style" w:cs="Times New Roman"/>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10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5.650,00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56.500,00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Bookman Old Style" w:hAnsi="Bookman Old Style" w:cs="Times New Roman"/>
                <w:sz w:val="22"/>
              </w:rPr>
              <w:t xml:space="preserve"> 348.500,00</w:t>
            </w:r>
          </w:p>
        </w:tc>
      </w:tr>
    </w:tbl>
    <w:p>
      <w:pPr>
        <w:pStyle w:val="Normal"/>
        <w:jc w:val="both"/>
        <w:rPr>
          <w:rFonts w:ascii="Bookman Old Style" w:hAnsi="Bookman Old Style" w:cs="Times New Roman"/>
          <w:sz w:val="22"/>
          <w:szCs w:val="22"/>
        </w:rPr>
      </w:pPr>
      <w:r>
        <w:rPr>
          <w:rFonts w:ascii="Bookman Old Style" w:hAnsi="Bookman Old Style" w:cs="Times New Roman"/>
          <w:sz w:val="22"/>
          <w:szCs w:val="22"/>
        </w:rPr>
      </w:r>
    </w:p>
    <w:p>
      <w:pPr>
        <w:pStyle w:val="Normal"/>
        <w:jc w:val="both"/>
        <w:rPr>
          <w:rFonts w:ascii="Bookman Old Style" w:hAnsi="Bookman Old Style" w:cs="Times New Roman"/>
          <w:sz w:val="22"/>
          <w:szCs w:val="22"/>
        </w:rPr>
      </w:pPr>
      <w:r>
        <w:rPr>
          <w:rFonts w:ascii="Bookman Old Style" w:hAnsi="Bookman Old Style" w:cs="Times New Roman"/>
          <w:sz w:val="22"/>
          <w:szCs w:val="22"/>
        </w:rPr>
      </w:r>
    </w:p>
    <w:p>
      <w:pPr>
        <w:pStyle w:val="Normal"/>
        <w:jc w:val="both"/>
        <w:rPr>
          <w:rFonts w:ascii="Bookman Old Style" w:hAnsi="Bookman Old Style" w:cs="Times New Roman"/>
          <w:sz w:val="22"/>
          <w:szCs w:val="22"/>
        </w:rPr>
      </w:pPr>
      <w:r>
        <w:rPr>
          <w:rFonts w:ascii="Bookman Old Style" w:hAnsi="Bookman Old Style" w:cs="Times New Roman"/>
          <w:sz w:val="22"/>
          <w:szCs w:val="22"/>
        </w:rPr>
      </w:r>
      <w:bookmarkStart w:name="_GoBack" w:id="0"/>
      <w:bookmarkStart w:name="_GoBack" w:id="1"/>
      <w:bookmarkEnd w:id="1"/>
    </w:p>
    <w:p>
      <w:pPr>
        <w:pStyle w:val="Normal"/>
        <w:jc w:val="both"/>
        <w:rPr>
          <w:rFonts w:ascii="Bookman Old Style" w:hAnsi="Bookman Old Style"/>
          <w:sz w:val="22"/>
          <w:szCs w:val="22"/>
        </w:rPr>
      </w:pPr>
      <w:r>
        <w:rPr>
          <w:rFonts w:ascii="Bookman Old Style" w:hAnsi="Bookman Old Style" w:cs="Times New Roman"/>
          <w:sz w:val="22"/>
          <w:szCs w:val="22"/>
        </w:rPr>
        <w:t xml:space="preserve">Irani</w:t>
      </w:r>
      <w:r>
        <w:rPr>
          <w:rFonts w:ascii="Bookman Old Style" w:hAnsi="Bookman Old Style" w:cs="Times New Roman"/>
          <w:sz w:val="22"/>
          <w:szCs w:val="22"/>
        </w:rPr>
        <w:t xml:space="preserve">-</w:t>
      </w:r>
      <w:r>
        <w:rPr>
          <w:rFonts w:ascii="Bookman Old Style" w:hAnsi="Bookman Old Style" w:cs="Times New Roman"/>
          <w:sz w:val="22"/>
          <w:szCs w:val="22"/>
        </w:rPr>
        <w:t xml:space="preserve">SC</w:t>
      </w:r>
      <w:r>
        <w:rPr>
          <w:rFonts w:ascii="Bookman Old Style" w:hAnsi="Bookman Old Style" w:cs="Times New Roman"/>
          <w:sz w:val="22"/>
          <w:szCs w:val="22"/>
        </w:rPr>
        <w:t xml:space="preserve">, </w:t>
      </w:r>
      <w:r>
        <w:rPr>
          <w:rFonts w:ascii="Bookman Old Style" w:hAnsi="Bookman Old Style" w:cs="Times New Roman"/>
          <w:color w:val="00000A"/>
          <w:sz w:val="22"/>
          <w:szCs w:val="22"/>
        </w:rPr>
        <w:t xml:space="preserve">26 de julho de 2024</w:t>
      </w:r>
      <w:r>
        <w:rPr>
          <w:rFonts w:ascii="Bookman Old Style" w:hAnsi="Bookman Old Style" w:cs="Times New Roman"/>
          <w:sz w:val="22"/>
          <w:szCs w:val="22"/>
        </w:rPr>
        <w:t xml:space="preserve">.</w:t>
      </w:r>
    </w:p>
    <w:p>
      <w:pPr>
        <w:pStyle w:val="Normal"/>
        <w:jc w:val="both"/>
        <w:rPr>
          <w:rFonts w:ascii="Bookman Old Style" w:hAnsi="Bookman Old Style" w:cs="Times New Roman"/>
          <w:sz w:val="22"/>
          <w:szCs w:val="22"/>
        </w:rPr>
      </w:pPr>
      <w:r>
        <w:rPr>
          <w:rFonts w:ascii="Bookman Old Style" w:hAnsi="Bookman Old Style" w:cs="Times New Roman"/>
          <w:sz w:val="22"/>
          <w:szCs w:val="22"/>
        </w:rPr>
      </w:r>
    </w:p>
    <w:p>
      <w:pPr>
        <w:pStyle w:val="Normal"/>
        <w:jc w:val="both"/>
        <w:rPr>
          <w:rFonts w:ascii="Bookman Old Style" w:hAnsi="Bookman Old Style" w:cs="Times New Roman"/>
          <w:sz w:val="22"/>
          <w:szCs w:val="22"/>
        </w:rPr>
      </w:pPr>
      <w:r>
        <w:rPr>
          <w:rFonts w:ascii="Bookman Old Style" w:hAnsi="Bookman Old Style" w:cs="Times New Roman"/>
          <w:sz w:val="22"/>
          <w:szCs w:val="22"/>
        </w:rPr>
      </w:r>
    </w:p>
    <w:p>
      <w:pPr>
        <w:pStyle w:val="Normal"/>
        <w:jc w:val="both"/>
        <w:rPr>
          <w:rFonts w:ascii="Bookman Old Style" w:hAnsi="Bookman Old Style" w:cs="Times New Roman"/>
          <w:sz w:val="22"/>
          <w:szCs w:val="22"/>
        </w:rPr>
      </w:pPr>
      <w:r>
        <w:rPr>
          <w:rFonts w:ascii="Bookman Old Style" w:hAnsi="Bookman Old Style" w:cs="Times New Roman"/>
          <w:sz w:val="22"/>
          <w:szCs w:val="22"/>
        </w:rPr>
      </w:r>
    </w:p>
    <w:p>
      <w:pPr>
        <w:pStyle w:val="Normal"/>
        <w:spacing w:before="0" w:after="0" w:line="240" w:lineRule="auto"/>
        <w:contextualSpacing/>
        <w:jc w:val="center"/>
        <w:rPr>
          <w:rFonts w:ascii="Bookman Old Style" w:hAnsi="Bookman Old Style"/>
          <w:sz w:val="22"/>
          <w:szCs w:val="22"/>
        </w:rPr>
      </w:pPr>
      <w:r>
        <w:rPr>
          <w:rFonts w:ascii="Bookman Old Style" w:hAnsi="Bookman Old Style" w:cs="Bookman Old Style"/>
          <w:sz w:val="22"/>
          <w:szCs w:val="22"/>
        </w:rPr>
        <w:t xml:space="preserve">VANDERLEI CANCI</w:t>
      </w:r>
    </w:p>
    <w:p>
      <w:pPr>
        <w:pStyle w:val="Normal"/>
        <w:spacing w:before="0" w:after="0" w:line="240" w:lineRule="auto"/>
        <w:contextualSpacing/>
        <w:jc w:val="center"/>
        <w:rPr>
          <w:rFonts w:ascii="Bookman Old Style" w:hAnsi="Bookman Old Style"/>
          <w:sz w:val="22"/>
          <w:szCs w:val="22"/>
        </w:rPr>
      </w:pPr>
      <w:r>
        <w:rPr>
          <w:rFonts w:ascii="Bookman Old Style" w:hAnsi="Bookman Old Style" w:cs="Bookman Old Style"/>
          <w:sz w:val="22"/>
          <w:szCs w:val="22"/>
        </w:rPr>
        <w:t xml:space="preserve">Prefeito</w:t>
      </w:r>
    </w:p>
    <w:sectPr>
      <w:headerReference w:type="default" r:id="rId2"/>
      <w:footerReference w:type="default" r:id="rId3"/>
      <w:type w:val="nextPage"/>
      <w:pgSz w:w="11906" w:h="16838"/>
      <w:pgMar w:top="1984" w:right="992" w:bottom="907" w:left="992" w:header="283" w:footer="283" w:gutter="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Bookman Old Style">
    <w:charset w:val="00"/>
    <w:family w:val="roman"/>
    <w:pitch w:val="variable"/>
  </w:font>
  <w:font w:name="Poster Bodoni ATT">
    <w:altName w:val="Bookman Old Style"/>
    <w:charset w:val="00"/>
    <w:family w:val="roman"/>
    <w:pitch w:val="variable"/>
  </w:font>
  <w:font w:name="Arial">
    <w:charset w:val="00"/>
    <w:family w:val="roman"/>
    <w:pitch w:val="variable"/>
  </w:font>
</w:fonts>
</file>

<file path=word/footer1.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p>
    <w:pPr>
      <w:pStyle w:val="Rodap"/>
      <w:tabs>
        <w:tab w:val="center" w:leader="none" w:pos="4252"/>
        <w:tab w:val="right" w:leader="none" w:pos="8504"/>
        <w:tab w:val="right" w:leader="none" w:pos="9923"/>
      </w:tabs>
      <w:bidi w:val="false"/>
      <w:jc w:val="left"/>
      <w:rPr>
        <w:lang w:val="pt-BR" w:eastAsia="pt-BR"/>
      </w:rPr>
    </w:pPr>
    <w:r>
      <w:rPr>
        <w:lang w:val="pt-BR" w:eastAsia="pt-BR"/>
      </w:rPr>
      <mc:AlternateContent>
        <mc:Choice Requires="wps">
          <w:drawing>
            <wp:anchor distT="28575" distB="28575" distL="28575" distR="28575" simplePos="false" relativeHeight="2" behindDoc="true" locked="false" layoutInCell="false" allowOverlap="true">
              <wp:simplePos x="0" y="0"/>
              <wp:positionH relativeFrom="column">
                <wp:posOffset>8255</wp:posOffset>
              </wp:positionH>
              <wp:positionV relativeFrom="paragraph">
                <wp:posOffset>63500</wp:posOffset>
              </wp:positionV>
              <wp:extent cx="6500495" cy="1270"/>
              <wp:effectExtent l="0" t="0" r="0" b="0"/>
              <wp:wrapNone/>
              <wp:docPr id="3" name="Figura2"/>
              <a:graphic>
                <a:graphicData uri="http://schemas.microsoft.com/office/word/2010/wordprocessingShape">
                  <wps:wsp>
                    <wps:cNvSpPr/>
                    <wps:spPr>
                      <a:xfrm>
                        <a:off x="0" y="0"/>
                        <a:ext cx="6499800" cy="720"/>
                      </a:xfrm>
                      <a:prstGeom prst="line">
                        <a:avLst/>
                      </a:prstGeom>
                      <a:ln w="57240">
                        <a:solidFill>
                          <a:srgbClr val="000000"/>
                        </a:solidFill>
                        <a:miter/>
                      </a:ln>
                    </wps:spPr>
                    <wps:style>
                      <a:lnRef idx="0"/>
                      <a:fillRef idx="0"/>
                      <a:effectRef idx="0"/>
                      <a:fontRef idx="minor"/>
                    </wps:style>
                    <wps:bodyPr/>
                  </wps:wsp>
                </a:graphicData>
              </a:graphic>
            </wp:anchor>
          </w:drawing>
        </mc:Choice>
        <mc:Fallback>
          <w:pict>
            <v:line from="0.65pt,5pt" to="512.4pt,5pt" style="position:absolute" id="shape_0" o:allowincell="f" stroked="t">
              <v:stroke weight="57240" color="black" joinstyle="miter" endcap="flat"/>
              <v:fill on="false" o:detectmouseclick="t"/>
              <w10:wrap type="none"/>
            </v:line>
          </w:pict>
        </mc:Fallback>
      </mc:AlternateContent>
    </w:r>
  </w:p>
  <w:tbl>
    <w:tblPr>
      <w:tblW w:w="9915" w:type="dxa"/>
      <w:jc w:val="left"/>
      <w:tblInd w:w="55" w:type="dxa"/>
      <w:tblLayout w:type="fixed"/>
      <w:tblCellMar>
        <w:top w:w="55" w:type="dxa"/>
        <w:left w:w="55" w:type="dxa"/>
        <w:bottom w:w="55" w:type="dxa"/>
        <w:right w:w="55" w:type="dxa"/>
      </w:tblCellMar>
    </w:tblPr>
    <w:tblGrid>
      <w:gridCol w:w="9750"/>
      <w:gridCol w:w="165"/>
    </w:tblGrid>
    <w:tr>
      <w:trPr/>
      <w:tc>
        <w:tcPr>
          <w:tcW w:w="9750" w:type="dxa"/>
          <w:tcBorders/>
        </w:tcPr>
        <w:p>
          <w:pPr>
            <w:pStyle w:val="Contedodatabela"/>
            <w:widowControl w:val="false"/>
            <w:jc w:val="center"/>
            <w:rPr>
              <w:rFonts w:ascii="Bookman Old Style" w:hAnsi="Bookman Old Style"/>
              <w:b/>
              <w:bCs/>
              <w:sz w:val="20"/>
              <w:szCs w:val="20"/>
            </w:rPr>
          </w:pPr>
          <w:r>
            <w:rPr>
              <w:rFonts w:ascii="Bookman Old Style" w:hAnsi="Bookman Old Style"/>
              <w:b/>
              <w:bCs/>
              <w:sz w:val="20"/>
              <w:szCs w:val="20"/>
            </w:rPr>
            <w:t xml:space="preserve">Rua Eilirio De Gregori</w:t>
          </w:r>
          <w:r>
            <w:rPr>
              <w:rFonts w:ascii="Bookman Old Style" w:hAnsi="Bookman Old Style"/>
              <w:b/>
              <w:bCs/>
              <w:sz w:val="20"/>
              <w:szCs w:val="20"/>
            </w:rPr>
            <w:t xml:space="preserve">, </w:t>
          </w:r>
          <w:r>
            <w:rPr>
              <w:rFonts w:ascii="Bookman Old Style" w:hAnsi="Bookman Old Style"/>
              <w:b/>
              <w:bCs/>
              <w:sz w:val="20"/>
              <w:szCs w:val="20"/>
            </w:rPr>
            <w:t xml:space="preserve">207</w:t>
          </w:r>
          <w:r>
            <w:rPr>
              <w:rFonts w:ascii="Bookman Old Style" w:hAnsi="Bookman Old Style"/>
              <w:b/>
              <w:bCs/>
              <w:sz w:val="20"/>
              <w:szCs w:val="20"/>
            </w:rPr>
            <w:t xml:space="preserve">, </w:t>
          </w:r>
          <w:r>
            <w:rPr>
              <w:rFonts w:ascii="Bookman Old Style" w:hAnsi="Bookman Old Style"/>
              <w:b/>
              <w:bCs/>
              <w:sz w:val="20"/>
              <w:szCs w:val="20"/>
            </w:rPr>
            <w:t xml:space="preserve">Centro</w:t>
          </w:r>
          <w:r>
            <w:rPr>
              <w:rFonts w:ascii="Bookman Old Style" w:hAnsi="Bookman Old Style"/>
              <w:b/>
              <w:bCs/>
              <w:sz w:val="20"/>
              <w:szCs w:val="20"/>
            </w:rPr>
            <w:t xml:space="preserve">, </w:t>
          </w:r>
          <w:r>
            <w:rPr>
              <w:rFonts w:ascii="Bookman Old Style" w:hAnsi="Bookman Old Style"/>
              <w:b/>
              <w:bCs/>
              <w:sz w:val="20"/>
              <w:szCs w:val="20"/>
            </w:rPr>
            <w:t xml:space="preserve">Irani</w:t>
          </w:r>
          <w:r>
            <w:rPr>
              <w:rFonts w:ascii="Bookman Old Style" w:hAnsi="Bookman Old Style"/>
              <w:b/>
              <w:bCs/>
              <w:sz w:val="20"/>
              <w:szCs w:val="20"/>
            </w:rPr>
            <w:t xml:space="preserve">-</w:t>
          </w:r>
          <w:r>
            <w:rPr>
              <w:rFonts w:ascii="Bookman Old Style" w:hAnsi="Bookman Old Style"/>
              <w:b/>
              <w:bCs/>
              <w:sz w:val="20"/>
              <w:szCs w:val="20"/>
            </w:rPr>
            <w:t xml:space="preserve">SC</w:t>
          </w:r>
          <w:r>
            <w:rPr>
              <w:rFonts w:ascii="Bookman Old Style" w:hAnsi="Bookman Old Style"/>
              <w:b/>
              <w:bCs/>
              <w:sz w:val="20"/>
              <w:szCs w:val="20"/>
            </w:rPr>
            <w:t xml:space="preserve">, CEP </w:t>
          </w:r>
          <w:r>
            <w:rPr>
              <w:rFonts w:ascii="Bookman Old Style" w:hAnsi="Bookman Old Style"/>
              <w:b/>
              <w:bCs/>
              <w:sz w:val="20"/>
              <w:szCs w:val="20"/>
            </w:rPr>
            <w:t xml:space="preserve">89.680-000</w:t>
          </w:r>
        </w:p>
        <w:p>
          <w:pPr>
            <w:pStyle w:val="Contedodatabela"/>
            <w:widowControl w:val="false"/>
            <w:jc w:val="center"/>
            <w:rPr>
              <w:rFonts w:ascii="Bookman Old Style" w:hAnsi="Bookman Old Style"/>
              <w:b/>
              <w:bCs/>
              <w:sz w:val="20"/>
              <w:szCs w:val="20"/>
            </w:rPr>
          </w:pPr>
          <w:r>
            <w:rPr>
              <w:rFonts w:ascii="Bookman Old Style" w:hAnsi="Bookman Old Style"/>
              <w:b/>
              <w:bCs/>
              <w:sz w:val="20"/>
              <w:szCs w:val="20"/>
            </w:rPr>
            <w:t xml:space="preserve">E-mail: licitacao@irani.sc.gov.br | Site: www.irani.sc.gov.br | Fone/Fax: </w:t>
          </w:r>
          <w:r>
            <w:rPr>
              <w:rFonts w:ascii="Bookman Old Style" w:hAnsi="Bookman Old Style"/>
              <w:b/>
              <w:bCs/>
              <w:sz w:val="20"/>
              <w:szCs w:val="20"/>
            </w:rPr>
            <w:t xml:space="preserve">(49) 3432-3200</w:t>
          </w:r>
        </w:p>
      </w:tc>
      <w:tc>
        <w:tcPr>
          <w:tcW w:w="165" w:type="dxa"/>
          <w:tcBorders/>
          <w:vAlign w:val="center"/>
        </w:tcPr>
        <w:p>
          <w:pPr>
            <w:pStyle w:val="Contedodatabela"/>
            <w:widowControl w:val="false"/>
            <w:jc w:val="center"/>
            <w:rPr>
              <w:rFonts w:ascii="Arial" w:hAnsi="Arial"/>
              <w:b w:val="false"/>
              <w:bCs w:val="false"/>
              <w:sz w:val="20"/>
              <w:szCs w:val="20"/>
            </w:rPr>
          </w:pPr>
          <w:r>
            <w:rPr>
              <w:rFonts w:ascii="Arial" w:hAnsi="Arial"/>
              <w:b w:val="false"/>
              <w:bCs w:val="false"/>
              <w:sz w:val="20"/>
              <w:szCs w:val="20"/>
            </w:rPr>
            <w:fldChar w:fldCharType="begin"/>
          </w:r>
          <w:r>
            <w:rPr>
              <w:rFonts w:ascii="Arial" w:hAnsi="Arial"/>
              <w:b w:val="false"/>
              <w:bCs w:val="false"/>
              <w:sz w:val="20"/>
              <w:szCs w:val="20"/>
            </w:rPr>
            <w:instrText> PAGE </w:instrText>
          </w:r>
          <w:r>
            <w:rPr>
              <w:rFonts w:ascii="Arial" w:hAnsi="Arial"/>
              <w:b w:val="false"/>
              <w:bCs w:val="false"/>
              <w:sz w:val="20"/>
              <w:szCs w:val="20"/>
            </w:rPr>
            <w:fldChar w:fldCharType="separate"/>
          </w:r>
          <w:r>
            <w:rPr>
              <w:rFonts w:ascii="Arial" w:hAnsi="Arial"/>
              <w:b w:val="false"/>
              <w:bCs w:val="false"/>
              <w:sz w:val="20"/>
              <w:szCs w:val="20"/>
            </w:rPr>
            <w:t>1</w:t>
          </w:r>
          <w:r>
            <w:rPr>
              <w:rFonts w:ascii="Arial" w:hAnsi="Arial"/>
              <w:b w:val="false"/>
              <w:bCs w:val="false"/>
              <w:sz w:val="20"/>
              <w:szCs w:val="20"/>
            </w:rPr>
            <w:fldChar w:fldCharType="end"/>
          </w:r>
        </w:p>
      </w:tc>
    </w:tr>
  </w:tbl>
  <w:p>
    <w:pPr>
      <w:pStyle w:val="Normal"/>
      <w:rPr/>
    </w:pPr>
    <w:r>
      <w:rPr/>
    </w:r>
  </w:p>
</w:ftr>
</file>

<file path=word/header1.xml><?xml version="1.0" encoding="utf-8"?>
<w:hd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p14">
  <w:p>
    <w:pPr>
      <w:pStyle w:val="Cabealho"/>
      <w:tabs>
        <w:tab w:val="clear" w:pos="4819"/>
        <w:tab w:val="clear" w:pos="9638"/>
        <w:tab w:val="left" w:leader="none" w:pos="1560"/>
        <w:tab w:val="center" w:leader="none" w:pos="4419"/>
        <w:tab w:val="right" w:leader="none" w:pos="8838"/>
      </w:tabs>
      <w:bidi w:val="false"/>
      <w:jc w:val="center"/>
      <w:rPr>
        <w:rFonts w:ascii="Poster Bodoni ATT;Bookman Old Style" w:hAnsi="Poster Bodoni ATT;Bookman Old Style" w:cs="Poster Bodoni ATT;Bookman Old Style"/>
        <w:sz w:val="20"/>
        <w:szCs w:val="20"/>
      </w:rPr>
    </w:pPr>
    <w:r>
      <w:rPr>
        <w:rFonts w:ascii="Poster Bodoni ATT;Bookman Old Style" w:hAnsi="Poster Bodoni ATT;Bookman Old Style" w:cs="Poster Bodoni ATT;Bookman Old Style"/>
        <w:sz w:val="20"/>
        <w:szCs w:val="20"/>
      </w:rPr>
      <w:drawing>
        <wp:anchor distT="0" distB="0" distL="0" distR="0" simplePos="false" relativeHeight="4" behindDoc="true" locked="false" layoutInCell="false" allowOverlap="true">
          <wp:simplePos x="0" y="0"/>
          <wp:positionH relativeFrom="column">
            <wp:posOffset>0</wp:posOffset>
          </wp:positionH>
          <wp:positionV relativeFrom="paragraph">
            <wp:posOffset>-47625</wp:posOffset>
          </wp:positionV>
          <wp:extent cx="910590" cy="899795"/>
          <wp:effectExtent l="0" t="0" r="0" b="0"/>
          <wp:wrapSquare wrapText="largest"/>
          <wp:docPr id="1" name="Figura1" descr=""/>
          <wp:cNvGraphicFramePr>
            <a:graphicFrameLocks noChangeAspect="true"/>
          </wp:cNvGraphicFramePr>
          <a:graphic>
            <a:graphicData uri="http://schemas.openxmlformats.org/drawingml/2006/picture">
              <pic:pic>
                <pic:nvPicPr>
                  <pic:cNvPr id="1" name="Figura1" descr=""/>
                  <pic:cNvPicPr>
                    <a:picLocks noChangeAspect="true" noChangeArrowheads="true"/>
                  </pic:cNvPicPr>
                </pic:nvPicPr>
                <pic:blipFill>
                  <a:blip r:embed="rId1"/>
                  <a:stretch>
                    <a:fillRect/>
                  </a:stretch>
                </pic:blipFill>
                <pic:spPr bwMode="auto">
                  <a:xfrm>
                    <a:off x="0" y="0"/>
                    <a:ext cx="910590" cy="899795"/>
                  </a:xfrm>
                  <a:prstGeom prst="rect">
                    <a:avLst/>
                  </a:prstGeom>
                </pic:spPr>
              </pic:pic>
            </a:graphicData>
          </a:graphic>
        </wp:anchor>
      </w:drawing>
    </w:r>
  </w:p>
  <w:p>
    <w:pPr>
      <w:pStyle w:val="Cabealho"/>
      <w:tabs>
        <w:tab w:val="clear" w:pos="4819"/>
        <w:tab w:val="clear" w:pos="9638"/>
        <w:tab w:val="left" w:leader="none" w:pos="1560"/>
        <w:tab w:val="center" w:leader="none" w:pos="4419"/>
        <w:tab w:val="right" w:leader="none" w:pos="8838"/>
      </w:tabs>
      <w:bidi w:val="false"/>
      <w:jc w:val="center"/>
      <w:rPr/>
    </w:pPr>
    <w:r>
      <w:rPr>
        <w:rFonts w:ascii="Poster Bodoni ATT;Bookman Old Style" w:hAnsi="Poster Bodoni ATT;Bookman Old Style" w:cs="Poster Bodoni ATT;Bookman Old Style"/>
        <w:sz w:val="36"/>
        <w:szCs w:val="36"/>
      </w:rPr>
      <w:tab/>
    </w:r>
    <w:r>
      <w:rPr>
        <w:rFonts w:ascii="Poster Bodoni ATT;Bookman Old Style" w:hAnsi="Poster Bodoni ATT;Bookman Old Style" w:cs="Poster Bodoni ATT;Bookman Old Style"/>
        <w:sz w:val="36"/>
        <w:szCs w:val="36"/>
        <w:lang w:val="pt-BR"/>
      </w:rPr>
      <w:t xml:space="preserve">  </w:t>
    </w:r>
    <w:r>
      <w:rPr>
        <w:rFonts w:ascii="Poster Bodoni ATT;Bookman Old Style" w:hAnsi="Poster Bodoni ATT;Bookman Old Style" w:cs="Poster Bodoni ATT;Bookman Old Style"/>
        <w:b/>
        <w:shadow/>
        <w:sz w:val="36"/>
        <w:szCs w:val="36"/>
      </w:rPr>
      <w:t>ESTADO DE SANTA CATARINA</w:t>
    </w:r>
  </w:p>
  <w:p>
    <w:pPr>
      <w:pStyle w:val="Cabealho"/>
      <w:tabs>
        <w:tab w:val="clear" w:pos="4819"/>
        <w:tab w:val="clear" w:pos="9638"/>
        <w:tab w:val="left" w:leader="none" w:pos="1560"/>
        <w:tab w:val="center" w:leader="none" w:pos="4419"/>
        <w:tab w:val="right" w:leader="none" w:pos="8838"/>
      </w:tabs>
      <w:bidi w:val="false"/>
      <w:jc w:val="center"/>
      <w:rPr/>
    </w:pPr>
    <w:r>
      <w:rPr>
        <w:rFonts w:ascii="Poster Bodoni ATT;Bookman Old Style" w:hAnsi="Poster Bodoni ATT;Bookman Old Style" w:cs="Poster Bodoni ATT;Bookman Old Style"/>
        <w:sz w:val="36"/>
        <w:szCs w:val="36"/>
      </w:rPr>
      <w:tab/>
    </w:r>
    <w:r>
      <w:rPr>
        <w:rFonts w:ascii="Poster Bodoni ATT;Bookman Old Style" w:hAnsi="Poster Bodoni ATT;Bookman Old Style" w:cs="Poster Bodoni ATT;Bookman Old Style"/>
        <w:sz w:val="36"/>
        <w:szCs w:val="36"/>
        <w:lang w:val="pt-BR"/>
      </w:rPr>
      <w:t xml:space="preserve">  </w:t>
    </w:r>
    <w:r>
      <w:rPr>
        <w:rFonts w:ascii="Poster Bodoni ATT;Bookman Old Style" w:hAnsi="Poster Bodoni ATT;Bookman Old Style" w:cs="Poster Bodoni ATT;Bookman Old Style"/>
        <w:b/>
        <w:shadow/>
        <w:sz w:val="36"/>
        <w:szCs w:val="36"/>
      </w:rPr>
      <w:t xml:space="preserve">MUNICÍPIO DE </w:t>
    </w:r>
    <w:r>
      <w:rPr>
        <w:rFonts w:ascii="Poster Bodoni ATT;Bookman Old Style" w:hAnsi="Poster Bodoni ATT;Bookman Old Style" w:eastAsia="SimSun" w:cs="Poster Bodoni ATT;Bookman Old Style"/>
        <w:b/>
        <w:shadow/>
        <w:color w:val="00000A"/>
        <w:kern w:val="2"/>
        <w:sz w:val="36"/>
        <w:szCs w:val="36"/>
        <w:lang w:val="pt-BR" w:eastAsia="zh-CN" w:bidi="hi-IN"/>
      </w:rPr>
      <w:t>IRANI</w:t>
    </w:r>
  </w:p>
  <w:p>
    <w:pPr>
      <w:pStyle w:val="Cabealho"/>
      <w:tabs>
        <w:tab w:val="clear" w:pos="4819"/>
        <w:tab w:val="clear" w:pos="9638"/>
        <w:tab w:val="left" w:leader="none" w:pos="1560"/>
        <w:tab w:val="center" w:leader="none" w:pos="4419"/>
        <w:tab w:val="right" w:leader="none" w:pos="8838"/>
      </w:tabs>
      <w:bidi w:val="false"/>
      <w:jc w:val="center"/>
      <w:rPr>
        <w:rFonts w:ascii="Poster Bodoni ATT;Bookman Old Style" w:hAnsi="Poster Bodoni ATT;Bookman Old Style" w:cs="Poster Bodoni ATT;Bookman Old Style"/>
        <w:sz w:val="20"/>
        <w:szCs w:val="20"/>
      </w:rPr>
    </w:pPr>
    <w:r>
      <w:rPr>
        <w:rFonts w:ascii="Poster Bodoni ATT;Bookman Old Style" w:hAnsi="Poster Bodoni ATT;Bookman Old Style" w:cs="Poster Bodoni ATT;Bookman Old Style"/>
        <w:sz w:val="20"/>
        <w:szCs w:val="20"/>
      </w:rPr>
      <mc:AlternateContent>
        <mc:Choice Requires="wps">
          <w:drawing>
            <wp:anchor distT="28575" distB="28575" distL="28575" distR="28575" simplePos="false" relativeHeight="3" behindDoc="true" locked="false" layoutInCell="false" allowOverlap="true">
              <wp:simplePos x="0" y="0"/>
              <wp:positionH relativeFrom="column">
                <wp:posOffset>739775</wp:posOffset>
              </wp:positionH>
              <wp:positionV relativeFrom="paragraph">
                <wp:posOffset>189865</wp:posOffset>
              </wp:positionV>
              <wp:extent cx="5773420" cy="1270"/>
              <wp:effectExtent l="0" t="0" r="0" b="0"/>
              <wp:wrapNone/>
              <wp:docPr id="2" name="Figura 2"/>
              <a:graphic>
                <a:graphicData uri="http://schemas.microsoft.com/office/word/2010/wordprocessingShape">
                  <wps:wsp>
                    <wps:cNvSpPr/>
                    <wps:spPr>
                      <a:xfrm>
                        <a:off x="0" y="0"/>
                        <a:ext cx="5772960" cy="720"/>
                      </a:xfrm>
                      <a:prstGeom prst="line">
                        <a:avLst/>
                      </a:prstGeom>
                      <a:ln w="57240">
                        <a:solidFill>
                          <a:srgbClr val="000000"/>
                        </a:solidFill>
                        <a:miter/>
                      </a:ln>
                    </wps:spPr>
                    <wps:style>
                      <a:lnRef idx="0"/>
                      <a:fillRef idx="0"/>
                      <a:effectRef idx="0"/>
                      <a:fontRef idx="minor"/>
                    </wps:style>
                    <wps:bodyPr/>
                  </wps:wsp>
                </a:graphicData>
              </a:graphic>
            </wp:anchor>
          </w:drawing>
        </mc:Choice>
        <mc:Fallback>
          <w:pict>
            <v:line from="58.25pt,14.95pt" to="512.75pt,14.95pt" style="position:absolute" id="shape_0" o:allowincell="f" stroked="t">
              <v:stroke weight="57240" color="black" joinstyle="miter" endcap="flat"/>
              <v:fill on="false" o:detectmouseclick="t"/>
              <w10:wrap type="none"/>
            </v:line>
          </w:pict>
        </mc:Fallback>
      </mc:AlternateContent>
    </w:r>
  </w:p>
</w:hdr>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zoom w:percent="100"/>
  <w:defaultTabStop w:val="408"/>
  <w:autoHyphenation w:val="true"/>
  <w:compat>
    <w:compatSetting w:name="compatibilityMode" w:uri="http://schemas.microsoft.com/office/word" w:val="12"/>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Cs w:val="24"/>
        <w:lang w:val="pt-BR"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812bf"/>
    <w:pPr>
      <w:widowControl w:val="false"/>
      <w:suppressAutoHyphens w:val="true"/>
      <w:bidi w:val="0"/>
      <w:spacing w:before="0" w:after="0"/>
      <w:jc w:val="left"/>
    </w:pPr>
    <w:rPr>
      <w:rFonts w:ascii="Liberation Serif" w:hAnsi="Liberation Serif" w:eastAsia="SimSun" w:cs="Mangal"/>
      <w:color w:val="00000A"/>
      <w:kern w:val="0"/>
      <w:sz w:val="24"/>
      <w:szCs w:val="24"/>
      <w:lang w:val="pt-BR" w:eastAsia="zh-CN" w:bidi="hi-IN"/>
    </w:rPr>
  </w:style>
  <w:style w:type="character" w:styleId="DefaultParagraphFont" w:default="1">
    <w:name w:val="Default Paragraph Font"/>
    <w:uiPriority w:val="1"/>
    <w:semiHidden/>
    <w:unhideWhenUsed/>
    <w:qFormat/>
    <w:rPr/>
  </w:style>
  <w:style w:type="character" w:styleId="LinkdaInternet" w:customStyle="1">
    <w:name w:val="Link da Internet"/>
    <w:rsid w:val="006812bf"/>
    <w:rPr>
      <w:color w:val="000080"/>
      <w:u w:val="single"/>
    </w:rPr>
  </w:style>
  <w:style w:type="character" w:styleId="RodapChar" w:customStyle="1">
    <w:name w:val="Rodapé Char"/>
    <w:basedOn w:val="DefaultParagraphFont"/>
    <w:link w:val="Rodap"/>
    <w:uiPriority w:val="99"/>
    <w:qFormat/>
    <w:rsid w:val="00282139"/>
    <w:rPr>
      <w:color w:val="00000A"/>
      <w:sz w:val="24"/>
      <w:szCs w:val="21"/>
    </w:rPr>
  </w:style>
  <w:style w:type="character" w:styleId="CabealhoChar" w:customStyle="1">
    <w:name w:val="Cabeçalho Char"/>
    <w:basedOn w:val="DefaultParagraphFont"/>
    <w:link w:val="Cabealho"/>
    <w:uiPriority w:val="99"/>
    <w:qFormat/>
    <w:rsid w:val="00f51955"/>
    <w:rPr>
      <w:color w:val="00000A"/>
      <w:sz w:val="24"/>
    </w:rPr>
  </w:style>
  <w:style w:type="character" w:styleId="Linkdainternetvisitado">
    <w:name w:val="Link da internet visitado"/>
    <w:rPr>
      <w:color w:val="954F72"/>
      <w:u w:val="single"/>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customStyle="1">
    <w:name w:val="Body Text"/>
    <w:basedOn w:val="Normal"/>
    <w:qFormat/>
    <w:rsid w:val="006812bf"/>
    <w:pPr>
      <w:spacing w:lineRule="auto" w:line="288" w:before="0" w:after="140"/>
    </w:pPr>
    <w:rPr/>
  </w:style>
  <w:style w:type="paragraph" w:styleId="Lista">
    <w:name w:val="List"/>
    <w:basedOn w:val="Normal"/>
    <w:rsid w:val="006812bf"/>
    <w:pPr/>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rsid w:val="006812bf"/>
    <w:pPr>
      <w:suppressLineNumbers/>
    </w:pPr>
    <w:rPr/>
  </w:style>
  <w:style w:type="paragraph" w:styleId="Ttulododocumento">
    <w:name w:val="Title"/>
    <w:basedOn w:val="Normal"/>
    <w:qFormat/>
    <w:rsid w:val="006812bf"/>
    <w:pPr>
      <w:keepNext w:val="true"/>
      <w:spacing w:before="240" w:after="120"/>
    </w:pPr>
    <w:rPr>
      <w:rFonts w:ascii="Liberation Sans" w:hAnsi="Liberation Sans" w:eastAsia="Microsoft YaHei" w:cs="Arial"/>
      <w:sz w:val="28"/>
      <w:szCs w:val="28"/>
    </w:rPr>
  </w:style>
  <w:style w:type="paragraph" w:styleId="Caption">
    <w:name w:val="caption"/>
    <w:basedOn w:val="Normal"/>
    <w:qFormat/>
    <w:rsid w:val="006812bf"/>
    <w:pPr>
      <w:suppressLineNumbers/>
      <w:spacing w:before="120" w:after="120"/>
    </w:pPr>
    <w:rPr>
      <w:i/>
      <w:iCs/>
    </w:rPr>
  </w:style>
  <w:style w:type="paragraph" w:styleId="Ttulo1" w:customStyle="1">
    <w:name w:val="Título1"/>
    <w:basedOn w:val="Normal"/>
    <w:qFormat/>
    <w:rsid w:val="006812bf"/>
    <w:pPr>
      <w:keepNext w:val="true"/>
      <w:spacing w:before="240" w:after="120"/>
    </w:pPr>
    <w:rPr>
      <w:rFonts w:ascii="Liberation Sans" w:hAnsi="Liberation Sans" w:eastAsia="Microsoft YaHei"/>
      <w:sz w:val="28"/>
      <w:szCs w:val="28"/>
    </w:rPr>
  </w:style>
  <w:style w:type="paragraph" w:styleId="CabealhoeRodap">
    <w:name w:val="Cabeçalho e Rodapé"/>
    <w:basedOn w:val="Normal"/>
    <w:qFormat/>
    <w:pPr/>
    <w:rPr/>
  </w:style>
  <w:style w:type="paragraph" w:styleId="Cabealho">
    <w:name w:val="Header"/>
    <w:basedOn w:val="Normal"/>
    <w:link w:val="CabealhoChar"/>
    <w:uiPriority w:val="99"/>
    <w:rsid w:val="006812bf"/>
    <w:pPr>
      <w:suppressLineNumbers/>
      <w:tabs>
        <w:tab w:val="clear" w:pos="408"/>
        <w:tab w:val="center" w:pos="4819" w:leader="none"/>
        <w:tab w:val="right" w:pos="9638" w:leader="none"/>
      </w:tabs>
    </w:pPr>
    <w:rPr/>
  </w:style>
  <w:style w:type="paragraph" w:styleId="Contedodatabela" w:customStyle="1">
    <w:name w:val="Conteúdo da tabela"/>
    <w:basedOn w:val="Normal"/>
    <w:qFormat/>
    <w:rsid w:val="006812bf"/>
    <w:pPr>
      <w:suppressLineNumbers/>
    </w:pPr>
    <w:rPr/>
  </w:style>
  <w:style w:type="paragraph" w:styleId="Ttulodetabela" w:customStyle="1">
    <w:name w:val="Título de tabela"/>
    <w:basedOn w:val="Contedodatabela"/>
    <w:qFormat/>
    <w:rsid w:val="006812bf"/>
    <w:pPr>
      <w:jc w:val="center"/>
    </w:pPr>
    <w:rPr>
      <w:b/>
      <w:bCs/>
    </w:rPr>
  </w:style>
  <w:style w:type="paragraph" w:styleId="Rodap">
    <w:name w:val="Footer"/>
    <w:basedOn w:val="Normal"/>
    <w:link w:val="RodapChar"/>
    <w:uiPriority w:val="99"/>
    <w:unhideWhenUsed/>
    <w:rsid w:val="00282139"/>
    <w:pPr>
      <w:tabs>
        <w:tab w:val="clear" w:pos="408"/>
        <w:tab w:val="center" w:pos="4252" w:leader="none"/>
        <w:tab w:val="right" w:pos="8504" w:leader="none"/>
      </w:tabs>
    </w:pPr>
    <w:rPr>
      <w:szCs w:val="21"/>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header1.xml" Type="http://schemas.openxmlformats.org/officeDocument/2006/relationships/header" Id="rId2"/>
    <Relationship Target="footer1.xml" Type="http://schemas.openxmlformats.org/officeDocument/2006/relationships/footer" Id="rId3"/>
    <Relationship Target="fontTable.xml" Type="http://schemas.openxmlformats.org/officeDocument/2006/relationships/fontTable" Id="rId4"/>
    <Relationship Target="settings.xml" Type="http://schemas.openxmlformats.org/officeDocument/2006/relationships/settings" Id="rId5"/>
    <Relationship Target="theme/theme1.xml" Type="http://schemas.openxmlformats.org/officeDocument/2006/relationships/theme" Id="rId6"/>
</Relationships>

</file>

<file path=word/_rels/header1.xml.rels><?xml version="1.0" encoding="UTF-8" standalone="yes"?>
<Relationships xmlns="http://schemas.openxmlformats.org/package/2006/relationships">
    <Relationship Target="media/image1.wmf"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Application>LibreOffice/7.2.0.4$Windows_X86_64 LibreOffice_project/9a9c6381e3f7a62afc1329bd359cc48accb6435b</Application>
  <AppVersion>15.0000</AppVersion>
  <Pages>1</Pages>
  <Words>41</Words>
  <Characters>770</Characters>
  <CharactersWithSpaces>803</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2019-04-29T12:49:00Z</dcterms:created>
  <dc:creator>licitacaosala</dc:creator>
  <dc:description/>
  <dc:language>pt-BR</dc:language>
  <cp:lastModifiedBy/>
  <dcterms:modified xsi:type="dcterms:W3CDTF">2021-11-17T13:36:59Z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