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153E8" w14:textId="77777777" w:rsidR="00C550F9" w:rsidRPr="00C550F9" w:rsidRDefault="00C550F9" w:rsidP="00C550F9">
      <w:pPr>
        <w:jc w:val="center"/>
        <w:rPr>
          <w:rFonts w:ascii="Times New Roman" w:hAnsi="Times New Roman" w:cs="Times New Roman"/>
          <w:b/>
          <w:bCs/>
        </w:rPr>
      </w:pPr>
      <w:r w:rsidRPr="00C550F9">
        <w:rPr>
          <w:rFonts w:ascii="Times New Roman" w:hAnsi="Times New Roman" w:cs="Times New Roman"/>
          <w:b/>
          <w:bCs/>
        </w:rPr>
        <w:t>MATRIZ DE GERENCIAMENTO DE RISCOS</w:t>
      </w:r>
    </w:p>
    <w:p w14:paraId="2E9FDD77" w14:textId="77777777" w:rsidR="00C550F9" w:rsidRPr="00C550F9" w:rsidRDefault="00C550F9" w:rsidP="00C550F9">
      <w:pPr>
        <w:ind w:right="282"/>
        <w:jc w:val="both"/>
        <w:rPr>
          <w:rFonts w:ascii="Times New Roman" w:hAnsi="Times New Roman" w:cs="Times New Roman"/>
        </w:rPr>
      </w:pPr>
    </w:p>
    <w:p w14:paraId="45FFF825" w14:textId="77777777" w:rsidR="00C550F9" w:rsidRPr="00C550F9" w:rsidRDefault="00C550F9" w:rsidP="00C550F9">
      <w:pPr>
        <w:ind w:right="282"/>
        <w:jc w:val="both"/>
        <w:rPr>
          <w:rFonts w:ascii="Times New Roman" w:hAnsi="Times New Roman" w:cs="Times New Roman"/>
        </w:rPr>
      </w:pPr>
    </w:p>
    <w:p w14:paraId="6B1CEAE2" w14:textId="77777777" w:rsidR="00C550F9" w:rsidRDefault="00C550F9" w:rsidP="00C550F9">
      <w:pPr>
        <w:ind w:right="282"/>
        <w:jc w:val="both"/>
        <w:rPr>
          <w:rFonts w:ascii="Times New Roman" w:hAnsi="Times New Roman" w:cs="Times New Roman"/>
        </w:rPr>
      </w:pPr>
      <w:r w:rsidRPr="00C550F9">
        <w:rPr>
          <w:rFonts w:ascii="Times New Roman" w:hAnsi="Times New Roman" w:cs="Times New Roman"/>
        </w:rPr>
        <w:t>A presente Matriz de Gerenciamento de Riscos tem por finalidade identificar os principais eventos que possam comprometer a adequada execução da contratação, estabelecer medidas preventivas destinadas à redução da probabilidade de sua ocorrência e definir as ações de tratamento dos riscos, subsidiando a atuação do gestor e do fiscal do contrato durante toda a execução contratual.</w:t>
      </w:r>
    </w:p>
    <w:p w14:paraId="6323578F" w14:textId="77777777" w:rsidR="00461D44" w:rsidRDefault="00461D44" w:rsidP="00461D44">
      <w:pPr>
        <w:ind w:right="282"/>
        <w:jc w:val="both"/>
        <w:rPr>
          <w:rFonts w:ascii="Times New Roman" w:hAnsi="Times New Roman" w:cs="Times New Roman"/>
        </w:rPr>
      </w:pPr>
    </w:p>
    <w:p w14:paraId="33170839" w14:textId="77777777" w:rsidR="00461D44" w:rsidRDefault="00461D44" w:rsidP="00461D44">
      <w:pPr>
        <w:ind w:right="282"/>
        <w:jc w:val="both"/>
        <w:rPr>
          <w:rFonts w:ascii="Times New Roman" w:hAnsi="Times New Roman" w:cs="Times New Roman"/>
        </w:rPr>
      </w:pPr>
      <w:r w:rsidRPr="00461D44">
        <w:rPr>
          <w:rFonts w:ascii="Times New Roman" w:hAnsi="Times New Roman" w:cs="Times New Roman"/>
          <w:b/>
          <w:bCs/>
        </w:rPr>
        <w:t>Objeto:</w:t>
      </w:r>
      <w:r w:rsidRPr="00461D44">
        <w:rPr>
          <w:rFonts w:ascii="Times New Roman" w:hAnsi="Times New Roman" w:cs="Times New Roman"/>
        </w:rPr>
        <w:t xml:space="preserve"> Registro de Preços para futura e eventual contratação de empresa especializada na prestação de serviços de locação, montagem e desmontagem de palcos, camarins, tendas, grades de contenção, mesas, cadeiras, grupos geradores e sistemas de sonorização para atendimento dos eventos promovidos pela Administração Pública Municipal, Fundo Municipal de Saúde e Fundação Cultural de São Carlos/SC.</w:t>
      </w:r>
    </w:p>
    <w:p w14:paraId="721A6405" w14:textId="77777777" w:rsidR="006C6E4C" w:rsidRDefault="006C6E4C" w:rsidP="00461D44">
      <w:pPr>
        <w:ind w:right="282"/>
        <w:jc w:val="both"/>
        <w:rPr>
          <w:rFonts w:ascii="Times New Roman" w:hAnsi="Times New Roman" w:cs="Times New Roman"/>
        </w:rPr>
      </w:pPr>
    </w:p>
    <w:p w14:paraId="797C08C7" w14:textId="7D5662DC" w:rsidR="006C6E4C" w:rsidRDefault="006C6E4C" w:rsidP="00461D44">
      <w:pPr>
        <w:ind w:right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Abaixo planilha da matriz de riscos:</w:t>
      </w:r>
    </w:p>
    <w:p w14:paraId="5DE2E1E3" w14:textId="77777777" w:rsidR="00461D44" w:rsidRPr="00461D44" w:rsidRDefault="00461D44" w:rsidP="00461D44">
      <w:pPr>
        <w:ind w:right="282"/>
        <w:jc w:val="both"/>
        <w:rPr>
          <w:rFonts w:ascii="Times New Roman" w:hAnsi="Times New Roman" w:cs="Times New Roman"/>
        </w:rPr>
      </w:pP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406"/>
        <w:gridCol w:w="1963"/>
        <w:gridCol w:w="1303"/>
        <w:gridCol w:w="856"/>
        <w:gridCol w:w="1988"/>
        <w:gridCol w:w="2126"/>
        <w:gridCol w:w="1276"/>
      </w:tblGrid>
      <w:tr w:rsidR="006C6E4C" w:rsidRPr="006C6E4C" w14:paraId="61441F22" w14:textId="77777777" w:rsidTr="006C6E4C">
        <w:tc>
          <w:tcPr>
            <w:tcW w:w="0" w:type="auto"/>
            <w:hideMark/>
          </w:tcPr>
          <w:p w14:paraId="123FA9DE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b/>
                <w:sz w:val="18"/>
                <w:szCs w:val="18"/>
              </w:rPr>
              <w:t>Nº</w:t>
            </w:r>
          </w:p>
        </w:tc>
        <w:tc>
          <w:tcPr>
            <w:tcW w:w="1963" w:type="dxa"/>
            <w:hideMark/>
          </w:tcPr>
          <w:p w14:paraId="2F645C87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b/>
                <w:sz w:val="18"/>
                <w:szCs w:val="18"/>
              </w:rPr>
              <w:t>Evento de Risco</w:t>
            </w:r>
          </w:p>
        </w:tc>
        <w:tc>
          <w:tcPr>
            <w:tcW w:w="1303" w:type="dxa"/>
            <w:hideMark/>
          </w:tcPr>
          <w:p w14:paraId="383E6755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b/>
                <w:sz w:val="18"/>
                <w:szCs w:val="18"/>
              </w:rPr>
              <w:t>Probabilidade</w:t>
            </w:r>
          </w:p>
        </w:tc>
        <w:tc>
          <w:tcPr>
            <w:tcW w:w="0" w:type="auto"/>
            <w:hideMark/>
          </w:tcPr>
          <w:p w14:paraId="4D0EFBE0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b/>
                <w:sz w:val="18"/>
                <w:szCs w:val="18"/>
              </w:rPr>
              <w:t>Impacto</w:t>
            </w:r>
          </w:p>
        </w:tc>
        <w:tc>
          <w:tcPr>
            <w:tcW w:w="1988" w:type="dxa"/>
            <w:hideMark/>
          </w:tcPr>
          <w:p w14:paraId="52E18B9A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b/>
                <w:sz w:val="18"/>
                <w:szCs w:val="18"/>
              </w:rPr>
              <w:t>Medidas Preventivas</w:t>
            </w:r>
          </w:p>
        </w:tc>
        <w:tc>
          <w:tcPr>
            <w:tcW w:w="2126" w:type="dxa"/>
            <w:hideMark/>
          </w:tcPr>
          <w:p w14:paraId="31B57ADF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b/>
                <w:sz w:val="18"/>
                <w:szCs w:val="18"/>
              </w:rPr>
              <w:t>Plano de Contingência</w:t>
            </w:r>
          </w:p>
        </w:tc>
        <w:tc>
          <w:tcPr>
            <w:tcW w:w="1276" w:type="dxa"/>
            <w:hideMark/>
          </w:tcPr>
          <w:p w14:paraId="1A379461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b/>
                <w:sz w:val="18"/>
                <w:szCs w:val="18"/>
              </w:rPr>
              <w:t>Responsável</w:t>
            </w:r>
            <w:bookmarkStart w:id="0" w:name="_GoBack"/>
            <w:bookmarkEnd w:id="0"/>
          </w:p>
        </w:tc>
      </w:tr>
      <w:tr w:rsidR="006C6E4C" w:rsidRPr="006C6E4C" w14:paraId="09CF89BC" w14:textId="77777777" w:rsidTr="006C6E4C">
        <w:tc>
          <w:tcPr>
            <w:tcW w:w="0" w:type="auto"/>
            <w:hideMark/>
          </w:tcPr>
          <w:p w14:paraId="0D6B49A6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63" w:type="dxa"/>
            <w:hideMark/>
          </w:tcPr>
          <w:p w14:paraId="67F5272A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Atraso na montagem das estruturas, comprometendo o cronograma do evento.</w:t>
            </w:r>
          </w:p>
        </w:tc>
        <w:tc>
          <w:tcPr>
            <w:tcW w:w="1303" w:type="dxa"/>
            <w:hideMark/>
          </w:tcPr>
          <w:p w14:paraId="42EC697F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0" w:type="auto"/>
            <w:hideMark/>
          </w:tcPr>
          <w:p w14:paraId="029814EB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1F671E71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Definição prévia dos prazos na Ordem de Serviço e acompanhamento da fiscalização.</w:t>
            </w:r>
          </w:p>
        </w:tc>
        <w:tc>
          <w:tcPr>
            <w:tcW w:w="2126" w:type="dxa"/>
            <w:hideMark/>
          </w:tcPr>
          <w:p w14:paraId="520788D4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Notificar a contratada, aplicar as sanções cabíveis e readequar o cronograma do evento, quando possível.</w:t>
            </w:r>
          </w:p>
        </w:tc>
        <w:tc>
          <w:tcPr>
            <w:tcW w:w="1276" w:type="dxa"/>
            <w:hideMark/>
          </w:tcPr>
          <w:p w14:paraId="06190B34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</w:tr>
      <w:tr w:rsidR="006C6E4C" w:rsidRPr="006C6E4C" w14:paraId="6E48EF24" w14:textId="77777777" w:rsidTr="006C6E4C">
        <w:tc>
          <w:tcPr>
            <w:tcW w:w="0" w:type="auto"/>
            <w:hideMark/>
          </w:tcPr>
          <w:p w14:paraId="79E39B7A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63" w:type="dxa"/>
            <w:hideMark/>
          </w:tcPr>
          <w:p w14:paraId="2BD0A1A4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Equipamentos ou estruturas apresentarem defeitos ou não atenderem às especificações técnicas.</w:t>
            </w:r>
          </w:p>
        </w:tc>
        <w:tc>
          <w:tcPr>
            <w:tcW w:w="1303" w:type="dxa"/>
            <w:hideMark/>
          </w:tcPr>
          <w:p w14:paraId="7DD5D00A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0E9B0A12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6CDE0085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Exigir equipamentos em perfeito estado, realizar testes prévios e fiscalização da montagem.</w:t>
            </w:r>
          </w:p>
        </w:tc>
        <w:tc>
          <w:tcPr>
            <w:tcW w:w="2126" w:type="dxa"/>
            <w:hideMark/>
          </w:tcPr>
          <w:p w14:paraId="1BC6E00F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Substituição imediata dos equipamentos ou estruturas pela contratada, sem ônus para a Administração.</w:t>
            </w:r>
          </w:p>
        </w:tc>
        <w:tc>
          <w:tcPr>
            <w:tcW w:w="1276" w:type="dxa"/>
            <w:hideMark/>
          </w:tcPr>
          <w:p w14:paraId="378E6F19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</w:tr>
      <w:tr w:rsidR="006C6E4C" w:rsidRPr="006C6E4C" w14:paraId="4517E037" w14:textId="77777777" w:rsidTr="006C6E4C">
        <w:tc>
          <w:tcPr>
            <w:tcW w:w="0" w:type="auto"/>
            <w:hideMark/>
          </w:tcPr>
          <w:p w14:paraId="7F0B28D7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963" w:type="dxa"/>
            <w:hideMark/>
          </w:tcPr>
          <w:p w14:paraId="6A2ACE8B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Ausência ou irregularidade da documentação técnica obrigatória (ART, RRT, laudos e certificados).</w:t>
            </w:r>
          </w:p>
        </w:tc>
        <w:tc>
          <w:tcPr>
            <w:tcW w:w="1303" w:type="dxa"/>
            <w:hideMark/>
          </w:tcPr>
          <w:p w14:paraId="07428FE1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1F965500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6547A58F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Conferência da documentação antes da montagem.</w:t>
            </w:r>
          </w:p>
        </w:tc>
        <w:tc>
          <w:tcPr>
            <w:tcW w:w="2126" w:type="dxa"/>
            <w:hideMark/>
          </w:tcPr>
          <w:p w14:paraId="08A74082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Impedir o início da execução até a regularização documental e aplicar as penalidades cabíveis.</w:t>
            </w:r>
          </w:p>
        </w:tc>
        <w:tc>
          <w:tcPr>
            <w:tcW w:w="1276" w:type="dxa"/>
            <w:hideMark/>
          </w:tcPr>
          <w:p w14:paraId="136281BD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</w:tr>
      <w:tr w:rsidR="006C6E4C" w:rsidRPr="006C6E4C" w14:paraId="07BA2366" w14:textId="77777777" w:rsidTr="006C6E4C">
        <w:tc>
          <w:tcPr>
            <w:tcW w:w="0" w:type="auto"/>
            <w:hideMark/>
          </w:tcPr>
          <w:p w14:paraId="40016C6E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63" w:type="dxa"/>
            <w:hideMark/>
          </w:tcPr>
          <w:p w14:paraId="11A9989F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Acidentes decorrentes de falhas na montagem, operação ou desmontagem das estruturas.</w:t>
            </w:r>
          </w:p>
        </w:tc>
        <w:tc>
          <w:tcPr>
            <w:tcW w:w="1303" w:type="dxa"/>
            <w:hideMark/>
          </w:tcPr>
          <w:p w14:paraId="3250CB61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609703E1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1C7CBF0F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Exigir responsável técnico habilitado e cumprimento das normas da ABNT, Corpo de Bombeiros e Normas Regulamentadoras.</w:t>
            </w:r>
          </w:p>
        </w:tc>
        <w:tc>
          <w:tcPr>
            <w:tcW w:w="2126" w:type="dxa"/>
            <w:hideMark/>
          </w:tcPr>
          <w:p w14:paraId="78BA60A3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Interditar a estrutura, adotar medidas emergenciais e responsabilizar a contratada pelos danos causados.</w:t>
            </w:r>
          </w:p>
        </w:tc>
        <w:tc>
          <w:tcPr>
            <w:tcW w:w="1276" w:type="dxa"/>
            <w:hideMark/>
          </w:tcPr>
          <w:p w14:paraId="211A4447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</w:tr>
      <w:tr w:rsidR="006C6E4C" w:rsidRPr="006C6E4C" w14:paraId="4D9E0BDF" w14:textId="77777777" w:rsidTr="006C6E4C">
        <w:tc>
          <w:tcPr>
            <w:tcW w:w="0" w:type="auto"/>
            <w:hideMark/>
          </w:tcPr>
          <w:p w14:paraId="0AECBE19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63" w:type="dxa"/>
            <w:hideMark/>
          </w:tcPr>
          <w:p w14:paraId="374587D8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Interrupção do fornecimento de energia durante o evento por falha do grupo gerador.</w:t>
            </w:r>
          </w:p>
        </w:tc>
        <w:tc>
          <w:tcPr>
            <w:tcW w:w="1303" w:type="dxa"/>
            <w:hideMark/>
          </w:tcPr>
          <w:p w14:paraId="01793D3E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232F29D9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636537C2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Testes prévios, manutenção preventiva e operador disponível durante todo o evento.</w:t>
            </w:r>
          </w:p>
        </w:tc>
        <w:tc>
          <w:tcPr>
            <w:tcW w:w="2126" w:type="dxa"/>
            <w:hideMark/>
          </w:tcPr>
          <w:p w14:paraId="3D18EF39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Reparo imediato ou substituição do equipamento pela contratada.</w:t>
            </w:r>
          </w:p>
        </w:tc>
        <w:tc>
          <w:tcPr>
            <w:tcW w:w="1276" w:type="dxa"/>
            <w:hideMark/>
          </w:tcPr>
          <w:p w14:paraId="009E227F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</w:tr>
      <w:tr w:rsidR="006C6E4C" w:rsidRPr="006C6E4C" w14:paraId="5781FA27" w14:textId="77777777" w:rsidTr="006C6E4C">
        <w:tc>
          <w:tcPr>
            <w:tcW w:w="0" w:type="auto"/>
            <w:hideMark/>
          </w:tcPr>
          <w:p w14:paraId="433A4A85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1963" w:type="dxa"/>
            <w:hideMark/>
          </w:tcPr>
          <w:p w14:paraId="2E49B3D3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Condições climáticas adversas comprometerem a utilização das estruturas temporárias.</w:t>
            </w:r>
          </w:p>
        </w:tc>
        <w:tc>
          <w:tcPr>
            <w:tcW w:w="1303" w:type="dxa"/>
            <w:hideMark/>
          </w:tcPr>
          <w:p w14:paraId="5C846185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0" w:type="auto"/>
            <w:hideMark/>
          </w:tcPr>
          <w:p w14:paraId="5D9E0A2D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12F9388B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Utilização de estruturas adequadas e corretamente ancoradas.</w:t>
            </w:r>
          </w:p>
        </w:tc>
        <w:tc>
          <w:tcPr>
            <w:tcW w:w="2126" w:type="dxa"/>
            <w:hideMark/>
          </w:tcPr>
          <w:p w14:paraId="7DFAD7F3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Suspensão temporária das atividades, reforço das estruturas ou remanejamento do evento, conforme avaliação da Administração.</w:t>
            </w:r>
          </w:p>
        </w:tc>
        <w:tc>
          <w:tcPr>
            <w:tcW w:w="1276" w:type="dxa"/>
            <w:hideMark/>
          </w:tcPr>
          <w:p w14:paraId="1B3B92F8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Administração / Contratada</w:t>
            </w:r>
          </w:p>
        </w:tc>
      </w:tr>
      <w:tr w:rsidR="006C6E4C" w:rsidRPr="006C6E4C" w14:paraId="5F2D854F" w14:textId="77777777" w:rsidTr="006C6E4C">
        <w:tc>
          <w:tcPr>
            <w:tcW w:w="0" w:type="auto"/>
            <w:hideMark/>
          </w:tcPr>
          <w:p w14:paraId="30667DA4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963" w:type="dxa"/>
            <w:hideMark/>
          </w:tcPr>
          <w:p w14:paraId="66EEBD64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Descumprimento das obrigações contratuais pela contratada durante a execução dos serviços.</w:t>
            </w:r>
          </w:p>
        </w:tc>
        <w:tc>
          <w:tcPr>
            <w:tcW w:w="1303" w:type="dxa"/>
            <w:hideMark/>
          </w:tcPr>
          <w:p w14:paraId="6FE483BC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2C9EBE68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60FB600A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Fiscalização contínua e acompanhamento da execução contratual.</w:t>
            </w:r>
          </w:p>
        </w:tc>
        <w:tc>
          <w:tcPr>
            <w:tcW w:w="2126" w:type="dxa"/>
            <w:hideMark/>
          </w:tcPr>
          <w:p w14:paraId="26A04BAE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Aplicação das sanções administrativas, glosa dos serviços e demais medidas previstas na legislação e no contrato.</w:t>
            </w:r>
          </w:p>
        </w:tc>
        <w:tc>
          <w:tcPr>
            <w:tcW w:w="1276" w:type="dxa"/>
            <w:hideMark/>
          </w:tcPr>
          <w:p w14:paraId="6E842933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</w:tr>
      <w:tr w:rsidR="006C6E4C" w:rsidRPr="006C6E4C" w14:paraId="304ABAC6" w14:textId="77777777" w:rsidTr="006C6E4C">
        <w:tc>
          <w:tcPr>
            <w:tcW w:w="0" w:type="auto"/>
            <w:hideMark/>
          </w:tcPr>
          <w:p w14:paraId="7060043C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1963" w:type="dxa"/>
            <w:hideMark/>
          </w:tcPr>
          <w:p w14:paraId="2E8F5826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Danos ao patrimônio público durante a montagem ou desmontagem das estruturas.</w:t>
            </w:r>
          </w:p>
        </w:tc>
        <w:tc>
          <w:tcPr>
            <w:tcW w:w="1303" w:type="dxa"/>
            <w:hideMark/>
          </w:tcPr>
          <w:p w14:paraId="4C358870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3CC01A56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988" w:type="dxa"/>
            <w:hideMark/>
          </w:tcPr>
          <w:p w14:paraId="30BF336E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Definição prévia dos locais de instalação e acompanhamento da fiscalização.</w:t>
            </w:r>
          </w:p>
        </w:tc>
        <w:tc>
          <w:tcPr>
            <w:tcW w:w="2126" w:type="dxa"/>
            <w:hideMark/>
          </w:tcPr>
          <w:p w14:paraId="3224C2CD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Reparação integral dos danos pela contratada, sem prejuízo das demais sanções legais.</w:t>
            </w:r>
          </w:p>
        </w:tc>
        <w:tc>
          <w:tcPr>
            <w:tcW w:w="1276" w:type="dxa"/>
            <w:hideMark/>
          </w:tcPr>
          <w:p w14:paraId="47520305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</w:tr>
      <w:tr w:rsidR="006C6E4C" w:rsidRPr="006C6E4C" w14:paraId="6D76CCC9" w14:textId="77777777" w:rsidTr="006C6E4C">
        <w:tc>
          <w:tcPr>
            <w:tcW w:w="0" w:type="auto"/>
            <w:hideMark/>
          </w:tcPr>
          <w:p w14:paraId="3DEBFD3F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</w:t>
            </w:r>
          </w:p>
        </w:tc>
        <w:tc>
          <w:tcPr>
            <w:tcW w:w="1963" w:type="dxa"/>
            <w:hideMark/>
          </w:tcPr>
          <w:p w14:paraId="215F2006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Alteração da data, horário ou local do evento após a emissão da Ordem de Serviço.</w:t>
            </w:r>
          </w:p>
        </w:tc>
        <w:tc>
          <w:tcPr>
            <w:tcW w:w="1303" w:type="dxa"/>
            <w:hideMark/>
          </w:tcPr>
          <w:p w14:paraId="595C3A41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0" w:type="auto"/>
            <w:hideMark/>
          </w:tcPr>
          <w:p w14:paraId="4233B2AB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988" w:type="dxa"/>
            <w:hideMark/>
          </w:tcPr>
          <w:p w14:paraId="545A28E8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Planejamento prévio e confirmação da programação antes da emissão da Ordem de Serviço.</w:t>
            </w:r>
          </w:p>
        </w:tc>
        <w:tc>
          <w:tcPr>
            <w:tcW w:w="2126" w:type="dxa"/>
            <w:hideMark/>
          </w:tcPr>
          <w:p w14:paraId="21E01D81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Comunicação imediata à contratada e readequação do cronograma, observadas as condições contratuais.</w:t>
            </w:r>
          </w:p>
        </w:tc>
        <w:tc>
          <w:tcPr>
            <w:tcW w:w="1276" w:type="dxa"/>
            <w:hideMark/>
          </w:tcPr>
          <w:p w14:paraId="2DD8B3CF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Administração</w:t>
            </w:r>
          </w:p>
        </w:tc>
      </w:tr>
      <w:tr w:rsidR="006C6E4C" w:rsidRPr="006C6E4C" w14:paraId="264ED675" w14:textId="77777777" w:rsidTr="006C6E4C">
        <w:tc>
          <w:tcPr>
            <w:tcW w:w="0" w:type="auto"/>
            <w:hideMark/>
          </w:tcPr>
          <w:p w14:paraId="019B2AE4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63" w:type="dxa"/>
            <w:hideMark/>
          </w:tcPr>
          <w:p w14:paraId="38C927A6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Definição incorreta ou insuficiente dos quantitativos necessários para o evento.</w:t>
            </w:r>
          </w:p>
        </w:tc>
        <w:tc>
          <w:tcPr>
            <w:tcW w:w="1303" w:type="dxa"/>
            <w:hideMark/>
          </w:tcPr>
          <w:p w14:paraId="1802D556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0" w:type="auto"/>
            <w:hideMark/>
          </w:tcPr>
          <w:p w14:paraId="3FBF14DE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988" w:type="dxa"/>
            <w:hideMark/>
          </w:tcPr>
          <w:p w14:paraId="20904D36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Levantamento prévio das necessidades pela secretaria requisitante e conferência antes da solicitação.</w:t>
            </w:r>
          </w:p>
        </w:tc>
        <w:tc>
          <w:tcPr>
            <w:tcW w:w="2126" w:type="dxa"/>
            <w:hideMark/>
          </w:tcPr>
          <w:p w14:paraId="5AEECBCF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Adequação das quantidades nas solicitações futuras ou complementação da estrutura, quando contratualmente possível.</w:t>
            </w:r>
          </w:p>
        </w:tc>
        <w:tc>
          <w:tcPr>
            <w:tcW w:w="1276" w:type="dxa"/>
            <w:hideMark/>
          </w:tcPr>
          <w:p w14:paraId="160DB113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Administração</w:t>
            </w:r>
          </w:p>
        </w:tc>
      </w:tr>
      <w:tr w:rsidR="006C6E4C" w:rsidRPr="006C6E4C" w14:paraId="289D5064" w14:textId="77777777" w:rsidTr="006C6E4C">
        <w:tc>
          <w:tcPr>
            <w:tcW w:w="0" w:type="auto"/>
            <w:hideMark/>
          </w:tcPr>
          <w:p w14:paraId="398614F4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63" w:type="dxa"/>
            <w:hideMark/>
          </w:tcPr>
          <w:p w14:paraId="67DEB54C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Atraso na emissão da Ordem de Serviço, comprometendo a mobilização da contratada.</w:t>
            </w:r>
          </w:p>
        </w:tc>
        <w:tc>
          <w:tcPr>
            <w:tcW w:w="1303" w:type="dxa"/>
            <w:hideMark/>
          </w:tcPr>
          <w:p w14:paraId="65DE0A96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1248FE80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15583E75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Planejamento antecipado e emissão tempestiva da Ordem de Serviço.</w:t>
            </w:r>
          </w:p>
        </w:tc>
        <w:tc>
          <w:tcPr>
            <w:tcW w:w="2126" w:type="dxa"/>
            <w:hideMark/>
          </w:tcPr>
          <w:p w14:paraId="7560CCB1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Readequação dos prazos de execução ou remanejamento da programação do evento, quando viável.</w:t>
            </w:r>
          </w:p>
        </w:tc>
        <w:tc>
          <w:tcPr>
            <w:tcW w:w="1276" w:type="dxa"/>
            <w:hideMark/>
          </w:tcPr>
          <w:p w14:paraId="1D99995D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Administração</w:t>
            </w:r>
          </w:p>
        </w:tc>
      </w:tr>
      <w:tr w:rsidR="006C6E4C" w:rsidRPr="006C6E4C" w14:paraId="7187B976" w14:textId="77777777" w:rsidTr="006C6E4C">
        <w:tc>
          <w:tcPr>
            <w:tcW w:w="0" w:type="auto"/>
            <w:hideMark/>
          </w:tcPr>
          <w:p w14:paraId="3621CA5F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63" w:type="dxa"/>
            <w:hideMark/>
          </w:tcPr>
          <w:p w14:paraId="495D6146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Indisponibilidade ou inadequação do local destinado à montagem das estruturas.</w:t>
            </w:r>
          </w:p>
        </w:tc>
        <w:tc>
          <w:tcPr>
            <w:tcW w:w="1303" w:type="dxa"/>
            <w:hideMark/>
          </w:tcPr>
          <w:p w14:paraId="1E698E34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52811736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3D6466E8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Verificação prévia das condições do local, incluindo acesso, espaço físico, energia elétrica e segurança.</w:t>
            </w:r>
          </w:p>
        </w:tc>
        <w:tc>
          <w:tcPr>
            <w:tcW w:w="2126" w:type="dxa"/>
            <w:hideMark/>
          </w:tcPr>
          <w:p w14:paraId="4FCCA886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Definição de local alternativo ou adequação da área antes do início da montagem.</w:t>
            </w:r>
          </w:p>
        </w:tc>
        <w:tc>
          <w:tcPr>
            <w:tcW w:w="1276" w:type="dxa"/>
            <w:hideMark/>
          </w:tcPr>
          <w:p w14:paraId="7969F923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Administração</w:t>
            </w:r>
          </w:p>
        </w:tc>
      </w:tr>
      <w:tr w:rsidR="006C6E4C" w:rsidRPr="006C6E4C" w14:paraId="6F4F0FFB" w14:textId="77777777" w:rsidTr="006C6E4C">
        <w:tc>
          <w:tcPr>
            <w:tcW w:w="0" w:type="auto"/>
            <w:hideMark/>
          </w:tcPr>
          <w:p w14:paraId="7EE2C68B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63" w:type="dxa"/>
            <w:hideMark/>
          </w:tcPr>
          <w:p w14:paraId="5CE7CB3D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Falhas na fiscalização ou no acompanhamento da execução contratual.</w:t>
            </w:r>
          </w:p>
        </w:tc>
        <w:tc>
          <w:tcPr>
            <w:tcW w:w="1303" w:type="dxa"/>
            <w:hideMark/>
          </w:tcPr>
          <w:p w14:paraId="436CD008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407599D3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988" w:type="dxa"/>
            <w:hideMark/>
          </w:tcPr>
          <w:p w14:paraId="7A9B0219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 xml:space="preserve">Designação formal de gestor e fiscal capacitados e utilização de </w:t>
            </w:r>
            <w:proofErr w:type="spellStart"/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checklist</w:t>
            </w:r>
            <w:proofErr w:type="spellEnd"/>
            <w:r w:rsidRPr="006C6E4C">
              <w:rPr>
                <w:rFonts w:ascii="Times New Roman" w:hAnsi="Times New Roman" w:cs="Times New Roman"/>
                <w:sz w:val="18"/>
                <w:szCs w:val="18"/>
              </w:rPr>
              <w:t xml:space="preserve"> de fiscalização.</w:t>
            </w:r>
          </w:p>
        </w:tc>
        <w:tc>
          <w:tcPr>
            <w:tcW w:w="2126" w:type="dxa"/>
            <w:hideMark/>
          </w:tcPr>
          <w:p w14:paraId="27AC801B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Reforço da fiscalização, regularização das falhas identificadas e adoção das providências administrativas cabíveis.</w:t>
            </w:r>
          </w:p>
        </w:tc>
        <w:tc>
          <w:tcPr>
            <w:tcW w:w="1276" w:type="dxa"/>
            <w:hideMark/>
          </w:tcPr>
          <w:p w14:paraId="1FBB4B93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Administração</w:t>
            </w:r>
          </w:p>
        </w:tc>
      </w:tr>
      <w:tr w:rsidR="006C6E4C" w:rsidRPr="006C6E4C" w14:paraId="3DE65171" w14:textId="77777777" w:rsidTr="006C6E4C">
        <w:tc>
          <w:tcPr>
            <w:tcW w:w="0" w:type="auto"/>
            <w:hideMark/>
          </w:tcPr>
          <w:p w14:paraId="4724F842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963" w:type="dxa"/>
            <w:hideMark/>
          </w:tcPr>
          <w:p w14:paraId="7054E15A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Cancelamento do evento por motivo de interesse público ou caso fortuito/força maior.</w:t>
            </w:r>
          </w:p>
        </w:tc>
        <w:tc>
          <w:tcPr>
            <w:tcW w:w="1303" w:type="dxa"/>
            <w:hideMark/>
          </w:tcPr>
          <w:p w14:paraId="035630AF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1C966E23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988" w:type="dxa"/>
            <w:hideMark/>
          </w:tcPr>
          <w:p w14:paraId="520BEFE8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Planejamento e confirmação da realização do evento antes da emissão da Ordem de Serviço.</w:t>
            </w:r>
          </w:p>
        </w:tc>
        <w:tc>
          <w:tcPr>
            <w:tcW w:w="2126" w:type="dxa"/>
            <w:hideMark/>
          </w:tcPr>
          <w:p w14:paraId="2EFF8427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Cancelamento ou reprogramação da execução, observadas as disposições do edital e da Ata de Registro de Preços.</w:t>
            </w:r>
          </w:p>
        </w:tc>
        <w:tc>
          <w:tcPr>
            <w:tcW w:w="1276" w:type="dxa"/>
            <w:hideMark/>
          </w:tcPr>
          <w:p w14:paraId="1B7DA316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Administração</w:t>
            </w:r>
          </w:p>
        </w:tc>
      </w:tr>
      <w:tr w:rsidR="006C6E4C" w:rsidRPr="006C6E4C" w14:paraId="54236D1C" w14:textId="77777777" w:rsidTr="006C6E4C">
        <w:tc>
          <w:tcPr>
            <w:tcW w:w="0" w:type="auto"/>
            <w:hideMark/>
          </w:tcPr>
          <w:p w14:paraId="47CF3CB5" w14:textId="77777777" w:rsidR="006C6E4C" w:rsidRPr="006C6E4C" w:rsidRDefault="006C6E4C" w:rsidP="006C6E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963" w:type="dxa"/>
            <w:hideMark/>
          </w:tcPr>
          <w:p w14:paraId="7458D1BA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Insuficiência de recursos orçamentários ou financeiros para atendimento da demanda planejada.</w:t>
            </w:r>
          </w:p>
        </w:tc>
        <w:tc>
          <w:tcPr>
            <w:tcW w:w="1303" w:type="dxa"/>
            <w:hideMark/>
          </w:tcPr>
          <w:p w14:paraId="0E72D4F1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0" w:type="auto"/>
            <w:hideMark/>
          </w:tcPr>
          <w:p w14:paraId="665FEB81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988" w:type="dxa"/>
            <w:hideMark/>
          </w:tcPr>
          <w:p w14:paraId="08DA986C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Planejamento orçamentário e acompanhamento da execução financeira pelos órgãos competentes.</w:t>
            </w:r>
          </w:p>
        </w:tc>
        <w:tc>
          <w:tcPr>
            <w:tcW w:w="2126" w:type="dxa"/>
            <w:hideMark/>
          </w:tcPr>
          <w:p w14:paraId="45161192" w14:textId="77777777" w:rsidR="006C6E4C" w:rsidRPr="006C6E4C" w:rsidRDefault="006C6E4C" w:rsidP="006C6E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Reprogramação das contratações conforme disponibilidade orçamentária e prioridades da Administração.</w:t>
            </w:r>
          </w:p>
        </w:tc>
        <w:tc>
          <w:tcPr>
            <w:tcW w:w="1276" w:type="dxa"/>
            <w:hideMark/>
          </w:tcPr>
          <w:p w14:paraId="7AACD990" w14:textId="77777777" w:rsidR="006C6E4C" w:rsidRPr="006C6E4C" w:rsidRDefault="006C6E4C" w:rsidP="006C6E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6E4C">
              <w:rPr>
                <w:rFonts w:ascii="Times New Roman" w:hAnsi="Times New Roman" w:cs="Times New Roman"/>
                <w:sz w:val="18"/>
                <w:szCs w:val="18"/>
              </w:rPr>
              <w:t>Administração</w:t>
            </w:r>
          </w:p>
        </w:tc>
      </w:tr>
    </w:tbl>
    <w:p w14:paraId="0D9EA7CA" w14:textId="68C91009" w:rsidR="00AE75DB" w:rsidRDefault="00AE75DB" w:rsidP="00461D44">
      <w:pPr>
        <w:ind w:right="282"/>
        <w:jc w:val="both"/>
      </w:pPr>
    </w:p>
    <w:p w14:paraId="153DF0B5" w14:textId="46769005" w:rsidR="00C550F9" w:rsidRDefault="00C550F9" w:rsidP="00C550F9">
      <w:pPr>
        <w:ind w:right="282"/>
        <w:jc w:val="both"/>
      </w:pPr>
      <w:r>
        <w:t xml:space="preserve">O gestor e o fiscal do contrato acompanharão continuamente os riscos identificados nesta Matriz, </w:t>
      </w:r>
      <w:proofErr w:type="gramStart"/>
      <w:r>
        <w:t>registrando</w:t>
      </w:r>
      <w:proofErr w:type="gramEnd"/>
      <w:r>
        <w:t xml:space="preserve"> as ocorrências verificadas durante a execução contratual e determinando a adoção das medidas necessárias para prevenção, mitigação ou correção dos eventos de risco, sempre que constatadas situações capazes de comprometer a adequada execução do objeto.</w:t>
      </w:r>
    </w:p>
    <w:p w14:paraId="02907006" w14:textId="77777777" w:rsidR="00C550F9" w:rsidRDefault="00C550F9" w:rsidP="00C550F9">
      <w:pPr>
        <w:ind w:right="282"/>
        <w:jc w:val="both"/>
      </w:pPr>
    </w:p>
    <w:p w14:paraId="7A264E4C" w14:textId="430E28CB" w:rsidR="00C550F9" w:rsidRDefault="00C550F9" w:rsidP="00C550F9">
      <w:pPr>
        <w:ind w:right="282"/>
        <w:jc w:val="both"/>
      </w:pPr>
      <w:r>
        <w:t>São Carlos/SC, 10 de julho de 2026.</w:t>
      </w:r>
    </w:p>
    <w:p w14:paraId="113FC798" w14:textId="77777777" w:rsidR="00C550F9" w:rsidRDefault="00C550F9" w:rsidP="00C550F9">
      <w:pPr>
        <w:ind w:right="282"/>
        <w:jc w:val="both"/>
      </w:pPr>
    </w:p>
    <w:p w14:paraId="56D8CF82" w14:textId="77777777" w:rsidR="00C550F9" w:rsidRDefault="00C550F9" w:rsidP="00C550F9">
      <w:pPr>
        <w:ind w:right="282"/>
        <w:jc w:val="both"/>
      </w:pPr>
    </w:p>
    <w:p w14:paraId="569D9E65" w14:textId="77777777" w:rsidR="00C550F9" w:rsidRDefault="00C550F9" w:rsidP="00C550F9">
      <w:pPr>
        <w:ind w:right="282"/>
        <w:jc w:val="both"/>
      </w:pPr>
    </w:p>
    <w:p w14:paraId="77D25F4E" w14:textId="77777777" w:rsidR="00C550F9" w:rsidRDefault="00C550F9" w:rsidP="00C550F9">
      <w:pPr>
        <w:ind w:right="282"/>
        <w:jc w:val="both"/>
      </w:pPr>
    </w:p>
    <w:p w14:paraId="5C9F32A3" w14:textId="77777777" w:rsidR="00C550F9" w:rsidRDefault="00C550F9" w:rsidP="00C550F9">
      <w:pPr>
        <w:ind w:right="282"/>
        <w:jc w:val="both"/>
      </w:pPr>
    </w:p>
    <w:p w14:paraId="6266886E" w14:textId="77777777" w:rsidR="00C550F9" w:rsidRDefault="00C550F9" w:rsidP="00C550F9">
      <w:pPr>
        <w:ind w:right="282"/>
        <w:jc w:val="both"/>
      </w:pPr>
    </w:p>
    <w:p w14:paraId="128CCF69" w14:textId="77777777" w:rsidR="00C550F9" w:rsidRDefault="00C550F9" w:rsidP="00C550F9">
      <w:pPr>
        <w:ind w:right="282"/>
        <w:jc w:val="both"/>
      </w:pPr>
    </w:p>
    <w:p w14:paraId="66F1849F" w14:textId="77777777" w:rsidR="00C550F9" w:rsidRPr="00C550F9" w:rsidRDefault="00C550F9" w:rsidP="00C550F9">
      <w:pPr>
        <w:ind w:right="282"/>
        <w:jc w:val="center"/>
      </w:pPr>
      <w:r w:rsidRPr="00C550F9">
        <w:t>___________________________________________</w:t>
      </w:r>
    </w:p>
    <w:p w14:paraId="5A79A280" w14:textId="77777777" w:rsidR="00C550F9" w:rsidRPr="00C550F9" w:rsidRDefault="00C550F9" w:rsidP="00C550F9">
      <w:pPr>
        <w:ind w:right="282"/>
        <w:jc w:val="center"/>
        <w:rPr>
          <w:b/>
          <w:iCs/>
        </w:rPr>
      </w:pPr>
      <w:r w:rsidRPr="00C550F9">
        <w:rPr>
          <w:b/>
          <w:iCs/>
        </w:rPr>
        <w:t>Marlene Spiess Franz</w:t>
      </w:r>
    </w:p>
    <w:p w14:paraId="3EFDB4C1" w14:textId="075BE112" w:rsidR="00C550F9" w:rsidRPr="00C550F9" w:rsidRDefault="00C550F9" w:rsidP="00C550F9">
      <w:pPr>
        <w:ind w:right="282"/>
        <w:jc w:val="center"/>
      </w:pPr>
      <w:r w:rsidRPr="00C550F9">
        <w:rPr>
          <w:iCs/>
        </w:rPr>
        <w:t>Diretora da Fundação Cultural</w:t>
      </w:r>
    </w:p>
    <w:sectPr w:rsidR="00C550F9" w:rsidRPr="00C550F9">
      <w:headerReference w:type="even" r:id="rId8"/>
      <w:headerReference w:type="default" r:id="rId9"/>
      <w:headerReference w:type="first" r:id="rId10"/>
      <w:pgSz w:w="11906" w:h="16838"/>
      <w:pgMar w:top="1133" w:right="284" w:bottom="1276" w:left="1417" w:header="42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B8F3B" w14:textId="77777777" w:rsidR="000378EA" w:rsidRDefault="000378EA">
      <w:r>
        <w:separator/>
      </w:r>
    </w:p>
  </w:endnote>
  <w:endnote w:type="continuationSeparator" w:id="0">
    <w:p w14:paraId="2B51DDE0" w14:textId="77777777" w:rsidR="000378EA" w:rsidRDefault="00037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14C9B" w14:textId="77777777" w:rsidR="000378EA" w:rsidRDefault="000378EA">
      <w:r>
        <w:separator/>
      </w:r>
    </w:p>
  </w:footnote>
  <w:footnote w:type="continuationSeparator" w:id="0">
    <w:p w14:paraId="54F144FE" w14:textId="77777777" w:rsidR="000378EA" w:rsidRDefault="00037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62A56" w14:textId="77777777" w:rsidR="00AE75DB" w:rsidRDefault="00AE7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B6158" w14:textId="77777777" w:rsidR="00AE75DB" w:rsidRDefault="005D4E64">
    <w:r>
      <w:rPr>
        <w:noProof/>
        <w:lang w:eastAsia="pt-BR" w:bidi="ar-SA"/>
      </w:rPr>
      <w:drawing>
        <wp:anchor distT="0" distB="0" distL="114300" distR="114300" simplePos="0" relativeHeight="251659264" behindDoc="1" locked="0" layoutInCell="0" allowOverlap="1" wp14:anchorId="1DFFA965" wp14:editId="741254B7">
          <wp:simplePos x="0" y="0"/>
          <wp:positionH relativeFrom="column">
            <wp:posOffset>4282440</wp:posOffset>
          </wp:positionH>
          <wp:positionV relativeFrom="paragraph">
            <wp:posOffset>118110</wp:posOffset>
          </wp:positionV>
          <wp:extent cx="1752600" cy="733425"/>
          <wp:effectExtent l="0" t="0" r="0" b="0"/>
          <wp:wrapSquare wrapText="bothSides"/>
          <wp:docPr id="2" name="Imagem 1" descr="C:\Users\Usuario\Desktop\Fundação Cultural\Logo\Logo Fundaç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uario\Desktop\Fundação Cultural\Logo\Logo Fundaçã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5A922A42" w14:textId="77777777" w:rsidR="00AE75DB" w:rsidRDefault="005D4E64">
    <w:r>
      <w:rPr>
        <w:noProof/>
        <w:lang w:eastAsia="pt-BR" w:bidi="ar-SA"/>
      </w:rPr>
      <w:drawing>
        <wp:anchor distT="0" distB="0" distL="0" distR="0" simplePos="0" relativeHeight="251657216" behindDoc="1" locked="0" layoutInCell="1" allowOverlap="1" wp14:anchorId="7E48E630" wp14:editId="4DB3CD6D">
          <wp:simplePos x="0" y="0"/>
          <wp:positionH relativeFrom="column">
            <wp:posOffset>19050</wp:posOffset>
          </wp:positionH>
          <wp:positionV relativeFrom="paragraph">
            <wp:posOffset>8255</wp:posOffset>
          </wp:positionV>
          <wp:extent cx="704850" cy="742950"/>
          <wp:effectExtent l="0" t="0" r="0" b="0"/>
          <wp:wrapNone/>
          <wp:docPr id="3" name="Imagem 329050" descr="Brasão São Carl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9050" descr="Brasão São Carlo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   Estado de Santa Catarina</w:t>
    </w:r>
  </w:p>
  <w:p w14:paraId="346C1625" w14:textId="7600F4A7" w:rsidR="00AE75DB" w:rsidRDefault="00C550F9">
    <w:r>
      <w:rPr>
        <w:noProof/>
        <w:lang w:eastAsia="pt-BR" w:bidi="ar-SA"/>
      </w:rPr>
      <mc:AlternateContent>
        <mc:Choice Requires="wps">
          <w:drawing>
            <wp:anchor distT="19685" distB="19050" distL="19685" distR="19685" simplePos="0" relativeHeight="251655168" behindDoc="1" locked="0" layoutInCell="1" allowOverlap="1" wp14:anchorId="5411ED64" wp14:editId="2DE64565">
              <wp:simplePos x="0" y="0"/>
              <wp:positionH relativeFrom="column">
                <wp:posOffset>817245</wp:posOffset>
              </wp:positionH>
              <wp:positionV relativeFrom="paragraph">
                <wp:posOffset>82550</wp:posOffset>
              </wp:positionV>
              <wp:extent cx="4930140" cy="5080"/>
              <wp:effectExtent l="19050" t="19050" r="22860" b="330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930140" cy="508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17AA16" id="Conector reto 4" o:spid="_x0000_s1026" style="position:absolute;z-index:-251661312;visibility:visible;mso-wrap-style:square;mso-width-percent:0;mso-height-percent:0;mso-wrap-distance-left:1.55pt;mso-wrap-distance-top:1.55pt;mso-wrap-distance-right:1.55pt;mso-wrap-distance-bottom:1.5pt;mso-position-horizontal:absolute;mso-position-horizontal-relative:text;mso-position-vertical:absolute;mso-position-vertical-relative:text;mso-width-percent:0;mso-height-percent:0;mso-width-relative:page;mso-height-relative:page" from="64.35pt,6.5pt" to="452.5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" strokeweight="1.06mm">
              <o:lock v:ext="edit" shapetype="f"/>
            </v:line>
          </w:pict>
        </mc:Fallback>
      </mc:AlternateContent>
    </w:r>
    <w:r w:rsidR="00C86135">
      <w:tab/>
    </w:r>
    <w:r w:rsidR="00C86135">
      <w:tab/>
    </w:r>
    <w:r w:rsidR="00C86135">
      <w:tab/>
    </w:r>
    <w:r w:rsidR="00C86135">
      <w:tab/>
    </w:r>
    <w:r w:rsidR="00C86135">
      <w:tab/>
    </w:r>
    <w:r w:rsidR="00C86135">
      <w:tab/>
    </w:r>
    <w:r w:rsidR="00C86135">
      <w:tab/>
    </w:r>
  </w:p>
  <w:p w14:paraId="319A600F" w14:textId="77777777" w:rsidR="00AE75DB" w:rsidRDefault="005D4E64">
    <w:r>
      <w:tab/>
      <w:t xml:space="preserve">          MUNICÍPIO DE SÃO CARLOS</w:t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0A63F865" w14:textId="77777777" w:rsidR="00AE75DB" w:rsidRDefault="005D4E64">
    <w:pPr>
      <w:pStyle w:val="Cabealho"/>
    </w:pPr>
    <w:r>
      <w:t xml:space="preserve">                                   </w:t>
    </w:r>
  </w:p>
  <w:p w14:paraId="383CDF1B" w14:textId="77777777" w:rsidR="00AE75DB" w:rsidRDefault="00AE75D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D279C" w14:textId="77777777" w:rsidR="00AE75DB" w:rsidRDefault="005D4E64">
    <w:r>
      <w:rPr>
        <w:noProof/>
        <w:lang w:eastAsia="pt-BR" w:bidi="ar-SA"/>
      </w:rPr>
      <w:drawing>
        <wp:anchor distT="0" distB="0" distL="114300" distR="114300" simplePos="0" relativeHeight="251660288" behindDoc="1" locked="0" layoutInCell="0" allowOverlap="1" wp14:anchorId="39B42901" wp14:editId="4F95DBC3">
          <wp:simplePos x="0" y="0"/>
          <wp:positionH relativeFrom="column">
            <wp:posOffset>4282440</wp:posOffset>
          </wp:positionH>
          <wp:positionV relativeFrom="paragraph">
            <wp:posOffset>118110</wp:posOffset>
          </wp:positionV>
          <wp:extent cx="1752600" cy="733425"/>
          <wp:effectExtent l="0" t="0" r="0" b="0"/>
          <wp:wrapSquare wrapText="bothSides"/>
          <wp:docPr id="5" name="Imagem 1" descr="C:\Users\Usuario\Desktop\Fundação Cultural\Logo\Logo Fundaç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C:\Users\Usuario\Desktop\Fundação Cultural\Logo\Logo Fundaçã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43F581AF" w14:textId="77777777" w:rsidR="00AE75DB" w:rsidRDefault="005D4E64">
    <w:r>
      <w:rPr>
        <w:noProof/>
        <w:lang w:eastAsia="pt-BR" w:bidi="ar-SA"/>
      </w:rPr>
      <w:drawing>
        <wp:anchor distT="0" distB="0" distL="0" distR="0" simplePos="0" relativeHeight="251658240" behindDoc="1" locked="0" layoutInCell="1" allowOverlap="1" wp14:anchorId="431C9DDC" wp14:editId="3BE0C87B">
          <wp:simplePos x="0" y="0"/>
          <wp:positionH relativeFrom="column">
            <wp:posOffset>19050</wp:posOffset>
          </wp:positionH>
          <wp:positionV relativeFrom="paragraph">
            <wp:posOffset>8255</wp:posOffset>
          </wp:positionV>
          <wp:extent cx="704850" cy="742950"/>
          <wp:effectExtent l="0" t="0" r="0" b="0"/>
          <wp:wrapNone/>
          <wp:docPr id="6" name="Imagem 329050" descr="Brasão São Carl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329050" descr="Brasão São Carlo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   Estado de Santa Catarina</w:t>
    </w:r>
  </w:p>
  <w:p w14:paraId="3C7CF3B6" w14:textId="104A1643" w:rsidR="00AE75DB" w:rsidRDefault="00C550F9">
    <w:r>
      <w:rPr>
        <w:noProof/>
        <w:lang w:eastAsia="pt-BR" w:bidi="ar-SA"/>
      </w:rPr>
      <mc:AlternateContent>
        <mc:Choice Requires="wps">
          <w:drawing>
            <wp:anchor distT="19685" distB="19050" distL="19685" distR="19685" simplePos="0" relativeHeight="251656192" behindDoc="1" locked="0" layoutInCell="1" allowOverlap="1" wp14:anchorId="663EEAB2" wp14:editId="37032FB5">
              <wp:simplePos x="0" y="0"/>
              <wp:positionH relativeFrom="column">
                <wp:posOffset>817245</wp:posOffset>
              </wp:positionH>
              <wp:positionV relativeFrom="paragraph">
                <wp:posOffset>82550</wp:posOffset>
              </wp:positionV>
              <wp:extent cx="4930140" cy="5080"/>
              <wp:effectExtent l="19050" t="19050" r="22860" b="3302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930140" cy="508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4E60B2" id="Conector reto 1" o:spid="_x0000_s1026" style="position:absolute;z-index:-251660288;visibility:visible;mso-wrap-style:square;mso-width-percent:0;mso-height-percent:0;mso-wrap-distance-left:1.55pt;mso-wrap-distance-top:1.55pt;mso-wrap-distance-right:1.55pt;mso-wrap-distance-bottom:1.5pt;mso-position-horizontal:absolute;mso-position-horizontal-relative:text;mso-position-vertical:absolute;mso-position-vertical-relative:text;mso-width-percent:0;mso-height-percent:0;mso-width-relative:page;mso-height-relative:page" from="64.35pt,6.5pt" to="452.5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" strokeweight="1.06mm">
              <o:lock v:ext="edit" shapetype="f"/>
            </v:line>
          </w:pict>
        </mc:Fallback>
      </mc:AlternateContent>
    </w:r>
    <w:r w:rsidR="00C86135">
      <w:tab/>
    </w:r>
    <w:r w:rsidR="00C86135">
      <w:tab/>
    </w:r>
    <w:r w:rsidR="00C86135">
      <w:tab/>
    </w:r>
    <w:r w:rsidR="00C86135">
      <w:tab/>
    </w:r>
    <w:r w:rsidR="00C86135">
      <w:tab/>
    </w:r>
    <w:r w:rsidR="00C86135">
      <w:tab/>
    </w:r>
    <w:r w:rsidR="00C86135">
      <w:tab/>
    </w:r>
  </w:p>
  <w:p w14:paraId="209E5E7E" w14:textId="77777777" w:rsidR="00AE75DB" w:rsidRDefault="005D4E64">
    <w:r>
      <w:tab/>
      <w:t xml:space="preserve">          MUNICÍPIO DE SÃO CARLOS</w:t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769BC549" w14:textId="77777777" w:rsidR="00AE75DB" w:rsidRDefault="005D4E64">
    <w:pPr>
      <w:pStyle w:val="Cabealho"/>
    </w:pPr>
    <w:r>
      <w:t xml:space="preserve">                                   </w:t>
    </w:r>
  </w:p>
  <w:p w14:paraId="50EC8697" w14:textId="77777777" w:rsidR="00AE75DB" w:rsidRDefault="00AE75D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71554"/>
    <w:multiLevelType w:val="multilevel"/>
    <w:tmpl w:val="EA9279E0"/>
    <w:lvl w:ilvl="0">
      <w:start w:val="1"/>
      <w:numFmt w:val="lowerLetter"/>
      <w:pStyle w:val="Commarcadores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1" w15:restartNumberingAfterBreak="0">
    <w:nsid w:val="07D40870"/>
    <w:multiLevelType w:val="multilevel"/>
    <w:tmpl w:val="B07AC7E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0E2B3732"/>
    <w:multiLevelType w:val="multilevel"/>
    <w:tmpl w:val="6C80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19C60067"/>
    <w:multiLevelType w:val="multilevel"/>
    <w:tmpl w:val="5E1E2A8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1A1547B6"/>
    <w:multiLevelType w:val="multilevel"/>
    <w:tmpl w:val="A6F0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2EB168B3"/>
    <w:multiLevelType w:val="multilevel"/>
    <w:tmpl w:val="C728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7D3502"/>
    <w:multiLevelType w:val="multilevel"/>
    <w:tmpl w:val="BB96F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 Unicode MS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35A82F64"/>
    <w:multiLevelType w:val="multilevel"/>
    <w:tmpl w:val="919C930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5A6E08E2"/>
    <w:multiLevelType w:val="multilevel"/>
    <w:tmpl w:val="1168F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693DD6"/>
    <w:multiLevelType w:val="multilevel"/>
    <w:tmpl w:val="1744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692155EA"/>
    <w:multiLevelType w:val="multilevel"/>
    <w:tmpl w:val="8C08B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7D4B6ADB"/>
    <w:multiLevelType w:val="multilevel"/>
    <w:tmpl w:val="3DBE34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9"/>
  </w:num>
  <w:num w:numId="7">
    <w:abstractNumId w:val="2"/>
  </w:num>
  <w:num w:numId="8">
    <w:abstractNumId w:val="11"/>
  </w:num>
  <w:num w:numId="9">
    <w:abstractNumId w:val="5"/>
  </w:num>
  <w:num w:numId="10">
    <w:abstractNumId w:val="4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DB"/>
    <w:rsid w:val="000378EA"/>
    <w:rsid w:val="000A6A4B"/>
    <w:rsid w:val="001C34DE"/>
    <w:rsid w:val="00282732"/>
    <w:rsid w:val="00461D44"/>
    <w:rsid w:val="005A7F06"/>
    <w:rsid w:val="005D4E64"/>
    <w:rsid w:val="0065561C"/>
    <w:rsid w:val="006C6E4C"/>
    <w:rsid w:val="00814202"/>
    <w:rsid w:val="00856FEB"/>
    <w:rsid w:val="008B255D"/>
    <w:rsid w:val="008C2885"/>
    <w:rsid w:val="00916BF5"/>
    <w:rsid w:val="00A2485A"/>
    <w:rsid w:val="00A33A50"/>
    <w:rsid w:val="00A71076"/>
    <w:rsid w:val="00AE64A3"/>
    <w:rsid w:val="00AE75DB"/>
    <w:rsid w:val="00B34730"/>
    <w:rsid w:val="00B8208B"/>
    <w:rsid w:val="00C550F9"/>
    <w:rsid w:val="00C86135"/>
    <w:rsid w:val="00D8297B"/>
    <w:rsid w:val="00E0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E16DD"/>
  <w15:docId w15:val="{973FD7E2-F06E-407E-AD0A-30892A9D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DejaVu Sans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Liberation Serif" w:eastAsia="NSimSun" w:hAnsi="Liberation Serif" w:cs="Arial Unicode MS"/>
      <w:kern w:val="2"/>
      <w:sz w:val="24"/>
      <w:szCs w:val="24"/>
      <w:lang w:eastAsia="zh-CN" w:bidi="hi-IN"/>
    </w:rPr>
  </w:style>
  <w:style w:type="paragraph" w:styleId="Ttulo1">
    <w:name w:val="heading 1"/>
    <w:basedOn w:val="Normal"/>
    <w:qFormat/>
    <w:pPr>
      <w:spacing w:before="73"/>
      <w:ind w:left="140"/>
      <w:outlineLvl w:val="0"/>
    </w:pPr>
    <w:rPr>
      <w:rFonts w:ascii="Times New Roman" w:eastAsia="Times New Roman" w:hAnsi="Times New Roman" w:cs="Times New Roman"/>
      <w:lang w:val="pt-PT" w:eastAsia="en-US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255D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117A02" w:themeColor="accent1" w:themeShade="BF"/>
      <w:sz w:val="26"/>
      <w:szCs w:val="23"/>
    </w:rPr>
  </w:style>
  <w:style w:type="paragraph" w:styleId="Ttulo3">
    <w:name w:val="heading 3"/>
    <w:basedOn w:val="Ttulo"/>
    <w:next w:val="Corpodetexto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styleId="Ttulo4">
    <w:name w:val="heading 4"/>
    <w:basedOn w:val="Ttulo"/>
    <w:next w:val="Corpodetexto"/>
    <w:qFormat/>
    <w:pPr>
      <w:spacing w:before="120"/>
      <w:outlineLvl w:val="3"/>
    </w:pPr>
    <w:rPr>
      <w:rFonts w:ascii="Liberation Serif" w:eastAsia="Segoe UI" w:hAnsi="Liberation Serif" w:cs="Tahoma"/>
      <w:b/>
      <w:bCs/>
      <w:sz w:val="24"/>
      <w:szCs w:val="24"/>
    </w:rPr>
  </w:style>
  <w:style w:type="paragraph" w:styleId="Ttulo5">
    <w:name w:val="heading 5"/>
    <w:basedOn w:val="Ttulo"/>
    <w:next w:val="Corpodetexto"/>
    <w:qFormat/>
    <w:pPr>
      <w:spacing w:before="120" w:after="60"/>
      <w:outlineLvl w:val="4"/>
    </w:pPr>
    <w:rPr>
      <w:rFonts w:ascii="Liberation Serif" w:eastAsia="Segoe UI" w:hAnsi="Liberation Serif" w:cs="Tahom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extodebaloChar">
    <w:name w:val="Texto de balão Char"/>
    <w:basedOn w:val="Fontepargpadro"/>
    <w:link w:val="Textodebalo"/>
    <w:qFormat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InternetLink">
    <w:name w:val="Internet Link"/>
    <w:basedOn w:val="Fontepargpadro"/>
    <w:qFormat/>
    <w:rPr>
      <w:color w:val="0000EE" w:themeColor="hyperlink"/>
      <w:u w:val="single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styleId="HiperlinkVisitado">
    <w:name w:val="FollowedHyperlink"/>
    <w:rPr>
      <w:color w:val="80000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customStyle="1" w:styleId="InternetLink5">
    <w:name w:val="Internet Link5"/>
    <w:qFormat/>
    <w:rPr>
      <w:color w:val="000080"/>
      <w:u w:val="single"/>
    </w:rPr>
  </w:style>
  <w:style w:type="character" w:customStyle="1" w:styleId="InternetLink6">
    <w:name w:val="Internet Link6"/>
    <w:qFormat/>
    <w:rPr>
      <w:color w:val="000080"/>
      <w:u w:val="single"/>
    </w:rPr>
  </w:style>
  <w:style w:type="character" w:customStyle="1" w:styleId="InternetLink7">
    <w:name w:val="Internet Link7"/>
    <w:qFormat/>
    <w:rPr>
      <w:color w:val="000080"/>
      <w:u w:val="single"/>
    </w:rPr>
  </w:style>
  <w:style w:type="character" w:customStyle="1" w:styleId="InternetLink8">
    <w:name w:val="Internet Link8"/>
    <w:qFormat/>
    <w:rPr>
      <w:color w:val="000080"/>
      <w:u w:val="single"/>
    </w:rPr>
  </w:style>
  <w:style w:type="character" w:customStyle="1" w:styleId="InternetLink9">
    <w:name w:val="Internet Link9"/>
    <w:qFormat/>
    <w:rPr>
      <w:color w:val="000080"/>
      <w:u w:val="single"/>
    </w:rPr>
  </w:style>
  <w:style w:type="character" w:customStyle="1" w:styleId="InternetLink91">
    <w:name w:val="Internet Link91"/>
    <w:qFormat/>
    <w:rPr>
      <w:color w:val="000080"/>
      <w:u w:val="single"/>
    </w:rPr>
  </w:style>
  <w:style w:type="character" w:customStyle="1" w:styleId="InternetLink14">
    <w:name w:val="Internet Link14"/>
    <w:qFormat/>
    <w:rPr>
      <w:color w:val="000080"/>
      <w:u w:val="single"/>
    </w:rPr>
  </w:style>
  <w:style w:type="character" w:customStyle="1" w:styleId="InternetLink13">
    <w:name w:val="Internet Link13"/>
    <w:qFormat/>
    <w:rPr>
      <w:color w:val="000080"/>
      <w:u w:val="single"/>
    </w:rPr>
  </w:style>
  <w:style w:type="character" w:customStyle="1" w:styleId="InternetLink12">
    <w:name w:val="Internet Link12"/>
    <w:qFormat/>
    <w:rPr>
      <w:color w:val="000080"/>
      <w:u w:val="single"/>
    </w:rPr>
  </w:style>
  <w:style w:type="character" w:customStyle="1" w:styleId="InternetLink11">
    <w:name w:val="Internet Link11"/>
    <w:qFormat/>
    <w:rPr>
      <w:color w:val="000080"/>
      <w:u w:val="single"/>
    </w:rPr>
  </w:style>
  <w:style w:type="character" w:customStyle="1" w:styleId="InternetLink10">
    <w:name w:val="Internet Link10"/>
    <w:qFormat/>
    <w:rPr>
      <w:color w:val="000080"/>
      <w:u w:val="single"/>
    </w:rPr>
  </w:style>
  <w:style w:type="character" w:customStyle="1" w:styleId="InternetLink911">
    <w:name w:val="Internet Link911"/>
    <w:qFormat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160"/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ableParagraph">
    <w:name w:val="Table Paragraph"/>
    <w:basedOn w:val="Normal"/>
    <w:qFormat/>
    <w:pPr>
      <w:suppressAutoHyphens w:val="0"/>
    </w:pPr>
    <w:rPr>
      <w:rFonts w:ascii="Arial" w:eastAsia="Arial" w:hAnsi="Arial" w:cs="Arial"/>
      <w:kern w:val="0"/>
      <w:sz w:val="22"/>
      <w:szCs w:val="22"/>
      <w:lang w:val="pt-PT" w:eastAsia="en-US" w:bidi="ar-SA"/>
    </w:rPr>
  </w:style>
  <w:style w:type="paragraph" w:customStyle="1" w:styleId="Default">
    <w:name w:val="Default"/>
    <w:qFormat/>
    <w:pPr>
      <w:suppressAutoHyphens w:val="0"/>
    </w:pPr>
    <w:rPr>
      <w:rFonts w:eastAsia="Calibri" w:cs="Arial"/>
      <w:color w:val="000000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styleId="SemEspaamento">
    <w:name w:val="No Spacing"/>
    <w:qFormat/>
  </w:style>
  <w:style w:type="paragraph" w:styleId="Commarcadores">
    <w:name w:val="List Bullet"/>
    <w:basedOn w:val="Normal"/>
    <w:pPr>
      <w:numPr>
        <w:numId w:val="1"/>
      </w:numPr>
      <w:spacing w:after="200"/>
      <w:contextualSpacing/>
    </w:pPr>
  </w:style>
  <w:style w:type="paragraph" w:customStyle="1" w:styleId="Linhahorizontal">
    <w:name w:val="Linha horizontal"/>
    <w:basedOn w:val="Normal"/>
    <w:next w:val="Corpodetexto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NormalWeb">
    <w:name w:val="Normal (Web)"/>
    <w:basedOn w:val="Normal"/>
    <w:uiPriority w:val="99"/>
    <w:semiHidden/>
    <w:unhideWhenUsed/>
    <w:qFormat/>
    <w:rsid w:val="007A6B6D"/>
    <w:rPr>
      <w:rFonts w:ascii="Times New Roman" w:hAnsi="Times New Roman" w:cs="Mangal"/>
      <w:szCs w:val="21"/>
    </w:rPr>
  </w:style>
  <w:style w:type="table" w:styleId="Tabelacomgrade">
    <w:name w:val="Table Grid"/>
    <w:basedOn w:val="Tabelanormal"/>
    <w:uiPriority w:val="59"/>
    <w:rsid w:val="00282732"/>
    <w:rPr>
      <w:rFonts w:ascii="Liberation Serif" w:eastAsia="NSimSun" w:hAnsi="Liberation Serif" w:cs="Arial Unicode MS"/>
      <w:kern w:val="2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8B255D"/>
    <w:rPr>
      <w:rFonts w:asciiTheme="majorHAnsi" w:eastAsiaTheme="majorEastAsia" w:hAnsiTheme="majorHAnsi" w:cs="Mangal"/>
      <w:color w:val="117A02" w:themeColor="accent1" w:themeShade="BF"/>
      <w:kern w:val="2"/>
      <w:sz w:val="26"/>
      <w:szCs w:val="23"/>
      <w:lang w:eastAsia="zh-CN" w:bidi="hi-IN"/>
    </w:rPr>
  </w:style>
  <w:style w:type="table" w:styleId="TabeladeGradeClara">
    <w:name w:val="Grid Table Light"/>
    <w:basedOn w:val="Tabelanormal"/>
    <w:uiPriority w:val="40"/>
    <w:rsid w:val="006C6E4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8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1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5F317-8DEF-423E-9D0C-3B1F318DD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923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10032</dc:creator>
  <dc:description/>
  <cp:lastModifiedBy>11013</cp:lastModifiedBy>
  <cp:revision>4</cp:revision>
  <cp:lastPrinted>2025-09-04T10:06:00Z</cp:lastPrinted>
  <dcterms:created xsi:type="dcterms:W3CDTF">2026-07-10T10:52:00Z</dcterms:created>
  <dcterms:modified xsi:type="dcterms:W3CDTF">2026-07-10T16:18:00Z</dcterms:modified>
  <dc:language>pt-BR</dc:language>
</cp:coreProperties>
</file>