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2.9.0 -->
  <w:body>
    <w:bookmarkStart w:id="0" w:name="__bookmark_1"/>
    <w:bookmarkEnd w:id="0"/>
    <w:tbl>
      <w:tblPr>
        <w:tblStyle w:val="TableNormal"/>
        <w:tblOverlap w:val="never"/>
        <w:tblW w:w="10733" w:type="dxa"/>
        <w:tblInd w:w="20" w:type="dxa"/>
        <w:tblLayout w:type="fixed"/>
        <w:tblLook w:val="01E0"/>
      </w:tblPr>
      <w:tblGrid>
        <w:gridCol w:w="10733"/>
      </w:tblGrid>
      <w:tr>
        <w:tblPrEx>
          <w:tblW w:w="10733" w:type="dxa"/>
          <w:tblInd w:w="20" w:type="dxa"/>
          <w:tblLayout w:type="fixed"/>
          <w:tblLook w:val="01E0"/>
        </w:tblPrEx>
        <w:tc>
          <w:tcPr>
            <w:tcW w:w="10773" w:type="dxa"/>
            <w:noWrap w:val="0"/>
            <w:tcMar>
              <w:top w:w="0" w:type="dxa"/>
              <w:left w:w="0" w:type="dxa"/>
              <w:bottom w:w="0" w:type="dxa"/>
              <w:right w:w="0" w:type="dxa"/>
            </w:tcMar>
            <w:vAlign w:val="top"/>
          </w:tcPr>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b/>
                      <w:bCs/>
                      <w:color w:val="000000"/>
                      <w:spacing w:val="0"/>
                      <w:sz w:val="24"/>
                      <w:szCs w:val="24"/>
                    </w:rPr>
                    <w:t>AVISO DE LICITAÇÃO</w:t>
                  </w:r>
                </w:p>
              </w:tc>
            </w:tr>
          </w:tbl>
          <w:p>
            <w:pPr>
              <w:spacing w:line="1" w:lineRule="auto"/>
            </w:pPr>
          </w:p>
        </w:tc>
      </w:tr>
      <w:tr>
        <w:tblPrEx>
          <w:tblW w:w="10733" w:type="dxa"/>
          <w:tblInd w:w="20" w:type="dxa"/>
          <w:tblLayout w:type="fixed"/>
          <w:tblLook w:val="01E0"/>
        </w:tblPrEx>
        <w:trPr>
          <w:trHeight w:hRule="exact" w:val="453"/>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tblInd w:w="0" w:type="dxa"/>
              <w:tblLayout w:type="fixed"/>
              <w:tblCellMar>
                <w:top w:w="0" w:type="dxa"/>
                <w:left w:w="0" w:type="dxa"/>
                <w:bottom w:w="0" w:type="dxa"/>
                <w:right w:w="0" w:type="dxa"/>
              </w:tblCellMar>
              <w:tblLook w:val="01E0"/>
            </w:tblPr>
            <w:tblGrid>
              <w:gridCol w:w="10773"/>
            </w:tblGrid>
            <w:tr>
              <w:tblPrEx>
                <w:tblW w:w="10773" w:type="dxa"/>
                <w:tblInd w:w="0" w:type="dxa"/>
                <w:tblLayout w:type="fixed"/>
                <w:tblCellMar>
                  <w:top w:w="0" w:type="dxa"/>
                  <w:left w:w="0" w:type="dxa"/>
                  <w:bottom w:w="0" w:type="dxa"/>
                  <w:right w:w="0" w:type="dxa"/>
                </w:tblCellMar>
                <w:tblLook w:val="01E0"/>
              </w:tblPrEx>
              <w:tc>
                <w:tcPr>
                  <w:tcW w:w="10773" w:type="dxa"/>
                  <w:noWrap w:val="0"/>
                  <w:tcMar>
                    <w:top w:w="0" w:type="dxa"/>
                    <w:left w:w="0" w:type="dxa"/>
                    <w:bottom w:w="0" w:type="dxa"/>
                    <w:right w:w="0" w:type="dxa"/>
                  </w:tcMar>
                  <w:vAlign w:val="top"/>
                </w:tcPr>
                <w:p>
                  <w:pPr>
                    <w:bidi w:val="0"/>
                    <w:spacing w:before="0" w:after="0"/>
                  </w:pPr>
                  <w:r>
                    <w:rPr>
                      <w:rFonts w:ascii="Arial" w:eastAsia="Arial" w:hAnsi="Arial" w:cs="Arial"/>
                      <w:color w:val="000000"/>
                      <w:spacing w:val="0"/>
                      <w:sz w:val="20"/>
                      <w:szCs w:val="20"/>
                    </w:rPr>
                    <w:t>PREFEITURA MUNICIPAL DE MORRO DA FUMAÇA – SC</w:t>
                  </w:r>
                </w:p>
                <w:p>
                  <w:pPr>
                    <w:bidi w:val="0"/>
                    <w:spacing w:before="0" w:after="0"/>
                  </w:pPr>
                  <w:r>
                    <w:rPr>
                      <w:rFonts w:ascii="Arial" w:eastAsia="Arial" w:hAnsi="Arial" w:cs="Arial"/>
                      <w:color w:val="000000"/>
                      <w:spacing w:val="0"/>
                      <w:sz w:val="20"/>
                      <w:szCs w:val="20"/>
                    </w:rPr>
                    <w:t>Processo Administrativo: 93/2026</w:t>
                  </w:r>
                </w:p>
                <w:p>
                  <w:pPr>
                    <w:bidi w:val="0"/>
                    <w:spacing w:before="0" w:after="0"/>
                  </w:pPr>
                  <w:r>
                    <w:rPr>
                      <w:rFonts w:ascii="Arial" w:eastAsia="Arial" w:hAnsi="Arial" w:cs="Arial"/>
                      <w:color w:val="000000"/>
                      <w:spacing w:val="0"/>
                      <w:sz w:val="20"/>
                      <w:szCs w:val="20"/>
                    </w:rPr>
                    <w:t>Modalidade: Pregão Eletrônico   40/2026</w:t>
                  </w:r>
                </w:p>
                <w:p>
                  <w:pPr>
                    <w:bidi w:val="0"/>
                    <w:spacing w:before="0" w:after="0"/>
                  </w:pPr>
                  <w:r>
                    <w:rPr>
                      <w:rFonts w:ascii="Arial" w:eastAsia="Arial" w:hAnsi="Arial" w:cs="Arial"/>
                      <w:color w:val="000000"/>
                      <w:spacing w:val="0"/>
                      <w:sz w:val="20"/>
                      <w:szCs w:val="20"/>
                    </w:rPr>
                    <w:t>Tipo de julgamento: Menor Preço - (Nova Lei de Licitações)</w:t>
                  </w:r>
                </w:p>
                <w:p>
                  <w:pPr>
                    <w:bidi w:val="0"/>
                    <w:spacing w:before="0" w:after="0"/>
                  </w:pPr>
                  <w:r>
                    <w:rPr>
                      <w:rFonts w:ascii="Arial" w:eastAsia="Arial" w:hAnsi="Arial" w:cs="Arial"/>
                      <w:color w:val="000000"/>
                      <w:spacing w:val="0"/>
                      <w:sz w:val="20"/>
                      <w:szCs w:val="20"/>
                    </w:rPr>
                    <w:t>Tipo de comparação: Por Item</w:t>
                  </w:r>
                </w:p>
                <w:p>
                  <w:pPr>
                    <w:bidi w:val="0"/>
                    <w:spacing w:before="227" w:after="0"/>
                    <w:ind w:left="280"/>
                  </w:pPr>
                  <w:r>
                    <w:rPr>
                      <w:rFonts w:ascii="Arial" w:eastAsia="Arial" w:hAnsi="Arial" w:cs="Arial"/>
                      <w:color w:val="000000"/>
                      <w:spacing w:val="0"/>
                      <w:sz w:val="20"/>
                      <w:szCs w:val="20"/>
                    </w:rPr>
                    <w:t>Objeto: AQUISIÇÃO DE MATERIAIS DE LIMPEZA E PRODUTOS DE HIGIENE PESSOAL DESTINADOS A ATENDER AS NECESSIDADES DE SETORES QUE DESEMPENHAM ATIVIDADES ESSENCIAIS, COMO AS SECRETARIAS MUNICIPAIS E SEUS DEPARTAMENTOS, POLÍCIA MILITAR E CORPO DE BOMBEIROS.</w:t>
                  </w:r>
                </w:p>
                <w:p>
                  <w:pPr>
                    <w:bidi w:val="0"/>
                    <w:spacing w:before="0" w:after="0"/>
                  </w:pPr>
                </w:p>
                <w:p>
                  <w:pPr>
                    <w:bidi w:val="0"/>
                    <w:spacing w:before="0" w:after="0"/>
                  </w:pPr>
                </w:p>
                <w:p>
                  <w:pPr>
                    <w:bidi w:val="0"/>
                    <w:spacing w:before="0" w:after="0"/>
                    <w:ind w:firstLine="560"/>
                  </w:pPr>
                  <w:r>
                    <w:rPr>
                      <w:rFonts w:ascii="Arial" w:eastAsia="Arial" w:hAnsi="Arial" w:cs="Arial"/>
                      <w:color w:val="000000"/>
                      <w:spacing w:val="0"/>
                      <w:sz w:val="20"/>
                      <w:szCs w:val="20"/>
                    </w:rPr>
                    <w:t>A comissão de Licitação da MUNICIPIO DE MORRO DA FUMACA, no exercício de suas atribuições, torna público para conhecimento dos interessados que se realizará no dia 15 de junho de 2026, ás 08:00:00 horas, na PREFEITURA MUNICIPAL DE MORRO DA FUMAÇA, a reunião de recebimento e abertura das propostas, conforme determina o Edital de Licitações nº. 40/2026, na modalidade de Pregão.</w:t>
                  </w:r>
                </w:p>
                <w:p>
                  <w:pPr>
                    <w:bidi w:val="0"/>
                    <w:spacing w:before="0" w:after="0"/>
                  </w:pPr>
                </w:p>
                <w:p>
                  <w:pPr>
                    <w:bidi w:val="0"/>
                    <w:spacing w:before="0" w:after="0"/>
                  </w:pPr>
                  <w:r>
                    <w:rPr>
                      <w:rFonts w:ascii="Arial" w:eastAsia="Arial" w:hAnsi="Arial" w:cs="Arial"/>
                      <w:color w:val="000000"/>
                      <w:spacing w:val="0"/>
                      <w:sz w:val="20"/>
                      <w:szCs w:val="20"/>
                    </w:rPr>
                    <w:t xml:space="preserve"> </w:t>
                  </w:r>
                </w:p>
                <w:p>
                  <w:pPr>
                    <w:bidi w:val="0"/>
                    <w:spacing w:before="0" w:after="0"/>
                    <w:ind w:firstLine="560"/>
                  </w:pPr>
                  <w:r>
                    <w:rPr>
                      <w:rFonts w:ascii="Arial" w:eastAsia="Arial" w:hAnsi="Arial" w:cs="Arial"/>
                      <w:color w:val="000000"/>
                      <w:spacing w:val="0"/>
                      <w:sz w:val="20"/>
                      <w:szCs w:val="20"/>
                    </w:rPr>
                    <w:t>Informamos ainda que se encontra disponível o edital em sua integra nos meios de comunicação conforme o que determina a legislação vigente.</w:t>
                  </w:r>
                </w:p>
              </w:tc>
            </w:tr>
          </w:tbl>
          <w:p>
            <w:pPr>
              <w:spacing w:line="1" w:lineRule="auto"/>
            </w:pPr>
          </w:p>
        </w:tc>
      </w:tr>
      <w:tr>
        <w:tblPrEx>
          <w:tblW w:w="10733" w:type="dxa"/>
          <w:tblInd w:w="20" w:type="dxa"/>
          <w:tblLayout w:type="fixed"/>
          <w:tblLook w:val="01E0"/>
        </w:tblPrEx>
        <w:trPr>
          <w:trHeight w:hRule="exact" w:val="680"/>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20"/>
                      <w:szCs w:val="20"/>
                    </w:rPr>
                    <w:t>MORRO DA FUMAÇA - SC, 29 de maio de 2026</w:t>
                  </w:r>
                </w:p>
              </w:tc>
            </w:tr>
          </w:tbl>
          <w:p>
            <w:pPr>
              <w:spacing w:line="1" w:lineRule="auto"/>
            </w:pPr>
          </w:p>
        </w:tc>
      </w:tr>
      <w:tr>
        <w:tblPrEx>
          <w:tblW w:w="10733" w:type="dxa"/>
          <w:tblInd w:w="20" w:type="dxa"/>
          <w:tblLayout w:type="fixed"/>
          <w:tblLook w:val="01E0"/>
        </w:tblPrEx>
        <w:trPr>
          <w:trHeight w:hRule="exact" w:val="1133"/>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20"/>
                      <w:szCs w:val="20"/>
                    </w:rPr>
                    <w:t>DIEGO ELIAS ESTEVAM</w:t>
                  </w:r>
                </w:p>
                <w:p>
                  <w:pPr>
                    <w:bidi w:val="0"/>
                    <w:spacing w:before="0" w:after="0"/>
                    <w:jc w:val="center"/>
                  </w:pPr>
                  <w:r>
                    <w:rPr>
                      <w:rFonts w:ascii="Arial" w:eastAsia="Arial" w:hAnsi="Arial" w:cs="Arial"/>
                      <w:color w:val="000000"/>
                      <w:spacing w:val="0"/>
                      <w:sz w:val="20"/>
                      <w:szCs w:val="20"/>
                    </w:rPr>
                    <w:t>Integrante de Comissão</w:t>
                  </w:r>
                </w:p>
              </w:tc>
            </w:tr>
          </w:tbl>
          <w:p>
            <w:pPr>
              <w:spacing w:line="1" w:lineRule="auto"/>
            </w:pPr>
          </w:p>
        </w:tc>
      </w:tr>
    </w:tbl>
    <w:p/>
    <w:sectPr>
      <w:headerReference w:type="default" r:id="rId4"/>
      <w:footerReference w:type="default" r:id="rId5"/>
      <w:pgSz w:w="11905" w:h="16837" w:orient="portrait"/>
      <w:pgMar w:top="396" w:right="566" w:bottom="113" w:left="566" w:header="396" w:footer="113"/>
      <w:cols w:space="708"/>
    </w:sectPr>
  </w:body>
</w:document>
</file>

<file path=word/fontTable.xml><?xml version="1.0" encoding="utf-8"?>
<w:fonts xmlns:r="http://schemas.openxmlformats.org/officeDocument/2006/relationships" xmlns:w="http://schemas.openxmlformats.org/wordprocessingml/2006/main"/>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988" w:type="dxa"/>
      <w:tblLayout w:type="fixed"/>
      <w:tblCellMar>
        <w:top w:w="0" w:type="dxa"/>
        <w:left w:w="0" w:type="dxa"/>
        <w:bottom w:w="0" w:type="dxa"/>
        <w:right w:w="0" w:type="dxa"/>
      </w:tblCellMar>
      <w:tblLook w:val="01E0"/>
    </w:tblPr>
    <w:tblGrid>
      <w:gridCol w:w="10988"/>
    </w:tblGrid>
    <w:tr>
      <w:tblPrEx>
        <w:tblW w:w="10988" w:type="dxa"/>
        <w:tblLayout w:type="fixed"/>
        <w:tblCellMar>
          <w:top w:w="0" w:type="dxa"/>
          <w:left w:w="0" w:type="dxa"/>
          <w:bottom w:w="0" w:type="dxa"/>
          <w:right w:w="0" w:type="dxa"/>
        </w:tblCellMar>
        <w:tblLook w:val="01E0"/>
      </w:tblPrEx>
      <w:trPr>
        <w:trHeight w:val="283"/>
      </w:trPr>
      <w:tc>
        <w:tcPr>
          <w:tcW w:w="10988" w:type="dxa"/>
        </w:tcPr>
        <w:p/>
        <w:tbl>
          <w:tblPr>
            <w:tblStyle w:val="TableNormal"/>
            <w:tblOverlap w:val="never"/>
            <w:tblW w:w="10733" w:type="dxa"/>
            <w:tblInd w:w="20" w:type="dxa"/>
            <w:tblBorders>
              <w:top w:val="single" w:sz="6" w:space="0" w:color="000000"/>
            </w:tblBorders>
            <w:tblLayout w:type="fixed"/>
            <w:tblLook w:val="01E0"/>
          </w:tblPr>
          <w:tblGrid>
            <w:gridCol w:w="1976"/>
            <w:gridCol w:w="6780"/>
            <w:gridCol w:w="1977"/>
          </w:tblGrid>
          <w:tr>
            <w:tblPrEx>
              <w:tblW w:w="10733" w:type="dxa"/>
              <w:tblInd w:w="20" w:type="dxa"/>
              <w:tblBorders>
                <w:top w:val="single" w:sz="6" w:space="0" w:color="000000"/>
              </w:tblBorders>
              <w:tblLayout w:type="fixed"/>
              <w:tblLook w:val="01E0"/>
            </w:tblPrEx>
            <w:tc>
              <w:tcPr>
                <w:tcW w:w="1984" w:type="dxa"/>
                <w:noWrap w:val="0"/>
                <w:tcMar>
                  <w:top w:w="0" w:type="dxa"/>
                  <w:left w:w="0" w:type="dxa"/>
                  <w:bottom w:w="0" w:type="dxa"/>
                  <w:right w:w="0" w:type="dxa"/>
                </w:tcMar>
                <w:vAlign w:val="top"/>
              </w:tcPr>
              <w:p>
                <w:pPr>
                  <w:bidi w:val="0"/>
                  <w:jc w:val="left"/>
                  <w:rPr>
                    <w:rFonts w:ascii="Arial" w:eastAsia="Arial" w:hAnsi="Arial" w:cs="Arial"/>
                    <w:color w:val="000000"/>
                    <w:spacing w:val="0"/>
                    <w:sz w:val="12"/>
                    <w:szCs w:val="12"/>
                  </w:rPr>
                </w:pPr>
                <w:r>
                  <w:rPr>
                    <w:rFonts w:ascii="Arial" w:eastAsia="Arial" w:hAnsi="Arial" w:cs="Arial"/>
                    <w:color w:val="000000"/>
                    <w:spacing w:val="0"/>
                    <w:sz w:val="12"/>
                    <w:szCs w:val="12"/>
                  </w:rPr>
                  <w:t>IPM Sistemas Ltda</w:t>
                </w:r>
              </w:p>
              <w:p>
                <w:pPr>
                  <w:bidi w:val="0"/>
                  <w:jc w:val="left"/>
                  <w:rPr>
                    <w:rFonts w:ascii="Arial" w:eastAsia="Arial" w:hAnsi="Arial" w:cs="Arial"/>
                    <w:color w:val="000000"/>
                    <w:spacing w:val="0"/>
                    <w:sz w:val="12"/>
                    <w:szCs w:val="12"/>
                  </w:rPr>
                </w:pPr>
                <w:r>
                  <w:rPr>
                    <w:rFonts w:ascii="Arial" w:eastAsia="Arial" w:hAnsi="Arial" w:cs="Arial"/>
                    <w:color w:val="000000"/>
                    <w:spacing w:val="0"/>
                    <w:sz w:val="12"/>
                    <w:szCs w:val="12"/>
                  </w:rPr>
                  <w:t>Atende.Net - WCO v:2015.04</w:t>
                </w:r>
              </w:p>
            </w:tc>
            <w:tc>
              <w:tcPr>
                <w:tcW w:w="6805" w:type="dxa"/>
                <w:noWrap w:val="0"/>
                <w:tcMar>
                  <w:top w:w="0" w:type="dxa"/>
                  <w:left w:w="0" w:type="dxa"/>
                  <w:bottom w:w="0" w:type="dxa"/>
                  <w:right w:w="0" w:type="dxa"/>
                </w:tcMar>
                <w:vAlign w:val="top"/>
              </w:tcPr>
              <w:p>
                <w:pPr>
                  <w:bidi w:val="0"/>
                  <w:jc w:val="center"/>
                  <w:rPr>
                    <w:rFonts w:ascii="Arial" w:eastAsia="Arial" w:hAnsi="Arial" w:cs="Arial"/>
                    <w:color w:val="000000"/>
                    <w:spacing w:val="0"/>
                    <w:sz w:val="12"/>
                    <w:szCs w:val="12"/>
                  </w:rPr>
                </w:pPr>
                <w:r>
                  <w:rPr>
                    <w:rFonts w:ascii="Arial" w:eastAsia="Arial" w:hAnsi="Arial" w:cs="Arial"/>
                    <w:color w:val="000000"/>
                    <w:spacing w:val="0"/>
                    <w:sz w:val="12"/>
                    <w:szCs w:val="12"/>
                  </w:rPr>
                  <w:t>Identificador: WCO531201-2272-FXHWYZJWIRAVH-7 - Emitido por: DIEGO ELIAS ESTEVAM</w:t>
                </w:r>
              </w:p>
            </w:tc>
            <w:tc>
              <w:tcPr>
                <w:tcW w:w="1984" w:type="dxa"/>
                <w:noWrap w:val="0"/>
                <w:tcMar>
                  <w:top w:w="0" w:type="dxa"/>
                  <w:left w:w="0" w:type="dxa"/>
                  <w:bottom w:w="0" w:type="dxa"/>
                  <w:right w:w="0" w:type="dxa"/>
                </w:tcMar>
                <w:vAlign w:val="top"/>
              </w:tcPr>
              <w:tbl>
                <w:tblPr>
                  <w:tblStyle w:val="TableNormal"/>
                  <w:tblOverlap w:val="never"/>
                  <w:tblW w:w="1984" w:type="dxa"/>
                  <w:jc w:val="right"/>
                  <w:tblInd w:w="0" w:type="dxa"/>
                  <w:tblLayout w:type="fixed"/>
                  <w:tblCellMar>
                    <w:top w:w="0" w:type="dxa"/>
                    <w:left w:w="0" w:type="dxa"/>
                    <w:bottom w:w="0" w:type="dxa"/>
                    <w:right w:w="0" w:type="dxa"/>
                  </w:tblCellMar>
                  <w:tblLook w:val="01E0"/>
                </w:tblPr>
                <w:tblGrid>
                  <w:gridCol w:w="1984"/>
                </w:tblGrid>
                <w:tr>
                  <w:tblPrEx>
                    <w:tblW w:w="1984" w:type="dxa"/>
                    <w:jc w:val="right"/>
                    <w:tblInd w:w="0" w:type="dxa"/>
                    <w:tblLayout w:type="fixed"/>
                    <w:tblCellMar>
                      <w:top w:w="0" w:type="dxa"/>
                      <w:left w:w="0" w:type="dxa"/>
                      <w:bottom w:w="0" w:type="dxa"/>
                      <w:right w:w="0" w:type="dxa"/>
                    </w:tblCellMar>
                    <w:tblLook w:val="01E0"/>
                  </w:tblPrEx>
                  <w:trPr>
                    <w:jc w:val="right"/>
                  </w:trPr>
                  <w:tc>
                    <w:tcPr>
                      <w:tcW w:w="1984" w:type="dxa"/>
                      <w:noWrap w:val="0"/>
                      <w:tcMar>
                        <w:top w:w="0" w:type="dxa"/>
                        <w:left w:w="0" w:type="dxa"/>
                        <w:bottom w:w="0" w:type="dxa"/>
                        <w:right w:w="0" w:type="dxa"/>
                      </w:tcMar>
                      <w:vAlign w:val="top"/>
                    </w:tcPr>
                    <w:p>
                      <w:pPr>
                        <w:bidi w:val="0"/>
                        <w:spacing w:before="0" w:after="0"/>
                        <w:jc w:val="right"/>
                      </w:pPr>
                      <w:r>
                        <w:rPr>
                          <w:rFonts w:ascii="Arial" w:eastAsia="Arial" w:hAnsi="Arial" w:cs="Arial"/>
                          <w:color w:val="000000"/>
                          <w:spacing w:val="0"/>
                          <w:sz w:val="14"/>
                          <w:szCs w:val="14"/>
                        </w:rPr>
                        <w:t>29/05/2026 14:14:47 -03:00</w:t>
                      </w:r>
                    </w:p>
                  </w:tc>
                </w:tr>
              </w:tbl>
              <w:p>
                <w:pPr>
                  <w:spacing w:line="1" w:lineRule="auto"/>
                </w:pPr>
              </w:p>
            </w:tc>
          </w:tr>
        </w:tbl>
        <w:p>
          <w:pPr>
            <w:spacing w:line="1" w:lineRule="auto"/>
          </w:pPr>
        </w:p>
      </w:tc>
    </w:tr>
  </w:tbl>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988" w:type="dxa"/>
      <w:tblLayout w:type="fixed"/>
      <w:tblCellMar>
        <w:top w:w="0" w:type="dxa"/>
        <w:left w:w="0" w:type="dxa"/>
        <w:bottom w:w="0" w:type="dxa"/>
        <w:right w:w="0" w:type="dxa"/>
      </w:tblCellMar>
      <w:tblLook w:val="01E0"/>
    </w:tblPr>
    <w:tblGrid>
      <w:gridCol w:w="10988"/>
    </w:tblGrid>
    <w:tr>
      <w:tblPrEx>
        <w:tblW w:w="10988" w:type="dxa"/>
        <w:tblLayout w:type="fixed"/>
        <w:tblCellMar>
          <w:top w:w="0" w:type="dxa"/>
          <w:left w:w="0" w:type="dxa"/>
          <w:bottom w:w="0" w:type="dxa"/>
          <w:right w:w="0" w:type="dxa"/>
        </w:tblCellMar>
        <w:tblLook w:val="01E0"/>
      </w:tblPrEx>
      <w:trPr>
        <w:trHeight w:val="1417"/>
      </w:trPr>
      <w:tc>
        <w:tcPr>
          <w:tcW w:w="10988" w:type="dxa"/>
        </w:tcPr>
        <w:p/>
        <w:tbl>
          <w:tblPr>
            <w:tblStyle w:val="TableNormal"/>
            <w:tblOverlap w:val="never"/>
            <w:tblW w:w="10733" w:type="dxa"/>
            <w:tblInd w:w="20" w:type="dxa"/>
            <w:tblBorders>
              <w:bottom w:val="double" w:sz="6" w:space="0" w:color="000000"/>
            </w:tblBorders>
            <w:tblLayout w:type="fixed"/>
            <w:tblLook w:val="01E0"/>
          </w:tblPr>
          <w:tblGrid>
            <w:gridCol w:w="1693"/>
            <w:gridCol w:w="7346"/>
            <w:gridCol w:w="1694"/>
          </w:tblGrid>
          <w:tr>
            <w:tblPrEx>
              <w:tblW w:w="10733" w:type="dxa"/>
              <w:tblInd w:w="20" w:type="dxa"/>
              <w:tblBorders>
                <w:bottom w:val="double" w:sz="6" w:space="0" w:color="000000"/>
              </w:tblBorders>
              <w:tblLayout w:type="fixed"/>
              <w:tblLook w:val="01E0"/>
            </w:tblPrEx>
            <w:tc>
              <w:tcPr>
                <w:tcW w:w="1700" w:type="dxa"/>
                <w:noWrap w:val="0"/>
                <w:tcMar>
                  <w:top w:w="0" w:type="dxa"/>
                  <w:left w:w="0" w:type="dxa"/>
                  <w:bottom w:w="0" w:type="dxa"/>
                  <w:right w:w="0" w:type="dxa"/>
                </w:tcMar>
                <w:vAlign w:val="top"/>
              </w:tcPr>
              <w:p>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60pt;height:60pt">
                      <v:imagedata r:id="rId1" o:title=""/>
                    </v:shape>
                  </w:pict>
                </w:r>
              </w:p>
            </w:tc>
            <w:tc>
              <w:tcPr>
                <w:tcW w:w="7373" w:type="dxa"/>
                <w:noWrap w:val="0"/>
                <w:tcMar>
                  <w:top w:w="0" w:type="dxa"/>
                  <w:left w:w="0" w:type="dxa"/>
                  <w:bottom w:w="0" w:type="dxa"/>
                  <w:right w:w="0" w:type="dxa"/>
                </w:tcMar>
                <w:vAlign w:val="top"/>
              </w:tcPr>
              <w:p>
                <w:pPr>
                  <w:bidi w:val="0"/>
                  <w:jc w:val="center"/>
                  <w:rPr>
                    <w:rFonts w:ascii="Arial" w:eastAsia="Arial" w:hAnsi="Arial" w:cs="Arial"/>
                    <w:b/>
                    <w:bCs/>
                    <w:color w:val="000000"/>
                    <w:spacing w:val="0"/>
                    <w:sz w:val="22"/>
                    <w:szCs w:val="22"/>
                  </w:rPr>
                </w:pPr>
                <w:r>
                  <w:rPr>
                    <w:rFonts w:ascii="Arial" w:eastAsia="Arial" w:hAnsi="Arial" w:cs="Arial"/>
                    <w:b/>
                    <w:bCs/>
                    <w:color w:val="000000"/>
                    <w:spacing w:val="0"/>
                    <w:sz w:val="22"/>
                    <w:szCs w:val="22"/>
                  </w:rPr>
                  <w:t>MUNICIPIO DE MORRO DA FUMACA</w:t>
                </w:r>
              </w:p>
              <w:p>
                <w:pPr>
                  <w:bidi w:val="0"/>
                  <w:jc w:val="center"/>
                  <w:rPr>
                    <w:rFonts w:ascii="Arial" w:eastAsia="Arial" w:hAnsi="Arial" w:cs="Arial"/>
                    <w:color w:val="000000"/>
                    <w:spacing w:val="0"/>
                    <w:sz w:val="20"/>
                    <w:szCs w:val="20"/>
                  </w:rPr>
                </w:pPr>
                <w:r>
                  <w:rPr>
                    <w:rFonts w:ascii="Arial" w:eastAsia="Arial" w:hAnsi="Arial" w:cs="Arial"/>
                    <w:color w:val="000000"/>
                    <w:spacing w:val="0"/>
                    <w:sz w:val="20"/>
                    <w:szCs w:val="20"/>
                  </w:rPr>
                  <w:t>Compras e Contratos</w:t>
                </w:r>
              </w:p>
              <w:p>
                <w:pPr>
                  <w:bidi w:val="0"/>
                  <w:jc w:val="center"/>
                  <w:rPr>
                    <w:rFonts w:ascii="Arial" w:eastAsia="Arial" w:hAnsi="Arial" w:cs="Arial"/>
                    <w:color w:val="000000"/>
                    <w:spacing w:val="0"/>
                    <w:sz w:val="20"/>
                    <w:szCs w:val="20"/>
                  </w:rPr>
                </w:pPr>
                <w:r>
                  <w:rPr>
                    <w:rFonts w:ascii="Arial" w:eastAsia="Arial" w:hAnsi="Arial" w:cs="Arial"/>
                    <w:color w:val="000000"/>
                    <w:spacing w:val="0"/>
                    <w:sz w:val="20"/>
                    <w:szCs w:val="20"/>
                  </w:rPr>
                  <w:t>Aviso de Licitação</w:t>
                </w:r>
              </w:p>
              <w:tbl>
                <w:tblPr>
                  <w:tblStyle w:val="TableNormal"/>
                  <w:tblOverlap w:val="never"/>
                  <w:tblW w:w="7373" w:type="dxa"/>
                  <w:jc w:val="center"/>
                  <w:tblInd w:w="0" w:type="dxa"/>
                  <w:tblLayout w:type="fixed"/>
                  <w:tblCellMar>
                    <w:top w:w="0" w:type="dxa"/>
                    <w:left w:w="0" w:type="dxa"/>
                    <w:bottom w:w="0" w:type="dxa"/>
                    <w:right w:w="0" w:type="dxa"/>
                  </w:tblCellMar>
                  <w:tblLook w:val="01E0"/>
                </w:tblPr>
                <w:tblGrid>
                  <w:gridCol w:w="7373"/>
                </w:tblGrid>
                <w:tr>
                  <w:tblPrEx>
                    <w:tblW w:w="7373" w:type="dxa"/>
                    <w:jc w:val="center"/>
                    <w:tblInd w:w="0" w:type="dxa"/>
                    <w:tblLayout w:type="fixed"/>
                    <w:tblCellMar>
                      <w:top w:w="0" w:type="dxa"/>
                      <w:left w:w="0" w:type="dxa"/>
                      <w:bottom w:w="0" w:type="dxa"/>
                      <w:right w:w="0" w:type="dxa"/>
                    </w:tblCellMar>
                    <w:tblLook w:val="01E0"/>
                  </w:tblPrEx>
                  <w:trPr>
                    <w:jc w:val="center"/>
                  </w:trPr>
                  <w:tc>
                    <w:tcPr>
                      <w:tcW w:w="73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16"/>
                          <w:szCs w:val="16"/>
                        </w:rPr>
                        <w:t>Ano - Minuta - Licitação: 2026 Número - Minuta - Licitação: 93 Entidade - Processo Administrativo - Minuta - Licitação: 2035 Aviso de Licitação(1618) - Sequência: 1</w:t>
                      </w:r>
                    </w:p>
                  </w:tc>
                </w:tr>
              </w:tbl>
              <w:p>
                <w:pPr>
                  <w:spacing w:line="1" w:lineRule="auto"/>
                </w:pPr>
              </w:p>
            </w:tc>
            <w:tc>
              <w:tcPr>
                <w:tcW w:w="1700" w:type="dxa"/>
                <w:noWrap w:val="0"/>
                <w:tcMar>
                  <w:top w:w="0" w:type="dxa"/>
                  <w:left w:w="0" w:type="dxa"/>
                  <w:bottom w:w="0" w:type="dxa"/>
                  <w:right w:w="0" w:type="dxa"/>
                </w:tcMar>
                <w:vAlign w:val="top"/>
              </w:tcPr>
              <w:p/>
              <w:tbl>
                <w:tblPr>
                  <w:tblStyle w:val="TableNormal"/>
                  <w:tblOverlap w:val="never"/>
                  <w:tblW w:w="1660" w:type="dxa"/>
                  <w:jc w:val="right"/>
                  <w:tblInd w:w="20" w:type="dxa"/>
                  <w:tblLayout w:type="fixed"/>
                  <w:tblLook w:val="01E0"/>
                </w:tblPr>
                <w:tblGrid>
                  <w:gridCol w:w="557"/>
                  <w:gridCol w:w="412"/>
                  <w:gridCol w:w="278"/>
                  <w:gridCol w:w="413"/>
                </w:tblGrid>
                <w:tr>
                  <w:tblPrEx>
                    <w:tblW w:w="1660" w:type="dxa"/>
                    <w:jc w:val="right"/>
                    <w:tblInd w:w="20" w:type="dxa"/>
                    <w:tblLayout w:type="fixed"/>
                    <w:tblLook w:val="01E0"/>
                  </w:tblPrEx>
                  <w:trPr>
                    <w:jc w:val="right"/>
                  </w:trPr>
                  <w:tc>
                    <w:tcPr>
                      <w:tcW w:w="570" w:type="dxa"/>
                      <w:noWrap w:val="0"/>
                      <w:tcMar>
                        <w:top w:w="0" w:type="dxa"/>
                        <w:left w:w="0" w:type="dxa"/>
                        <w:bottom w:w="0" w:type="dxa"/>
                        <w:right w:w="0" w:type="dxa"/>
                      </w:tcMar>
                      <w:vAlign w:val="top"/>
                    </w:tcPr>
                    <w:p>
                      <w:pPr>
                        <w:bidi w:val="0"/>
                        <w:jc w:val="right"/>
                        <w:rPr>
                          <w:rFonts w:ascii="Arial" w:eastAsia="Arial" w:hAnsi="Arial" w:cs="Arial"/>
                          <w:color w:val="000000"/>
                          <w:spacing w:val="0"/>
                          <w:sz w:val="14"/>
                          <w:szCs w:val="14"/>
                        </w:rPr>
                      </w:pPr>
                      <w:r>
                        <w:rPr>
                          <w:rFonts w:ascii="Arial" w:eastAsia="Arial" w:hAnsi="Arial" w:cs="Arial"/>
                          <w:color w:val="000000"/>
                          <w:spacing w:val="0"/>
                          <w:sz w:val="14"/>
                          <w:szCs w:val="14"/>
                        </w:rPr>
                        <w:t>Pág</w:t>
                      </w:r>
                    </w:p>
                  </w:tc>
                  <w:tc>
                    <w:tcPr>
                      <w:tcW w:w="422" w:type="dxa"/>
                      <w:noWrap w:val="0"/>
                      <w:tcMar>
                        <w:top w:w="0" w:type="dxa"/>
                        <w:left w:w="0" w:type="dxa"/>
                        <w:bottom w:w="0" w:type="dxa"/>
                        <w:right w:w="0" w:type="dxa"/>
                      </w:tcMar>
                      <w:vAlign w:val="top"/>
                    </w:tcPr>
                    <w:p>
                      <w:pPr>
                        <w:bidi w:val="0"/>
                        <w:jc w:val="right"/>
                        <w:rPr>
                          <w:rFonts w:ascii="Arial" w:eastAsia="Arial" w:hAnsi="Arial" w:cs="Arial"/>
                          <w:color w:val="000000"/>
                          <w:spacing w:val="0"/>
                          <w:sz w:val="14"/>
                          <w:szCs w:val="14"/>
                        </w:rPr>
                      </w:pPr>
                      <w:r>
                        <w:rPr>
                          <w:rFonts w:ascii="Arial" w:eastAsia="Arial" w:hAnsi="Arial" w:cs="Arial"/>
                        </w:rPr>
                        <w:fldChar w:fldCharType="begin"/>
                      </w:r>
                      <w:r>
                        <w:rPr>
                          <w:rFonts w:ascii="Arial" w:eastAsia="Arial" w:hAnsi="Arial" w:cs="Arial"/>
                          <w:color w:val="000000"/>
                          <w:spacing w:val="0"/>
                          <w:sz w:val="14"/>
                          <w:szCs w:val="14"/>
                        </w:rPr>
                        <w:instrText>PAGE</w:instrText>
                      </w:r>
                      <w:r>
                        <w:rPr>
                          <w:rFonts w:ascii="Arial" w:eastAsia="Arial" w:hAnsi="Arial" w:cs="Arial"/>
                        </w:rPr>
                        <w:fldChar w:fldCharType="separate"/>
                      </w:r>
                      <w:r>
                        <w:rPr>
                          <w:rFonts w:ascii="Arial" w:eastAsia="Arial" w:hAnsi="Arial" w:cs="Arial"/>
                        </w:rPr>
                        <w:fldChar w:fldCharType="end"/>
                      </w:r>
                    </w:p>
                  </w:tc>
                  <w:tc>
                    <w:tcPr>
                      <w:tcW w:w="285" w:type="dxa"/>
                      <w:noWrap w:val="0"/>
                      <w:tcMar>
                        <w:top w:w="0" w:type="dxa"/>
                        <w:left w:w="0" w:type="dxa"/>
                        <w:bottom w:w="0" w:type="dxa"/>
                        <w:right w:w="0" w:type="dxa"/>
                      </w:tcMar>
                      <w:vAlign w:val="top"/>
                    </w:tcPr>
                    <w:p>
                      <w:pPr>
                        <w:bidi w:val="0"/>
                        <w:jc w:val="center"/>
                        <w:rPr>
                          <w:rFonts w:ascii="Arial" w:eastAsia="Arial" w:hAnsi="Arial" w:cs="Arial"/>
                          <w:color w:val="000000"/>
                          <w:spacing w:val="0"/>
                          <w:sz w:val="14"/>
                          <w:szCs w:val="14"/>
                        </w:rPr>
                      </w:pPr>
                      <w:r>
                        <w:rPr>
                          <w:rFonts w:ascii="Arial" w:eastAsia="Arial" w:hAnsi="Arial" w:cs="Arial"/>
                          <w:color w:val="000000"/>
                          <w:spacing w:val="0"/>
                          <w:sz w:val="14"/>
                          <w:szCs w:val="14"/>
                        </w:rPr>
                        <w:t>/</w:t>
                      </w:r>
                    </w:p>
                  </w:tc>
                  <w:tc>
                    <w:tcPr>
                      <w:tcW w:w="423" w:type="dxa"/>
                      <w:noWrap w:val="0"/>
                      <w:tcMar>
                        <w:top w:w="0" w:type="dxa"/>
                        <w:left w:w="0" w:type="dxa"/>
                        <w:bottom w:w="0" w:type="dxa"/>
                        <w:right w:w="0" w:type="dxa"/>
                      </w:tcMar>
                      <w:vAlign w:val="top"/>
                    </w:tcPr>
                    <w:p>
                      <w:pPr>
                        <w:bidi w:val="0"/>
                        <w:jc w:val="left"/>
                        <w:rPr>
                          <w:rFonts w:ascii="Arial" w:eastAsia="Arial" w:hAnsi="Arial" w:cs="Arial"/>
                          <w:color w:val="000000"/>
                          <w:spacing w:val="0"/>
                          <w:sz w:val="14"/>
                          <w:szCs w:val="14"/>
                        </w:rPr>
                      </w:pPr>
                      <w:r>
                        <w:rPr>
                          <w:rFonts w:ascii="Arial" w:eastAsia="Arial" w:hAnsi="Arial" w:cs="Arial"/>
                        </w:rPr>
                        <w:fldChar w:fldCharType="begin"/>
                      </w:r>
                      <w:r>
                        <w:rPr>
                          <w:rFonts w:ascii="Arial" w:eastAsia="Arial" w:hAnsi="Arial" w:cs="Arial"/>
                          <w:color w:val="000000"/>
                          <w:spacing w:val="0"/>
                          <w:sz w:val="14"/>
                          <w:szCs w:val="14"/>
                        </w:rPr>
                        <w:instrText>NUMPAGES</w:instrText>
                      </w:r>
                      <w:r>
                        <w:rPr>
                          <w:rFonts w:ascii="Arial" w:eastAsia="Arial" w:hAnsi="Arial" w:cs="Arial"/>
                        </w:rPr>
                        <w:fldChar w:fldCharType="separate"/>
                      </w:r>
                      <w:r>
                        <w:rPr>
                          <w:rFonts w:ascii="Arial" w:eastAsia="Arial" w:hAnsi="Arial" w:cs="Arial"/>
                        </w:rPr>
                        <w:fldChar w:fldCharType="end"/>
                      </w:r>
                    </w:p>
                  </w:tc>
                </w:tr>
              </w:tbl>
              <w:p>
                <w:pPr>
                  <w:spacing w:line="1" w:lineRule="auto"/>
                </w:pPr>
              </w:p>
            </w:tc>
          </w:tr>
        </w:tbl>
        <w:p>
          <w:pPr>
            <w:spacing w:line="1" w:lineRule="auto"/>
          </w:pPr>
        </w:p>
      </w:tc>
    </w:tr>
  </w:tbl>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noPunctuationKerning/>
  <w:characterSpacingControl w:val="doNotCompress"/>
  <w:compat>
    <w:doNotBreakWrappedTables/>
    <w:doNotSnapToGridInCell/>
    <w:doNotWrapTextWithPunct/>
    <w:doNotUseEastAsianBreakRules/>
    <w:growAutofit/>
    <w:doNotUseIndentAsNumberingTabStop/>
    <w:autofitToFirstFixedWidthCell/>
    <w:splitPgBreakAndParaMark/>
    <w:doNotVertAlignCellWithSp/>
    <w:doNotVertAlignInTxbx/>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style>
  <w:style w:type="character" w:default="1" w:styleId="DefaultParagraphFont">
    <w:name w:val="Default Paragraph Font"/>
    <w:semiHidden/>
  </w:style>
  <w:style w:type="table" w:default="1" w:styleId="TableNormal">
    <w:name w:val="Normal Table"/>
    <w:tblPr>
      <w:tblInd w:w="0" w:type="dxa"/>
      <w:tblCellMar>
        <w:top w:w="0" w:type="dxa"/>
        <w:left w:w="108" w:type="dxa"/>
        <w:bottom w:w="0" w:type="dxa"/>
        <w:right w:w="108" w:type="dxa"/>
      </w:tblCellMar>
    </w:tblPr>
  </w:style>
  <w:style w:type="paragraph" w:styleId="TOC4">
    <w:name w:val="toc 4"/>
    <w:autoRedefine/>
    <w:semiHidden/>
    <w:rsid w:val="009B3C8F"/>
    <w:pPr>
      <w:bidi w:val="0"/>
    </w:pPr>
  </w:style>
  <w:style w:type="character" w:styleId="Hyperlink">
    <w:name w:val="Hyperlink"/>
    <w:rPr>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