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</w:r>
    </w:p>
    <w:p>
      <w:pPr>
        <w:pStyle w:val="Normal"/>
        <w:spacing w:lineRule="auto" w:line="36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JULGAMENTO DE </w:t>
      </w:r>
      <w:r>
        <w:rPr>
          <w:b/>
          <w:sz w:val="24"/>
          <w:szCs w:val="24"/>
          <w:u w:val="single"/>
        </w:rPr>
        <w:t>RECURSO</w:t>
      </w:r>
    </w:p>
    <w:p>
      <w:pPr>
        <w:pStyle w:val="Normal"/>
        <w:widowControl/>
        <w:bidi w:val="0"/>
        <w:spacing w:lineRule="auto" w:line="360" w:before="0" w:after="0"/>
        <w:ind w:hanging="0" w:left="-567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/>
        <w:bidi w:val="0"/>
        <w:spacing w:lineRule="auto" w:line="360" w:before="0" w:after="0"/>
        <w:ind w:hanging="0" w:left="-567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Licitação: Pregão </w:t>
      </w:r>
      <w:r>
        <w:rPr>
          <w:rFonts w:ascii="Arial" w:hAnsi="Arial"/>
          <w:sz w:val="20"/>
          <w:szCs w:val="20"/>
        </w:rPr>
        <w:t>Eletrônico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153</w:t>
      </w:r>
      <w:r>
        <w:rPr>
          <w:rFonts w:ascii="Arial" w:hAnsi="Arial"/>
          <w:sz w:val="20"/>
          <w:szCs w:val="20"/>
        </w:rPr>
        <w:t>/202</w:t>
      </w:r>
      <w:r>
        <w:rPr>
          <w:rFonts w:ascii="Arial" w:hAnsi="Arial"/>
          <w:sz w:val="20"/>
          <w:szCs w:val="20"/>
        </w:rPr>
        <w:t>4</w:t>
      </w:r>
    </w:p>
    <w:p>
      <w:pPr>
        <w:pStyle w:val="Normal"/>
        <w:widowControl/>
        <w:bidi w:val="0"/>
        <w:spacing w:lineRule="auto" w:line="360" w:before="0" w:after="0"/>
        <w:ind w:hanging="0" w:left="-624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/>
        <w:bidi w:val="0"/>
        <w:spacing w:lineRule="auto" w:line="360" w:before="0" w:after="0"/>
        <w:ind w:hanging="0" w:left="-624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Objeto: </w:t>
      </w:r>
      <w:r>
        <w:rPr>
          <w:rFonts w:eastAsia="Arial" w:cs="Arial" w:ascii="Arial" w:hAnsi="Arial"/>
          <w:i/>
          <w:iCs/>
          <w:color w:val="000000"/>
          <w:sz w:val="20"/>
          <w:szCs w:val="20"/>
        </w:rPr>
        <w:t xml:space="preserve">AQUISIÇÃO E RECARGA DE EXTINTORES DE INCÊNDIO, SINALIZAÇÃO E ILUMINAÇÃO DE EMERGÊNCIA PARA A REDE MUNICIPAL DE EDUCAÇÃO </w:t>
      </w:r>
    </w:p>
    <w:p>
      <w:pPr>
        <w:pStyle w:val="Normal"/>
        <w:widowControl/>
        <w:bidi w:val="0"/>
        <w:spacing w:lineRule="auto" w:line="360" w:before="0" w:after="0"/>
        <w:ind w:hanging="0" w:left="-567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/>
        <w:bidi w:val="0"/>
        <w:spacing w:lineRule="auto" w:line="360" w:before="0" w:after="0"/>
        <w:ind w:hanging="0" w:left="-567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RESUMO:</w:t>
      </w:r>
    </w:p>
    <w:p>
      <w:pPr>
        <w:pStyle w:val="Normal"/>
        <w:widowControl/>
        <w:bidi w:val="0"/>
        <w:spacing w:lineRule="auto" w:line="360" w:before="0" w:after="0"/>
        <w:ind w:firstLine="680" w:left="-624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 xml:space="preserve">Trata-se de </w:t>
      </w:r>
      <w:r>
        <w:rPr>
          <w:rFonts w:ascii="Arial" w:hAnsi="Arial"/>
          <w:b w:val="false"/>
          <w:bCs w:val="false"/>
          <w:sz w:val="20"/>
          <w:szCs w:val="20"/>
        </w:rPr>
        <w:t>Recurso</w:t>
      </w:r>
      <w:r>
        <w:rPr>
          <w:rFonts w:ascii="Arial" w:hAnsi="Arial"/>
          <w:b w:val="false"/>
          <w:bCs w:val="false"/>
          <w:sz w:val="20"/>
          <w:szCs w:val="20"/>
        </w:rPr>
        <w:t xml:space="preserve"> apresentada pela empresa </w:t>
      </w:r>
      <w:r>
        <w:rPr>
          <w:rFonts w:ascii="Arial" w:hAnsi="Arial"/>
          <w:b/>
          <w:bCs/>
          <w:sz w:val="20"/>
          <w:szCs w:val="20"/>
        </w:rPr>
        <w:t xml:space="preserve">FOCO ELÉTRICA LTDA, </w:t>
      </w:r>
      <w:r>
        <w:rPr>
          <w:rFonts w:ascii="Arial" w:hAnsi="Arial"/>
          <w:b w:val="false"/>
          <w:bCs w:val="false"/>
          <w:sz w:val="20"/>
          <w:szCs w:val="20"/>
        </w:rPr>
        <w:t>do ocorrido</w:t>
      </w:r>
      <w:r>
        <w:rPr>
          <w:rFonts w:ascii="Arial" w:hAnsi="Arial"/>
          <w:b w:val="false"/>
          <w:bCs w:val="false"/>
          <w:sz w:val="20"/>
          <w:szCs w:val="20"/>
        </w:rPr>
        <w:t xml:space="preserve">: a) </w:t>
      </w:r>
      <w:r>
        <w:rPr>
          <w:rFonts w:ascii="Arial" w:hAnsi="Arial"/>
          <w:b w:val="false"/>
          <w:bCs w:val="false"/>
          <w:sz w:val="20"/>
          <w:szCs w:val="20"/>
        </w:rPr>
        <w:t xml:space="preserve">a empresa foi desclassificada </w:t>
      </w:r>
      <w:r>
        <w:rPr>
          <w:rFonts w:ascii="Arial" w:hAnsi="Arial"/>
          <w:b w:val="false"/>
          <w:bCs w:val="false"/>
          <w:sz w:val="20"/>
          <w:szCs w:val="20"/>
        </w:rPr>
        <w:t xml:space="preserve">no </w:t>
      </w:r>
      <w:r>
        <w:rPr>
          <w:rFonts w:ascii="Arial" w:hAnsi="Arial"/>
          <w:b/>
          <w:bCs/>
          <w:sz w:val="20"/>
          <w:szCs w:val="20"/>
        </w:rPr>
        <w:t xml:space="preserve">item 8 – Luminária de emergência, 13,2 W, sem reator, fluxo luminoso mínimo de 100 lumens, </w:t>
      </w:r>
      <w:r>
        <w:rPr>
          <w:rFonts w:ascii="Arial" w:hAnsi="Arial"/>
          <w:b w:val="false"/>
          <w:bCs w:val="false"/>
          <w:sz w:val="20"/>
          <w:szCs w:val="20"/>
        </w:rPr>
        <w:t xml:space="preserve">por não ter apresentado atestado de capacidade técnica, exigência essa que estava descrita na habilitação, em sua defesa a mesma apresentou um atestado posterior </w:t>
      </w:r>
      <w:r>
        <w:rPr>
          <w:rFonts w:ascii="Arial" w:hAnsi="Arial"/>
          <w:b w:val="false"/>
          <w:bCs w:val="false"/>
          <w:sz w:val="20"/>
          <w:szCs w:val="20"/>
        </w:rPr>
        <w:t xml:space="preserve">e com data posterior </w:t>
      </w:r>
      <w:r>
        <w:rPr>
          <w:rFonts w:ascii="Arial" w:hAnsi="Arial"/>
          <w:b w:val="false"/>
          <w:bCs w:val="false"/>
          <w:sz w:val="20"/>
          <w:szCs w:val="20"/>
        </w:rPr>
        <w:t xml:space="preserve">a </w:t>
      </w:r>
      <w:r>
        <w:rPr>
          <w:rFonts w:ascii="Arial" w:hAnsi="Arial"/>
          <w:b w:val="false"/>
          <w:bCs w:val="false"/>
          <w:sz w:val="20"/>
          <w:szCs w:val="20"/>
        </w:rPr>
        <w:t>realização</w:t>
      </w:r>
      <w:r>
        <w:rPr>
          <w:rFonts w:ascii="Arial" w:hAnsi="Arial"/>
          <w:b w:val="false"/>
          <w:bCs w:val="false"/>
          <w:sz w:val="20"/>
          <w:szCs w:val="20"/>
        </w:rPr>
        <w:t xml:space="preserve"> do certame, afirmando que tal documento demonstra condição pré-existente ao pregão.</w:t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/>
        <w:bidi w:val="0"/>
        <w:spacing w:lineRule="auto" w:line="360" w:before="0" w:after="0"/>
        <w:ind w:hanging="0" w:left="-510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DA DECISÃO:</w:t>
      </w:r>
    </w:p>
    <w:p>
      <w:pPr>
        <w:pStyle w:val="Normal"/>
        <w:widowControl/>
        <w:bidi w:val="0"/>
        <w:spacing w:lineRule="auto" w:line="360" w:before="0" w:after="0"/>
        <w:ind w:hanging="0" w:left="-624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  <w:t xml:space="preserve">Referente ao pedido da empresa </w:t>
      </w:r>
      <w:r>
        <w:rPr>
          <w:rFonts w:ascii="Arial" w:hAnsi="Arial"/>
          <w:b/>
          <w:bCs/>
          <w:sz w:val="20"/>
          <w:szCs w:val="20"/>
        </w:rPr>
        <w:t>FOCO ELÉTRICA LTDA:</w:t>
      </w:r>
    </w:p>
    <w:p>
      <w:pPr>
        <w:pStyle w:val="Normal"/>
        <w:widowControl/>
        <w:bidi w:val="0"/>
        <w:spacing w:lineRule="auto" w:line="360" w:before="0" w:after="0"/>
        <w:ind w:hanging="0" w:left="-624" w:right="0"/>
        <w:jc w:val="both"/>
        <w:rPr>
          <w:b w:val="false"/>
          <w:bCs w:val="false"/>
        </w:rPr>
      </w:pPr>
      <w:r>
        <w:rPr>
          <w:rFonts w:ascii="Arial" w:hAnsi="Arial"/>
          <w:b w:val="false"/>
          <w:bCs w:val="false"/>
          <w:sz w:val="20"/>
          <w:szCs w:val="20"/>
        </w:rPr>
        <w:t>A comissão de licitações recebeu o atestado de capacidade técnica enviado pela empresa FOCO ELÉTRICA LTDA juntamente ao seu recurso.</w:t>
      </w:r>
    </w:p>
    <w:p>
      <w:pPr>
        <w:pStyle w:val="Normal"/>
        <w:widowControl/>
        <w:bidi w:val="0"/>
        <w:spacing w:lineRule="auto" w:line="360" w:before="0" w:after="0"/>
        <w:ind w:hanging="0" w:left="-624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ab/>
      </w:r>
      <w:r>
        <w:rPr>
          <w:rFonts w:ascii="Arial" w:hAnsi="Arial"/>
          <w:b w:val="false"/>
          <w:bCs w:val="false"/>
          <w:sz w:val="20"/>
          <w:szCs w:val="20"/>
        </w:rPr>
        <w:t xml:space="preserve">O edital 153/2024 menciona </w:t>
      </w:r>
      <w:r>
        <w:rPr>
          <w:rFonts w:ascii="Arial" w:hAnsi="Arial"/>
          <w:b w:val="false"/>
          <w:bCs w:val="false"/>
          <w:i w:val="false"/>
          <w:iCs w:val="false"/>
          <w:sz w:val="20"/>
          <w:szCs w:val="20"/>
          <w:u w:val="single"/>
        </w:rPr>
        <w:t>“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0"/>
          <w:szCs w:val="20"/>
          <w:u w:val="single"/>
        </w:rPr>
        <w:t xml:space="preserve">14.6.1 Para fins de habilitação, para os itens 01 a 09, deverá o licitante apresentar 01 (um) Atestado de Capacidade Técnica, fornecido por pessoa jurídica de direito público ou privado, comprovando que a proponente forneceu de forma satisfatória os itens com características e quantitativos similares.” </w:t>
      </w:r>
    </w:p>
    <w:p>
      <w:pPr>
        <w:pStyle w:val="Normal"/>
        <w:widowControl/>
        <w:bidi w:val="0"/>
        <w:spacing w:lineRule="auto" w:line="360" w:before="0" w:after="0"/>
        <w:ind w:firstLine="680" w:left="-624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 xml:space="preserve">Fora verificado que, a empresa citada apresentou atestado </w:t>
      </w:r>
      <w:r>
        <w:rPr>
          <w:rFonts w:ascii="Arial" w:hAnsi="Arial"/>
          <w:b w:val="false"/>
          <w:bCs w:val="false"/>
          <w:sz w:val="20"/>
          <w:szCs w:val="20"/>
        </w:rPr>
        <w:t xml:space="preserve">de capacidade técnica, a onde a soma dos objetos similares descrito nos empenhos que foram contratados antes da realização do certame, corresponde a mais de 50% do total solicitado no processo 153/2024. </w:t>
      </w:r>
    </w:p>
    <w:p>
      <w:pPr>
        <w:pStyle w:val="Normal"/>
        <w:widowControl/>
        <w:bidi w:val="0"/>
        <w:spacing w:lineRule="auto" w:line="360" w:before="0" w:after="0"/>
        <w:ind w:firstLine="680" w:left="-624" w:right="0"/>
        <w:jc w:val="both"/>
        <w:rPr>
          <w:rFonts w:ascii="Arial" w:hAnsi="Arial"/>
          <w:sz w:val="20"/>
          <w:szCs w:val="20"/>
        </w:rPr>
      </w:pPr>
      <w:r>
        <w:rPr/>
      </w:r>
    </w:p>
    <w:p>
      <w:pPr>
        <w:pStyle w:val="Normal"/>
        <w:widowControl/>
        <w:bidi w:val="0"/>
        <w:spacing w:lineRule="auto" w:line="360" w:before="0" w:after="0"/>
        <w:ind w:hanging="0" w:left="-624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  <w:t>Pelo exposto e com base n</w:t>
      </w:r>
      <w:r>
        <w:rPr>
          <w:rFonts w:ascii="Arial" w:hAnsi="Arial"/>
          <w:sz w:val="20"/>
          <w:szCs w:val="20"/>
        </w:rPr>
        <w:t>os documentos apresentados</w:t>
      </w:r>
      <w:r>
        <w:rPr>
          <w:rFonts w:ascii="Arial" w:hAnsi="Arial"/>
          <w:sz w:val="20"/>
          <w:szCs w:val="20"/>
        </w:rPr>
        <w:t xml:space="preserve">, conhece-se das impugnações e, no mérito, defere-se a mesma. </w:t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/>
        <w:bidi w:val="0"/>
        <w:spacing w:lineRule="auto" w:line="360" w:before="0" w:after="0"/>
        <w:ind w:hanging="0" w:left="-567" w:righ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Chapecó – SC, </w:t>
      </w:r>
      <w:r>
        <w:rPr>
          <w:rFonts w:ascii="Arial" w:hAnsi="Arial"/>
          <w:sz w:val="20"/>
          <w:szCs w:val="20"/>
        </w:rPr>
        <w:t>01</w:t>
      </w:r>
      <w:r>
        <w:rPr>
          <w:rFonts w:ascii="Arial" w:hAnsi="Arial"/>
          <w:sz w:val="20"/>
          <w:szCs w:val="20"/>
        </w:rPr>
        <w:t xml:space="preserve"> de </w:t>
      </w:r>
      <w:r>
        <w:rPr>
          <w:rFonts w:ascii="Arial" w:hAnsi="Arial"/>
          <w:sz w:val="20"/>
          <w:szCs w:val="20"/>
        </w:rPr>
        <w:t>outubro</w:t>
      </w:r>
      <w:r>
        <w:rPr>
          <w:rFonts w:ascii="Arial" w:hAnsi="Arial"/>
          <w:sz w:val="20"/>
          <w:szCs w:val="20"/>
        </w:rPr>
        <w:t xml:space="preserve"> de 202</w:t>
      </w:r>
      <w:r>
        <w:rPr>
          <w:rFonts w:ascii="Arial" w:hAnsi="Arial"/>
          <w:sz w:val="20"/>
          <w:szCs w:val="20"/>
        </w:rPr>
        <w:t>4.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-850" w:right="0"/>
        <w:jc w:val="center"/>
        <w:rPr/>
      </w:pPr>
      <w:r>
        <w:rPr>
          <w:rFonts w:ascii="Arial" w:hAnsi="Arial"/>
          <w:sz w:val="20"/>
          <w:szCs w:val="20"/>
        </w:rPr>
        <w:t xml:space="preserve">     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-850" w:right="0"/>
        <w:jc w:val="center"/>
        <w:rPr/>
      </w:pPr>
      <w:r>
        <w:rPr>
          <w:rFonts w:ascii="Arial" w:hAnsi="Arial"/>
          <w:sz w:val="20"/>
          <w:szCs w:val="20"/>
        </w:rPr>
        <w:t xml:space="preserve">      </w:t>
      </w:r>
      <w:r>
        <w:rPr>
          <w:rFonts w:ascii="Arial" w:hAnsi="Arial"/>
          <w:b/>
          <w:bCs/>
          <w:sz w:val="20"/>
          <w:szCs w:val="20"/>
        </w:rPr>
        <w:t>Valquiria Astrigi</w:t>
      </w:r>
      <w:r>
        <w:rPr>
          <w:rFonts w:ascii="Arial" w:hAnsi="Arial"/>
          <w:sz w:val="20"/>
          <w:szCs w:val="20"/>
        </w:rPr>
        <w:tab/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-850" w:right="0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lang w:eastAsia="en-US"/>
        </w:rPr>
        <w:t xml:space="preserve">Pregoeira                            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-850" w:right="0"/>
        <w:jc w:val="center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n-US"/>
        </w:rPr>
        <w:t xml:space="preserve">                                              </w:t>
      </w:r>
      <w:r>
        <w:rPr>
          <w:rFonts w:cs="Arial" w:ascii="Arial" w:hAnsi="Arial"/>
          <w:b/>
          <w:bCs/>
          <w:color w:val="000000"/>
          <w:sz w:val="20"/>
          <w:szCs w:val="20"/>
          <w:lang w:eastAsia="en-US"/>
        </w:rPr>
        <w:t>Município de Chapecó/SC</w:t>
      </w:r>
      <w:r>
        <w:rPr>
          <w:rFonts w:cs="Arial" w:ascii="Arial" w:hAnsi="Arial"/>
          <w:b/>
          <w:bCs/>
          <w:color w:val="000000"/>
          <w:sz w:val="20"/>
          <w:szCs w:val="20"/>
          <w:lang w:eastAsia="en-US"/>
        </w:rPr>
        <w:t xml:space="preserve">    </w:t>
      </w: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n-US"/>
        </w:rPr>
        <w:t xml:space="preserve">                      </w:t>
      </w:r>
      <w:r>
        <w:rPr>
          <w:rFonts w:ascii="Arial" w:hAnsi="Arial"/>
          <w:sz w:val="20"/>
          <w:szCs w:val="20"/>
        </w:rPr>
        <w:tab/>
        <w:tab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849" w:gutter="0" w:header="426" w:top="1196" w:footer="0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2"/>
      </w:rPr>
    </w:pPr>
    <w:r>
      <w:rPr/>
      <w:drawing>
        <wp:inline distT="0" distB="0" distL="0" distR="0">
          <wp:extent cx="609600" cy="64770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>
        <w:b/>
        <w:sz w:val="22"/>
      </w:rPr>
    </w:pPr>
    <w:r>
      <w:rPr>
        <w:i/>
        <w:sz w:val="22"/>
      </w:rPr>
      <w:t>ESTADO DE SANTA CATARINA</w:t>
    </w:r>
  </w:p>
  <w:p>
    <w:pPr>
      <w:pStyle w:val="Header"/>
      <w:jc w:val="center"/>
      <w:rPr>
        <w:b/>
        <w:sz w:val="22"/>
      </w:rPr>
    </w:pPr>
    <w:r>
      <w:rPr>
        <w:b/>
        <w:sz w:val="22"/>
      </w:rPr>
      <w:t>MUNICIPIO DE CHAPECÓ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2"/>
      </w:rPr>
    </w:pPr>
    <w:r>
      <w:rPr/>
      <w:drawing>
        <wp:inline distT="0" distB="0" distL="0" distR="0">
          <wp:extent cx="609600" cy="647700"/>
          <wp:effectExtent l="0" t="0" r="0" b="0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>
        <w:b/>
        <w:sz w:val="22"/>
      </w:rPr>
    </w:pPr>
    <w:r>
      <w:rPr>
        <w:i/>
        <w:sz w:val="22"/>
      </w:rPr>
      <w:t>ESTADO DE SANTA CATARINA</w:t>
    </w:r>
  </w:p>
  <w:p>
    <w:pPr>
      <w:pStyle w:val="Header"/>
      <w:jc w:val="center"/>
      <w:rPr>
        <w:b/>
        <w:sz w:val="22"/>
      </w:rPr>
    </w:pPr>
    <w:r>
      <w:rPr>
        <w:b/>
        <w:sz w:val="22"/>
      </w:rPr>
      <w:t>MUNICIPIO DE CHAPECÓ</w:t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3ef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8c3ef4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RodapChar" w:customStyle="1">
    <w:name w:val="Rodapé Char"/>
    <w:basedOn w:val="DefaultParagraphFont"/>
    <w:uiPriority w:val="99"/>
    <w:qFormat/>
    <w:rsid w:val="008c3ef4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CabealhoChar1" w:customStyle="1">
    <w:name w:val="Cabeçalho Char1"/>
    <w:basedOn w:val="DefaultParagraphFont"/>
    <w:qFormat/>
    <w:locked/>
    <w:rsid w:val="008c3ef4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c3ef4"/>
    <w:rPr>
      <w:rFonts w:ascii="Tahoma" w:hAnsi="Tahoma" w:eastAsia="Times New Roman" w:cs="Tahoma"/>
      <w:sz w:val="16"/>
      <w:szCs w:val="16"/>
      <w:lang w:eastAsia="pt-BR"/>
    </w:rPr>
  </w:style>
  <w:style w:type="character" w:styleId="il" w:customStyle="1">
    <w:name w:val="il"/>
    <w:basedOn w:val="DefaultParagraphFont"/>
    <w:qFormat/>
    <w:rsid w:val="00a10950"/>
    <w:rPr/>
  </w:style>
  <w:style w:type="character" w:styleId="RecuodecorpodetextoChar" w:customStyle="1">
    <w:name w:val="Recuo de corpo de texto Char"/>
    <w:basedOn w:val="DefaultParagraphFont"/>
    <w:qFormat/>
    <w:rsid w:val="00fe1a9e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8c3ef4"/>
    <w:pPr>
      <w:spacing w:beforeAutospacing="1" w:afterAutospacing="1"/>
    </w:pPr>
    <w:rPr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8c3ef4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8c3ef4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c3ef4"/>
    <w:pPr/>
    <w:rPr>
      <w:rFonts w:ascii="Tahoma" w:hAnsi="Tahoma" w:cs="Tahoma"/>
      <w:sz w:val="16"/>
      <w:szCs w:val="16"/>
    </w:rPr>
  </w:style>
  <w:style w:type="paragraph" w:styleId="m-6932789033013839883msolistparagraph" w:customStyle="1">
    <w:name w:val="m_-6932789033013839883msolistparagraph"/>
    <w:basedOn w:val="Normal"/>
    <w:qFormat/>
    <w:rsid w:val="00a10950"/>
    <w:pPr>
      <w:spacing w:beforeAutospacing="1" w:afterAutospacing="1"/>
    </w:pPr>
    <w:rPr>
      <w:sz w:val="24"/>
      <w:szCs w:val="24"/>
    </w:rPr>
  </w:style>
  <w:style w:type="paragraph" w:styleId="m1789192541273293431msolistparagraph" w:customStyle="1">
    <w:name w:val="m_1789192541273293431msolistparagraph"/>
    <w:basedOn w:val="Normal"/>
    <w:qFormat/>
    <w:rsid w:val="00df3c2b"/>
    <w:pPr>
      <w:spacing w:beforeAutospacing="1" w:afterAutospacing="1"/>
    </w:pPr>
    <w:rPr>
      <w:sz w:val="24"/>
      <w:szCs w:val="24"/>
    </w:rPr>
  </w:style>
  <w:style w:type="paragraph" w:styleId="BodyTextIndented">
    <w:name w:val="Body Text, Indented"/>
    <w:basedOn w:val="Normal"/>
    <w:link w:val="RecuodecorpodetextoChar"/>
    <w:unhideWhenUsed/>
    <w:qFormat/>
    <w:rsid w:val="00fe1a9e"/>
    <w:pPr>
      <w:spacing w:before="0" w:after="120"/>
      <w:ind w:hanging="0" w:left="283"/>
    </w:pPr>
    <w:rPr/>
  </w:style>
  <w:style w:type="paragraph" w:styleId="ListParagraph">
    <w:name w:val="List Paragraph"/>
    <w:basedOn w:val="Normal"/>
    <w:uiPriority w:val="34"/>
    <w:qFormat/>
    <w:rsid w:val="00313887"/>
    <w:pPr>
      <w:spacing w:before="0" w:after="0"/>
      <w:ind w:hanging="0" w:left="720"/>
      <w:contextualSpacing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Application>LibreOffice/24.8.0.3$Windows_X86_64 LibreOffice_project/0bdf1299c94fe897b119f97f3c613e9dca6be583</Application>
  <AppVersion>15.0000</AppVersion>
  <Pages>1</Pages>
  <Words>256</Words>
  <Characters>1460</Characters>
  <CharactersWithSpaces>1825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2018-07-26T12:25:00Z</dcterms:created>
  <dc:creator>Fernando</dc:creator>
  <dc:description/>
  <dc:language>pt-BR</dc:language>
  <cp:lastModifiedBy/>
  <cp:lastPrinted>2024-10-01T14:19:50Z</cp:lastPrinted>
  <dcterms:modified xsi:type="dcterms:W3CDTF">2024-10-01T14:21:03Z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