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B0C7E"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 Prazo oficial de implantação</w:t>
      </w:r>
    </w:p>
    <w:p w14:paraId="30BB05C8"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qual prazo oficial deverá ser considerado para implantação integral da solução, tendo em vista a aparente divergência entre os prazos de 90 dias, 120 dias e 180 dias mencionados nos documentos do certame, bem como informar o marco inicial correto da contagem, se da Ordem de Serviço ou da aprovação do projeto executivo.</w:t>
      </w:r>
      <w:r w:rsidRPr="001E499D">
        <w:rPr>
          <w:rFonts w:ascii="Times New Roman" w:eastAsia="Times New Roman" w:hAnsi="Times New Roman" w:cs="Times New Roman"/>
          <w:kern w:val="0"/>
          <w:sz w:val="24"/>
          <w:szCs w:val="24"/>
          <w:lang w:eastAsia="pt-BR"/>
          <w14:ligatures w14:val="none"/>
        </w:rPr>
        <w:t xml:space="preserve"> </w:t>
      </w:r>
    </w:p>
    <w:p w14:paraId="11D9927D"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2. Metodologia de aceite</w:t>
      </w:r>
    </w:p>
    <w:p w14:paraId="62D58E2A"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qual será a metodologia oficial de testes de aceite para comprovação dos índices mínimos de desempenho da solução, especialmente quanto a reconhecimento facial, leitura de placas, disponibilidade do sistema e latência, indicando massa de testes, amostragem, condições ambientais, critérios de falso positivo/falso negativo, percentual mínimo de acerto e responsável pela homologação.</w:t>
      </w:r>
    </w:p>
    <w:p w14:paraId="35BBC969"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3. Indisponibilidade parcial</w:t>
      </w:r>
    </w:p>
    <w:p w14:paraId="002A870F"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como será apurada a indisponibilidade parcial da solução para fins de aceite, medição e eventual desconto contratual, inclusive nas hipóteses em que apenas parte das câmeras, licenças, links ou módulos analíticos estiver inoperante.</w:t>
      </w:r>
      <w:r w:rsidRPr="001E499D">
        <w:rPr>
          <w:rFonts w:ascii="Times New Roman" w:eastAsia="Times New Roman" w:hAnsi="Times New Roman" w:cs="Times New Roman"/>
          <w:kern w:val="0"/>
          <w:sz w:val="24"/>
          <w:szCs w:val="24"/>
          <w:lang w:eastAsia="pt-BR"/>
          <w14:ligatures w14:val="none"/>
        </w:rPr>
        <w:t xml:space="preserve"> </w:t>
      </w:r>
    </w:p>
    <w:p w14:paraId="7A8BE99E"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4. Manutenções programadas</w:t>
      </w:r>
    </w:p>
    <w:p w14:paraId="648E41D1"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as indisponibilidades decorrentes de manutenção preventiva programada e previamente autorizada serão desconsideradas do cálculo de disponibilidade mínima exigida, indicando também a janela de manutenção admitida e a forma de registro.</w:t>
      </w:r>
      <w:r w:rsidRPr="001E499D">
        <w:rPr>
          <w:rFonts w:ascii="Times New Roman" w:eastAsia="Times New Roman" w:hAnsi="Times New Roman" w:cs="Times New Roman"/>
          <w:kern w:val="0"/>
          <w:sz w:val="24"/>
          <w:szCs w:val="24"/>
          <w:lang w:eastAsia="pt-BR"/>
          <w14:ligatures w14:val="none"/>
        </w:rPr>
        <w:t xml:space="preserve"> </w:t>
      </w:r>
    </w:p>
    <w:p w14:paraId="407FDB0C"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5. Obrigatoriedade de GPU</w:t>
      </w:r>
    </w:p>
    <w:p w14:paraId="04033953"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Considerando que o TR admite processamento por inteligência artificial embarcada e/ou em servidor dedicado, solicita-se esclarecer qual a justificativa técnica objetiva para a obrigatoriedade de fornecimento de servidores com GPU dedicada, bem como se serão admitidas arquiteturas tecnicamente equivalentes que comprovem o mesmo desempenho funcional exigido.</w:t>
      </w:r>
    </w:p>
    <w:p w14:paraId="0ABAD017"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6. GPU na habilitação técnica</w:t>
      </w:r>
    </w:p>
    <w:p w14:paraId="3BCDB8E7"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a comprovação de capacidade técnico-operacional exigirá experiência específica com servidores GPU ou se serão aceitas experiências equivalentes em soluções de reconhecimento facial/LPR com arquitetura diversa, desde que atendidos os requisitos funcionais e de desempenho.</w:t>
      </w:r>
    </w:p>
    <w:p w14:paraId="5E3B58BF"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7. Quantitativos mínimos na habilitação</w:t>
      </w:r>
    </w:p>
    <w:p w14:paraId="25C887A2"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lastRenderedPageBreak/>
        <w:t>Solicita-se esclarecer quais parcelas do objeto foram formalmente definidas pela Administração como de maior relevância técnica ou valor significativo para fins de habilitação técnica, bem como a memória justificadora dos quantitativos mínimos eventualmente exigidos.</w:t>
      </w:r>
      <w:r w:rsidRPr="001E499D">
        <w:rPr>
          <w:rFonts w:ascii="Times New Roman" w:eastAsia="Times New Roman" w:hAnsi="Times New Roman" w:cs="Times New Roman"/>
          <w:kern w:val="0"/>
          <w:sz w:val="24"/>
          <w:szCs w:val="24"/>
          <w:lang w:eastAsia="pt-BR"/>
          <w14:ligatures w14:val="none"/>
        </w:rPr>
        <w:t xml:space="preserve"> </w:t>
      </w:r>
    </w:p>
    <w:p w14:paraId="19080914"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8. Somatório de atestados</w:t>
      </w:r>
    </w:p>
    <w:p w14:paraId="6450F2B8"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será admitido o somatório de atestados para comprovação da capacidade técnico-operacional, especialmente nas parcelas de infraestrutura, processamento, armazenamento, facial e LPR, indicando eventual fundamento técnico para restrição diversa.</w:t>
      </w:r>
      <w:r w:rsidRPr="001E499D">
        <w:rPr>
          <w:rFonts w:ascii="Times New Roman" w:eastAsia="Times New Roman" w:hAnsi="Times New Roman" w:cs="Times New Roman"/>
          <w:kern w:val="0"/>
          <w:sz w:val="24"/>
          <w:szCs w:val="24"/>
          <w:lang w:eastAsia="pt-BR"/>
          <w14:ligatures w14:val="none"/>
        </w:rPr>
        <w:t xml:space="preserve"> </w:t>
      </w:r>
    </w:p>
    <w:p w14:paraId="107C6E5D"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9. Técnicos certificados por fabricantes</w:t>
      </w:r>
    </w:p>
    <w:p w14:paraId="10A2A062"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a exigência de técnicos certificados pelos fabricantes dos principais equipamentos constitui requisito de habilitação ou apenas exigência de execução contratual, bem como informar se serão aceitas certificações equivalentes, experiência comprovada ou outros meios idôneos de demonstração da qualificação da equipe técnica.</w:t>
      </w:r>
      <w:r w:rsidRPr="001E499D">
        <w:rPr>
          <w:rFonts w:ascii="Times New Roman" w:eastAsia="Times New Roman" w:hAnsi="Times New Roman" w:cs="Times New Roman"/>
          <w:kern w:val="0"/>
          <w:sz w:val="24"/>
          <w:szCs w:val="24"/>
          <w:lang w:eastAsia="pt-BR"/>
          <w14:ligatures w14:val="none"/>
        </w:rPr>
        <w:t xml:space="preserve"> </w:t>
      </w:r>
    </w:p>
    <w:p w14:paraId="49EF84BA"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10. Vinculação indireta a fabricantes</w:t>
      </w:r>
    </w:p>
    <w:p w14:paraId="04C3A519"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haverá exigência de carta, declaração, credenciamento, solidariedade, autorização comercial ou qualquer outro documento emitido por fabricante como condição de habilitação ou aceitação da proposta, indicando, em caso positivo, o fundamento legal e técnico específico.</w:t>
      </w:r>
    </w:p>
    <w:p w14:paraId="60A1552B"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11. Equipamentos novos e de linha atual</w:t>
      </w:r>
    </w:p>
    <w:p w14:paraId="284D4F74"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a exigência de equipamentos novos, de primeiro uso e de linha de produção atual será comprovada apenas no momento da execução contratual/entrega, ou se haverá exigência documental prévia na fase de habilitação ou julgamento.</w:t>
      </w:r>
      <w:r w:rsidRPr="001E499D">
        <w:rPr>
          <w:rFonts w:ascii="Times New Roman" w:eastAsia="Times New Roman" w:hAnsi="Times New Roman" w:cs="Times New Roman"/>
          <w:kern w:val="0"/>
          <w:sz w:val="24"/>
          <w:szCs w:val="24"/>
          <w:lang w:eastAsia="pt-BR"/>
          <w14:ligatures w14:val="none"/>
        </w:rPr>
        <w:t xml:space="preserve"> </w:t>
      </w:r>
    </w:p>
    <w:p w14:paraId="38EDE025"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12. Itens “conforme necessário”</w:t>
      </w:r>
    </w:p>
    <w:p w14:paraId="18BCBE77"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qual quantitativo referencial mínimo deverá ser considerado pelos licitantes para switches de acesso, switches core/distribuição, materiais de instalação e demais itens descritos como “conforme necessário” ou “conforme projeto”, a fim de assegurar isonomia na formação do preço global.</w:t>
      </w:r>
      <w:r w:rsidRPr="001E499D">
        <w:rPr>
          <w:rFonts w:ascii="Times New Roman" w:eastAsia="Times New Roman" w:hAnsi="Times New Roman" w:cs="Times New Roman"/>
          <w:kern w:val="0"/>
          <w:sz w:val="24"/>
          <w:szCs w:val="24"/>
          <w:lang w:eastAsia="pt-BR"/>
          <w14:ligatures w14:val="none"/>
        </w:rPr>
        <w:t xml:space="preserve"> </w:t>
      </w:r>
    </w:p>
    <w:p w14:paraId="1BE39899"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13. Realocação sem custo adicional</w:t>
      </w:r>
    </w:p>
    <w:p w14:paraId="0561F65C"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 xml:space="preserve">Solicita-se esclarecer o alcance da cláusula que prevê remanejamento dos serviços/equipamentos para outros locais sem custo adicional, especificando limites quantitativos, distância, reaproveitamento de infraestrutura, necessidade de novas </w:t>
      </w:r>
      <w:r w:rsidRPr="001E499D">
        <w:rPr>
          <w:rFonts w:ascii="Times New Roman" w:eastAsia="Times New Roman" w:hAnsi="Times New Roman" w:cs="Times New Roman"/>
          <w:b/>
          <w:bCs/>
          <w:kern w:val="0"/>
          <w:sz w:val="24"/>
          <w:szCs w:val="24"/>
          <w:lang w:eastAsia="pt-BR"/>
          <w14:ligatures w14:val="none"/>
        </w:rPr>
        <w:lastRenderedPageBreak/>
        <w:t>instalações e a forma de preservação do equilíbrio econômico-financeiro do contrato.</w:t>
      </w:r>
      <w:r w:rsidRPr="001E499D">
        <w:rPr>
          <w:rFonts w:ascii="Times New Roman" w:eastAsia="Times New Roman" w:hAnsi="Times New Roman" w:cs="Times New Roman"/>
          <w:kern w:val="0"/>
          <w:sz w:val="24"/>
          <w:szCs w:val="24"/>
          <w:lang w:eastAsia="pt-BR"/>
          <w14:ligatures w14:val="none"/>
        </w:rPr>
        <w:t xml:space="preserve"> </w:t>
      </w:r>
    </w:p>
    <w:p w14:paraId="1A34D38F"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14. Memória de cálculo do orçamento</w:t>
      </w:r>
    </w:p>
    <w:p w14:paraId="77A4C7E6"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 xml:space="preserve">Solicita-se esclarecer a metodologia detalhada de formação do preço estimado, inclusive quanto à compatibilidade entre as referências utilizadas e o escopo efetivo do objeto, considerando a presença simultânea de infraestrutura, facial, LPR, processamento, armazenamento, </w:t>
      </w:r>
      <w:proofErr w:type="spellStart"/>
      <w:r w:rsidRPr="001E499D">
        <w:rPr>
          <w:rFonts w:ascii="Times New Roman" w:eastAsia="Times New Roman" w:hAnsi="Times New Roman" w:cs="Times New Roman"/>
          <w:b/>
          <w:bCs/>
          <w:kern w:val="0"/>
          <w:sz w:val="24"/>
          <w:szCs w:val="24"/>
          <w:lang w:eastAsia="pt-BR"/>
          <w14:ligatures w14:val="none"/>
        </w:rPr>
        <w:t>videowall</w:t>
      </w:r>
      <w:proofErr w:type="spellEnd"/>
      <w:r w:rsidRPr="001E499D">
        <w:rPr>
          <w:rFonts w:ascii="Times New Roman" w:eastAsia="Times New Roman" w:hAnsi="Times New Roman" w:cs="Times New Roman"/>
          <w:b/>
          <w:bCs/>
          <w:kern w:val="0"/>
          <w:sz w:val="24"/>
          <w:szCs w:val="24"/>
          <w:lang w:eastAsia="pt-BR"/>
          <w14:ligatures w14:val="none"/>
        </w:rPr>
        <w:t>, licenciamento e operação assistida.</w:t>
      </w:r>
      <w:r w:rsidRPr="001E499D">
        <w:rPr>
          <w:rFonts w:ascii="Times New Roman" w:eastAsia="Times New Roman" w:hAnsi="Times New Roman" w:cs="Times New Roman"/>
          <w:kern w:val="0"/>
          <w:sz w:val="24"/>
          <w:szCs w:val="24"/>
          <w:lang w:eastAsia="pt-BR"/>
          <w14:ligatures w14:val="none"/>
        </w:rPr>
        <w:t xml:space="preserve"> </w:t>
      </w:r>
    </w:p>
    <w:p w14:paraId="0795B02E"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15. Bases externas de integração</w:t>
      </w:r>
    </w:p>
    <w:p w14:paraId="14947E4D"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quais bases estaduais e federais estarão efetivamente disponíveis para integração no início da execução contratual, quem será responsável por credenciais, homologação, APIs, certificados e autorizações de acesso, e se eventual indisponibilidade dessas bases afetará o aceite ou a remuneração da contratada.</w:t>
      </w:r>
      <w:r w:rsidRPr="001E499D">
        <w:rPr>
          <w:rFonts w:ascii="Times New Roman" w:eastAsia="Times New Roman" w:hAnsi="Times New Roman" w:cs="Times New Roman"/>
          <w:kern w:val="0"/>
          <w:sz w:val="24"/>
          <w:szCs w:val="24"/>
          <w:lang w:eastAsia="pt-BR"/>
          <w14:ligatures w14:val="none"/>
        </w:rPr>
        <w:t xml:space="preserve"> </w:t>
      </w:r>
    </w:p>
    <w:p w14:paraId="1FBDFC2F"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16. LGPD e governança</w:t>
      </w:r>
    </w:p>
    <w:p w14:paraId="568050FE"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quais instrumentos formais de governança de dados biométricos foram produzidos pela Administração para suportar a contratação, especialmente quanto a retenção, descarte, compartilhamento, trilhas de auditoria, incidentes de segurança, segregação de perfis e instruções operacionais ao futuro operador.</w:t>
      </w:r>
      <w:r w:rsidRPr="001E499D">
        <w:rPr>
          <w:rFonts w:ascii="Times New Roman" w:eastAsia="Times New Roman" w:hAnsi="Times New Roman" w:cs="Times New Roman"/>
          <w:kern w:val="0"/>
          <w:sz w:val="24"/>
          <w:szCs w:val="24"/>
          <w:lang w:eastAsia="pt-BR"/>
          <w14:ligatures w14:val="none"/>
        </w:rPr>
        <w:t xml:space="preserve"> </w:t>
      </w:r>
    </w:p>
    <w:p w14:paraId="13B009C7"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17. Ausência de PCA</w:t>
      </w:r>
    </w:p>
    <w:p w14:paraId="6373C12D"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qual ato formal e qual fundamentação administrativa específica amparam a realização da contratação no exercício corrente sem previsão no Plano de Contratações Anual, diante da natureza complexa e tecnológica do objeto.</w:t>
      </w:r>
      <w:r w:rsidRPr="001E499D">
        <w:rPr>
          <w:rFonts w:ascii="Times New Roman" w:eastAsia="Times New Roman" w:hAnsi="Times New Roman" w:cs="Times New Roman"/>
          <w:kern w:val="0"/>
          <w:sz w:val="24"/>
          <w:szCs w:val="24"/>
          <w:lang w:eastAsia="pt-BR"/>
          <w14:ligatures w14:val="none"/>
        </w:rPr>
        <w:t xml:space="preserve"> </w:t>
      </w:r>
    </w:p>
    <w:p w14:paraId="6AC6C9CA"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18. Matriz de riscos</w:t>
      </w:r>
    </w:p>
    <w:p w14:paraId="6738408B"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a matriz de riscos constante do processo foi utilizada apenas como documento formal ou se efetivamente orientou a distribuição de responsabilidades contratuais, especialmente nos riscos de vazamento de dados, baixa acurácia, indisponibilidade e integração com terceiros.</w:t>
      </w:r>
      <w:r w:rsidRPr="001E499D">
        <w:rPr>
          <w:rFonts w:ascii="Times New Roman" w:eastAsia="Times New Roman" w:hAnsi="Times New Roman" w:cs="Times New Roman"/>
          <w:kern w:val="0"/>
          <w:sz w:val="24"/>
          <w:szCs w:val="24"/>
          <w:lang w:eastAsia="pt-BR"/>
          <w14:ligatures w14:val="none"/>
        </w:rPr>
        <w:t xml:space="preserve"> </w:t>
      </w:r>
    </w:p>
    <w:p w14:paraId="7410FF91"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t>19. Critério para aceitação de soluções equivalentes</w:t>
      </w:r>
    </w:p>
    <w:p w14:paraId="4B294D2B"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quais parâmetros objetivos serão adotados pela Administração para reconhecer a equivalência técnica de soluções que não reproduzam exatamente a mesma arquitetura tecnológica prevista, mas atendam integralmente aos requisitos mínimos de desempenho e funcionalidade.</w:t>
      </w:r>
      <w:r w:rsidRPr="001E499D">
        <w:rPr>
          <w:rFonts w:ascii="Times New Roman" w:eastAsia="Times New Roman" w:hAnsi="Times New Roman" w:cs="Times New Roman"/>
          <w:kern w:val="0"/>
          <w:sz w:val="24"/>
          <w:szCs w:val="24"/>
          <w:lang w:eastAsia="pt-BR"/>
          <w14:ligatures w14:val="none"/>
        </w:rPr>
        <w:t xml:space="preserve"> </w:t>
      </w:r>
    </w:p>
    <w:p w14:paraId="0A824F41" w14:textId="77777777" w:rsidR="001E499D" w:rsidRPr="001E499D" w:rsidRDefault="001E499D" w:rsidP="005B40B2">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pt-BR"/>
          <w14:ligatures w14:val="none"/>
        </w:rPr>
      </w:pPr>
      <w:r w:rsidRPr="001E499D">
        <w:rPr>
          <w:rFonts w:ascii="Times New Roman" w:eastAsia="Times New Roman" w:hAnsi="Times New Roman" w:cs="Times New Roman"/>
          <w:b/>
          <w:bCs/>
          <w:kern w:val="0"/>
          <w:sz w:val="36"/>
          <w:szCs w:val="36"/>
          <w:lang w:eastAsia="pt-BR"/>
          <w14:ligatures w14:val="none"/>
        </w:rPr>
        <w:lastRenderedPageBreak/>
        <w:t>20. Parecer jurídico e saneamento das inconsistências</w:t>
      </w:r>
    </w:p>
    <w:p w14:paraId="442721EB" w14:textId="77777777" w:rsidR="001E499D" w:rsidRPr="001E499D" w:rsidRDefault="001E499D" w:rsidP="005B40B2">
      <w:pPr>
        <w:spacing w:before="100" w:beforeAutospacing="1" w:after="100" w:afterAutospacing="1" w:line="240" w:lineRule="auto"/>
        <w:jc w:val="both"/>
        <w:rPr>
          <w:rFonts w:ascii="Times New Roman" w:eastAsia="Times New Roman" w:hAnsi="Times New Roman" w:cs="Times New Roman"/>
          <w:kern w:val="0"/>
          <w:sz w:val="24"/>
          <w:szCs w:val="24"/>
          <w:lang w:eastAsia="pt-BR"/>
          <w14:ligatures w14:val="none"/>
        </w:rPr>
      </w:pPr>
      <w:r w:rsidRPr="001E499D">
        <w:rPr>
          <w:rFonts w:ascii="Times New Roman" w:eastAsia="Times New Roman" w:hAnsi="Times New Roman" w:cs="Times New Roman"/>
          <w:b/>
          <w:bCs/>
          <w:kern w:val="0"/>
          <w:sz w:val="24"/>
          <w:szCs w:val="24"/>
          <w:lang w:eastAsia="pt-BR"/>
          <w14:ligatures w14:val="none"/>
        </w:rPr>
        <w:t>Solicita-se esclarecer se o parecer jurídico que aprovou o prosseguimento do certame com considerações tratou expressamente das inconsistências de prazo, habilitação técnica, arquitetura de processamento, critérios de aceite e equilíbrio econômico-financeiro, e, em caso positivo, quais medidas de saneamento foram efetivamente incorporadas à versão republicada.</w:t>
      </w:r>
    </w:p>
    <w:p w14:paraId="509ED4C8" w14:textId="77777777" w:rsidR="00121E32" w:rsidRDefault="00121E32"/>
    <w:sectPr w:rsidR="00121E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9D"/>
    <w:rsid w:val="00121E32"/>
    <w:rsid w:val="00122DA9"/>
    <w:rsid w:val="001E499D"/>
    <w:rsid w:val="005B40B2"/>
    <w:rsid w:val="00D06B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9E13"/>
  <w15:chartTrackingRefBased/>
  <w15:docId w15:val="{CD3E8847-09C3-46FE-9E30-7E7EC998E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9"/>
    <w:qFormat/>
    <w:rsid w:val="001E499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1E499D"/>
    <w:rPr>
      <w:rFonts w:ascii="Times New Roman" w:eastAsia="Times New Roman" w:hAnsi="Times New Roman" w:cs="Times New Roman"/>
      <w:b/>
      <w:bCs/>
      <w:kern w:val="0"/>
      <w:sz w:val="36"/>
      <w:szCs w:val="36"/>
      <w:lang w:eastAsia="pt-BR"/>
      <w14:ligatures w14:val="none"/>
    </w:rPr>
  </w:style>
  <w:style w:type="paragraph" w:styleId="NormalWeb">
    <w:name w:val="Normal (Web)"/>
    <w:basedOn w:val="Normal"/>
    <w:uiPriority w:val="99"/>
    <w:semiHidden/>
    <w:unhideWhenUsed/>
    <w:rsid w:val="001E499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E49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89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1067</Words>
  <Characters>5763</Characters>
  <Application>Microsoft Office Word</Application>
  <DocSecurity>0</DocSecurity>
  <Lines>48</Lines>
  <Paragraphs>13</Paragraphs>
  <ScaleCrop>false</ScaleCrop>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Kleber  Souza</dc:creator>
  <cp:keywords/>
  <dc:description/>
  <cp:lastModifiedBy>LICITAÇÃO XPTI</cp:lastModifiedBy>
  <cp:revision>3</cp:revision>
  <dcterms:created xsi:type="dcterms:W3CDTF">2026-04-10T20:34:00Z</dcterms:created>
  <dcterms:modified xsi:type="dcterms:W3CDTF">2026-04-10T20:40:00Z</dcterms:modified>
</cp:coreProperties>
</file>