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shd w:fill="auto" w:val="clear"/>
        </w:rPr>
      </w:pPr>
      <w:r>
        <w:rPr>
          <w:rFonts w:cs="Arial" w:ascii="Arial" w:hAnsi="Arial"/>
          <w:b/>
          <w:bCs/>
          <w:shd w:fill="auto" w:val="clear"/>
          <w:lang w:eastAsia="pt-BR"/>
        </w:rPr>
        <w:t xml:space="preserve">PROCESSO LICITATÓRIO Nº </w:t>
      </w:r>
      <w:r>
        <w:rPr>
          <w:rFonts w:eastAsia="Calibri" w:cs="Arial" w:ascii="Arial" w:hAnsi="Arial"/>
          <w:b/>
          <w:bCs/>
          <w:color w:val="000000"/>
          <w:kern w:val="0"/>
          <w:sz w:val="22"/>
          <w:szCs w:val="22"/>
          <w:shd w:fill="auto" w:val="clear"/>
          <w:lang w:val="pt-BR" w:eastAsia="pt-BR" w:bidi="ar-SA"/>
        </w:rPr>
        <w:t>181</w:t>
      </w:r>
      <w:r>
        <w:rPr>
          <w:rFonts w:cs="Arial" w:ascii="Arial" w:hAnsi="Arial"/>
          <w:b/>
          <w:bCs/>
          <w:color w:val="000000"/>
          <w:shd w:fill="auto" w:val="clear"/>
          <w:lang w:eastAsia="pt-BR"/>
        </w:rPr>
        <w:t>/2023</w:t>
      </w:r>
      <w:r>
        <w:rPr>
          <w:rFonts w:cs="Arial" w:ascii="Arial" w:hAnsi="Arial"/>
          <w:b/>
          <w:bCs/>
          <w:shd w:fill="auto" w:val="clear"/>
          <w:lang w:eastAsia="pt-BR"/>
        </w:rPr>
        <w:t xml:space="preserve"> </w:t>
      </w:r>
    </w:p>
    <w:p>
      <w:pPr>
        <w:pStyle w:val="Normal"/>
        <w:spacing w:lineRule="auto" w:line="240" w:before="0" w:after="0"/>
        <w:jc w:val="center"/>
        <w:rPr>
          <w:rFonts w:ascii="Arial" w:hAnsi="Arial" w:cs="Arial"/>
          <w:shd w:fill="auto" w:val="clear"/>
        </w:rPr>
      </w:pPr>
      <w:r>
        <w:rPr>
          <w:rFonts w:cs="Arial" w:ascii="Arial" w:hAnsi="Arial"/>
          <w:shd w:fill="auto" w:val="clear"/>
        </w:rPr>
      </w:r>
    </w:p>
    <w:p>
      <w:pPr>
        <w:pStyle w:val="Normal"/>
        <w:spacing w:lineRule="auto" w:line="240" w:before="0" w:after="0"/>
        <w:jc w:val="center"/>
        <w:rPr>
          <w:shd w:fill="auto" w:val="clear"/>
        </w:rPr>
      </w:pPr>
      <w:r>
        <w:rPr>
          <w:rFonts w:cs="Arial" w:ascii="Arial" w:hAnsi="Arial"/>
          <w:b/>
          <w:bCs/>
          <w:shd w:fill="auto" w:val="clear"/>
        </w:rPr>
        <w:t xml:space="preserve">EDITAL DE PREGÃO ELETRÔNICO Nº </w:t>
      </w:r>
      <w:r>
        <w:rPr>
          <w:rFonts w:eastAsia="Calibri" w:cs="Arial" w:ascii="Arial" w:hAnsi="Arial"/>
          <w:b/>
          <w:bCs/>
          <w:color w:val="000000"/>
          <w:kern w:val="0"/>
          <w:sz w:val="22"/>
          <w:szCs w:val="22"/>
          <w:shd w:fill="auto" w:val="clear"/>
          <w:lang w:val="pt-BR" w:eastAsia="en-US" w:bidi="ar-SA"/>
        </w:rPr>
        <w:t>080</w:t>
      </w:r>
      <w:r>
        <w:rPr>
          <w:rFonts w:cs="Arial" w:ascii="Arial" w:hAnsi="Arial"/>
          <w:b/>
          <w:bCs/>
          <w:color w:val="000000"/>
          <w:shd w:fill="auto" w:val="clear"/>
        </w:rPr>
        <w:t>/2023</w:t>
      </w:r>
      <w:r>
        <w:rPr>
          <w:rFonts w:cs="Arial" w:ascii="Arial" w:hAnsi="Arial"/>
          <w:b/>
          <w:bCs/>
          <w:shd w:fill="auto" w:val="clear"/>
        </w:rPr>
        <w:t xml:space="preserve"> </w:t>
      </w:r>
    </w:p>
    <w:p>
      <w:pPr>
        <w:pStyle w:val="Normal"/>
        <w:spacing w:lineRule="auto" w:line="240" w:before="0" w:after="0"/>
        <w:jc w:val="center"/>
        <w:rPr>
          <w:rFonts w:ascii="Arial" w:hAnsi="Arial" w:cs="Arial"/>
          <w:shd w:fill="auto" w:val="clear"/>
        </w:rPr>
      </w:pPr>
      <w:r>
        <w:rPr>
          <w:rFonts w:cs="Arial" w:ascii="Arial" w:hAnsi="Arial"/>
          <w:shd w:fill="auto" w:val="clear"/>
        </w:rPr>
      </w:r>
    </w:p>
    <w:p>
      <w:pPr>
        <w:pStyle w:val="Normal"/>
        <w:spacing w:lineRule="auto" w:line="240" w:before="0" w:after="0"/>
        <w:jc w:val="center"/>
        <w:rPr>
          <w:shd w:fill="auto" w:val="clear"/>
        </w:rPr>
      </w:pPr>
      <w:r>
        <w:rPr>
          <w:rFonts w:cs="Arial" w:ascii="Arial" w:hAnsi="Arial"/>
          <w:b/>
          <w:bCs/>
          <w:shd w:fill="auto" w:val="clear"/>
        </w:rPr>
        <w:t>SISTEMA DE REGISTRO DE PREÇOS</w:t>
      </w:r>
    </w:p>
    <w:p>
      <w:pPr>
        <w:pStyle w:val="Normal"/>
        <w:spacing w:lineRule="auto" w:line="240" w:before="0" w:after="0"/>
        <w:jc w:val="center"/>
        <w:rPr>
          <w:rFonts w:ascii="Arial" w:hAnsi="Arial" w:cs="Arial"/>
          <w:b/>
          <w:b/>
          <w:bCs/>
          <w:shd w:fill="auto" w:val="clear"/>
        </w:rPr>
      </w:pPr>
      <w:r>
        <w:rPr>
          <w:rFonts w:cs="Arial" w:ascii="Arial" w:hAnsi="Arial"/>
          <w:b/>
          <w:bCs/>
          <w:shd w:fill="auto" w:val="clear"/>
        </w:rPr>
      </w:r>
    </w:p>
    <w:p>
      <w:pPr>
        <w:pStyle w:val="Normal"/>
        <w:spacing w:lineRule="auto" w:line="240" w:before="0" w:after="0"/>
        <w:jc w:val="center"/>
        <w:rPr>
          <w:shd w:fill="auto" w:val="clear"/>
        </w:rPr>
      </w:pPr>
      <w:r>
        <w:rPr>
          <w:rFonts w:cs="Arial" w:ascii="Arial" w:hAnsi="Arial"/>
          <w:b/>
          <w:bCs/>
          <w:color w:val="C9211E"/>
          <w:shd w:fill="auto" w:val="clear"/>
        </w:rPr>
        <w:t xml:space="preserve">EXCLUSIVO PARA ME E EPP </w:t>
      </w:r>
    </w:p>
    <w:p>
      <w:pPr>
        <w:pStyle w:val="Normal"/>
        <w:spacing w:lineRule="auto" w:line="240" w:before="0" w:after="0"/>
        <w:jc w:val="center"/>
        <w:rPr>
          <w:rFonts w:ascii="Arial" w:hAnsi="Arial" w:cs="Arial"/>
          <w:shd w:fill="auto" w:val="clear"/>
        </w:rPr>
      </w:pPr>
      <w:r>
        <w:rPr>
          <w:rFonts w:cs="Arial" w:ascii="Arial" w:hAnsi="Arial"/>
          <w:shd w:fill="auto" w:val="clear"/>
        </w:rPr>
      </w:r>
    </w:p>
    <w:p>
      <w:pPr>
        <w:pStyle w:val="Normal"/>
        <w:spacing w:lineRule="auto" w:line="240" w:before="0" w:after="0"/>
        <w:jc w:val="both"/>
        <w:rPr>
          <w:rFonts w:ascii="Arial" w:hAnsi="Arial" w:cs="Arial"/>
          <w:sz w:val="20"/>
          <w:szCs w:val="20"/>
        </w:rPr>
      </w:pPr>
      <w:r>
        <w:rPr>
          <w:rFonts w:cs="Arial" w:ascii="Arial" w:hAnsi="Arial"/>
          <w:sz w:val="20"/>
          <w:szCs w:val="20"/>
        </w:rPr>
        <w:t xml:space="preserve">Registrado no TCE/SC sob código n° </w:t>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rPr>
      </w:pPr>
      <w:r>
        <w:rPr>
          <w:rFonts w:cs="Arial" w:ascii="Arial" w:hAnsi="Arial"/>
        </w:rPr>
      </w:r>
    </w:p>
    <w:p>
      <w:pPr>
        <w:pStyle w:val="Normal"/>
        <w:widowControl w:val="false"/>
        <w:shd w:val="clear" w:color="auto" w:fill="BFBFBF"/>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t>1. PREÂMBULO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
          <w:lang w:eastAsia="pt-BR"/>
        </w:rPr>
        <w:t>1.1.</w:t>
      </w:r>
      <w:r>
        <w:rPr>
          <w:rFonts w:eastAsia="Times New Roman" w:cs="Arial" w:ascii="Arial" w:hAnsi="Arial"/>
          <w:lang w:eastAsia="pt-BR"/>
        </w:rPr>
        <w:t xml:space="preserve"> O Município de </w:t>
      </w:r>
      <w:r>
        <w:rPr>
          <w:rFonts w:eastAsia="Times New Roman" w:cs="Arial" w:ascii="Arial" w:hAnsi="Arial"/>
          <w:color w:val="000000"/>
          <w:lang w:eastAsia="pt-BR"/>
        </w:rPr>
        <w:t>Itá,</w:t>
      </w:r>
      <w:r>
        <w:rPr>
          <w:rFonts w:eastAsia="Times New Roman" w:cs="Arial" w:ascii="Arial" w:hAnsi="Arial"/>
          <w:lang w:eastAsia="pt-BR"/>
        </w:rPr>
        <w:t xml:space="preserve"> Estado de Santa Catarina, pessoa jurídica de direito público interno inscrito no CNPJ so</w:t>
      </w:r>
      <w:r>
        <w:rPr>
          <w:rFonts w:eastAsia="Times New Roman" w:cs="Arial" w:ascii="Arial" w:hAnsi="Arial"/>
          <w:color w:val="000000"/>
          <w:lang w:eastAsia="pt-BR"/>
        </w:rPr>
        <w:t xml:space="preserve">b nº </w:t>
      </w:r>
      <w:r>
        <w:rPr>
          <w:rFonts w:eastAsia="Times New Roman" w:cs="Arial" w:ascii="Arial" w:hAnsi="Arial"/>
          <w:color w:val="202124"/>
          <w:lang w:eastAsia="pt-BR"/>
        </w:rPr>
        <w:t>83.024.240/0001-53</w:t>
      </w:r>
      <w:r>
        <w:rPr>
          <w:rFonts w:eastAsia="Times New Roman" w:cs="Arial" w:ascii="Arial" w:hAnsi="Arial"/>
          <w:lang w:eastAsia="pt-BR"/>
        </w:rPr>
        <w:t>, leva ao conhecimento dos interessados a realização do seguinte processo licitatório:</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lang w:eastAsia="pt-BR"/>
        </w:rPr>
        <w:t>Regime legal:</w:t>
      </w:r>
      <w:r>
        <w:rPr>
          <w:rFonts w:eastAsia="Times New Roman" w:cs="Arial" w:ascii="Arial" w:hAnsi="Arial"/>
          <w:lang w:eastAsia="pt-BR"/>
        </w:rPr>
        <w:t xml:space="preserve"> </w:t>
      </w:r>
      <w:hyperlink r:id="rId2">
        <w:r>
          <w:rPr>
            <w:rStyle w:val="LinkdaInternet"/>
            <w:rFonts w:eastAsia="Times New Roman" w:cs="Arial" w:ascii="Arial" w:hAnsi="Arial"/>
            <w:lang w:eastAsia="pt-BR"/>
          </w:rPr>
          <w:t>Lei nº 14.133/2021</w:t>
        </w:r>
      </w:hyperlink>
      <w:r>
        <w:rPr>
          <w:rFonts w:eastAsia="Times New Roman" w:cs="Arial" w:ascii="Arial" w:hAnsi="Arial"/>
          <w:lang w:eastAsia="pt-BR"/>
        </w:rPr>
        <w:t xml:space="preserve">, Lei Complementar nº 123/2006 </w:t>
      </w:r>
      <w:r>
        <w:rPr>
          <w:rFonts w:eastAsia="Times New Roman" w:cs="Arial" w:ascii="Arial" w:hAnsi="Arial"/>
          <w:color w:val="000000"/>
          <w:lang w:eastAsia="pt-BR"/>
        </w:rPr>
        <w:t>e o Decreto Municipal nº 0036/2023.</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lang w:eastAsia="pt-BR"/>
        </w:rPr>
        <w:t>Modalidade:</w:t>
      </w:r>
      <w:r>
        <w:rPr>
          <w:rFonts w:eastAsia="Times New Roman" w:cs="Arial" w:ascii="Arial" w:hAnsi="Arial"/>
          <w:lang w:eastAsia="pt-BR"/>
        </w:rPr>
        <w:t xml:space="preserve"> Pregão </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lang w:eastAsia="pt-BR"/>
        </w:rPr>
        <w:t>Critério d</w:t>
      </w:r>
      <w:r>
        <w:rPr>
          <w:rFonts w:eastAsia="Times New Roman" w:cs="Arial" w:ascii="Arial" w:hAnsi="Arial"/>
          <w:b/>
          <w:shd w:fill="auto" w:val="clear"/>
          <w:lang w:eastAsia="pt-BR"/>
        </w:rPr>
        <w:t xml:space="preserve">e Julgamento: </w:t>
      </w:r>
      <w:r>
        <w:rPr>
          <w:rFonts w:eastAsia="Times New Roman" w:cs="Arial" w:ascii="Arial" w:hAnsi="Arial"/>
          <w:color w:val="000000"/>
          <w:shd w:fill="auto" w:val="clear"/>
          <w:lang w:eastAsia="pt-BR"/>
        </w:rPr>
        <w:t>Menor preço por item</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shd w:fill="auto" w:val="clear"/>
        </w:rPr>
      </w:pPr>
      <w:r>
        <w:rPr>
          <w:rFonts w:eastAsia="Times New Roman" w:cs="Arial" w:ascii="Arial" w:hAnsi="Arial"/>
          <w:b/>
          <w:shd w:fill="auto" w:val="clear"/>
          <w:lang w:eastAsia="pt-BR"/>
        </w:rPr>
        <w:t xml:space="preserve">Modo de disputa: </w:t>
      </w:r>
      <w:r>
        <w:rPr>
          <w:rFonts w:eastAsia="Times New Roman" w:cs="Arial" w:ascii="Arial" w:hAnsi="Arial"/>
          <w:color w:val="000000"/>
          <w:shd w:fill="auto" w:val="clear"/>
          <w:lang w:eastAsia="pt-BR"/>
        </w:rPr>
        <w:t xml:space="preserve">Aberto </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shd w:fill="auto" w:val="clear"/>
        </w:rPr>
      </w:pPr>
      <w:r>
        <w:rPr>
          <w:rFonts w:eastAsia="Times New Roman" w:cs="Arial" w:ascii="Arial" w:hAnsi="Arial"/>
          <w:b/>
          <w:shd w:fill="auto" w:val="clear"/>
          <w:lang w:eastAsia="pt-BR"/>
        </w:rPr>
        <w:t>Forma:</w:t>
      </w:r>
      <w:r>
        <w:rPr>
          <w:rFonts w:eastAsia="Times New Roman" w:cs="Arial" w:ascii="Arial" w:hAnsi="Arial"/>
          <w:shd w:fill="auto" w:val="clear"/>
          <w:lang w:eastAsia="pt-BR"/>
        </w:rPr>
        <w:t xml:space="preserve"> Eletrônica </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shd w:fill="auto" w:val="clear"/>
          <w:lang w:eastAsia="pt-BR"/>
        </w:rPr>
        <w:t xml:space="preserve">Plataforma: </w:t>
      </w:r>
      <w:r>
        <w:rPr>
          <w:rFonts w:eastAsia="Times New Roman" w:cs="Arial" w:ascii="Arial" w:hAnsi="Arial"/>
          <w:color w:val="000000"/>
          <w:shd w:fill="auto" w:val="clear"/>
          <w:lang w:eastAsia="pt-BR"/>
        </w:rPr>
        <w:t xml:space="preserve">Portal de Compras do Governo Federal – </w:t>
      </w:r>
      <w:hyperlink r:id="rId3">
        <w:r>
          <w:rPr>
            <w:rStyle w:val="LinkdaInternet"/>
            <w:rFonts w:eastAsia="Times New Roman" w:cs="Arial" w:ascii="Arial" w:hAnsi="Arial"/>
            <w:color w:val="000000"/>
            <w:shd w:fill="auto" w:val="clear"/>
            <w:lang w:eastAsia="pt-BR"/>
          </w:rPr>
          <w:t>https://www.gov.br/compras/pt-br</w:t>
        </w:r>
      </w:hyperlink>
      <w:r>
        <w:rPr>
          <w:rFonts w:eastAsia="Times New Roman" w:cs="Arial" w:ascii="Arial" w:hAnsi="Arial"/>
          <w:color w:val="000000"/>
          <w:shd w:fill="auto" w:val="clear"/>
          <w:lang w:eastAsia="pt-BR"/>
        </w:rPr>
        <w:t>. UASG 988157.</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shd w:fill="auto" w:val="clear"/>
        </w:rPr>
      </w:pPr>
      <w:r>
        <w:rPr>
          <w:rFonts w:eastAsia="Times New Roman" w:cs="Arial" w:ascii="Arial" w:hAnsi="Arial"/>
          <w:b/>
          <w:shd w:fill="auto" w:val="clear"/>
          <w:lang w:eastAsia="pt-BR"/>
        </w:rPr>
        <w:t>Data da Sessão Públ</w:t>
      </w:r>
      <w:r>
        <w:rPr>
          <w:rFonts w:eastAsia="Times New Roman" w:cs="Arial" w:ascii="Arial" w:hAnsi="Arial"/>
          <w:b/>
          <w:shd w:fill="auto" w:val="clear"/>
          <w:lang w:eastAsia="pt-BR"/>
        </w:rPr>
        <w:t>ica:</w:t>
      </w:r>
      <w:r>
        <w:rPr>
          <w:rFonts w:eastAsia="Times New Roman" w:cs="Arial" w:ascii="Arial" w:hAnsi="Arial"/>
          <w:b/>
          <w:i/>
          <w:iCs/>
          <w:shd w:fill="auto" w:val="clear"/>
          <w:lang w:eastAsia="pt-BR"/>
        </w:rPr>
        <w:t xml:space="preserve"> </w:t>
      </w:r>
      <w:r>
        <w:rPr>
          <w:rFonts w:eastAsia="Times New Roman" w:cs="Arial" w:ascii="Arial" w:hAnsi="Arial"/>
          <w:b/>
          <w:i/>
          <w:iCs/>
          <w:color w:val="000000"/>
          <w:kern w:val="0"/>
          <w:sz w:val="22"/>
          <w:szCs w:val="22"/>
          <w:u w:val="single"/>
          <w:shd w:fill="auto" w:val="clear"/>
          <w:lang w:val="pt-BR" w:eastAsia="pt-BR" w:bidi="ar-SA"/>
        </w:rPr>
        <w:t>27</w:t>
      </w:r>
      <w:r>
        <w:rPr>
          <w:rFonts w:eastAsia="Times New Roman" w:cs="Arial" w:ascii="Arial" w:hAnsi="Arial"/>
          <w:b/>
          <w:i/>
          <w:iCs/>
          <w:color w:val="000000"/>
          <w:u w:val="single"/>
          <w:shd w:fill="auto" w:val="clear"/>
          <w:lang w:eastAsia="pt-BR"/>
        </w:rPr>
        <w:t>/</w:t>
      </w:r>
      <w:r>
        <w:rPr>
          <w:rFonts w:eastAsia="Times New Roman" w:cs="Arial" w:ascii="Arial" w:hAnsi="Arial"/>
          <w:b/>
          <w:i/>
          <w:iCs/>
          <w:color w:val="000000"/>
          <w:kern w:val="0"/>
          <w:sz w:val="22"/>
          <w:szCs w:val="22"/>
          <w:u w:val="single"/>
          <w:shd w:fill="auto" w:val="clear"/>
          <w:lang w:val="pt-BR" w:eastAsia="pt-BR" w:bidi="ar-SA"/>
        </w:rPr>
        <w:t>11</w:t>
      </w:r>
      <w:r>
        <w:rPr>
          <w:rFonts w:eastAsia="Times New Roman" w:cs="Arial" w:ascii="Arial" w:hAnsi="Arial"/>
          <w:b/>
          <w:i/>
          <w:iCs/>
          <w:color w:val="000000"/>
          <w:u w:val="single"/>
          <w:shd w:fill="auto" w:val="clear"/>
          <w:lang w:eastAsia="pt-BR"/>
        </w:rPr>
        <w:t>/2023</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lang w:eastAsia="pt-BR"/>
        </w:rPr>
        <w:t>Horário de início da Sessão Pública:</w:t>
      </w:r>
      <w:r>
        <w:rPr>
          <w:rFonts w:eastAsia="Times New Roman" w:cs="Arial" w:ascii="Arial" w:hAnsi="Arial"/>
          <w:color w:val="000000"/>
          <w:lang w:eastAsia="pt-BR"/>
        </w:rPr>
        <w:t xml:space="preserve"> </w:t>
      </w:r>
      <w:r>
        <w:rPr>
          <w:rFonts w:eastAsia="Times New Roman" w:cs="Arial" w:ascii="Arial" w:hAnsi="Arial"/>
          <w:color w:val="000000"/>
          <w:kern w:val="0"/>
          <w:sz w:val="22"/>
          <w:szCs w:val="22"/>
          <w:lang w:val="pt-BR" w:eastAsia="pt-BR" w:bidi="ar-SA"/>
        </w:rPr>
        <w:t>08h30</w:t>
      </w:r>
      <w:r>
        <w:rPr>
          <w:rFonts w:eastAsia="Times New Roman" w:cs="Arial" w:ascii="Arial" w:hAnsi="Arial"/>
          <w:color w:val="000000"/>
          <w:lang w:eastAsia="pt-BR"/>
        </w:rPr>
        <w:t>min (horário de Brasília/DF)</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color w:val="000000"/>
          <w:lang w:eastAsia="pt-BR"/>
        </w:rPr>
        <w:t xml:space="preserve">Código do Município: </w:t>
      </w:r>
      <w:r>
        <w:rPr>
          <w:rFonts w:eastAsia="Times New Roman" w:cs="Arial" w:ascii="Arial" w:hAnsi="Arial"/>
          <w:color w:val="000000"/>
          <w:lang w:eastAsia="pt-BR"/>
        </w:rPr>
        <w:t>UASG 988157</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lang w:eastAsia="pt-BR"/>
        </w:rPr>
        <w:t>Condução do processo licitatório:</w:t>
      </w:r>
      <w:r>
        <w:rPr>
          <w:rFonts w:eastAsia="Times New Roman" w:cs="Arial" w:ascii="Arial" w:hAnsi="Arial"/>
          <w:lang w:eastAsia="pt-BR"/>
        </w:rPr>
        <w:t xml:space="preserve"> Pregoeiro Delso Minski e Equipe de Apoio – </w:t>
      </w:r>
      <w:r>
        <w:rPr>
          <w:rFonts w:eastAsia="Times New Roman" w:cs="Arial" w:ascii="Arial" w:hAnsi="Arial"/>
          <w:color w:val="000000"/>
          <w:lang w:eastAsia="pt-BR"/>
        </w:rPr>
        <w:t>Servidores Designados pelo Decreto Municipal nº 078/2023.</w:t>
      </w:r>
    </w:p>
    <w:p>
      <w:pPr>
        <w:pStyle w:val="Normal"/>
        <w:widowControl w:val="false"/>
        <w:numPr>
          <w:ilvl w:val="0"/>
          <w:numId w:val="2"/>
        </w:numPr>
        <w:tabs>
          <w:tab w:val="clear" w:pos="708"/>
          <w:tab w:val="left" w:pos="1134" w:leader="none"/>
        </w:tabs>
        <w:spacing w:lineRule="auto" w:line="240" w:before="0" w:after="160"/>
        <w:ind w:left="567" w:hanging="0"/>
        <w:contextualSpacing/>
        <w:jc w:val="both"/>
        <w:textAlignment w:val="baseline"/>
        <w:rPr/>
      </w:pPr>
      <w:r>
        <w:rPr>
          <w:rFonts w:eastAsia="Times New Roman" w:cs="Times New Roman" w:ascii="Arial" w:hAnsi="Arial"/>
          <w:b/>
          <w:bCs/>
          <w:color w:val="000000"/>
          <w:lang w:eastAsia="pt-BR"/>
        </w:rPr>
        <w:t>Especificações dos Itens:</w:t>
      </w:r>
      <w:r>
        <w:rPr>
          <w:rFonts w:eastAsia="Times New Roman" w:cs="Times New Roman" w:ascii="Arial" w:hAnsi="Arial"/>
          <w:color w:val="000000"/>
          <w:lang w:eastAsia="pt-BR"/>
        </w:rPr>
        <w:t xml:space="preserve"> </w:t>
      </w:r>
      <w:r>
        <w:rPr>
          <w:rFonts w:eastAsia="Times New Roman" w:cs="Times New Roman" w:ascii="Arial" w:hAnsi="Arial"/>
          <w:color w:val="000000"/>
          <w:u w:val="single"/>
          <w:lang w:eastAsia="pt-BR"/>
        </w:rPr>
        <w:t>a descrição dos itens constantes no portal compras.gov.br são apenas aproximações da descrição dos itens reais. Desta maneira, prevalecerão as descrições detalhadas constantes neste edital de processo licitatório.</w:t>
      </w:r>
    </w:p>
    <w:p>
      <w:pPr>
        <w:pStyle w:val="Normal"/>
        <w:widowControl w:val="false"/>
        <w:tabs>
          <w:tab w:val="clear" w:pos="708"/>
          <w:tab w:val="left" w:pos="1134" w:leader="none"/>
        </w:tabs>
        <w:spacing w:lineRule="auto" w:line="240" w:before="0" w:after="0"/>
        <w:contextualSpacing/>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418" w:leader="none"/>
        </w:tabs>
        <w:spacing w:lineRule="auto" w:line="240" w:before="0" w:after="0"/>
        <w:contextualSpacing/>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shd w:val="clear" w:color="auto" w:fill="BFBFBF"/>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t>2. OBJETO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Times New Roman" w:ascii="Arial" w:hAnsi="Arial"/>
          <w:b/>
          <w:bCs/>
          <w:color w:val="000000"/>
          <w:lang w:eastAsia="pt-BR"/>
        </w:rPr>
        <w:t>2.1.</w:t>
      </w:r>
      <w:r>
        <w:rPr>
          <w:rFonts w:eastAsia="Times New Roman" w:cs="Times New Roman" w:ascii="Arial" w:hAnsi="Arial"/>
          <w:color w:val="000000"/>
          <w:lang w:eastAsia="pt-BR"/>
        </w:rPr>
        <w:t xml:space="preserve"> O objeto deste processo licitatório é a </w:t>
      </w:r>
      <w:r>
        <w:rPr>
          <w:rFonts w:eastAsia="Arial" w:cs="Arial" w:ascii="Arial" w:hAnsi="Arial"/>
          <w:color w:val="000000"/>
          <w:lang w:eastAsia="pt-BR"/>
        </w:rPr>
        <w:t>contratação de empresas para aquisição de materiais esportivos e serviço de transporte de atletas, visando o desenvolvimento da escolinha de voleibol</w:t>
      </w:r>
      <w:r>
        <w:rPr>
          <w:rFonts w:eastAsia="Times New Roman" w:cs="Times New Roman" w:ascii="Arial" w:hAnsi="Arial"/>
          <w:color w:val="000000"/>
          <w:lang w:eastAsia="pt-BR"/>
        </w:rPr>
        <w:t>, de acordo com as informações e descritivos constantes no presente edital e anexos.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lang w:eastAsia="pt-BR"/>
        </w:rPr>
      </w:pPr>
      <w:r>
        <w:rPr>
          <w:rFonts w:eastAsia="Times New Roman" w:cs="Arial" w:ascii="Arial" w:hAnsi="Arial"/>
          <w:color w:val="000000"/>
          <w:lang w:eastAsia="pt-BR"/>
        </w:rPr>
        <w:t>2.1.1. O objeto é composto pelos seguintes itens: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tbl>
      <w:tblPr>
        <w:tblW w:w="8532" w:type="dxa"/>
        <w:jc w:val="left"/>
        <w:tblInd w:w="46" w:type="dxa"/>
        <w:tblLayout w:type="fixed"/>
        <w:tblCellMar>
          <w:top w:w="0" w:type="dxa"/>
          <w:left w:w="28" w:type="dxa"/>
          <w:bottom w:w="0" w:type="dxa"/>
          <w:right w:w="28" w:type="dxa"/>
        </w:tblCellMar>
      </w:tblPr>
      <w:tblGrid>
        <w:gridCol w:w="563"/>
        <w:gridCol w:w="4201"/>
        <w:gridCol w:w="1210"/>
        <w:gridCol w:w="1203"/>
        <w:gridCol w:w="1355"/>
      </w:tblGrid>
      <w:tr>
        <w:trPr>
          <w:trHeight w:val="1" w:hRule="atLeast"/>
        </w:trPr>
        <w:tc>
          <w:tcPr>
            <w:tcW w:w="563" w:type="dxa"/>
            <w:tcBorders>
              <w:top w:val="single" w:sz="2" w:space="0" w:color="000000"/>
              <w:left w:val="single" w:sz="2" w:space="0" w:color="000000"/>
              <w:bottom w:val="single" w:sz="2" w:space="0" w:color="000000"/>
              <w:right w:val="single" w:sz="6" w:space="0" w:color="000000"/>
            </w:tcBorders>
            <w:shd w:fill="D9D9D9" w:val="clear"/>
          </w:tcPr>
          <w:p>
            <w:pPr>
              <w:pStyle w:val="Normal"/>
              <w:widowControl w:val="false"/>
              <w:suppressLineNumbers/>
              <w:suppressAutoHyphens w:val="true"/>
              <w:spacing w:lineRule="auto" w:line="240" w:before="0" w:after="0"/>
              <w:jc w:val="center"/>
              <w:rPr>
                <w:rFonts w:ascii="Arial" w:hAnsi="Arial" w:eastAsia="Arial" w:cs="Arial"/>
                <w:b/>
                <w:b/>
                <w:sz w:val="20"/>
                <w:szCs w:val="20"/>
                <w:shd w:fill="auto" w:val="clear"/>
              </w:rPr>
            </w:pPr>
            <w:r>
              <w:rPr>
                <w:rFonts w:eastAsia="Arial" w:cs="Arial" w:ascii="Arial" w:hAnsi="Arial"/>
                <w:b/>
                <w:sz w:val="20"/>
                <w:szCs w:val="20"/>
                <w:shd w:fill="auto" w:val="clear"/>
              </w:rPr>
              <w:t>Item</w:t>
            </w:r>
          </w:p>
        </w:tc>
        <w:tc>
          <w:tcPr>
            <w:tcW w:w="4201" w:type="dxa"/>
            <w:tcBorders>
              <w:top w:val="single" w:sz="2" w:space="0" w:color="000000"/>
              <w:left w:val="single" w:sz="2" w:space="0" w:color="000000"/>
              <w:bottom w:val="single" w:sz="2" w:space="0" w:color="000000"/>
              <w:right w:val="single" w:sz="6" w:space="0" w:color="000000"/>
            </w:tcBorders>
            <w:shd w:fill="D9D9D9" w:val="clear"/>
          </w:tcPr>
          <w:p>
            <w:pPr>
              <w:pStyle w:val="Normal"/>
              <w:widowControl w:val="false"/>
              <w:suppressLineNumbers/>
              <w:suppressAutoHyphens w:val="true"/>
              <w:spacing w:lineRule="auto" w:line="240" w:before="0" w:after="0"/>
              <w:jc w:val="center"/>
              <w:rPr>
                <w:rFonts w:ascii="Arial" w:hAnsi="Arial" w:eastAsia="Arial" w:cs="Arial"/>
                <w:b/>
                <w:b/>
                <w:sz w:val="20"/>
                <w:szCs w:val="20"/>
                <w:shd w:fill="auto" w:val="clear"/>
              </w:rPr>
            </w:pPr>
            <w:r>
              <w:rPr>
                <w:rFonts w:eastAsia="Arial" w:cs="Arial" w:ascii="Arial" w:hAnsi="Arial"/>
                <w:b/>
                <w:sz w:val="20"/>
                <w:szCs w:val="20"/>
                <w:shd w:fill="auto" w:val="clear"/>
              </w:rPr>
              <w:t>Especificação</w:t>
            </w:r>
          </w:p>
        </w:tc>
        <w:tc>
          <w:tcPr>
            <w:tcW w:w="1210" w:type="dxa"/>
            <w:tcBorders>
              <w:top w:val="single" w:sz="2" w:space="0" w:color="000000"/>
              <w:left w:val="single" w:sz="2" w:space="0" w:color="000000"/>
              <w:bottom w:val="single" w:sz="2" w:space="0" w:color="000000"/>
              <w:right w:val="single" w:sz="6" w:space="0" w:color="000000"/>
            </w:tcBorders>
            <w:shd w:fill="D9D9D9" w:val="clear"/>
          </w:tcPr>
          <w:p>
            <w:pPr>
              <w:pStyle w:val="Normal"/>
              <w:widowControl w:val="false"/>
              <w:suppressLineNumbers/>
              <w:suppressAutoHyphens w:val="true"/>
              <w:spacing w:lineRule="auto" w:line="240" w:before="0" w:after="0"/>
              <w:jc w:val="center"/>
              <w:rPr>
                <w:rFonts w:ascii="Arial" w:hAnsi="Arial" w:eastAsia="Arial" w:cs="Arial"/>
                <w:b/>
                <w:b/>
                <w:sz w:val="20"/>
                <w:szCs w:val="20"/>
                <w:shd w:fill="auto" w:val="clear"/>
              </w:rPr>
            </w:pPr>
            <w:r>
              <w:rPr>
                <w:rFonts w:eastAsia="Arial" w:cs="Arial" w:ascii="Arial" w:hAnsi="Arial"/>
                <w:b/>
                <w:sz w:val="20"/>
                <w:szCs w:val="20"/>
                <w:shd w:fill="auto" w:val="clear"/>
              </w:rPr>
              <w:t>Quant.</w:t>
            </w:r>
          </w:p>
        </w:tc>
        <w:tc>
          <w:tcPr>
            <w:tcW w:w="1203" w:type="dxa"/>
            <w:tcBorders>
              <w:top w:val="single" w:sz="2" w:space="0" w:color="000000"/>
              <w:left w:val="single" w:sz="2" w:space="0" w:color="000000"/>
              <w:bottom w:val="single" w:sz="2" w:space="0" w:color="000000"/>
              <w:right w:val="single" w:sz="6" w:space="0" w:color="000000"/>
            </w:tcBorders>
            <w:shd w:fill="D9D9D9" w:val="clear"/>
          </w:tcPr>
          <w:p>
            <w:pPr>
              <w:pStyle w:val="Normal"/>
              <w:widowControl w:val="false"/>
              <w:suppressLineNumbers/>
              <w:suppressAutoHyphens w:val="true"/>
              <w:spacing w:lineRule="auto" w:line="240" w:before="0" w:after="0"/>
              <w:jc w:val="center"/>
              <w:rPr>
                <w:rFonts w:ascii="Arial" w:hAnsi="Arial" w:eastAsia="Arial" w:cs="Arial"/>
                <w:b/>
                <w:b/>
                <w:sz w:val="20"/>
                <w:szCs w:val="20"/>
                <w:shd w:fill="auto" w:val="clear"/>
              </w:rPr>
            </w:pPr>
            <w:r>
              <w:rPr>
                <w:rFonts w:eastAsia="Arial" w:cs="Arial" w:ascii="Arial" w:hAnsi="Arial"/>
                <w:b/>
                <w:sz w:val="20"/>
                <w:szCs w:val="20"/>
                <w:shd w:fill="auto" w:val="clear"/>
              </w:rPr>
              <w:t>Valor Unit.</w:t>
            </w:r>
          </w:p>
        </w:tc>
        <w:tc>
          <w:tcPr>
            <w:tcW w:w="1355" w:type="dxa"/>
            <w:tcBorders>
              <w:top w:val="single" w:sz="2" w:space="0" w:color="000000"/>
              <w:left w:val="single" w:sz="2" w:space="0" w:color="000000"/>
              <w:bottom w:val="single" w:sz="2" w:space="0" w:color="000000"/>
              <w:right w:val="single" w:sz="2" w:space="0" w:color="000000"/>
            </w:tcBorders>
            <w:shd w:fill="D9D9D9" w:val="clear"/>
          </w:tcPr>
          <w:p>
            <w:pPr>
              <w:pStyle w:val="Normal"/>
              <w:widowControl w:val="false"/>
              <w:suppressLineNumbers/>
              <w:suppressAutoHyphens w:val="true"/>
              <w:spacing w:lineRule="auto" w:line="240" w:before="0" w:after="0"/>
              <w:jc w:val="center"/>
              <w:rPr>
                <w:rFonts w:ascii="Arial" w:hAnsi="Arial" w:eastAsia="Arial" w:cs="Arial"/>
                <w:b/>
                <w:b/>
                <w:sz w:val="20"/>
                <w:szCs w:val="20"/>
                <w:shd w:fill="auto" w:val="clear"/>
              </w:rPr>
            </w:pPr>
            <w:r>
              <w:rPr>
                <w:rFonts w:eastAsia="Arial" w:cs="Arial" w:ascii="Arial" w:hAnsi="Arial"/>
                <w:b/>
                <w:sz w:val="20"/>
                <w:szCs w:val="20"/>
                <w:shd w:fill="auto" w:val="clear"/>
              </w:rPr>
              <w:t>Valor Total</w:t>
            </w:r>
          </w:p>
        </w:tc>
      </w:tr>
      <w:tr>
        <w:trPr>
          <w:trHeight w:val="1" w:hRule="atLeast"/>
        </w:trPr>
        <w:tc>
          <w:tcPr>
            <w:tcW w:w="563"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Arial" w:cs="Arial"/>
                <w:sz w:val="20"/>
                <w:szCs w:val="20"/>
                <w:shd w:fill="FFFFFF" w:val="clear"/>
              </w:rPr>
            </w:pPr>
            <w:r>
              <w:rPr>
                <w:rFonts w:eastAsia="Arial" w:cs="Arial" w:ascii="Arial" w:hAnsi="Arial"/>
                <w:sz w:val="20"/>
                <w:szCs w:val="20"/>
                <w:shd w:fill="FFFFFF" w:val="clear"/>
              </w:rPr>
              <w:t>01</w:t>
            </w:r>
          </w:p>
        </w:tc>
        <w:tc>
          <w:tcPr>
            <w:tcW w:w="420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lineRule="auto" w:line="240" w:before="0" w:after="0"/>
              <w:jc w:val="both"/>
              <w:rPr>
                <w:rFonts w:ascii="Arial" w:hAnsi="Arial" w:cs="Arial"/>
                <w:sz w:val="20"/>
                <w:szCs w:val="20"/>
              </w:rPr>
            </w:pPr>
            <w:r>
              <w:rPr>
                <w:rFonts w:cs="Arial" w:ascii="Arial" w:hAnsi="Arial"/>
                <w:color w:val="000000"/>
                <w:sz w:val="20"/>
                <w:szCs w:val="20"/>
              </w:rPr>
              <w:t>Rede de Voleibol oficial. Confeccionada em fio polipropileno trançado com espessura de 2mm PP malha: 10x10cm. 02 lonas PVC sendo a lona superior com 0,07m e a inferior com 0,06m, ambas com protetor de PVC nas extremidades, reforçadas com sistema de cordas 6mm PP em suas laterais. Cordas laterais com argolas de aço 13m galvanizado para instalação.</w:t>
            </w:r>
          </w:p>
        </w:tc>
        <w:tc>
          <w:tcPr>
            <w:tcW w:w="121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Calibri" w:cs="Arial"/>
                <w:color w:val="000000"/>
                <w:kern w:val="0"/>
                <w:sz w:val="20"/>
                <w:szCs w:val="20"/>
                <w:shd w:fill="FFFFFF" w:val="clear"/>
                <w:lang w:val="pt-BR" w:eastAsia="en-US" w:bidi="ar-SA"/>
              </w:rPr>
            </w:pPr>
            <w:r>
              <w:rPr>
                <w:rFonts w:eastAsia="Calibri" w:cs="Arial" w:ascii="Arial" w:hAnsi="Arial"/>
                <w:color w:val="000000"/>
                <w:kern w:val="0"/>
                <w:sz w:val="20"/>
                <w:szCs w:val="20"/>
                <w:shd w:fill="FFFFFF" w:val="clear"/>
                <w:lang w:val="pt-BR" w:eastAsia="en-US" w:bidi="ar-SA"/>
              </w:rPr>
              <w:t>02 und</w:t>
            </w:r>
          </w:p>
        </w:tc>
        <w:tc>
          <w:tcPr>
            <w:tcW w:w="1203"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R$ 308,87</w:t>
            </w:r>
          </w:p>
        </w:tc>
        <w:tc>
          <w:tcPr>
            <w:tcW w:w="135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R$ 617,74</w:t>
            </w:r>
          </w:p>
        </w:tc>
      </w:tr>
      <w:tr>
        <w:trPr>
          <w:trHeight w:val="1" w:hRule="atLeast"/>
        </w:trPr>
        <w:tc>
          <w:tcPr>
            <w:tcW w:w="563"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Arial" w:cs="Arial"/>
                <w:sz w:val="20"/>
                <w:szCs w:val="20"/>
                <w:shd w:fill="FFFFFF" w:val="clear"/>
              </w:rPr>
            </w:pPr>
            <w:r>
              <w:rPr>
                <w:rFonts w:eastAsia="Arial" w:cs="Arial" w:ascii="Arial" w:hAnsi="Arial"/>
                <w:sz w:val="20"/>
                <w:szCs w:val="20"/>
                <w:shd w:fill="FFFFFF" w:val="clear"/>
              </w:rPr>
              <w:t>02</w:t>
            </w:r>
          </w:p>
        </w:tc>
        <w:tc>
          <w:tcPr>
            <w:tcW w:w="420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pacing w:lineRule="auto" w:line="240" w:before="0" w:after="0"/>
              <w:jc w:val="both"/>
              <w:rPr>
                <w:rFonts w:ascii="Arial" w:hAnsi="Arial" w:cs="Arial"/>
                <w:sz w:val="20"/>
                <w:szCs w:val="20"/>
              </w:rPr>
            </w:pPr>
            <w:r>
              <w:rPr>
                <w:rFonts w:eastAsia="Times New Roman" w:cs="Arial" w:ascii="Arial" w:hAnsi="Arial"/>
                <w:sz w:val="20"/>
                <w:szCs w:val="20"/>
                <w:lang w:eastAsia="pt-BR"/>
              </w:rPr>
              <w:t xml:space="preserve">Suporte para antena de Voleibol Oficial, </w:t>
            </w:r>
            <w:r>
              <w:rPr>
                <w:rFonts w:cs="Arial" w:ascii="Arial" w:hAnsi="Arial"/>
                <w:sz w:val="20"/>
                <w:szCs w:val="20"/>
                <w:shd w:fill="FFFFFF" w:val="clear"/>
              </w:rPr>
              <w:t>fabricado em tecido cru 100% Algodão com adesivo de contato, com fácil instalação e praticidade em seu uso. Medidas mínimas: 5 cm largura x 1 metro de comprimento, contendo um conjunto de 02 unidades.</w:t>
            </w:r>
          </w:p>
        </w:tc>
        <w:tc>
          <w:tcPr>
            <w:tcW w:w="121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Calibri" w:cs="Arial"/>
                <w:color w:val="000000"/>
                <w:kern w:val="0"/>
                <w:sz w:val="20"/>
                <w:szCs w:val="20"/>
                <w:shd w:fill="FFFFFF" w:val="clear"/>
                <w:lang w:val="pt-BR" w:eastAsia="en-US" w:bidi="ar-SA"/>
              </w:rPr>
            </w:pPr>
            <w:r>
              <w:rPr>
                <w:rFonts w:eastAsia="Calibri" w:cs="Arial" w:ascii="Arial" w:hAnsi="Arial"/>
                <w:color w:val="000000"/>
                <w:kern w:val="0"/>
                <w:sz w:val="20"/>
                <w:szCs w:val="20"/>
                <w:shd w:fill="FFFFFF" w:val="clear"/>
                <w:lang w:val="pt-BR" w:eastAsia="en-US" w:bidi="ar-SA"/>
              </w:rPr>
              <w:t>02 und</w:t>
            </w:r>
          </w:p>
        </w:tc>
        <w:tc>
          <w:tcPr>
            <w:tcW w:w="1203"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R$ 207,00</w:t>
            </w:r>
          </w:p>
        </w:tc>
        <w:tc>
          <w:tcPr>
            <w:tcW w:w="1355"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R$ 414,00</w:t>
            </w:r>
          </w:p>
        </w:tc>
      </w:tr>
      <w:tr>
        <w:trPr>
          <w:trHeight w:val="1" w:hRule="atLeast"/>
        </w:trPr>
        <w:tc>
          <w:tcPr>
            <w:tcW w:w="563"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Arial" w:cs="Arial"/>
                <w:sz w:val="20"/>
                <w:szCs w:val="20"/>
                <w:shd w:fill="FFFFFF" w:val="clear"/>
              </w:rPr>
            </w:pPr>
            <w:r>
              <w:rPr>
                <w:rFonts w:eastAsia="Arial" w:cs="Arial" w:ascii="Arial" w:hAnsi="Arial"/>
                <w:sz w:val="20"/>
                <w:szCs w:val="20"/>
                <w:shd w:fill="FFFFFF" w:val="clear"/>
              </w:rPr>
              <w:t>03</w:t>
            </w:r>
          </w:p>
        </w:tc>
        <w:tc>
          <w:tcPr>
            <w:tcW w:w="4201" w:type="dxa"/>
            <w:tcBorders>
              <w:left w:val="single" w:sz="4" w:space="0" w:color="000000"/>
              <w:bottom w:val="single" w:sz="4" w:space="0" w:color="000000"/>
              <w:right w:val="single" w:sz="4" w:space="0" w:color="000000"/>
            </w:tcBorders>
            <w:shd w:fill="FFFFFF" w:val="clear"/>
            <w:vAlign w:val="center"/>
          </w:tcPr>
          <w:p>
            <w:pPr>
              <w:pStyle w:val="Normal"/>
              <w:widowControl w:val="false"/>
              <w:spacing w:lineRule="auto" w:line="240" w:before="0" w:after="0"/>
              <w:jc w:val="both"/>
              <w:rPr>
                <w:rFonts w:ascii="Arial" w:hAnsi="Arial" w:cs="Arial"/>
                <w:sz w:val="20"/>
                <w:szCs w:val="20"/>
              </w:rPr>
            </w:pPr>
            <w:r>
              <w:rPr>
                <w:rFonts w:eastAsia="Times New Roman" w:cs="Arial" w:ascii="Arial" w:hAnsi="Arial"/>
                <w:sz w:val="20"/>
                <w:szCs w:val="20"/>
                <w:lang w:eastAsia="pt-BR"/>
              </w:rPr>
              <w:t xml:space="preserve">Antena de Voleibol Oficial, </w:t>
            </w:r>
            <w:r>
              <w:rPr>
                <w:rFonts w:cs="Arial" w:ascii="Arial" w:hAnsi="Arial"/>
                <w:sz w:val="20"/>
                <w:szCs w:val="20"/>
                <w:shd w:fill="FFFFFF" w:val="clear"/>
              </w:rPr>
              <w:t>bastão/vara flexível com 1,80m de comprimento e aproximadamente 10mm, fabricada com fibra de vidro contendo um conjunto de 02 unidades.</w:t>
            </w:r>
          </w:p>
        </w:tc>
        <w:tc>
          <w:tcPr>
            <w:tcW w:w="1210"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Calibri" w:cs="Arial"/>
                <w:color w:val="000000"/>
                <w:kern w:val="0"/>
                <w:sz w:val="20"/>
                <w:szCs w:val="20"/>
                <w:shd w:fill="FFFFFF" w:val="clear"/>
                <w:lang w:val="pt-BR" w:eastAsia="en-US" w:bidi="ar-SA"/>
              </w:rPr>
            </w:pPr>
            <w:r>
              <w:rPr>
                <w:rFonts w:eastAsia="Calibri" w:cs="Arial" w:ascii="Arial" w:hAnsi="Arial"/>
                <w:color w:val="000000"/>
                <w:kern w:val="0"/>
                <w:sz w:val="20"/>
                <w:szCs w:val="20"/>
                <w:shd w:fill="FFFFFF" w:val="clear"/>
                <w:lang w:val="pt-BR" w:eastAsia="en-US" w:bidi="ar-SA"/>
              </w:rPr>
              <w:t>02 und</w:t>
            </w:r>
          </w:p>
        </w:tc>
        <w:tc>
          <w:tcPr>
            <w:tcW w:w="1203"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R$ 69,00</w:t>
            </w:r>
          </w:p>
        </w:tc>
        <w:tc>
          <w:tcPr>
            <w:tcW w:w="1355"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R$ 138,00</w:t>
            </w:r>
          </w:p>
        </w:tc>
      </w:tr>
      <w:tr>
        <w:trPr>
          <w:trHeight w:val="1" w:hRule="atLeast"/>
        </w:trPr>
        <w:tc>
          <w:tcPr>
            <w:tcW w:w="563"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Arial" w:cs="Arial"/>
                <w:sz w:val="20"/>
                <w:szCs w:val="20"/>
                <w:shd w:fill="FFFFFF" w:val="clear"/>
              </w:rPr>
            </w:pPr>
            <w:r>
              <w:rPr>
                <w:rFonts w:eastAsia="Arial" w:cs="Arial" w:ascii="Arial" w:hAnsi="Arial"/>
                <w:sz w:val="20"/>
                <w:szCs w:val="20"/>
                <w:shd w:fill="FFFFFF" w:val="clear"/>
              </w:rPr>
              <w:t>04</w:t>
            </w:r>
          </w:p>
        </w:tc>
        <w:tc>
          <w:tcPr>
            <w:tcW w:w="4201" w:type="dxa"/>
            <w:tcBorders>
              <w:left w:val="single" w:sz="4" w:space="0" w:color="000000"/>
              <w:bottom w:val="single" w:sz="4" w:space="0" w:color="000000"/>
              <w:right w:val="single" w:sz="4" w:space="0" w:color="000000"/>
            </w:tcBorders>
            <w:shd w:fill="FFFFFF" w:val="clear"/>
            <w:vAlign w:val="center"/>
          </w:tcPr>
          <w:p>
            <w:pPr>
              <w:pStyle w:val="NormalWeb"/>
              <w:widowControl w:val="false"/>
              <w:shd w:val="clear" w:color="auto" w:fill="FFFFFF"/>
              <w:spacing w:lineRule="auto" w:line="240" w:beforeAutospacing="0" w:before="0" w:afterAutospacing="0" w:after="0"/>
              <w:jc w:val="both"/>
              <w:rPr>
                <w:rFonts w:ascii="Arial" w:hAnsi="Arial" w:cs="Arial"/>
                <w:sz w:val="20"/>
                <w:szCs w:val="20"/>
              </w:rPr>
            </w:pPr>
            <w:r>
              <w:rPr>
                <w:rFonts w:cs="Arial" w:ascii="Arial" w:hAnsi="Arial"/>
                <w:sz w:val="20"/>
                <w:szCs w:val="20"/>
              </w:rPr>
              <w:t xml:space="preserve">Carrinhos para transporte de Bolas, </w:t>
            </w:r>
            <w:r>
              <w:rPr>
                <w:rFonts w:cs="Arial" w:ascii="Arial" w:hAnsi="Arial"/>
                <w:sz w:val="20"/>
                <w:szCs w:val="20"/>
                <w:shd w:fill="FFFFFF" w:val="clear"/>
              </w:rPr>
              <w:t xml:space="preserve">estrutura retrátil de alumínio com rodinhas de PVC (modelo abre e fecha), estrutura retrátil de alumínio com rodinhas de PVC (modelo abre e fecha), </w:t>
            </w:r>
            <w:r>
              <w:rPr>
                <w:rFonts w:cs="Arial" w:ascii="Arial" w:hAnsi="Arial"/>
                <w:sz w:val="20"/>
                <w:szCs w:val="20"/>
              </w:rPr>
              <w:t>dimensões mínimas: Bolsa: Altura: 55 cm / Largura: 60 cm / Comprimento: 60 cm Carrinho: Altura: 103 cm / Largura: 60 cm / Comprimento: 60 cm.</w:t>
            </w:r>
          </w:p>
        </w:tc>
        <w:tc>
          <w:tcPr>
            <w:tcW w:w="1210"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Calibri" w:cs="Arial"/>
                <w:color w:val="000000"/>
                <w:kern w:val="0"/>
                <w:sz w:val="20"/>
                <w:szCs w:val="20"/>
                <w:shd w:fill="FFFFFF" w:val="clear"/>
                <w:lang w:val="pt-BR" w:eastAsia="en-US" w:bidi="ar-SA"/>
              </w:rPr>
            </w:pPr>
            <w:r>
              <w:rPr>
                <w:rFonts w:eastAsia="Calibri" w:cs="Arial" w:ascii="Arial" w:hAnsi="Arial"/>
                <w:color w:val="000000"/>
                <w:kern w:val="0"/>
                <w:sz w:val="20"/>
                <w:szCs w:val="20"/>
                <w:shd w:fill="FFFFFF" w:val="clear"/>
                <w:lang w:val="pt-BR" w:eastAsia="en-US" w:bidi="ar-SA"/>
              </w:rPr>
              <w:t>02 und</w:t>
            </w:r>
          </w:p>
        </w:tc>
        <w:tc>
          <w:tcPr>
            <w:tcW w:w="1203"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R$ 479,49</w:t>
            </w:r>
          </w:p>
        </w:tc>
        <w:tc>
          <w:tcPr>
            <w:tcW w:w="1355"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R$ 958,98</w:t>
            </w:r>
          </w:p>
        </w:tc>
      </w:tr>
      <w:tr>
        <w:trPr>
          <w:trHeight w:val="1" w:hRule="atLeast"/>
        </w:trPr>
        <w:tc>
          <w:tcPr>
            <w:tcW w:w="563"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Arial" w:cs="Arial"/>
                <w:sz w:val="20"/>
                <w:szCs w:val="20"/>
                <w:shd w:fill="FFFFFF" w:val="clear"/>
              </w:rPr>
            </w:pPr>
            <w:r>
              <w:rPr>
                <w:rFonts w:eastAsia="Arial" w:cs="Arial" w:ascii="Arial" w:hAnsi="Arial"/>
                <w:sz w:val="20"/>
                <w:szCs w:val="20"/>
                <w:shd w:fill="FFFFFF" w:val="clear"/>
              </w:rPr>
              <w:t>05</w:t>
            </w:r>
          </w:p>
        </w:tc>
        <w:tc>
          <w:tcPr>
            <w:tcW w:w="4201" w:type="dxa"/>
            <w:tcBorders>
              <w:left w:val="single" w:sz="4" w:space="0" w:color="000000"/>
              <w:bottom w:val="single" w:sz="4" w:space="0" w:color="000000"/>
              <w:right w:val="single" w:sz="4" w:space="0" w:color="000000"/>
            </w:tcBorders>
            <w:shd w:fill="FFFFFF" w:val="clear"/>
            <w:vAlign w:val="center"/>
          </w:tcPr>
          <w:p>
            <w:pPr>
              <w:pStyle w:val="Normal"/>
              <w:widowControl w:val="false"/>
              <w:spacing w:lineRule="auto" w:line="240" w:before="0" w:after="0"/>
              <w:jc w:val="both"/>
              <w:rPr>
                <w:rFonts w:ascii="Arial" w:hAnsi="Arial" w:cs="Arial"/>
                <w:sz w:val="20"/>
                <w:szCs w:val="20"/>
              </w:rPr>
            </w:pPr>
            <w:r>
              <w:rPr>
                <w:rFonts w:cs="Arial" w:ascii="Arial" w:hAnsi="Arial"/>
                <w:color w:val="000000"/>
                <w:sz w:val="20"/>
                <w:szCs w:val="20"/>
              </w:rPr>
              <w:t>Camiseta para utilização em treinamentos, em tecido 100% poliéster, de Dry Fit. Diversos tamanhos. Com estampa. Serão inseridos o selo da Lei de Incentivo ao Esporte, as logomarcas do M.E., do Governo Federal, a Bandeira Nacional e as logos dos patrocinadores, bem como do proponente. Aplicação chapada logo da LIE. Aplicação sobre fundo claro, logomarca da Secretaria Especial do Esporte, Ministério da Cidadania e Governo Federal.</w:t>
            </w:r>
          </w:p>
        </w:tc>
        <w:tc>
          <w:tcPr>
            <w:tcW w:w="1210"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Calibri" w:cs="Arial"/>
                <w:color w:val="000000"/>
                <w:kern w:val="0"/>
                <w:sz w:val="20"/>
                <w:szCs w:val="20"/>
                <w:shd w:fill="FFFFFF" w:val="clear"/>
                <w:lang w:val="pt-BR" w:eastAsia="en-US" w:bidi="ar-SA"/>
              </w:rPr>
            </w:pPr>
            <w:r>
              <w:rPr>
                <w:rFonts w:eastAsia="Calibri" w:cs="Arial" w:ascii="Arial" w:hAnsi="Arial"/>
                <w:color w:val="000000"/>
                <w:kern w:val="0"/>
                <w:sz w:val="20"/>
                <w:szCs w:val="20"/>
                <w:shd w:fill="FFFFFF" w:val="clear"/>
                <w:lang w:val="pt-BR" w:eastAsia="en-US" w:bidi="ar-SA"/>
              </w:rPr>
              <w:t>100 und</w:t>
            </w:r>
          </w:p>
        </w:tc>
        <w:tc>
          <w:tcPr>
            <w:tcW w:w="1203"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R$ 44,00</w:t>
            </w:r>
          </w:p>
        </w:tc>
        <w:tc>
          <w:tcPr>
            <w:tcW w:w="1355"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R$ 4.400,00</w:t>
            </w:r>
          </w:p>
        </w:tc>
      </w:tr>
      <w:tr>
        <w:trPr>
          <w:trHeight w:val="1" w:hRule="atLeast"/>
        </w:trPr>
        <w:tc>
          <w:tcPr>
            <w:tcW w:w="563"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Arial" w:cs="Arial"/>
                <w:sz w:val="20"/>
                <w:szCs w:val="20"/>
                <w:shd w:fill="FFFFFF" w:val="clear"/>
              </w:rPr>
            </w:pPr>
            <w:r>
              <w:rPr>
                <w:rFonts w:eastAsia="Arial" w:cs="Arial" w:ascii="Arial" w:hAnsi="Arial"/>
                <w:sz w:val="20"/>
                <w:szCs w:val="20"/>
                <w:shd w:fill="FFFFFF" w:val="clear"/>
              </w:rPr>
              <w:t>06</w:t>
            </w:r>
          </w:p>
        </w:tc>
        <w:tc>
          <w:tcPr>
            <w:tcW w:w="4201" w:type="dxa"/>
            <w:tcBorders>
              <w:left w:val="single" w:sz="4" w:space="0" w:color="000000"/>
              <w:bottom w:val="single" w:sz="4" w:space="0" w:color="000000"/>
              <w:right w:val="single" w:sz="4" w:space="0" w:color="000000"/>
            </w:tcBorders>
            <w:shd w:fill="FFFFFF" w:val="clear"/>
            <w:vAlign w:val="center"/>
          </w:tcPr>
          <w:p>
            <w:pPr>
              <w:pStyle w:val="Normal"/>
              <w:widowControl w:val="false"/>
              <w:spacing w:lineRule="auto" w:line="240" w:before="0" w:after="0"/>
              <w:jc w:val="both"/>
              <w:rPr>
                <w:rFonts w:ascii="Arial" w:hAnsi="Arial" w:cs="Arial"/>
                <w:sz w:val="20"/>
                <w:szCs w:val="20"/>
              </w:rPr>
            </w:pPr>
            <w:r>
              <w:rPr>
                <w:rFonts w:cs="Arial" w:ascii="Arial" w:hAnsi="Arial"/>
                <w:sz w:val="20"/>
                <w:szCs w:val="20"/>
              </w:rPr>
              <w:t>Meias para Jogos, 100%</w:t>
            </w:r>
            <w:r>
              <w:rPr>
                <w:rFonts w:cs="Arial" w:ascii="Arial" w:hAnsi="Arial"/>
                <w:spacing w:val="6"/>
                <w:sz w:val="20"/>
                <w:szCs w:val="20"/>
              </w:rPr>
              <w:t xml:space="preserve"> </w:t>
            </w:r>
            <w:r>
              <w:rPr>
                <w:rFonts w:cs="Arial" w:ascii="Arial" w:hAnsi="Arial"/>
                <w:sz w:val="20"/>
                <w:szCs w:val="20"/>
              </w:rPr>
              <w:t>poliamida, com</w:t>
            </w:r>
            <w:r>
              <w:rPr>
                <w:rFonts w:cs="Arial" w:ascii="Arial" w:hAnsi="Arial"/>
                <w:spacing w:val="7"/>
                <w:sz w:val="20"/>
                <w:szCs w:val="20"/>
              </w:rPr>
              <w:t xml:space="preserve"> </w:t>
            </w:r>
            <w:r>
              <w:rPr>
                <w:rFonts w:cs="Arial" w:ascii="Arial" w:hAnsi="Arial"/>
                <w:sz w:val="20"/>
                <w:szCs w:val="20"/>
              </w:rPr>
              <w:t>ajuste</w:t>
            </w:r>
            <w:r>
              <w:rPr>
                <w:rFonts w:cs="Arial" w:ascii="Arial" w:hAnsi="Arial"/>
                <w:spacing w:val="5"/>
                <w:sz w:val="20"/>
                <w:szCs w:val="20"/>
              </w:rPr>
              <w:t xml:space="preserve"> </w:t>
            </w:r>
            <w:r>
              <w:rPr>
                <w:rFonts w:cs="Arial" w:ascii="Arial" w:hAnsi="Arial"/>
                <w:sz w:val="20"/>
                <w:szCs w:val="20"/>
              </w:rPr>
              <w:t>para</w:t>
            </w:r>
            <w:r>
              <w:rPr>
                <w:rFonts w:cs="Arial" w:ascii="Arial" w:hAnsi="Arial"/>
                <w:spacing w:val="1"/>
                <w:sz w:val="20"/>
                <w:szCs w:val="20"/>
              </w:rPr>
              <w:t xml:space="preserve"> </w:t>
            </w:r>
            <w:r>
              <w:rPr>
                <w:rFonts w:cs="Arial" w:ascii="Arial" w:hAnsi="Arial"/>
                <w:sz w:val="20"/>
                <w:szCs w:val="20"/>
              </w:rPr>
              <w:t>perna</w:t>
            </w:r>
            <w:r>
              <w:rPr>
                <w:rFonts w:cs="Arial" w:ascii="Arial" w:hAnsi="Arial"/>
                <w:spacing w:val="5"/>
                <w:sz w:val="20"/>
                <w:szCs w:val="20"/>
              </w:rPr>
              <w:t xml:space="preserve"> </w:t>
            </w:r>
            <w:r>
              <w:rPr>
                <w:rFonts w:cs="Arial" w:ascii="Arial" w:hAnsi="Arial"/>
                <w:sz w:val="20"/>
                <w:szCs w:val="20"/>
              </w:rPr>
              <w:t>larga,</w:t>
            </w:r>
            <w:r>
              <w:rPr>
                <w:rFonts w:cs="Arial" w:ascii="Arial" w:hAnsi="Arial"/>
                <w:spacing w:val="8"/>
                <w:sz w:val="20"/>
                <w:szCs w:val="20"/>
              </w:rPr>
              <w:t xml:space="preserve"> </w:t>
            </w:r>
            <w:r>
              <w:rPr>
                <w:rFonts w:cs="Arial" w:ascii="Arial" w:hAnsi="Arial"/>
                <w:sz w:val="20"/>
                <w:szCs w:val="20"/>
              </w:rPr>
              <w:t>secção</w:t>
            </w:r>
            <w:r>
              <w:rPr>
                <w:rFonts w:cs="Arial" w:ascii="Arial" w:hAnsi="Arial"/>
                <w:spacing w:val="1"/>
                <w:sz w:val="20"/>
                <w:szCs w:val="20"/>
              </w:rPr>
              <w:t xml:space="preserve"> </w:t>
            </w:r>
            <w:r>
              <w:rPr>
                <w:rFonts w:cs="Arial" w:ascii="Arial" w:hAnsi="Arial"/>
                <w:sz w:val="20"/>
                <w:szCs w:val="20"/>
              </w:rPr>
              <w:t>de</w:t>
            </w:r>
            <w:r>
              <w:rPr>
                <w:rFonts w:cs="Arial" w:ascii="Arial" w:hAnsi="Arial"/>
                <w:spacing w:val="5"/>
                <w:sz w:val="20"/>
                <w:szCs w:val="20"/>
              </w:rPr>
              <w:t xml:space="preserve"> </w:t>
            </w:r>
            <w:r>
              <w:rPr>
                <w:rFonts w:cs="Arial" w:ascii="Arial" w:hAnsi="Arial"/>
                <w:sz w:val="20"/>
                <w:szCs w:val="20"/>
              </w:rPr>
              <w:t>ventilação</w:t>
            </w:r>
            <w:r>
              <w:rPr>
                <w:rFonts w:cs="Arial" w:ascii="Arial" w:hAnsi="Arial"/>
                <w:spacing w:val="2"/>
                <w:sz w:val="20"/>
                <w:szCs w:val="20"/>
              </w:rPr>
              <w:t xml:space="preserve"> </w:t>
            </w:r>
            <w:r>
              <w:rPr>
                <w:rFonts w:cs="Arial" w:ascii="Arial" w:hAnsi="Arial"/>
                <w:sz w:val="20"/>
                <w:szCs w:val="20"/>
              </w:rPr>
              <w:t>malha</w:t>
            </w:r>
            <w:r>
              <w:rPr>
                <w:rFonts w:cs="Arial" w:ascii="Arial" w:hAnsi="Arial"/>
                <w:spacing w:val="1"/>
                <w:sz w:val="20"/>
                <w:szCs w:val="20"/>
              </w:rPr>
              <w:t xml:space="preserve"> </w:t>
            </w:r>
            <w:r>
              <w:rPr>
                <w:rFonts w:cs="Arial" w:ascii="Arial" w:hAnsi="Arial"/>
                <w:sz w:val="20"/>
                <w:szCs w:val="20"/>
              </w:rPr>
              <w:t>na</w:t>
            </w:r>
            <w:r>
              <w:rPr>
                <w:rFonts w:cs="Arial" w:ascii="Arial" w:hAnsi="Arial"/>
                <w:spacing w:val="5"/>
                <w:sz w:val="20"/>
                <w:szCs w:val="20"/>
              </w:rPr>
              <w:t xml:space="preserve"> </w:t>
            </w:r>
            <w:r>
              <w:rPr>
                <w:rFonts w:cs="Arial" w:ascii="Arial" w:hAnsi="Arial"/>
                <w:sz w:val="20"/>
                <w:szCs w:val="20"/>
              </w:rPr>
              <w:t>parte</w:t>
            </w:r>
            <w:r>
              <w:rPr>
                <w:rFonts w:cs="Arial" w:ascii="Arial" w:hAnsi="Arial"/>
                <w:spacing w:val="5"/>
                <w:sz w:val="20"/>
                <w:szCs w:val="20"/>
              </w:rPr>
              <w:t xml:space="preserve"> </w:t>
            </w:r>
            <w:r>
              <w:rPr>
                <w:rFonts w:cs="Arial" w:ascii="Arial" w:hAnsi="Arial"/>
                <w:sz w:val="20"/>
                <w:szCs w:val="20"/>
              </w:rPr>
              <w:t>de</w:t>
            </w:r>
            <w:r>
              <w:rPr>
                <w:rFonts w:cs="Arial" w:ascii="Arial" w:hAnsi="Arial"/>
                <w:spacing w:val="5"/>
                <w:sz w:val="20"/>
                <w:szCs w:val="20"/>
              </w:rPr>
              <w:t xml:space="preserve"> </w:t>
            </w:r>
            <w:r>
              <w:rPr>
                <w:rFonts w:cs="Arial" w:ascii="Arial" w:hAnsi="Arial"/>
                <w:sz w:val="20"/>
                <w:szCs w:val="20"/>
              </w:rPr>
              <w:t>trás</w:t>
            </w:r>
            <w:r>
              <w:rPr>
                <w:rFonts w:cs="Arial" w:ascii="Arial" w:hAnsi="Arial"/>
                <w:spacing w:val="7"/>
                <w:sz w:val="20"/>
                <w:szCs w:val="20"/>
              </w:rPr>
              <w:t xml:space="preserve"> </w:t>
            </w:r>
            <w:r>
              <w:rPr>
                <w:rFonts w:cs="Arial" w:ascii="Arial" w:hAnsi="Arial"/>
                <w:sz w:val="20"/>
                <w:szCs w:val="20"/>
              </w:rPr>
              <w:t>da</w:t>
            </w:r>
            <w:r>
              <w:rPr>
                <w:rFonts w:cs="Arial" w:ascii="Arial" w:hAnsi="Arial"/>
                <w:spacing w:val="5"/>
                <w:sz w:val="20"/>
                <w:szCs w:val="20"/>
              </w:rPr>
              <w:t xml:space="preserve"> </w:t>
            </w:r>
            <w:r>
              <w:rPr>
                <w:rFonts w:cs="Arial" w:ascii="Arial" w:hAnsi="Arial"/>
                <w:sz w:val="20"/>
                <w:szCs w:val="20"/>
              </w:rPr>
              <w:t>perna</w:t>
            </w:r>
            <w:r>
              <w:rPr>
                <w:rFonts w:cs="Arial" w:ascii="Arial" w:hAnsi="Arial"/>
                <w:spacing w:val="5"/>
                <w:sz w:val="20"/>
                <w:szCs w:val="20"/>
              </w:rPr>
              <w:t xml:space="preserve"> </w:t>
            </w:r>
            <w:r>
              <w:rPr>
                <w:rFonts w:cs="Arial" w:ascii="Arial" w:hAnsi="Arial"/>
                <w:sz w:val="20"/>
                <w:szCs w:val="20"/>
              </w:rPr>
              <w:t>para</w:t>
            </w:r>
            <w:r>
              <w:rPr>
                <w:rFonts w:cs="Arial" w:ascii="Arial" w:hAnsi="Arial"/>
                <w:spacing w:val="6"/>
                <w:sz w:val="20"/>
                <w:szCs w:val="20"/>
              </w:rPr>
              <w:t xml:space="preserve"> </w:t>
            </w:r>
            <w:r>
              <w:rPr>
                <w:rFonts w:cs="Arial" w:ascii="Arial" w:hAnsi="Arial"/>
                <w:sz w:val="20"/>
                <w:szCs w:val="20"/>
              </w:rPr>
              <w:t>permitir</w:t>
            </w:r>
            <w:r>
              <w:rPr>
                <w:rFonts w:cs="Arial" w:ascii="Arial" w:hAnsi="Arial"/>
                <w:spacing w:val="1"/>
                <w:sz w:val="20"/>
                <w:szCs w:val="20"/>
              </w:rPr>
              <w:t xml:space="preserve"> </w:t>
            </w:r>
            <w:r>
              <w:rPr>
                <w:rFonts w:cs="Arial" w:ascii="Arial" w:hAnsi="Arial"/>
                <w:sz w:val="20"/>
                <w:szCs w:val="20"/>
              </w:rPr>
              <w:t>que</w:t>
            </w:r>
            <w:r>
              <w:rPr>
                <w:rFonts w:cs="Arial" w:ascii="Arial" w:hAnsi="Arial"/>
                <w:spacing w:val="4"/>
                <w:sz w:val="20"/>
                <w:szCs w:val="20"/>
              </w:rPr>
              <w:t xml:space="preserve"> </w:t>
            </w:r>
            <w:r>
              <w:rPr>
                <w:rFonts w:cs="Arial" w:ascii="Arial" w:hAnsi="Arial"/>
                <w:sz w:val="20"/>
                <w:szCs w:val="20"/>
              </w:rPr>
              <w:t>o ar</w:t>
            </w:r>
            <w:r>
              <w:rPr>
                <w:rFonts w:cs="Arial" w:ascii="Arial" w:hAnsi="Arial"/>
                <w:spacing w:val="6"/>
                <w:sz w:val="20"/>
                <w:szCs w:val="20"/>
              </w:rPr>
              <w:t xml:space="preserve"> </w:t>
            </w:r>
            <w:r>
              <w:rPr>
                <w:rFonts w:cs="Arial" w:ascii="Arial" w:hAnsi="Arial"/>
                <w:sz w:val="20"/>
                <w:szCs w:val="20"/>
              </w:rPr>
              <w:t>circule,</w:t>
            </w:r>
            <w:r>
              <w:rPr>
                <w:rFonts w:cs="Arial" w:ascii="Arial" w:hAnsi="Arial"/>
                <w:spacing w:val="7"/>
                <w:sz w:val="20"/>
                <w:szCs w:val="20"/>
              </w:rPr>
              <w:t xml:space="preserve"> </w:t>
            </w:r>
            <w:r>
              <w:rPr>
                <w:rFonts w:cs="Arial" w:ascii="Arial" w:hAnsi="Arial"/>
                <w:sz w:val="20"/>
                <w:szCs w:val="20"/>
              </w:rPr>
              <w:t>secção de</w:t>
            </w:r>
            <w:r>
              <w:rPr>
                <w:rFonts w:cs="Arial" w:ascii="Arial" w:hAnsi="Arial"/>
                <w:spacing w:val="5"/>
                <w:sz w:val="20"/>
                <w:szCs w:val="20"/>
              </w:rPr>
              <w:t xml:space="preserve"> </w:t>
            </w:r>
            <w:r>
              <w:rPr>
                <w:rFonts w:cs="Arial" w:ascii="Arial" w:hAnsi="Arial"/>
                <w:sz w:val="20"/>
                <w:szCs w:val="20"/>
              </w:rPr>
              <w:t>ventilação na</w:t>
            </w:r>
            <w:r>
              <w:rPr>
                <w:rFonts w:cs="Arial" w:ascii="Arial" w:hAnsi="Arial"/>
                <w:spacing w:val="-34"/>
                <w:sz w:val="20"/>
                <w:szCs w:val="20"/>
              </w:rPr>
              <w:t xml:space="preserve"> </w:t>
            </w:r>
            <w:r>
              <w:rPr>
                <w:rFonts w:cs="Arial" w:ascii="Arial" w:hAnsi="Arial"/>
                <w:sz w:val="20"/>
                <w:szCs w:val="20"/>
              </w:rPr>
              <w:t>parte</w:t>
            </w:r>
            <w:r>
              <w:rPr>
                <w:rFonts w:cs="Arial" w:ascii="Arial" w:hAnsi="Arial"/>
                <w:spacing w:val="3"/>
                <w:sz w:val="20"/>
                <w:szCs w:val="20"/>
              </w:rPr>
              <w:t xml:space="preserve"> </w:t>
            </w:r>
            <w:r>
              <w:rPr>
                <w:rFonts w:cs="Arial" w:ascii="Arial" w:hAnsi="Arial"/>
                <w:sz w:val="20"/>
                <w:szCs w:val="20"/>
              </w:rPr>
              <w:t>superior</w:t>
            </w:r>
            <w:r>
              <w:rPr>
                <w:rFonts w:cs="Arial" w:ascii="Arial" w:hAnsi="Arial"/>
                <w:spacing w:val="4"/>
                <w:sz w:val="20"/>
                <w:szCs w:val="20"/>
              </w:rPr>
              <w:t xml:space="preserve"> </w:t>
            </w:r>
            <w:r>
              <w:rPr>
                <w:rFonts w:cs="Arial" w:ascii="Arial" w:hAnsi="Arial"/>
                <w:sz w:val="20"/>
                <w:szCs w:val="20"/>
              </w:rPr>
              <w:t>do</w:t>
            </w:r>
            <w:r>
              <w:rPr>
                <w:rFonts w:cs="Arial" w:ascii="Arial" w:hAnsi="Arial"/>
                <w:spacing w:val="-1"/>
                <w:sz w:val="20"/>
                <w:szCs w:val="20"/>
              </w:rPr>
              <w:t xml:space="preserve"> </w:t>
            </w:r>
            <w:r>
              <w:rPr>
                <w:rFonts w:cs="Arial" w:ascii="Arial" w:hAnsi="Arial"/>
                <w:sz w:val="20"/>
                <w:szCs w:val="20"/>
              </w:rPr>
              <w:t>pé</w:t>
            </w:r>
            <w:r>
              <w:rPr>
                <w:rFonts w:cs="Arial" w:ascii="Arial" w:hAnsi="Arial"/>
                <w:spacing w:val="3"/>
                <w:sz w:val="20"/>
                <w:szCs w:val="20"/>
              </w:rPr>
              <w:t xml:space="preserve"> </w:t>
            </w:r>
            <w:r>
              <w:rPr>
                <w:rFonts w:cs="Arial" w:ascii="Arial" w:hAnsi="Arial"/>
                <w:sz w:val="20"/>
                <w:szCs w:val="20"/>
              </w:rPr>
              <w:t>para</w:t>
            </w:r>
            <w:r>
              <w:rPr>
                <w:rFonts w:cs="Arial" w:ascii="Arial" w:hAnsi="Arial"/>
                <w:spacing w:val="3"/>
                <w:sz w:val="20"/>
                <w:szCs w:val="20"/>
              </w:rPr>
              <w:t xml:space="preserve"> </w:t>
            </w:r>
            <w:r>
              <w:rPr>
                <w:rFonts w:cs="Arial" w:ascii="Arial" w:hAnsi="Arial"/>
                <w:sz w:val="20"/>
                <w:szCs w:val="20"/>
              </w:rPr>
              <w:t>melhor</w:t>
            </w:r>
            <w:r>
              <w:rPr>
                <w:rFonts w:cs="Arial" w:ascii="Arial" w:hAnsi="Arial"/>
                <w:spacing w:val="1"/>
                <w:sz w:val="20"/>
                <w:szCs w:val="20"/>
              </w:rPr>
              <w:t xml:space="preserve"> </w:t>
            </w:r>
            <w:r>
              <w:rPr>
                <w:rFonts w:cs="Arial" w:ascii="Arial" w:hAnsi="Arial"/>
                <w:sz w:val="20"/>
                <w:szCs w:val="20"/>
              </w:rPr>
              <w:t>respirabilidade,</w:t>
            </w:r>
            <w:r>
              <w:rPr>
                <w:rFonts w:cs="Arial" w:ascii="Arial" w:hAnsi="Arial"/>
                <w:spacing w:val="7"/>
                <w:sz w:val="20"/>
                <w:szCs w:val="20"/>
              </w:rPr>
              <w:t xml:space="preserve"> </w:t>
            </w:r>
            <w:r>
              <w:rPr>
                <w:rFonts w:cs="Arial" w:ascii="Arial" w:hAnsi="Arial"/>
                <w:sz w:val="20"/>
                <w:szCs w:val="20"/>
              </w:rPr>
              <w:t>totalmente</w:t>
            </w:r>
            <w:r>
              <w:rPr>
                <w:rFonts w:cs="Arial" w:ascii="Arial" w:hAnsi="Arial"/>
                <w:spacing w:val="6"/>
                <w:sz w:val="20"/>
                <w:szCs w:val="20"/>
              </w:rPr>
              <w:t xml:space="preserve"> </w:t>
            </w:r>
            <w:r>
              <w:rPr>
                <w:rFonts w:cs="Arial" w:ascii="Arial" w:hAnsi="Arial"/>
                <w:sz w:val="20"/>
                <w:szCs w:val="20"/>
              </w:rPr>
              <w:t>acolchoada</w:t>
            </w:r>
            <w:r>
              <w:rPr>
                <w:rFonts w:cs="Arial" w:ascii="Arial" w:hAnsi="Arial"/>
                <w:spacing w:val="1"/>
                <w:sz w:val="20"/>
                <w:szCs w:val="20"/>
              </w:rPr>
              <w:t xml:space="preserve"> </w:t>
            </w:r>
            <w:r>
              <w:rPr>
                <w:rFonts w:cs="Arial" w:ascii="Arial" w:hAnsi="Arial"/>
                <w:sz w:val="20"/>
                <w:szCs w:val="20"/>
              </w:rPr>
              <w:t>laço</w:t>
            </w:r>
            <w:r>
              <w:rPr>
                <w:rFonts w:cs="Arial" w:ascii="Arial" w:hAnsi="Arial"/>
                <w:spacing w:val="-1"/>
                <w:sz w:val="20"/>
                <w:szCs w:val="20"/>
              </w:rPr>
              <w:t xml:space="preserve"> </w:t>
            </w:r>
            <w:r>
              <w:rPr>
                <w:rFonts w:cs="Arial" w:ascii="Arial" w:hAnsi="Arial"/>
                <w:sz w:val="20"/>
                <w:szCs w:val="20"/>
              </w:rPr>
              <w:t>malha</w:t>
            </w:r>
            <w:r>
              <w:rPr>
                <w:rFonts w:cs="Arial" w:ascii="Arial" w:hAnsi="Arial"/>
                <w:spacing w:val="5"/>
                <w:sz w:val="20"/>
                <w:szCs w:val="20"/>
              </w:rPr>
              <w:t xml:space="preserve"> </w:t>
            </w:r>
            <w:r>
              <w:rPr>
                <w:rFonts w:cs="Arial" w:ascii="Arial" w:hAnsi="Arial"/>
                <w:sz w:val="20"/>
                <w:szCs w:val="20"/>
              </w:rPr>
              <w:t>construção</w:t>
            </w:r>
            <w:r>
              <w:rPr>
                <w:rFonts w:cs="Arial" w:ascii="Arial" w:hAnsi="Arial"/>
                <w:spacing w:val="-1"/>
                <w:sz w:val="20"/>
                <w:szCs w:val="20"/>
              </w:rPr>
              <w:t xml:space="preserve"> </w:t>
            </w:r>
            <w:r>
              <w:rPr>
                <w:rFonts w:cs="Arial" w:ascii="Arial" w:hAnsi="Arial"/>
                <w:sz w:val="20"/>
                <w:szCs w:val="20"/>
              </w:rPr>
              <w:t>em</w:t>
            </w:r>
            <w:r>
              <w:rPr>
                <w:rFonts w:cs="Arial" w:ascii="Arial" w:hAnsi="Arial"/>
                <w:spacing w:val="3"/>
                <w:sz w:val="20"/>
                <w:szCs w:val="20"/>
              </w:rPr>
              <w:t xml:space="preserve"> </w:t>
            </w:r>
            <w:r>
              <w:rPr>
                <w:rFonts w:cs="Arial" w:ascii="Arial" w:hAnsi="Arial"/>
                <w:sz w:val="20"/>
                <w:szCs w:val="20"/>
              </w:rPr>
              <w:t>pé,</w:t>
            </w:r>
            <w:r>
              <w:rPr>
                <w:rFonts w:cs="Arial" w:ascii="Arial" w:hAnsi="Arial"/>
                <w:spacing w:val="6"/>
                <w:sz w:val="20"/>
                <w:szCs w:val="20"/>
              </w:rPr>
              <w:t xml:space="preserve"> </w:t>
            </w:r>
            <w:r>
              <w:rPr>
                <w:rFonts w:cs="Arial" w:ascii="Arial" w:hAnsi="Arial"/>
                <w:sz w:val="20"/>
                <w:szCs w:val="20"/>
              </w:rPr>
              <w:t>tornozelo</w:t>
            </w:r>
            <w:r>
              <w:rPr>
                <w:rFonts w:cs="Arial" w:ascii="Arial" w:hAnsi="Arial"/>
                <w:spacing w:val="1"/>
                <w:sz w:val="20"/>
                <w:szCs w:val="20"/>
              </w:rPr>
              <w:t xml:space="preserve"> </w:t>
            </w:r>
            <w:r>
              <w:rPr>
                <w:rFonts w:cs="Arial" w:ascii="Arial" w:hAnsi="Arial"/>
                <w:sz w:val="20"/>
                <w:szCs w:val="20"/>
              </w:rPr>
              <w:t>elástico</w:t>
            </w:r>
            <w:r>
              <w:rPr>
                <w:rFonts w:cs="Arial" w:ascii="Arial" w:hAnsi="Arial"/>
                <w:spacing w:val="-1"/>
                <w:sz w:val="20"/>
                <w:szCs w:val="20"/>
              </w:rPr>
              <w:t xml:space="preserve"> </w:t>
            </w:r>
            <w:r>
              <w:rPr>
                <w:rFonts w:cs="Arial" w:ascii="Arial" w:hAnsi="Arial"/>
                <w:sz w:val="20"/>
                <w:szCs w:val="20"/>
              </w:rPr>
              <w:t>e</w:t>
            </w:r>
            <w:r>
              <w:rPr>
                <w:rFonts w:cs="Arial" w:ascii="Arial" w:hAnsi="Arial"/>
                <w:spacing w:val="3"/>
                <w:sz w:val="20"/>
                <w:szCs w:val="20"/>
              </w:rPr>
              <w:t xml:space="preserve"> </w:t>
            </w:r>
            <w:r>
              <w:rPr>
                <w:rFonts w:cs="Arial" w:ascii="Arial" w:hAnsi="Arial"/>
                <w:sz w:val="20"/>
                <w:szCs w:val="20"/>
              </w:rPr>
              <w:t>suporte</w:t>
            </w:r>
            <w:r>
              <w:rPr>
                <w:rFonts w:cs="Arial" w:ascii="Arial" w:hAnsi="Arial"/>
                <w:spacing w:val="4"/>
                <w:sz w:val="20"/>
                <w:szCs w:val="20"/>
              </w:rPr>
              <w:t xml:space="preserve"> </w:t>
            </w:r>
            <w:r>
              <w:rPr>
                <w:rFonts w:cs="Arial" w:ascii="Arial" w:hAnsi="Arial"/>
                <w:sz w:val="20"/>
                <w:szCs w:val="20"/>
              </w:rPr>
              <w:t>do</w:t>
            </w:r>
            <w:r>
              <w:rPr>
                <w:rFonts w:cs="Arial" w:ascii="Arial" w:hAnsi="Arial"/>
                <w:spacing w:val="-1"/>
                <w:sz w:val="20"/>
                <w:szCs w:val="20"/>
              </w:rPr>
              <w:t xml:space="preserve"> </w:t>
            </w:r>
            <w:r>
              <w:rPr>
                <w:rFonts w:cs="Arial" w:ascii="Arial" w:hAnsi="Arial"/>
                <w:sz w:val="20"/>
                <w:szCs w:val="20"/>
              </w:rPr>
              <w:t>arco,</w:t>
            </w:r>
            <w:r>
              <w:rPr>
                <w:rFonts w:cs="Arial" w:ascii="Arial" w:hAnsi="Arial"/>
                <w:spacing w:val="6"/>
                <w:sz w:val="20"/>
                <w:szCs w:val="20"/>
              </w:rPr>
              <w:t xml:space="preserve"> </w:t>
            </w:r>
            <w:r>
              <w:rPr>
                <w:rFonts w:cs="Arial" w:ascii="Arial" w:hAnsi="Arial"/>
                <w:sz w:val="20"/>
                <w:szCs w:val="20"/>
              </w:rPr>
              <w:t>sistema</w:t>
            </w:r>
            <w:r>
              <w:rPr>
                <w:rFonts w:cs="Arial" w:ascii="Arial" w:hAnsi="Arial"/>
                <w:spacing w:val="4"/>
                <w:sz w:val="20"/>
                <w:szCs w:val="20"/>
              </w:rPr>
              <w:t xml:space="preserve"> </w:t>
            </w:r>
            <w:r>
              <w:rPr>
                <w:rFonts w:cs="Arial" w:ascii="Arial" w:hAnsi="Arial"/>
                <w:sz w:val="20"/>
                <w:szCs w:val="20"/>
              </w:rPr>
              <w:t>Anti</w:t>
            </w:r>
            <w:r>
              <w:rPr>
                <w:rFonts w:cs="Arial" w:ascii="Arial" w:hAnsi="Arial"/>
                <w:spacing w:val="1"/>
                <w:sz w:val="20"/>
                <w:szCs w:val="20"/>
              </w:rPr>
              <w:t xml:space="preserve"> </w:t>
            </w:r>
            <w:r>
              <w:rPr>
                <w:rFonts w:cs="Arial" w:ascii="Arial" w:hAnsi="Arial"/>
                <w:sz w:val="20"/>
                <w:szCs w:val="20"/>
              </w:rPr>
              <w:t>aglomeração</w:t>
            </w:r>
            <w:r>
              <w:rPr>
                <w:rFonts w:cs="Arial" w:ascii="Arial" w:hAnsi="Arial"/>
                <w:spacing w:val="-2"/>
                <w:sz w:val="20"/>
                <w:szCs w:val="20"/>
              </w:rPr>
              <w:t xml:space="preserve"> </w:t>
            </w:r>
            <w:r>
              <w:rPr>
                <w:rFonts w:cs="Arial" w:ascii="Arial" w:hAnsi="Arial"/>
                <w:sz w:val="20"/>
                <w:szCs w:val="20"/>
              </w:rPr>
              <w:t>para</w:t>
            </w:r>
            <w:r>
              <w:rPr>
                <w:rFonts w:cs="Arial" w:ascii="Arial" w:hAnsi="Arial"/>
                <w:spacing w:val="3"/>
                <w:sz w:val="20"/>
                <w:szCs w:val="20"/>
              </w:rPr>
              <w:t xml:space="preserve"> </w:t>
            </w:r>
            <w:r>
              <w:rPr>
                <w:rFonts w:cs="Arial" w:ascii="Arial" w:hAnsi="Arial"/>
                <w:sz w:val="20"/>
                <w:szCs w:val="20"/>
              </w:rPr>
              <w:t>minimizar</w:t>
            </w:r>
            <w:r>
              <w:rPr>
                <w:rFonts w:cs="Arial" w:ascii="Arial" w:hAnsi="Arial"/>
                <w:spacing w:val="3"/>
                <w:sz w:val="20"/>
                <w:szCs w:val="20"/>
              </w:rPr>
              <w:t xml:space="preserve"> </w:t>
            </w:r>
            <w:r>
              <w:rPr>
                <w:rFonts w:cs="Arial" w:ascii="Arial" w:hAnsi="Arial"/>
                <w:sz w:val="20"/>
                <w:szCs w:val="20"/>
              </w:rPr>
              <w:t>tecidos</w:t>
            </w:r>
            <w:r>
              <w:rPr>
                <w:rFonts w:cs="Arial" w:ascii="Arial" w:hAnsi="Arial"/>
                <w:spacing w:val="1"/>
                <w:sz w:val="20"/>
                <w:szCs w:val="20"/>
              </w:rPr>
              <w:t xml:space="preserve"> </w:t>
            </w:r>
            <w:r>
              <w:rPr>
                <w:rFonts w:cs="Arial" w:ascii="Arial" w:hAnsi="Arial"/>
                <w:sz w:val="20"/>
                <w:szCs w:val="20"/>
              </w:rPr>
              <w:t>extras</w:t>
            </w:r>
            <w:r>
              <w:rPr>
                <w:rFonts w:cs="Arial" w:ascii="Arial" w:hAnsi="Arial"/>
                <w:spacing w:val="8"/>
                <w:sz w:val="20"/>
                <w:szCs w:val="20"/>
              </w:rPr>
              <w:t xml:space="preserve"> </w:t>
            </w:r>
            <w:r>
              <w:rPr>
                <w:rFonts w:cs="Arial" w:ascii="Arial" w:hAnsi="Arial"/>
                <w:sz w:val="20"/>
                <w:szCs w:val="20"/>
              </w:rPr>
              <w:t>e</w:t>
            </w:r>
            <w:r>
              <w:rPr>
                <w:rFonts w:cs="Arial" w:ascii="Arial" w:hAnsi="Arial"/>
                <w:spacing w:val="7"/>
                <w:sz w:val="20"/>
                <w:szCs w:val="20"/>
              </w:rPr>
              <w:t xml:space="preserve"> </w:t>
            </w:r>
            <w:r>
              <w:rPr>
                <w:rFonts w:cs="Arial" w:ascii="Arial" w:hAnsi="Arial"/>
                <w:sz w:val="20"/>
                <w:szCs w:val="20"/>
              </w:rPr>
              <w:t>dobras</w:t>
            </w:r>
            <w:r>
              <w:rPr>
                <w:rFonts w:cs="Arial" w:ascii="Arial" w:hAnsi="Arial"/>
                <w:spacing w:val="8"/>
                <w:sz w:val="20"/>
                <w:szCs w:val="20"/>
              </w:rPr>
              <w:t xml:space="preserve"> </w:t>
            </w:r>
            <w:r>
              <w:rPr>
                <w:rFonts w:cs="Arial" w:ascii="Arial" w:hAnsi="Arial"/>
                <w:sz w:val="20"/>
                <w:szCs w:val="20"/>
              </w:rPr>
              <w:t>quando</w:t>
            </w:r>
            <w:r>
              <w:rPr>
                <w:rFonts w:cs="Arial" w:ascii="Arial" w:hAnsi="Arial"/>
                <w:spacing w:val="2"/>
                <w:sz w:val="20"/>
                <w:szCs w:val="20"/>
              </w:rPr>
              <w:t xml:space="preserve"> </w:t>
            </w:r>
            <w:r>
              <w:rPr>
                <w:rFonts w:cs="Arial" w:ascii="Arial" w:hAnsi="Arial"/>
                <w:sz w:val="20"/>
                <w:szCs w:val="20"/>
              </w:rPr>
              <w:t>flexionando</w:t>
            </w:r>
            <w:r>
              <w:rPr>
                <w:rFonts w:cs="Arial" w:ascii="Arial" w:hAnsi="Arial"/>
                <w:spacing w:val="3"/>
                <w:sz w:val="20"/>
                <w:szCs w:val="20"/>
              </w:rPr>
              <w:t xml:space="preserve"> </w:t>
            </w:r>
            <w:r>
              <w:rPr>
                <w:rFonts w:cs="Arial" w:ascii="Arial" w:hAnsi="Arial"/>
                <w:sz w:val="20"/>
                <w:szCs w:val="20"/>
              </w:rPr>
              <w:t>o</w:t>
            </w:r>
            <w:r>
              <w:rPr>
                <w:rFonts w:cs="Arial" w:ascii="Arial" w:hAnsi="Arial"/>
                <w:spacing w:val="1"/>
                <w:sz w:val="20"/>
                <w:szCs w:val="20"/>
              </w:rPr>
              <w:t xml:space="preserve"> </w:t>
            </w:r>
            <w:r>
              <w:rPr>
                <w:rFonts w:cs="Arial" w:ascii="Arial" w:hAnsi="Arial"/>
                <w:sz w:val="20"/>
                <w:szCs w:val="20"/>
              </w:rPr>
              <w:t>pé,</w:t>
            </w:r>
            <w:r>
              <w:rPr>
                <w:rFonts w:cs="Arial" w:ascii="Arial" w:hAnsi="Arial"/>
                <w:spacing w:val="4"/>
                <w:sz w:val="20"/>
                <w:szCs w:val="20"/>
              </w:rPr>
              <w:t xml:space="preserve"> </w:t>
            </w:r>
            <w:r>
              <w:rPr>
                <w:rFonts w:cs="Arial" w:ascii="Arial" w:hAnsi="Arial"/>
                <w:sz w:val="20"/>
                <w:szCs w:val="20"/>
              </w:rPr>
              <w:t>costura</w:t>
            </w:r>
            <w:r>
              <w:rPr>
                <w:rFonts w:cs="Arial" w:ascii="Arial" w:hAnsi="Arial"/>
                <w:spacing w:val="3"/>
                <w:sz w:val="20"/>
                <w:szCs w:val="20"/>
              </w:rPr>
              <w:t xml:space="preserve"> </w:t>
            </w:r>
            <w:r>
              <w:rPr>
                <w:rFonts w:cs="Arial" w:ascii="Arial" w:hAnsi="Arial"/>
                <w:sz w:val="20"/>
                <w:szCs w:val="20"/>
              </w:rPr>
              <w:t>toe</w:t>
            </w:r>
            <w:r>
              <w:rPr>
                <w:rFonts w:cs="Arial" w:ascii="Arial" w:hAnsi="Arial"/>
                <w:spacing w:val="3"/>
                <w:sz w:val="20"/>
                <w:szCs w:val="20"/>
              </w:rPr>
              <w:t xml:space="preserve"> </w:t>
            </w:r>
            <w:r>
              <w:rPr>
                <w:rFonts w:cs="Arial" w:ascii="Arial" w:hAnsi="Arial"/>
                <w:sz w:val="20"/>
                <w:szCs w:val="20"/>
              </w:rPr>
              <w:t>plana.</w:t>
            </w:r>
            <w:r>
              <w:rPr>
                <w:rFonts w:cs="Arial" w:ascii="Arial" w:hAnsi="Arial"/>
                <w:spacing w:val="5"/>
                <w:sz w:val="20"/>
                <w:szCs w:val="20"/>
              </w:rPr>
              <w:t xml:space="preserve"> </w:t>
            </w:r>
            <w:r>
              <w:rPr>
                <w:rFonts w:cs="Arial" w:ascii="Arial" w:hAnsi="Arial"/>
                <w:sz w:val="20"/>
                <w:szCs w:val="20"/>
              </w:rPr>
              <w:t>Tam P</w:t>
            </w:r>
            <w:r>
              <w:rPr>
                <w:rFonts w:cs="Arial" w:ascii="Arial" w:hAnsi="Arial"/>
                <w:spacing w:val="2"/>
                <w:sz w:val="20"/>
                <w:szCs w:val="20"/>
              </w:rPr>
              <w:t xml:space="preserve"> </w:t>
            </w:r>
            <w:r>
              <w:rPr>
                <w:rFonts w:cs="Arial" w:ascii="Arial" w:hAnsi="Arial"/>
                <w:sz w:val="20"/>
                <w:szCs w:val="20"/>
              </w:rPr>
              <w:t>a</w:t>
            </w:r>
            <w:r>
              <w:rPr>
                <w:rFonts w:cs="Arial" w:ascii="Arial" w:hAnsi="Arial"/>
                <w:spacing w:val="3"/>
                <w:sz w:val="20"/>
                <w:szCs w:val="20"/>
              </w:rPr>
              <w:t xml:space="preserve"> </w:t>
            </w:r>
            <w:r>
              <w:rPr>
                <w:rFonts w:cs="Arial" w:ascii="Arial" w:hAnsi="Arial"/>
                <w:sz w:val="20"/>
                <w:szCs w:val="20"/>
              </w:rPr>
              <w:t>G.</w:t>
            </w:r>
            <w:r>
              <w:rPr>
                <w:rFonts w:cs="Arial" w:ascii="Arial" w:hAnsi="Arial"/>
                <w:spacing w:val="5"/>
                <w:sz w:val="20"/>
                <w:szCs w:val="20"/>
              </w:rPr>
              <w:t xml:space="preserve"> </w:t>
            </w:r>
            <w:r>
              <w:rPr>
                <w:rFonts w:cs="Arial" w:ascii="Arial" w:hAnsi="Arial"/>
                <w:sz w:val="20"/>
                <w:szCs w:val="20"/>
              </w:rPr>
              <w:t>PAR. A cor será definida posteriormente.</w:t>
            </w:r>
          </w:p>
        </w:tc>
        <w:tc>
          <w:tcPr>
            <w:tcW w:w="1210"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Calibri" w:cs="Arial"/>
                <w:color w:val="000000"/>
                <w:kern w:val="0"/>
                <w:sz w:val="20"/>
                <w:szCs w:val="20"/>
                <w:shd w:fill="FFFFFF" w:val="clear"/>
                <w:lang w:val="pt-BR" w:eastAsia="en-US" w:bidi="ar-SA"/>
              </w:rPr>
            </w:pPr>
            <w:r>
              <w:rPr>
                <w:rFonts w:eastAsia="Calibri" w:cs="Arial" w:ascii="Arial" w:hAnsi="Arial"/>
                <w:color w:val="000000"/>
                <w:kern w:val="0"/>
                <w:sz w:val="20"/>
                <w:szCs w:val="20"/>
                <w:shd w:fill="FFFFFF" w:val="clear"/>
                <w:lang w:val="pt-BR" w:eastAsia="en-US" w:bidi="ar-SA"/>
              </w:rPr>
              <w:t>100 pares</w:t>
            </w:r>
          </w:p>
        </w:tc>
        <w:tc>
          <w:tcPr>
            <w:tcW w:w="1203"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R$ 29,99</w:t>
            </w:r>
          </w:p>
        </w:tc>
        <w:tc>
          <w:tcPr>
            <w:tcW w:w="1355"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R$ 2.999,00</w:t>
            </w:r>
          </w:p>
        </w:tc>
      </w:tr>
      <w:tr>
        <w:trPr>
          <w:trHeight w:val="1" w:hRule="atLeast"/>
        </w:trPr>
        <w:tc>
          <w:tcPr>
            <w:tcW w:w="563"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Arial" w:cs="Arial"/>
                <w:sz w:val="20"/>
                <w:szCs w:val="20"/>
                <w:shd w:fill="FFFFFF" w:val="clear"/>
              </w:rPr>
            </w:pPr>
            <w:r>
              <w:rPr>
                <w:rFonts w:eastAsia="Arial" w:cs="Arial" w:ascii="Arial" w:hAnsi="Arial"/>
                <w:sz w:val="20"/>
                <w:szCs w:val="20"/>
                <w:shd w:fill="FFFFFF" w:val="clear"/>
              </w:rPr>
              <w:t>07</w:t>
            </w:r>
          </w:p>
        </w:tc>
        <w:tc>
          <w:tcPr>
            <w:tcW w:w="4201" w:type="dxa"/>
            <w:tcBorders>
              <w:left w:val="single" w:sz="4" w:space="0" w:color="000000"/>
              <w:bottom w:val="single" w:sz="4" w:space="0" w:color="000000"/>
              <w:right w:val="single" w:sz="4" w:space="0" w:color="000000"/>
            </w:tcBorders>
            <w:shd w:fill="FFFFFF" w:val="clear"/>
            <w:vAlign w:val="center"/>
          </w:tcPr>
          <w:p>
            <w:pPr>
              <w:pStyle w:val="Normal"/>
              <w:widowControl w:val="false"/>
              <w:spacing w:lineRule="auto" w:line="240" w:before="0" w:after="0"/>
              <w:jc w:val="both"/>
              <w:rPr>
                <w:rFonts w:ascii="Arial" w:hAnsi="Arial" w:cs="Arial"/>
                <w:sz w:val="20"/>
                <w:szCs w:val="20"/>
              </w:rPr>
            </w:pPr>
            <w:r>
              <w:rPr>
                <w:rFonts w:cs="Arial" w:ascii="Arial" w:hAnsi="Arial"/>
                <w:color w:val="000000"/>
                <w:sz w:val="20"/>
                <w:szCs w:val="20"/>
              </w:rPr>
              <w:t>Mochila tamanho médio, 30 cm de Comprimento, 19 cm de Largura e 37 cm de Altura, revestimento dry system em todas as partes em contato com o corpo para absorção do suor, costado moldado em polietileno reticulado, dois bolsos em tela para pequenos objetos, compartimento interno em nylon, compartimento frontal com zíper duplo de metal niquelado reforçado, bolso frontal pequeno, pequeno bolso interno para documentos, fitas compressoras de carga laterais, alças anatômicas moldadas em EVA 6 mm, fita peitoral estabilizadora ajustável, fita abdominal com fecho de 25 mm.</w:t>
            </w:r>
          </w:p>
        </w:tc>
        <w:tc>
          <w:tcPr>
            <w:tcW w:w="1210"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Calibri" w:cs="Arial"/>
                <w:color w:val="000000"/>
                <w:kern w:val="0"/>
                <w:sz w:val="20"/>
                <w:szCs w:val="20"/>
                <w:shd w:fill="FFFFFF" w:val="clear"/>
                <w:lang w:val="pt-BR" w:eastAsia="en-US" w:bidi="ar-SA"/>
              </w:rPr>
            </w:pPr>
            <w:r>
              <w:rPr>
                <w:rFonts w:eastAsia="Calibri" w:cs="Arial" w:ascii="Arial" w:hAnsi="Arial"/>
                <w:color w:val="000000"/>
                <w:kern w:val="0"/>
                <w:sz w:val="20"/>
                <w:szCs w:val="20"/>
                <w:shd w:fill="FFFFFF" w:val="clear"/>
                <w:lang w:val="pt-BR" w:eastAsia="en-US" w:bidi="ar-SA"/>
              </w:rPr>
              <w:t>102 und</w:t>
            </w:r>
          </w:p>
        </w:tc>
        <w:tc>
          <w:tcPr>
            <w:tcW w:w="1203"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R$ 83,75</w:t>
            </w:r>
          </w:p>
        </w:tc>
        <w:tc>
          <w:tcPr>
            <w:tcW w:w="1355"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R$ 8.5</w:t>
            </w:r>
            <w:r>
              <w:rPr>
                <w:rFonts w:cs="Arial" w:ascii="Arial" w:hAnsi="Arial"/>
                <w:kern w:val="0"/>
                <w:sz w:val="20"/>
                <w:szCs w:val="20"/>
              </w:rPr>
              <w:t>42,50</w:t>
            </w:r>
          </w:p>
        </w:tc>
      </w:tr>
      <w:tr>
        <w:trPr>
          <w:trHeight w:val="1" w:hRule="atLeast"/>
        </w:trPr>
        <w:tc>
          <w:tcPr>
            <w:tcW w:w="563"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Arial" w:cs="Arial"/>
                <w:sz w:val="20"/>
                <w:szCs w:val="20"/>
                <w:shd w:fill="FFFFFF" w:val="clear"/>
              </w:rPr>
            </w:pPr>
            <w:r>
              <w:rPr>
                <w:rFonts w:eastAsia="Arial" w:cs="Arial" w:ascii="Arial" w:hAnsi="Arial"/>
                <w:sz w:val="20"/>
                <w:szCs w:val="20"/>
                <w:shd w:fill="FFFFFF" w:val="clear"/>
              </w:rPr>
              <w:t>08</w:t>
            </w:r>
          </w:p>
        </w:tc>
        <w:tc>
          <w:tcPr>
            <w:tcW w:w="4201" w:type="dxa"/>
            <w:tcBorders>
              <w:left w:val="single" w:sz="4" w:space="0" w:color="000000"/>
              <w:bottom w:val="single" w:sz="4" w:space="0" w:color="000000"/>
              <w:right w:val="single" w:sz="4" w:space="0" w:color="000000"/>
            </w:tcBorders>
            <w:shd w:fill="FFFFFF" w:val="clear"/>
            <w:vAlign w:val="center"/>
          </w:tcPr>
          <w:p>
            <w:pPr>
              <w:pStyle w:val="Normal"/>
              <w:widowControl w:val="false"/>
              <w:spacing w:lineRule="auto" w:line="240" w:before="0" w:after="0"/>
              <w:jc w:val="both"/>
              <w:rPr>
                <w:rFonts w:ascii="Arial" w:hAnsi="Arial" w:cs="Arial"/>
                <w:sz w:val="20"/>
                <w:szCs w:val="20"/>
              </w:rPr>
            </w:pPr>
            <w:r>
              <w:rPr>
                <w:rFonts w:cs="Arial" w:ascii="Arial" w:hAnsi="Arial"/>
                <w:sz w:val="20"/>
                <w:szCs w:val="20"/>
              </w:rPr>
              <w:t>Transporte de passageiro contendo no mínimo 26 lugares para realização do transporte dos participantes do projeto para participação em competições.</w:t>
            </w:r>
          </w:p>
        </w:tc>
        <w:tc>
          <w:tcPr>
            <w:tcW w:w="1210"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uppressAutoHyphens w:val="true"/>
              <w:spacing w:lineRule="auto" w:line="240" w:before="0" w:after="0"/>
              <w:jc w:val="center"/>
              <w:rPr>
                <w:rFonts w:ascii="Arial" w:hAnsi="Arial" w:eastAsia="Calibri" w:cs="Arial"/>
                <w:color w:val="000000"/>
                <w:kern w:val="2"/>
                <w:sz w:val="20"/>
                <w:szCs w:val="20"/>
                <w:shd w:fill="FFFFFF" w:val="clear"/>
                <w:lang w:val="pt-BR" w:eastAsia="pt-BR" w:bidi="ar-SA"/>
              </w:rPr>
            </w:pPr>
            <w:r>
              <w:rPr>
                <w:rFonts w:eastAsia="Calibri" w:cs="Arial" w:ascii="Arial" w:hAnsi="Arial"/>
                <w:color w:val="000000"/>
                <w:kern w:val="2"/>
                <w:sz w:val="20"/>
                <w:szCs w:val="20"/>
                <w:shd w:fill="FFFFFF" w:val="clear"/>
                <w:lang w:val="pt-BR" w:eastAsia="pt-BR" w:bidi="ar-SA"/>
              </w:rPr>
              <w:t>1.300 km</w:t>
            </w:r>
          </w:p>
        </w:tc>
        <w:tc>
          <w:tcPr>
            <w:tcW w:w="1203"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R$ 4,40</w:t>
            </w:r>
          </w:p>
        </w:tc>
        <w:tc>
          <w:tcPr>
            <w:tcW w:w="1355" w:type="dxa"/>
            <w:tcBorders>
              <w:left w:val="single" w:sz="4" w:space="0" w:color="000000"/>
              <w:bottom w:val="single" w:sz="4" w:space="0" w:color="000000"/>
              <w:right w:val="single" w:sz="4" w:space="0" w:color="000000"/>
            </w:tcBorders>
            <w:shd w:fill="FFFFFF" w:val="clear"/>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R$ 5.720,00</w:t>
            </w:r>
          </w:p>
        </w:tc>
      </w:tr>
    </w:tbl>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
          <w:lang w:eastAsia="pt-BR"/>
        </w:rPr>
        <w:t>OBS: E</w:t>
      </w:r>
      <w:r>
        <w:rPr>
          <w:rFonts w:eastAsia="Times New Roman" w:cs="Arial" w:ascii="Arial" w:hAnsi="Arial"/>
          <w:b/>
          <w:color w:val="000000"/>
          <w:lang w:eastAsia="pt-BR"/>
        </w:rPr>
        <w:t xml:space="preserve">xclusivo </w:t>
      </w:r>
      <w:r>
        <w:rPr>
          <w:rFonts w:eastAsia="Times New Roman" w:cs="Arial" w:ascii="Arial" w:hAnsi="Arial"/>
          <w:b/>
          <w:lang w:eastAsia="pt-BR"/>
        </w:rPr>
        <w:t>para ME e EPP, conforme artigo 48 da Lei 123/2006.</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Cs/>
          <w:i/>
          <w:i/>
          <w:iCs/>
          <w:lang w:eastAsia="pt-BR"/>
        </w:rPr>
      </w:pPr>
      <w:r>
        <w:rPr>
          <w:rFonts w:eastAsia="Times New Roman" w:cs="Arial" w:ascii="Arial" w:hAnsi="Arial"/>
          <w:bCs/>
          <w:i/>
          <w:iCs/>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i/>
          <w:iCs/>
          <w:lang w:eastAsia="pt-BR"/>
        </w:rPr>
        <w:t>2.2.</w:t>
      </w:r>
      <w:r>
        <w:rPr>
          <w:rFonts w:eastAsia="Times New Roman" w:cs="Arial" w:ascii="Arial" w:hAnsi="Arial"/>
          <w:b/>
          <w:lang w:eastAsia="pt-BR"/>
        </w:rPr>
        <w:t xml:space="preserve"> </w:t>
      </w:r>
      <w:r>
        <w:rPr>
          <w:rFonts w:eastAsia="Times New Roman" w:cs="Arial" w:ascii="Arial" w:hAnsi="Arial"/>
          <w:lang w:eastAsia="pt-BR"/>
        </w:rPr>
        <w:t>O objeto está fundamentado no Estudo Técnico Preliminar – ETP (ANEXO I) e no Termo de Referência</w:t>
      </w:r>
      <w:r>
        <w:rPr>
          <w:rFonts w:eastAsia="Times New Roman" w:cs="Arial" w:ascii="Arial" w:hAnsi="Arial"/>
          <w:color w:val="FF0000"/>
          <w:lang w:eastAsia="pt-BR"/>
        </w:rPr>
        <w:t xml:space="preserve"> </w:t>
      </w:r>
      <w:r>
        <w:rPr>
          <w:rFonts w:eastAsia="Times New Roman" w:cs="Arial" w:ascii="Arial" w:hAnsi="Arial"/>
          <w:lang w:eastAsia="pt-BR"/>
        </w:rPr>
        <w:t>(ANEXO II).</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lang w:eastAsia="pt-BR"/>
        </w:rPr>
        <w:t>2.3.</w:t>
      </w:r>
      <w:r>
        <w:rPr>
          <w:rFonts w:eastAsia="Times New Roman" w:cs="Arial" w:ascii="Arial" w:hAnsi="Arial"/>
          <w:lang w:eastAsia="pt-BR"/>
        </w:rPr>
        <w:t xml:space="preserve"> Valor do objeto: </w:t>
      </w:r>
      <w:r>
        <w:rPr>
          <w:rFonts w:eastAsia="Times New Roman" w:cs="Arial" w:ascii="Arial" w:hAnsi="Arial"/>
          <w:color w:val="000000"/>
          <w:shd w:fill="FFFFFF" w:val="clear"/>
          <w:lang w:eastAsia="pt-BR"/>
        </w:rPr>
        <w:t>R$ 23.</w:t>
      </w:r>
      <w:r>
        <w:rPr>
          <w:rFonts w:eastAsia="Times New Roman" w:cs="Arial" w:ascii="Arial" w:hAnsi="Arial"/>
          <w:color w:val="000000"/>
          <w:kern w:val="0"/>
          <w:sz w:val="22"/>
          <w:szCs w:val="22"/>
          <w:shd w:fill="FFFFFF" w:val="clear"/>
          <w:lang w:val="pt-BR" w:eastAsia="pt-BR" w:bidi="ar-SA"/>
        </w:rPr>
        <w:t>790,22</w:t>
      </w:r>
      <w:r>
        <w:rPr>
          <w:rFonts w:eastAsia="Times New Roman" w:cs="Arial" w:ascii="Arial" w:hAnsi="Arial"/>
          <w:color w:val="000000"/>
          <w:shd w:fill="FFFFFF" w:val="clear"/>
          <w:lang w:eastAsia="pt-BR"/>
        </w:rPr>
        <w:t xml:space="preserve"> </w:t>
      </w:r>
      <w:r>
        <w:rPr>
          <w:rFonts w:eastAsia="Arial" w:cs="Arial" w:ascii="Arial" w:hAnsi="Arial"/>
          <w:color w:val="000000"/>
          <w:shd w:fill="FFFFFF" w:val="clear"/>
          <w:lang w:eastAsia="pt-BR"/>
        </w:rPr>
        <w:t xml:space="preserve">(vinte e três mil setecentos e </w:t>
      </w:r>
      <w:r>
        <w:rPr>
          <w:rFonts w:eastAsia="Calibri" w:cs="Times New Roman" w:ascii="Arial" w:hAnsi="Arial"/>
          <w:color w:val="000000"/>
          <w:kern w:val="0"/>
          <w:sz w:val="22"/>
          <w:szCs w:val="22"/>
          <w:shd w:fill="FFFFFF" w:val="clear"/>
          <w:lang w:val="pt-BR" w:eastAsia="pt-BR" w:bidi="ar-SA"/>
        </w:rPr>
        <w:t>noventa reais e vinte e dois centavos</w:t>
      </w:r>
      <w:r>
        <w:rPr>
          <w:rFonts w:eastAsia="Arial" w:cs="Arial" w:ascii="Arial" w:hAnsi="Arial"/>
          <w:color w:val="000000"/>
          <w:shd w:fill="FFFFFF" w:val="clear"/>
          <w:lang w:eastAsia="pt-BR"/>
        </w:rPr>
        <w:t>).</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color w:val="000000"/>
          <w:lang w:eastAsia="pt-BR"/>
        </w:rPr>
        <w:t>2.4.</w:t>
      </w:r>
      <w:r>
        <w:rPr>
          <w:rFonts w:eastAsia="Times New Roman" w:cs="Arial" w:ascii="Arial" w:hAnsi="Arial"/>
          <w:color w:val="000000"/>
          <w:lang w:eastAsia="pt-BR"/>
        </w:rPr>
        <w:t xml:space="preserve"> SUBCONTRATAÇÃO: Na execução do contrato É VEDADA ao CONTRATADO a subcontratação do objeto.</w:t>
      </w:r>
    </w:p>
    <w:p>
      <w:pPr>
        <w:pStyle w:val="Normal"/>
        <w:widowControl w:val="false"/>
        <w:tabs>
          <w:tab w:val="clear" w:pos="708"/>
          <w:tab w:val="left" w:pos="1701" w:leader="none"/>
        </w:tabs>
        <w:spacing w:lineRule="auto" w:line="240" w:before="0" w:after="0"/>
        <w:jc w:val="both"/>
        <w:textAlignment w:val="baseline"/>
        <w:rPr>
          <w:rFonts w:ascii="Arial" w:hAnsi="Arial" w:cs="Arial"/>
          <w:color w:val="000000"/>
        </w:rPr>
      </w:pPr>
      <w:r>
        <w:rPr>
          <w:rFonts w:cs="Arial" w:ascii="Arial" w:hAnsi="Arial"/>
          <w:color w:val="000000"/>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color w:val="000000"/>
          <w:lang w:eastAsia="pt-BR"/>
        </w:rPr>
        <w:t xml:space="preserve">2.5. Em caso de discordância existente entre as especificações deste objeto descritas no endereço eletrônico </w:t>
      </w:r>
      <w:r>
        <w:rPr>
          <w:rFonts w:eastAsia="Times New Roman" w:cs="Arial" w:ascii="Arial" w:hAnsi="Arial"/>
          <w:i/>
          <w:iCs/>
          <w:color w:val="000000"/>
          <w:lang w:eastAsia="pt-BR"/>
        </w:rPr>
        <w:t>compras.gov.br</w:t>
      </w:r>
      <w:r>
        <w:rPr>
          <w:rFonts w:eastAsia="Times New Roman" w:cs="Arial" w:ascii="Arial" w:hAnsi="Arial"/>
          <w:color w:val="000000"/>
          <w:lang w:eastAsia="pt-BR"/>
        </w:rPr>
        <w:t xml:space="preserve"> e as especificações técnicas constantes deste edital,</w:t>
      </w:r>
      <w:r>
        <w:rPr>
          <w:rFonts w:eastAsia="Times New Roman" w:cs="Arial" w:ascii="Arial" w:hAnsi="Arial"/>
          <w:b/>
          <w:bCs/>
          <w:color w:val="000000"/>
          <w:lang w:eastAsia="pt-BR"/>
        </w:rPr>
        <w:t xml:space="preserve"> prevalecerão as constantes do Edital.</w:t>
      </w:r>
    </w:p>
    <w:p>
      <w:pPr>
        <w:pStyle w:val="Normal"/>
        <w:widowControl w:val="false"/>
        <w:tabs>
          <w:tab w:val="clear" w:pos="708"/>
          <w:tab w:val="left" w:pos="1418" w:leader="none"/>
        </w:tabs>
        <w:spacing w:lineRule="auto" w:line="240" w:before="0" w:after="0"/>
        <w:contextualSpacing/>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shd w:val="clear" w:color="auto" w:fill="BFBFBF"/>
        <w:tabs>
          <w:tab w:val="clear" w:pos="708"/>
          <w:tab w:val="left" w:pos="1701" w:leader="none"/>
        </w:tabs>
        <w:spacing w:lineRule="auto" w:line="240" w:before="0" w:after="0"/>
        <w:jc w:val="both"/>
        <w:textAlignment w:val="baseline"/>
        <w:rPr/>
      </w:pPr>
      <w:r>
        <w:rPr>
          <w:rFonts w:eastAsia="Times New Roman" w:cs="Arial" w:ascii="Arial" w:hAnsi="Arial"/>
          <w:b/>
          <w:lang w:eastAsia="pt-BR"/>
        </w:rPr>
        <w:t>3. PREVISÃO DE RECURSOS ORÇAMENTÁRIOS</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lang w:eastAsia="pt-BR"/>
        </w:rPr>
        <w:t>3.1.</w:t>
      </w:r>
      <w:r>
        <w:rPr>
          <w:rFonts w:eastAsia="Times New Roman" w:cs="Arial" w:ascii="Arial" w:hAnsi="Arial"/>
          <w:b/>
          <w:lang w:eastAsia="pt-BR"/>
        </w:rPr>
        <w:t xml:space="preserve"> </w:t>
      </w:r>
      <w:r>
        <w:rPr>
          <w:rFonts w:eastAsia="Times New Roman" w:cs="Arial" w:ascii="Arial" w:hAnsi="Arial"/>
          <w:lang w:eastAsia="pt-BR"/>
        </w:rPr>
        <w:t xml:space="preserve">As despesas decorrentes deste processo licitatório correrão por conta das </w:t>
      </w:r>
      <w:r>
        <w:rPr>
          <w:rFonts w:eastAsia="Times New Roman" w:cs="Arial" w:ascii="Arial" w:hAnsi="Arial"/>
          <w:color w:val="000000"/>
          <w:shd w:fill="auto" w:val="clear"/>
          <w:lang w:eastAsia="pt-BR"/>
        </w:rPr>
        <w:t>dotações previstas na Lei Orçamentária do Exercício vigente (2023);</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shd w:fill="auto" w:val="clear"/>
          <w:lang w:eastAsia="pt-BR"/>
        </w:rPr>
      </w:pPr>
      <w:r>
        <w:rPr>
          <w:rFonts w:eastAsia="Times New Roman" w:cs="Arial" w:ascii="Arial" w:hAnsi="Arial"/>
          <w:color w:val="000000"/>
          <w:shd w:fill="auto" w:val="clear"/>
          <w:lang w:eastAsia="pt-BR"/>
        </w:rPr>
      </w:r>
    </w:p>
    <w:p>
      <w:pPr>
        <w:pStyle w:val="Normal"/>
        <w:widowControl w:val="false"/>
        <w:tabs>
          <w:tab w:val="clear" w:pos="708"/>
          <w:tab w:val="left" w:pos="1701" w:leader="none"/>
        </w:tabs>
        <w:spacing w:lineRule="auto" w:line="240" w:before="0" w:after="0"/>
        <w:jc w:val="both"/>
        <w:textAlignment w:val="baseline"/>
        <w:rPr>
          <w:shd w:fill="auto" w:val="clear"/>
        </w:rPr>
      </w:pPr>
      <w:r>
        <w:rPr>
          <w:rFonts w:eastAsia="Times New Roman" w:cs="Arial" w:ascii="Arial" w:hAnsi="Arial"/>
          <w:color w:val="000000"/>
          <w:shd w:fill="auto" w:val="clear"/>
          <w:lang w:eastAsia="pt-BR"/>
        </w:rPr>
        <w:t>3.1.1. O objeto será pago com recursos oriundos do processo nº 71000.062885/2021-11, SLI 2101506, celebrado entre o Município de Itá e o Ministério do Esporte, através da Lei de Incentivo ao Esporte.</w:t>
      </w:r>
    </w:p>
    <w:p>
      <w:pPr>
        <w:pStyle w:val="Normal"/>
        <w:widowControl w:val="false"/>
        <w:tabs>
          <w:tab w:val="clear" w:pos="708"/>
          <w:tab w:val="left" w:pos="1701" w:leader="none"/>
        </w:tabs>
        <w:spacing w:lineRule="auto" w:line="240" w:before="0" w:after="0"/>
        <w:ind w:left="0" w:right="0" w:hanging="0"/>
        <w:jc w:val="both"/>
        <w:textAlignment w:val="baseline"/>
        <w:rPr>
          <w:rFonts w:ascii="Arial" w:hAnsi="Arial" w:cs="Arial"/>
          <w:color w:val="000000"/>
        </w:rPr>
      </w:pPr>
      <w:r>
        <w:rPr>
          <w:rFonts w:cs="Arial" w:ascii="Arial" w:hAnsi="Arial"/>
          <w:color w:val="000000"/>
        </w:rPr>
      </w:r>
    </w:p>
    <w:p>
      <w:pPr>
        <w:pStyle w:val="Normal"/>
        <w:widowControl w:val="false"/>
        <w:tabs>
          <w:tab w:val="clear" w:pos="708"/>
          <w:tab w:val="left" w:pos="1701" w:leader="none"/>
        </w:tabs>
        <w:spacing w:lineRule="auto" w:line="240" w:before="0" w:after="0"/>
        <w:ind w:left="0" w:right="0" w:hanging="0"/>
        <w:jc w:val="both"/>
        <w:textAlignment w:val="baseline"/>
        <w:rPr/>
      </w:pPr>
      <w:r>
        <w:rPr>
          <w:rFonts w:eastAsia="Times New Roman" w:cs="Arial" w:ascii="Arial" w:hAnsi="Arial"/>
          <w:color w:val="000000"/>
          <w:lang w:eastAsia="pt-BR"/>
        </w:rPr>
        <w:t>06</w:t>
      </w:r>
      <w:r>
        <w:rPr>
          <w:rFonts w:cs="Arial" w:ascii="Arial" w:hAnsi="Arial"/>
          <w:color w:val="000000"/>
        </w:rPr>
        <w:t xml:space="preserve">.00 </w:t>
      </w:r>
      <w:r>
        <w:rPr>
          <w:rFonts w:eastAsia="Times New Roman" w:cs="Arial" w:ascii="Arial" w:hAnsi="Arial"/>
          <w:color w:val="000000"/>
          <w:lang w:eastAsia="pt-BR"/>
        </w:rPr>
        <w:t>SECRETARIA MUNICIPAL DE EDUCAÇÃO, ESPORTE E LAZER</w:t>
      </w:r>
    </w:p>
    <w:p>
      <w:pPr>
        <w:pStyle w:val="Normal"/>
        <w:widowControl w:val="false"/>
        <w:spacing w:lineRule="auto" w:line="240" w:before="0" w:after="0"/>
        <w:ind w:left="0" w:right="0" w:hanging="0"/>
        <w:jc w:val="both"/>
        <w:rPr/>
      </w:pPr>
      <w:r>
        <w:rPr>
          <w:rFonts w:cs="Arial" w:ascii="Arial" w:hAnsi="Arial"/>
          <w:color w:val="000000"/>
        </w:rPr>
        <w:t xml:space="preserve">06.02 </w:t>
      </w:r>
      <w:r>
        <w:rPr>
          <w:rFonts w:eastAsia="Times New Roman" w:cs="Arial" w:ascii="Arial" w:hAnsi="Arial"/>
          <w:color w:val="000000"/>
          <w:lang w:eastAsia="pt-BR"/>
        </w:rPr>
        <w:t>Departamento de Esporte e Lazer</w:t>
      </w:r>
    </w:p>
    <w:p>
      <w:pPr>
        <w:pStyle w:val="Normal"/>
        <w:spacing w:lineRule="auto" w:line="240" w:before="0" w:after="0"/>
        <w:ind w:left="0" w:right="0" w:hanging="0"/>
        <w:jc w:val="both"/>
        <w:rPr/>
      </w:pPr>
      <w:r>
        <w:rPr>
          <w:rFonts w:eastAsia="Times New Roman" w:cs="Arial" w:ascii="Arial" w:hAnsi="Arial"/>
          <w:lang w:eastAsia="pt-BR"/>
        </w:rPr>
        <w:t>2.021</w:t>
      </w:r>
      <w:r>
        <w:rPr>
          <w:rFonts w:cs="Arial" w:ascii="Arial" w:hAnsi="Arial"/>
        </w:rPr>
        <w:t xml:space="preserve"> – </w:t>
      </w:r>
      <w:r>
        <w:rPr>
          <w:rFonts w:eastAsia="Times New Roman" w:cs="Arial" w:ascii="Arial" w:hAnsi="Arial"/>
          <w:lang w:eastAsia="pt-BR"/>
        </w:rPr>
        <w:t>Manutenção Atividades Departamento de Esportes</w:t>
      </w:r>
    </w:p>
    <w:p>
      <w:pPr>
        <w:pStyle w:val="Normal"/>
        <w:widowControl/>
        <w:tabs>
          <w:tab w:val="clear" w:pos="708"/>
          <w:tab w:val="left" w:pos="732" w:leader="none"/>
        </w:tabs>
        <w:suppressAutoHyphens w:val="true"/>
        <w:bidi w:val="0"/>
        <w:spacing w:lineRule="auto" w:line="240" w:before="0" w:after="0"/>
        <w:ind w:left="0" w:right="0" w:hanging="0"/>
        <w:jc w:val="both"/>
        <w:rPr/>
      </w:pPr>
      <w:r>
        <w:rPr>
          <w:rFonts w:eastAsia="Times New Roman" w:cs="Arial" w:ascii="Arial" w:hAnsi="Arial"/>
          <w:bCs/>
          <w:color w:val="000000"/>
          <w:kern w:val="0"/>
          <w:sz w:val="22"/>
          <w:szCs w:val="22"/>
          <w:shd w:fill="auto" w:val="clear"/>
          <w:lang w:val="pt-BR" w:eastAsia="pt-BR" w:bidi="ar-SA"/>
        </w:rPr>
        <w:t>3.3</w:t>
      </w:r>
      <w:r>
        <w:rPr>
          <w:rFonts w:eastAsia="Arial" w:cs="Arial" w:ascii="Arial" w:hAnsi="Arial"/>
          <w:bCs/>
          <w:color w:val="000000"/>
          <w:kern w:val="0"/>
          <w:sz w:val="22"/>
          <w:szCs w:val="22"/>
          <w:shd w:fill="auto" w:val="clear"/>
          <w:lang w:val="pt-BR" w:eastAsia="pt-BR" w:bidi="ar-SA"/>
        </w:rPr>
        <w:t>.90 – Aplicações Diretas</w:t>
      </w:r>
    </w:p>
    <w:p>
      <w:pPr>
        <w:pStyle w:val="Normal"/>
        <w:spacing w:lineRule="auto" w:line="240" w:before="0" w:after="0"/>
        <w:ind w:left="709" w:hanging="0"/>
        <w:jc w:val="both"/>
        <w:rPr>
          <w:rFonts w:ascii="Arial" w:hAnsi="Arial" w:cs="Arial"/>
        </w:rPr>
      </w:pPr>
      <w:r>
        <w:rPr>
          <w:rFonts w:cs="Arial" w:ascii="Arial" w:hAnsi="Arial"/>
        </w:rPr>
      </w:r>
    </w:p>
    <w:p>
      <w:pPr>
        <w:pStyle w:val="Normal"/>
        <w:spacing w:lineRule="auto" w:line="240" w:before="0" w:after="0"/>
        <w:jc w:val="both"/>
        <w:rPr/>
      </w:pPr>
      <w:r>
        <w:rPr>
          <w:rFonts w:eastAsia="Times New Roman" w:cs="Arial" w:ascii="Arial" w:hAnsi="Arial"/>
          <w:color w:val="000000"/>
          <w:lang w:eastAsia="pt-BR"/>
        </w:rPr>
        <w:t xml:space="preserve">3.2. </w:t>
      </w:r>
      <w:r>
        <w:rPr>
          <w:rFonts w:eastAsia="Times New Roman" w:cs="Arial" w:ascii="Arial" w:hAnsi="Arial"/>
          <w:lang w:eastAsia="pt-BR"/>
        </w:rPr>
        <w:t>As quantidades a serem contratadas estão fundamentadas de acordo com o estudo técnico preliminar (ANEXO I).</w:t>
      </w:r>
    </w:p>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r>
    </w:p>
    <w:p>
      <w:pPr>
        <w:pStyle w:val="Normal"/>
        <w:widowControl w:val="false"/>
        <w:spacing w:lineRule="auto" w:line="240" w:before="0" w:after="0"/>
        <w:jc w:val="both"/>
        <w:rPr>
          <w:rFonts w:ascii="Arial" w:hAnsi="Arial" w:cs="Arial"/>
          <w:b/>
          <w:b/>
          <w:color w:val="000000"/>
        </w:rPr>
      </w:pPr>
      <w:r>
        <w:rPr>
          <w:rFonts w:eastAsia="Times New Roman" w:cs="Arial" w:ascii="Arial" w:hAnsi="Arial"/>
          <w:b/>
          <w:color w:val="000000"/>
          <w:lang w:eastAsia="pt-BR"/>
        </w:rPr>
        <w:t>3.3. Deverá vir impresso na Nota Fiscal o nº do Contrato, sob pena de devolução da mesma.</w:t>
      </w:r>
    </w:p>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r>
    </w:p>
    <w:p>
      <w:pPr>
        <w:pStyle w:val="Normal"/>
        <w:widowControl w:val="false"/>
        <w:shd w:val="clear" w:color="auto" w:fill="BFBFBF"/>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t>4. ESCLARECIMENTOS E IMPUGNAÇÃO AO EDITAL</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lang w:eastAsia="pt-BR"/>
        </w:rPr>
        <w:t>4.1.</w:t>
      </w:r>
      <w:r>
        <w:rPr>
          <w:rFonts w:eastAsia="Times New Roman" w:cs="Arial" w:ascii="Arial" w:hAnsi="Arial"/>
          <w:lang w:eastAsia="pt-BR"/>
        </w:rPr>
        <w:t xml:space="preserve"> </w:t>
      </w:r>
      <w:r>
        <w:rPr>
          <w:rFonts w:eastAsia="Times New Roman" w:cs="Arial" w:ascii="Arial" w:hAnsi="Arial"/>
          <w:b/>
          <w:lang w:eastAsia="pt-BR"/>
        </w:rPr>
        <w:t>Qualquer pessoa</w:t>
      </w:r>
      <w:r>
        <w:rPr>
          <w:rFonts w:eastAsia="Times New Roman" w:cs="Arial" w:ascii="Arial" w:hAnsi="Arial"/>
          <w:lang w:eastAsia="pt-BR"/>
        </w:rPr>
        <w:t xml:space="preserve"> é parte legítima para </w:t>
      </w:r>
      <w:r>
        <w:rPr>
          <w:rFonts w:eastAsia="Times New Roman" w:cs="Arial" w:ascii="Arial" w:hAnsi="Arial"/>
          <w:b/>
          <w:lang w:eastAsia="pt-BR"/>
        </w:rPr>
        <w:t>impugnar</w:t>
      </w:r>
      <w:r>
        <w:rPr>
          <w:rFonts w:eastAsia="Times New Roman" w:cs="Arial" w:ascii="Arial" w:hAnsi="Arial"/>
          <w:lang w:eastAsia="pt-BR"/>
        </w:rPr>
        <w:t xml:space="preserve"> edital de licitação por irregularidade na aplicação da legislação vigente </w:t>
      </w:r>
      <w:r>
        <w:rPr>
          <w:rFonts w:eastAsia="Times New Roman" w:cs="Arial" w:ascii="Arial" w:hAnsi="Arial"/>
          <w:b/>
          <w:lang w:eastAsia="pt-BR"/>
        </w:rPr>
        <w:t>ou para solicitar esclarecimento</w:t>
      </w:r>
      <w:r>
        <w:rPr>
          <w:rFonts w:eastAsia="Times New Roman" w:cs="Arial" w:ascii="Arial" w:hAnsi="Arial"/>
          <w:lang w:eastAsia="pt-BR"/>
        </w:rPr>
        <w:t xml:space="preserve"> sobre os seus termos, devendo protocolar o pedido até 03 (três) dias úteis antes da data de abertura do certame.</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lang w:eastAsia="pt-BR"/>
        </w:rPr>
        <w:t>4.2.</w:t>
      </w:r>
      <w:r>
        <w:rPr>
          <w:rFonts w:eastAsia="Times New Roman" w:cs="Arial" w:ascii="Arial" w:hAnsi="Arial"/>
          <w:lang w:eastAsia="pt-BR"/>
        </w:rPr>
        <w:t xml:space="preserve"> A resposta à impugnação ou ao pedido de esclarecimento será divulgada em sítio eletrônico oficial no prazo de até 03 (três) dias úteis, limitado ao último dia útil anterior à data da abertura do certame.</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lang w:eastAsia="pt-BR"/>
        </w:rPr>
        <w:t>4.3.</w:t>
      </w:r>
      <w:r>
        <w:rPr>
          <w:rFonts w:eastAsia="Times New Roman" w:cs="Arial" w:ascii="Arial" w:hAnsi="Arial"/>
          <w:lang w:eastAsia="pt-BR"/>
        </w:rPr>
        <w:t xml:space="preserve"> Eventuais modificações no edital implicarão nova divulgação na mesma forma de sua divulgação inicial, além do cumprimento dos mesmos prazos dos atos e procedimentos originais, exceto quando a alteração não comprometer a formulação das propostas.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shd w:val="clear" w:color="auto" w:fill="BFBFBF"/>
        <w:tabs>
          <w:tab w:val="clear" w:pos="708"/>
          <w:tab w:val="left" w:pos="1701" w:leader="none"/>
        </w:tabs>
        <w:spacing w:lineRule="auto" w:line="240" w:before="0" w:after="0"/>
        <w:jc w:val="both"/>
        <w:textAlignment w:val="baseline"/>
        <w:rPr>
          <w:rFonts w:ascii="Arial" w:hAnsi="Arial" w:eastAsia="Times New Roman" w:cs="Arial"/>
          <w:b/>
          <w:b/>
          <w:bCs/>
          <w:lang w:eastAsia="pt-BR"/>
        </w:rPr>
      </w:pPr>
      <w:r>
        <w:rPr>
          <w:rFonts w:eastAsia="Times New Roman" w:cs="Arial" w:ascii="Arial" w:hAnsi="Arial"/>
          <w:b/>
          <w:bCs/>
          <w:lang w:eastAsia="pt-BR"/>
        </w:rPr>
        <w:t>4.4. DO CREDENCIAMENTO PARA PARTICIPAR DO CERTAME</w:t>
      </w:r>
    </w:p>
    <w:p>
      <w:pPr>
        <w:pStyle w:val="Normal"/>
        <w:widowControl w:val="false"/>
        <w:tabs>
          <w:tab w:val="clear" w:pos="708"/>
          <w:tab w:val="left" w:pos="1701" w:leader="none"/>
        </w:tabs>
        <w:spacing w:lineRule="auto" w:line="240" w:before="0" w:after="0"/>
        <w:jc w:val="both"/>
        <w:textAlignment w:val="baseline"/>
        <w:rPr>
          <w:rFonts w:ascii="Arial" w:hAnsi="Arial" w:cs="Arial"/>
          <w:b/>
          <w:b/>
          <w:bCs/>
        </w:rPr>
      </w:pPr>
      <w:r>
        <w:rPr>
          <w:rFonts w:cs="Arial" w:ascii="Arial" w:hAnsi="Arial"/>
          <w:b/>
          <w:bCs/>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lang w:eastAsia="pt-BR"/>
        </w:rPr>
        <w:t>4.4.1.</w:t>
      </w:r>
      <w:r>
        <w:rPr>
          <w:rFonts w:eastAsia="Times New Roman" w:cs="Arial" w:ascii="Arial" w:hAnsi="Arial"/>
          <w:b/>
          <w:bCs/>
          <w:lang w:eastAsia="pt-BR"/>
        </w:rPr>
        <w:t xml:space="preserve"> </w:t>
      </w:r>
      <w:r>
        <w:rPr>
          <w:rFonts w:eastAsia="Times New Roman" w:cs="Arial" w:ascii="Arial" w:hAnsi="Arial"/>
          <w:lang w:eastAsia="pt-BR"/>
        </w:rPr>
        <w:t xml:space="preserve">O credenciamento é o nível básico do registro cadastral no SICAF, que permite a participação dos interessados na modalidade licitatória Pregão, em sua forma eletrônica. </w:t>
      </w:r>
    </w:p>
    <w:p>
      <w:pPr>
        <w:pStyle w:val="Normal"/>
        <w:widowControl w:val="false"/>
        <w:tabs>
          <w:tab w:val="clear" w:pos="708"/>
          <w:tab w:val="left" w:pos="1701" w:leader="none"/>
        </w:tabs>
        <w:spacing w:lineRule="auto" w:line="240" w:before="0" w:after="0"/>
        <w:jc w:val="both"/>
        <w:textAlignment w:val="baseline"/>
        <w:rPr>
          <w:rFonts w:ascii="Arial" w:hAnsi="Arial" w:cs="Arial"/>
          <w:b/>
          <w:b/>
          <w:bCs/>
        </w:rPr>
      </w:pPr>
      <w:r>
        <w:rPr>
          <w:rFonts w:cs="Arial" w:ascii="Arial" w:hAnsi="Arial"/>
          <w:b/>
          <w:bCs/>
        </w:rPr>
      </w:r>
    </w:p>
    <w:p>
      <w:pPr>
        <w:pStyle w:val="Normal"/>
        <w:spacing w:lineRule="auto" w:line="240" w:before="0" w:after="0"/>
        <w:jc w:val="both"/>
        <w:rPr/>
      </w:pPr>
      <w:r>
        <w:rPr>
          <w:rFonts w:cs="Arial" w:ascii="Arial" w:hAnsi="Arial"/>
        </w:rPr>
        <w:t xml:space="preserve">4.4.2. O cadastro no SICAF deverá ser feito no Portal de Compras do Governo Federal, no sítio </w:t>
      </w:r>
      <w:r>
        <w:rPr>
          <w:rFonts w:cs="Arial" w:ascii="Arial" w:hAnsi="Arial"/>
          <w:b/>
          <w:bCs/>
        </w:rPr>
        <w:t>compras.gov.br</w:t>
      </w:r>
      <w:r>
        <w:rPr>
          <w:rFonts w:cs="Arial" w:ascii="Arial" w:hAnsi="Arial"/>
        </w:rPr>
        <w:t xml:space="preserve">, por meio de certificado digital conferido pela Infraestrutura de Chaves Públicas Brasileira – ICP – Brasil.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4.4.3. O credenciamento junto ao provedor do sistema implica a responsabilidade do proponente ou de seu representante legal e a presunção de sua capacidade técnica para realização das transações inerentes a este Pregão. </w:t>
      </w:r>
    </w:p>
    <w:p>
      <w:pPr>
        <w:pStyle w:val="Normal"/>
        <w:spacing w:lineRule="auto" w:line="240" w:before="0" w:after="0"/>
        <w:jc w:val="both"/>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t>4.4.4. O proponente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4.4.5. É de responsabilidade do cadastrador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pPr>
        <w:pStyle w:val="Normal"/>
        <w:spacing w:lineRule="auto" w:line="240" w:before="0" w:after="0"/>
        <w:jc w:val="both"/>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t>4.4.6. A não observância do disposto no subitem anterior poderá ensejar na inabilitação no momento do julgamento.</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spacing w:lineRule="auto" w:line="240" w:before="0" w:after="0"/>
        <w:jc w:val="both"/>
        <w:rPr/>
      </w:pPr>
      <w:r>
        <w:rPr>
          <w:rFonts w:cs="Arial" w:ascii="Arial" w:hAnsi="Arial"/>
          <w:b/>
          <w:bCs/>
        </w:rPr>
        <w:t>4.4.7.</w:t>
      </w:r>
      <w:r>
        <w:rPr>
          <w:rFonts w:cs="Arial" w:ascii="Arial" w:hAnsi="Arial"/>
        </w:rPr>
        <w:t xml:space="preserve"> </w:t>
      </w:r>
      <w:r>
        <w:rPr>
          <w:rFonts w:cs="Arial" w:ascii="Arial" w:hAnsi="Arial"/>
          <w:b/>
        </w:rPr>
        <w:t>Para participação no Pregão, o proponente deverá assinalar em campo próprio do sistema eletrônico, relativo às seguintes declarações, sob pena de inabilitação/desclassificação</w:t>
      </w:r>
      <w:r>
        <w:rPr>
          <w:rFonts w:cs="Arial" w:ascii="Arial" w:hAnsi="Arial"/>
        </w:rPr>
        <w:t xml:space="preserve">: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4.4.7.1.</w:t>
      </w:r>
      <w:r>
        <w:rPr>
          <w:rFonts w:cs="Arial" w:ascii="Arial" w:hAnsi="Arial"/>
          <w:b/>
          <w:bCs/>
        </w:rPr>
        <w:t xml:space="preserve"> </w:t>
      </w:r>
      <w:r>
        <w:rPr>
          <w:rFonts w:cs="Arial" w:ascii="Arial" w:hAnsi="Arial"/>
        </w:rPr>
        <w:t xml:space="preserve">Que cumpre os requisitos estabelecidos no artigo 3° da Lei Complementar nº 123, de 2006, estando apto a usufruir do tratamento favorecido estabelecido em seus arts. 42 a 49, se for o caso;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4.4.7.2. Que está ciente e concorda com as condições contidas no Edital e seus anexos;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4.4.7.3. Que cumpre os requisitos para a habilitação definidos no Edital e que a proposta apresentada está em conformidade com as exigências editalícias;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4.4.7.4. Que inexistem fatos impeditivos para sua habilitação no certame, ciente da obrigatoriedade de declarar ocorrências posteriores;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4.4.7.5. Que não emprega menor de 18 anos em trabalho noturno, perigoso ou insalubre e não emprega menor de 16 anos, salvo menor, a partir de 14 anos, na condição de aprendiz, nos termos do artigo 7°, XXXIII, da Constituição;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4.4.8. A declaração falsa relativa ao cumprimento de qualquer condição sujeitará o proponente às sanções previstas em lei e neste Edital. </w:t>
      </w:r>
    </w:p>
    <w:p>
      <w:pPr>
        <w:pStyle w:val="Normal"/>
        <w:spacing w:lineRule="auto" w:line="240" w:before="0" w:after="0"/>
        <w:jc w:val="both"/>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t xml:space="preserve">4.4.9. Nenhuma pessoa, ainda que munida de procuração, poderá representar mais de uma empresa no(s) mesmo(s) item(ns)/lote(s) deste processo, sob pena de exclusão sumária de ambos os proponentes representados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BFBFBF"/>
        <w:tabs>
          <w:tab w:val="clear" w:pos="708"/>
          <w:tab w:val="left" w:pos="1701" w:leader="none"/>
        </w:tabs>
        <w:spacing w:lineRule="auto" w:line="240" w:before="0" w:after="0"/>
        <w:jc w:val="both"/>
        <w:rPr>
          <w:rFonts w:ascii="Arial" w:hAnsi="Arial" w:cs="Arial"/>
          <w:b/>
          <w:b/>
        </w:rPr>
      </w:pPr>
      <w:r>
        <w:rPr>
          <w:rFonts w:cs="Arial" w:ascii="Arial" w:hAnsi="Arial"/>
          <w:b/>
        </w:rPr>
        <w:t>5. VEDAÇÕES PARA DISPUTAR O CERTAME E PARTICIPAR DA EXECUÇÃO DO CONTRATO</w:t>
      </w:r>
    </w:p>
    <w:p>
      <w:pPr>
        <w:pStyle w:val="Normal"/>
        <w:tabs>
          <w:tab w:val="clear" w:pos="708"/>
          <w:tab w:val="left" w:pos="1701"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701" w:leader="none"/>
        </w:tabs>
        <w:spacing w:lineRule="auto" w:line="240" w:before="0" w:after="0"/>
        <w:jc w:val="both"/>
        <w:rPr/>
      </w:pPr>
      <w:r>
        <w:rPr>
          <w:rFonts w:cs="Arial" w:ascii="Arial" w:hAnsi="Arial"/>
          <w:bCs/>
        </w:rPr>
        <w:t>5.1.</w:t>
      </w:r>
      <w:r>
        <w:rPr>
          <w:rFonts w:cs="Arial" w:ascii="Arial" w:hAnsi="Arial"/>
        </w:rPr>
        <w:t xml:space="preserve"> São vedações para disputar o certame e participar da execução do contrato, direta ou indiretamente:</w:t>
      </w:r>
    </w:p>
    <w:p>
      <w:pPr>
        <w:pStyle w:val="ListParagraph"/>
        <w:widowControl w:val="false"/>
        <w:numPr>
          <w:ilvl w:val="0"/>
          <w:numId w:val="3"/>
        </w:numPr>
        <w:tabs>
          <w:tab w:val="clear" w:pos="708"/>
          <w:tab w:val="left" w:pos="1134" w:leader="none"/>
          <w:tab w:val="left" w:pos="1701" w:leader="none"/>
        </w:tabs>
        <w:spacing w:lineRule="auto" w:line="240" w:before="0" w:after="0"/>
        <w:ind w:left="567" w:hanging="0"/>
        <w:contextualSpacing/>
        <w:jc w:val="both"/>
        <w:textAlignment w:val="baseline"/>
        <w:rPr>
          <w:rFonts w:ascii="Arial" w:hAnsi="Arial" w:cs="Arial"/>
        </w:rPr>
      </w:pPr>
      <w:r>
        <w:rPr>
          <w:rFonts w:cs="Arial" w:ascii="Arial" w:hAnsi="Arial"/>
        </w:rPr>
        <w:t>Agente público de órgão ou entidade licitante ou contratante, devendo ser observadas as situações que possam configurar conflito de interesses no exercício ou após o exercício do cargo ou emprego, nos termos da legislação que disciplina a matéria;</w:t>
      </w:r>
    </w:p>
    <w:p>
      <w:pPr>
        <w:pStyle w:val="ListParagraph"/>
        <w:tabs>
          <w:tab w:val="clear" w:pos="708"/>
          <w:tab w:val="left" w:pos="1701" w:leader="none"/>
        </w:tabs>
        <w:spacing w:lineRule="auto" w:line="240" w:before="0" w:after="0"/>
        <w:ind w:left="851" w:hanging="0"/>
        <w:contextualSpacing/>
        <w:jc w:val="both"/>
        <w:rPr/>
      </w:pPr>
      <w:r>
        <w:rPr>
          <w:rFonts w:cs="Arial" w:ascii="Arial" w:hAnsi="Arial"/>
          <w:b/>
        </w:rPr>
        <w:t>Obs. 1:</w:t>
      </w:r>
      <w:r>
        <w:rPr>
          <w:rFonts w:cs="Arial" w:ascii="Arial" w:hAnsi="Arial"/>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pPr>
      <w:r>
        <w:rPr>
          <w:rFonts w:cs="Arial" w:ascii="Arial" w:hAnsi="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Equiparam-se aos autores do projeto as empresas integrantes do mesmo grupo econômico;</w:t>
      </w:r>
    </w:p>
    <w:p>
      <w:pPr>
        <w:pStyle w:val="ListParagraph"/>
        <w:tabs>
          <w:tab w:val="clear" w:pos="708"/>
          <w:tab w:val="left" w:pos="1701" w:leader="none"/>
        </w:tabs>
        <w:spacing w:lineRule="auto" w:line="240" w:before="0" w:after="0"/>
        <w:ind w:left="851" w:hanging="0"/>
        <w:contextualSpacing/>
        <w:jc w:val="both"/>
        <w:rPr/>
      </w:pPr>
      <w:r>
        <w:rPr>
          <w:rFonts w:cs="Arial" w:ascii="Arial" w:hAnsi="Arial"/>
          <w:b/>
        </w:rPr>
        <w:t>Obs. 1:</w:t>
      </w:r>
      <w:r>
        <w:rPr>
          <w:rFonts w:cs="Arial" w:ascii="Arial" w:hAnsi="Arial"/>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Pessoa física ou jurídica que se encontre, ao tempo da licitação, impossibilitada de participar da licitação em decorrência de sanção que lhe foi imposta;</w:t>
      </w:r>
    </w:p>
    <w:p>
      <w:pPr>
        <w:pStyle w:val="ListParagraph"/>
        <w:tabs>
          <w:tab w:val="clear" w:pos="708"/>
          <w:tab w:val="left" w:pos="1701" w:leader="none"/>
        </w:tabs>
        <w:spacing w:lineRule="auto" w:line="240" w:before="0" w:after="0"/>
        <w:ind w:left="851" w:hanging="0"/>
        <w:contextualSpacing/>
        <w:jc w:val="both"/>
        <w:rPr/>
      </w:pPr>
      <w:r>
        <w:rPr>
          <w:rFonts w:cs="Arial" w:ascii="Arial" w:hAnsi="Arial"/>
          <w:b/>
        </w:rPr>
        <w:t>Obs. 1:</w:t>
      </w:r>
      <w:r>
        <w:rPr>
          <w:rFonts w:cs="Arial" w:ascii="Arial" w:hAnsi="Arial"/>
        </w:rPr>
        <w:t xml:space="preserve">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pPr>
      <w:r>
        <w:rPr>
          <w:rFonts w:cs="Arial" w:ascii="Arial" w:hAnsi="Arial"/>
        </w:rPr>
        <w:t>Empresas controladoras, controladas ou coligadas, nos termos da </w:t>
      </w:r>
      <w:hyperlink r:id="rId4">
        <w:r>
          <w:rPr>
            <w:rStyle w:val="LinkdaInternet"/>
            <w:rFonts w:cs="Arial" w:ascii="Arial" w:hAnsi="Arial"/>
          </w:rPr>
          <w:t>Lei nº 6.404, de 15 de dezembro de 1976 – Dispõe sobre as Sociedades por Ações</w:t>
        </w:r>
      </w:hyperlink>
      <w:r>
        <w:rPr>
          <w:rFonts w:cs="Arial" w:ascii="Arial" w:hAnsi="Arial"/>
        </w:rPr>
        <w:t>, concorrendo entre si;</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É impedida a empresa consorciada participar, na mesma licitação, de mais de um consórcio ou de forma isolada;</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r>
    </w:p>
    <w:p>
      <w:pPr>
        <w:pStyle w:val="Normal"/>
        <w:tabs>
          <w:tab w:val="clear" w:pos="708"/>
          <w:tab w:val="left" w:pos="1701" w:leader="none"/>
        </w:tabs>
        <w:spacing w:lineRule="auto" w:line="240" w:before="0" w:after="0"/>
        <w:jc w:val="both"/>
        <w:rPr/>
      </w:pPr>
      <w:r>
        <w:rPr>
          <w:rFonts w:cs="Arial" w:ascii="Arial" w:hAnsi="Arial"/>
          <w:bCs/>
        </w:rPr>
        <w:t>5.2.</w:t>
      </w:r>
      <w:r>
        <w:rPr>
          <w:rFonts w:cs="Arial" w:ascii="Arial" w:hAnsi="Arial"/>
        </w:rPr>
        <w:t xml:space="preserve"> O licitante </w:t>
      </w:r>
      <w:r>
        <w:rPr>
          <w:rFonts w:cs="Arial" w:ascii="Arial" w:hAnsi="Arial"/>
          <w:b/>
        </w:rPr>
        <w:t>deverá</w:t>
      </w:r>
      <w:r>
        <w:rPr>
          <w:rFonts w:cs="Arial" w:ascii="Arial" w:hAnsi="Arial"/>
        </w:rPr>
        <w:t xml:space="preserve"> apresentar declaração que não incorre nos impedimentos (ANEXO III).</w:t>
      </w:r>
    </w:p>
    <w:p>
      <w:pPr>
        <w:pStyle w:val="Normal"/>
        <w:tabs>
          <w:tab w:val="clear" w:pos="708"/>
          <w:tab w:val="left" w:pos="1701" w:leader="none"/>
        </w:tabs>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5.3. A participação no certame se dará por meio da digitação da senha pessoal e intransferível do representante credenciado, e subsequente encaminhamento da proposta de preços e dos documentos de habilitação, exclusivamente, por meio do sistema eletrônico através do site compras.gov.br, observando a data e o horário limite estabelecido no item 1 deste Edital.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5.4. Poderão participar deste Pregão proponente cujo ramo de atividade seja compatível com o objeto desta licitação, e que estejam com Credenciamento regular no Sistema de Cadastramento Unificado de Fornecedores – SICAF, conforme disposto no art. 9º da IN SEGES/MP nº 3, de 2018.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5.5. Caberá ao proponente acompanhar as operações no sistema eletrônico durante a sessão pública do Pregão, ficando responsável pelo ônus decorrente da perda de negócios diante da inobservância de quaisquer mensagens emitidas pelo sistema ou de sua desconexão.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5.6. No caso de desconexão com o Pregoeiro no decorrer da etapa competitiva do Pregão, o sistema eletrônico poderá permanecer acessível aos proponentes para a recepção dos lances, retornando o Pregoeiro, quando possível, sua atuação no certame, sem prejuízo dos atos realizados.</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5.7. A licitante deverá se enquadrar como ME ou EPP, a comprovação será feita conforme documentos e declarações solicitados e descritos no item 15 do presente edital.</w:t>
      </w:r>
    </w:p>
    <w:p>
      <w:pPr>
        <w:pStyle w:val="Normal"/>
        <w:spacing w:lineRule="auto" w:line="240" w:before="0" w:after="0"/>
        <w:jc w:val="both"/>
        <w:rPr>
          <w:rFonts w:ascii="Arial" w:hAnsi="Arial" w:cs="Arial"/>
        </w:rPr>
      </w:pPr>
      <w:r>
        <w:rPr>
          <w:rFonts w:cs="Arial" w:ascii="Arial" w:hAnsi="Arial"/>
        </w:rPr>
      </w:r>
    </w:p>
    <w:p>
      <w:pPr>
        <w:pStyle w:val="Normal"/>
        <w:widowControl w:val="false"/>
        <w:shd w:val="clear" w:color="auto" w:fill="BFBFBF"/>
        <w:tabs>
          <w:tab w:val="clear" w:pos="708"/>
          <w:tab w:val="left" w:pos="1701" w:leader="none"/>
        </w:tabs>
        <w:spacing w:lineRule="auto" w:line="240" w:before="0" w:after="0"/>
        <w:jc w:val="both"/>
        <w:textAlignment w:val="baseline"/>
        <w:rPr/>
      </w:pPr>
      <w:r>
        <w:rPr>
          <w:rFonts w:eastAsia="Times New Roman" w:cs="Arial" w:ascii="Arial" w:hAnsi="Arial"/>
          <w:b/>
          <w:lang w:eastAsia="pt-BR"/>
        </w:rPr>
        <w:t xml:space="preserve">6. CUMPRIMENTO DA </w:t>
      </w:r>
      <w:hyperlink r:id="rId5">
        <w:r>
          <w:rPr>
            <w:rFonts w:eastAsia="Times New Roman" w:cs="Arial" w:ascii="Arial" w:hAnsi="Arial"/>
            <w:b/>
            <w:u w:val="single"/>
            <w:lang w:eastAsia="pt-BR"/>
          </w:rPr>
          <w:t>LEI GERAL DE PROTEÇÃO DE DADOS (LEI Nº 13.709/2018)</w:t>
        </w:r>
      </w:hyperlink>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6.1.</w:t>
      </w:r>
      <w:r>
        <w:rPr>
          <w:rFonts w:eastAsia="Times New Roman" w:cs="Arial" w:ascii="Arial" w:hAnsi="Arial"/>
          <w:lang w:eastAsia="pt-BR"/>
        </w:rPr>
        <w:t xml:space="preserve"> Para finalidade da efetiva participação do LICITANTE no certame, o MUNICÍPIO fará tratamento dos dados pessoais definidos neste edital, dos representantes legais e outros, e, </w:t>
      </w:r>
      <w:r>
        <w:rPr>
          <w:rFonts w:eastAsia="Times New Roman" w:cs="Arial" w:ascii="Arial" w:hAnsi="Arial"/>
          <w:iCs/>
          <w:lang w:eastAsia="pt-BR"/>
        </w:rPr>
        <w:t>zelará e responsabilizar-se-á pela proteção de dados e privacidade.</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6.2.</w:t>
      </w:r>
      <w:r>
        <w:rPr>
          <w:rFonts w:eastAsia="Times New Roman" w:cs="Arial" w:ascii="Arial" w:hAnsi="Arial"/>
          <w:lang w:eastAsia="pt-BR"/>
        </w:rPr>
        <w:t xml:space="preserve"> </w:t>
      </w:r>
      <w:r>
        <w:rPr>
          <w:rFonts w:eastAsia="Times New Roman" w:cs="Arial" w:ascii="Arial" w:hAnsi="Arial"/>
          <w:iCs/>
          <w:lang w:eastAsia="pt-BR"/>
        </w:rPr>
        <w:t xml:space="preserve">O </w:t>
      </w:r>
      <w:r>
        <w:rPr>
          <w:rFonts w:eastAsia="Times New Roman" w:cs="Arial" w:ascii="Arial" w:hAnsi="Arial"/>
          <w:lang w:eastAsia="pt-BR"/>
        </w:rPr>
        <w:t>LICITANTE</w:t>
      </w:r>
      <w:r>
        <w:rPr>
          <w:rFonts w:eastAsia="Times New Roman" w:cs="Arial" w:ascii="Arial" w:hAnsi="Arial"/>
          <w:iCs/>
          <w:lang w:eastAsia="pt-BR"/>
        </w:rPr>
        <w:t xml:space="preserve"> obriga-se durante a participação de todas as fases do certame, a atuar em conformidade com a legislação vigente sobre proteção de dados pessoais e dados pessoais sensíveis, em especial os regulamentos municipais e a Lei nº 13.709/2018 (LGPD), </w:t>
      </w:r>
      <w:r>
        <w:rPr>
          <w:rFonts w:eastAsia="Times New Roman" w:cs="Arial" w:ascii="Arial" w:hAnsi="Arial"/>
          <w:lang w:eastAsia="pt-BR"/>
        </w:rPr>
        <w:t>empenhando-se em proceder a todo tratamento de dados pessoais que venha a mostrar-se necessário,</w:t>
      </w:r>
      <w:r>
        <w:rPr>
          <w:rFonts w:eastAsia="Times New Roman" w:cs="Arial" w:ascii="Arial" w:hAnsi="Arial"/>
          <w:iCs/>
          <w:lang w:eastAsia="pt-BR"/>
        </w:rPr>
        <w:t xml:space="preserve"> em conformidade com este edital.</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6.3.</w:t>
      </w:r>
      <w:r>
        <w:rPr>
          <w:rFonts w:eastAsia="Times New Roman" w:cs="Arial" w:ascii="Arial" w:hAnsi="Arial"/>
          <w:lang w:eastAsia="pt-BR"/>
        </w:rPr>
        <w:t xml:space="preserve"> </w:t>
      </w:r>
      <w:r>
        <w:rPr>
          <w:rFonts w:eastAsia="Times New Roman" w:cs="Arial" w:ascii="Arial" w:hAnsi="Arial"/>
          <w:iCs/>
          <w:lang w:eastAsia="pt-BR"/>
        </w:rPr>
        <w:t>O MUNICÍPIO e o LICITANTE, quando do tratamento de dados pessoais, o fará de acordo com as bases legais previstas nas hipóteses dos arts. 7º, 11 e/ou 14 da Lei nº 13.709/2018 (LGPD), e para propósitos legítimos, específicos, explícitos e informados ao titular.</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6.4.</w:t>
      </w:r>
      <w:r>
        <w:rPr>
          <w:rFonts w:eastAsia="Times New Roman" w:cs="Arial" w:ascii="Arial" w:hAnsi="Arial"/>
          <w:lang w:eastAsia="pt-BR"/>
        </w:rPr>
        <w:t xml:space="preserve"> </w:t>
      </w:r>
      <w:r>
        <w:rPr>
          <w:rFonts w:eastAsia="Times New Roman" w:cs="Arial" w:ascii="Arial" w:hAnsi="Arial"/>
          <w:iCs/>
          <w:lang w:eastAsia="pt-BR"/>
        </w:rPr>
        <w:t>O LICITANTE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IV).</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6.5.</w:t>
      </w:r>
      <w:r>
        <w:rPr>
          <w:rFonts w:eastAsia="Times New Roman" w:cs="Arial" w:ascii="Arial" w:hAnsi="Arial"/>
          <w:lang w:eastAsia="pt-BR"/>
        </w:rPr>
        <w:t xml:space="preserve"> É vedado ao LICITANTE a utilização de todo e qualquer dado pessoal repassado em decorrência do certame, para finalidade distinta da participação deste.</w:t>
      </w:r>
      <w:r>
        <w:rPr>
          <w:rFonts w:eastAsia="Times New Roman" w:cs="Arial" w:ascii="Arial" w:hAnsi="Arial"/>
          <w:iCs/>
          <w:lang w:eastAsia="pt-BR"/>
        </w:rPr>
        <w:t xml:space="preserve"> As partes deverão, nos termos deste instrumento, cumprir com suas respectivas obrigações que lhes forem impostas de acordo com regulamentos e leis aplicáveis à proteção de dados pessoais.</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6.6.</w:t>
      </w:r>
      <w:r>
        <w:rPr>
          <w:rFonts w:eastAsia="Times New Roman" w:cs="Arial" w:ascii="Arial" w:hAnsi="Arial"/>
          <w:lang w:eastAsia="pt-BR"/>
        </w:rPr>
        <w:t xml:space="preserve"> O LICITANTE fica obrigada a notificar o MUNICÍPIO, em até 24 (vinte e quatro) horas, </w:t>
      </w:r>
      <w:r>
        <w:rPr>
          <w:rFonts w:eastAsia="Times New Roman" w:cs="Arial" w:ascii="Arial" w:hAnsi="Arial"/>
          <w:iCs/>
          <w:lang w:eastAsia="pt-BR"/>
        </w:rPr>
        <w:t>a respeito de</w:t>
      </w:r>
      <w:r>
        <w:rPr>
          <w:rFonts w:eastAsia="Times New Roman" w:cs="Arial" w:ascii="Arial" w:hAnsi="Arial"/>
          <w:lang w:eastAsia="pt-BR"/>
        </w:rPr>
        <w:t xml:space="preserve"> qualquer incidente de acessos não autorizados aos dados pessoais, situações acidentais ou ilícitas de destruição, perda, alteração, comunicação, q</w:t>
      </w:r>
      <w:r>
        <w:rPr>
          <w:rFonts w:eastAsia="Times New Roman" w:cs="Arial" w:ascii="Arial" w:hAnsi="Arial"/>
          <w:iCs/>
          <w:lang w:eastAsia="pt-BR"/>
        </w:rPr>
        <w:t xml:space="preserve">ualquer não cumprimento (ainda que suspeito) das disposições legais relativas à proteção de dados pessoais </w:t>
      </w:r>
      <w:r>
        <w:rPr>
          <w:rFonts w:eastAsia="Times New Roman" w:cs="Arial" w:ascii="Arial" w:hAnsi="Arial"/>
          <w:lang w:eastAsia="pt-BR"/>
        </w:rPr>
        <w:t xml:space="preserve">ou qualquer forma de tratamento inadequado ou ilícito, bem como adotar as providências dispostas no art. 48 da </w:t>
      </w:r>
      <w:r>
        <w:rPr>
          <w:rFonts w:eastAsia="Times New Roman" w:cs="Arial" w:ascii="Arial" w:hAnsi="Arial"/>
          <w:iCs/>
          <w:lang w:eastAsia="pt-BR"/>
        </w:rPr>
        <w:t>Lei nº 13.709/2018 (LGPD)</w:t>
      </w:r>
      <w:r>
        <w:rPr>
          <w:rFonts w:eastAsia="Times New Roman" w:cs="Arial" w:ascii="Arial" w:hAnsi="Arial"/>
          <w:lang w:eastAsia="pt-BR"/>
        </w:rPr>
        <w:t xml:space="preserve">. </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6.7.</w:t>
      </w:r>
      <w:r>
        <w:rPr>
          <w:rFonts w:eastAsia="Times New Roman" w:cs="Arial" w:ascii="Arial" w:hAnsi="Arial"/>
          <w:lang w:eastAsia="pt-BR"/>
        </w:rPr>
        <w:t xml:space="preserve"> </w:t>
      </w:r>
      <w:r>
        <w:rPr>
          <w:rFonts w:eastAsia="Times New Roman" w:cs="Arial" w:ascii="Arial" w:hAnsi="Arial"/>
          <w:iCs/>
          <w:lang w:eastAsia="pt-BR"/>
        </w:rPr>
        <w:t>As partes, em razão das infrações cometidas às normas previstas, ficam sujeitas às sanções administrativas, cíveis e criminais aplicáveis, por qualquer ação ilícita, que causar danos patrimoniais, morais, individual ou coletivo, aos titulares de dados pessoais.</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6.8.</w:t>
      </w:r>
      <w:r>
        <w:rPr>
          <w:rFonts w:eastAsia="Times New Roman" w:cs="Arial" w:ascii="Arial" w:hAnsi="Arial"/>
          <w:lang w:eastAsia="pt-BR"/>
        </w:rPr>
        <w:t xml:space="preserve"> </w:t>
      </w:r>
      <w:r>
        <w:rPr>
          <w:rFonts w:eastAsia="Times New Roman" w:cs="Arial" w:ascii="Arial" w:hAnsi="Arial"/>
          <w:iCs/>
          <w:lang w:eastAsia="pt-BR"/>
        </w:rPr>
        <w:t>O LICITANTE será integralmente responsável pelo pagamento de perdas e danos de ordem moral e material, bem como pelo ressarcimento do pagamento de qualquer multa ou penalidade imposta ao MUNICÍPIO e/ou a terceiros, diretamente resultantes do descumprimento pelo LICITANTE</w:t>
      </w:r>
      <w:r>
        <w:rPr>
          <w:rFonts w:eastAsia="Times New Roman" w:cs="Arial" w:ascii="Arial" w:hAnsi="Arial"/>
          <w:b/>
          <w:bCs/>
          <w:iCs/>
          <w:lang w:eastAsia="pt-BR"/>
        </w:rPr>
        <w:t xml:space="preserve"> </w:t>
      </w:r>
      <w:r>
        <w:rPr>
          <w:rFonts w:eastAsia="Times New Roman" w:cs="Arial" w:ascii="Arial" w:hAnsi="Arial"/>
          <w:iCs/>
          <w:lang w:eastAsia="pt-BR"/>
        </w:rPr>
        <w:t>de qualquer das cláusulas previstas neste edital quanto a proteção e uso dos dados pessoais.</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6.9.</w:t>
      </w:r>
      <w:r>
        <w:rPr>
          <w:rFonts w:eastAsia="Times New Roman" w:cs="Arial" w:ascii="Arial" w:hAnsi="Arial"/>
          <w:lang w:eastAsia="pt-BR"/>
        </w:rPr>
        <w:t xml:space="preserve"> As partes cooperarão entre si no cumprimento das obrigações referentes ao exercício dos direitos dos titulares previstos na </w:t>
      </w:r>
      <w:r>
        <w:rPr>
          <w:rFonts w:eastAsia="Times New Roman" w:cs="Arial" w:ascii="Arial" w:hAnsi="Arial"/>
          <w:iCs/>
          <w:lang w:eastAsia="pt-BR"/>
        </w:rPr>
        <w:t>Lei nº 13.709/2018 (LGPD)</w:t>
      </w:r>
      <w:r>
        <w:rPr>
          <w:rFonts w:eastAsia="Times New Roman" w:cs="Arial" w:ascii="Arial" w:hAnsi="Arial"/>
          <w:lang w:eastAsia="pt-BR"/>
        </w:rPr>
        <w:t xml:space="preserve"> e nas leis e regulamentos de proteção de dados em vigor e também no atendimento de requisições e determinações do Poder Judiciário, Ministério Público, Tribunal de Contas e Órgãos de controle administrativo.</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6.10.</w:t>
      </w:r>
      <w:r>
        <w:rPr>
          <w:rFonts w:eastAsia="Times New Roman" w:cs="Arial" w:ascii="Arial" w:hAnsi="Arial"/>
          <w:lang w:eastAsia="pt-BR"/>
        </w:rPr>
        <w:t xml:space="preserve"> As cláusulas de proteção de dados deste edital, permanecem durante toda execução do objeto ora licitado,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6.11.</w:t>
      </w:r>
      <w:r>
        <w:rPr>
          <w:rFonts w:eastAsia="Times New Roman" w:cs="Arial" w:ascii="Arial" w:hAnsi="Arial"/>
          <w:lang w:eastAsia="pt-BR"/>
        </w:rPr>
        <w:t xml:space="preserve"> Por ocasião da assinatura do contrato, o(s) LICITANTE(S) vencedor(es) do certame, deverão seguir um conjunto de premissas, políticas, especificações técnicas, devendo estar alinhadas com a legislação vigente e as melhores práticas de mercado, a fim de assegurarem adequado nível de segurança em relação aos possíveis riscos gerados pelo tratamento de dados pessoais, na sua estrutura organizacional.</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6.12.</w:t>
      </w:r>
      <w:r>
        <w:rPr>
          <w:rFonts w:eastAsia="Times New Roman" w:cs="Arial" w:ascii="Arial" w:hAnsi="Arial"/>
          <w:lang w:eastAsia="pt-BR"/>
        </w:rPr>
        <w:t xml:space="preserve"> </w:t>
      </w:r>
      <w:r>
        <w:rPr>
          <w:rFonts w:eastAsia="Times New Roman" w:cs="Arial" w:ascii="Arial" w:hAnsi="Arial"/>
          <w:u w:val="single"/>
          <w:lang w:eastAsia="pt-BR"/>
        </w:rPr>
        <w:t>Por ocasião da assinatura do contrato, o(s) LICITANTE(S) vencedora(s) do certame, informarão ao MUNICÍPIO, dos dados de contato do seu respectivo Encarregado de Dados, conforme exigido nos documentos de habilitação jurídica.</w:t>
      </w:r>
    </w:p>
    <w:p>
      <w:pPr>
        <w:pStyle w:val="Normal"/>
        <w:widowControl w:val="false"/>
        <w:tabs>
          <w:tab w:val="clear" w:pos="708"/>
          <w:tab w:val="left" w:pos="567" w:leader="none"/>
        </w:tabs>
        <w:spacing w:lineRule="auto" w:line="240" w:before="0" w:after="0"/>
        <w:jc w:val="both"/>
        <w:textAlignment w:val="baseline"/>
        <w:rPr>
          <w:rFonts w:ascii="Arial" w:hAnsi="Arial" w:cs="Arial"/>
        </w:rPr>
      </w:pPr>
      <w:r>
        <w:rPr>
          <w:rFonts w:cs="Arial" w:ascii="Arial" w:hAnsi="Arial"/>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6.13.</w:t>
      </w:r>
      <w:r>
        <w:rPr>
          <w:rFonts w:eastAsia="Times New Roman" w:cs="Arial" w:ascii="Arial" w:hAnsi="Arial"/>
          <w:lang w:eastAsia="pt-BR"/>
        </w:rPr>
        <w:t xml:space="preserve"> </w:t>
      </w:r>
      <w:r>
        <w:rPr>
          <w:rFonts w:eastAsia="Times New Roman" w:cs="Arial" w:ascii="Arial" w:hAnsi="Arial"/>
          <w:iCs/>
          <w:lang w:eastAsia="pt-BR"/>
        </w:rPr>
        <w:t>A LICITANTE para ter conhecimento da política de privacidade do MUNICÍPIO, deverá acessar o link: https://ita.atende.net/cidadao/pagina/lgpd</w:t>
      </w:r>
      <w:r>
        <w:rPr>
          <w:rFonts w:eastAsia="Times New Roman" w:cs="Arial" w:ascii="Arial" w:hAnsi="Arial"/>
          <w:iCs/>
          <w:color w:val="FF0000"/>
          <w:lang w:eastAsia="pt-BR"/>
        </w:rPr>
        <w:t xml:space="preserve"> </w:t>
      </w:r>
      <w:r>
        <w:rPr>
          <w:rFonts w:eastAsia="Times New Roman" w:cs="Arial" w:ascii="Arial" w:hAnsi="Arial"/>
          <w:iCs/>
          <w:lang w:eastAsia="pt-BR"/>
        </w:rPr>
        <w:t xml:space="preserve">e para mais informações, poderá contatar com o Encarregado de Dados, por meio do endereço eletrônico de e-mail </w:t>
      </w:r>
      <w:hyperlink r:id="rId6">
        <w:r>
          <w:rPr>
            <w:rStyle w:val="LinkdaInternet"/>
            <w:rFonts w:eastAsia="Times New Roman" w:cs="Arial" w:ascii="Arial" w:hAnsi="Arial"/>
            <w:iCs/>
            <w:color w:val="0000FF"/>
            <w:shd w:fill="FFFFFF" w:val="clear"/>
            <w:lang w:eastAsia="pt-BR"/>
          </w:rPr>
          <w:t>controleinterno@ita.sc.gov.br</w:t>
        </w:r>
      </w:hyperlink>
      <w:r>
        <w:rPr>
          <w:rFonts w:eastAsia="Times New Roman" w:cs="Arial" w:ascii="Arial" w:hAnsi="Arial"/>
          <w:iCs/>
          <w:lang w:eastAsia="pt-BR"/>
        </w:rPr>
        <w:t xml:space="preserve">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1701" w:leader="none"/>
        </w:tabs>
        <w:spacing w:lineRule="auto" w:line="240" w:before="0" w:after="0"/>
        <w:jc w:val="both"/>
        <w:rPr/>
      </w:pPr>
      <w:r>
        <w:rPr>
          <w:rFonts w:cs="Arial" w:ascii="Arial" w:hAnsi="Arial"/>
          <w:b/>
        </w:rPr>
        <w:t xml:space="preserve">7. </w:t>
      </w:r>
      <w:r>
        <w:rPr>
          <w:rFonts w:cs="Arial" w:ascii="Arial" w:hAnsi="Arial"/>
          <w:b/>
          <w:iCs/>
        </w:rPr>
        <w:t xml:space="preserve">APLICAÇÃO DA </w:t>
      </w:r>
      <w:hyperlink r:id="rId7">
        <w:r>
          <w:rPr>
            <w:rStyle w:val="LinkdaInternet"/>
            <w:rFonts w:cs="Arial" w:ascii="Arial" w:hAnsi="Arial"/>
            <w:b/>
            <w:iCs/>
            <w:color w:val="auto"/>
          </w:rPr>
          <w:t>LEI COMPLEMENTAR Nº 123/2006</w:t>
        </w:r>
      </w:hyperlink>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7.1.</w:t>
      </w:r>
      <w:r>
        <w:rPr>
          <w:rFonts w:cs="Arial" w:ascii="Arial" w:hAnsi="Arial"/>
          <w:iCs/>
        </w:rPr>
        <w:t xml:space="preserve"> Conforme art. 4º da Lei nº 14.133/2021, aplicam-se as disposições constantes dos arts. 42 a 49 da Lei Complementar nº 123/2006, exceto (art. 4º, § 1º da Lei nº 14.133/2021):</w:t>
      </w:r>
    </w:p>
    <w:p>
      <w:pPr>
        <w:pStyle w:val="ListParagraph"/>
        <w:widowControl w:val="false"/>
        <w:numPr>
          <w:ilvl w:val="0"/>
          <w:numId w:val="5"/>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 xml:space="preserve">No caso de licitação para </w:t>
      </w:r>
      <w:r>
        <w:rPr>
          <w:rFonts w:cs="Arial" w:ascii="Arial" w:hAnsi="Arial"/>
          <w:iCs/>
          <w:u w:val="single"/>
        </w:rPr>
        <w:t>aquisição de bens ou contratação de serviços em geral</w:t>
      </w:r>
      <w:r>
        <w:rPr>
          <w:rFonts w:cs="Arial" w:ascii="Arial" w:hAnsi="Arial"/>
          <w:iCs/>
        </w:rPr>
        <w:t xml:space="preserve">, ao </w:t>
      </w:r>
      <w:r>
        <w:rPr>
          <w:rFonts w:cs="Arial" w:ascii="Arial" w:hAnsi="Arial"/>
          <w:iCs/>
          <w:u w:val="single"/>
        </w:rPr>
        <w:t>item</w:t>
      </w:r>
      <w:r>
        <w:rPr>
          <w:rFonts w:cs="Arial" w:ascii="Arial" w:hAnsi="Arial"/>
          <w:iCs/>
        </w:rPr>
        <w:t xml:space="preserve"> cujo valor estimado for superior à receita bruta máxima admitida para fins de enquadramento como empresa de pequeno porte, ou seja, superior a R$ 4.800.000,00 (quatro milhões e oitocentos mil reais).</w:t>
      </w:r>
    </w:p>
    <w:p>
      <w:pPr>
        <w:pStyle w:val="ListParagraph"/>
        <w:widowControl w:val="false"/>
        <w:numPr>
          <w:ilvl w:val="0"/>
          <w:numId w:val="5"/>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 xml:space="preserve">No caso de </w:t>
      </w:r>
      <w:r>
        <w:rPr>
          <w:rFonts w:cs="Arial" w:ascii="Arial" w:hAnsi="Arial"/>
          <w:iCs/>
          <w:u w:val="single"/>
        </w:rPr>
        <w:t>contratação de obras e serviços de engenharia</w:t>
      </w:r>
      <w:r>
        <w:rPr>
          <w:rFonts w:cs="Arial" w:ascii="Arial" w:hAnsi="Arial"/>
          <w:iCs/>
        </w:rPr>
        <w:t>, às licitações cujo valor estimado for superior à receita bruta máxima admitida para fins de enquadramento como empresa de pequeno porte, ou seja, superior a R$ 4.800.000,00 (quatro milhões e oitocentos mil reais).</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7.2.</w:t>
      </w:r>
      <w:r>
        <w:rPr>
          <w:rFonts w:cs="Arial" w:ascii="Arial" w:hAnsi="Arial"/>
          <w:iCs/>
        </w:rPr>
        <w:t xml:space="preserve"> A Lei Complementar nº 123/2006, conforme art. 1º, estabelece normas gerais relativas ao tratamento diferenciado e favorecido a ser dispensado </w:t>
      </w:r>
      <w:r>
        <w:rPr>
          <w:rFonts w:cs="Arial" w:ascii="Arial" w:hAnsi="Arial"/>
          <w:iCs/>
          <w:u w:val="single"/>
        </w:rPr>
        <w:t>às microempresas e empresas de pequeno porte</w:t>
      </w:r>
      <w:r>
        <w:rPr>
          <w:rFonts w:cs="Arial" w:ascii="Arial" w:hAnsi="Arial"/>
          <w:iCs/>
        </w:rPr>
        <w:t xml:space="preserve"> no âmbito dos Poderes da União, dos Estados, do Distrito Federal e dos Municípios.</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7.3.</w:t>
      </w:r>
      <w:r>
        <w:rPr>
          <w:rFonts w:cs="Arial" w:ascii="Arial" w:hAnsi="Arial"/>
          <w:iCs/>
        </w:rPr>
        <w:t xml:space="preserve"> Para os efeitos da Lei Complementar nº 123/2006, consideram-se </w:t>
      </w:r>
      <w:r>
        <w:rPr>
          <w:rFonts w:cs="Arial" w:ascii="Arial" w:hAnsi="Arial"/>
          <w:iCs/>
          <w:u w:val="single"/>
        </w:rPr>
        <w:t>microempresas ou empresas de pequeno porte</w:t>
      </w:r>
      <w:r>
        <w:rPr>
          <w:rFonts w:cs="Arial" w:ascii="Arial" w:hAnsi="Arial"/>
          <w:iCs/>
        </w:rPr>
        <w:t>:</w:t>
      </w:r>
    </w:p>
    <w:p>
      <w:pPr>
        <w:pStyle w:val="ListParagraph"/>
        <w:widowControl w:val="false"/>
        <w:numPr>
          <w:ilvl w:val="1"/>
          <w:numId w:val="6"/>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Sociedade empresária;</w:t>
      </w:r>
    </w:p>
    <w:p>
      <w:pPr>
        <w:pStyle w:val="ListParagraph"/>
        <w:widowControl w:val="false"/>
        <w:numPr>
          <w:ilvl w:val="1"/>
          <w:numId w:val="6"/>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Sociedade simples;</w:t>
      </w:r>
    </w:p>
    <w:p>
      <w:pPr>
        <w:pStyle w:val="ListParagraph"/>
        <w:widowControl w:val="false"/>
        <w:numPr>
          <w:ilvl w:val="1"/>
          <w:numId w:val="6"/>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Empresa individual de responsabilidade limitada – EIRELI;</w:t>
      </w:r>
    </w:p>
    <w:p>
      <w:pPr>
        <w:pStyle w:val="ListParagraph"/>
        <w:widowControl w:val="false"/>
        <w:numPr>
          <w:ilvl w:val="1"/>
          <w:numId w:val="6"/>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 xml:space="preserve">Empresário a que se refere o art. 966 do </w:t>
      </w:r>
      <w:hyperlink r:id="rId8">
        <w:r>
          <w:rPr>
            <w:rStyle w:val="LinkdaInternet"/>
            <w:rFonts w:cs="Arial" w:ascii="Arial" w:hAnsi="Arial"/>
            <w:iCs/>
            <w:color w:val="auto"/>
          </w:rPr>
          <w:t>Código Civil</w:t>
        </w:r>
      </w:hyperlink>
      <w:r>
        <w:rPr>
          <w:rFonts w:cs="Arial" w:ascii="Arial" w:hAnsi="Arial"/>
          <w:iCs/>
        </w:rPr>
        <w:t>:</w:t>
      </w:r>
    </w:p>
    <w:p>
      <w:pPr>
        <w:pStyle w:val="ListParagraph"/>
        <w:widowControl w:val="false"/>
        <w:numPr>
          <w:ilvl w:val="2"/>
          <w:numId w:val="4"/>
        </w:numPr>
        <w:tabs>
          <w:tab w:val="clear" w:pos="708"/>
          <w:tab w:val="left" w:pos="1701" w:leader="none"/>
        </w:tabs>
        <w:spacing w:lineRule="auto" w:line="240" w:before="0" w:after="0"/>
        <w:ind w:left="1134" w:hanging="0"/>
        <w:contextualSpacing/>
        <w:jc w:val="both"/>
        <w:textAlignment w:val="baseline"/>
        <w:rPr>
          <w:rFonts w:ascii="Arial" w:hAnsi="Arial" w:cs="Arial"/>
          <w:iCs/>
        </w:rPr>
      </w:pPr>
      <w:r>
        <w:rPr>
          <w:rFonts w:cs="Arial" w:ascii="Arial" w:hAnsi="Arial"/>
          <w:iCs/>
        </w:rPr>
        <w:t>Quem exerce profissionalmente atividade econômica organizada para a produção ou a circulação de bens ou de serviços;</w:t>
      </w:r>
    </w:p>
    <w:p>
      <w:pPr>
        <w:pStyle w:val="ListParagraph"/>
        <w:widowControl w:val="false"/>
        <w:numPr>
          <w:ilvl w:val="2"/>
          <w:numId w:val="4"/>
        </w:numPr>
        <w:tabs>
          <w:tab w:val="clear" w:pos="708"/>
          <w:tab w:val="left" w:pos="1701" w:leader="none"/>
        </w:tabs>
        <w:spacing w:lineRule="auto" w:line="240" w:before="0" w:after="0"/>
        <w:ind w:left="1134" w:hanging="0"/>
        <w:contextualSpacing/>
        <w:jc w:val="both"/>
        <w:textAlignment w:val="baseline"/>
        <w:rPr>
          <w:rFonts w:ascii="Arial" w:hAnsi="Arial" w:cs="Arial"/>
          <w:iCs/>
        </w:rPr>
      </w:pPr>
      <w:r>
        <w:rPr>
          <w:rFonts w:cs="Arial" w:ascii="Arial" w:hAnsi="Arial"/>
          <w:iCs/>
        </w:rPr>
        <w:t>Não se considera empresário quem exerce profissão intelectual, de natureza científica, literária ou artística, ainda com o concurso de auxiliares ou colaboradores, salvo se o exercício da profissão constituir elemento de empresa.</w:t>
      </w:r>
    </w:p>
    <w:p>
      <w:pPr>
        <w:pStyle w:val="ListParagraph"/>
        <w:widowControl w:val="false"/>
        <w:tabs>
          <w:tab w:val="clear" w:pos="708"/>
          <w:tab w:val="left" w:pos="1701" w:leader="none"/>
        </w:tabs>
        <w:spacing w:lineRule="auto" w:line="240" w:before="0" w:after="0"/>
        <w:ind w:left="1134"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7.4.</w:t>
      </w:r>
      <w:r>
        <w:rPr>
          <w:rFonts w:cs="Arial" w:ascii="Arial" w:hAnsi="Arial"/>
          <w:iCs/>
        </w:rPr>
        <w:t xml:space="preserve"> As </w:t>
      </w:r>
      <w:r>
        <w:rPr>
          <w:rFonts w:cs="Arial" w:ascii="Arial" w:hAnsi="Arial"/>
          <w:iCs/>
          <w:u w:val="single"/>
        </w:rPr>
        <w:t>microempresas ou empresas de pequeno porte</w:t>
      </w:r>
      <w:r>
        <w:rPr>
          <w:rFonts w:cs="Arial" w:ascii="Arial" w:hAnsi="Arial"/>
          <w:iCs/>
        </w:rPr>
        <w:t xml:space="preserve"> indicadas no art. 3º da Lei Complementar nº 123/2006 devem estar devidamente registradas no Registro de Empresas Mercantis ou no Registro Civil de Pessoas Jurídicas, conforme o caso, desde que:</w:t>
      </w:r>
    </w:p>
    <w:p>
      <w:pPr>
        <w:pStyle w:val="ListParagraph"/>
        <w:widowControl w:val="false"/>
        <w:numPr>
          <w:ilvl w:val="0"/>
          <w:numId w:val="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0" w:name="art3i"/>
      <w:bookmarkEnd w:id="0"/>
      <w:r>
        <w:rPr>
          <w:rFonts w:cs="Arial" w:ascii="Arial" w:hAnsi="Arial"/>
          <w:iCs/>
        </w:rPr>
        <w:t>No caso da microempresa, aufira, em cada ano-calendário, receita bruta igual ou inferior a R$ 360.000,00 (trezentos e sessenta mil reais);</w:t>
      </w:r>
    </w:p>
    <w:p>
      <w:pPr>
        <w:pStyle w:val="ListParagraph"/>
        <w:widowControl w:val="false"/>
        <w:numPr>
          <w:ilvl w:val="0"/>
          <w:numId w:val="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1" w:name="art3ii"/>
      <w:bookmarkEnd w:id="1"/>
      <w:r>
        <w:rPr>
          <w:rFonts w:cs="Arial" w:ascii="Arial" w:hAnsi="Arial"/>
          <w:iCs/>
        </w:rPr>
        <w:t>No caso da empresa de pequeno porte, aufira, em cada ano-calendário, receita bruta superior a R$ 360.000,00 (trezentos e sessenta mil reais) e igual ou inferior a R$ 3.600.000,00 (três milhões e seiscentos mil reais);</w:t>
      </w:r>
    </w:p>
    <w:p>
      <w:pPr>
        <w:pStyle w:val="ListParagraph"/>
        <w:widowControl w:val="false"/>
        <w:numPr>
          <w:ilvl w:val="0"/>
          <w:numId w:val="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 w:name="art3ii."/>
      <w:bookmarkEnd w:id="2"/>
      <w:r>
        <w:rPr>
          <w:rFonts w:cs="Arial" w:ascii="Arial" w:hAnsi="Arial"/>
          <w:iCs/>
        </w:rPr>
        <w:t xml:space="preserve">No caso de empresa de pequeno porte, aufira, em cada ano-calendário, receita bruta superior a R$ 360.000,00 (trezentos e sessenta mil reais) e igual ou inferior a R$ 4.800.000,00 (quatro milhões e oitocentos mil reais). </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7.5.</w:t>
      </w:r>
      <w:r>
        <w:rPr>
          <w:rFonts w:cs="Arial" w:ascii="Arial" w:hAnsi="Arial"/>
          <w:iCs/>
        </w:rPr>
        <w:t xml:space="preserve"> Os efeitos da Lei Complementar nº 123/2006 também se aplicam ao </w:t>
      </w:r>
      <w:r>
        <w:rPr>
          <w:rFonts w:cs="Arial" w:ascii="Arial" w:hAnsi="Arial"/>
          <w:iCs/>
          <w:u w:val="single"/>
        </w:rPr>
        <w:t>Microempreendedor Individual – MEI</w:t>
      </w:r>
      <w:r>
        <w:rPr>
          <w:rFonts w:cs="Arial" w:ascii="Arial" w:hAnsi="Arial"/>
          <w:iCs/>
        </w:rPr>
        <w:t xml:space="preserve"> que:</w:t>
      </w:r>
    </w:p>
    <w:p>
      <w:pPr>
        <w:pStyle w:val="ListParagraph"/>
        <w:widowControl w:val="false"/>
        <w:numPr>
          <w:ilvl w:val="0"/>
          <w:numId w:val="8"/>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Tenha auferido receita bruta, no ano-calendário anterior, de até R$ 81.000,00 (oitenta e um mil reais);</w:t>
      </w:r>
    </w:p>
    <w:p>
      <w:pPr>
        <w:pStyle w:val="ListParagraph"/>
        <w:widowControl w:val="false"/>
        <w:numPr>
          <w:ilvl w:val="0"/>
          <w:numId w:val="8"/>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Optante pelo Simples Nacional e que não esteja impedido de optar pela sistemática prevista no art. 18-A da LC 123/2006;</w:t>
      </w:r>
    </w:p>
    <w:p>
      <w:pPr>
        <w:pStyle w:val="ListParagraph"/>
        <w:widowControl w:val="false"/>
        <w:numPr>
          <w:ilvl w:val="0"/>
          <w:numId w:val="8"/>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 xml:space="preserve">Seja empresário individual que se enquadre na definição do art. 966 do </w:t>
      </w:r>
      <w:hyperlink r:id="rId9">
        <w:r>
          <w:rPr>
            <w:rStyle w:val="LinkdaInternet"/>
            <w:rFonts w:cs="Arial" w:ascii="Arial" w:hAnsi="Arial"/>
            <w:iCs/>
          </w:rPr>
          <w:t>Código Civil</w:t>
        </w:r>
      </w:hyperlink>
      <w:r>
        <w:rPr>
          <w:rFonts w:cs="Arial" w:ascii="Arial" w:hAnsi="Arial"/>
          <w:iCs/>
        </w:rPr>
        <w:t>.</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7.6.</w:t>
      </w:r>
      <w:r>
        <w:rPr>
          <w:rFonts w:cs="Arial" w:ascii="Arial" w:hAnsi="Arial"/>
          <w:iCs/>
        </w:rPr>
        <w:t xml:space="preserve"> Também se considera </w:t>
      </w:r>
      <w:r>
        <w:rPr>
          <w:rFonts w:cs="Arial" w:ascii="Arial" w:hAnsi="Arial"/>
          <w:iCs/>
          <w:u w:val="single"/>
        </w:rPr>
        <w:t>Microempreendedor Individual – MEI</w:t>
      </w:r>
      <w:r>
        <w:rPr>
          <w:rFonts w:cs="Arial" w:ascii="Arial" w:hAnsi="Arial"/>
          <w:iCs/>
        </w:rPr>
        <w:t xml:space="preserve"> para a Lei Complementar nº 123/2006 o empreendedor que exerça:</w:t>
      </w:r>
    </w:p>
    <w:p>
      <w:pPr>
        <w:pStyle w:val="ListParagraph"/>
        <w:widowControl w:val="false"/>
        <w:numPr>
          <w:ilvl w:val="0"/>
          <w:numId w:val="9"/>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As atividades de que trata o § 4º-A do art. 18-A:</w:t>
      </w:r>
    </w:p>
    <w:p>
      <w:pPr>
        <w:pStyle w:val="Normal"/>
        <w:tabs>
          <w:tab w:val="clear" w:pos="708"/>
          <w:tab w:val="left" w:pos="1701" w:leader="none"/>
        </w:tabs>
        <w:spacing w:lineRule="auto" w:line="240" w:before="0" w:after="0"/>
        <w:ind w:left="1134" w:hanging="0"/>
        <w:jc w:val="both"/>
        <w:rPr/>
      </w:pPr>
      <w:r>
        <w:rPr>
          <w:rFonts w:cs="Arial" w:ascii="Arial" w:hAnsi="Arial"/>
          <w:i/>
          <w:iCs/>
        </w:rPr>
        <w:t xml:space="preserve">§ 4º-A Observadas as demais condições deste artigo, poderá optar pela sistemática de recolhimento prevista no </w:t>
      </w:r>
      <w:r>
        <w:rPr>
          <w:rFonts w:cs="Arial" w:ascii="Arial" w:hAnsi="Arial"/>
          <w:bCs/>
          <w:i/>
          <w:iCs/>
        </w:rPr>
        <w:t xml:space="preserve">caput </w:t>
      </w:r>
      <w:r>
        <w:rPr>
          <w:rFonts w:cs="Arial" w:ascii="Arial" w:hAnsi="Arial"/>
          <w:i/>
          <w:iCs/>
        </w:rPr>
        <w:t>o empresário individual que exerça atividade de comercialização e processamento de produtos de natureza extrativista.</w:t>
      </w:r>
    </w:p>
    <w:p>
      <w:pPr>
        <w:pStyle w:val="ListParagraph"/>
        <w:widowControl w:val="false"/>
        <w:numPr>
          <w:ilvl w:val="0"/>
          <w:numId w:val="9"/>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As atividades de que trata o § 4º-B do art. 18-A, estabelecidas pelo CGSN:</w:t>
      </w:r>
    </w:p>
    <w:p>
      <w:pPr>
        <w:pStyle w:val="Normal"/>
        <w:tabs>
          <w:tab w:val="clear" w:pos="708"/>
          <w:tab w:val="left" w:pos="1701" w:leader="none"/>
        </w:tabs>
        <w:spacing w:lineRule="auto" w:line="240" w:before="0" w:after="0"/>
        <w:ind w:left="1134" w:hanging="0"/>
        <w:jc w:val="both"/>
        <w:rPr>
          <w:rFonts w:ascii="Arial" w:hAnsi="Arial" w:cs="Arial"/>
          <w:i/>
          <w:i/>
          <w:iCs/>
        </w:rPr>
      </w:pPr>
      <w:r>
        <w:rPr>
          <w:rFonts w:cs="Arial" w:ascii="Arial" w:hAnsi="Arial"/>
          <w:i/>
          <w:iCs/>
        </w:rPr>
        <w:t>§ 4º-B O CGSN determinará as atividades autorizadas a optar pela sistemática de recolhimento de que trata este artigo, de forma a evitar a fragilização das relações de trabalho, bem como sobre a incidência do ICMS e do ISS.</w:t>
      </w:r>
    </w:p>
    <w:p>
      <w:pPr>
        <w:pStyle w:val="ListParagraph"/>
        <w:widowControl w:val="false"/>
        <w:numPr>
          <w:ilvl w:val="0"/>
          <w:numId w:val="9"/>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As atividades de industrialização, comercialização e prestação de serviços no âmbito rural.</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7.7.</w:t>
      </w:r>
      <w:r>
        <w:rPr>
          <w:rFonts w:cs="Arial" w:ascii="Arial" w:hAnsi="Arial"/>
          <w:iCs/>
        </w:rPr>
        <w:t xml:space="preserve"> As disposições constantes dos arts. 42 a 49 da Lei Complementar nº 123/2006 também se aplicam às </w:t>
      </w:r>
      <w:r>
        <w:rPr>
          <w:rFonts w:cs="Arial" w:ascii="Arial" w:hAnsi="Arial"/>
          <w:iCs/>
          <w:u w:val="single"/>
        </w:rPr>
        <w:t>sociedades cooperativas</w:t>
      </w:r>
      <w:r>
        <w:rPr>
          <w:rFonts w:cs="Arial" w:ascii="Arial" w:hAnsi="Arial"/>
          <w:iCs/>
        </w:rPr>
        <w:t xml:space="preserve"> que tenham auferido, no ano-calendário anterior, receita bruta até o limite definido no inciso II do </w:t>
      </w:r>
      <w:r>
        <w:rPr>
          <w:rFonts w:cs="Arial" w:ascii="Arial" w:hAnsi="Arial"/>
          <w:i/>
          <w:iCs/>
        </w:rPr>
        <w:t xml:space="preserve">caput </w:t>
      </w:r>
      <w:r>
        <w:rPr>
          <w:rFonts w:cs="Arial" w:ascii="Arial" w:hAnsi="Arial"/>
          <w:iCs/>
        </w:rPr>
        <w:t>do art. 3º da Lei Complementar n</w:t>
      </w:r>
      <w:r>
        <w:rPr>
          <w:rFonts w:cs="Arial" w:ascii="Arial" w:hAnsi="Arial"/>
          <w:iCs/>
          <w:vertAlign w:val="superscript"/>
        </w:rPr>
        <w:t xml:space="preserve">o </w:t>
      </w:r>
      <w:r>
        <w:rPr>
          <w:rFonts w:cs="Arial" w:ascii="Arial" w:hAnsi="Arial"/>
          <w:iCs/>
        </w:rPr>
        <w:t>123/2006 (</w:t>
      </w:r>
      <w:hyperlink r:id="rId10">
        <w:r>
          <w:rPr>
            <w:rStyle w:val="LinkdaInternet"/>
            <w:rFonts w:cs="Arial" w:ascii="Arial" w:hAnsi="Arial"/>
            <w:iCs/>
          </w:rPr>
          <w:t>Lei nº 11.488/2007</w:t>
        </w:r>
      </w:hyperlink>
      <w:r>
        <w:rPr>
          <w:rFonts w:cs="Arial" w:ascii="Arial" w:hAnsi="Arial"/>
          <w:iCs/>
        </w:rPr>
        <w:t>, art. 34).</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7.8.</w:t>
      </w:r>
      <w:r>
        <w:rPr>
          <w:rFonts w:cs="Arial" w:ascii="Arial" w:hAnsi="Arial"/>
          <w:iCs/>
        </w:rPr>
        <w:t xml:space="preserve"> Para obtenção dos benefícios, conforme art. 4º, § 2º da Lei nº 14.133/2021, o licitante deverá apresentar declaração (ANEXO V) que, no ano-calendário de realização da licitação, ainda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7.9.</w:t>
      </w:r>
      <w:r>
        <w:rPr>
          <w:rFonts w:cs="Arial" w:ascii="Arial" w:hAnsi="Arial"/>
          <w:iCs/>
        </w:rPr>
        <w:t xml:space="preserve"> Nas contratações com prazo de vigência superior a 1 (um) ano será considerado o valor anual do contrato na aplicação dos limites previstos no art. 4º, §§ 1º e 2º da Lei nº 14.133/2021.</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1701" w:leader="none"/>
        </w:tabs>
        <w:spacing w:lineRule="auto" w:line="240" w:before="0" w:after="0"/>
        <w:jc w:val="both"/>
        <w:rPr/>
      </w:pPr>
      <w:r>
        <w:rPr>
          <w:rFonts w:cs="Arial" w:ascii="Arial" w:hAnsi="Arial"/>
          <w:b/>
        </w:rPr>
        <w:t xml:space="preserve">8. </w:t>
      </w:r>
      <w:r>
        <w:rPr>
          <w:rFonts w:cs="Arial" w:ascii="Arial" w:hAnsi="Arial"/>
          <w:b/>
          <w:iCs/>
        </w:rPr>
        <w:t>PARTICIPAÇÃO DE CONSÓRCIOS</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8.1.</w:t>
      </w:r>
      <w:r>
        <w:rPr>
          <w:rFonts w:cs="Arial" w:ascii="Arial" w:hAnsi="Arial"/>
          <w:iCs/>
        </w:rPr>
        <w:t xml:space="preserve"> É impedida a </w:t>
      </w:r>
      <w:r>
        <w:rPr>
          <w:rFonts w:cs="Arial" w:ascii="Arial" w:hAnsi="Arial"/>
        </w:rPr>
        <w:t>empresa consorciada participar, na mesma licitação, de mais de um consórcio ou de forma isolada.</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iCs/>
        </w:rPr>
        <w:t>8.2.</w:t>
      </w:r>
      <w:r>
        <w:rPr>
          <w:rFonts w:cs="Arial" w:ascii="Arial" w:hAnsi="Arial"/>
          <w:iCs/>
        </w:rPr>
        <w:t xml:space="preserve"> </w:t>
      </w:r>
      <w:r>
        <w:rPr>
          <w:rFonts w:cs="Arial" w:ascii="Arial" w:hAnsi="Arial"/>
        </w:rPr>
        <w:t>A responsabilidade dos integrantes é solidária pelos atos praticados em consórcio, tanto na fase de licitação quanto na de execução do contrato.</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rPr>
        <w:t>8.3.</w:t>
      </w:r>
      <w:r>
        <w:rPr>
          <w:rFonts w:cs="Arial" w:ascii="Arial" w:hAnsi="Arial"/>
        </w:rPr>
        <w:t xml:space="preserve"> A substituição de consorciado deverá ser expressamente autorizada pela Administração Pública Municipal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w:t>
      </w:r>
    </w:p>
    <w:p>
      <w:pPr>
        <w:pStyle w:val="Normal"/>
        <w:tabs>
          <w:tab w:val="clear" w:pos="708"/>
          <w:tab w:val="left" w:pos="567" w:leader="none"/>
        </w:tabs>
        <w:spacing w:lineRule="auto" w:line="240" w:before="0" w:after="0"/>
        <w:jc w:val="both"/>
        <w:rPr/>
      </w:pPr>
      <w:r>
        <w:rPr>
          <w:rFonts w:cs="Arial" w:ascii="Arial" w:hAnsi="Arial"/>
          <w:bCs/>
        </w:rPr>
        <w:t>8.4.</w:t>
      </w:r>
      <w:r>
        <w:rPr>
          <w:rFonts w:cs="Arial" w:ascii="Arial" w:hAnsi="Arial"/>
        </w:rPr>
        <w:t xml:space="preserve"> Na fase de habilitação:</w:t>
      </w:r>
    </w:p>
    <w:p>
      <w:pPr>
        <w:pStyle w:val="ListParagraph"/>
        <w:widowControl w:val="false"/>
        <w:numPr>
          <w:ilvl w:val="0"/>
          <w:numId w:val="10"/>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TÉCNICA: é admitido o somatório dos quantitativos de cada consorciado;</w:t>
      </w:r>
    </w:p>
    <w:p>
      <w:pPr>
        <w:pStyle w:val="ListParagraph"/>
        <w:widowControl w:val="false"/>
        <w:numPr>
          <w:ilvl w:val="0"/>
          <w:numId w:val="10"/>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 xml:space="preserve">ECONÔMICO-FINANCEIRA: </w:t>
      </w:r>
    </w:p>
    <w:p>
      <w:pPr>
        <w:pStyle w:val="ListParagraph"/>
        <w:widowControl w:val="false"/>
        <w:numPr>
          <w:ilvl w:val="0"/>
          <w:numId w:val="11"/>
        </w:numPr>
        <w:tabs>
          <w:tab w:val="clear" w:pos="708"/>
          <w:tab w:val="left" w:pos="1701" w:leader="none"/>
        </w:tabs>
        <w:spacing w:lineRule="auto" w:line="240" w:before="0" w:after="0"/>
        <w:ind w:left="1134" w:hanging="0"/>
        <w:contextualSpacing/>
        <w:jc w:val="both"/>
        <w:textAlignment w:val="baseline"/>
        <w:rPr>
          <w:rFonts w:ascii="Arial" w:hAnsi="Arial" w:cs="Arial"/>
        </w:rPr>
      </w:pPr>
      <w:r>
        <w:rPr>
          <w:rFonts w:cs="Arial" w:ascii="Arial" w:hAnsi="Arial"/>
        </w:rPr>
        <w:t>Admissão do somatório dos valores de cada;</w:t>
      </w:r>
    </w:p>
    <w:p>
      <w:pPr>
        <w:pStyle w:val="ListParagraph"/>
        <w:widowControl w:val="false"/>
        <w:numPr>
          <w:ilvl w:val="0"/>
          <w:numId w:val="11"/>
        </w:numPr>
        <w:tabs>
          <w:tab w:val="clear" w:pos="708"/>
          <w:tab w:val="left" w:pos="1701" w:leader="none"/>
        </w:tabs>
        <w:spacing w:lineRule="auto" w:line="240" w:before="0" w:after="0"/>
        <w:ind w:left="1134" w:hanging="0"/>
        <w:contextualSpacing/>
        <w:jc w:val="both"/>
        <w:textAlignment w:val="baseline"/>
        <w:rPr>
          <w:rFonts w:ascii="Arial" w:hAnsi="Arial" w:cs="Arial"/>
        </w:rPr>
      </w:pPr>
      <w:r>
        <w:rPr>
          <w:rFonts w:cs="Arial" w:ascii="Arial" w:hAnsi="Arial"/>
        </w:rPr>
        <w:t>Acréscimo de 10% (dez por cento) a 30% (trinta por cento) sobre o valor exigido de licitante individual para a habilitação econômico-financeira, salvo justificação; o referido acréscimo não se aplica aos consórcios compostos, em sua totalidade, de microempresas e pequenas empresas, assim definidas em lei.</w:t>
      </w:r>
    </w:p>
    <w:p>
      <w:pPr>
        <w:pStyle w:val="ListParagraph"/>
        <w:widowControl w:val="false"/>
        <w:tabs>
          <w:tab w:val="clear" w:pos="708"/>
          <w:tab w:val="left" w:pos="1701" w:leader="none"/>
        </w:tabs>
        <w:spacing w:lineRule="auto" w:line="240" w:before="0" w:after="0"/>
        <w:ind w:left="1134" w:hanging="0"/>
        <w:contextualSpacing/>
        <w:jc w:val="both"/>
        <w:textAlignment w:val="baseline"/>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iCs/>
        </w:rPr>
        <w:t>8.5.</w:t>
      </w:r>
      <w:r>
        <w:rPr>
          <w:rFonts w:cs="Arial" w:ascii="Arial" w:hAnsi="Arial"/>
          <w:b/>
          <w:iCs/>
        </w:rPr>
        <w:t xml:space="preserve"> </w:t>
      </w:r>
      <w:r>
        <w:rPr>
          <w:rFonts w:cs="Arial" w:ascii="Arial" w:hAnsi="Arial"/>
          <w:iCs/>
        </w:rPr>
        <w:t>A assinatura do contrato será condicionada à:</w:t>
      </w:r>
    </w:p>
    <w:p>
      <w:pPr>
        <w:pStyle w:val="ListParagraph"/>
        <w:widowControl w:val="false"/>
        <w:numPr>
          <w:ilvl w:val="0"/>
          <w:numId w:val="1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Comprovação de compromisso público ou particular de constituição de consórcio, subscrito pelos consorciados;</w:t>
      </w:r>
    </w:p>
    <w:p>
      <w:pPr>
        <w:pStyle w:val="ListParagraph"/>
        <w:widowControl w:val="false"/>
        <w:numPr>
          <w:ilvl w:val="0"/>
          <w:numId w:val="1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Indicação da empresa líder do consórcio, que será responsável por sua representação perante a Administração.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1701" w:leader="none"/>
        </w:tabs>
        <w:spacing w:lineRule="auto" w:line="240" w:before="0" w:after="0"/>
        <w:jc w:val="both"/>
        <w:rPr/>
      </w:pPr>
      <w:r>
        <w:rPr>
          <w:rFonts w:cs="Arial" w:ascii="Arial" w:hAnsi="Arial"/>
          <w:b/>
        </w:rPr>
        <w:t xml:space="preserve">9. </w:t>
      </w:r>
      <w:r>
        <w:rPr>
          <w:rFonts w:cs="Arial" w:ascii="Arial" w:hAnsi="Arial"/>
          <w:b/>
          <w:iCs/>
        </w:rPr>
        <w:t>PARTICIPAÇÃO DE COOPERATIVAS</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9.1.</w:t>
      </w:r>
      <w:r>
        <w:rPr>
          <w:rFonts w:cs="Arial" w:ascii="Arial" w:hAnsi="Arial"/>
          <w:iCs/>
        </w:rPr>
        <w:t xml:space="preserve"> Conforme art. 16 da Lei nº 14.133/2021, os profissionais organizados sob a forma de cooperativa poderão participar de licitação quando:</w:t>
      </w:r>
    </w:p>
    <w:p>
      <w:pPr>
        <w:pStyle w:val="ListParagraph"/>
        <w:widowControl w:val="false"/>
        <w:numPr>
          <w:ilvl w:val="0"/>
          <w:numId w:val="1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 xml:space="preserve"> </w:t>
      </w:r>
      <w:r>
        <w:rPr>
          <w:rFonts w:cs="Arial" w:ascii="Arial" w:hAnsi="Arial"/>
        </w:rPr>
        <w:t>A constituição e o funcionamento da cooperativa observarem as regras estabelecidas na legislação aplicável, em especial:</w:t>
      </w:r>
    </w:p>
    <w:p>
      <w:pPr>
        <w:pStyle w:val="ListParagraph"/>
        <w:widowControl w:val="false"/>
        <w:numPr>
          <w:ilvl w:val="0"/>
          <w:numId w:val="14"/>
        </w:numPr>
        <w:tabs>
          <w:tab w:val="clear" w:pos="708"/>
          <w:tab w:val="left" w:pos="1701" w:leader="none"/>
        </w:tabs>
        <w:spacing w:lineRule="auto" w:line="240" w:before="0" w:after="0"/>
        <w:ind w:left="1134" w:hanging="0"/>
        <w:contextualSpacing/>
        <w:jc w:val="both"/>
        <w:textAlignment w:val="baseline"/>
        <w:rPr/>
      </w:pPr>
      <w:hyperlink r:id="rId11">
        <w:r>
          <w:rPr>
            <w:rStyle w:val="LinkdaInternet"/>
            <w:rFonts w:cs="Arial" w:ascii="Arial" w:hAnsi="Arial"/>
          </w:rPr>
          <w:t>Lei nº 5.764, de 16 de dezembro de 1971</w:t>
        </w:r>
      </w:hyperlink>
      <w:r>
        <w:rPr>
          <w:rFonts w:cs="Arial" w:ascii="Arial" w:hAnsi="Arial"/>
        </w:rPr>
        <w:t xml:space="preserve"> – Define a Política Nacional de Cooperativismo, institui o regime jurídico das sociedades cooperativas, e dá outras providências;</w:t>
      </w:r>
    </w:p>
    <w:p>
      <w:pPr>
        <w:pStyle w:val="ListParagraph"/>
        <w:widowControl w:val="false"/>
        <w:numPr>
          <w:ilvl w:val="0"/>
          <w:numId w:val="14"/>
        </w:numPr>
        <w:tabs>
          <w:tab w:val="clear" w:pos="708"/>
          <w:tab w:val="left" w:pos="1701" w:leader="none"/>
        </w:tabs>
        <w:spacing w:lineRule="auto" w:line="240" w:before="0" w:after="0"/>
        <w:ind w:left="1134" w:hanging="0"/>
        <w:contextualSpacing/>
        <w:jc w:val="both"/>
        <w:textAlignment w:val="baseline"/>
        <w:rPr/>
      </w:pPr>
      <w:hyperlink r:id="rId12">
        <w:r>
          <w:rPr>
            <w:rStyle w:val="LinkdaInternet"/>
            <w:rFonts w:cs="Arial" w:ascii="Arial" w:hAnsi="Arial"/>
          </w:rPr>
          <w:t>Lei nº 12.690, de 19 de julho de 2012</w:t>
        </w:r>
      </w:hyperlink>
      <w:r>
        <w:rPr>
          <w:rFonts w:cs="Arial" w:ascii="Arial" w:hAnsi="Arial"/>
        </w:rPr>
        <w:t xml:space="preserve"> – Dispõe sobre a organização e o funcionamento das Cooperativas de Trabalho; institui o Programa Nacional de Fomento às Cooperativas de Trabalho - PRONACOOP; e revoga o parágrafo único do art. 442 da Consolidação das Leis do Trabalho - CLT, aprovada pelo Decreto-Lei nº 5.452, de 1º de maio de 1943;</w:t>
      </w:r>
    </w:p>
    <w:p>
      <w:pPr>
        <w:pStyle w:val="ListParagraph"/>
        <w:widowControl w:val="false"/>
        <w:numPr>
          <w:ilvl w:val="0"/>
          <w:numId w:val="14"/>
        </w:numPr>
        <w:tabs>
          <w:tab w:val="clear" w:pos="708"/>
          <w:tab w:val="left" w:pos="1701" w:leader="none"/>
        </w:tabs>
        <w:spacing w:lineRule="auto" w:line="240" w:before="0" w:after="0"/>
        <w:ind w:left="1134" w:hanging="0"/>
        <w:contextualSpacing/>
        <w:jc w:val="both"/>
        <w:textAlignment w:val="baseline"/>
        <w:rPr/>
      </w:pPr>
      <w:hyperlink r:id="rId13">
        <w:r>
          <w:rPr>
            <w:rStyle w:val="LinkdaInternet"/>
            <w:rFonts w:cs="Arial" w:ascii="Arial" w:hAnsi="Arial"/>
          </w:rPr>
          <w:t>Lei Complementar nº 130, de 17 de abril de 2009</w:t>
        </w:r>
      </w:hyperlink>
      <w:r>
        <w:rPr>
          <w:rFonts w:cs="Arial" w:ascii="Arial" w:hAnsi="Arial"/>
        </w:rPr>
        <w:t xml:space="preserve"> – Dispõe sobre o Sistema Nacional de Crédito Cooperativo e revoga dispositivos das Leis n</w:t>
      </w:r>
      <w:r>
        <w:rPr>
          <w:rFonts w:cs="Arial" w:ascii="Arial" w:hAnsi="Arial"/>
          <w:u w:val="single"/>
          <w:vertAlign w:val="superscript"/>
        </w:rPr>
        <w:t xml:space="preserve">os </w:t>
      </w:r>
      <w:r>
        <w:rPr>
          <w:rFonts w:cs="Arial" w:ascii="Arial" w:hAnsi="Arial"/>
        </w:rPr>
        <w:t>4.595, de 31 de dezembro de 1964, e 5.764, de 16 de dezembro de 1971.</w:t>
      </w:r>
    </w:p>
    <w:p>
      <w:pPr>
        <w:pStyle w:val="ListParagraph"/>
        <w:widowControl w:val="false"/>
        <w:numPr>
          <w:ilvl w:val="0"/>
          <w:numId w:val="13"/>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3" w:name="art16ii"/>
      <w:bookmarkEnd w:id="3"/>
      <w:r>
        <w:rPr>
          <w:rFonts w:cs="Arial" w:ascii="Arial" w:hAnsi="Arial"/>
        </w:rPr>
        <w:t>A cooperativa apresentar demonstrativo de atuação em regime cooperado, com repartição de receitas e despesas entre os cooperados;</w:t>
      </w:r>
    </w:p>
    <w:p>
      <w:pPr>
        <w:pStyle w:val="ListParagraph"/>
        <w:widowControl w:val="false"/>
        <w:numPr>
          <w:ilvl w:val="0"/>
          <w:numId w:val="13"/>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4" w:name="art16iii"/>
      <w:bookmarkEnd w:id="4"/>
      <w:r>
        <w:rPr>
          <w:rFonts w:cs="Arial" w:ascii="Arial" w:hAnsi="Arial"/>
        </w:rPr>
        <w:t>Qualquer cooperado, com igual qualificação, for capaz de executar o objeto contratado, vedado à Administração indicar nominalmente pessoas;</w:t>
      </w:r>
    </w:p>
    <w:p>
      <w:pPr>
        <w:pStyle w:val="ListParagraph"/>
        <w:widowControl w:val="false"/>
        <w:numPr>
          <w:ilvl w:val="0"/>
          <w:numId w:val="13"/>
        </w:numPr>
        <w:tabs>
          <w:tab w:val="clear" w:pos="708"/>
          <w:tab w:val="left" w:pos="1134" w:leader="none"/>
        </w:tabs>
        <w:spacing w:lineRule="auto" w:line="240" w:before="0" w:after="0"/>
        <w:ind w:left="567" w:hanging="0"/>
        <w:contextualSpacing/>
        <w:jc w:val="both"/>
        <w:textAlignment w:val="baseline"/>
        <w:rPr/>
      </w:pPr>
      <w:bookmarkStart w:id="5" w:name="art16iv"/>
      <w:bookmarkEnd w:id="5"/>
      <w:r>
        <w:rPr>
          <w:rFonts w:cs="Arial" w:ascii="Arial" w:hAnsi="Arial"/>
        </w:rPr>
        <w:t xml:space="preserve">O objeto da licitação referir-se, em se tratando de cooperativas enquadradas na </w:t>
      </w:r>
      <w:hyperlink r:id="rId14">
        <w:r>
          <w:rPr>
            <w:rStyle w:val="LinkdaInternet"/>
            <w:rFonts w:cs="Arial" w:ascii="Arial" w:hAnsi="Arial"/>
          </w:rPr>
          <w:t>Lei nº 12.690, de 19 de julho de 2012</w:t>
        </w:r>
      </w:hyperlink>
      <w:r>
        <w:rPr>
          <w:rFonts w:cs="Arial" w:ascii="Arial" w:hAnsi="Arial"/>
        </w:rPr>
        <w:t>, a serviços especializados constantes do objeto social da cooperativa, a serem executados de forma complementar à sua atuação.</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iCs/>
        </w:rPr>
        <w:t>9.2.</w:t>
      </w:r>
      <w:r>
        <w:rPr>
          <w:rFonts w:cs="Arial" w:ascii="Arial" w:hAnsi="Arial"/>
          <w:iCs/>
        </w:rPr>
        <w:t xml:space="preserve"> Conforme art. 34 da </w:t>
      </w:r>
      <w:hyperlink r:id="rId15">
        <w:r>
          <w:rPr>
            <w:rStyle w:val="LinkdaInternet"/>
            <w:rFonts w:cs="Arial" w:ascii="Arial" w:hAnsi="Arial"/>
            <w:iCs/>
          </w:rPr>
          <w:t>Lei nº 11.488/2007</w:t>
        </w:r>
      </w:hyperlink>
      <w:r>
        <w:rPr>
          <w:rFonts w:cs="Arial" w:ascii="Arial" w:hAnsi="Arial"/>
          <w:iCs/>
        </w:rPr>
        <w:t xml:space="preserve">, aplica-se às sociedades cooperativas que tenham auferido, no ano-calendário anterior, receita bruta até o limite definido no inciso II do </w:t>
      </w:r>
      <w:r>
        <w:rPr>
          <w:rFonts w:cs="Arial" w:ascii="Arial" w:hAnsi="Arial"/>
          <w:i/>
          <w:iCs/>
        </w:rPr>
        <w:t xml:space="preserve">caput </w:t>
      </w:r>
      <w:r>
        <w:rPr>
          <w:rFonts w:cs="Arial" w:ascii="Arial" w:hAnsi="Arial"/>
          <w:iCs/>
        </w:rPr>
        <w:t>do art. 3º da Lei Complementar n</w:t>
      </w:r>
      <w:r>
        <w:rPr>
          <w:rFonts w:cs="Arial" w:ascii="Arial" w:hAnsi="Arial"/>
          <w:iCs/>
          <w:vertAlign w:val="superscript"/>
        </w:rPr>
        <w:t xml:space="preserve">o </w:t>
      </w:r>
      <w:r>
        <w:rPr>
          <w:rFonts w:cs="Arial" w:ascii="Arial" w:hAnsi="Arial"/>
          <w:iCs/>
        </w:rPr>
        <w:t>123/2006, nela incluídos os atos cooperados e não-cooperados, o disposto nos Capítulos V a X, na Seção IV do Capítulo XI, e no Capítulo XII da referida Lei Complementar.</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shd w:val="clear" w:color="auto" w:fill="AEAAAA"/>
        <w:tabs>
          <w:tab w:val="clear" w:pos="708"/>
          <w:tab w:val="left" w:pos="1701" w:leader="none"/>
        </w:tabs>
        <w:spacing w:lineRule="auto" w:line="240" w:before="0" w:after="0"/>
        <w:jc w:val="both"/>
        <w:rPr/>
      </w:pPr>
      <w:r>
        <w:rPr>
          <w:rFonts w:cs="Arial" w:ascii="Arial" w:hAnsi="Arial"/>
          <w:b/>
        </w:rPr>
        <w:t xml:space="preserve">10. </w:t>
      </w:r>
      <w:r>
        <w:rPr>
          <w:rFonts w:cs="Arial" w:ascii="Arial" w:hAnsi="Arial"/>
          <w:b/>
          <w:iCs/>
        </w:rPr>
        <w:t>REGRAS GERAIS PARA DOCUMENTAÇÃO</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10.1.</w:t>
      </w:r>
      <w:r>
        <w:rPr>
          <w:rFonts w:cs="Arial" w:ascii="Arial" w:hAnsi="Arial"/>
          <w:iCs/>
        </w:rPr>
        <w:t xml:space="preserve"> Conforme art. 12 da Lei nº 14.133/2021:</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Os documentos serão produzidos por escrito, com data e local de sua realização e assinatura dos responsáveis;</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Os valores, os preços e os custos utilizados terão como expressão monetária a moeda corrente nacional, ressalvado o disposto no art. 52 da Lei nº 14.133/2021 (licitações internacionais);</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iCs/>
          <w:color w:val="000000"/>
        </w:rPr>
      </w:pPr>
      <w:r>
        <w:rPr>
          <w:rFonts w:cs="Arial" w:ascii="Arial" w:hAnsi="Arial"/>
          <w:iCs/>
          <w:color w:val="000000"/>
        </w:rPr>
        <w:t>O desatendimento de exigências meramente formais que não comprometam a aferição da qualificação do licitante ou a compreensão do conteúdo de sua proposta não importará seu afastamento da licitação ou a invalidação do processo, sendo que a decisão sobre tal desatendimento poderá ser precedida de parecer jurídico;</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A prova de autenticidade de cópia de documento público ou particular poderá ser feita perante agente da Administração Pública Municipal, mediante apresentação de original ou de declaração de autenticidade por advogado, sob sua responsabilidade pessoal;</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O reconhecimento de firma somente será exigido quando houver dúvida de autenticidade, salvo imposição legal;</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Os atos serão preferencialmente digitais, de forma a permitir que sejam produzidos, comunicados, armazenados e validados por meio eletrônico;</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É permitida a identificação e assinatura digital por pessoa física ou jurídica em meio eletrônico, mediante certificado digital emitido em âmbito da Infraestrutura de Chaves Públicas Brasileira (ICP-Brasil).</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1701" w:leader="none"/>
        </w:tabs>
        <w:spacing w:lineRule="auto" w:line="240" w:before="0" w:after="0"/>
        <w:jc w:val="both"/>
        <w:rPr/>
      </w:pPr>
      <w:r>
        <w:rPr>
          <w:rFonts w:cs="Arial" w:ascii="Arial" w:hAnsi="Arial"/>
          <w:b/>
        </w:rPr>
        <w:t xml:space="preserve">11. </w:t>
      </w:r>
      <w:r>
        <w:rPr>
          <w:rFonts w:cs="Arial" w:ascii="Arial" w:hAnsi="Arial"/>
          <w:b/>
          <w:iCs/>
        </w:rPr>
        <w:t>FASES DE PROPOSTA E HABILITAÇÃO</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11.1.</w:t>
      </w:r>
      <w:r>
        <w:rPr>
          <w:rFonts w:cs="Arial" w:ascii="Arial" w:hAnsi="Arial"/>
          <w:iCs/>
        </w:rPr>
        <w:t xml:space="preserve"> Para este certame, a fase de PROPOSTA será anterior à fase de HABILITAÇÃO.</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11.2.</w:t>
      </w:r>
      <w:r>
        <w:rPr>
          <w:rFonts w:cs="Arial" w:ascii="Arial" w:hAnsi="Arial"/>
          <w:iCs/>
        </w:rPr>
        <w:t xml:space="preserve"> A fase RECURSAL será única.</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iCs/>
        </w:rPr>
        <w:t>11.2.1. Após a fase de julgamento da proposta e da habilitação, será aberta a fase recursal, o qual permitirá o registro da intenção de recurso durante o prazo de 15 (quinze) minutos.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1701" w:leader="none"/>
        </w:tabs>
        <w:spacing w:lineRule="auto" w:line="240" w:before="0" w:after="0"/>
        <w:jc w:val="both"/>
        <w:rPr/>
      </w:pPr>
      <w:r>
        <w:rPr>
          <w:rFonts w:cs="Arial" w:ascii="Arial" w:hAnsi="Arial"/>
          <w:b/>
        </w:rPr>
        <w:t xml:space="preserve">12. </w:t>
      </w:r>
      <w:r>
        <w:rPr>
          <w:rFonts w:cs="Arial" w:ascii="Arial" w:hAnsi="Arial"/>
          <w:b/>
          <w:iCs/>
        </w:rPr>
        <w:t>DAS PROPOSTAS</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12.1. Os proponentes encaminharão, exclusivamente por meio do sistema eletrônico, os documentos de habilitação exigidos no edital, proposta com a descrição do objeto ofertado e o preço, até a data e o horário estabelecidos após a sessão pública.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12.2. O envio da proposta, acompanhada dos documentos de habilitação exigidos neste Edital, ocorrerá por meio de chave de acesso e senha.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12.3. Incumbirá ao proponente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40" w:before="0" w:after="0"/>
        <w:jc w:val="both"/>
        <w:rPr>
          <w:rFonts w:ascii="Arial" w:hAnsi="Arial" w:cs="Arial"/>
        </w:rPr>
      </w:pPr>
      <w:r>
        <w:rPr>
          <w:rFonts w:cs="Arial" w:ascii="Arial" w:hAnsi="Arial"/>
        </w:rPr>
      </w:r>
    </w:p>
    <w:p>
      <w:pPr>
        <w:pStyle w:val="Normal"/>
        <w:widowControl w:val="false"/>
        <w:tabs>
          <w:tab w:val="clear" w:pos="708"/>
          <w:tab w:val="left" w:pos="567" w:leader="none"/>
        </w:tabs>
        <w:spacing w:lineRule="auto" w:line="240" w:before="0" w:after="0"/>
        <w:jc w:val="both"/>
        <w:textAlignment w:val="baseline"/>
        <w:rPr>
          <w:rFonts w:ascii="Arial" w:hAnsi="Arial" w:cs="Arial"/>
        </w:rPr>
      </w:pPr>
      <w:r>
        <w:rPr>
          <w:rFonts w:cs="Arial" w:ascii="Arial" w:hAnsi="Arial"/>
        </w:rPr>
        <w:t xml:space="preserve">12.4. Os documentos que compõem a proposta e a habilitação do proponente melhor classificado somente serão disponibilizados para avaliação do pregoeiro e para acesso público após o encerramento do envio de lances. </w:t>
      </w:r>
    </w:p>
    <w:p>
      <w:pPr>
        <w:pStyle w:val="Normal"/>
        <w:widowControl w:val="false"/>
        <w:tabs>
          <w:tab w:val="clear" w:pos="708"/>
          <w:tab w:val="left" w:pos="567" w:leader="none"/>
        </w:tabs>
        <w:spacing w:lineRule="auto" w:line="240" w:before="0" w:after="0"/>
        <w:jc w:val="both"/>
        <w:textAlignment w:val="baseline"/>
        <w:rPr>
          <w:rFonts w:ascii="Arial" w:hAnsi="Arial" w:cs="Arial"/>
        </w:rPr>
      </w:pPr>
      <w:r>
        <w:rPr>
          <w:rFonts w:cs="Arial" w:ascii="Arial" w:hAnsi="Arial"/>
        </w:rPr>
      </w:r>
    </w:p>
    <w:p>
      <w:pPr>
        <w:pStyle w:val="Normal"/>
        <w:shd w:val="clear" w:color="auto" w:fill="E7E6E6"/>
        <w:tabs>
          <w:tab w:val="clear" w:pos="708"/>
          <w:tab w:val="left" w:pos="567" w:leader="none"/>
        </w:tabs>
        <w:spacing w:lineRule="auto" w:line="240" w:before="0" w:after="0"/>
        <w:jc w:val="both"/>
        <w:rPr/>
      </w:pPr>
      <w:r>
        <w:rPr>
          <w:rFonts w:cs="Arial" w:ascii="Arial" w:hAnsi="Arial"/>
          <w:b/>
          <w:iCs/>
        </w:rPr>
        <w:t>12.5.</w:t>
      </w:r>
      <w:r>
        <w:rPr>
          <w:rFonts w:cs="Arial" w:ascii="Arial" w:hAnsi="Arial"/>
          <w:iCs/>
        </w:rPr>
        <w:t xml:space="preserve"> CRITÉRIO DE JULGAMENTO: MENOR PREÇO POR ITEM.</w:t>
      </w:r>
    </w:p>
    <w:p>
      <w:pPr>
        <w:pStyle w:val="Normal"/>
        <w:tabs>
          <w:tab w:val="clear" w:pos="708"/>
          <w:tab w:val="left" w:pos="567" w:leader="none"/>
        </w:tabs>
        <w:spacing w:lineRule="auto" w:line="240" w:before="0" w:after="0"/>
        <w:jc w:val="both"/>
        <w:rPr/>
      </w:pPr>
      <w:r>
        <w:rPr>
          <w:rFonts w:cs="Arial" w:ascii="Arial" w:hAnsi="Arial"/>
          <w:bCs/>
          <w:iCs/>
        </w:rPr>
        <w:t>12.5.1.</w:t>
      </w:r>
      <w:r>
        <w:rPr>
          <w:rFonts w:cs="Arial" w:ascii="Arial" w:hAnsi="Arial"/>
          <w:b/>
          <w:iCs/>
        </w:rPr>
        <w:t xml:space="preserve"> </w:t>
      </w:r>
      <w:r>
        <w:rPr>
          <w:rFonts w:cs="Arial" w:ascii="Arial" w:hAnsi="Arial"/>
          <w:iCs/>
        </w:rPr>
        <w:t>Para elaboração das propostas o licitante deve:</w:t>
      </w:r>
    </w:p>
    <w:p>
      <w:pPr>
        <w:pStyle w:val="ListParagraph"/>
        <w:widowControl w:val="false"/>
        <w:numPr>
          <w:ilvl w:val="0"/>
          <w:numId w:val="43"/>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 xml:space="preserve">Apresentar sua proposta com valor </w:t>
      </w:r>
      <w:r>
        <w:rPr>
          <w:rFonts w:cs="Arial" w:ascii="Arial" w:hAnsi="Arial"/>
          <w:b/>
          <w:bCs/>
          <w:iCs/>
        </w:rPr>
        <w:t>não</w:t>
      </w:r>
      <w:r>
        <w:rPr>
          <w:rFonts w:cs="Arial" w:ascii="Arial" w:hAnsi="Arial"/>
          <w:iCs/>
        </w:rPr>
        <w:t xml:space="preserve"> superior ao valor máximo indicado pela Administração Pública Municipal;</w:t>
      </w:r>
    </w:p>
    <w:p>
      <w:pPr>
        <w:pStyle w:val="ListParagraph"/>
        <w:widowControl w:val="false"/>
        <w:numPr>
          <w:ilvl w:val="0"/>
          <w:numId w:val="43"/>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 xml:space="preserve">Elaborar sua proposta levando em consideração a utilização de mão de obra, materiais, tecnologias e matérias-primas existentes no local da execução, conservação e operação do bem ou serviço </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12.5.2.</w:t>
      </w:r>
      <w:r>
        <w:rPr>
          <w:rFonts w:cs="Arial" w:ascii="Arial" w:hAnsi="Arial"/>
          <w:iCs/>
        </w:rPr>
        <w:t xml:space="preserve"> O conteúdo das propostas é sigiloso até a abertura da sessão pública (art. 13, I da Lei nº 14.133/2021), sob pena de incursão no art. 337-J do </w:t>
      </w:r>
      <w:hyperlink r:id="rId16">
        <w:r>
          <w:rPr>
            <w:rStyle w:val="LinkdaInternet"/>
            <w:rFonts w:cs="Arial" w:ascii="Arial" w:hAnsi="Arial"/>
            <w:iCs/>
          </w:rPr>
          <w:t>Código Penal</w:t>
        </w:r>
        <w:r>
          <w:rPr>
            <w:rStyle w:val="LinkdaInternet"/>
            <w:rStyle w:val="Ncoradanotaderodap"/>
            <w:rFonts w:cs="Arial" w:ascii="Arial" w:hAnsi="Arial"/>
            <w:iCs/>
          </w:rPr>
          <w:footnoteReference w:id="2"/>
        </w:r>
        <w:r>
          <w:rPr>
            <w:rStyle w:val="LinkdaInternet"/>
            <w:rFonts w:cs="Arial" w:ascii="Arial" w:hAnsi="Arial"/>
            <w:iCs/>
          </w:rPr>
          <w:t>.</w:t>
        </w:r>
      </w:hyperlink>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12.5.3.</w:t>
      </w:r>
      <w:r>
        <w:rPr>
          <w:rFonts w:cs="Arial" w:ascii="Arial" w:hAnsi="Arial"/>
          <w:iCs/>
        </w:rPr>
        <w:t xml:space="preserve"> O licitante deverá encaminhar proposta exclusivamente por meio do sistema eletrônico até a data e o horário marcados para abertura da sessão, quando então se encerrará automaticamente a etapa de envio da proposta.</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spacing w:lineRule="auto" w:line="240" w:before="0" w:after="0"/>
        <w:jc w:val="both"/>
        <w:rPr/>
      </w:pPr>
      <w:r>
        <w:rPr>
          <w:rFonts w:cs="Arial" w:ascii="Arial" w:hAnsi="Arial"/>
        </w:rPr>
        <w:t xml:space="preserve">12.5.3.1. A proposta de preços deverá ser enviada exclusivamente via sistema, redigida em idioma nacional, sem cotações alternativas, emendas, rasuras ou entrelinhas, devendo ser datada e assinada pelo representante legal do proponente devidamente identificado, contendo identificação do proponente, endereço, telefone e e-mail.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12.5.3.2. Após a fase de lances, a proposta atualizada deverá ser enviada no prazo máximo de até 02 (duas) horas após a convocação do pregoeiro.</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12.5.3.3. Não serão aceitas propostas sem a assinatura do representante legal do proponente devidamente identificado.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12.5.3.4. A proposta deverá ser apresentada de acordo com o modelo constante do Anexo VI deste Edital e deverá conter, sob pena de desclassificação: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12.5.3.5. A identificação/descrição do objeto ofertado, de forma a permitir que o Pregoeiro possa facilmente constatar que as especificações no presente Pregão foram ou não atendidas, observadas as especificações constantes nos Anexos do presente Edital;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12.5.3.6. O preço unitário e os preços totais cotados em reais, com no máximo 02 (dois) algarismos decimais após a vírgula;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12.5.3.7.</w:t>
      </w:r>
      <w:r>
        <w:rPr>
          <w:rFonts w:cs="Arial" w:ascii="Arial" w:hAnsi="Arial"/>
          <w:b/>
          <w:bCs/>
        </w:rPr>
        <w:t xml:space="preserve"> </w:t>
      </w:r>
      <w:r>
        <w:rPr>
          <w:rFonts w:cs="Arial" w:ascii="Arial" w:hAnsi="Arial"/>
        </w:rPr>
        <w:t xml:space="preserve">A identificação da marca e do modelo do objeto ofertado;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12.5.3.8. Havendo divergência entre o valor unitário e total, prevalecerá o valor unitário.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12.5.3.9. Serão desconsideradas as propostas que apresentarem alternativas de preços ou qualquer outra condição não prevista neste Edital. </w:t>
      </w:r>
    </w:p>
    <w:p>
      <w:pPr>
        <w:pStyle w:val="Normal"/>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iCs/>
        </w:rPr>
        <w:t xml:space="preserve">12.5.3.10. Se a adjudicação não puder ocorrer dentro do período de validade da proposta, ou seja, 60 (sessenta) dias, e caso persista o interesse do Município, este poderá solicitar a prorrogação da validade da proposta por igual prazo. </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iCs/>
        </w:rPr>
        <w:t>12.5.4.</w:t>
      </w:r>
      <w:r>
        <w:rPr>
          <w:rFonts w:cs="Arial" w:ascii="Arial" w:hAnsi="Arial"/>
          <w:iCs/>
        </w:rPr>
        <w:t xml:space="preserve"> Qualquer elemento que possa identificar o licitante importará desclassificação da proposta, sem prejuízo das sanções previstas neste edital.</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12.5.5.</w:t>
      </w:r>
      <w:r>
        <w:rPr>
          <w:rFonts w:cs="Arial" w:ascii="Arial" w:hAnsi="Arial"/>
          <w:iCs/>
        </w:rPr>
        <w:t xml:space="preserve"> Até a abertura da sessão, o licitante poderá retirar ou substituir a proposta anteriormente encaminhada.</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12.5.6.</w:t>
      </w:r>
      <w:r>
        <w:rPr>
          <w:rFonts w:cs="Arial" w:ascii="Arial" w:hAnsi="Arial"/>
          <w:iCs/>
        </w:rPr>
        <w:t xml:space="preserve"> O prazo de validade da proposta n</w:t>
      </w:r>
      <w:r>
        <w:rPr>
          <w:rFonts w:cs="Arial" w:ascii="Arial" w:hAnsi="Arial"/>
        </w:rPr>
        <w:t>ão será inferior a 60 (sessenta) dias, a contar da data de sua apresentação.</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12.5.7.</w:t>
      </w:r>
      <w:r>
        <w:rPr>
          <w:rFonts w:cs="Arial" w:ascii="Arial" w:hAnsi="Arial"/>
          <w:iCs/>
        </w:rPr>
        <w:t xml:space="preserve"> Decorrido o prazo de validade das propostas sem convocação para contratação, ficam os licitantes liberados dos compromissos assumidos.</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12.5.8.</w:t>
      </w:r>
      <w:r>
        <w:rPr>
          <w:rFonts w:cs="Arial" w:ascii="Arial" w:hAnsi="Arial"/>
          <w:iCs/>
        </w:rPr>
        <w:t xml:space="preserve"> A abertura da sessão pública ocorrerá na data e nos horários indicados no preâmbulo deste edital, no </w:t>
      </w:r>
      <w:r>
        <w:rPr>
          <w:rFonts w:cs="Arial" w:ascii="Arial" w:hAnsi="Arial"/>
          <w:iCs/>
          <w:color w:val="000000"/>
        </w:rPr>
        <w:t xml:space="preserve">Portal de Compras do Governo Federal </w:t>
      </w:r>
      <w:r>
        <w:rPr>
          <w:rFonts w:cs="Arial" w:ascii="Arial" w:hAnsi="Arial"/>
          <w:color w:val="000000"/>
        </w:rPr>
        <w:t xml:space="preserve">– </w:t>
      </w:r>
      <w:r>
        <w:rPr>
          <w:rFonts w:cs="Arial" w:ascii="Arial" w:hAnsi="Arial"/>
          <w:color w:val="0000FF"/>
        </w:rPr>
        <w:t>compras.gov.br</w:t>
      </w:r>
      <w:r>
        <w:rPr>
          <w:rFonts w:cs="Arial" w:ascii="Arial" w:hAnsi="Arial"/>
          <w:color w:val="000000"/>
        </w:rPr>
        <w:t>. UASG 988157.</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rPr>
        <w:t>12.5.9.</w:t>
      </w:r>
      <w:r>
        <w:rPr>
          <w:rFonts w:cs="Arial" w:ascii="Arial" w:hAnsi="Arial"/>
        </w:rPr>
        <w:t xml:space="preserve"> Durante a sessão pública, a comunicação entre o </w:t>
      </w:r>
      <w:r>
        <w:rPr>
          <w:rFonts w:cs="Arial" w:ascii="Arial" w:hAnsi="Arial"/>
          <w:b/>
        </w:rPr>
        <w:t>pregoeiro</w:t>
      </w:r>
      <w:r>
        <w:rPr>
          <w:rFonts w:cs="Arial" w:ascii="Arial" w:hAnsi="Arial"/>
        </w:rPr>
        <w:t xml:space="preserve"> e os licitantes ocorrerá </w:t>
      </w:r>
      <w:r>
        <w:rPr>
          <w:rFonts w:cs="Arial" w:ascii="Arial" w:hAnsi="Arial"/>
          <w:b/>
        </w:rPr>
        <w:t>exclusivamente</w:t>
      </w:r>
      <w:r>
        <w:rPr>
          <w:rFonts w:cs="Arial" w:ascii="Arial" w:hAnsi="Arial"/>
        </w:rPr>
        <w:t xml:space="preserve"> mediante troca de mensagens, em campo próprio do sistema eletrônico. </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rPr>
        <w:t>12.5.10.</w:t>
      </w:r>
      <w:r>
        <w:rPr>
          <w:rFonts w:cs="Arial" w:ascii="Arial" w:hAnsi="Arial"/>
        </w:rPr>
        <w:t xml:space="preserve"> Cabe ao licitante acompanhar as operações no sistema eletrônico durante a sessão pública, ficando responsável pelo ônus decorrente da perda de negócios diante da inobservância de qualquer mensagem emitida pelo sistema ou por estar desconectado do sistema, inclusive quanto ao não encaminhamento de documento afeto à proposta.</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iCs/>
        </w:rPr>
        <w:t>12.5.11.</w:t>
      </w:r>
      <w:r>
        <w:rPr>
          <w:rFonts w:cs="Arial" w:ascii="Arial" w:hAnsi="Arial"/>
          <w:iCs/>
          <w:color w:val="000000"/>
        </w:rPr>
        <w:t xml:space="preserve"> Aberta a etapa de lances, os licitantes poderão encaminhar lances sucessivos exclusivamente por meio do sistema eletrônico, sendo que os lances deverão ser </w:t>
      </w:r>
      <w:r>
        <w:rPr>
          <w:rFonts w:cs="Arial" w:ascii="Arial" w:hAnsi="Arial"/>
          <w:color w:val="000000"/>
        </w:rPr>
        <w:t>inferiores ao último ofertado por ele próprio e registrado no sistema eletrônico, respeitado o intervalo mínimo de diferença de valores entre os lances, que incidirá tanto em relação aos lances intermediários quanto em relação à proposta que cobrir a melhor oferta.</w:t>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iCs/>
          <w:color w:val="000000"/>
        </w:rPr>
      </w:r>
    </w:p>
    <w:p>
      <w:pPr>
        <w:pStyle w:val="Normal"/>
        <w:tabs>
          <w:tab w:val="clear" w:pos="708"/>
          <w:tab w:val="left" w:pos="567" w:leader="none"/>
        </w:tabs>
        <w:spacing w:lineRule="auto" w:line="240" w:before="0" w:after="0"/>
        <w:jc w:val="both"/>
        <w:rPr/>
      </w:pPr>
      <w:r>
        <w:rPr>
          <w:rFonts w:cs="Arial" w:ascii="Arial" w:hAnsi="Arial"/>
          <w:bCs/>
        </w:rPr>
        <w:t>12.5.12.</w:t>
      </w:r>
      <w:r>
        <w:rPr>
          <w:rFonts w:cs="Arial" w:ascii="Arial" w:hAnsi="Arial"/>
        </w:rPr>
        <w:t xml:space="preserve"> Será adotado para o envio de lances o modo de disputa </w:t>
      </w:r>
    </w:p>
    <w:p>
      <w:pPr>
        <w:pStyle w:val="ListParagraph"/>
        <w:numPr>
          <w:ilvl w:val="0"/>
          <w:numId w:val="41"/>
        </w:numPr>
        <w:tabs>
          <w:tab w:val="clear" w:pos="708"/>
          <w:tab w:val="left" w:pos="1134" w:leader="none"/>
        </w:tabs>
        <w:spacing w:lineRule="auto" w:line="240" w:before="0" w:after="0"/>
        <w:ind w:left="567" w:hanging="0"/>
        <w:contextualSpacing/>
        <w:jc w:val="both"/>
        <w:rPr>
          <w:rFonts w:ascii="Arial" w:hAnsi="Arial" w:cs="Arial"/>
          <w:b/>
          <w:b/>
          <w:color w:val="000000"/>
        </w:rPr>
      </w:pPr>
      <w:r>
        <w:rPr>
          <w:rFonts w:cs="Arial" w:ascii="Arial" w:hAnsi="Arial"/>
          <w:b/>
          <w:color w:val="000000"/>
        </w:rPr>
        <w:t>ABERTO:</w:t>
      </w:r>
    </w:p>
    <w:p>
      <w:pPr>
        <w:pStyle w:val="ListParagraph"/>
        <w:numPr>
          <w:ilvl w:val="0"/>
          <w:numId w:val="42"/>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10 (dez) minutos de lances sucessivos e, após isso, será prorrogada automaticamente pelo sistema quando houver lance ofertado nos últimos 2 (dois) minutos;</w:t>
      </w:r>
    </w:p>
    <w:p>
      <w:pPr>
        <w:pStyle w:val="ListParagraph"/>
        <w:numPr>
          <w:ilvl w:val="0"/>
          <w:numId w:val="42"/>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A prorrogação automática será de 02 (dois) minutos e ocorrerá sucessivamente sempre que houver lances enviados nesse período de prorrogação;</w:t>
      </w:r>
    </w:p>
    <w:p>
      <w:pPr>
        <w:pStyle w:val="ListParagraph"/>
        <w:numPr>
          <w:ilvl w:val="0"/>
          <w:numId w:val="42"/>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Não havendo novos lances nos últimos 02 (dois) minutos, a sessão pública será encerrada automaticamente;</w:t>
      </w:r>
    </w:p>
    <w:p>
      <w:pPr>
        <w:pStyle w:val="ListParagraph"/>
        <w:numPr>
          <w:ilvl w:val="0"/>
          <w:numId w:val="42"/>
        </w:numPr>
        <w:tabs>
          <w:tab w:val="clear" w:pos="708"/>
          <w:tab w:val="left" w:pos="1701" w:leader="none"/>
        </w:tabs>
        <w:spacing w:lineRule="auto" w:line="240" w:before="0" w:after="0"/>
        <w:ind w:left="1134" w:hanging="0"/>
        <w:contextualSpacing/>
        <w:jc w:val="both"/>
        <w:rPr/>
      </w:pPr>
      <w:r>
        <w:rPr>
          <w:rFonts w:cs="Arial" w:ascii="Arial" w:hAnsi="Arial"/>
          <w:color w:val="000000"/>
        </w:rPr>
        <w:t xml:space="preserve">Encerrada a etapa de lances, com ou sem prorrogação automática pelo sistema, poderá o </w:t>
      </w:r>
      <w:r>
        <w:rPr>
          <w:rFonts w:cs="Arial" w:ascii="Arial" w:hAnsi="Arial"/>
          <w:b/>
          <w:color w:val="000000"/>
        </w:rPr>
        <w:t>pregoeiro</w:t>
      </w:r>
      <w:r>
        <w:rPr>
          <w:rFonts w:cs="Arial" w:ascii="Arial" w:hAnsi="Arial"/>
          <w:color w:val="000000"/>
        </w:rPr>
        <w:t>, assessorado pela equipe de apoio, justificadamente, admitir o reinício do envio de lances, em prol da consecução do melhor preço;</w:t>
      </w:r>
    </w:p>
    <w:p>
      <w:pPr>
        <w:pStyle w:val="ListParagraph"/>
        <w:numPr>
          <w:ilvl w:val="0"/>
          <w:numId w:val="42"/>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Os lances apresentados e levados em consideração para efeito de julgamento serão de exclusiva e total responsabilidade do licitante, não lhe cabendo o direito de pleitear qualquer alteração;</w:t>
      </w:r>
    </w:p>
    <w:p>
      <w:pPr>
        <w:pStyle w:val="ListParagraph"/>
        <w:numPr>
          <w:ilvl w:val="0"/>
          <w:numId w:val="42"/>
        </w:numPr>
        <w:tabs>
          <w:tab w:val="clear" w:pos="708"/>
          <w:tab w:val="left" w:pos="1701" w:leader="none"/>
        </w:tabs>
        <w:spacing w:lineRule="auto" w:line="240" w:before="0" w:after="0"/>
        <w:ind w:left="1134" w:hanging="0"/>
        <w:contextualSpacing/>
        <w:jc w:val="both"/>
        <w:rPr/>
      </w:pPr>
      <w:r>
        <w:rPr>
          <w:rFonts w:cs="Arial" w:ascii="Arial" w:hAnsi="Arial"/>
          <w:color w:val="000000"/>
        </w:rPr>
        <w:t xml:space="preserve">Durante o envio de lances, o </w:t>
      </w:r>
      <w:r>
        <w:rPr>
          <w:rFonts w:cs="Arial" w:ascii="Arial" w:hAnsi="Arial"/>
          <w:b/>
          <w:color w:val="000000"/>
        </w:rPr>
        <w:t>pregoeiro</w:t>
      </w:r>
      <w:r>
        <w:rPr>
          <w:rFonts w:cs="Arial" w:ascii="Arial" w:hAnsi="Arial"/>
          <w:color w:val="000000"/>
        </w:rPr>
        <w:t xml:space="preserve"> poderá excluir, justificadamente, lance cujo valor seja manifestamente inexequível;</w:t>
      </w:r>
    </w:p>
    <w:p>
      <w:pPr>
        <w:pStyle w:val="ListParagraph"/>
        <w:numPr>
          <w:ilvl w:val="0"/>
          <w:numId w:val="42"/>
        </w:numPr>
        <w:tabs>
          <w:tab w:val="clear" w:pos="708"/>
          <w:tab w:val="left" w:pos="1701" w:leader="none"/>
        </w:tabs>
        <w:spacing w:lineRule="auto" w:line="240" w:before="0" w:after="0"/>
        <w:ind w:left="1134" w:hanging="0"/>
        <w:contextualSpacing/>
        <w:jc w:val="both"/>
        <w:rPr/>
      </w:pPr>
      <w:r>
        <w:rPr>
          <w:rFonts w:cs="Arial" w:ascii="Arial" w:hAnsi="Arial"/>
          <w:color w:val="000000"/>
        </w:rPr>
        <w:t xml:space="preserve">Se ocorrer a desconexão do </w:t>
      </w:r>
      <w:r>
        <w:rPr>
          <w:rFonts w:cs="Arial" w:ascii="Arial" w:hAnsi="Arial"/>
          <w:b/>
          <w:color w:val="000000"/>
        </w:rPr>
        <w:t>pregoeiro</w:t>
      </w:r>
      <w:r>
        <w:rPr>
          <w:rFonts w:cs="Arial" w:ascii="Arial" w:hAnsi="Arial"/>
          <w:color w:val="000000"/>
        </w:rPr>
        <w:t xml:space="preserve"> no decorrer do envio de lances, mas o sistema eletrônico permanecer acessível aos licitantes, os lances continuarão sendo recebidos, sem prejuízo dos atos realizados.</w:t>
      </w:r>
    </w:p>
    <w:p>
      <w:pPr>
        <w:pStyle w:val="Normal"/>
        <w:tabs>
          <w:tab w:val="clear" w:pos="708"/>
          <w:tab w:val="left" w:pos="567"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567" w:leader="none"/>
        </w:tabs>
        <w:spacing w:lineRule="auto" w:line="240" w:before="0" w:after="0"/>
        <w:jc w:val="both"/>
        <w:rPr/>
      </w:pPr>
      <w:r>
        <w:rPr>
          <w:rFonts w:cs="Arial" w:ascii="Arial" w:hAnsi="Arial"/>
          <w:bCs/>
        </w:rPr>
        <w:t>12.5.13.</w:t>
      </w:r>
      <w:r>
        <w:rPr>
          <w:rFonts w:cs="Arial" w:ascii="Arial" w:hAnsi="Arial"/>
        </w:rPr>
        <w:t xml:space="preserve"> No caso de a desconexão do </w:t>
      </w:r>
      <w:r>
        <w:rPr>
          <w:rFonts w:cs="Arial" w:ascii="Arial" w:hAnsi="Arial"/>
          <w:b/>
        </w:rPr>
        <w:t>pregoeiro</w:t>
      </w:r>
      <w:r>
        <w:rPr>
          <w:rFonts w:cs="Arial" w:ascii="Arial" w:hAnsi="Arial"/>
        </w:rPr>
        <w:t xml:space="preserve"> persistir por tempo superior a 10 (dez) minutos, a sessão será suspensa automaticamente e terá reinício somente após comunicação expressa aos participantes no sítio </w:t>
      </w:r>
      <w:r>
        <w:rPr>
          <w:rFonts w:cs="Arial" w:ascii="Arial" w:hAnsi="Arial"/>
          <w:color w:val="0000FF"/>
        </w:rPr>
        <w:t>compras.gov.br</w:t>
      </w:r>
      <w:r>
        <w:rPr>
          <w:rFonts w:cs="Arial" w:ascii="Arial" w:hAnsi="Arial"/>
          <w:color w:val="000000"/>
        </w:rPr>
        <w:t>.</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13. VERIFICAÇÃO DE IMPEDIMENTOS NO CEIS E CNEP</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13.1.</w:t>
      </w:r>
      <w:r>
        <w:rPr>
          <w:rFonts w:cs="Arial" w:ascii="Arial" w:hAnsi="Arial"/>
          <w:iCs/>
        </w:rPr>
        <w:t xml:space="preserve"> Encerrada a etapa de lances, o pregoeiro verificará eventual descumprimento das condições de participação, especialmente quanto à existência de sanção que impeça a participação dos licitantes no certame ou futura contratação, mediante consulta aos seguintes cadastros:</w:t>
      </w:r>
    </w:p>
    <w:p>
      <w:pPr>
        <w:pStyle w:val="ListParagraph"/>
        <w:widowControl w:val="false"/>
        <w:numPr>
          <w:ilvl w:val="0"/>
          <w:numId w:val="16"/>
        </w:numPr>
        <w:tabs>
          <w:tab w:val="clear" w:pos="708"/>
          <w:tab w:val="left" w:pos="1134" w:leader="none"/>
        </w:tabs>
        <w:spacing w:lineRule="auto" w:line="240" w:before="0" w:after="0"/>
        <w:ind w:left="567" w:hanging="0"/>
        <w:contextualSpacing/>
        <w:jc w:val="both"/>
        <w:textAlignment w:val="baseline"/>
        <w:rPr/>
      </w:pPr>
      <w:r>
        <w:rPr>
          <w:rFonts w:cs="Arial" w:ascii="Arial" w:hAnsi="Arial"/>
          <w:b/>
          <w:iCs/>
        </w:rPr>
        <w:t>Cadastro Nacional de Empresas Inidôneas e Suspensas – CEIS</w:t>
      </w:r>
      <w:r>
        <w:rPr>
          <w:rFonts w:cs="Arial" w:ascii="Arial" w:hAnsi="Arial"/>
          <w:iCs/>
        </w:rPr>
        <w:t>, mantido pela Controladoria-Geral da União (https://portaldatransparencia.gov.br/sancoes/consulta).</w:t>
      </w:r>
    </w:p>
    <w:p>
      <w:pPr>
        <w:pStyle w:val="ListParagraph"/>
        <w:widowControl w:val="false"/>
        <w:numPr>
          <w:ilvl w:val="0"/>
          <w:numId w:val="16"/>
        </w:numPr>
        <w:tabs>
          <w:tab w:val="clear" w:pos="708"/>
          <w:tab w:val="left" w:pos="1134" w:leader="none"/>
        </w:tabs>
        <w:spacing w:lineRule="auto" w:line="240" w:before="0" w:after="0"/>
        <w:ind w:left="567" w:hanging="0"/>
        <w:contextualSpacing/>
        <w:jc w:val="both"/>
        <w:textAlignment w:val="baseline"/>
        <w:rPr/>
      </w:pPr>
      <w:r>
        <w:rPr>
          <w:rFonts w:cs="Arial" w:ascii="Arial" w:hAnsi="Arial"/>
          <w:b/>
          <w:iCs/>
        </w:rPr>
        <w:t>Cadastro Nacional de Empresas Punidas – CNEP</w:t>
      </w:r>
      <w:r>
        <w:rPr>
          <w:rFonts w:cs="Arial" w:ascii="Arial" w:hAnsi="Arial"/>
          <w:iCs/>
        </w:rPr>
        <w:t>, mantido pela Controladoria-Geral da União (</w:t>
      </w:r>
      <w:hyperlink r:id="rId17">
        <w:r>
          <w:rPr>
            <w:rStyle w:val="LinkdaInternet"/>
            <w:rFonts w:cs="Arial" w:ascii="Arial" w:hAnsi="Arial"/>
            <w:iCs/>
          </w:rPr>
          <w:t>https://portaldatransparencia.gov.br/sancoes/consulta</w:t>
        </w:r>
      </w:hyperlink>
      <w:r>
        <w:rPr>
          <w:rFonts w:cs="Arial" w:ascii="Arial" w:hAnsi="Arial"/>
          <w:iCs/>
        </w:rPr>
        <w:t>).</w:t>
      </w:r>
    </w:p>
    <w:p>
      <w:pPr>
        <w:pStyle w:val="ListParagraph"/>
        <w:widowControl w:val="false"/>
        <w:numPr>
          <w:ilvl w:val="0"/>
          <w:numId w:val="16"/>
        </w:numPr>
        <w:tabs>
          <w:tab w:val="clear" w:pos="708"/>
          <w:tab w:val="left" w:pos="1134" w:leader="none"/>
        </w:tabs>
        <w:spacing w:lineRule="auto" w:line="240" w:before="0" w:after="0"/>
        <w:ind w:left="567" w:hanging="0"/>
        <w:contextualSpacing/>
        <w:jc w:val="both"/>
        <w:textAlignment w:val="baseline"/>
        <w:rPr>
          <w:shd w:fill="auto" w:val="clear"/>
        </w:rPr>
      </w:pPr>
      <w:r>
        <w:rPr>
          <w:rFonts w:cs="Arial" w:ascii="Arial" w:hAnsi="Arial"/>
          <w:b/>
          <w:bCs/>
          <w:iCs/>
          <w:sz w:val="22"/>
          <w:szCs w:val="22"/>
          <w:shd w:fill="auto" w:val="clear"/>
        </w:rPr>
        <w:t>Certidão Negativa d</w:t>
      </w:r>
      <w:r>
        <w:rPr>
          <w:rFonts w:eastAsia="Times New Roman" w:cs="Times New Roman" w:ascii="Arial" w:hAnsi="Arial"/>
          <w:b/>
          <w:bCs/>
          <w:iCs/>
          <w:color w:val="000000"/>
          <w:kern w:val="0"/>
          <w:sz w:val="22"/>
          <w:szCs w:val="22"/>
          <w:shd w:fill="auto" w:val="clear"/>
          <w:lang w:val="pt-BR" w:eastAsia="en-US" w:bidi="ar-SA"/>
        </w:rPr>
        <w:t>o Sistema de Inabilitados e Inidôneos do TCU</w:t>
      </w:r>
      <w:r>
        <w:rPr>
          <w:rFonts w:eastAsia="Times New Roman" w:cs="Times New Roman" w:ascii="Arial" w:hAnsi="Arial"/>
          <w:iCs/>
          <w:color w:val="000000"/>
          <w:kern w:val="0"/>
          <w:sz w:val="22"/>
          <w:szCs w:val="22"/>
          <w:shd w:fill="auto" w:val="clear"/>
          <w:lang w:val="pt-BR" w:eastAsia="en-US" w:bidi="ar-SA"/>
        </w:rPr>
        <w:t>, através do link: https://contas.tcu.gov.br/ords/f?p=704144:1:113283355740824::NO:1::</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rPr>
        <w:t>13.2.</w:t>
      </w:r>
      <w:r>
        <w:rPr>
          <w:rFonts w:cs="Arial" w:ascii="Arial" w:hAnsi="Arial"/>
          <w:b/>
        </w:rPr>
        <w:t xml:space="preserve"> </w:t>
      </w:r>
      <w:r>
        <w:rPr>
          <w:rFonts w:cs="Arial" w:ascii="Arial" w:hAnsi="Arial"/>
        </w:rPr>
        <w:t xml:space="preserve">A consulta aos cadastros acima referidos </w:t>
      </w:r>
      <w:r>
        <w:rPr>
          <w:rFonts w:cs="Arial" w:ascii="Arial" w:hAnsi="Arial"/>
          <w:b/>
        </w:rPr>
        <w:t>será</w:t>
      </w:r>
      <w:r>
        <w:rPr>
          <w:rFonts w:cs="Arial" w:ascii="Arial" w:hAnsi="Arial"/>
        </w:rPr>
        <w:t xml:space="preserve"> realizada </w:t>
      </w:r>
      <w:r>
        <w:rPr>
          <w:rFonts w:cs="Arial" w:ascii="Arial" w:hAnsi="Arial"/>
          <w:b/>
        </w:rPr>
        <w:t xml:space="preserve">em nome do licitante </w:t>
      </w:r>
      <w:r>
        <w:rPr>
          <w:rFonts w:cs="Arial" w:ascii="Arial" w:hAnsi="Arial"/>
          <w:b/>
          <w:u w:val="single"/>
        </w:rPr>
        <w:t>e</w:t>
      </w:r>
      <w:r>
        <w:rPr>
          <w:rFonts w:cs="Arial" w:ascii="Arial" w:hAnsi="Arial"/>
          <w:b/>
        </w:rPr>
        <w:t xml:space="preserve"> também de seu sócio majoritário</w:t>
      </w:r>
      <w:r>
        <w:rPr>
          <w:rFonts w:cs="Arial" w:ascii="Arial" w:hAnsi="Arial"/>
        </w:rPr>
        <w:t xml:space="preserve">, por força do art. 12 da </w:t>
      </w:r>
      <w:hyperlink r:id="rId18">
        <w:r>
          <w:rPr>
            <w:rStyle w:val="LinkdaInternet"/>
            <w:rFonts w:cs="Arial" w:ascii="Arial" w:hAnsi="Arial"/>
          </w:rPr>
          <w:t>Lei nº 8.429/1992</w:t>
        </w:r>
      </w:hyperlink>
      <w:r>
        <w:rPr>
          <w:rFonts w:cs="Arial" w:ascii="Arial" w:hAnsi="Arial"/>
        </w:rPr>
        <w:t xml:space="preserve"> (Dispõe sobre as sanções aplicáveis em virtude da prática de atos de improbidade administrativa, de que trata o § 4º do art. 37 da Constituição Federal; e dá outras providências).</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rPr>
        <w:t>13.3.</w:t>
      </w:r>
      <w:r>
        <w:rPr>
          <w:rFonts w:cs="Arial" w:ascii="Arial" w:hAnsi="Arial"/>
        </w:rPr>
        <w:t xml:space="preserve"> A verificação visa coibir o disposto no art. 337-M do </w:t>
      </w:r>
      <w:hyperlink r:id="rId19">
        <w:r>
          <w:rPr>
            <w:rStyle w:val="LinkdaInternet"/>
            <w:rFonts w:cs="Arial" w:ascii="Arial" w:hAnsi="Arial"/>
          </w:rPr>
          <w:t>Código Penal</w:t>
        </w:r>
        <w:r>
          <w:rPr>
            <w:rStyle w:val="LinkdaInternet"/>
            <w:rStyle w:val="Ncoradanotaderodap"/>
            <w:rFonts w:cs="Arial" w:ascii="Arial" w:hAnsi="Arial"/>
          </w:rPr>
          <w:footnoteReference w:id="3"/>
        </w:r>
        <w:r>
          <w:rPr>
            <w:rStyle w:val="LinkdaInternet"/>
            <w:rFonts w:cs="Arial" w:ascii="Arial" w:hAnsi="Arial"/>
          </w:rPr>
          <w:t>.</w:t>
        </w:r>
      </w:hyperlink>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14. DO JULGAMENTO DAS PROPOSTAS</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14.1.</w:t>
      </w:r>
      <w:r>
        <w:rPr>
          <w:rFonts w:cs="Arial" w:ascii="Arial" w:hAnsi="Arial"/>
          <w:iCs/>
        </w:rPr>
        <w:t xml:space="preserve"> Serão desclassificadas as propostas que (art. 59, </w:t>
      </w:r>
      <w:r>
        <w:rPr>
          <w:rFonts w:cs="Arial" w:ascii="Arial" w:hAnsi="Arial"/>
          <w:i/>
          <w:iCs/>
        </w:rPr>
        <w:t>caput</w:t>
      </w:r>
      <w:r>
        <w:rPr>
          <w:rFonts w:cs="Arial" w:ascii="Arial" w:hAnsi="Arial"/>
          <w:iCs/>
        </w:rPr>
        <w:t>, da Lei nº 14.133/2021):</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6" w:name="art59i"/>
      <w:bookmarkEnd w:id="6"/>
      <w:r>
        <w:rPr>
          <w:rFonts w:cs="Arial" w:ascii="Arial" w:hAnsi="Arial"/>
          <w:iCs/>
        </w:rPr>
        <w:t>Contiverem vícios insanáveis;</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7" w:name="art59ii"/>
      <w:bookmarkEnd w:id="7"/>
      <w:r>
        <w:rPr>
          <w:rFonts w:cs="Arial" w:ascii="Arial" w:hAnsi="Arial"/>
          <w:iCs/>
        </w:rPr>
        <w:t>Não obedecerem às especificações técnicas pormenorizadas no edital;</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8" w:name="art59iii"/>
      <w:bookmarkEnd w:id="8"/>
      <w:r>
        <w:rPr>
          <w:rFonts w:cs="Arial" w:ascii="Arial" w:hAnsi="Arial"/>
          <w:iCs/>
        </w:rPr>
        <w:t>Apresentarem preços inexequíveis ou permanecerem acima do orçamento estimado para a contratação;</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9" w:name="art59iv"/>
      <w:bookmarkEnd w:id="9"/>
      <w:r>
        <w:rPr>
          <w:rFonts w:cs="Arial" w:ascii="Arial" w:hAnsi="Arial"/>
          <w:iCs/>
        </w:rPr>
        <w:t>Não tiverem sua exequibilidade demonstrada, quando exigido pela Administração Pública Municipal;</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10" w:name="art59v"/>
      <w:bookmarkEnd w:id="10"/>
      <w:r>
        <w:rPr>
          <w:rFonts w:cs="Arial" w:ascii="Arial" w:hAnsi="Arial"/>
          <w:iCs/>
        </w:rPr>
        <w:t>Apresentarem desconformidade com quaisquer outras exigências do edital, desde que insanável;</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11" w:name="art59§1"/>
      <w:bookmarkStart w:id="12" w:name="art59§1"/>
      <w:bookmarkEnd w:id="12"/>
    </w:p>
    <w:p>
      <w:pPr>
        <w:pStyle w:val="Normal"/>
        <w:tabs>
          <w:tab w:val="clear" w:pos="708"/>
          <w:tab w:val="left" w:pos="567" w:leader="none"/>
        </w:tabs>
        <w:spacing w:lineRule="auto" w:line="240" w:before="0" w:after="0"/>
        <w:jc w:val="both"/>
        <w:rPr/>
      </w:pPr>
      <w:r>
        <w:rPr>
          <w:rFonts w:cs="Arial" w:ascii="Arial" w:hAnsi="Arial"/>
          <w:bCs/>
          <w:iCs/>
        </w:rPr>
        <w:t>14.2.</w:t>
      </w:r>
      <w:r>
        <w:rPr>
          <w:rFonts w:cs="Arial" w:ascii="Arial" w:hAnsi="Arial"/>
          <w:iCs/>
        </w:rPr>
        <w:t xml:space="preserve"> A verificação da conformidade das propostas </w:t>
      </w:r>
      <w:r>
        <w:rPr>
          <w:rFonts w:cs="Arial" w:ascii="Arial" w:hAnsi="Arial"/>
          <w:iCs/>
          <w:color w:val="000000"/>
        </w:rPr>
        <w:t>será</w:t>
      </w:r>
      <w:r>
        <w:rPr>
          <w:rFonts w:cs="Arial" w:ascii="Arial" w:hAnsi="Arial"/>
          <w:iCs/>
        </w:rPr>
        <w:t xml:space="preserve"> feita exclusivamente em relação à proposta mais bem classificada (art. 59, § 1º da Lei nº 14.133/2021). </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13" w:name="art60"/>
      <w:bookmarkStart w:id="14" w:name="art59§2"/>
      <w:bookmarkStart w:id="15" w:name="art59§5"/>
      <w:bookmarkStart w:id="16" w:name="art60"/>
      <w:bookmarkStart w:id="17" w:name="art59§2"/>
      <w:bookmarkStart w:id="18" w:name="art59§5"/>
      <w:bookmarkEnd w:id="16"/>
      <w:bookmarkEnd w:id="17"/>
      <w:bookmarkEnd w:id="18"/>
    </w:p>
    <w:p>
      <w:pPr>
        <w:pStyle w:val="Normal"/>
        <w:tabs>
          <w:tab w:val="clear" w:pos="708"/>
          <w:tab w:val="left" w:pos="567" w:leader="none"/>
        </w:tabs>
        <w:spacing w:lineRule="auto" w:line="240" w:before="0" w:after="0"/>
        <w:jc w:val="both"/>
        <w:rPr/>
      </w:pPr>
      <w:r>
        <w:rPr>
          <w:rFonts w:cs="Arial" w:ascii="Arial" w:hAnsi="Arial"/>
          <w:bCs/>
          <w:iCs/>
        </w:rPr>
        <w:t>14.3.</w:t>
      </w:r>
      <w:r>
        <w:rPr>
          <w:rFonts w:cs="Arial" w:ascii="Arial" w:hAnsi="Arial"/>
          <w:iCs/>
        </w:rPr>
        <w:t xml:space="preserve"> </w:t>
      </w:r>
      <w:r>
        <w:rPr>
          <w:rFonts w:cs="Arial" w:ascii="Arial" w:hAnsi="Arial"/>
          <w:iCs/>
          <w:u w:val="single"/>
        </w:rPr>
        <w:t>EXEQUIBILIDADE:</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14.3.1.</w:t>
      </w:r>
      <w:r>
        <w:rPr>
          <w:rFonts w:cs="Arial" w:ascii="Arial" w:hAnsi="Arial"/>
          <w:iCs/>
        </w:rPr>
        <w:t xml:space="preserve"> A Administração Pública Municipal </w:t>
      </w:r>
      <w:r>
        <w:rPr>
          <w:rFonts w:cs="Arial" w:ascii="Arial" w:hAnsi="Arial"/>
          <w:iCs/>
          <w:u w:val="single"/>
        </w:rPr>
        <w:t>poderá</w:t>
      </w:r>
      <w:r>
        <w:rPr>
          <w:rFonts w:cs="Arial" w:ascii="Arial" w:hAnsi="Arial"/>
          <w:iCs/>
        </w:rPr>
        <w:t xml:space="preserve"> realizar diligências para aferir a exequibilidade das propostas ou exigir dos licitantes que ela seja demonstrada, conforme disposto em IV do tópico 14.1 (art. 59, § 2º da Lei nº 14.133/2021).</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bookmarkStart w:id="19" w:name="art59§4"/>
      <w:bookmarkStart w:id="20" w:name="art59§3"/>
      <w:bookmarkEnd w:id="19"/>
      <w:bookmarkEnd w:id="20"/>
      <w:r>
        <w:rPr>
          <w:rFonts w:cs="Arial" w:ascii="Arial" w:hAnsi="Arial"/>
          <w:bCs/>
          <w:iCs/>
        </w:rPr>
        <w:t>14.3.2.</w:t>
      </w:r>
      <w:r>
        <w:rPr>
          <w:rFonts w:cs="Arial" w:ascii="Arial" w:hAnsi="Arial"/>
          <w:iCs/>
        </w:rPr>
        <w:t xml:space="preserve"> Serão consideradas inexequíveis as propostas cujos valores forem inferiores a:</w:t>
      </w:r>
    </w:p>
    <w:p>
      <w:pPr>
        <w:pStyle w:val="ListParagraph"/>
        <w:numPr>
          <w:ilvl w:val="0"/>
          <w:numId w:val="44"/>
        </w:numPr>
        <w:tabs>
          <w:tab w:val="clear" w:pos="708"/>
          <w:tab w:val="left" w:pos="567" w:leader="none"/>
        </w:tabs>
        <w:spacing w:lineRule="auto" w:line="240" w:before="0" w:after="0"/>
        <w:contextualSpacing/>
        <w:jc w:val="both"/>
        <w:rPr/>
      </w:pPr>
      <w:r>
        <w:rPr>
          <w:rFonts w:cs="Arial" w:ascii="Arial" w:hAnsi="Arial"/>
          <w:iCs/>
        </w:rPr>
        <w:t xml:space="preserve">BENS E SERVIÇOS QUE NÃO SÃO DE ENGENHARIA: </w:t>
      </w:r>
      <w:r>
        <w:rPr>
          <w:rFonts w:cs="Arial" w:ascii="Arial" w:hAnsi="Arial"/>
          <w:b/>
          <w:bCs/>
          <w:iCs/>
        </w:rPr>
        <w:t>3</w:t>
      </w:r>
      <w:r>
        <w:rPr>
          <w:rFonts w:cs="Arial" w:ascii="Arial" w:hAnsi="Arial"/>
          <w:b/>
          <w:iCs/>
          <w:color w:val="000000"/>
        </w:rPr>
        <w:t>0%</w:t>
      </w:r>
      <w:r>
        <w:rPr>
          <w:rFonts w:cs="Arial" w:ascii="Arial" w:hAnsi="Arial"/>
          <w:iCs/>
          <w:color w:val="FF0000"/>
        </w:rPr>
        <w:t xml:space="preserve"> </w:t>
      </w:r>
      <w:r>
        <w:rPr>
          <w:rFonts w:cs="Arial" w:ascii="Arial" w:hAnsi="Arial"/>
          <w:iCs/>
        </w:rPr>
        <w:t>do valor máximo definido pela Administração Pública Municipal</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14.4.</w:t>
      </w:r>
      <w:r>
        <w:rPr>
          <w:rFonts w:cs="Arial" w:ascii="Arial" w:hAnsi="Arial"/>
          <w:iCs/>
        </w:rPr>
        <w:t xml:space="preserve"> </w:t>
      </w:r>
      <w:r>
        <w:rPr>
          <w:rFonts w:cs="Arial" w:ascii="Arial" w:hAnsi="Arial"/>
          <w:iCs/>
          <w:u w:val="single"/>
        </w:rPr>
        <w:t>EMPATE:</w:t>
      </w:r>
      <w:r>
        <w:rPr>
          <w:rFonts w:cs="Arial" w:ascii="Arial" w:hAnsi="Arial"/>
          <w:iCs/>
        </w:rPr>
        <w:t xml:space="preserve">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14.4.1.</w:t>
      </w:r>
      <w:r>
        <w:rPr>
          <w:rFonts w:cs="Arial" w:ascii="Arial" w:hAnsi="Arial"/>
          <w:iCs/>
        </w:rPr>
        <w:t xml:space="preserve"> Em caso de empate entre duas ou mais propostas, serão utilizados os seguintes critérios de desempate, nesta ordem (art. 60, </w:t>
      </w:r>
      <w:r>
        <w:rPr>
          <w:rFonts w:cs="Arial" w:ascii="Arial" w:hAnsi="Arial"/>
          <w:i/>
          <w:iCs/>
        </w:rPr>
        <w:t>caput</w:t>
      </w:r>
      <w:r>
        <w:rPr>
          <w:rFonts w:cs="Arial" w:ascii="Arial" w:hAnsi="Arial"/>
          <w:iCs/>
        </w:rPr>
        <w:t xml:space="preserve"> da Lei nº 14.133/2021).</w:t>
      </w:r>
    </w:p>
    <w:p>
      <w:pPr>
        <w:pStyle w:val="ListParagraph"/>
        <w:widowControl w:val="false"/>
        <w:numPr>
          <w:ilvl w:val="0"/>
          <w:numId w:val="18"/>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1" w:name="art60i"/>
      <w:bookmarkEnd w:id="21"/>
      <w:r>
        <w:rPr>
          <w:rFonts w:cs="Arial" w:ascii="Arial" w:hAnsi="Arial"/>
          <w:iCs/>
        </w:rPr>
        <w:t>Disputa final, hipótese em que os licitantes empatados poderão apresentar nova proposta em ato contínuo à classificação;</w:t>
      </w:r>
    </w:p>
    <w:p>
      <w:pPr>
        <w:pStyle w:val="ListParagraph"/>
        <w:widowControl w:val="false"/>
        <w:numPr>
          <w:ilvl w:val="0"/>
          <w:numId w:val="18"/>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2" w:name="art60ii"/>
      <w:bookmarkEnd w:id="22"/>
      <w:r>
        <w:rPr>
          <w:rFonts w:cs="Arial" w:ascii="Arial" w:hAnsi="Arial"/>
          <w:iCs/>
        </w:rPr>
        <w:t>Avaliação do desempenho contratual prévio dos licitantes, para a qual deverão preferencialmente ser utilizados registros cadastrais para efeito de atesto de cumprimento de obrigações previstos na Lei nº 14.133/2021;</w:t>
      </w:r>
    </w:p>
    <w:p>
      <w:pPr>
        <w:pStyle w:val="ListParagraph"/>
        <w:widowControl w:val="false"/>
        <w:numPr>
          <w:ilvl w:val="0"/>
          <w:numId w:val="18"/>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3" w:name="art60iv"/>
      <w:bookmarkEnd w:id="23"/>
      <w:r>
        <w:rPr>
          <w:rFonts w:cs="Arial" w:ascii="Arial" w:hAnsi="Arial"/>
          <w:iCs/>
        </w:rPr>
        <w:t>Desenvolvimento pelo licitante de programa de integridade, conforme orientações dos órgãos de controle, quando existir.</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24" w:name="art60§1"/>
      <w:bookmarkStart w:id="25" w:name="art60§1"/>
      <w:bookmarkEnd w:id="25"/>
    </w:p>
    <w:p>
      <w:pPr>
        <w:pStyle w:val="Normal"/>
        <w:tabs>
          <w:tab w:val="clear" w:pos="708"/>
          <w:tab w:val="left" w:pos="567" w:leader="none"/>
        </w:tabs>
        <w:spacing w:lineRule="auto" w:line="240" w:before="0" w:after="0"/>
        <w:jc w:val="both"/>
        <w:rPr/>
      </w:pPr>
      <w:r>
        <w:rPr>
          <w:rFonts w:cs="Arial" w:ascii="Arial" w:hAnsi="Arial"/>
          <w:bCs/>
          <w:iCs/>
        </w:rPr>
        <w:t>14.5.</w:t>
      </w:r>
      <w:r>
        <w:rPr>
          <w:rFonts w:cs="Arial" w:ascii="Arial" w:hAnsi="Arial"/>
          <w:b/>
          <w:iCs/>
        </w:rPr>
        <w:t xml:space="preserve"> </w:t>
      </w:r>
      <w:r>
        <w:rPr>
          <w:rFonts w:cs="Arial" w:ascii="Arial" w:hAnsi="Arial"/>
          <w:iCs/>
          <w:u w:val="single"/>
        </w:rPr>
        <w:t>DIREITO DE PREFERÊNCIA:</w:t>
      </w:r>
      <w:r>
        <w:rPr>
          <w:rFonts w:cs="Arial" w:ascii="Arial" w:hAnsi="Arial"/>
          <w:iCs/>
        </w:rPr>
        <w:t xml:space="preserve"> </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14.5.1.</w:t>
      </w:r>
      <w:r>
        <w:rPr>
          <w:rFonts w:cs="Arial" w:ascii="Arial" w:hAnsi="Arial"/>
          <w:iCs/>
        </w:rPr>
        <w:t xml:space="preserve"> Em igualdade de condições, se não houver desempate, será assegurada preferência, sucessivamente, aos bens e serviços produzidos ou prestados por (art. 60, § 1º da Lei nº 14.133/2021):</w:t>
      </w:r>
    </w:p>
    <w:p>
      <w:pPr>
        <w:pStyle w:val="ListParagraph"/>
        <w:widowControl w:val="false"/>
        <w:numPr>
          <w:ilvl w:val="0"/>
          <w:numId w:val="19"/>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6" w:name="art60§1i"/>
      <w:bookmarkEnd w:id="26"/>
      <w:r>
        <w:rPr>
          <w:rFonts w:cs="Arial" w:ascii="Arial" w:hAnsi="Arial"/>
          <w:iCs/>
        </w:rPr>
        <w:t>Empresas estabelecidas no território do Estado de Santa Catarina;</w:t>
      </w:r>
    </w:p>
    <w:p>
      <w:pPr>
        <w:pStyle w:val="ListParagraph"/>
        <w:widowControl w:val="false"/>
        <w:numPr>
          <w:ilvl w:val="0"/>
          <w:numId w:val="19"/>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7" w:name="art60§1ii"/>
      <w:bookmarkEnd w:id="27"/>
      <w:r>
        <w:rPr>
          <w:rFonts w:cs="Arial" w:ascii="Arial" w:hAnsi="Arial"/>
          <w:iCs/>
        </w:rPr>
        <w:t>Empresas brasileiras;</w:t>
      </w:r>
    </w:p>
    <w:p>
      <w:pPr>
        <w:pStyle w:val="ListParagraph"/>
        <w:widowControl w:val="false"/>
        <w:numPr>
          <w:ilvl w:val="0"/>
          <w:numId w:val="19"/>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8" w:name="art60§1iii"/>
      <w:bookmarkEnd w:id="28"/>
      <w:r>
        <w:rPr>
          <w:rFonts w:cs="Arial" w:ascii="Arial" w:hAnsi="Arial"/>
          <w:iCs/>
        </w:rPr>
        <w:t>Empresas que invistam em pesquisa e no desenvolvimento de tecnologia no País;</w:t>
      </w:r>
    </w:p>
    <w:p>
      <w:pPr>
        <w:pStyle w:val="ListParagraph"/>
        <w:widowControl w:val="false"/>
        <w:numPr>
          <w:ilvl w:val="0"/>
          <w:numId w:val="19"/>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9" w:name="art60§1iv"/>
      <w:bookmarkEnd w:id="29"/>
      <w:r>
        <w:rPr>
          <w:rFonts w:cs="Arial" w:ascii="Arial" w:hAnsi="Arial"/>
          <w:iCs/>
        </w:rPr>
        <w:t>Empresas que comprovem a prática de mitigação, nos termos da Lei nº 12.187, de 29 de dezembro de 2009 (Institui a Política Nacional sobre Mudança do Clima - PNMC e dá outras providências).</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30" w:name="art60§2"/>
      <w:bookmarkStart w:id="31" w:name="art60§2"/>
      <w:bookmarkEnd w:id="31"/>
    </w:p>
    <w:p>
      <w:pPr>
        <w:pStyle w:val="Normal"/>
        <w:tabs>
          <w:tab w:val="clear" w:pos="708"/>
          <w:tab w:val="left" w:pos="567" w:leader="none"/>
        </w:tabs>
        <w:spacing w:lineRule="auto" w:line="240" w:before="0" w:after="0"/>
        <w:jc w:val="both"/>
        <w:rPr/>
      </w:pPr>
      <w:r>
        <w:rPr>
          <w:rFonts w:cs="Arial" w:ascii="Arial" w:hAnsi="Arial"/>
          <w:bCs/>
          <w:iCs/>
        </w:rPr>
        <w:t>14.5.2.</w:t>
      </w:r>
      <w:r>
        <w:rPr>
          <w:rFonts w:cs="Arial" w:ascii="Arial" w:hAnsi="Arial"/>
          <w:iCs/>
        </w:rPr>
        <w:t xml:space="preserve"> Ainda, devem ser aplicadas as regras dos arts. 44 e 45 da Lei Complementar nº 123/2006 (art. 60, § 2º da Lei nº 14.133/2021): se a proposta mais bem classificada não tiver sido apresentada por licitante apto a usufruir dos benefícios da Lei Complementar nº 123/2006 (ver tópico 7) e se houver proposta igual ou até 5% (cinco por cento) superior à proposta mais bem classificada, apresentada por licitante que possa usufruir dos benefícios da Lei Complementar nº 123/2006 (ver tópico 7), se procederá da seguinte forma: </w:t>
      </w:r>
    </w:p>
    <w:p>
      <w:pPr>
        <w:pStyle w:val="ListParagraph"/>
        <w:widowControl w:val="false"/>
        <w:numPr>
          <w:ilvl w:val="0"/>
          <w:numId w:val="20"/>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 xml:space="preserve">O licitante coberto pelos arts. 42 ao 49 da Lei Complementar nº 123/2006 (ver tópico 7) mais bem classificado poderá, no prazo máximo de 5 (cinco) minutos, apresentar proposta de preço inferior à do licitante mais bem classificado e, se atendidas as exigências deste edital, ser adjudicatário; </w:t>
      </w:r>
    </w:p>
    <w:p>
      <w:pPr>
        <w:pStyle w:val="ListParagraph"/>
        <w:widowControl w:val="false"/>
        <w:numPr>
          <w:ilvl w:val="0"/>
          <w:numId w:val="20"/>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Não sendo adjudicatário na forma do subitem anterior, e havendo outros licitantes que se enquadrem na condição prevista no caput deste item, estes serão convocados, na ordem classificatória, para o exercício do mesmo direito;</w:t>
      </w:r>
    </w:p>
    <w:p>
      <w:pPr>
        <w:pStyle w:val="ListParagraph"/>
        <w:widowControl w:val="false"/>
        <w:numPr>
          <w:ilvl w:val="0"/>
          <w:numId w:val="20"/>
        </w:numPr>
        <w:tabs>
          <w:tab w:val="clear" w:pos="708"/>
          <w:tab w:val="left" w:pos="993" w:leader="none"/>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 xml:space="preserve">O convocado que não apresentar proposta dentro do prazo de 5 (cinco) minutos, controlado pelo sistema eletrônico, decairá do direito previsto nos arts. 44 e 45 da Lei Complementar nº 123/2006. </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32" w:name="art61"/>
      <w:bookmarkStart w:id="33" w:name="art61"/>
      <w:bookmarkEnd w:id="33"/>
    </w:p>
    <w:p>
      <w:pPr>
        <w:pStyle w:val="Normal"/>
        <w:tabs>
          <w:tab w:val="clear" w:pos="708"/>
          <w:tab w:val="left" w:pos="567" w:leader="none"/>
        </w:tabs>
        <w:spacing w:lineRule="auto" w:line="240" w:before="0" w:after="0"/>
        <w:jc w:val="both"/>
        <w:rPr/>
      </w:pPr>
      <w:r>
        <w:rPr>
          <w:rFonts w:cs="Arial" w:ascii="Arial" w:hAnsi="Arial"/>
          <w:bCs/>
          <w:iCs/>
        </w:rPr>
        <w:t>14.6.</w:t>
      </w:r>
      <w:r>
        <w:rPr>
          <w:rFonts w:cs="Arial" w:ascii="Arial" w:hAnsi="Arial"/>
          <w:iCs/>
        </w:rPr>
        <w:t xml:space="preserve"> </w:t>
      </w:r>
      <w:r>
        <w:rPr>
          <w:rFonts w:cs="Arial" w:ascii="Arial" w:hAnsi="Arial"/>
          <w:iCs/>
          <w:u w:val="single"/>
        </w:rPr>
        <w:t>NEGOCIAÇÃO:</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14.6.1.</w:t>
      </w:r>
      <w:r>
        <w:rPr>
          <w:rFonts w:cs="Arial" w:ascii="Arial" w:hAnsi="Arial"/>
          <w:b/>
          <w:iCs/>
        </w:rPr>
        <w:t xml:space="preserve"> </w:t>
      </w:r>
      <w:r>
        <w:rPr>
          <w:rFonts w:cs="Arial" w:ascii="Arial" w:hAnsi="Arial"/>
          <w:iCs/>
        </w:rPr>
        <w:t xml:space="preserve">Definido o resultado do julgamento, a Administração Pública Municipal poderá negociar condições mais vantajosas com o primeiro colocado (art. 61, </w:t>
      </w:r>
      <w:r>
        <w:rPr>
          <w:rFonts w:cs="Arial" w:ascii="Arial" w:hAnsi="Arial"/>
          <w:i/>
          <w:iCs/>
        </w:rPr>
        <w:t>caput</w:t>
      </w:r>
      <w:r>
        <w:rPr>
          <w:rFonts w:cs="Arial" w:ascii="Arial" w:hAnsi="Arial"/>
          <w:iCs/>
        </w:rPr>
        <w:t xml:space="preserve"> da Lei nº 14.133/2021).</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34" w:name="art61§1"/>
      <w:bookmarkStart w:id="35" w:name="art61§1"/>
      <w:bookmarkEnd w:id="35"/>
    </w:p>
    <w:p>
      <w:pPr>
        <w:pStyle w:val="Normal"/>
        <w:tabs>
          <w:tab w:val="clear" w:pos="708"/>
          <w:tab w:val="left" w:pos="567" w:leader="none"/>
        </w:tabs>
        <w:spacing w:lineRule="auto" w:line="240" w:before="0" w:after="0"/>
        <w:jc w:val="both"/>
        <w:rPr/>
      </w:pPr>
      <w:r>
        <w:rPr>
          <w:rFonts w:cs="Arial" w:ascii="Arial" w:hAnsi="Arial"/>
          <w:bCs/>
          <w:iCs/>
        </w:rPr>
        <w:t>14.6.2.</w:t>
      </w:r>
      <w:r>
        <w:rPr>
          <w:rFonts w:cs="Arial" w:ascii="Arial" w:hAnsi="Arial"/>
          <w:iCs/>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ormal"/>
        <w:tabs>
          <w:tab w:val="clear" w:pos="708"/>
          <w:tab w:val="left" w:pos="567" w:leader="none"/>
        </w:tabs>
        <w:spacing w:lineRule="auto" w:line="240" w:before="0" w:after="0"/>
        <w:jc w:val="both"/>
        <w:rPr>
          <w:rFonts w:ascii="Arial" w:hAnsi="Arial" w:cs="Arial"/>
          <w:b/>
          <w:b/>
          <w:iCs/>
          <w:color w:val="000000"/>
        </w:rPr>
      </w:pPr>
      <w:r>
        <w:rPr>
          <w:rFonts w:cs="Arial" w:ascii="Arial" w:hAnsi="Arial"/>
          <w:b/>
          <w:iCs/>
          <w:color w:val="000000"/>
        </w:rPr>
      </w:r>
      <w:bookmarkStart w:id="36" w:name="art61§2"/>
      <w:bookmarkStart w:id="37" w:name="art61§2"/>
      <w:bookmarkEnd w:id="37"/>
    </w:p>
    <w:p>
      <w:pPr>
        <w:pStyle w:val="Normal"/>
        <w:tabs>
          <w:tab w:val="clear" w:pos="708"/>
          <w:tab w:val="left" w:pos="567" w:leader="none"/>
        </w:tabs>
        <w:spacing w:lineRule="auto" w:line="240" w:before="0" w:after="0"/>
        <w:jc w:val="both"/>
        <w:rPr/>
      </w:pPr>
      <w:r>
        <w:rPr>
          <w:rFonts w:cs="Arial" w:ascii="Arial" w:hAnsi="Arial"/>
          <w:bCs/>
          <w:iCs/>
          <w:color w:val="000000"/>
        </w:rPr>
        <w:t>14.6.3.</w:t>
      </w:r>
      <w:r>
        <w:rPr>
          <w:rFonts w:cs="Arial" w:ascii="Arial" w:hAnsi="Arial"/>
          <w:iCs/>
          <w:color w:val="000000"/>
        </w:rPr>
        <w:t xml:space="preserve"> A negociação será conduzida pelo </w:t>
      </w:r>
      <w:r>
        <w:rPr>
          <w:rFonts w:cs="Arial" w:ascii="Arial" w:hAnsi="Arial"/>
          <w:b/>
          <w:iCs/>
          <w:color w:val="000000"/>
        </w:rPr>
        <w:t>pregoeiro</w:t>
      </w:r>
      <w:r>
        <w:rPr>
          <w:rFonts w:cs="Arial" w:ascii="Arial" w:hAnsi="Arial"/>
          <w:iCs/>
          <w:color w:val="000000"/>
        </w:rPr>
        <w:t xml:space="preserve">, conforme Decreto nº 0043/2023, </w:t>
      </w:r>
      <w:r>
        <w:rPr>
          <w:rFonts w:cs="Arial" w:ascii="Arial" w:hAnsi="Arial"/>
          <w:color w:val="000000"/>
        </w:rPr>
        <w:t>realizada por meio do sistema eletrônico e poderá ser acompanhada pelos demais licitantes</w:t>
      </w:r>
      <w:r>
        <w:rPr>
          <w:rFonts w:cs="Arial" w:ascii="Arial" w:hAnsi="Arial"/>
          <w:iCs/>
          <w:color w:val="000000"/>
        </w:rPr>
        <w:t>.</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14.7.</w:t>
      </w:r>
      <w:r>
        <w:rPr>
          <w:rFonts w:cs="Arial" w:ascii="Arial" w:hAnsi="Arial"/>
          <w:iCs/>
        </w:rPr>
        <w:t xml:space="preserve"> Se a proposta for desclassificada o </w:t>
      </w:r>
      <w:r>
        <w:rPr>
          <w:rFonts w:cs="Arial" w:ascii="Arial" w:hAnsi="Arial"/>
          <w:b/>
          <w:iCs/>
        </w:rPr>
        <w:t>pregoeiro</w:t>
      </w:r>
      <w:r>
        <w:rPr>
          <w:rFonts w:cs="Arial" w:ascii="Arial" w:hAnsi="Arial"/>
          <w:iCs/>
        </w:rPr>
        <w:t xml:space="preserve"> examinará a proposta subsequente e assim sucessivamente, na ordem de classificação, até a seleção da proposta que melhor atenda a este edital.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15. DA HABILITAÇÃO</w:t>
      </w:r>
    </w:p>
    <w:p>
      <w:pPr>
        <w:pStyle w:val="Normal"/>
        <w:tabs>
          <w:tab w:val="clear" w:pos="708"/>
          <w:tab w:val="left" w:pos="567" w:leader="none"/>
        </w:tabs>
        <w:spacing w:lineRule="auto" w:line="240" w:before="0" w:after="0"/>
        <w:jc w:val="both"/>
        <w:rPr>
          <w:rFonts w:ascii="Arial" w:hAnsi="Arial" w:cs="Arial"/>
          <w:b/>
          <w:b/>
          <w:iCs/>
          <w:color w:val="000000"/>
        </w:rPr>
      </w:pPr>
      <w:r>
        <w:rPr>
          <w:rFonts w:cs="Arial" w:ascii="Arial" w:hAnsi="Arial"/>
          <w:b/>
          <w:iCs/>
          <w:color w:val="000000"/>
        </w:rPr>
      </w:r>
    </w:p>
    <w:p>
      <w:pPr>
        <w:pStyle w:val="Normal"/>
        <w:tabs>
          <w:tab w:val="clear" w:pos="708"/>
          <w:tab w:val="left" w:pos="567" w:leader="none"/>
        </w:tabs>
        <w:spacing w:lineRule="auto" w:line="240" w:before="0" w:after="0"/>
        <w:jc w:val="both"/>
        <w:rPr/>
      </w:pPr>
      <w:r>
        <w:rPr>
          <w:rFonts w:cs="Arial" w:ascii="Arial" w:hAnsi="Arial"/>
          <w:bCs/>
          <w:iCs/>
          <w:color w:val="000000"/>
        </w:rPr>
        <w:t>15.1.</w:t>
      </w:r>
      <w:r>
        <w:rPr>
          <w:rFonts w:cs="Arial" w:ascii="Arial" w:hAnsi="Arial"/>
          <w:iCs/>
          <w:color w:val="000000"/>
        </w:rPr>
        <w:t xml:space="preserve"> Encerrado o julgamento das propostas, será exigido do licitante com a melhor proposta os documentos de habilitação, o qual terá o tempo máximo de 01 (uma) hora para anexar no sistema.</w:t>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iCs/>
          <w:color w:val="000000"/>
        </w:rPr>
      </w:r>
    </w:p>
    <w:p>
      <w:pPr>
        <w:pStyle w:val="Normal"/>
        <w:tabs>
          <w:tab w:val="clear" w:pos="708"/>
          <w:tab w:val="left" w:pos="567" w:leader="none"/>
        </w:tabs>
        <w:spacing w:lineRule="auto" w:line="240" w:before="0" w:after="0"/>
        <w:jc w:val="both"/>
        <w:rPr/>
      </w:pPr>
      <w:r>
        <w:rPr>
          <w:rFonts w:cs="Arial" w:ascii="Arial" w:hAnsi="Arial"/>
          <w:iCs/>
          <w:color w:val="000000"/>
        </w:rPr>
        <w:t>15.1.1. O pregoeiro poderá convocar o licitante para enviar documento digital complementar, no prazo de 04 (quatro) horas, sob pena de não aceitação da proposta.</w:t>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iCs/>
          <w:color w:val="000000"/>
        </w:rPr>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iCs/>
          <w:color w:val="000000"/>
        </w:rPr>
        <w:t>15.1.1.1. O prazo estabelecido poderá ser prorrogado pelo Pregoeiro por solicitação escrita e justificada do licitante, formulada antes de findo o prazo, e formalmente aceita pelo Pregoeiro.</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iCs/>
        </w:rPr>
        <w:t>15.2.</w:t>
      </w:r>
      <w:r>
        <w:rPr>
          <w:rFonts w:cs="Arial" w:ascii="Arial" w:hAnsi="Arial"/>
          <w:iCs/>
        </w:rPr>
        <w:t xml:space="preserve"> O </w:t>
      </w:r>
      <w:r>
        <w:rPr>
          <w:rFonts w:cs="Arial" w:ascii="Arial" w:hAnsi="Arial"/>
          <w:b/>
          <w:iCs/>
        </w:rPr>
        <w:t>pregoeiro</w:t>
      </w:r>
      <w:r>
        <w:rPr>
          <w:rFonts w:cs="Arial" w:ascii="Arial" w:hAnsi="Arial"/>
          <w:iCs/>
        </w:rPr>
        <w:t xml:space="preserve"> poderá consultar sítios oficiais de órgãos e entidades emissores de certidões para verificar as condições de habilitação dos licitantes.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color w:val="000000"/>
        </w:rPr>
        <w:t>15.3.</w:t>
      </w:r>
      <w:r>
        <w:rPr>
          <w:rFonts w:cs="Arial" w:ascii="Arial" w:hAnsi="Arial"/>
          <w:iCs/>
          <w:color w:val="000000"/>
        </w:rPr>
        <w:t xml:space="preserve"> Havendo a necessidade de envio de documentos para a confirmação daqueles exigidos neste edital e já apresentados, ou, ainda, de envio de documentos não juntados mas que comprovem que na data da apresentação da proposta o licitante atendia às condições de aceitabilidade da proposta e de habilitação, o licitante será convocado a encaminhá-los, via sistema eletrônico, no prazo fixado pelo pregoeiro, sob pena inabilitação, prazo durante o qual a sessão não será suspensa. </w:t>
      </w:r>
    </w:p>
    <w:p>
      <w:pPr>
        <w:pStyle w:val="Normal"/>
        <w:tabs>
          <w:tab w:val="clear" w:pos="708"/>
          <w:tab w:val="left" w:pos="567" w:leader="none"/>
        </w:tabs>
        <w:spacing w:lineRule="auto" w:line="240" w:before="0" w:after="0"/>
        <w:jc w:val="both"/>
        <w:rPr>
          <w:rFonts w:ascii="Arial" w:hAnsi="Arial" w:cs="Arial"/>
          <w:color w:val="000000"/>
        </w:rPr>
      </w:pPr>
      <w:r>
        <w:rPr>
          <w:rFonts w:cs="Arial" w:ascii="Arial" w:hAnsi="Arial"/>
          <w:color w:val="000000"/>
        </w:rPr>
      </w:r>
    </w:p>
    <w:p>
      <w:pPr>
        <w:pStyle w:val="Normal"/>
        <w:tabs>
          <w:tab w:val="clear" w:pos="708"/>
          <w:tab w:val="left" w:pos="567" w:leader="none"/>
        </w:tabs>
        <w:spacing w:lineRule="auto" w:line="240" w:before="0" w:after="0"/>
        <w:jc w:val="both"/>
        <w:rPr/>
      </w:pPr>
      <w:r>
        <w:rPr>
          <w:rFonts w:cs="Arial" w:ascii="Arial" w:hAnsi="Arial"/>
          <w:bCs/>
          <w:iCs/>
        </w:rPr>
        <w:t>15.4.</w:t>
      </w:r>
      <w:r>
        <w:rPr>
          <w:rFonts w:cs="Arial" w:ascii="Arial" w:hAnsi="Arial"/>
          <w:iCs/>
        </w:rPr>
        <w:t xml:space="preserve"> Sob pena de inabilitação, os documentos encaminhados deverão estar em nome do licitante, com indicação precisa de dados capazes de qualificar inequivocamente o licitante.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15.5.</w:t>
      </w:r>
      <w:r>
        <w:rPr>
          <w:rFonts w:cs="Arial" w:ascii="Arial" w:hAnsi="Arial"/>
          <w:iCs/>
        </w:rPr>
        <w:t xml:space="preserve"> Em se tratando de filial, os documentos de habilitação jurídica e regularidade fiscal deverão estar em nome da filial, exceto aqueles que, pela própria natureza, são emitidos somente em nome da matriz.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15.6.</w:t>
      </w:r>
      <w:r>
        <w:rPr>
          <w:rFonts w:cs="Arial" w:ascii="Arial" w:hAnsi="Arial"/>
          <w:iCs/>
        </w:rPr>
        <w:t xml:space="preserve"> Em se tratando de licitante indicado no tópico 7,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Municipal.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15.7.</w:t>
      </w:r>
      <w:r>
        <w:rPr>
          <w:rFonts w:cs="Arial" w:ascii="Arial" w:hAnsi="Arial"/>
          <w:iCs/>
        </w:rPr>
        <w:t xml:space="preserve"> A não regularização da documentação no prazo previsto anteriormente, implicará decadência do direito à contratação, sem prejuízo das sanções previstas neste edital, e facultará ao pregoeiro convocar os licitantes remanescentes, na ordem de classificação.</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spacing w:lineRule="auto" w:line="240" w:before="0" w:after="0"/>
        <w:jc w:val="both"/>
        <w:rPr>
          <w:rFonts w:ascii="Arial" w:hAnsi="Arial" w:cs="Arial"/>
          <w:b/>
          <w:b/>
          <w:bCs/>
        </w:rPr>
      </w:pPr>
      <w:r>
        <w:rPr>
          <w:rFonts w:cs="Arial" w:ascii="Arial" w:hAnsi="Arial"/>
          <w:b/>
          <w:bCs/>
        </w:rPr>
        <w:t>15.8. PESSOA JURÍDICA:</w:t>
      </w:r>
    </w:p>
    <w:p>
      <w:pPr>
        <w:pStyle w:val="Normal"/>
        <w:spacing w:lineRule="auto" w:line="240" w:before="0" w:after="0"/>
        <w:jc w:val="both"/>
        <w:rPr>
          <w:rFonts w:ascii="Arial" w:hAnsi="Arial" w:cs="Arial"/>
        </w:rPr>
      </w:pPr>
      <w:r>
        <w:rPr>
          <w:rFonts w:cs="Arial" w:ascii="Arial" w:hAnsi="Arial"/>
        </w:rPr>
      </w:r>
    </w:p>
    <w:p>
      <w:pPr>
        <w:pStyle w:val="ListParagraph"/>
        <w:spacing w:lineRule="auto" w:line="240" w:before="0" w:after="0"/>
        <w:contextualSpacing/>
        <w:jc w:val="both"/>
        <w:rPr/>
      </w:pPr>
      <w:r>
        <w:rPr>
          <w:rFonts w:cs="Arial" w:ascii="Arial" w:hAnsi="Arial"/>
        </w:rPr>
        <w:t xml:space="preserve">15.8.1. </w:t>
      </w:r>
      <w:r>
        <w:rPr>
          <w:rFonts w:cs="Arial" w:ascii="Arial" w:hAnsi="Arial"/>
          <w:b/>
          <w:bCs/>
          <w:u w:val="single"/>
        </w:rPr>
        <w:t>Declaração</w:t>
      </w:r>
      <w:r>
        <w:rPr>
          <w:rFonts w:cs="Arial" w:ascii="Arial" w:hAnsi="Arial"/>
        </w:rPr>
        <w:t xml:space="preserve"> de que atende aos requisitos de habilitação, que responderá pela veracidade das informações prestadas, na forma da lei, que tomou conhecimento de todas as informações e das condições locais para o cumprimento das obrigações objeto da licitação e de que os documentos apresentados de origem não eletrônica conferem com os seus respectivos originais, – ANEXO VII; Em caso de declaração falsa, o proponente ficará sujeito às sanções administrativas, civis e penais aplicáveis, nos termos do que dispõe o art. 3°, § 2° da Lei Federal n° 13.726/2018.  </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contextualSpacing/>
        <w:jc w:val="both"/>
        <w:rPr/>
      </w:pPr>
      <w:r>
        <w:rPr>
          <w:rFonts w:cs="Arial" w:ascii="Arial" w:hAnsi="Arial"/>
        </w:rPr>
        <w:t xml:space="preserve">15.8.2. </w:t>
      </w:r>
      <w:r>
        <w:rPr>
          <w:rFonts w:cs="Arial" w:ascii="Arial" w:hAnsi="Arial"/>
          <w:b/>
          <w:bCs/>
          <w:u w:val="single"/>
        </w:rPr>
        <w:t>Declaração</w:t>
      </w:r>
      <w:r>
        <w:rPr>
          <w:rFonts w:cs="Arial" w:ascii="Arial" w:hAnsi="Arial"/>
        </w:rPr>
        <w:t xml:space="preserve"> de que cumpre as exigências de reserva de cargos para pessoa com deficiência e para reabilitado da Previdência Social, previstas em lei e em outras normas específicas – ANEXO VIII;</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contextualSpacing/>
        <w:jc w:val="both"/>
        <w:rPr/>
      </w:pPr>
      <w:r>
        <w:rPr>
          <w:rFonts w:cs="Arial" w:ascii="Arial" w:hAnsi="Arial"/>
        </w:rPr>
        <w:t xml:space="preserve">15.8.3. </w:t>
      </w:r>
      <w:r>
        <w:rPr>
          <w:rFonts w:cs="Arial" w:ascii="Arial" w:hAnsi="Arial"/>
          <w:b/>
          <w:bCs/>
          <w:u w:val="single"/>
        </w:rPr>
        <w:t>Declaração</w:t>
      </w:r>
      <w:r>
        <w:rPr>
          <w:rFonts w:cs="Arial" w:ascii="Arial" w:hAnsi="Arial"/>
        </w:rPr>
        <w:t xml:space="preserve"> que não incorre nos impedimentos - (ANEXO III).</w:t>
      </w:r>
    </w:p>
    <w:p>
      <w:pPr>
        <w:pStyle w:val="ListParagraph"/>
        <w:spacing w:lineRule="auto" w:line="240" w:before="0" w:after="0"/>
        <w:contextualSpacing/>
        <w:jc w:val="both"/>
        <w:rPr>
          <w:rFonts w:ascii="Arial" w:hAnsi="Arial" w:cs="Arial"/>
        </w:rPr>
      </w:pPr>
      <w:r>
        <w:rPr>
          <w:rFonts w:cs="Arial" w:ascii="Arial" w:hAnsi="Arial"/>
        </w:rPr>
      </w:r>
    </w:p>
    <w:p>
      <w:pPr>
        <w:pStyle w:val="Normal"/>
        <w:widowControl w:val="false"/>
        <w:tabs>
          <w:tab w:val="clear" w:pos="708"/>
          <w:tab w:val="left" w:pos="567" w:leader="none"/>
        </w:tabs>
        <w:spacing w:lineRule="auto" w:line="240" w:before="0" w:after="0"/>
        <w:ind w:left="720" w:hanging="0"/>
        <w:jc w:val="both"/>
        <w:textAlignment w:val="baseline"/>
        <w:rPr/>
      </w:pPr>
      <w:r>
        <w:rPr>
          <w:rFonts w:eastAsia="Times New Roman" w:cs="Arial" w:ascii="Arial" w:hAnsi="Arial"/>
          <w:iCs/>
          <w:lang w:eastAsia="pt-BR"/>
        </w:rPr>
        <w:t xml:space="preserve">15.8.4. </w:t>
      </w:r>
      <w:r>
        <w:rPr>
          <w:rFonts w:eastAsia="Times New Roman" w:cs="Arial" w:ascii="Arial" w:hAnsi="Arial"/>
          <w:b/>
          <w:bCs/>
          <w:iCs/>
          <w:u w:val="single"/>
          <w:lang w:eastAsia="pt-BR"/>
        </w:rPr>
        <w:t>Declaração</w:t>
      </w:r>
      <w:r>
        <w:rPr>
          <w:rFonts w:eastAsia="Times New Roman" w:cs="Arial" w:ascii="Arial" w:hAnsi="Arial"/>
          <w:iCs/>
          <w:lang w:eastAsia="pt-BR"/>
        </w:rPr>
        <w:t xml:space="preserve">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IV).</w:t>
      </w:r>
    </w:p>
    <w:p>
      <w:pPr>
        <w:pStyle w:val="Normal"/>
        <w:widowControl w:val="false"/>
        <w:tabs>
          <w:tab w:val="clear" w:pos="708"/>
          <w:tab w:val="left" w:pos="567" w:leader="none"/>
        </w:tabs>
        <w:spacing w:lineRule="auto" w:line="240" w:before="0" w:after="0"/>
        <w:ind w:left="720" w:hanging="0"/>
        <w:jc w:val="both"/>
        <w:textAlignment w:val="baseline"/>
        <w:rPr>
          <w:rFonts w:ascii="Arial" w:hAnsi="Arial" w:eastAsia="Times New Roman" w:cs="Arial"/>
          <w:iCs/>
          <w:lang w:eastAsia="pt-BR"/>
        </w:rPr>
      </w:pPr>
      <w:r>
        <w:rPr>
          <w:rFonts w:eastAsia="Times New Roman" w:cs="Arial" w:ascii="Arial" w:hAnsi="Arial"/>
          <w:iCs/>
          <w:lang w:eastAsia="pt-BR"/>
        </w:rPr>
      </w:r>
    </w:p>
    <w:p>
      <w:pPr>
        <w:pStyle w:val="Normal"/>
        <w:widowControl w:val="false"/>
        <w:tabs>
          <w:tab w:val="clear" w:pos="708"/>
          <w:tab w:val="left" w:pos="567" w:leader="none"/>
        </w:tabs>
        <w:spacing w:lineRule="auto" w:line="240" w:before="0" w:after="0"/>
        <w:ind w:left="720" w:hanging="0"/>
        <w:jc w:val="both"/>
        <w:textAlignment w:val="baseline"/>
        <w:rPr/>
      </w:pPr>
      <w:r>
        <w:rPr>
          <w:rFonts w:eastAsia="Times New Roman" w:cs="Arial" w:ascii="Arial" w:hAnsi="Arial"/>
          <w:iCs/>
          <w:lang w:eastAsia="pt-BR"/>
        </w:rPr>
        <w:t>15.8.5. Para obtenção dos benefícios, conforme art. 4º, § 2º da Lei nº 14.133/2021, o licitante</w:t>
      </w:r>
      <w:r>
        <w:rPr>
          <w:rFonts w:eastAsia="Times New Roman" w:cs="Arial" w:ascii="Arial" w:hAnsi="Arial"/>
          <w:iCs/>
          <w:u w:val="single"/>
          <w:lang w:eastAsia="pt-BR"/>
        </w:rPr>
        <w:t xml:space="preserve"> </w:t>
      </w:r>
      <w:r>
        <w:rPr>
          <w:rFonts w:eastAsia="Times New Roman" w:cs="Arial" w:ascii="Arial" w:hAnsi="Arial"/>
          <w:b/>
          <w:bCs/>
          <w:iCs/>
          <w:u w:val="single"/>
          <w:lang w:eastAsia="pt-BR"/>
        </w:rPr>
        <w:t>deverá apresentar declaração</w:t>
      </w:r>
      <w:r>
        <w:rPr>
          <w:rFonts w:eastAsia="Times New Roman" w:cs="Arial" w:ascii="Arial" w:hAnsi="Arial"/>
          <w:iCs/>
          <w:u w:val="single"/>
          <w:lang w:eastAsia="pt-BR"/>
        </w:rPr>
        <w:t xml:space="preserve"> </w:t>
      </w:r>
      <w:r>
        <w:rPr>
          <w:rFonts w:eastAsia="Times New Roman" w:cs="Arial" w:ascii="Arial" w:hAnsi="Arial"/>
          <w:iCs/>
          <w:lang w:eastAsia="pt-BR"/>
        </w:rPr>
        <w:t>(ANEXO V) que, no ano-calendário de realização da licitação, ainda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w:t>
      </w:r>
    </w:p>
    <w:p>
      <w:pPr>
        <w:pStyle w:val="Normal"/>
        <w:widowControl w:val="false"/>
        <w:tabs>
          <w:tab w:val="clear" w:pos="708"/>
          <w:tab w:val="left" w:pos="567" w:leader="none"/>
        </w:tabs>
        <w:spacing w:lineRule="auto" w:line="240" w:before="0" w:after="0"/>
        <w:ind w:left="720" w:hanging="0"/>
        <w:jc w:val="both"/>
        <w:textAlignment w:val="baseline"/>
        <w:rPr>
          <w:rFonts w:ascii="Arial" w:hAnsi="Arial" w:eastAsia="Times New Roman" w:cs="Arial"/>
          <w:iCs/>
          <w:lang w:eastAsia="pt-BR"/>
        </w:rPr>
      </w:pPr>
      <w:r>
        <w:rPr>
          <w:rFonts w:eastAsia="Times New Roman" w:cs="Arial" w:ascii="Arial" w:hAnsi="Arial"/>
          <w:iCs/>
          <w:lang w:eastAsia="pt-BR"/>
        </w:rPr>
      </w:r>
    </w:p>
    <w:p>
      <w:pPr>
        <w:pStyle w:val="ListParagraph"/>
        <w:spacing w:lineRule="auto" w:line="240" w:before="0" w:after="0"/>
        <w:ind w:left="0" w:hanging="0"/>
        <w:contextualSpacing/>
        <w:jc w:val="both"/>
        <w:rPr>
          <w:rFonts w:ascii="Arial" w:hAnsi="Arial" w:cs="Arial"/>
          <w:b/>
          <w:b/>
          <w:bCs/>
        </w:rPr>
      </w:pPr>
      <w:r>
        <w:rPr>
          <w:rFonts w:cs="Arial" w:ascii="Arial" w:hAnsi="Arial"/>
          <w:b/>
          <w:bCs/>
        </w:rPr>
        <w:t>15.8.6. HABILITAÇÃO JURÍDICA:</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ind w:left="709" w:hanging="0"/>
        <w:contextualSpacing/>
        <w:jc w:val="both"/>
        <w:rPr>
          <w:rFonts w:ascii="Arial" w:hAnsi="Arial" w:cs="Arial"/>
        </w:rPr>
      </w:pPr>
      <w:r>
        <w:rPr>
          <w:rFonts w:cs="Arial" w:ascii="Arial" w:hAnsi="Arial"/>
        </w:rPr>
        <w:t>15.8.6.1. Comprovação de existência jurídica da pessoa, através de ato constitutivo, estatuto ou contrato social em vigor, devidamente registrado, em se tratando de sociedades comerciais, e, no caso de sociedades por ações, acompanhado de documentos de eleição de seus administradores, com a comprovação da publicação na imprensa da ata arquivada, bem como das respectivas alterações, caso existam;</w:t>
      </w:r>
    </w:p>
    <w:p>
      <w:pPr>
        <w:pStyle w:val="ListParagraph"/>
        <w:spacing w:lineRule="auto" w:line="240" w:before="0" w:after="0"/>
        <w:ind w:left="709" w:hanging="0"/>
        <w:contextualSpacing/>
        <w:jc w:val="both"/>
        <w:rPr>
          <w:rFonts w:ascii="Arial" w:hAnsi="Arial" w:cs="Arial"/>
        </w:rPr>
      </w:pPr>
      <w:r>
        <w:rPr>
          <w:rFonts w:cs="Arial" w:ascii="Arial" w:hAnsi="Arial"/>
        </w:rPr>
      </w:r>
    </w:p>
    <w:p>
      <w:pPr>
        <w:pStyle w:val="ListParagraph"/>
        <w:spacing w:lineRule="auto" w:line="240" w:before="0" w:after="0"/>
        <w:ind w:left="709" w:hanging="0"/>
        <w:contextualSpacing/>
        <w:jc w:val="both"/>
        <w:rPr>
          <w:rFonts w:ascii="Arial" w:hAnsi="Arial" w:cs="Arial"/>
        </w:rPr>
      </w:pPr>
      <w:r>
        <w:rPr>
          <w:rFonts w:cs="Arial" w:ascii="Arial" w:hAnsi="Arial"/>
        </w:rPr>
        <w:t>15.8.6.2. Quando cabível, de autorização para o exercício da atividade a ser contratada.</w:t>
      </w:r>
    </w:p>
    <w:p>
      <w:pPr>
        <w:pStyle w:val="ListParagraph"/>
        <w:spacing w:lineRule="auto" w:line="240" w:before="0" w:after="0"/>
        <w:ind w:left="709" w:hanging="0"/>
        <w:contextualSpacing/>
        <w:jc w:val="both"/>
        <w:rPr>
          <w:rFonts w:ascii="Arial" w:hAnsi="Arial" w:cs="Arial"/>
        </w:rPr>
      </w:pPr>
      <w:r>
        <w:rPr>
          <w:rFonts w:cs="Arial" w:ascii="Arial" w:hAnsi="Arial"/>
        </w:rPr>
      </w:r>
    </w:p>
    <w:p>
      <w:pPr>
        <w:pStyle w:val="ListParagraph"/>
        <w:spacing w:lineRule="auto" w:line="240" w:before="0" w:after="0"/>
        <w:ind w:left="709" w:hanging="0"/>
        <w:contextualSpacing/>
        <w:jc w:val="both"/>
        <w:rPr>
          <w:rFonts w:ascii="Arial" w:hAnsi="Arial" w:cs="Arial"/>
        </w:rPr>
      </w:pPr>
      <w:r>
        <w:rPr>
          <w:rFonts w:cs="Arial" w:ascii="Arial" w:hAnsi="Arial"/>
        </w:rPr>
        <w:t>15.8.6.3. Documento do representante legal com foto.</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0" w:hanging="0"/>
        <w:contextualSpacing/>
        <w:jc w:val="both"/>
        <w:rPr>
          <w:rFonts w:ascii="Arial" w:hAnsi="Arial" w:cs="Arial"/>
          <w:b/>
          <w:b/>
          <w:bCs/>
        </w:rPr>
      </w:pPr>
      <w:r>
        <w:rPr>
          <w:rFonts w:cs="Arial" w:ascii="Arial" w:hAnsi="Arial"/>
          <w:b/>
          <w:bCs/>
        </w:rPr>
        <w:t>15.8.7. HABILITAÇÃO FISCAL, SOCIAL E TRABALHISTA:</w:t>
      </w:r>
    </w:p>
    <w:p>
      <w:pPr>
        <w:pStyle w:val="ListParagraph"/>
        <w:spacing w:lineRule="auto" w:line="240" w:before="0" w:after="0"/>
        <w:ind w:left="2160"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15.8.7.1. Inscrição no Cadastro Nacional da Pessoa Jurídica (CNPJ);</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pPr>
      <w:r>
        <w:rPr>
          <w:rFonts w:cs="Arial" w:ascii="Arial" w:hAnsi="Arial"/>
        </w:rPr>
        <w:t xml:space="preserve">15.8.7.2. Inscrição no cadastro de contribuintes estadual e/ou municipal, </w:t>
      </w:r>
      <w:r>
        <w:rPr>
          <w:rFonts w:cs="Arial" w:ascii="Arial" w:hAnsi="Arial"/>
          <w:u w:val="single"/>
        </w:rPr>
        <w:t>se houver</w:t>
      </w:r>
      <w:r>
        <w:rPr>
          <w:rFonts w:cs="Arial" w:ascii="Arial" w:hAnsi="Arial"/>
        </w:rPr>
        <w:t>, relativo ao domicílio ou sede do licitante, pertinente ao seu ramo de atividade e compatível com o objeto contratual;</w:t>
      </w:r>
    </w:p>
    <w:p>
      <w:pPr>
        <w:pStyle w:val="ListParagraph"/>
        <w:spacing w:lineRule="auto" w:line="240" w:before="0" w:after="0"/>
        <w:ind w:left="851" w:hanging="0"/>
        <w:contextualSpacing/>
        <w:jc w:val="both"/>
        <w:rPr/>
      </w:pPr>
      <w:r>
        <w:rPr/>
      </w:r>
    </w:p>
    <w:p>
      <w:pPr>
        <w:pStyle w:val="ListParagraph"/>
        <w:spacing w:lineRule="auto" w:line="240" w:before="0" w:after="0"/>
        <w:ind w:left="851" w:hanging="0"/>
        <w:contextualSpacing/>
        <w:jc w:val="both"/>
        <w:rPr/>
      </w:pPr>
      <w:r>
        <w:rPr>
          <w:rFonts w:cs="Arial" w:ascii="Arial" w:hAnsi="Arial"/>
        </w:rPr>
        <w:t xml:space="preserve">15.8.7.3. Regularidade perante a Fazenda </w:t>
      </w:r>
      <w:r>
        <w:rPr>
          <w:rFonts w:cs="Arial" w:ascii="Arial" w:hAnsi="Arial"/>
          <w:u w:val="single"/>
        </w:rPr>
        <w:t>Federal;</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pPr>
      <w:r>
        <w:rPr>
          <w:rFonts w:cs="Arial" w:ascii="Arial" w:hAnsi="Arial"/>
        </w:rPr>
        <w:t xml:space="preserve">15.8.7.3.1. Regularidade perante a Fazenda </w:t>
      </w:r>
      <w:r>
        <w:rPr>
          <w:rFonts w:cs="Arial" w:ascii="Arial" w:hAnsi="Arial"/>
          <w:u w:val="single"/>
        </w:rPr>
        <w:t>Estadual</w:t>
      </w:r>
      <w:r>
        <w:rPr>
          <w:rFonts w:cs="Arial" w:ascii="Arial" w:hAnsi="Arial"/>
        </w:rPr>
        <w:t>;</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pPr>
      <w:r>
        <w:rPr>
          <w:rFonts w:cs="Arial" w:ascii="Arial" w:hAnsi="Arial"/>
        </w:rPr>
        <w:t xml:space="preserve">15.8.7.3.2. Regularidade perante a Fazenda </w:t>
      </w:r>
      <w:r>
        <w:rPr>
          <w:rFonts w:cs="Arial" w:ascii="Arial" w:hAnsi="Arial"/>
          <w:u w:val="single"/>
        </w:rPr>
        <w:t>Municipal</w:t>
      </w:r>
      <w:r>
        <w:rPr>
          <w:rFonts w:cs="Arial" w:ascii="Arial" w:hAnsi="Arial"/>
        </w:rPr>
        <w:t>, relativa ao Munic</w:t>
      </w:r>
      <w:r>
        <w:rPr>
          <w:rFonts w:ascii="Arial" w:hAnsi="Arial"/>
        </w:rPr>
        <w:t>ípio da sede do licitante</w:t>
      </w:r>
      <w:r>
        <w:rPr>
          <w:rFonts w:cs="Arial" w:ascii="Arial" w:hAnsi="Arial"/>
        </w:rPr>
        <w:t>;</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15.8.7.4. Regularidade relativa à Seguridade Social e ao FGTS, que demonstre cumprimento dos encargos sociais instituídos por lei;</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15.8.7.5. Regularidade perante a Justiça do Trabalho (certidão negativa de débitos trabalhistas);</w:t>
      </w:r>
    </w:p>
    <w:p>
      <w:pPr>
        <w:pStyle w:val="ListParagraph"/>
        <w:spacing w:lineRule="auto" w:line="240" w:before="0" w:after="0"/>
        <w:ind w:left="1440"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pPr>
      <w:r>
        <w:rPr>
          <w:rFonts w:cs="Arial" w:ascii="Arial" w:hAnsi="Arial"/>
        </w:rPr>
        <w:t xml:space="preserve">15.8.7.6. </w:t>
      </w:r>
      <w:r>
        <w:rPr>
          <w:rFonts w:cs="Arial" w:ascii="Arial" w:hAnsi="Arial"/>
          <w:b/>
          <w:bCs/>
          <w:u w:val="single"/>
        </w:rPr>
        <w:t>Declaração</w:t>
      </w:r>
      <w:r>
        <w:rPr>
          <w:rFonts w:cs="Arial" w:ascii="Arial" w:hAnsi="Arial"/>
        </w:rPr>
        <w:t xml:space="preserve"> de cumprimento do disposto no inciso XXXIII do art. 7º da Constituição Federal.</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contextualSpacing/>
        <w:jc w:val="both"/>
        <w:rPr/>
      </w:pPr>
      <w:r>
        <w:rPr>
          <w:rFonts w:cs="Arial" w:ascii="Arial" w:hAnsi="Arial"/>
          <w:b/>
          <w:bCs/>
        </w:rPr>
        <w:t>Observação:</w:t>
      </w:r>
      <w:r>
        <w:rPr>
          <w:rFonts w:cs="Arial" w:ascii="Arial" w:hAnsi="Arial"/>
        </w:rPr>
        <w:t xml:space="preserve"> Os documentos poderão ser substituídos ou supridos, no todo ou em parte, por outros meios hábeis a comprovar a regularidade do licitante, inclusive por meio eletrônico.</w:t>
      </w:r>
    </w:p>
    <w:p>
      <w:pPr>
        <w:pStyle w:val="ListParagraph"/>
        <w:spacing w:lineRule="auto" w:line="240" w:before="0" w:after="0"/>
        <w:ind w:left="2160" w:hanging="0"/>
        <w:contextualSpacing/>
        <w:jc w:val="both"/>
        <w:rPr>
          <w:rFonts w:ascii="Arial" w:hAnsi="Arial" w:cs="Arial"/>
        </w:rPr>
      </w:pPr>
      <w:r>
        <w:rPr>
          <w:rFonts w:cs="Arial" w:ascii="Arial" w:hAnsi="Arial"/>
        </w:rPr>
      </w:r>
    </w:p>
    <w:p>
      <w:pPr>
        <w:pStyle w:val="ListParagraph"/>
        <w:spacing w:lineRule="auto" w:line="240" w:before="0" w:after="0"/>
        <w:ind w:left="0" w:hanging="0"/>
        <w:contextualSpacing/>
        <w:jc w:val="both"/>
        <w:rPr>
          <w:rFonts w:ascii="Arial" w:hAnsi="Arial" w:cs="Arial"/>
          <w:b/>
          <w:b/>
          <w:bCs/>
        </w:rPr>
      </w:pPr>
      <w:r>
        <w:rPr>
          <w:rFonts w:cs="Arial" w:ascii="Arial" w:hAnsi="Arial"/>
          <w:b/>
          <w:bCs/>
        </w:rPr>
        <w:t>15.8.8. HABILITAÇÃO ECONÔMICO-FINANCEIRA:</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15.8.8.1. Certidão negativa de feitos sobre falência expedida pelo distribuidor da sede do licitante;</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15.9.</w:t>
      </w:r>
      <w:r>
        <w:rPr>
          <w:rFonts w:cs="Arial" w:ascii="Arial" w:hAnsi="Arial"/>
          <w:iCs/>
        </w:rPr>
        <w:t xml:space="preserve"> Se o licitante não atender às exigências de habilitação, o pregoeiro examinará a proposta subsequente e assim sucessivamente, na ordem de classificação, até a seleção da proposta que melhor atenda a este edital.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15.10.</w:t>
      </w:r>
      <w:r>
        <w:rPr>
          <w:rFonts w:cs="Arial" w:ascii="Arial" w:hAnsi="Arial"/>
          <w:iCs/>
        </w:rPr>
        <w:t xml:space="preserve"> Constatado o atendimento às exigências fixadas neste edital, o licitante será declarado o vencedor.</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16. DOS RECURSOS E PEDIDOS DE RECONSIDERAÇÃO</w:t>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1134" w:leader="none"/>
        </w:tabs>
        <w:spacing w:lineRule="auto" w:line="240" w:before="0" w:after="0"/>
        <w:jc w:val="both"/>
        <w:rPr/>
      </w:pPr>
      <w:r>
        <w:rPr>
          <w:rFonts w:cs="Arial" w:ascii="Arial" w:hAnsi="Arial"/>
          <w:bCs/>
          <w:iCs/>
        </w:rPr>
        <w:t>16.1.</w:t>
      </w:r>
      <w:r>
        <w:rPr>
          <w:rFonts w:cs="Arial" w:ascii="Arial" w:hAnsi="Arial"/>
          <w:iCs/>
        </w:rPr>
        <w:t xml:space="preserve"> </w:t>
      </w:r>
      <w:r>
        <w:rPr>
          <w:rFonts w:cs="Arial" w:ascii="Arial" w:hAnsi="Arial"/>
        </w:rPr>
        <w:t>Cabe</w:t>
      </w:r>
      <w:bookmarkStart w:id="38" w:name="art165i"/>
      <w:bookmarkEnd w:id="38"/>
      <w:r>
        <w:rPr>
          <w:rFonts w:cs="Arial" w:ascii="Arial" w:hAnsi="Arial"/>
        </w:rPr>
        <w:t xml:space="preserve"> recurso, no prazo de 03 (três) dias úteis, contado da data de intimação ou de lavratura da ata, em face de (art. 165, I da Lei nº 14.133/2021):</w:t>
      </w:r>
    </w:p>
    <w:p>
      <w:pPr>
        <w:pStyle w:val="ListParagraph"/>
        <w:numPr>
          <w:ilvl w:val="0"/>
          <w:numId w:val="21"/>
        </w:numPr>
        <w:tabs>
          <w:tab w:val="clear" w:pos="708"/>
          <w:tab w:val="left" w:pos="1134" w:leader="none"/>
        </w:tabs>
        <w:spacing w:lineRule="auto" w:line="240" w:before="0" w:after="0"/>
        <w:ind w:left="567" w:hanging="0"/>
        <w:contextualSpacing/>
        <w:jc w:val="both"/>
        <w:rPr>
          <w:rFonts w:ascii="Arial" w:hAnsi="Arial" w:cs="Arial"/>
        </w:rPr>
      </w:pPr>
      <w:bookmarkStart w:id="39" w:name="art165ib"/>
      <w:bookmarkStart w:id="40" w:name="art165ia"/>
      <w:bookmarkEnd w:id="39"/>
      <w:bookmarkEnd w:id="40"/>
      <w:r>
        <w:rPr>
          <w:rFonts w:cs="Arial" w:ascii="Arial" w:hAnsi="Arial"/>
        </w:rPr>
        <w:t>Julgamento das propostas;</w:t>
      </w:r>
    </w:p>
    <w:p>
      <w:pPr>
        <w:pStyle w:val="ListParagraph"/>
        <w:numPr>
          <w:ilvl w:val="0"/>
          <w:numId w:val="21"/>
        </w:numPr>
        <w:tabs>
          <w:tab w:val="clear" w:pos="708"/>
          <w:tab w:val="left" w:pos="1134" w:leader="none"/>
        </w:tabs>
        <w:spacing w:lineRule="auto" w:line="240" w:before="0" w:after="0"/>
        <w:ind w:left="567" w:hanging="0"/>
        <w:contextualSpacing/>
        <w:jc w:val="both"/>
        <w:rPr>
          <w:rFonts w:ascii="Arial" w:hAnsi="Arial" w:cs="Arial"/>
        </w:rPr>
      </w:pPr>
      <w:bookmarkStart w:id="41" w:name="art165ic"/>
      <w:bookmarkEnd w:id="41"/>
      <w:r>
        <w:rPr>
          <w:rFonts w:cs="Arial" w:ascii="Arial" w:hAnsi="Arial"/>
        </w:rPr>
        <w:t>Ato de habilitação ou inabilitação de licitante;</w:t>
      </w:r>
    </w:p>
    <w:p>
      <w:pPr>
        <w:pStyle w:val="ListParagraph"/>
        <w:numPr>
          <w:ilvl w:val="0"/>
          <w:numId w:val="21"/>
        </w:numPr>
        <w:tabs>
          <w:tab w:val="clear" w:pos="708"/>
          <w:tab w:val="left" w:pos="1134" w:leader="none"/>
        </w:tabs>
        <w:spacing w:lineRule="auto" w:line="240" w:before="0" w:after="0"/>
        <w:ind w:left="567" w:hanging="0"/>
        <w:contextualSpacing/>
        <w:jc w:val="both"/>
        <w:rPr>
          <w:rFonts w:ascii="Arial" w:hAnsi="Arial" w:cs="Arial"/>
        </w:rPr>
      </w:pPr>
      <w:bookmarkStart w:id="42" w:name="art165id"/>
      <w:bookmarkEnd w:id="42"/>
      <w:r>
        <w:rPr>
          <w:rFonts w:cs="Arial" w:ascii="Arial" w:hAnsi="Arial"/>
        </w:rPr>
        <w:t>Anulação ou revogação da licitação;</w:t>
      </w:r>
    </w:p>
    <w:p>
      <w:pPr>
        <w:pStyle w:val="ListParagraph"/>
        <w:numPr>
          <w:ilvl w:val="0"/>
          <w:numId w:val="21"/>
        </w:numPr>
        <w:tabs>
          <w:tab w:val="clear" w:pos="708"/>
          <w:tab w:val="left" w:pos="1134" w:leader="none"/>
        </w:tabs>
        <w:spacing w:lineRule="auto" w:line="240" w:before="0" w:after="0"/>
        <w:ind w:left="567" w:hanging="0"/>
        <w:contextualSpacing/>
        <w:jc w:val="both"/>
        <w:rPr>
          <w:rFonts w:ascii="Arial" w:hAnsi="Arial" w:cs="Arial"/>
        </w:rPr>
      </w:pPr>
      <w:bookmarkStart w:id="43" w:name="art165ie"/>
      <w:bookmarkEnd w:id="43"/>
      <w:r>
        <w:rPr>
          <w:rFonts w:cs="Arial" w:ascii="Arial" w:hAnsi="Arial"/>
        </w:rPr>
        <w:t>Extinção do contrato, quando determinada por ato unilateral e escrito da Administração.</w:t>
      </w:r>
    </w:p>
    <w:p>
      <w:pPr>
        <w:pStyle w:val="ListParagraph"/>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16.2.</w:t>
      </w:r>
      <w:r>
        <w:rPr>
          <w:rFonts w:cs="Arial" w:ascii="Arial" w:hAnsi="Arial"/>
        </w:rPr>
        <w:t xml:space="preserve"> Se apresentado recurso em virtude do disposto nas letras “a” e “b” do item anterior, serão observadas as seguintes disposições:</w:t>
      </w:r>
    </w:p>
    <w:p>
      <w:pPr>
        <w:pStyle w:val="ListParagraph"/>
        <w:numPr>
          <w:ilvl w:val="0"/>
          <w:numId w:val="22"/>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intenção de recorrer deverá ser manifestada imediatamente, sob pena de preclusão, e o prazo para apresentação das razões recursais será iniciado na data de intimação ou de lavratura da ata de habilitação ou inabilitação ou, na hipótese de adoção da inversão de fases prevista no § 1º do art. 17 da Lei nº 14.133/2021, da ata de julgamento;</w:t>
      </w:r>
    </w:p>
    <w:p>
      <w:pPr>
        <w:pStyle w:val="ListParagraph"/>
        <w:numPr>
          <w:ilvl w:val="0"/>
          <w:numId w:val="22"/>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apreciação dar-se-á em fase única.</w:t>
      </w:r>
      <w:bookmarkStart w:id="44" w:name="art165ii"/>
      <w:bookmarkEnd w:id="44"/>
    </w:p>
    <w:p>
      <w:pPr>
        <w:pStyle w:val="ListParagraph"/>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16.3.</w:t>
      </w:r>
      <w:r>
        <w:rPr>
          <w:rFonts w:cs="Arial" w:ascii="Arial" w:hAnsi="Arial"/>
        </w:rPr>
        <w:t xml:space="preserve"> O recurso será dirigido à autoridade que tiver editado o ato ou proferido a decisão recorrida.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16.4.</w:t>
      </w:r>
      <w:r>
        <w:rPr>
          <w:rFonts w:cs="Arial" w:ascii="Arial" w:hAnsi="Arial"/>
        </w:rPr>
        <w:t xml:space="preserve"> Apresentado recurso, será aberto prazo para apresentação de contrarrazões, será o mesmo do recurso – 03 (três) dias úteis – e terá início na data de intimação pessoal ou de divulgação da interposição do recurso.</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16.5.</w:t>
      </w:r>
      <w:r>
        <w:rPr>
          <w:rFonts w:cs="Arial" w:ascii="Arial" w:hAnsi="Arial"/>
        </w:rPr>
        <w:t xml:space="preserve"> Será assegurado ao licitante vista dos elementos indispensáveis à defesa de seus interesses.</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16.6.</w:t>
      </w:r>
      <w:r>
        <w:rPr>
          <w:rFonts w:cs="Arial" w:ascii="Arial" w:hAnsi="Arial"/>
        </w:rPr>
        <w:t xml:space="preserve"> Apresentadas as contrarrazões ou findo o prazo para apresentação destas, a autoridade que tiver editado o ato ou proferido a decisão recorrida terá prazo de 3 (três) dias úteis para apreciar o recurso e as contrarrazões.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16.6.1.</w:t>
      </w:r>
      <w:r>
        <w:rPr>
          <w:rFonts w:cs="Arial" w:ascii="Arial" w:hAnsi="Arial"/>
        </w:rPr>
        <w:t xml:space="preserve"> Se não reconsiderar o ato ou a decisão, encaminhará o recurso com a sua motivação à autoridade superior, a qual deverá proferir sua decisão no prazo máximo de 10 (dez) dias úteis, contado do recebimento dos autos.</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16.7.</w:t>
      </w:r>
      <w:r>
        <w:rPr>
          <w:rFonts w:cs="Arial" w:ascii="Arial" w:hAnsi="Arial"/>
          <w:b/>
        </w:rPr>
        <w:t xml:space="preserve"> </w:t>
      </w:r>
      <w:r>
        <w:rPr>
          <w:rFonts w:cs="Arial" w:ascii="Arial" w:hAnsi="Arial"/>
        </w:rPr>
        <w:t>O acolhimento do recurso implicará invalidação apenas de ato insuscetível de aproveitamento.</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16.8.</w:t>
      </w:r>
      <w:r>
        <w:rPr>
          <w:rFonts w:cs="Arial" w:ascii="Arial" w:hAnsi="Arial"/>
        </w:rPr>
        <w:t xml:space="preserve"> Cabe pedido de reconsideração, no prazo de 3 (três) dias úteis, contado da data de intimação, relativamente a ato do qual não caiba recurso hierárquico.</w:t>
      </w:r>
      <w:bookmarkStart w:id="45" w:name="art165§1"/>
      <w:bookmarkStart w:id="46" w:name="art165§2"/>
      <w:bookmarkStart w:id="47" w:name="art165§3"/>
      <w:bookmarkStart w:id="48" w:name="art165§4"/>
      <w:bookmarkStart w:id="49" w:name="art165§5"/>
      <w:bookmarkStart w:id="50" w:name="art166"/>
      <w:bookmarkEnd w:id="45"/>
      <w:bookmarkEnd w:id="46"/>
      <w:bookmarkEnd w:id="47"/>
      <w:bookmarkEnd w:id="48"/>
      <w:bookmarkEnd w:id="49"/>
      <w:bookmarkEnd w:id="50"/>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16.9.</w:t>
      </w:r>
      <w:r>
        <w:rPr>
          <w:rFonts w:cs="Arial" w:ascii="Arial" w:hAnsi="Arial"/>
        </w:rPr>
        <w:t xml:space="preserve"> Da aplicação das sanções previstas nos incisos I, II e III do </w:t>
      </w:r>
      <w:r>
        <w:rPr>
          <w:rFonts w:cs="Arial" w:ascii="Arial" w:hAnsi="Arial"/>
          <w:bCs/>
          <w:i/>
        </w:rPr>
        <w:t xml:space="preserve">caput </w:t>
      </w:r>
      <w:r>
        <w:rPr>
          <w:rFonts w:cs="Arial" w:ascii="Arial" w:hAnsi="Arial"/>
        </w:rPr>
        <w:t>do art. 156 da Lei nº 14.133/2021</w:t>
      </w:r>
      <w:r>
        <w:rPr>
          <w:rStyle w:val="LinkdaInternet"/>
          <w:rFonts w:cs="Arial" w:ascii="Arial" w:hAnsi="Arial"/>
          <w:u w:val="none"/>
        </w:rPr>
        <w:t xml:space="preserve"> </w:t>
      </w:r>
      <w:r>
        <w:rPr>
          <w:rFonts w:cs="Arial" w:ascii="Arial" w:hAnsi="Arial"/>
        </w:rPr>
        <w:t>caberá recurso no prazo de 15 (quinze) dias úteis, contado da data da intimação</w:t>
      </w:r>
      <w:bookmarkStart w:id="51" w:name="art166p"/>
      <w:bookmarkEnd w:id="51"/>
      <w:r>
        <w:rPr>
          <w:rFonts w:cs="Arial" w:ascii="Arial" w:hAnsi="Arial"/>
        </w:rPr>
        <w:t>.</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16.9.1.</w:t>
      </w:r>
      <w:r>
        <w:rPr>
          <w:rFonts w:cs="Arial" w:ascii="Arial" w:hAnsi="Arial"/>
        </w:rPr>
        <w:t xml:space="preserve">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bookmarkStart w:id="52" w:name="art167"/>
      <w:bookmarkEnd w:id="52"/>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16.10.</w:t>
      </w:r>
      <w:r>
        <w:rPr>
          <w:rFonts w:cs="Arial" w:ascii="Arial" w:hAnsi="Arial"/>
        </w:rPr>
        <w:t xml:space="preserve"> Da aplicação da sanção prevista no inciso IV do </w:t>
      </w:r>
      <w:r>
        <w:rPr>
          <w:rFonts w:cs="Arial" w:ascii="Arial" w:hAnsi="Arial"/>
          <w:bCs/>
          <w:i/>
        </w:rPr>
        <w:t xml:space="preserve">caput </w:t>
      </w:r>
      <w:r>
        <w:rPr>
          <w:rFonts w:cs="Arial" w:ascii="Arial" w:hAnsi="Arial"/>
        </w:rPr>
        <w:t>do art. 156 da Lei nº 14.133/2021 caberá apenas pedido de reconsideração, que deverá ser apresentado no prazo de 15 (quinze) dias úteis, contado da data da intimação, e decidido no prazo máximo de 20 (vinte) dias úteis, contado do seu recebimento.</w:t>
      </w:r>
      <w:bookmarkStart w:id="53" w:name="art168"/>
      <w:bookmarkEnd w:id="53"/>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16.11.</w:t>
      </w:r>
      <w:r>
        <w:rPr>
          <w:rFonts w:cs="Arial" w:ascii="Arial" w:hAnsi="Arial"/>
        </w:rPr>
        <w:t xml:space="preserve"> O recurso e o pedido de reconsideração terão efeito suspensivo do ato ou da decisão recorrida até que sobrevenha decisão final da autoridade competente.</w:t>
      </w:r>
      <w:bookmarkStart w:id="54" w:name="art168p"/>
      <w:bookmarkEnd w:id="54"/>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 xml:space="preserve">16.12. </w:t>
      </w:r>
      <w:r>
        <w:rPr>
          <w:rFonts w:cs="Arial" w:ascii="Arial" w:hAnsi="Arial"/>
        </w:rPr>
        <w:t>Na elaboração de suas decisões, a autoridade competente será auxiliada pelo órgão de assessoramento jurídico, que deverá dirimir dúvidas e subsidiá-la com as informações necessárias.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17. DA ADJUDICAÇÃO E HOMOLOGAÇÃO</w:t>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1134" w:leader="none"/>
        </w:tabs>
        <w:spacing w:lineRule="auto" w:line="240" w:before="0" w:after="0"/>
        <w:jc w:val="both"/>
        <w:rPr/>
      </w:pPr>
      <w:r>
        <w:rPr>
          <w:rFonts w:cs="Arial" w:ascii="Arial" w:hAnsi="Arial"/>
          <w:bCs/>
          <w:iCs/>
        </w:rPr>
        <w:t>17.1.</w:t>
      </w:r>
      <w:r>
        <w:rPr>
          <w:rFonts w:cs="Arial" w:ascii="Arial" w:hAnsi="Arial"/>
          <w:iCs/>
        </w:rPr>
        <w:t xml:space="preserve"> </w:t>
      </w:r>
      <w:r>
        <w:rPr>
          <w:rFonts w:cs="Arial" w:ascii="Arial" w:hAnsi="Arial"/>
        </w:rPr>
        <w:t>Conforme art. 71 da Lei nº 14.133/2021, encerradas as fases de julgamento e habilitação, e exauridos os recursos administrativos, o processo licitatório será encaminhado à autoridade superior, que poderá:</w:t>
      </w:r>
    </w:p>
    <w:p>
      <w:pPr>
        <w:pStyle w:val="ListParagraph"/>
        <w:widowControl w:val="false"/>
        <w:numPr>
          <w:ilvl w:val="0"/>
          <w:numId w:val="23"/>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5" w:name="art71i"/>
      <w:bookmarkEnd w:id="55"/>
      <w:r>
        <w:rPr>
          <w:rFonts w:cs="Arial" w:ascii="Arial" w:hAnsi="Arial"/>
        </w:rPr>
        <w:t>Determinar o retorno dos autos para saneamento de irregularidades;</w:t>
      </w:r>
    </w:p>
    <w:p>
      <w:pPr>
        <w:pStyle w:val="ListParagraph"/>
        <w:widowControl w:val="false"/>
        <w:numPr>
          <w:ilvl w:val="0"/>
          <w:numId w:val="23"/>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6" w:name="art71ii"/>
      <w:bookmarkEnd w:id="56"/>
      <w:r>
        <w:rPr>
          <w:rFonts w:cs="Arial" w:ascii="Arial" w:hAnsi="Arial"/>
        </w:rPr>
        <w:t>Revogar a licitação por motivo de conveniência e oportunidade;</w:t>
      </w:r>
    </w:p>
    <w:p>
      <w:pPr>
        <w:pStyle w:val="ListParagraph"/>
        <w:widowControl w:val="false"/>
        <w:numPr>
          <w:ilvl w:val="0"/>
          <w:numId w:val="23"/>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7" w:name="art71iii"/>
      <w:bookmarkEnd w:id="57"/>
      <w:r>
        <w:rPr>
          <w:rFonts w:cs="Arial" w:ascii="Arial" w:hAnsi="Arial"/>
        </w:rPr>
        <w:t>Proceder à anulação da licitação, de ofício ou mediante provocação de terceiros, sempre que presente ilegalidade insanável;</w:t>
      </w:r>
    </w:p>
    <w:p>
      <w:pPr>
        <w:pStyle w:val="ListParagraph"/>
        <w:widowControl w:val="false"/>
        <w:numPr>
          <w:ilvl w:val="0"/>
          <w:numId w:val="23"/>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8" w:name="art71iv"/>
      <w:bookmarkEnd w:id="58"/>
      <w:r>
        <w:rPr>
          <w:rFonts w:cs="Arial" w:ascii="Arial" w:hAnsi="Arial"/>
        </w:rPr>
        <w:t>Adjudicar o objeto e homologar a licitação.</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59" w:name="art71§1"/>
      <w:bookmarkEnd w:id="59"/>
      <w:r>
        <w:rPr>
          <w:rFonts w:cs="Arial" w:ascii="Arial" w:hAnsi="Arial"/>
          <w:bCs/>
        </w:rPr>
        <w:t>17.2.</w:t>
      </w:r>
      <w:r>
        <w:rPr>
          <w:rFonts w:cs="Arial" w:ascii="Arial" w:hAnsi="Arial"/>
        </w:rPr>
        <w:t xml:space="preserve"> Ao pronunciar a nulidade, a autoridade indicará expressamente os atos com vícios insanáveis, tornando sem efeito todos os subsequentes que deles dependam, e dará ensejo à apuração de responsabilidade de quem lhes tenha dado.</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60" w:name="art71§2"/>
      <w:bookmarkEnd w:id="60"/>
      <w:r>
        <w:rPr>
          <w:rFonts w:cs="Arial" w:ascii="Arial" w:hAnsi="Arial"/>
          <w:bCs/>
        </w:rPr>
        <w:t>17.3.</w:t>
      </w:r>
      <w:r>
        <w:rPr>
          <w:rFonts w:cs="Arial" w:ascii="Arial" w:hAnsi="Arial"/>
        </w:rPr>
        <w:t xml:space="preserve"> O motivo determinante para a revogação do processo licitatório deverá ser resultante de fato superveniente devidamente comprovado.</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61" w:name="art71§3"/>
      <w:bookmarkEnd w:id="61"/>
      <w:r>
        <w:rPr>
          <w:rFonts w:cs="Arial" w:ascii="Arial" w:hAnsi="Arial"/>
          <w:bCs/>
        </w:rPr>
        <w:t>17.4.</w:t>
      </w:r>
      <w:r>
        <w:rPr>
          <w:rFonts w:cs="Arial" w:ascii="Arial" w:hAnsi="Arial"/>
        </w:rPr>
        <w:t xml:space="preserve"> Nos casos de anulação e revogação, será assegurada a prévia manifestação dos interessados.</w:t>
      </w:r>
      <w:bookmarkStart w:id="62" w:name="art71§4"/>
      <w:bookmarkEnd w:id="62"/>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17.5.</w:t>
      </w:r>
      <w:r>
        <w:rPr>
          <w:rFonts w:cs="Arial" w:ascii="Arial" w:hAnsi="Arial"/>
          <w:b/>
        </w:rPr>
        <w:t xml:space="preserve"> </w:t>
      </w:r>
      <w:r>
        <w:rPr>
          <w:rFonts w:cs="Arial" w:ascii="Arial" w:hAnsi="Arial"/>
        </w:rPr>
        <w:t>A anulação do processo licitatório induz à da ata de registro de preços e do contrato.</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bCs/>
        </w:rPr>
        <w:t>17.6.</w:t>
      </w:r>
      <w:r>
        <w:rPr>
          <w:rFonts w:cs="Arial" w:ascii="Arial" w:hAnsi="Arial"/>
          <w:b/>
        </w:rPr>
        <w:t xml:space="preserve"> </w:t>
      </w:r>
      <w:r>
        <w:rPr>
          <w:rFonts w:cs="Arial" w:ascii="Arial" w:hAnsi="Arial"/>
        </w:rPr>
        <w:t xml:space="preserve">Os licitantes não terão direito a indenização em decorrência da anulação do processo licitatório, ressalvado o direito do contratado de boa-fé de ser ressarcido pelos encargos que tiver suportado no cumprimento do contrato.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18. ATA DE REGISTRO DE PREÇOS</w:t>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t>18.1. REGRAS PARA FORMALIZAÇÃO</w:t>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rPr>
        <w:t>18.1.1.</w:t>
      </w:r>
      <w:r>
        <w:rPr>
          <w:rFonts w:cs="Arial" w:ascii="Arial" w:hAnsi="Arial"/>
        </w:rPr>
        <w:t xml:space="preserve"> O registro de preços observará as regras constantes no Decreto Municipal nº 0043/2023, e entre outras, as seguintes condições:</w:t>
      </w:r>
    </w:p>
    <w:p>
      <w:pPr>
        <w:pStyle w:val="Normal"/>
        <w:numPr>
          <w:ilvl w:val="0"/>
          <w:numId w:val="24"/>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Serão registrados na ata de registro de preços os preços e quantitativos do licitante mais bem classificado durante a fase competitiva ou do proponente a ser contratado de forma direta;</w:t>
      </w:r>
    </w:p>
    <w:p>
      <w:pPr>
        <w:pStyle w:val="Normal"/>
        <w:numPr>
          <w:ilvl w:val="0"/>
          <w:numId w:val="24"/>
        </w:numPr>
        <w:tabs>
          <w:tab w:val="clear" w:pos="708"/>
          <w:tab w:val="left" w:pos="1134" w:leader="none"/>
        </w:tabs>
        <w:spacing w:lineRule="auto" w:line="240" w:before="0" w:after="0"/>
        <w:ind w:left="567" w:hanging="0"/>
        <w:contextualSpacing/>
        <w:jc w:val="both"/>
        <w:rPr/>
      </w:pPr>
      <w:r>
        <w:rPr>
          <w:rFonts w:cs="Arial" w:ascii="Arial" w:hAnsi="Arial"/>
        </w:rPr>
        <w:t xml:space="preserve">Será incluído na respectiva ata, na forma de anexo, o registro dos licitantes que aceitarem cotar o objeto com preços iguais aos do licitante vencedor na ordem de classificação do certame, bem como daqueles licitantes que mantiverem sua proposta original, com </w:t>
      </w:r>
      <w:r>
        <w:rPr>
          <w:rFonts w:cs="Arial" w:ascii="Arial" w:hAnsi="Arial"/>
          <w:bCs/>
        </w:rPr>
        <w:t>objetivo a formação de cadastro de reserva no caso de impossibilidade de atendimento pelo primeiro colocado da ata, nas hipóteses de cancelamento do registro do fornecedor</w:t>
      </w:r>
      <w:r>
        <w:rPr>
          <w:rFonts w:cs="Arial" w:ascii="Arial" w:hAnsi="Arial"/>
        </w:rPr>
        <w:t>;</w:t>
      </w:r>
    </w:p>
    <w:p>
      <w:pPr>
        <w:pStyle w:val="Normal"/>
        <w:numPr>
          <w:ilvl w:val="0"/>
          <w:numId w:val="24"/>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O preço registrado com indicação dos fornecedores será divulgado no sítio eletrônico oficial do Município e no Portal Nacional de Contratações Públicas – PNCP, bem como ficará disponibilizado durante a vigência da ata de registro de preços;</w:t>
      </w:r>
    </w:p>
    <w:p>
      <w:pPr>
        <w:pStyle w:val="Normal"/>
        <w:numPr>
          <w:ilvl w:val="0"/>
          <w:numId w:val="24"/>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ordem de classificação dos licitantes registrados na ata de registro de preços deverá ser respeitada nas contratações.</w:t>
      </w:r>
    </w:p>
    <w:p>
      <w:pPr>
        <w:pStyle w:val="Normal"/>
        <w:tabs>
          <w:tab w:val="clear" w:pos="708"/>
          <w:tab w:val="left" w:pos="1134" w:leader="none"/>
        </w:tabs>
        <w:spacing w:lineRule="auto" w:line="240" w:before="0" w:after="0"/>
        <w:contextualSpacing/>
        <w:jc w:val="both"/>
        <w:rPr>
          <w:rFonts w:ascii="Arial" w:hAnsi="Arial" w:cs="Arial"/>
        </w:rPr>
      </w:pPr>
      <w:r>
        <w:rPr>
          <w:rFonts w:cs="Arial" w:ascii="Arial" w:hAnsi="Arial"/>
        </w:rPr>
      </w:r>
    </w:p>
    <w:p>
      <w:pPr>
        <w:pStyle w:val="Normal"/>
        <w:tabs>
          <w:tab w:val="clear" w:pos="708"/>
          <w:tab w:val="left" w:pos="851" w:leader="none"/>
        </w:tabs>
        <w:spacing w:lineRule="auto" w:line="240" w:before="0" w:after="0"/>
        <w:contextualSpacing/>
        <w:jc w:val="both"/>
        <w:rPr/>
      </w:pPr>
      <w:r>
        <w:rPr>
          <w:rFonts w:cs="Arial" w:ascii="Arial" w:hAnsi="Arial"/>
        </w:rPr>
        <w:t>18.1.1.1.</w:t>
      </w:r>
      <w:r>
        <w:rPr>
          <w:rFonts w:cs="Arial" w:ascii="Arial" w:hAnsi="Arial"/>
          <w:bCs/>
        </w:rPr>
        <w:t xml:space="preserve"> Se houver mais de um licitante que aceite cotar o objeto com preços iguais aos do licitante vencedor, serão classificados segundo a ordem da última proposta apresentada durante a fase de lances.</w:t>
      </w:r>
    </w:p>
    <w:p>
      <w:pPr>
        <w:pStyle w:val="Normal"/>
        <w:tabs>
          <w:tab w:val="clear" w:pos="708"/>
          <w:tab w:val="left" w:pos="851" w:leader="none"/>
        </w:tabs>
        <w:spacing w:lineRule="auto" w:line="240" w:before="0" w:after="0"/>
        <w:contextualSpacing/>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18.1.1.2.</w:t>
      </w:r>
      <w:r>
        <w:rPr>
          <w:rFonts w:cs="Arial" w:ascii="Arial" w:hAnsi="Arial"/>
          <w:bCs/>
        </w:rPr>
        <w:t xml:space="preserve"> A habilitação dos fornecedores que comporão o cadastro de reserva será efetuada quando houver necessidade de contratação de fornecedor remanescente.</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18.1.1.3</w:t>
      </w:r>
      <w:r>
        <w:rPr>
          <w:rFonts w:cs="Arial" w:ascii="Arial" w:hAnsi="Arial"/>
          <w:bCs/>
        </w:rPr>
        <w:t xml:space="preserve"> O anexo que trata o inciso II do tópico 18.1.1. será preenchido com a informação dos licitantes que aceitarem registrar preços iguais ao do licitante vencedor do certame e daqueles licitantes que mantiverem sua proposta original.</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18.1.2.</w:t>
      </w:r>
      <w:r>
        <w:rPr>
          <w:rFonts w:cs="Arial" w:ascii="Arial" w:hAnsi="Arial"/>
          <w:bCs/>
        </w:rPr>
        <w:t xml:space="preserve"> O prazo de vigência da ata de registro de preços será de </w:t>
      </w:r>
      <w:r>
        <w:rPr>
          <w:rFonts w:cs="Arial" w:ascii="Arial" w:hAnsi="Arial"/>
          <w:bCs/>
          <w:color w:val="000000"/>
        </w:rPr>
        <w:t>1 (um) ano</w:t>
      </w:r>
      <w:r>
        <w:rPr>
          <w:rFonts w:cs="Arial" w:ascii="Arial" w:hAnsi="Arial"/>
          <w:bCs/>
          <w:color w:val="FF0000"/>
        </w:rPr>
        <w:t xml:space="preserve"> </w:t>
      </w:r>
      <w:r>
        <w:rPr>
          <w:rFonts w:cs="Arial" w:ascii="Arial" w:hAnsi="Arial"/>
          <w:bCs/>
        </w:rPr>
        <w:t xml:space="preserve">e poderá ser prorrogado, por igual período, </w:t>
      </w:r>
      <w:r>
        <w:rPr>
          <w:rFonts w:cs="Arial" w:ascii="Arial" w:hAnsi="Arial"/>
          <w:bCs/>
          <w:u w:val="single"/>
        </w:rPr>
        <w:t>desde que comprovado o preço vantajoso</w:t>
      </w:r>
      <w:r>
        <w:rPr>
          <w:rFonts w:cs="Arial" w:ascii="Arial" w:hAnsi="Arial"/>
          <w:bCs/>
        </w:rPr>
        <w:t>.</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color w:val="000000"/>
        </w:rPr>
        <w:t>18.1.3.</w:t>
      </w:r>
      <w:r>
        <w:rPr>
          <w:rFonts w:cs="Arial" w:ascii="Arial" w:hAnsi="Arial"/>
          <w:bCs/>
          <w:color w:val="000000"/>
        </w:rPr>
        <w:t xml:space="preserve"> O fornecedor mais bem classificado será convocado para assinar a ata de registro de preços, no prazo de 03 (três) dias úteis, podendo o prazo ser prorrogado uma vez, por igual período, quando solicitado pelo fornecedor e desde que ocorra motivo justificado aceito pelo Município.</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18.1.3.1.</w:t>
      </w:r>
      <w:r>
        <w:rPr>
          <w:rFonts w:cs="Arial" w:ascii="Arial" w:hAnsi="Arial"/>
          <w:bCs/>
        </w:rPr>
        <w:t xml:space="preserve"> É facultado ao Município, quando o convocado não assinar a ata de registro de preços no prazo e condições estabelecidos, convocar os licitantes remanescentes, na ordem de classificação, para fazê-lo em igual prazo e nas mesmas condições propostas pelo primeiro classificado.</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18.1.3.2.</w:t>
      </w:r>
      <w:r>
        <w:rPr>
          <w:rFonts w:cs="Arial" w:ascii="Arial" w:hAnsi="Arial"/>
          <w:bCs/>
        </w:rPr>
        <w:t xml:space="preserve"> Na hipótese de nenhum dos licitantes aceitar a contratação nos termos do tópico anterior, observados o valor estimado e sua eventual atualização nos termos do edital, o Município poderá:</w:t>
      </w:r>
    </w:p>
    <w:p>
      <w:pPr>
        <w:pStyle w:val="Normal"/>
        <w:numPr>
          <w:ilvl w:val="0"/>
          <w:numId w:val="28"/>
        </w:numPr>
        <w:tabs>
          <w:tab w:val="clear" w:pos="708"/>
          <w:tab w:val="left" w:pos="1134" w:leader="none"/>
          <w:tab w:val="left" w:pos="1701" w:leader="none"/>
        </w:tabs>
        <w:spacing w:lineRule="auto" w:line="240" w:before="0" w:after="0"/>
        <w:ind w:left="567" w:hanging="0"/>
        <w:contextualSpacing/>
        <w:jc w:val="both"/>
        <w:rPr>
          <w:rFonts w:ascii="Arial" w:hAnsi="Arial" w:cs="Arial"/>
          <w:bCs/>
        </w:rPr>
      </w:pPr>
      <w:r>
        <w:rPr>
          <w:rFonts w:cs="Arial" w:ascii="Arial" w:hAnsi="Arial"/>
          <w:bCs/>
        </w:rPr>
        <w:t>Convocar aqueles licitantes que mantiverem sua proposta original para negociação, na ordem de classificação, com vistas à obtenção de preço melhor, mesmo que acima do preço do adjudicatário; ou</w:t>
      </w:r>
    </w:p>
    <w:p>
      <w:pPr>
        <w:pStyle w:val="Normal"/>
        <w:numPr>
          <w:ilvl w:val="0"/>
          <w:numId w:val="28"/>
        </w:numPr>
        <w:tabs>
          <w:tab w:val="clear" w:pos="708"/>
          <w:tab w:val="left" w:pos="1134" w:leader="none"/>
          <w:tab w:val="left" w:pos="1701" w:leader="none"/>
        </w:tabs>
        <w:spacing w:lineRule="auto" w:line="240" w:before="0" w:after="0"/>
        <w:ind w:left="567" w:hanging="0"/>
        <w:contextualSpacing/>
        <w:jc w:val="both"/>
        <w:rPr>
          <w:rFonts w:ascii="Arial" w:hAnsi="Arial" w:cs="Arial"/>
          <w:bCs/>
        </w:rPr>
      </w:pPr>
      <w:r>
        <w:rPr>
          <w:rFonts w:cs="Arial" w:ascii="Arial" w:hAnsi="Arial"/>
          <w:bCs/>
        </w:rPr>
        <w:t>Adjudicar e celebrar a ata de registro de preços nas condições ofertadas pelos licitantes subsequentes, atendida à ordem classificatória, quando frustrada a negociação de melhor condição.</w:t>
      </w:r>
    </w:p>
    <w:p>
      <w:pPr>
        <w:pStyle w:val="Normal"/>
        <w:tabs>
          <w:tab w:val="clear" w:pos="708"/>
          <w:tab w:val="left" w:pos="851" w:leader="none"/>
          <w:tab w:val="left" w:pos="1701" w:leader="none"/>
        </w:tabs>
        <w:spacing w:lineRule="auto" w:line="240" w:before="0" w:after="0"/>
        <w:contextualSpacing/>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bCs/>
        </w:rPr>
        <w:t>18.1.4.</w:t>
      </w:r>
      <w:r>
        <w:rPr>
          <w:rFonts w:cs="Arial" w:ascii="Arial" w:hAnsi="Arial"/>
          <w:b/>
        </w:rPr>
        <w:t xml:space="preserve"> </w:t>
      </w:r>
      <w:r>
        <w:rPr>
          <w:rFonts w:cs="Arial" w:ascii="Arial" w:hAnsi="Arial"/>
        </w:rPr>
        <w:t>A existência de preços registrados implicará compromisso de fornecimento nas condições estabelecidas, mas não obrigará o Município a contratar, facultada a realização de licitação específica para a aquisição pretendida, desde que devidamente motivada.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18.1.4.1.</w:t>
      </w:r>
      <w:r>
        <w:rPr>
          <w:rFonts w:cs="Arial" w:ascii="Arial" w:hAnsi="Arial"/>
          <w:bCs/>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18.1.4.2.</w:t>
      </w:r>
      <w:r>
        <w:rPr>
          <w:rFonts w:cs="Arial" w:ascii="Arial" w:hAnsi="Arial"/>
          <w:bCs/>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18.1.4.3.</w:t>
      </w:r>
      <w:r>
        <w:rPr>
          <w:rFonts w:cs="Arial" w:ascii="Arial" w:hAnsi="Arial"/>
          <w:bCs/>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18.1.5.</w:t>
      </w:r>
      <w:r>
        <w:rPr>
          <w:rFonts w:cs="Arial" w:ascii="Arial" w:hAnsi="Arial"/>
          <w:bCs/>
        </w:rPr>
        <w:t xml:space="preserve"> </w:t>
      </w:r>
      <w:r>
        <w:rPr>
          <w:rFonts w:cs="Arial" w:ascii="Arial" w:hAnsi="Arial"/>
        </w:rPr>
        <w:t>O contrato decorrente da ata de registro de preços terá sua vigência estabelecida em conformidade com as disposições nela contidas, devendo ser deverá ser celebrado no prazo de validade da ata de registro de preços.</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18.1.5.1.</w:t>
      </w:r>
      <w:r>
        <w:rPr>
          <w:rFonts w:cs="Arial" w:ascii="Arial" w:hAnsi="Arial"/>
        </w:rPr>
        <w:t xml:space="preserve"> O instrumento contratual poderá ser substituído nos termos do art. 95, </w:t>
      </w:r>
      <w:r>
        <w:rPr>
          <w:rFonts w:cs="Arial" w:ascii="Arial" w:hAnsi="Arial"/>
          <w:i/>
        </w:rPr>
        <w:t>caput</w:t>
      </w:r>
      <w:r>
        <w:rPr>
          <w:rFonts w:cs="Arial" w:ascii="Arial" w:hAnsi="Arial"/>
        </w:rPr>
        <w:t xml:space="preserve"> da Lei Federal nº 14.133/2021.</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18.1.5.2.</w:t>
      </w:r>
      <w:r>
        <w:rPr>
          <w:rFonts w:cs="Arial" w:ascii="Arial" w:hAnsi="Arial"/>
          <w:bCs/>
        </w:rPr>
        <w:t xml:space="preserve"> O contrato ou outro instrumento que venha substituí-lo observará o disposto no Título III da Lei Federal nº 14.133/2021 (Dos Contratos Administrativos).</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bCs/>
        </w:rPr>
        <w:t>18.1.5.3.</w:t>
      </w:r>
      <w:r>
        <w:rPr>
          <w:rFonts w:cs="Arial" w:ascii="Arial" w:hAnsi="Arial"/>
        </w:rPr>
        <w:t xml:space="preserve"> Será reputada firmada a contratação administrativa na data da confirmação de entrega do instrumento contratual ao fornecedor registrado, admitindo-se a entrega do instrumento por qualquer meio que assegure a certeza da ciência do interessado.</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18.1.6.</w:t>
      </w:r>
      <w:r>
        <w:rPr>
          <w:rFonts w:cs="Arial" w:ascii="Arial" w:hAnsi="Arial"/>
        </w:rPr>
        <w:t xml:space="preserve"> </w:t>
      </w:r>
      <w:r>
        <w:rPr>
          <w:rFonts w:cs="Arial" w:ascii="Arial" w:hAnsi="Arial"/>
          <w:bCs/>
        </w:rPr>
        <w:t>Os preços registrados poderão ser revistos em decorrência de eventual redução dos preços praticados no mercado ou de fato que eleve o custo dos serviços ou bens registrados, cabendo ao órgão gerenciador promover as negociações junto aos fornecedores.</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18.1.6.1.</w:t>
      </w:r>
      <w:r>
        <w:rPr>
          <w:rFonts w:cs="Arial" w:ascii="Arial" w:hAnsi="Arial"/>
          <w:bCs/>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18.1.6.2.</w:t>
      </w:r>
      <w:r>
        <w:rPr>
          <w:rFonts w:cs="Arial" w:ascii="Arial" w:hAnsi="Arial"/>
          <w:bCs/>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18.1.7.</w:t>
      </w:r>
      <w:r>
        <w:rPr>
          <w:rFonts w:cs="Arial" w:ascii="Arial" w:hAnsi="Arial"/>
          <w:bCs/>
        </w:rPr>
        <w:t xml:space="preserve"> Quando o preço registrado se tornar superior ao preço praticado no mercado por motivo superveniente, o Município convocará o fornecedor para negociar a redução dos preços aos valores praticados pelo mercado, sendo observado:</w:t>
      </w:r>
    </w:p>
    <w:p>
      <w:pPr>
        <w:pStyle w:val="Normal"/>
        <w:numPr>
          <w:ilvl w:val="0"/>
          <w:numId w:val="25"/>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O fornecedor que não aceitar reduzir seus preços aos valores praticados pelo mercado será liberado do compromisso assumido, sem aplicação de penalidade.</w:t>
      </w:r>
    </w:p>
    <w:p>
      <w:pPr>
        <w:pStyle w:val="Normal"/>
        <w:numPr>
          <w:ilvl w:val="0"/>
          <w:numId w:val="25"/>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A ordem de classificação dos fornecedores que aceitarem reduzir seus preços aos valores de mercado observará a classificação original.</w:t>
      </w:r>
    </w:p>
    <w:p>
      <w:pPr>
        <w:pStyle w:val="Normal"/>
        <w:spacing w:lineRule="auto" w:line="240" w:before="0" w:after="0"/>
        <w:jc w:val="both"/>
        <w:rPr>
          <w:rFonts w:ascii="Arial" w:hAnsi="Arial" w:cs="Arial"/>
          <w:b/>
          <w:b/>
          <w:bCs/>
        </w:rPr>
      </w:pPr>
      <w:r>
        <w:rPr>
          <w:rFonts w:cs="Arial" w:ascii="Arial" w:hAnsi="Arial"/>
          <w:b/>
          <w:bCs/>
        </w:rPr>
      </w:r>
    </w:p>
    <w:p>
      <w:pPr>
        <w:pStyle w:val="Normal"/>
        <w:spacing w:lineRule="auto" w:line="240" w:before="0" w:after="0"/>
        <w:jc w:val="both"/>
        <w:rPr/>
      </w:pPr>
      <w:r>
        <w:rPr>
          <w:rFonts w:cs="Arial" w:ascii="Arial" w:hAnsi="Arial"/>
        </w:rPr>
        <w:t>18.1.8.</w:t>
      </w:r>
      <w:r>
        <w:rPr>
          <w:rFonts w:cs="Arial" w:ascii="Arial" w:hAnsi="Arial"/>
          <w:b/>
          <w:bCs/>
        </w:rPr>
        <w:t xml:space="preserve"> </w:t>
      </w:r>
      <w:r>
        <w:rPr>
          <w:rFonts w:cs="Arial" w:ascii="Arial" w:hAnsi="Arial"/>
          <w:bCs/>
        </w:rPr>
        <w:t>Quando o preço de mercado tornar-se superior aos preços registrados e o fornecedor não puder cumprir o compromisso, o Município poderá:</w:t>
      </w:r>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Liberar o fornecedor do compromisso assumido, caso a comunicação ocorra antes do pedido de fornecimento, e sem aplicação da penalidade se confirmada a veracidade dos motivos e comprovantes apresentados;</w:t>
      </w:r>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 xml:space="preserve">Convocar os demais fornecedores para assegurar igual oportunidade de negociação; </w:t>
      </w:r>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Não havendo êxito nas negociações, o órgão gerenciador deverá proceder à revogação da ata de registro de preços, adotando as medidas cabíveis para obtenção da contratação mais vantajosa.</w:t>
      </w:r>
    </w:p>
    <w:p>
      <w:pPr>
        <w:pStyle w:val="Normal"/>
        <w:tabs>
          <w:tab w:val="clear" w:pos="708"/>
          <w:tab w:val="left" w:pos="851" w:leader="none"/>
        </w:tabs>
        <w:spacing w:lineRule="auto" w:line="240" w:before="0" w:after="0"/>
        <w:contextualSpacing/>
        <w:jc w:val="both"/>
        <w:rPr>
          <w:rFonts w:ascii="Arial" w:hAnsi="Arial" w:cs="Arial"/>
          <w:b/>
          <w:b/>
          <w:bCs/>
        </w:rPr>
      </w:pPr>
      <w:r>
        <w:rPr>
          <w:rFonts w:cs="Arial" w:ascii="Arial" w:hAnsi="Arial"/>
          <w:b/>
          <w:bCs/>
        </w:rPr>
      </w:r>
    </w:p>
    <w:p>
      <w:pPr>
        <w:pStyle w:val="Normal"/>
        <w:tabs>
          <w:tab w:val="clear" w:pos="708"/>
          <w:tab w:val="left" w:pos="851" w:leader="none"/>
        </w:tabs>
        <w:spacing w:lineRule="auto" w:line="240" w:before="0" w:after="0"/>
        <w:contextualSpacing/>
        <w:jc w:val="both"/>
        <w:rPr/>
      </w:pPr>
      <w:r>
        <w:rPr>
          <w:rFonts w:cs="Arial" w:ascii="Arial" w:hAnsi="Arial"/>
        </w:rPr>
        <w:t>18.1.9.</w:t>
      </w:r>
      <w:r>
        <w:rPr>
          <w:rFonts w:cs="Arial" w:ascii="Arial" w:hAnsi="Arial"/>
          <w:b/>
          <w:bCs/>
        </w:rPr>
        <w:t xml:space="preserve"> </w:t>
      </w:r>
      <w:r>
        <w:rPr>
          <w:rFonts w:cs="Arial" w:ascii="Arial" w:hAnsi="Arial"/>
          <w:bCs/>
        </w:rPr>
        <w:t>O registro do fornecedor será cancelado quando:</w:t>
      </w:r>
    </w:p>
    <w:p>
      <w:pPr>
        <w:pStyle w:val="Normal"/>
        <w:numPr>
          <w:ilvl w:val="0"/>
          <w:numId w:val="27"/>
        </w:numPr>
        <w:tabs>
          <w:tab w:val="clear" w:pos="708"/>
          <w:tab w:val="left" w:pos="1134" w:leader="none"/>
        </w:tabs>
        <w:spacing w:lineRule="auto" w:line="240" w:before="0" w:after="0"/>
        <w:ind w:left="567" w:hanging="0"/>
        <w:contextualSpacing/>
        <w:jc w:val="both"/>
        <w:rPr>
          <w:rFonts w:ascii="Arial" w:hAnsi="Arial" w:cs="Arial"/>
          <w:bCs/>
        </w:rPr>
      </w:pPr>
      <w:bookmarkStart w:id="63" w:name="art20i"/>
      <w:bookmarkEnd w:id="63"/>
      <w:r>
        <w:rPr>
          <w:rFonts w:cs="Arial" w:ascii="Arial" w:hAnsi="Arial"/>
          <w:bCs/>
        </w:rPr>
        <w:t>Por razão de interesse público;</w:t>
      </w:r>
    </w:p>
    <w:p>
      <w:pPr>
        <w:pStyle w:val="Normal"/>
        <w:numPr>
          <w:ilvl w:val="0"/>
          <w:numId w:val="27"/>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A pedido do fornecedor;</w:t>
      </w:r>
    </w:p>
    <w:p>
      <w:pPr>
        <w:pStyle w:val="Normal"/>
        <w:numPr>
          <w:ilvl w:val="0"/>
          <w:numId w:val="27"/>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Descumprir as condições da ata de registro de preços;</w:t>
      </w:r>
    </w:p>
    <w:p>
      <w:pPr>
        <w:pStyle w:val="Normal"/>
        <w:numPr>
          <w:ilvl w:val="0"/>
          <w:numId w:val="27"/>
        </w:numPr>
        <w:tabs>
          <w:tab w:val="clear" w:pos="708"/>
          <w:tab w:val="left" w:pos="1134" w:leader="none"/>
        </w:tabs>
        <w:spacing w:lineRule="auto" w:line="240" w:before="0" w:after="0"/>
        <w:ind w:left="567" w:hanging="0"/>
        <w:contextualSpacing/>
        <w:jc w:val="both"/>
        <w:rPr>
          <w:rFonts w:ascii="Arial" w:hAnsi="Arial" w:cs="Arial"/>
          <w:bCs/>
        </w:rPr>
      </w:pPr>
      <w:bookmarkStart w:id="64" w:name="art20ii"/>
      <w:bookmarkEnd w:id="64"/>
      <w:r>
        <w:rPr>
          <w:rFonts w:cs="Arial" w:ascii="Arial" w:hAnsi="Arial"/>
          <w:bCs/>
        </w:rPr>
        <w:t>Não retirar a nota de empenho ou instrumento equivalente no prazo estabelecido pelo Município, sem justificativa aceitável;</w:t>
      </w:r>
    </w:p>
    <w:p>
      <w:pPr>
        <w:pStyle w:val="Normal"/>
        <w:numPr>
          <w:ilvl w:val="0"/>
          <w:numId w:val="27"/>
        </w:numPr>
        <w:tabs>
          <w:tab w:val="clear" w:pos="708"/>
          <w:tab w:val="left" w:pos="1134" w:leader="none"/>
        </w:tabs>
        <w:spacing w:lineRule="auto" w:line="240" w:before="0" w:after="0"/>
        <w:ind w:left="567" w:hanging="0"/>
        <w:contextualSpacing/>
        <w:jc w:val="both"/>
        <w:rPr>
          <w:rFonts w:ascii="Arial" w:hAnsi="Arial" w:cs="Arial"/>
          <w:bCs/>
        </w:rPr>
      </w:pPr>
      <w:bookmarkStart w:id="65" w:name="art20iii"/>
      <w:bookmarkEnd w:id="65"/>
      <w:r>
        <w:rPr>
          <w:rFonts w:cs="Arial" w:ascii="Arial" w:hAnsi="Arial"/>
          <w:bCs/>
        </w:rPr>
        <w:t>Não aceitar reduzir o seu preço registrado, na hipótese deste se tornar superior àqueles praticados no mercado;</w:t>
      </w:r>
      <w:bookmarkStart w:id="66" w:name="art20iv"/>
      <w:bookmarkStart w:id="67" w:name="art20p"/>
      <w:bookmarkEnd w:id="66"/>
      <w:bookmarkEnd w:id="67"/>
    </w:p>
    <w:p>
      <w:pPr>
        <w:pStyle w:val="Normal"/>
        <w:numPr>
          <w:ilvl w:val="0"/>
          <w:numId w:val="27"/>
        </w:numPr>
        <w:tabs>
          <w:tab w:val="clear" w:pos="708"/>
          <w:tab w:val="left" w:pos="1134" w:leader="none"/>
        </w:tabs>
        <w:spacing w:lineRule="auto" w:line="240" w:before="0" w:after="0"/>
        <w:ind w:left="567" w:hanging="0"/>
        <w:contextualSpacing/>
        <w:jc w:val="both"/>
        <w:rPr/>
      </w:pPr>
      <w:r>
        <w:rPr>
          <w:rFonts w:cs="Arial" w:ascii="Arial" w:hAnsi="Arial"/>
          <w:bCs/>
        </w:rPr>
        <w:t xml:space="preserve">Sofrer sanção prevista no inciso III ou IV do </w:t>
      </w:r>
      <w:r>
        <w:rPr>
          <w:rFonts w:cs="Arial" w:ascii="Arial" w:hAnsi="Arial"/>
          <w:bCs/>
          <w:i/>
        </w:rPr>
        <w:t>caput</w:t>
      </w:r>
      <w:r>
        <w:rPr>
          <w:rFonts w:cs="Arial" w:ascii="Arial" w:hAnsi="Arial"/>
          <w:bCs/>
        </w:rPr>
        <w:t xml:space="preserve"> do art. 156 da Lei Federal nº 14.133/2021; ou</w:t>
      </w:r>
    </w:p>
    <w:p>
      <w:pPr>
        <w:pStyle w:val="Normal"/>
        <w:numPr>
          <w:ilvl w:val="0"/>
          <w:numId w:val="27"/>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For condenado por algum dos crimes previstos no art. 178 da Lei Federal nº 14.133/2021, por sentença transitada em julgado.</w:t>
      </w:r>
    </w:p>
    <w:p>
      <w:pPr>
        <w:pStyle w:val="ListParagraph"/>
        <w:tabs>
          <w:tab w:val="clear" w:pos="708"/>
          <w:tab w:val="left" w:pos="993" w:leader="none"/>
        </w:tabs>
        <w:spacing w:lineRule="auto" w:line="240" w:before="0" w:after="0"/>
        <w:ind w:left="0" w:hanging="0"/>
        <w:contextualSpacing/>
        <w:jc w:val="both"/>
        <w:rPr>
          <w:rFonts w:ascii="Arial" w:hAnsi="Arial" w:cs="Arial"/>
          <w:b/>
          <w:b/>
          <w:bCs/>
        </w:rPr>
      </w:pPr>
      <w:r>
        <w:rPr>
          <w:rFonts w:cs="Arial" w:ascii="Arial" w:hAnsi="Arial"/>
          <w:b/>
          <w:bCs/>
        </w:rPr>
      </w:r>
    </w:p>
    <w:p>
      <w:pPr>
        <w:pStyle w:val="ListParagraph"/>
        <w:tabs>
          <w:tab w:val="clear" w:pos="708"/>
          <w:tab w:val="left" w:pos="993" w:leader="none"/>
        </w:tabs>
        <w:spacing w:lineRule="auto" w:line="240" w:before="0" w:after="0"/>
        <w:ind w:left="0" w:hanging="0"/>
        <w:contextualSpacing/>
        <w:jc w:val="both"/>
        <w:rPr/>
      </w:pPr>
      <w:r>
        <w:rPr>
          <w:rFonts w:cs="Arial" w:ascii="Arial" w:hAnsi="Arial"/>
        </w:rPr>
        <w:t>18.1.9.1.</w:t>
      </w:r>
      <w:r>
        <w:rPr>
          <w:rFonts w:cs="Arial" w:ascii="Arial" w:hAnsi="Arial"/>
          <w:bCs/>
        </w:rPr>
        <w:t xml:space="preserve"> O cancelamento de registros será motivado e formalizado por despacho da autoridade superior, assegurado o contraditório e a ampla defesa.</w:t>
      </w:r>
    </w:p>
    <w:p>
      <w:pPr>
        <w:pStyle w:val="ListParagraph"/>
        <w:tabs>
          <w:tab w:val="clear" w:pos="708"/>
          <w:tab w:val="left" w:pos="993" w:leader="none"/>
        </w:tabs>
        <w:spacing w:lineRule="auto" w:line="240" w:before="0" w:after="0"/>
        <w:ind w:left="0" w:hanging="0"/>
        <w:contextualSpacing/>
        <w:jc w:val="both"/>
        <w:rPr>
          <w:rFonts w:ascii="Arial" w:hAnsi="Arial" w:cs="Arial"/>
          <w:bCs/>
        </w:rPr>
      </w:pPr>
      <w:r>
        <w:rPr>
          <w:rFonts w:cs="Arial" w:ascii="Arial" w:hAnsi="Arial"/>
          <w:bCs/>
        </w:rPr>
      </w:r>
    </w:p>
    <w:p>
      <w:pPr>
        <w:pStyle w:val="Normal"/>
        <w:spacing w:lineRule="auto" w:line="240" w:before="0" w:after="0"/>
        <w:jc w:val="both"/>
        <w:rPr/>
      </w:pPr>
      <w:bookmarkStart w:id="68" w:name="art21"/>
      <w:bookmarkEnd w:id="68"/>
      <w:r>
        <w:rPr>
          <w:rFonts w:cs="Arial" w:ascii="Arial" w:hAnsi="Arial"/>
          <w:bCs/>
        </w:rPr>
        <w:t>18.1.10.</w:t>
      </w:r>
      <w:r>
        <w:rPr>
          <w:rFonts w:cs="Arial" w:ascii="Arial" w:hAnsi="Arial"/>
        </w:rPr>
        <w:t xml:space="preserve"> É vedado aos órgãos e entidades da Administração Pública federal, estadual, distrital e municipal, na condição de </w:t>
      </w:r>
      <w:r>
        <w:rPr>
          <w:rFonts w:cs="Arial" w:ascii="Arial" w:hAnsi="Arial"/>
          <w:u w:val="single"/>
        </w:rPr>
        <w:t>não participantes</w:t>
      </w:r>
      <w:r>
        <w:rPr>
          <w:rFonts w:cs="Arial" w:ascii="Arial" w:hAnsi="Arial"/>
        </w:rPr>
        <w:t>, aderirem à ata de registro de preços gerenciada por este Município.</w:t>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t>18.2. GESTÃO E FISCALIZAÇÃO DA ATA</w:t>
      </w:r>
    </w:p>
    <w:p>
      <w:pPr>
        <w:pStyle w:val="Normal"/>
        <w:tabs>
          <w:tab w:val="clear" w:pos="708"/>
          <w:tab w:val="left" w:pos="1134" w:leader="none"/>
        </w:tabs>
        <w:spacing w:lineRule="auto" w:line="240" w:before="0" w:after="0"/>
        <w:jc w:val="both"/>
        <w:rPr>
          <w:rFonts w:ascii="Arial" w:hAnsi="Arial" w:cs="Arial"/>
          <w:b/>
          <w:b/>
          <w:iCs/>
          <w:color w:val="000000"/>
        </w:rPr>
      </w:pPr>
      <w:r>
        <w:rPr>
          <w:rFonts w:cs="Arial" w:ascii="Arial" w:hAnsi="Arial"/>
          <w:b/>
          <w:iCs/>
          <w:color w:val="000000"/>
        </w:rPr>
      </w:r>
    </w:p>
    <w:p>
      <w:pPr>
        <w:pStyle w:val="Normal"/>
        <w:tabs>
          <w:tab w:val="clear" w:pos="708"/>
          <w:tab w:val="left" w:pos="1134" w:leader="none"/>
        </w:tabs>
        <w:spacing w:lineRule="auto" w:line="240" w:before="0" w:after="0"/>
        <w:jc w:val="both"/>
        <w:rPr/>
      </w:pPr>
      <w:r>
        <w:rPr>
          <w:rFonts w:cs="Arial" w:ascii="Arial" w:hAnsi="Arial"/>
          <w:bCs/>
          <w:iCs/>
          <w:color w:val="000000"/>
        </w:rPr>
        <w:t>18.2.1</w:t>
      </w:r>
      <w:r>
        <w:rPr>
          <w:rFonts w:cs="Arial" w:ascii="Arial" w:hAnsi="Arial"/>
          <w:b/>
          <w:iCs/>
          <w:color w:val="000000"/>
        </w:rPr>
        <w:t xml:space="preserve"> </w:t>
      </w:r>
      <w:r>
        <w:rPr>
          <w:rFonts w:cs="Arial" w:ascii="Arial" w:hAnsi="Arial"/>
          <w:color w:val="000000"/>
        </w:rPr>
        <w:t>A fiscalização e gestão da ata de registro de preços ocorre através de comissão responsável, formada por servidores do Município, os quais realizam a conferência do recebimento do produto ou serviço.</w:t>
      </w:r>
    </w:p>
    <w:p>
      <w:pPr>
        <w:pStyle w:val="Normal"/>
        <w:tabs>
          <w:tab w:val="clear" w:pos="708"/>
          <w:tab w:val="left" w:pos="1134" w:leader="none"/>
        </w:tabs>
        <w:spacing w:lineRule="auto" w:line="240" w:before="0" w:after="0"/>
        <w:jc w:val="both"/>
        <w:rPr>
          <w:rFonts w:ascii="Arial" w:hAnsi="Arial" w:eastAsia="Times New Roman" w:cs="Arial"/>
          <w:b/>
          <w:b/>
          <w:iCs/>
          <w:color w:val="FF0000"/>
          <w:shd w:fill="C0C0C0" w:val="clear"/>
          <w:lang w:eastAsia="pt-BR"/>
        </w:rPr>
      </w:pPr>
      <w:r>
        <w:rPr>
          <w:rFonts w:eastAsia="Times New Roman" w:cs="Arial" w:ascii="Arial" w:hAnsi="Arial"/>
          <w:b/>
          <w:iCs/>
          <w:color w:val="FF0000"/>
          <w:shd w:fill="C0C0C0" w:val="clear"/>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19. DAS OBRIGAÇÕES DE CONTRATADA E CONTRATANTE</w:t>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t xml:space="preserve">19.1. REGRAS GERAIS </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19.1.1.</w:t>
      </w:r>
      <w:r>
        <w:rPr>
          <w:rFonts w:cs="Arial" w:ascii="Arial" w:hAnsi="Arial"/>
          <w:iCs/>
        </w:rPr>
        <w:t xml:space="preserve"> O contrato regular-se-á pelas suas cláusulas e pelos preceitos de direito público, e a ele será aplicado, supletivamente, os princípios da teoria geral dos contratos e as disposições de direito privado.</w:t>
      </w:r>
    </w:p>
    <w:p>
      <w:pPr>
        <w:pStyle w:val="Normal"/>
        <w:spacing w:lineRule="auto" w:line="240" w:before="0" w:after="0"/>
        <w:jc w:val="both"/>
        <w:rPr>
          <w:rFonts w:ascii="Arial" w:hAnsi="Arial" w:cs="Arial"/>
          <w:b/>
          <w:b/>
          <w:iCs/>
          <w:color w:val="000000"/>
        </w:rPr>
      </w:pPr>
      <w:r>
        <w:rPr>
          <w:rFonts w:cs="Arial" w:ascii="Arial" w:hAnsi="Arial"/>
          <w:b/>
          <w:iCs/>
          <w:color w:val="000000"/>
        </w:rPr>
      </w:r>
    </w:p>
    <w:p>
      <w:pPr>
        <w:pStyle w:val="Normal"/>
        <w:spacing w:lineRule="auto" w:line="240" w:before="0" w:after="0"/>
        <w:jc w:val="both"/>
        <w:rPr/>
      </w:pPr>
      <w:r>
        <w:rPr>
          <w:rFonts w:cs="Arial" w:ascii="Arial" w:hAnsi="Arial"/>
          <w:bCs/>
          <w:iCs/>
          <w:color w:val="000000"/>
        </w:rPr>
        <w:t>19.1.2.</w:t>
      </w:r>
      <w:r>
        <w:rPr>
          <w:rFonts w:cs="Arial" w:ascii="Arial" w:hAnsi="Arial"/>
          <w:iCs/>
          <w:color w:val="000000"/>
        </w:rPr>
        <w:t xml:space="preserve"> A Administração Pública Municipal convocará o licitante vencedor para assinar o termo de contrato ou para aceitar ou retirar o instrumento equivalente, dentro do prazo máximo de 03 (três) dias úteis, sob pena de decair o direito à contratação, sem prejuízo das sanções previstas na Lei nº 14.133/2021. </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19.1.2.1.</w:t>
      </w:r>
      <w:r>
        <w:rPr>
          <w:rFonts w:cs="Arial" w:ascii="Arial" w:hAnsi="Arial"/>
          <w:iCs/>
        </w:rPr>
        <w:t xml:space="preserve"> O prazo de convocação poderá ser prorrogado 01 (uma) vez, por igual período, mediante solicitação da parte durante seu transcurso, devidamente justificada, e desde que o motivo apresentado seja aceito pela Administração.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19.1.2.2.</w:t>
      </w:r>
      <w:r>
        <w:rPr>
          <w:rFonts w:cs="Arial" w:ascii="Arial" w:hAnsi="Arial"/>
          <w:iCs/>
        </w:rPr>
        <w:t xml:space="preserve"> Poderá a Administração Pública Municipal,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19.1.2.3.</w:t>
      </w:r>
      <w:r>
        <w:rPr>
          <w:rFonts w:cs="Arial" w:ascii="Arial" w:hAnsi="Arial"/>
          <w:iCs/>
        </w:rPr>
        <w:t xml:space="preserve"> Decorrido o prazo de validade da proposta indicado no edital sem convocação para a contratação, ficarão os licitantes liberados dos compromissos assumidos.</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19.1.2.4.</w:t>
      </w:r>
      <w:r>
        <w:rPr>
          <w:rFonts w:cs="Arial" w:ascii="Arial" w:hAnsi="Arial"/>
          <w:iCs/>
        </w:rPr>
        <w:t xml:space="preserve"> Na hipótese de nenhum dos licitantes aceitar a, a Administração, observados o valor estimado e sua eventual atualização nos termos do edital, poderá (a) convocar os licitantes remanescentes para negociação, na ordem de classificação, com vistas à obtenção de preço melhor, mesmo que acima do preço do adjudicatário; (b) adjudicar e celebrar o contrato nas condições ofertadas pelos licitantes remanescentes, atendida a ordem classificatória, quando frustrada a negociação de melhor condição.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 xml:space="preserve">19.1.2.5. </w:t>
      </w:r>
      <w:r>
        <w:rPr>
          <w:rFonts w:cs="Arial" w:ascii="Arial" w:hAnsi="Arial"/>
          <w:iCs/>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w:t>
      </w:r>
    </w:p>
    <w:p>
      <w:pPr>
        <w:pStyle w:val="Normal"/>
        <w:spacing w:lineRule="auto" w:line="240" w:before="0" w:after="0"/>
        <w:jc w:val="both"/>
        <w:rPr>
          <w:rFonts w:ascii="Arial" w:hAnsi="Arial" w:cs="Arial"/>
          <w:iCs/>
        </w:rPr>
      </w:pPr>
      <w:r>
        <w:rPr>
          <w:rFonts w:cs="Arial" w:ascii="Arial" w:hAnsi="Arial"/>
          <w:iCs/>
        </w:rPr>
      </w:r>
    </w:p>
    <w:p>
      <w:pPr>
        <w:pStyle w:val="Normal"/>
        <w:spacing w:lineRule="auto" w:line="240" w:before="0" w:after="0"/>
        <w:jc w:val="both"/>
        <w:rPr/>
      </w:pPr>
      <w:r>
        <w:rPr>
          <w:rFonts w:cs="Arial" w:ascii="Arial" w:hAnsi="Arial"/>
          <w:bCs/>
          <w:iCs/>
        </w:rPr>
        <w:t>19.1.2.6.</w:t>
      </w:r>
      <w:r>
        <w:rPr>
          <w:rFonts w:cs="Arial" w:ascii="Arial" w:hAnsi="Arial"/>
          <w:iCs/>
        </w:rPr>
        <w:t xml:space="preserve"> É possível que a Administração convoque os demais licitantes classificados para a contratação de remanescente de obra, de serviço ou de fornecimento em consequência de rescisão contratual, observados os mesmos critérios estabelecidos nos §§ 2º e 4º do art. 90 da Lei nº 14.133/2021.</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 xml:space="preserve">19.1.3. </w:t>
      </w:r>
      <w:r>
        <w:rPr>
          <w:rFonts w:cs="Arial" w:ascii="Arial" w:hAnsi="Arial"/>
          <w:iCs/>
        </w:rPr>
        <w:t>Os contratos e seus aditamentos terão forma escrita e serão juntados ao processo que tiver dado origem à contratação, divulgados e mantidos à disposição do público em sítio eletrônico oficial.</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19.1.3.1.</w:t>
      </w:r>
      <w:r>
        <w:rPr>
          <w:rFonts w:cs="Arial" w:ascii="Arial" w:hAnsi="Arial"/>
          <w:iCs/>
        </w:rPr>
        <w:t xml:space="preserve"> Será admitida a forma eletrônica na celebração de contratos e de termos aditivos, atendidas as exigências previstas em regulamento.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19.1.3.2.</w:t>
      </w:r>
      <w:r>
        <w:rPr>
          <w:rFonts w:cs="Arial" w:ascii="Arial" w:hAnsi="Arial"/>
          <w:b/>
          <w:iCs/>
        </w:rPr>
        <w:t xml:space="preserve"> </w:t>
      </w:r>
      <w:r>
        <w:rPr>
          <w:rFonts w:cs="Arial" w:ascii="Arial" w:hAnsi="Arial"/>
          <w:iCs/>
        </w:rPr>
        <w:t>Antes de formalizar ou prorrogar o prazo de vigência do contrato, a Administração verificará a regularidade fiscal do contratado, consultar o Cadastro Nacional de Empresas Inidôneas e Suspensas (CEIS) e o Cadastro Nacional de Empresas Punidas (CNEP), emitir as certidões negativas de inidoneidade, de impedimento e de débitos trabalhistas e para serem juntadas ao respectivo processo.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19.1.4.</w:t>
      </w:r>
      <w:r>
        <w:rPr>
          <w:rFonts w:cs="Arial" w:ascii="Arial" w:hAnsi="Arial"/>
          <w:iCs/>
        </w:rPr>
        <w:t xml:space="preserve"> Os contratos administrativos obedecerão irrestritamente o disposto no art. 92 da Lei nº 14.133/2021.</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19.1.4.1.</w:t>
      </w:r>
      <w:r>
        <w:rPr>
          <w:rFonts w:cs="Arial" w:ascii="Arial" w:hAnsi="Arial"/>
          <w:iCs/>
        </w:rPr>
        <w:t xml:space="preserve"> O contrato administrativo poderá ser substituído por outro instrumento hábil, como carta-contrato, nota de empenho de despesa, autorização de compra ou ordem de execução de serviço no caso de compras com entrega imediata e integral dos bens adquiridos e dos quais não resultem obrigações futuras, inclusive quanto a assistência técnica, independentemente de seu valor (art. 95, II), aplicando no que couber o disposto no art. 92 da Lei nº 14.133/2021.</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19.1.4.2.</w:t>
      </w:r>
      <w:r>
        <w:rPr>
          <w:rFonts w:cs="Arial" w:ascii="Arial" w:hAnsi="Arial"/>
          <w:iCs/>
        </w:rPr>
        <w:t xml:space="preserve"> O contrato terá seu preço reajustado pelo índice </w:t>
      </w:r>
      <w:r>
        <w:rPr>
          <w:rFonts w:cs="Arial" w:ascii="Arial" w:hAnsi="Arial"/>
          <w:iCs/>
          <w:color w:val="000000"/>
        </w:rPr>
        <w:t>INPC</w:t>
      </w:r>
      <w:r>
        <w:rPr>
          <w:rFonts w:cs="Arial" w:ascii="Arial" w:hAnsi="Arial"/>
          <w:iCs/>
        </w:rPr>
        <w:t xml:space="preserve"> com data-base vinculada à data do orçamento estimado.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19.1.4.2.1.</w:t>
      </w:r>
      <w:r>
        <w:rPr>
          <w:rFonts w:cs="Arial" w:ascii="Arial" w:hAnsi="Arial"/>
          <w:iCs/>
        </w:rPr>
        <w:t xml:space="preserve"> Poderá ser estabelecido mais de um índice específico ou setorial, em conformidade com a realidade de mercado dos respectivos insumos.</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 xml:space="preserve">19.1.5. </w:t>
      </w:r>
      <w:r>
        <w:rPr>
          <w:rFonts w:cs="Arial" w:ascii="Arial" w:hAnsi="Arial"/>
        </w:rPr>
        <w:t>O contrato administrativo será publicado no prazo de 20 (vinte) dias úteis, contados da data de sua assinatura.</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19.1.6.</w:t>
      </w:r>
      <w:r>
        <w:rPr>
          <w:rFonts w:cs="Arial" w:ascii="Arial" w:hAnsi="Arial"/>
        </w:rPr>
        <w:t xml:space="preserve"> No caso de consórcio: fica condicionada a assinatura do contrato a:</w:t>
      </w:r>
    </w:p>
    <w:p>
      <w:pPr>
        <w:pStyle w:val="Normal"/>
        <w:numPr>
          <w:ilvl w:val="0"/>
          <w:numId w:val="2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Comprovação de compromisso público ou particular de constituição de consórcio, subscrito pelos consorciados;</w:t>
      </w:r>
    </w:p>
    <w:p>
      <w:pPr>
        <w:pStyle w:val="Normal"/>
        <w:numPr>
          <w:ilvl w:val="0"/>
          <w:numId w:val="2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Indicação da empresa líder do consórcio, que será responsável por sua representação perante a Administração.</w:t>
      </w:r>
    </w:p>
    <w:p>
      <w:pPr>
        <w:pStyle w:val="Normal"/>
        <w:tabs>
          <w:tab w:val="clear" w:pos="708"/>
          <w:tab w:val="left" w:pos="567" w:leader="none"/>
        </w:tabs>
        <w:spacing w:lineRule="auto" w:line="240" w:before="0" w:after="0"/>
        <w:contextualSpacing/>
        <w:jc w:val="both"/>
        <w:rPr>
          <w:rFonts w:ascii="Arial" w:hAnsi="Arial" w:cs="Arial"/>
        </w:rPr>
      </w:pPr>
      <w:r>
        <w:rPr>
          <w:rFonts w:cs="Arial" w:ascii="Arial" w:hAnsi="Arial"/>
        </w:rPr>
      </w:r>
    </w:p>
    <w:p>
      <w:pPr>
        <w:pStyle w:val="Normal"/>
        <w:tabs>
          <w:tab w:val="clear" w:pos="708"/>
          <w:tab w:val="left" w:pos="567" w:leader="none"/>
        </w:tabs>
        <w:spacing w:lineRule="auto" w:line="240" w:before="0" w:after="0"/>
        <w:contextualSpacing/>
        <w:jc w:val="both"/>
        <w:rPr>
          <w:rFonts w:ascii="Arial" w:hAnsi="Arial" w:cs="Arial"/>
          <w:b/>
          <w:b/>
          <w:bCs/>
          <w:iCs/>
        </w:rPr>
      </w:pPr>
      <w:r>
        <w:rPr>
          <w:rFonts w:cs="Arial" w:ascii="Arial" w:hAnsi="Arial"/>
          <w:b/>
          <w:bCs/>
          <w:iCs/>
        </w:rPr>
        <w:t>19.1.7. Obrigações do CONTRATADO:</w:t>
      </w:r>
    </w:p>
    <w:p>
      <w:pPr>
        <w:pStyle w:val="Normal"/>
        <w:tabs>
          <w:tab w:val="clear" w:pos="708"/>
          <w:tab w:val="left" w:pos="567" w:leader="none"/>
        </w:tabs>
        <w:spacing w:lineRule="auto" w:line="240" w:before="0" w:after="0"/>
        <w:contextualSpacing/>
        <w:jc w:val="both"/>
        <w:rPr>
          <w:rFonts w:ascii="Arial" w:hAnsi="Arial" w:cs="Arial"/>
          <w:color w:val="000000"/>
        </w:rPr>
      </w:pPr>
      <w:r>
        <w:rPr>
          <w:rFonts w:cs="Arial" w:ascii="Arial" w:hAnsi="Arial"/>
          <w:color w:val="000000"/>
        </w:rPr>
      </w:r>
    </w:p>
    <w:p>
      <w:pPr>
        <w:pStyle w:val="Normal"/>
        <w:tabs>
          <w:tab w:val="clear" w:pos="708"/>
          <w:tab w:val="left" w:pos="1134" w:leader="none"/>
        </w:tabs>
        <w:spacing w:lineRule="auto" w:line="240" w:before="0" w:after="0"/>
        <w:jc w:val="both"/>
        <w:rPr/>
      </w:pPr>
      <w:r>
        <w:rPr>
          <w:rFonts w:cs="Arial" w:ascii="Arial" w:hAnsi="Arial"/>
          <w:color w:val="000000"/>
        </w:rPr>
        <w:t xml:space="preserve">19.1.7.1. </w:t>
      </w:r>
      <w:r>
        <w:rPr>
          <w:rFonts w:cs="Arial" w:ascii="Arial" w:hAnsi="Arial"/>
        </w:rPr>
        <w:t>A CONTRATADA deve cumprir todas as obrigações constantes no Edital, seus anexos e sua proposta, assumindo como exclusivamente seus os riscos e as despesas decorrentes da boa e perfeita execução do objeto e, ainda:</w:t>
      </w:r>
    </w:p>
    <w:p>
      <w:pPr>
        <w:pStyle w:val="Normal"/>
        <w:tabs>
          <w:tab w:val="clear" w:pos="708"/>
          <w:tab w:val="left" w:pos="1134" w:leader="none"/>
        </w:tabs>
        <w:spacing w:lineRule="auto" w:line="240" w:before="0" w:after="0"/>
        <w:jc w:val="both"/>
        <w:rPr>
          <w:rFonts w:ascii="Arial" w:hAnsi="Arial" w:cs="Arial"/>
          <w:color w:val="000000"/>
        </w:rPr>
      </w:pPr>
      <w:r>
        <w:rPr>
          <w:rFonts w:cs="Arial" w:ascii="Arial" w:hAnsi="Arial"/>
          <w:color w:val="000000"/>
        </w:rPr>
      </w:r>
    </w:p>
    <w:p>
      <w:pPr>
        <w:pStyle w:val="Normal"/>
        <w:tabs>
          <w:tab w:val="clear" w:pos="708"/>
          <w:tab w:val="left" w:pos="1134" w:leader="none"/>
        </w:tabs>
        <w:spacing w:lineRule="auto" w:line="240" w:before="0" w:after="0"/>
        <w:jc w:val="both"/>
        <w:rPr/>
      </w:pPr>
      <w:r>
        <w:rPr>
          <w:rFonts w:cs="Arial" w:ascii="Arial" w:hAnsi="Arial"/>
          <w:color w:val="000000"/>
        </w:rPr>
        <w:t>19.1</w:t>
      </w:r>
      <w:r>
        <w:rPr>
          <w:rFonts w:cs="Arial" w:ascii="Arial" w:hAnsi="Arial"/>
        </w:rPr>
        <w:t xml:space="preserve">.7.2. </w:t>
      </w:r>
      <w:r>
        <w:rPr>
          <w:rFonts w:cs="Arial" w:ascii="Arial" w:hAnsi="Arial"/>
          <w:color w:val="000000"/>
        </w:rPr>
        <w:t xml:space="preserve">Os </w:t>
      </w:r>
      <w:r>
        <w:rPr>
          <w:rFonts w:eastAsia="Calibri" w:cs="Arial" w:ascii="Arial" w:hAnsi="Arial"/>
          <w:color w:val="000000"/>
          <w:kern w:val="0"/>
          <w:sz w:val="22"/>
          <w:szCs w:val="22"/>
          <w:lang w:val="pt-BR" w:eastAsia="en-US" w:bidi="ar-SA"/>
        </w:rPr>
        <w:t>materiais</w:t>
      </w:r>
      <w:r>
        <w:rPr>
          <w:rFonts w:cs="Arial" w:ascii="Arial" w:hAnsi="Arial"/>
          <w:color w:val="000000"/>
        </w:rPr>
        <w:t xml:space="preserve"> deverão ser entregues nos locais indicados pela Secretaria solicitante, </w:t>
      </w:r>
      <w:r>
        <w:rPr>
          <w:rFonts w:cs="Arial" w:ascii="Arial" w:hAnsi="Arial"/>
          <w:b/>
          <w:bCs/>
          <w:color w:val="000000"/>
        </w:rPr>
        <w:t>no prazo máximo de 20 (vinte) dias consecutivos</w:t>
      </w:r>
      <w:r>
        <w:rPr>
          <w:rFonts w:cs="Arial" w:ascii="Arial" w:hAnsi="Arial"/>
          <w:color w:val="000000"/>
        </w:rPr>
        <w:t xml:space="preserve"> após a emissão da requisição de compra. Os </w:t>
      </w:r>
      <w:r>
        <w:rPr>
          <w:rFonts w:ascii="Arial" w:hAnsi="Arial"/>
        </w:rPr>
        <w:t xml:space="preserve">valores estimados incluem o custo do objeto/material, transporte, entrega e demais serviços necessários para o correto fornecimento dos objetos, nos locais e horários determinados pela administração. O serviço de transporte </w:t>
      </w:r>
      <w:r>
        <w:rPr>
          <w:rFonts w:eastAsia="Calibri" w:cs="Tahoma" w:ascii="Arial" w:hAnsi="Arial"/>
          <w:color w:val="auto"/>
          <w:kern w:val="0"/>
          <w:sz w:val="22"/>
          <w:szCs w:val="22"/>
          <w:lang w:val="pt-BR" w:eastAsia="en-US" w:bidi="ar-SA"/>
        </w:rPr>
        <w:t xml:space="preserve">deverá </w:t>
      </w:r>
      <w:r>
        <w:rPr>
          <w:rFonts w:ascii="Arial" w:hAnsi="Arial"/>
        </w:rPr>
        <w:t>ser prestado de acordo com a programação da Secretaria solicitante, ficando o Contratado obrigado a cumprir com o cronograma definido, que será repassado com antecedência.</w:t>
      </w:r>
    </w:p>
    <w:p>
      <w:pPr>
        <w:pStyle w:val="Normal"/>
        <w:tabs>
          <w:tab w:val="clear" w:pos="708"/>
          <w:tab w:val="left" w:pos="1134" w:leader="none"/>
        </w:tabs>
        <w:spacing w:lineRule="auto" w:line="240" w:before="0" w:after="0"/>
        <w:jc w:val="both"/>
        <w:rPr/>
      </w:pPr>
      <w:r>
        <w:rPr/>
      </w:r>
    </w:p>
    <w:p>
      <w:pPr>
        <w:pStyle w:val="Normal"/>
        <w:tabs>
          <w:tab w:val="clear" w:pos="708"/>
          <w:tab w:val="left" w:pos="1134" w:leader="none"/>
        </w:tabs>
        <w:spacing w:lineRule="auto" w:line="240" w:before="0" w:after="0"/>
        <w:jc w:val="both"/>
        <w:rPr/>
      </w:pPr>
      <w:r>
        <w:rPr>
          <w:rFonts w:ascii="Arial" w:hAnsi="Arial"/>
        </w:rPr>
        <w:t>19.1.7.2.1. O prazo para entrega poderá ser prorrogado pelo mesmo período definido no item anterior, sob justificativa da empresa vencedora e caso haja interesse da administração.</w:t>
      </w:r>
    </w:p>
    <w:p>
      <w:pPr>
        <w:pStyle w:val="Normal"/>
        <w:tabs>
          <w:tab w:val="clear" w:pos="708"/>
          <w:tab w:val="left" w:pos="1134" w:leader="none"/>
        </w:tabs>
        <w:spacing w:lineRule="auto" w:line="240" w:before="0" w:after="0"/>
        <w:jc w:val="both"/>
        <w:rPr/>
      </w:pPr>
      <w:r>
        <w:rPr/>
      </w:r>
    </w:p>
    <w:p>
      <w:pPr>
        <w:pStyle w:val="Normal"/>
        <w:tabs>
          <w:tab w:val="clear" w:pos="708"/>
          <w:tab w:val="left" w:pos="1134" w:leader="none"/>
        </w:tabs>
        <w:spacing w:lineRule="auto" w:line="240" w:before="0" w:after="0"/>
        <w:jc w:val="both"/>
        <w:rPr/>
      </w:pPr>
      <w:r>
        <w:rPr>
          <w:rFonts w:cs="Arial" w:ascii="Arial" w:hAnsi="Arial"/>
          <w:color w:val="000000"/>
        </w:rPr>
        <w:t>19</w:t>
      </w:r>
      <w:r>
        <w:rPr>
          <w:rFonts w:cs="Arial" w:ascii="Arial" w:hAnsi="Arial"/>
        </w:rPr>
        <w:t xml:space="preserve">.1.7.3. </w:t>
      </w:r>
      <w:r>
        <w:rPr>
          <w:rFonts w:eastAsia="Arial" w:cs="Arial" w:ascii="Arial" w:hAnsi="Arial"/>
        </w:rPr>
        <w:t>Acatar e atender as reclamações quanto às especificações e qualidade dos produtos fornecidos, sanando eventuais deficiências no prazo máximo de 07</w:t>
      </w:r>
      <w:r>
        <w:rPr>
          <w:rFonts w:eastAsia="Arial" w:cs="Arial" w:ascii="Arial" w:hAnsi="Arial"/>
          <w:shd w:fill="FFFFFF" w:val="clear"/>
          <w14:ligatures w14:val="standardContextual"/>
        </w:rPr>
        <w:t xml:space="preserve"> (</w:t>
      </w:r>
      <w:r>
        <w:rPr>
          <w:rFonts w:eastAsia="Arial" w:cs="Arial" w:ascii="Arial" w:hAnsi="Arial"/>
          <w:color w:val="000000"/>
          <w:kern w:val="2"/>
          <w:sz w:val="22"/>
          <w:szCs w:val="22"/>
          <w:shd w:fill="FFFFFF" w:val="clear"/>
          <w:lang w:val="pt-BR" w:eastAsia="pt-BR" w:bidi="ar-SA"/>
          <w14:ligatures w14:val="standardContextual"/>
        </w:rPr>
        <w:t>sete</w:t>
      </w:r>
      <w:r>
        <w:rPr>
          <w:rFonts w:eastAsia="Arial" w:cs="Arial" w:ascii="Arial" w:hAnsi="Arial"/>
          <w:shd w:fill="FFFFFF" w:val="clear"/>
          <w14:ligatures w14:val="standardContextual"/>
        </w:rPr>
        <w:t xml:space="preserve">) </w:t>
      </w:r>
      <w:r>
        <w:rPr>
          <w:rFonts w:eastAsia="Arial" w:cs="Arial" w:ascii="Arial" w:hAnsi="Arial"/>
          <w:color w:val="000000"/>
          <w:kern w:val="2"/>
          <w:sz w:val="22"/>
          <w:szCs w:val="22"/>
          <w:shd w:fill="FFFFFF" w:val="clear"/>
          <w:lang w:val="pt-BR" w:eastAsia="pt-BR" w:bidi="ar-SA"/>
          <w14:ligatures w14:val="standardContextual"/>
        </w:rPr>
        <w:t>dias</w:t>
      </w:r>
      <w:r>
        <w:rPr>
          <w:rFonts w:eastAsia="Arial" w:cs="Arial" w:ascii="Arial" w:hAnsi="Arial"/>
        </w:rPr>
        <w:t>, a contar da notificação da contratada, às suas custas, sem prejuízo da aplicação das penalidades, o que não atenda às especificações do contrato e cumprimento dos prazos previamente estabelecidos;</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rPr>
        <w:t>19.1.7.4. Serão de inteira responsabilidade da proponente vencedora, as despesas diretas ou indiretas tais como: transporte, encargos sociais, fiscais, trabalhistas, previdenciários ou de classe, indenizações civis e qualquer outra que for devido a empregados no desempenho dos serviços de entrega do objeto deste Contrato, ficando ainda o Contratante, isento de qualquer vínculo empregatício com os mesmos.</w:t>
      </w:r>
    </w:p>
    <w:p>
      <w:pPr>
        <w:pStyle w:val="Normal"/>
        <w:spacing w:lineRule="auto" w:line="240" w:before="0" w:after="0"/>
        <w:jc w:val="both"/>
        <w:rPr>
          <w:rFonts w:ascii="Arial" w:hAnsi="Arial"/>
        </w:rPr>
      </w:pPr>
      <w:r>
        <w:rPr>
          <w:rFonts w:ascii="Arial" w:hAnsi="Arial"/>
        </w:rPr>
      </w:r>
    </w:p>
    <w:p>
      <w:pPr>
        <w:pStyle w:val="Normal"/>
        <w:spacing w:lineRule="auto" w:line="240" w:before="0" w:after="0"/>
        <w:jc w:val="both"/>
        <w:rPr/>
      </w:pPr>
      <w:r>
        <w:rPr>
          <w:rFonts w:ascii="Arial" w:hAnsi="Arial"/>
        </w:rPr>
        <w:t>19.1.7.5. A empresa contratada será responsável por todos os ônus e obrigações concernentes à legislação fiscal, social, trabalhista e tributária, bem como pelos danos e prejuízos que a qualquer título causar ao contratante, ao meio ambiente e/ou a terceiros, em decorrência da execução dos serviços contratados, respondendo por si e por seus sucessores.</w:t>
      </w:r>
    </w:p>
    <w:p>
      <w:pPr>
        <w:pStyle w:val="Normal"/>
        <w:spacing w:lineRule="auto" w:line="240" w:before="0" w:after="0"/>
        <w:jc w:val="both"/>
        <w:rPr>
          <w:rFonts w:ascii="Arial" w:hAnsi="Arial"/>
        </w:rPr>
      </w:pPr>
      <w:r>
        <w:rPr>
          <w:rFonts w:ascii="Arial" w:hAnsi="Arial"/>
        </w:rPr>
      </w:r>
    </w:p>
    <w:p>
      <w:pPr>
        <w:pStyle w:val="Normal"/>
        <w:spacing w:lineRule="auto" w:line="240" w:before="0" w:after="0"/>
        <w:jc w:val="both"/>
        <w:rPr/>
      </w:pPr>
      <w:r>
        <w:rPr>
          <w:rFonts w:ascii="Arial" w:hAnsi="Arial"/>
        </w:rPr>
        <w:t xml:space="preserve">19.1.7.6. </w:t>
      </w:r>
      <w:r>
        <w:rPr>
          <w:rFonts w:eastAsia="Arial" w:cs="Arial" w:ascii="Arial" w:hAnsi="Arial"/>
        </w:rPr>
        <w:t>Sempre que solicitado pela secretaria, a empresa deverá apresentar amostra do objeto, antes que seja efetivamente feita a compra. A empresa terá o prazo máximo de 07 (sete) dias para envio da amostra que será analisada pelo município.</w:t>
      </w:r>
    </w:p>
    <w:p>
      <w:pPr>
        <w:pStyle w:val="Normal"/>
        <w:spacing w:lineRule="auto" w:line="240" w:before="0" w:after="0"/>
        <w:jc w:val="both"/>
        <w:rPr>
          <w:rFonts w:ascii="Arial" w:hAnsi="Arial" w:eastAsia="Arial" w:cs="Arial"/>
        </w:rPr>
      </w:pPr>
      <w:r>
        <w:rPr>
          <w:rFonts w:eastAsia="Arial" w:cs="Arial" w:ascii="Arial" w:hAnsi="Arial"/>
        </w:rPr>
      </w:r>
    </w:p>
    <w:p>
      <w:pPr>
        <w:pStyle w:val="Normal"/>
        <w:spacing w:lineRule="auto" w:line="240" w:before="0" w:after="0"/>
        <w:jc w:val="both"/>
        <w:rPr/>
      </w:pPr>
      <w:r>
        <w:rPr>
          <w:rFonts w:eastAsia="Arial" w:cs="Arial" w:ascii="Arial" w:hAnsi="Arial"/>
        </w:rPr>
        <w:t>19.1.7.6.1. As amostras deverão ser apresentadas devidamente embaladas e identificadas com etiquetas que contenham, no mínimo, a razão social da licitante, a identificação da licitação o número do item e marca a que se refere.</w:t>
      </w:r>
    </w:p>
    <w:p>
      <w:pPr>
        <w:pStyle w:val="Normal"/>
        <w:spacing w:lineRule="auto" w:line="240" w:before="0" w:after="0"/>
        <w:jc w:val="both"/>
        <w:rPr>
          <w:rFonts w:ascii="Arial" w:hAnsi="Arial" w:eastAsia="Arial" w:cs="Arial"/>
        </w:rPr>
      </w:pPr>
      <w:r>
        <w:rPr>
          <w:rFonts w:eastAsia="Arial" w:cs="Arial" w:ascii="Arial" w:hAnsi="Arial"/>
        </w:rPr>
      </w:r>
    </w:p>
    <w:p>
      <w:pPr>
        <w:pStyle w:val="Normal"/>
        <w:spacing w:lineRule="auto" w:line="240" w:before="0" w:after="0"/>
        <w:jc w:val="both"/>
        <w:rPr/>
      </w:pPr>
      <w:r>
        <w:rPr>
          <w:rFonts w:eastAsia="Arial" w:cs="Arial" w:ascii="Arial" w:hAnsi="Arial"/>
        </w:rPr>
        <w:t>19.1.7.7. O contratado fica obrigado a cumprir com os demais requisitos, obrigações e observações constantes no presente Edital, no Estudo Técnico Preliminar, no Termo de Referência e na Ata de Registro de Preços.</w:t>
      </w:r>
    </w:p>
    <w:p>
      <w:pPr>
        <w:pStyle w:val="Normal"/>
        <w:spacing w:lineRule="auto" w:line="240" w:before="0" w:after="0"/>
        <w:rPr>
          <w:rFonts w:ascii="Arial" w:hAnsi="Arial" w:cs="Arial"/>
          <w:b/>
          <w:b/>
          <w:bCs/>
          <w:u w:val="single"/>
        </w:rPr>
      </w:pPr>
      <w:r>
        <w:rPr>
          <w:rFonts w:cs="Arial" w:ascii="Arial" w:hAnsi="Arial"/>
          <w:b/>
          <w:bCs/>
          <w:u w:val="single"/>
        </w:rPr>
      </w:r>
    </w:p>
    <w:p>
      <w:pPr>
        <w:pStyle w:val="Normal"/>
        <w:tabs>
          <w:tab w:val="clear" w:pos="708"/>
          <w:tab w:val="left" w:pos="1134" w:leader="none"/>
        </w:tabs>
        <w:spacing w:lineRule="auto" w:line="240" w:before="0" w:after="0"/>
        <w:jc w:val="both"/>
        <w:rPr>
          <w:b/>
          <w:b/>
          <w:bCs/>
        </w:rPr>
      </w:pPr>
      <w:r>
        <w:rPr>
          <w:rFonts w:cs="Arial" w:ascii="Arial" w:hAnsi="Arial"/>
          <w:b/>
          <w:bCs/>
          <w:iCs/>
        </w:rPr>
        <w:t>19.1.8. Obrigações do CONTRATANTE:</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iCs/>
          <w:color w:val="000000"/>
        </w:rPr>
        <w:t>19.1.8.1. Acompanhar e fiscalizar o cumprimento das obrigações da Contratada, através de comissão/servidor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iCs/>
          <w:color w:val="000000"/>
        </w:rPr>
        <w:t>19.1.8.2. Permitir o livre acesso dos empregados, encarregados e/ou prepostos da CONTRATADA para a execução do contrato;</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iCs/>
          <w:color w:val="000000"/>
        </w:rPr>
        <w:t xml:space="preserve">19.1.8.3. Prestar as informações e os esclarecimentos que venham a ser solicitados pelos empregados, encarregados e/ou prepostos da CONTRATADA, desde que inerentes ao objeto do Contrato; </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19.1.9.</w:t>
      </w:r>
      <w:r>
        <w:rPr>
          <w:rFonts w:cs="Arial" w:ascii="Arial" w:hAnsi="Arial"/>
        </w:rPr>
        <w:t xml:space="preserve"> EXTINÇÃO CONTRATUAL: Constituirão motivos para extinção do contrato, devendo ser formalmente motivada nos autos do processo, assegurados o contraditório e a ampla defesa, as seguintes situações:</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Não cumprimento ou cumprimento irregular de normas editalícias ou de cláusulas contratuais, de especificações, de projetos ou de prazos;</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Desatendimento das determinações regulares emitidas pela autoridade designada para acompanhar e fiscalizar sua execução ou por autoridade superior;</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Alteração social ou modificação da finalidade ou da estrutura da empresa que restrinja sua capacidade de concluir o contrato;</w:t>
      </w:r>
    </w:p>
    <w:p>
      <w:pPr>
        <w:pStyle w:val="ListParagraph"/>
        <w:numPr>
          <w:ilvl w:val="0"/>
          <w:numId w:val="45"/>
        </w:numPr>
        <w:tabs>
          <w:tab w:val="clear" w:pos="708"/>
          <w:tab w:val="left" w:pos="1134" w:leader="none"/>
        </w:tabs>
        <w:spacing w:lineRule="auto" w:line="240" w:before="0" w:after="0"/>
        <w:ind w:left="567" w:hanging="0"/>
        <w:contextualSpacing/>
        <w:jc w:val="both"/>
        <w:rPr/>
      </w:pPr>
      <w:r>
        <w:rPr>
          <w:rFonts w:cs="Arial" w:ascii="Arial" w:hAnsi="Arial"/>
        </w:rPr>
        <w:t xml:space="preserve">Decretação de falência ou de insolvência civil, dissolução da sociedade ou falecimento do </w:t>
      </w:r>
      <w:r>
        <w:rPr>
          <w:rFonts w:cs="Arial" w:ascii="Arial" w:hAnsi="Arial"/>
          <w:b/>
        </w:rPr>
        <w:t>CONTRATADO</w:t>
      </w:r>
      <w:r>
        <w:rPr>
          <w:rFonts w:cs="Arial" w:ascii="Arial" w:hAnsi="Arial"/>
        </w:rPr>
        <w:t>;</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Caso fortuito ou força maior, regularmente comprovados, impeditivos da execução do contrato;</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Atraso na obtenção da licença ambiental, ou impossibilidade de obtê-la, ou alteração substancial do anteprojeto que dela resultar, ainda que obtida no prazo previsto;</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Atraso na liberação das áreas sujeitas a desapropriação, a desocupação ou a servidão administrativa, ou impossibilidade de liberação dessas áreas;</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Razões de interesse público, justificadas pela autoridade máxima do órgão;</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Não cumprimento das obrigações relativas à reserva de cargos prevista em lei, bem como em outras normas específicas, para pessoa com deficiência, para reabilitado da Previdência Social ou para aprendiz.</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19.1.9.1.</w:t>
      </w:r>
      <w:r>
        <w:rPr>
          <w:rFonts w:cs="Arial" w:ascii="Arial" w:hAnsi="Arial"/>
          <w:b/>
        </w:rPr>
        <w:t xml:space="preserve"> </w:t>
      </w:r>
      <w:r>
        <w:rPr>
          <w:rFonts w:cs="Arial" w:ascii="Arial" w:hAnsi="Arial"/>
        </w:rPr>
        <w:t>As hipóteses de extinção a que se referem os incisos II, III e IV observarão as seguintes disposições:</w:t>
      </w:r>
    </w:p>
    <w:p>
      <w:pPr>
        <w:pStyle w:val="ListParagraph"/>
        <w:numPr>
          <w:ilvl w:val="0"/>
          <w:numId w:val="47"/>
        </w:numPr>
        <w:tabs>
          <w:tab w:val="clear" w:pos="708"/>
          <w:tab w:val="left" w:pos="1134" w:leader="none"/>
        </w:tabs>
        <w:spacing w:lineRule="auto" w:line="240" w:before="0" w:after="0"/>
        <w:ind w:left="567" w:hanging="0"/>
        <w:contextualSpacing/>
        <w:jc w:val="both"/>
        <w:rPr/>
      </w:pPr>
      <w:r>
        <w:rPr>
          <w:rFonts w:cs="Arial" w:ascii="Arial" w:hAnsi="Arial"/>
        </w:rPr>
        <w:t xml:space="preserve">Não serão admitidas em caso de calamidade pública, de grave perturbação da ordem interna ou de guerra, bem como quando decorrerem de ato ou fato que o </w:t>
      </w:r>
      <w:r>
        <w:rPr>
          <w:rFonts w:cs="Arial" w:ascii="Arial" w:hAnsi="Arial"/>
          <w:b/>
        </w:rPr>
        <w:t>CONTRATADO</w:t>
      </w:r>
      <w:r>
        <w:rPr>
          <w:rFonts w:cs="Arial" w:ascii="Arial" w:hAnsi="Arial"/>
        </w:rPr>
        <w:t xml:space="preserve"> tenha praticado, do qual tenha participado ou para o qual tenha contribuído;</w:t>
      </w:r>
    </w:p>
    <w:p>
      <w:pPr>
        <w:pStyle w:val="ListParagraph"/>
        <w:numPr>
          <w:ilvl w:val="0"/>
          <w:numId w:val="47"/>
        </w:numPr>
        <w:tabs>
          <w:tab w:val="clear" w:pos="708"/>
          <w:tab w:val="left" w:pos="1134" w:leader="none"/>
        </w:tabs>
        <w:spacing w:lineRule="auto" w:line="240" w:before="0" w:after="0"/>
        <w:ind w:left="567" w:hanging="0"/>
        <w:contextualSpacing/>
        <w:jc w:val="both"/>
        <w:rPr/>
      </w:pPr>
      <w:r>
        <w:rPr>
          <w:rFonts w:cs="Arial" w:ascii="Arial" w:hAnsi="Arial"/>
        </w:rPr>
        <w:t xml:space="preserve">Assegurarão ao </w:t>
      </w:r>
      <w:r>
        <w:rPr>
          <w:rFonts w:cs="Arial" w:ascii="Arial" w:hAnsi="Arial"/>
          <w:b/>
        </w:rPr>
        <w:t>CONTRATADO</w:t>
      </w:r>
      <w:r>
        <w:rPr>
          <w:rFonts w:cs="Arial" w:ascii="Arial" w:hAnsi="Arial"/>
        </w:rPr>
        <w:t xml:space="preserve"> o direito de optar pela suspensão do cumprimento das obrigações assumidas até a normalização da situação, admitido o restabelecimento do equilíbrio econômico-financeiro do contrato, na forma da alínea “d” do inciso II do </w:t>
      </w:r>
      <w:r>
        <w:rPr>
          <w:rFonts w:cs="Arial" w:ascii="Arial" w:hAnsi="Arial"/>
          <w:i/>
        </w:rPr>
        <w:t>caput</w:t>
      </w:r>
      <w:r>
        <w:rPr>
          <w:rFonts w:cs="Arial" w:ascii="Arial" w:hAnsi="Arial"/>
        </w:rPr>
        <w:t xml:space="preserve"> do art. 124 da Lei nº 14.133/2021.</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19.1.9.2.</w:t>
      </w:r>
      <w:r>
        <w:rPr>
          <w:rFonts w:cs="Arial" w:ascii="Arial" w:hAnsi="Arial"/>
        </w:rPr>
        <w:t xml:space="preserve"> O </w:t>
      </w:r>
      <w:r>
        <w:rPr>
          <w:rFonts w:cs="Arial" w:ascii="Arial" w:hAnsi="Arial"/>
          <w:b/>
        </w:rPr>
        <w:t>CONTRATADO</w:t>
      </w:r>
      <w:r>
        <w:rPr>
          <w:rFonts w:cs="Arial" w:ascii="Arial" w:hAnsi="Arial"/>
        </w:rPr>
        <w:t xml:space="preserve"> terá direito à extinção do contrato nas seguintes hipóteses:</w:t>
      </w:r>
    </w:p>
    <w:p>
      <w:pPr>
        <w:pStyle w:val="ListParagraph"/>
        <w:numPr>
          <w:ilvl w:val="0"/>
          <w:numId w:val="4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Supressão, por parte da Administração, de obras, serviços ou compras que acarrete modificação do valor inicial do contrato além do limite permitido no art. 125 da Lei nº 14.133/2021;</w:t>
      </w:r>
    </w:p>
    <w:p>
      <w:pPr>
        <w:pStyle w:val="ListParagraph"/>
        <w:numPr>
          <w:ilvl w:val="0"/>
          <w:numId w:val="4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Suspensão de execução do contrato, por ordem escrita da Administração, por prazo superior a 03 (três) meses;</w:t>
      </w:r>
    </w:p>
    <w:p>
      <w:pPr>
        <w:pStyle w:val="ListParagraph"/>
        <w:numPr>
          <w:ilvl w:val="0"/>
          <w:numId w:val="4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Repetidas suspensões que totalizem 90 (noventa) dias úteis, independentemente do pagamento obrigatório de indenização pelas sucessivas e contratualmente imprevistas desmobilizações e mobilizações e outras previstas;</w:t>
      </w:r>
    </w:p>
    <w:p>
      <w:pPr>
        <w:pStyle w:val="ListParagraph"/>
        <w:numPr>
          <w:ilvl w:val="0"/>
          <w:numId w:val="4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Atraso superior a 02 (dois) meses, contado da emissão da nota fiscal, dos pagamentos ou de parcelas de pagamentos devidos pela Administração por despesas de obras, serviços ou fornecimentos;</w:t>
      </w:r>
    </w:p>
    <w:p>
      <w:pPr>
        <w:pStyle w:val="ListParagraph"/>
        <w:numPr>
          <w:ilvl w:val="0"/>
          <w:numId w:val="4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
        </w:rPr>
        <w:t>19.1.9.3.</w:t>
      </w:r>
      <w:r>
        <w:rPr>
          <w:rFonts w:cs="Arial" w:ascii="Arial" w:hAnsi="Arial"/>
        </w:rPr>
        <w:t xml:space="preserve"> A extinção do contrato poderá ser:</w:t>
      </w:r>
    </w:p>
    <w:p>
      <w:pPr>
        <w:pStyle w:val="ListParagraph"/>
        <w:numPr>
          <w:ilvl w:val="0"/>
          <w:numId w:val="4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Determinada por ato unilateral e escrito da Administração, exceto no caso de descumprimento decorrente de sua própria conduta;</w:t>
      </w:r>
    </w:p>
    <w:p>
      <w:pPr>
        <w:pStyle w:val="ListParagraph"/>
        <w:numPr>
          <w:ilvl w:val="0"/>
          <w:numId w:val="4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Consensual, por acordo entre as partes, por conciliação, por mediação ou por comitê de resolução de disputas, desde que haja interesse da Administração;</w:t>
      </w:r>
    </w:p>
    <w:p>
      <w:pPr>
        <w:pStyle w:val="ListParagraph"/>
        <w:numPr>
          <w:ilvl w:val="0"/>
          <w:numId w:val="4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Determinada por decisão arbitral, em decorrência de cláusula compromissória ou compromisso arbitral, ou por decisão judicial.</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19.1.9.3.1.</w:t>
      </w:r>
      <w:r>
        <w:rPr>
          <w:rFonts w:cs="Arial" w:ascii="Arial" w:hAnsi="Arial"/>
        </w:rPr>
        <w:t xml:space="preserve"> A extinção determinada por ato unilateral da Administração e a extinção consensual serão precedidas de autorização escrita e fundamentada da autoridade competente e reduzidas a termo no respectivo processo.</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19.1.9.3.2.</w:t>
      </w:r>
      <w:r>
        <w:rPr>
          <w:rFonts w:cs="Arial" w:ascii="Arial" w:hAnsi="Arial"/>
        </w:rPr>
        <w:t xml:space="preserve"> Quando a extinção decorrer de culpa exclusiva da Administração, o </w:t>
      </w:r>
      <w:r>
        <w:rPr>
          <w:rFonts w:cs="Arial" w:ascii="Arial" w:hAnsi="Arial"/>
          <w:b/>
        </w:rPr>
        <w:t>CONTRATADO</w:t>
      </w:r>
      <w:r>
        <w:rPr>
          <w:rFonts w:cs="Arial" w:ascii="Arial" w:hAnsi="Arial"/>
        </w:rPr>
        <w:t xml:space="preserve"> será ressarcido pelos prejuízos regularmente comprovados que houver sofrido e terá direito a:</w:t>
      </w:r>
    </w:p>
    <w:p>
      <w:pPr>
        <w:pStyle w:val="ListParagraph"/>
        <w:numPr>
          <w:ilvl w:val="0"/>
          <w:numId w:val="4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Devolução da garantia;</w:t>
      </w:r>
    </w:p>
    <w:p>
      <w:pPr>
        <w:pStyle w:val="ListParagraph"/>
        <w:numPr>
          <w:ilvl w:val="0"/>
          <w:numId w:val="4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Pagamentos devidos pela execução do contrato até a data de extinção;</w:t>
      </w:r>
    </w:p>
    <w:p>
      <w:pPr>
        <w:pStyle w:val="ListParagraph"/>
        <w:numPr>
          <w:ilvl w:val="0"/>
          <w:numId w:val="4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do custo da desmobilização.</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
        </w:rPr>
        <w:t>19.1.9.4.</w:t>
      </w:r>
      <w:r>
        <w:rPr>
          <w:rFonts w:cs="Arial" w:ascii="Arial" w:hAnsi="Arial"/>
        </w:rPr>
        <w:t xml:space="preserve"> A extinção determinada por ato unilateral da Administração poderá acarretar, sem prejuízo das sanções previstas na Lei nº 14.133/2021, as seguintes consequências:</w:t>
      </w:r>
    </w:p>
    <w:p>
      <w:pPr>
        <w:pStyle w:val="ListParagraph"/>
        <w:numPr>
          <w:ilvl w:val="0"/>
          <w:numId w:val="5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Assunção imediata do objeto do contrato, no estado e local em que se encontrar, por ato próprio da Administração;</w:t>
      </w:r>
    </w:p>
    <w:p>
      <w:pPr>
        <w:pStyle w:val="ListParagraph"/>
        <w:numPr>
          <w:ilvl w:val="0"/>
          <w:numId w:val="5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Ocupação e utilização do local, das instalações, dos equipamentos, do material e do pessoal empregados na execução do contrato e necessários à sua continuidade;</w:t>
      </w:r>
    </w:p>
    <w:p>
      <w:pPr>
        <w:pStyle w:val="ListParagraph"/>
        <w:numPr>
          <w:ilvl w:val="0"/>
          <w:numId w:val="5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Execução da garantia contratual para:</w:t>
      </w:r>
    </w:p>
    <w:p>
      <w:pPr>
        <w:pStyle w:val="ListParagraph"/>
        <w:tabs>
          <w:tab w:val="clear" w:pos="708"/>
          <w:tab w:val="left" w:pos="1701" w:leader="none"/>
        </w:tabs>
        <w:spacing w:lineRule="auto" w:line="240" w:before="0" w:after="0"/>
        <w:ind w:left="1134" w:hanging="0"/>
        <w:contextualSpacing/>
        <w:jc w:val="both"/>
        <w:rPr/>
      </w:pPr>
      <w:r>
        <w:rPr>
          <w:rFonts w:cs="Arial" w:ascii="Arial" w:hAnsi="Arial"/>
          <w:b/>
          <w:bCs/>
        </w:rPr>
        <w:t>i)</w:t>
      </w:r>
      <w:r>
        <w:rPr>
          <w:rFonts w:cs="Arial" w:ascii="Arial" w:hAnsi="Arial"/>
        </w:rPr>
        <w:tab/>
        <w:t>Ressarcimento da Administração Pública por prejuízos decorrentes da não execução;</w:t>
      </w:r>
    </w:p>
    <w:p>
      <w:pPr>
        <w:pStyle w:val="ListParagraph"/>
        <w:tabs>
          <w:tab w:val="clear" w:pos="708"/>
          <w:tab w:val="left" w:pos="1701" w:leader="none"/>
        </w:tabs>
        <w:spacing w:lineRule="auto" w:line="240" w:before="0" w:after="0"/>
        <w:ind w:left="1134" w:hanging="0"/>
        <w:contextualSpacing/>
        <w:jc w:val="both"/>
        <w:rPr/>
      </w:pPr>
      <w:r>
        <w:rPr>
          <w:rFonts w:cs="Arial" w:ascii="Arial" w:hAnsi="Arial"/>
          <w:b/>
          <w:bCs/>
        </w:rPr>
        <w:t>ii)</w:t>
      </w:r>
      <w:r>
        <w:rPr>
          <w:rFonts w:cs="Arial" w:ascii="Arial" w:hAnsi="Arial"/>
        </w:rPr>
        <w:tab/>
        <w:t>Pagamento de verbas trabalhistas, fundiárias e previdenciárias, quando cabível;</w:t>
      </w:r>
    </w:p>
    <w:p>
      <w:pPr>
        <w:pStyle w:val="ListParagraph"/>
        <w:tabs>
          <w:tab w:val="clear" w:pos="708"/>
          <w:tab w:val="left" w:pos="1701" w:leader="none"/>
        </w:tabs>
        <w:spacing w:lineRule="auto" w:line="240" w:before="0" w:after="0"/>
        <w:ind w:left="1134" w:hanging="0"/>
        <w:contextualSpacing/>
        <w:jc w:val="both"/>
        <w:rPr/>
      </w:pPr>
      <w:r>
        <w:rPr>
          <w:rFonts w:cs="Arial" w:ascii="Arial" w:hAnsi="Arial"/>
          <w:b/>
          <w:bCs/>
        </w:rPr>
        <w:t>iii)</w:t>
      </w:r>
      <w:r>
        <w:rPr>
          <w:rFonts w:cs="Arial" w:ascii="Arial" w:hAnsi="Arial"/>
        </w:rPr>
        <w:tab/>
        <w:t>Pagamento das multas devidas à Administração Pública;</w:t>
      </w:r>
    </w:p>
    <w:p>
      <w:pPr>
        <w:pStyle w:val="ListParagraph"/>
        <w:tabs>
          <w:tab w:val="clear" w:pos="708"/>
          <w:tab w:val="left" w:pos="1701" w:leader="none"/>
        </w:tabs>
        <w:spacing w:lineRule="auto" w:line="240" w:before="0" w:after="0"/>
        <w:ind w:left="1134" w:hanging="0"/>
        <w:contextualSpacing/>
        <w:jc w:val="both"/>
        <w:rPr/>
      </w:pPr>
      <w:r>
        <w:rPr>
          <w:rFonts w:cs="Arial" w:ascii="Arial" w:hAnsi="Arial"/>
          <w:b/>
          <w:bCs/>
        </w:rPr>
        <w:t>iv)</w:t>
      </w:r>
      <w:r>
        <w:rPr>
          <w:rFonts w:cs="Arial" w:ascii="Arial" w:hAnsi="Arial"/>
        </w:rPr>
        <w:tab/>
        <w:t>Exigência da assunção da execução e da conclusão do objeto do contrato pela seguradora, quando cabível;</w:t>
      </w:r>
    </w:p>
    <w:p>
      <w:pPr>
        <w:pStyle w:val="ListParagraph"/>
        <w:tabs>
          <w:tab w:val="clear" w:pos="708"/>
          <w:tab w:val="left" w:pos="1134" w:leader="none"/>
        </w:tabs>
        <w:spacing w:lineRule="auto" w:line="240" w:before="0" w:after="0"/>
        <w:ind w:left="1134" w:hanging="0"/>
        <w:contextualSpacing/>
        <w:jc w:val="both"/>
        <w:rPr/>
      </w:pPr>
      <w:r>
        <w:rPr>
          <w:rFonts w:cs="Arial" w:ascii="Arial" w:hAnsi="Arial"/>
          <w:b/>
          <w:bCs/>
        </w:rPr>
        <w:t>v)</w:t>
      </w:r>
      <w:r>
        <w:rPr>
          <w:rFonts w:cs="Arial" w:ascii="Arial" w:hAnsi="Arial"/>
        </w:rPr>
        <w:t xml:space="preserve"> Retenção dos créditos decorrentes do contrato até o limite dos prejuízos causados à Administração Pública e das multas aplicadas.</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19.1.9.4.1.</w:t>
      </w:r>
      <w:r>
        <w:rPr>
          <w:rFonts w:cs="Arial" w:ascii="Arial" w:hAnsi="Arial"/>
        </w:rPr>
        <w:t xml:space="preserve"> A aplicação das medidas previstas nos incisos I e II ficará a critério da Administração, que poderá dar continuidade à obra ou ao serviço por execução direta ou indireta.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19.1.9.4.2.</w:t>
      </w:r>
      <w:r>
        <w:rPr>
          <w:rFonts w:cs="Arial" w:ascii="Arial" w:hAnsi="Arial"/>
        </w:rPr>
        <w:t xml:space="preserve"> Na hipótese do inciso II o ato deverá ser precedido de autorização expressa do secretário municipal competente.</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19.1.9.5.</w:t>
      </w:r>
      <w:r>
        <w:rPr>
          <w:rFonts w:cs="Arial" w:ascii="Arial" w:hAnsi="Arial"/>
        </w:rPr>
        <w:t xml:space="preserve"> Os emitentes das garantias previstas no art. 96 da Lei nº 14.133/2021 serão notificados pelo </w:t>
      </w:r>
      <w:r>
        <w:rPr>
          <w:rFonts w:cs="Arial" w:ascii="Arial" w:hAnsi="Arial"/>
          <w:b/>
        </w:rPr>
        <w:t>CONTRATANTE</w:t>
      </w:r>
      <w:r>
        <w:rPr>
          <w:rFonts w:cs="Arial" w:ascii="Arial" w:hAnsi="Arial"/>
        </w:rPr>
        <w:t xml:space="preserve"> quanto ao início de processo administrativo para apuração de descumprimento de cláusulas contratuais.</w:t>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t>19.2. GESTÃO E FISCALIZAÇÃO DO CONTRATO</w:t>
      </w:r>
    </w:p>
    <w:p>
      <w:pPr>
        <w:pStyle w:val="Normal"/>
        <w:tabs>
          <w:tab w:val="clear" w:pos="708"/>
          <w:tab w:val="left" w:pos="1134" w:leader="none"/>
        </w:tabs>
        <w:spacing w:lineRule="auto" w:line="240" w:before="0" w:after="0"/>
        <w:jc w:val="both"/>
        <w:rPr>
          <w:rFonts w:ascii="Arial" w:hAnsi="Arial" w:cs="Arial"/>
          <w:iCs/>
          <w:color w:val="000000"/>
        </w:rPr>
      </w:pPr>
      <w:r>
        <w:rPr>
          <w:rFonts w:cs="Arial" w:ascii="Arial" w:hAnsi="Arial"/>
          <w:iCs/>
          <w:color w:val="000000"/>
        </w:rPr>
      </w:r>
    </w:p>
    <w:p>
      <w:pPr>
        <w:pStyle w:val="Normal"/>
        <w:tabs>
          <w:tab w:val="clear" w:pos="708"/>
          <w:tab w:val="left" w:pos="1134" w:leader="none"/>
        </w:tabs>
        <w:spacing w:lineRule="auto" w:line="240" w:before="0" w:after="0"/>
        <w:jc w:val="both"/>
        <w:rPr>
          <w:rFonts w:ascii="Arial" w:hAnsi="Arial" w:cs="Arial"/>
          <w:iCs/>
          <w:color w:val="000000"/>
        </w:rPr>
      </w:pPr>
      <w:r>
        <w:rPr>
          <w:rFonts w:cs="Arial" w:ascii="Arial" w:hAnsi="Arial"/>
          <w:iCs/>
          <w:color w:val="000000"/>
        </w:rPr>
        <w:t>19.2.1. A fiscalização e gestão do contrato ocorre através de comissão responsável, formada por servidores do Município, os quais realizam a conferência do recebimento do produto ou serviço.</w:t>
      </w:r>
    </w:p>
    <w:p>
      <w:pPr>
        <w:pStyle w:val="Normal"/>
        <w:tabs>
          <w:tab w:val="clear" w:pos="708"/>
          <w:tab w:val="left" w:pos="1134" w:leader="none"/>
        </w:tabs>
        <w:spacing w:lineRule="auto" w:line="240" w:before="0" w:after="0"/>
        <w:jc w:val="both"/>
        <w:rPr>
          <w:rFonts w:ascii="Arial" w:hAnsi="Arial" w:eastAsia="Times New Roman" w:cs="Arial"/>
          <w:b/>
          <w:b/>
          <w:iCs/>
          <w:color w:val="FF0000"/>
          <w:shd w:fill="C0C0C0" w:val="clear"/>
          <w:lang w:eastAsia="pt-BR"/>
        </w:rPr>
      </w:pPr>
      <w:r>
        <w:rPr>
          <w:rFonts w:eastAsia="Times New Roman" w:cs="Arial" w:ascii="Arial" w:hAnsi="Arial"/>
          <w:b/>
          <w:iCs/>
          <w:color w:val="FF0000"/>
          <w:shd w:fill="C0C0C0" w:val="clear"/>
          <w:lang w:eastAsia="pt-BR"/>
        </w:rPr>
      </w:r>
    </w:p>
    <w:p>
      <w:pPr>
        <w:pStyle w:val="Normal"/>
        <w:widowControl w:val="false"/>
        <w:shd w:val="clear" w:color="auto" w:fill="AEAAAA"/>
        <w:tabs>
          <w:tab w:val="clear" w:pos="708"/>
          <w:tab w:val="left" w:pos="567" w:leader="none"/>
        </w:tabs>
        <w:spacing w:lineRule="auto" w:line="240" w:before="0" w:after="0"/>
        <w:jc w:val="both"/>
        <w:textAlignment w:val="baseline"/>
        <w:rPr>
          <w:rFonts w:ascii="Arial" w:hAnsi="Arial" w:eastAsia="Times New Roman" w:cs="Arial"/>
          <w:b/>
          <w:b/>
          <w:iCs/>
          <w:lang w:eastAsia="pt-BR"/>
        </w:rPr>
      </w:pPr>
      <w:r>
        <w:rPr>
          <w:rFonts w:eastAsia="Times New Roman" w:cs="Arial" w:ascii="Arial" w:hAnsi="Arial"/>
          <w:b/>
          <w:iCs/>
          <w:lang w:eastAsia="pt-BR"/>
        </w:rPr>
        <w:t>20. RECEBIMENTO DO OBJETO</w:t>
      </w:r>
    </w:p>
    <w:p>
      <w:pPr>
        <w:pStyle w:val="Normal"/>
        <w:spacing w:lineRule="auto" w:line="240" w:before="0" w:after="0"/>
        <w:jc w:val="both"/>
        <w:rPr>
          <w:rFonts w:ascii="Arial" w:hAnsi="Arial" w:eastAsia="Times New Roman" w:cs="Arial"/>
          <w:b/>
          <w:b/>
          <w:iCs/>
          <w:lang w:eastAsia="pt-BR"/>
        </w:rPr>
      </w:pPr>
      <w:r>
        <w:rPr>
          <w:rFonts w:eastAsia="Times New Roman" w:cs="Arial" w:ascii="Arial" w:hAnsi="Arial"/>
          <w:b/>
          <w:iCs/>
          <w:lang w:eastAsia="pt-BR"/>
        </w:rPr>
      </w:r>
    </w:p>
    <w:p>
      <w:pPr>
        <w:pStyle w:val="Normal"/>
        <w:spacing w:lineRule="auto" w:line="240" w:before="0" w:after="0"/>
        <w:jc w:val="both"/>
        <w:rPr/>
      </w:pPr>
      <w:r>
        <w:rPr>
          <w:rFonts w:eastAsia="Times New Roman" w:cs="Arial" w:ascii="Arial" w:hAnsi="Arial"/>
          <w:bCs/>
          <w:iCs/>
          <w:lang w:eastAsia="pt-BR"/>
        </w:rPr>
        <w:t>20.1.</w:t>
      </w:r>
      <w:r>
        <w:rPr>
          <w:rFonts w:eastAsia="Times New Roman" w:cs="Arial" w:ascii="Arial" w:hAnsi="Arial"/>
          <w:iCs/>
          <w:lang w:eastAsia="pt-BR"/>
        </w:rPr>
        <w:t xml:space="preserve"> O objeto será recebido </w:t>
      </w:r>
      <w:r>
        <w:rPr>
          <w:rFonts w:cs="Arial" w:ascii="Arial" w:hAnsi="Arial"/>
        </w:rPr>
        <w:t>junto aos departamentos e secretarias municipais, nas datas, horários e locais determinados pelo solicitante.</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20.1.1. </w:t>
      </w:r>
      <w:r>
        <w:rPr>
          <w:rFonts w:cs="Arial" w:ascii="Arial" w:hAnsi="Arial"/>
          <w:b/>
          <w:bCs/>
        </w:rPr>
        <w:t>Poderá ser solicitado amostra(s) do(s) objeto(s) da presente licitação, caso haja interesse da administração. As mesmas, caso solicitadas, deverão ser entregues no prazo máximo de 07 (sete) dias após a solicitação, devidamente embaladas e identificadas.</w:t>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b/>
          <w:b/>
          <w:iCs/>
          <w:lang w:eastAsia="pt-BR"/>
        </w:rPr>
      </w:pPr>
      <w:r>
        <w:rPr>
          <w:rFonts w:eastAsia="Times New Roman" w:cs="Arial" w:ascii="Arial" w:hAnsi="Arial"/>
          <w:b/>
          <w:iCs/>
          <w:lang w:eastAsia="pt-BR"/>
        </w:rPr>
      </w:r>
    </w:p>
    <w:p>
      <w:pPr>
        <w:pStyle w:val="Normal"/>
        <w:widowControl w:val="false"/>
        <w:tabs>
          <w:tab w:val="clear" w:pos="708"/>
          <w:tab w:val="left" w:pos="567" w:leader="none"/>
        </w:tabs>
        <w:spacing w:lineRule="auto" w:line="240" w:before="0" w:after="0"/>
        <w:contextualSpacing/>
        <w:jc w:val="both"/>
        <w:textAlignment w:val="baseline"/>
        <w:rPr/>
      </w:pPr>
      <w:r>
        <w:rPr>
          <w:rFonts w:eastAsia="Times New Roman" w:cs="Arial" w:ascii="Arial" w:hAnsi="Arial"/>
          <w:bCs/>
          <w:iCs/>
          <w:lang w:eastAsia="pt-BR"/>
        </w:rPr>
        <w:t>20.2.</w:t>
      </w:r>
      <w:r>
        <w:rPr>
          <w:rFonts w:eastAsia="Times New Roman" w:cs="Arial" w:ascii="Arial" w:hAnsi="Arial"/>
          <w:iCs/>
          <w:lang w:eastAsia="pt-BR"/>
        </w:rPr>
        <w:t xml:space="preserve"> O objeto do contrato poderá ser rejeitado, no todo ou em parte, quando estiver em desacordo com o contrato.</w:t>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iCs/>
          <w:lang w:eastAsia="pt-BR"/>
        </w:rPr>
      </w:pPr>
      <w:r>
        <w:rPr>
          <w:rFonts w:eastAsia="Times New Roman" w:cs="Arial" w:ascii="Arial" w:hAnsi="Arial"/>
          <w:iCs/>
          <w:lang w:eastAsia="pt-BR"/>
        </w:rPr>
      </w:r>
    </w:p>
    <w:p>
      <w:pPr>
        <w:pStyle w:val="Normal"/>
        <w:widowControl w:val="false"/>
        <w:tabs>
          <w:tab w:val="clear" w:pos="708"/>
          <w:tab w:val="left" w:pos="567" w:leader="none"/>
        </w:tabs>
        <w:spacing w:lineRule="auto" w:line="240" w:before="0" w:after="0"/>
        <w:contextualSpacing/>
        <w:jc w:val="both"/>
        <w:textAlignment w:val="baseline"/>
        <w:rPr/>
      </w:pPr>
      <w:r>
        <w:rPr>
          <w:rFonts w:eastAsia="Times New Roman" w:cs="Arial" w:ascii="Arial" w:hAnsi="Arial"/>
          <w:bCs/>
          <w:iCs/>
          <w:lang w:eastAsia="pt-BR"/>
        </w:rPr>
        <w:t>20.3.</w:t>
      </w:r>
      <w:r>
        <w:rPr>
          <w:rFonts w:eastAsia="Times New Roman" w:cs="Arial" w:ascii="Arial" w:hAnsi="Arial"/>
          <w:iCs/>
          <w:lang w:eastAsia="pt-BR"/>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iCs/>
          <w:lang w:eastAsia="pt-BR"/>
        </w:rPr>
      </w:pPr>
      <w:r>
        <w:rPr>
          <w:rFonts w:eastAsia="Times New Roman" w:cs="Arial" w:ascii="Arial" w:hAnsi="Arial"/>
          <w:iCs/>
          <w:lang w:eastAsia="pt-BR"/>
        </w:rPr>
      </w:r>
    </w:p>
    <w:p>
      <w:pPr>
        <w:pStyle w:val="Normal"/>
        <w:widowControl w:val="false"/>
        <w:tabs>
          <w:tab w:val="clear" w:pos="708"/>
          <w:tab w:val="left" w:pos="567" w:leader="none"/>
        </w:tabs>
        <w:spacing w:lineRule="auto" w:line="240" w:before="0" w:after="0"/>
        <w:contextualSpacing/>
        <w:jc w:val="both"/>
        <w:textAlignment w:val="baseline"/>
        <w:rPr/>
      </w:pPr>
      <w:r>
        <w:rPr>
          <w:rFonts w:eastAsia="Times New Roman" w:cs="Arial" w:ascii="Arial" w:hAnsi="Arial"/>
          <w:bCs/>
          <w:iCs/>
          <w:color w:val="000000"/>
          <w:lang w:eastAsia="pt-BR"/>
        </w:rPr>
        <w:t>20.4.</w:t>
      </w:r>
      <w:r>
        <w:rPr>
          <w:rFonts w:eastAsia="Times New Roman" w:cs="Arial" w:ascii="Arial" w:hAnsi="Arial"/>
          <w:iCs/>
          <w:color w:val="000000"/>
          <w:lang w:eastAsia="pt-BR"/>
        </w:rPr>
        <w:t xml:space="preserve"> Os prazos e os métodos para a realização dos recebimentos provisório e definitivo serão, conforme regulamento municipal 0041/2023.</w:t>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iCs/>
          <w:color w:val="FF0000"/>
          <w:lang w:eastAsia="pt-BR"/>
        </w:rPr>
      </w:pPr>
      <w:r>
        <w:rPr>
          <w:rFonts w:eastAsia="Times New Roman" w:cs="Arial" w:ascii="Arial" w:hAnsi="Arial"/>
          <w:iCs/>
          <w:color w:val="FF0000"/>
          <w:lang w:eastAsia="pt-BR"/>
        </w:rPr>
      </w:r>
    </w:p>
    <w:p>
      <w:pPr>
        <w:pStyle w:val="Normal"/>
        <w:spacing w:lineRule="auto" w:line="240" w:before="0" w:after="0"/>
        <w:jc w:val="both"/>
        <w:rPr/>
      </w:pPr>
      <w:r>
        <w:rPr>
          <w:rFonts w:eastAsia="Times New Roman" w:cs="Arial" w:ascii="Arial" w:hAnsi="Arial"/>
          <w:bCs/>
          <w:iCs/>
          <w:lang w:eastAsia="pt-BR"/>
        </w:rPr>
        <w:t>20.5.</w:t>
      </w:r>
      <w:r>
        <w:rPr>
          <w:rFonts w:eastAsia="Times New Roman" w:cs="Arial" w:ascii="Arial" w:hAnsi="Arial"/>
          <w:iCs/>
          <w:lang w:eastAsia="pt-BR"/>
        </w:rPr>
        <w:t xml:space="preserve"> Os ensaios, os testes e as demais provas para aferição da boa execução do objeto do contrato exigidos por normas técnicas oficiais correrão por conta do contratado.</w:t>
      </w:r>
    </w:p>
    <w:p>
      <w:pPr>
        <w:pStyle w:val="Normal"/>
        <w:spacing w:lineRule="auto" w:line="240" w:before="0" w:after="0"/>
        <w:jc w:val="both"/>
        <w:rPr>
          <w:rFonts w:ascii="Arial" w:hAnsi="Arial" w:eastAsia="Times New Roman" w:cs="Arial"/>
          <w:b/>
          <w:b/>
          <w:iCs/>
          <w:color w:val="000000"/>
          <w:lang w:eastAsia="pt-BR"/>
        </w:rPr>
      </w:pPr>
      <w:r>
        <w:rPr>
          <w:rFonts w:eastAsia="Times New Roman" w:cs="Arial" w:ascii="Arial" w:hAnsi="Arial"/>
          <w:b/>
          <w:iCs/>
          <w:color w:val="000000"/>
          <w:lang w:eastAsia="pt-BR"/>
        </w:rPr>
      </w:r>
    </w:p>
    <w:p>
      <w:pPr>
        <w:pStyle w:val="Normal"/>
        <w:spacing w:lineRule="auto" w:line="240" w:before="0" w:after="0"/>
        <w:jc w:val="both"/>
        <w:rPr/>
      </w:pPr>
      <w:r>
        <w:rPr>
          <w:rFonts w:eastAsia="Times New Roman" w:cs="Arial" w:ascii="Arial" w:hAnsi="Arial"/>
          <w:bCs/>
          <w:iCs/>
          <w:color w:val="000000"/>
          <w:lang w:eastAsia="pt-BR"/>
        </w:rPr>
        <w:t>20.6.</w:t>
      </w:r>
      <w:r>
        <w:rPr>
          <w:rFonts w:eastAsia="Times New Roman" w:cs="Arial" w:ascii="Arial" w:hAnsi="Arial"/>
          <w:iCs/>
          <w:color w:val="000000"/>
          <w:lang w:eastAsia="pt-BR"/>
        </w:rPr>
        <w:t xml:space="preserve"> O recebimento definitivo pela Administração não eximirá o contratado, pelo prazo mínimo de 05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pPr>
        <w:pStyle w:val="Normal"/>
        <w:spacing w:lineRule="auto" w:line="240" w:before="0" w:after="0"/>
        <w:jc w:val="both"/>
        <w:rPr>
          <w:rFonts w:ascii="Arial" w:hAnsi="Arial" w:eastAsia="Times New Roman" w:cs="Arial"/>
          <w:iCs/>
          <w:lang w:eastAsia="pt-BR"/>
        </w:rPr>
      </w:pPr>
      <w:r>
        <w:rPr>
          <w:rFonts w:eastAsia="Times New Roman" w:cs="Arial" w:ascii="Arial" w:hAnsi="Arial"/>
          <w:iCs/>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21. PAGAMENTO DO OBJETO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21.1.</w:t>
      </w:r>
      <w:r>
        <w:rPr>
          <w:rFonts w:cs="Arial" w:ascii="Arial" w:hAnsi="Arial"/>
        </w:rPr>
        <w:t xml:space="preserve"> No dever de pagamento pela Administração Pública Municipal, será observada a ordem cronológica para cada fonte diferenciada de recursos, subdividida nas seguintes categorias de contratos:</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Fornecimento de bens;</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Locações;</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Prestação de serviços;</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Realização de obras.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21.2.</w:t>
      </w:r>
      <w:r>
        <w:rPr>
          <w:rFonts w:cs="Arial" w:ascii="Arial" w:hAnsi="Arial"/>
        </w:rPr>
        <w:t xml:space="preserve"> A ordem cronológica poderá ser alterada, mediante prévia justificativa da autoridade competente e posterior comunicação ao órgão de controle interno da Administração Pública Municipal e ao Tribunal de Contas de Santa Catarina – TCE/SC, exclusivamente nas seguintes situações:</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Grave perturbação da ordem, situação de emergência ou calamidade pública;</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a microempresa, empresa de pequeno porte, agricultor familiar, produtor rural pessoa física, microempreendedor individual e sociedade cooperativa, desde que demonstrado o risco de descontinuidade do cumprimento do objeto do contrato;</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de serviços necessários ao funcionamento dos sistemas estruturantes, desde que demonstrado o risco de descontinuidade do cumprimento do objeto do contrato;</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de direitos oriundos de contratos em caso de falência, recuperação judicial ou dissolução da empresa contratada;</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21.3.</w:t>
      </w:r>
      <w:r>
        <w:rPr>
          <w:rFonts w:cs="Arial" w:ascii="Arial" w:hAnsi="Arial"/>
        </w:rPr>
        <w:t xml:space="preserve"> A inobservância imotivada da ordem cronológica ensejará a apuração de responsabilidade do agente responsável, cabendo aos órgãos de controle a sua fiscalização.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21.4.</w:t>
      </w:r>
      <w:r>
        <w:rPr>
          <w:rFonts w:cs="Arial" w:ascii="Arial" w:hAnsi="Arial"/>
        </w:rPr>
        <w:t xml:space="preserve"> A Administração Pública Municipal deverá disponibilizar, mensalmente, em seção específica de acesso à informação em seu sítio na internet, a ordem cronológica de seus pagamentos, bem como as justificativas que fundamentarem a eventual alteração dessa ordem.</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21.5.</w:t>
      </w:r>
      <w:r>
        <w:rPr>
          <w:rFonts w:cs="Arial" w:ascii="Arial" w:hAnsi="Arial"/>
          <w:b/>
        </w:rPr>
        <w:t xml:space="preserve"> </w:t>
      </w:r>
      <w:r>
        <w:rPr>
          <w:rFonts w:cs="Arial" w:ascii="Arial" w:hAnsi="Arial"/>
        </w:rPr>
        <w:t>No caso de controvérsia sobre a execução do objeto, quanto a dimensão, qualidade e quantidade, a parcela incontroversa deverá ser liberada no prazo previsto para pagamento.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21.6.</w:t>
      </w:r>
      <w:r>
        <w:rPr>
          <w:rFonts w:cs="Arial" w:ascii="Arial" w:hAnsi="Arial"/>
        </w:rPr>
        <w:t xml:space="preserve"> Não será permitido pagamento antecipado, parcial ou total, relativo a parcelas contratuais vinculadas ao fornecimento de bens, à execução de obras ou à prestação de serviços.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21.6.1.</w:t>
      </w:r>
      <w:r>
        <w:rPr>
          <w:rFonts w:cs="Arial" w:ascii="Arial" w:hAnsi="Arial"/>
        </w:rPr>
        <w:t xml:space="preserve"> A antecipação de pagamento somente será permitida se propiciar sensível economia de recursos ou se representar condição indispensável para a obtenção do bem ou para a prestação do serviço, hipótese que deverá ser </w:t>
      </w:r>
      <w:r>
        <w:rPr>
          <w:rFonts w:cs="Arial" w:ascii="Arial" w:hAnsi="Arial"/>
          <w:b/>
          <w:u w:val="single"/>
        </w:rPr>
        <w:t>previamente justificada</w:t>
      </w:r>
      <w:r>
        <w:rPr>
          <w:rFonts w:cs="Arial" w:ascii="Arial" w:hAnsi="Arial"/>
        </w:rPr>
        <w:t xml:space="preserve"> no processo licitatório.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21.6.2.</w:t>
      </w:r>
      <w:r>
        <w:rPr>
          <w:rFonts w:cs="Arial" w:ascii="Arial" w:hAnsi="Arial"/>
        </w:rPr>
        <w:t xml:space="preserve"> Caso o objeto não seja executado no prazo contratual, o valor antecipado deverá ser devolvido.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21.7.</w:t>
      </w:r>
      <w:r>
        <w:rPr>
          <w:rFonts w:cs="Arial" w:ascii="Arial" w:hAnsi="Arial"/>
        </w:rPr>
        <w:t xml:space="preserve"> No ato de liquidação da despesa, os serviços de contabilidade comunicarão aos órgãos da administração tributária as características da despesa e os valores pagos, conforme o disposto no art. 63 da </w:t>
      </w:r>
      <w:hyperlink r:id="rId20">
        <w:r>
          <w:rPr>
            <w:rStyle w:val="LinkdaInternet"/>
            <w:rFonts w:cs="Arial" w:ascii="Arial" w:hAnsi="Arial"/>
          </w:rPr>
          <w:t>Lei nº 4.320, de 17 de março de 1964</w:t>
        </w:r>
      </w:hyperlink>
      <w:r>
        <w:rPr>
          <w:rFonts w:cs="Arial" w:ascii="Arial" w:hAnsi="Arial"/>
        </w:rPr>
        <w:t xml:space="preserve"> – Estatui Normas Gerais de Direito Financeiro para elaboração e controle dos orçamentos e balanços da União, dos Estados, dos Municípios e do Distrito.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lang w:eastAsia="pt-BR"/>
        </w:rPr>
      </w:pPr>
      <w:r>
        <w:rPr>
          <w:rFonts w:eastAsia="Times New Roman" w:cs="Arial" w:ascii="Arial" w:hAnsi="Arial"/>
          <w:color w:val="000000"/>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lang w:eastAsia="pt-BR"/>
        </w:rPr>
      </w:pPr>
      <w:r>
        <w:rPr>
          <w:rFonts w:eastAsia="Times New Roman" w:cs="Arial" w:ascii="Arial" w:hAnsi="Arial"/>
          <w:color w:val="000000"/>
          <w:lang w:eastAsia="pt-BR"/>
        </w:rPr>
        <w:t xml:space="preserve">21.8. O pagamento da Nota Fiscal será efetuado em até 30 (trinta) dias após o aceite da medição/produto, de acordo com o Processo SEI de Gestão-Certificação de Documento Fiscal.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lang w:eastAsia="pt-BR"/>
        </w:rPr>
      </w:pPr>
      <w:r>
        <w:rPr>
          <w:rFonts w:eastAsia="Times New Roman" w:cs="Arial" w:ascii="Arial" w:hAnsi="Arial"/>
          <w:color w:val="00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22. PENALIDADES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22.1.</w:t>
      </w:r>
      <w:r>
        <w:rPr>
          <w:rFonts w:cs="Arial" w:ascii="Arial" w:hAnsi="Arial"/>
          <w:b/>
          <w:bCs/>
        </w:rPr>
        <w:t xml:space="preserve"> </w:t>
      </w:r>
      <w:r>
        <w:rPr>
          <w:rFonts w:cs="Arial" w:ascii="Arial" w:hAnsi="Arial"/>
        </w:rPr>
        <w:t>O licitante ou o contratado será responsabilizado administrativamente pelas seguintes infrações, com aplicação das seguintes sanções:</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69" w:name="art155i"/>
      <w:bookmarkEnd w:id="69"/>
      <w:r>
        <w:rPr>
          <w:rFonts w:cs="Arial" w:ascii="Arial" w:hAnsi="Arial"/>
        </w:rPr>
        <w:t>Dar causa à inexecução parcial do contrato: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0" w:name="art155ii"/>
      <w:bookmarkEnd w:id="70"/>
      <w:r>
        <w:rPr>
          <w:rFonts w:cs="Arial" w:ascii="Arial" w:hAnsi="Arial"/>
        </w:rPr>
        <w:t>Dar causa à inexecução parcial do contrato que cause grave dano à Administração, ao funcionamento dos serviços públicos ou ao interesse coletivo;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1" w:name="art155iii"/>
      <w:bookmarkEnd w:id="71"/>
      <w:r>
        <w:rPr>
          <w:rFonts w:cs="Arial" w:ascii="Arial" w:hAnsi="Arial"/>
        </w:rPr>
        <w:t>Dar causa à inexecução total do contrato;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2" w:name="art155iv"/>
      <w:bookmarkEnd w:id="72"/>
      <w:r>
        <w:rPr>
          <w:rFonts w:cs="Arial" w:ascii="Arial" w:hAnsi="Arial"/>
        </w:rPr>
        <w:t>Deixar de entregar a documentação exigida para o certame;</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3" w:name="art155v"/>
      <w:bookmarkEnd w:id="73"/>
      <w:r>
        <w:rPr>
          <w:rFonts w:cs="Arial" w:ascii="Arial" w:hAnsi="Arial"/>
        </w:rPr>
        <w:t>Não manter a proposta, salvo em decorrência de fato superveniente devidamente justificado;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4" w:name="art155vi"/>
      <w:bookmarkEnd w:id="74"/>
      <w:r>
        <w:rPr>
          <w:rFonts w:cs="Arial" w:ascii="Arial" w:hAnsi="Arial"/>
        </w:rPr>
        <w:t>Não celebrar o contrato ou não entregar a documentação exigida para a contratação, quando convocado dentro do prazo de validade de sua proposta;</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5" w:name="art155vii"/>
      <w:bookmarkEnd w:id="75"/>
      <w:r>
        <w:rPr>
          <w:rFonts w:cs="Arial" w:ascii="Arial" w:hAnsi="Arial"/>
        </w:rPr>
        <w:t>Ensejar o retardamento da execução ou da entrega do objeto da licitação sem motivo justificado;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6" w:name="art155viii"/>
      <w:bookmarkEnd w:id="76"/>
      <w:r>
        <w:rPr>
          <w:rFonts w:cs="Arial" w:ascii="Arial" w:hAnsi="Arial"/>
        </w:rPr>
        <w:t>Apresentar declaração ou documentação falsa exigida para o certame ou prestar declaração falsa durante a licitação ou a execução do contrato;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7" w:name="art155ix"/>
      <w:bookmarkEnd w:id="77"/>
      <w:r>
        <w:rPr>
          <w:rFonts w:cs="Arial" w:ascii="Arial" w:hAnsi="Arial"/>
        </w:rPr>
        <w:t>Fraudar a licitação ou praticar ato fraudulento na execução do contrato;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8" w:name="art155x"/>
      <w:bookmarkEnd w:id="78"/>
      <w:r>
        <w:rPr>
          <w:rFonts w:cs="Arial" w:ascii="Arial" w:hAnsi="Arial"/>
        </w:rPr>
        <w:t>Comportar-se de modo inidôneo ou cometer fraude de qualquer natureza;</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9" w:name="art155xi"/>
      <w:bookmarkEnd w:id="79"/>
      <w:r>
        <w:rPr>
          <w:rFonts w:cs="Arial" w:ascii="Arial" w:hAnsi="Arial"/>
        </w:rPr>
        <w:t>Praticar atos ilícitos com vistas a frustrar os objetivos da licitação;</w:t>
      </w:r>
    </w:p>
    <w:p>
      <w:pPr>
        <w:pStyle w:val="ListParagraph"/>
        <w:numPr>
          <w:ilvl w:val="0"/>
          <w:numId w:val="32"/>
        </w:numPr>
        <w:tabs>
          <w:tab w:val="clear" w:pos="708"/>
          <w:tab w:val="left" w:pos="1134" w:leader="none"/>
        </w:tabs>
        <w:spacing w:lineRule="auto" w:line="240" w:before="0" w:after="0"/>
        <w:ind w:left="567" w:hanging="0"/>
        <w:contextualSpacing/>
        <w:jc w:val="both"/>
        <w:rPr/>
      </w:pPr>
      <w:bookmarkStart w:id="80" w:name="art155xii"/>
      <w:bookmarkEnd w:id="80"/>
      <w:r>
        <w:rPr>
          <w:rFonts w:cs="Arial" w:ascii="Arial" w:hAnsi="Arial"/>
        </w:rPr>
        <w:t xml:space="preserve">Praticar ato lesivo previsto no art. 5º da </w:t>
      </w:r>
      <w:hyperlink r:id="rId21">
        <w:r>
          <w:rPr>
            <w:rStyle w:val="LinkdaInternet"/>
            <w:rFonts w:cs="Arial" w:ascii="Arial" w:hAnsi="Arial"/>
          </w:rPr>
          <w:t>Lei nº 12.846, de 1º de agosto de 2013</w:t>
        </w:r>
      </w:hyperlink>
      <w:r>
        <w:rPr>
          <w:rFonts w:cs="Arial" w:ascii="Arial" w:hAnsi="Arial"/>
        </w:rPr>
        <w:t xml:space="preserve"> – Dispõe sobre a responsabilização administrativa e civil de pessoas jurídicas pela prática de atos contra a administração pública, nacional ou estrangeira, e dá outras providências.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bookmarkStart w:id="81" w:name="art156"/>
      <w:bookmarkStart w:id="82" w:name="art156"/>
      <w:bookmarkEnd w:id="82"/>
    </w:p>
    <w:p>
      <w:pPr>
        <w:pStyle w:val="Normal"/>
        <w:tabs>
          <w:tab w:val="clear" w:pos="708"/>
          <w:tab w:val="left" w:pos="1134" w:leader="none"/>
        </w:tabs>
        <w:spacing w:lineRule="auto" w:line="240" w:before="0" w:after="0"/>
        <w:jc w:val="both"/>
        <w:rPr/>
      </w:pPr>
      <w:r>
        <w:rPr>
          <w:rFonts w:cs="Arial" w:ascii="Arial" w:hAnsi="Arial"/>
          <w:bCs/>
        </w:rPr>
        <w:t>22.2.</w:t>
      </w:r>
      <w:r>
        <w:rPr>
          <w:rFonts w:cs="Arial" w:ascii="Arial" w:hAnsi="Arial"/>
        </w:rPr>
        <w:t xml:space="preserve"> Serão aplicadas as seguintes sanções às penalidades acima indicadas:</w:t>
      </w:r>
    </w:p>
    <w:tbl>
      <w:tblPr>
        <w:tblW w:w="8500"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561"/>
        <w:gridCol w:w="3687"/>
        <w:gridCol w:w="4252"/>
      </w:tblGrid>
      <w:tr>
        <w:trPr/>
        <w:tc>
          <w:tcPr>
            <w:tcW w:w="561"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34"/>
              </w:numPr>
              <w:spacing w:lineRule="auto" w:line="240" w:before="0" w:after="0"/>
              <w:ind w:left="299" w:hanging="345"/>
              <w:contextualSpacing/>
              <w:jc w:val="both"/>
              <w:rPr>
                <w:rFonts w:ascii="Arial" w:hAnsi="Arial" w:cs="Arial"/>
              </w:rPr>
            </w:pPr>
            <w:r>
              <w:rPr>
                <w:rFonts w:cs="Arial" w:ascii="Arial" w:hAnsi="Arial"/>
              </w:rPr>
            </w:r>
          </w:p>
        </w:tc>
        <w:tc>
          <w:tcPr>
            <w:tcW w:w="368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Advertência (art. 156, § 2º).</w:t>
            </w:r>
          </w:p>
        </w:tc>
        <w:tc>
          <w:tcPr>
            <w:tcW w:w="425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Obs. 1: Quando não se justificar a imposição de penalidade mais grave</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Obs. 2: Pode ser aplicada cumulativamente com multa (art. 156, § 7º).</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r>
          </w:p>
        </w:tc>
      </w:tr>
      <w:tr>
        <w:trPr/>
        <w:tc>
          <w:tcPr>
            <w:tcW w:w="561"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34"/>
              </w:numPr>
              <w:spacing w:lineRule="auto" w:line="240" w:before="0" w:after="0"/>
              <w:ind w:left="299" w:hanging="345"/>
              <w:contextualSpacing/>
              <w:jc w:val="both"/>
              <w:rPr>
                <w:rFonts w:ascii="Arial" w:hAnsi="Arial" w:cs="Arial"/>
              </w:rPr>
            </w:pPr>
            <w:r>
              <w:rPr>
                <w:rFonts w:cs="Arial" w:ascii="Arial" w:hAnsi="Arial"/>
              </w:rPr>
            </w:r>
          </w:p>
        </w:tc>
        <w:tc>
          <w:tcPr>
            <w:tcW w:w="368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 xml:space="preserve">Multa de </w:t>
            </w:r>
            <w:r>
              <w:rPr>
                <w:rFonts w:cs="Arial" w:ascii="Arial" w:hAnsi="Arial"/>
                <w:color w:val="000000"/>
              </w:rPr>
              <w:t>10%.</w:t>
            </w:r>
          </w:p>
        </w:tc>
        <w:tc>
          <w:tcPr>
            <w:tcW w:w="425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Qualquer infração (art. 156, § 3º).</w:t>
            </w:r>
          </w:p>
        </w:tc>
      </w:tr>
      <w:tr>
        <w:trPr/>
        <w:tc>
          <w:tcPr>
            <w:tcW w:w="561"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34"/>
              </w:numPr>
              <w:spacing w:lineRule="auto" w:line="240" w:before="0" w:after="0"/>
              <w:ind w:left="299" w:hanging="345"/>
              <w:contextualSpacing/>
              <w:jc w:val="both"/>
              <w:rPr>
                <w:rFonts w:ascii="Arial" w:hAnsi="Arial" w:cs="Arial"/>
              </w:rPr>
            </w:pPr>
            <w:r>
              <w:rPr>
                <w:rFonts w:cs="Arial" w:ascii="Arial" w:hAnsi="Arial"/>
              </w:rPr>
            </w:r>
          </w:p>
        </w:tc>
        <w:tc>
          <w:tcPr>
            <w:tcW w:w="368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 xml:space="preserve">Impedimento de licitar e contratar no âmbito da Administração Pública direta e indireta do Município de </w:t>
            </w:r>
            <w:r>
              <w:rPr>
                <w:rFonts w:cs="Arial" w:ascii="Arial" w:hAnsi="Arial"/>
                <w:color w:val="000000"/>
              </w:rPr>
              <w:t>Itá-SC</w:t>
            </w:r>
            <w:r>
              <w:rPr>
                <w:rFonts w:cs="Arial" w:ascii="Arial" w:hAnsi="Arial"/>
              </w:rPr>
              <w:t>, pelo prazo máximo de 3 (três) anos (art. 156, § 4º).</w:t>
            </w:r>
          </w:p>
        </w:tc>
        <w:tc>
          <w:tcPr>
            <w:tcW w:w="425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II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III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IV</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V</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VI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VII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Obs. 1: Quando não se justificar a imposição de penalidade mais grave.</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Obs. 2: Pode ser aplicada cumulativamente com multa (art. 156, § 7º).</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r>
          </w:p>
        </w:tc>
      </w:tr>
      <w:tr>
        <w:trPr/>
        <w:tc>
          <w:tcPr>
            <w:tcW w:w="561"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34"/>
              </w:numPr>
              <w:spacing w:lineRule="auto" w:line="240" w:before="0" w:after="0"/>
              <w:ind w:left="299" w:hanging="345"/>
              <w:contextualSpacing/>
              <w:jc w:val="both"/>
              <w:rPr>
                <w:rFonts w:ascii="Arial" w:hAnsi="Arial" w:cs="Arial"/>
              </w:rPr>
            </w:pPr>
            <w:r>
              <w:rPr>
                <w:rFonts w:cs="Arial" w:ascii="Arial" w:hAnsi="Arial"/>
              </w:rPr>
            </w:r>
          </w:p>
        </w:tc>
        <w:tc>
          <w:tcPr>
            <w:tcW w:w="368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Declaração de inidoneidade para licitar ou contratar no âmbito da Administração Pública direta e indireta de todos os entes federativos, pelo prazo mínimo de 3 (três) anos e máximo de 6 (seis) anos (art. 156, § 5º).</w:t>
            </w:r>
          </w:p>
        </w:tc>
        <w:tc>
          <w:tcPr>
            <w:tcW w:w="425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VIII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IX</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X</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XI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XII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Obs. 1: Pode ser aplicada cumulativamente com multa (art. 156, § 7º).</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r>
          </w:p>
        </w:tc>
      </w:tr>
    </w:tbl>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bCs/>
        </w:rPr>
        <w:t>22.3.</w:t>
      </w:r>
      <w:r>
        <w:rPr>
          <w:rFonts w:cs="Arial" w:ascii="Arial" w:hAnsi="Arial"/>
        </w:rPr>
        <w:t xml:space="preserve"> Na aplicação das sanções serão considerados:</w:t>
      </w:r>
    </w:p>
    <w:p>
      <w:pPr>
        <w:pStyle w:val="ListParagraph"/>
        <w:numPr>
          <w:ilvl w:val="0"/>
          <w:numId w:val="3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natureza e a gravidade da infração cometida;</w:t>
      </w:r>
    </w:p>
    <w:p>
      <w:pPr>
        <w:pStyle w:val="ListParagraph"/>
        <w:numPr>
          <w:ilvl w:val="0"/>
          <w:numId w:val="3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As peculiaridades do caso concreto;</w:t>
      </w:r>
    </w:p>
    <w:p>
      <w:pPr>
        <w:pStyle w:val="ListParagraph"/>
        <w:numPr>
          <w:ilvl w:val="0"/>
          <w:numId w:val="3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As circunstâncias agravantes ou atenuantes;</w:t>
      </w:r>
    </w:p>
    <w:p>
      <w:pPr>
        <w:pStyle w:val="ListParagraph"/>
        <w:numPr>
          <w:ilvl w:val="0"/>
          <w:numId w:val="3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Os danos que dela provierem para a Administração Pública;</w:t>
      </w:r>
    </w:p>
    <w:p>
      <w:pPr>
        <w:pStyle w:val="ListParagraph"/>
        <w:numPr>
          <w:ilvl w:val="0"/>
          <w:numId w:val="3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implantação ou o aperfeiçoamento de programa de integridade, conforme normas e orientações dos órgãos de controle.</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22.4.</w:t>
      </w:r>
      <w:r>
        <w:rPr>
          <w:rFonts w:cs="Arial" w:ascii="Arial" w:hAnsi="Arial"/>
        </w:rPr>
        <w:t xml:space="preserve"> Para aplicação das sanções:</w:t>
      </w:r>
    </w:p>
    <w:p>
      <w:pPr>
        <w:pStyle w:val="ListParagraph"/>
        <w:numPr>
          <w:ilvl w:val="0"/>
          <w:numId w:val="3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Inciso II do item 22.1: será facultada a defesa do interessado no prazo de 15 (quinze) dias úteis, contado da data de sua intimação;</w:t>
      </w:r>
    </w:p>
    <w:p>
      <w:pPr>
        <w:pStyle w:val="ListParagraph"/>
        <w:numPr>
          <w:ilvl w:val="0"/>
          <w:numId w:val="3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 xml:space="preserve">Incisos III e IV do item 22.1: </w:t>
      </w:r>
    </w:p>
    <w:p>
      <w:pPr>
        <w:pStyle w:val="ListParagraph"/>
        <w:numPr>
          <w:ilvl w:val="1"/>
          <w:numId w:val="35"/>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Instauração de processo de responsabilização, a ser conduzido por comissão composta de 2 (dois) ou mais servidores estáveis, que avaliará fatos e circunstâncias conhecidos;</w:t>
      </w:r>
    </w:p>
    <w:p>
      <w:pPr>
        <w:pStyle w:val="ListParagraph"/>
        <w:numPr>
          <w:ilvl w:val="1"/>
          <w:numId w:val="35"/>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O licitante ou o contratado será intimada para, no prazo de 15 (quinze) dias úteis, contado da data de intimação, apresentar defesa escrita e especificar as provas que pretenda produzir;</w:t>
      </w:r>
    </w:p>
    <w:p>
      <w:pPr>
        <w:pStyle w:val="ListParagraph"/>
        <w:numPr>
          <w:ilvl w:val="1"/>
          <w:numId w:val="35"/>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pStyle w:val="ListParagraph"/>
        <w:numPr>
          <w:ilvl w:val="1"/>
          <w:numId w:val="35"/>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Serão indeferidas pela comissão, mediante decisão fundamentada, provas ilícitas, impertinentes, desnecessárias, protelatórias ou intempestivas;</w:t>
      </w:r>
    </w:p>
    <w:p>
      <w:pPr>
        <w:pStyle w:val="ListParagraph"/>
        <w:numPr>
          <w:ilvl w:val="1"/>
          <w:numId w:val="35"/>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A sanção prevista no inciso IV do item 23.1 será precedida de análise jurídica e será de competência exclusiva de secretário municipal;</w:t>
      </w:r>
    </w:p>
    <w:p>
      <w:pPr>
        <w:pStyle w:val="ListParagraph"/>
        <w:numPr>
          <w:ilvl w:val="1"/>
          <w:numId w:val="35"/>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A prescrição ocorrerá em 5 (cinco) anos, contados da ciência da infração pela Administração Pública Municipal, e será:</w:t>
      </w:r>
    </w:p>
    <w:p>
      <w:pPr>
        <w:pStyle w:val="ListParagraph"/>
        <w:numPr>
          <w:ilvl w:val="2"/>
          <w:numId w:val="35"/>
        </w:numPr>
        <w:tabs>
          <w:tab w:val="clear" w:pos="708"/>
          <w:tab w:val="left" w:pos="2268" w:leader="none"/>
        </w:tabs>
        <w:spacing w:lineRule="auto" w:line="240" w:before="0" w:after="0"/>
        <w:ind w:left="1418" w:firstLine="284"/>
        <w:contextualSpacing/>
        <w:jc w:val="both"/>
        <w:rPr>
          <w:rFonts w:ascii="Arial" w:hAnsi="Arial" w:cs="Arial"/>
        </w:rPr>
      </w:pPr>
      <w:r>
        <w:rPr>
          <w:rFonts w:cs="Arial" w:ascii="Arial" w:hAnsi="Arial"/>
        </w:rPr>
        <w:t>Interrompida pela instauração do processo de responsabilização a que se refere este item;</w:t>
      </w:r>
    </w:p>
    <w:p>
      <w:pPr>
        <w:pStyle w:val="ListParagraph"/>
        <w:numPr>
          <w:ilvl w:val="2"/>
          <w:numId w:val="35"/>
        </w:numPr>
        <w:tabs>
          <w:tab w:val="clear" w:pos="708"/>
          <w:tab w:val="left" w:pos="2268" w:leader="none"/>
        </w:tabs>
        <w:spacing w:lineRule="auto" w:line="240" w:before="0" w:after="0"/>
        <w:ind w:left="1418" w:firstLine="284"/>
        <w:contextualSpacing/>
        <w:jc w:val="both"/>
        <w:rPr/>
      </w:pPr>
      <w:r>
        <w:rPr>
          <w:rFonts w:cs="Arial" w:ascii="Arial" w:hAnsi="Arial"/>
        </w:rPr>
        <w:t xml:space="preserve">Suspensa pela celebração de acordo de leniência previsto na </w:t>
      </w:r>
      <w:hyperlink r:id="rId22">
        <w:r>
          <w:rPr>
            <w:rStyle w:val="LinkdaInternet"/>
            <w:rFonts w:cs="Arial" w:ascii="Arial" w:hAnsi="Arial"/>
          </w:rPr>
          <w:t>Lei nº 12.846, de 1º de agosto de 2013</w:t>
        </w:r>
      </w:hyperlink>
      <w:r>
        <w:rPr>
          <w:rFonts w:cs="Arial" w:ascii="Arial" w:hAnsi="Arial"/>
        </w:rPr>
        <w:t xml:space="preserve"> – Dispõe sobre a responsabilização administrativa e civil de pessoas jurídicas pela prática de atos contra a administração pública, nacional ou estrangeira, e dá outras providências; </w:t>
      </w:r>
    </w:p>
    <w:p>
      <w:pPr>
        <w:pStyle w:val="ListParagraph"/>
        <w:numPr>
          <w:ilvl w:val="2"/>
          <w:numId w:val="35"/>
        </w:numPr>
        <w:tabs>
          <w:tab w:val="clear" w:pos="708"/>
          <w:tab w:val="left" w:pos="2268" w:leader="none"/>
        </w:tabs>
        <w:spacing w:lineRule="auto" w:line="240" w:before="0" w:after="0"/>
        <w:ind w:left="1418" w:firstLine="284"/>
        <w:contextualSpacing/>
        <w:jc w:val="both"/>
        <w:rPr>
          <w:rFonts w:ascii="Arial" w:hAnsi="Arial" w:cs="Arial"/>
        </w:rPr>
      </w:pPr>
      <w:r>
        <w:rPr>
          <w:rFonts w:cs="Arial" w:ascii="Arial" w:hAnsi="Arial"/>
        </w:rPr>
        <w:t>Suspensa por decisão judicial que inviabilize a conclusão da apuração administrativa.</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22.5.</w:t>
      </w:r>
      <w:r>
        <w:rPr>
          <w:rFonts w:cs="Arial" w:ascii="Arial" w:hAnsi="Arial"/>
        </w:rPr>
        <w:t xml:space="preserve"> Se a multa aplicada e as indenizações cabíveis forem superiores ao valor de pagamento eventualmente devido pela Administração Pública Municipal ao contratado, além da perda desse valor, a diferença será descontada da garantia prestada ou será cobrada judicialmente.</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bCs/>
        </w:rPr>
        <w:t>22.6.</w:t>
      </w:r>
      <w:r>
        <w:rPr>
          <w:rFonts w:cs="Arial" w:ascii="Arial" w:hAnsi="Arial"/>
        </w:rPr>
        <w:t xml:space="preserve"> A aplicação das sanções não exclui, em hipótese alguma, a obrigação de reparação integral do dano causado à Administração Pública Municipal.</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83" w:name="art157"/>
      <w:bookmarkEnd w:id="83"/>
      <w:r>
        <w:rPr>
          <w:rFonts w:cs="Arial" w:ascii="Arial" w:hAnsi="Arial"/>
          <w:bCs/>
        </w:rPr>
        <w:t>22.7.</w:t>
      </w:r>
      <w:r>
        <w:rPr>
          <w:rFonts w:cs="Arial" w:ascii="Arial" w:hAnsi="Arial"/>
          <w:b/>
        </w:rPr>
        <w:t xml:space="preserve"> </w:t>
      </w:r>
      <w:bookmarkStart w:id="84" w:name="art159"/>
      <w:bookmarkStart w:id="85" w:name="art158§4"/>
      <w:bookmarkStart w:id="86" w:name="art158§3"/>
      <w:bookmarkStart w:id="87" w:name="art158§2"/>
      <w:bookmarkStart w:id="88" w:name="art158§1"/>
      <w:bookmarkStart w:id="89" w:name="art158"/>
      <w:bookmarkEnd w:id="84"/>
      <w:bookmarkEnd w:id="85"/>
      <w:bookmarkEnd w:id="86"/>
      <w:bookmarkEnd w:id="87"/>
      <w:bookmarkEnd w:id="88"/>
      <w:bookmarkEnd w:id="89"/>
      <w:r>
        <w:rPr>
          <w:rFonts w:cs="Arial" w:ascii="Arial" w:hAnsi="Arial"/>
        </w:rPr>
        <w:t>Os atos previstos como infrações administrativas na Lei nº 14.133/2021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90" w:name="art160"/>
      <w:bookmarkStart w:id="91" w:name="art159p"/>
      <w:bookmarkEnd w:id="90"/>
      <w:bookmarkEnd w:id="91"/>
      <w:r>
        <w:rPr>
          <w:rFonts w:cs="Arial" w:ascii="Arial" w:hAnsi="Arial"/>
          <w:bCs/>
        </w:rPr>
        <w:t>22.8.</w:t>
      </w:r>
      <w:r>
        <w:rPr>
          <w:rFonts w:cs="Arial" w:ascii="Arial" w:hAnsi="Arial"/>
          <w:b/>
        </w:rPr>
        <w:t xml:space="preserve"> </w:t>
      </w:r>
      <w:r>
        <w:rPr>
          <w:rFonts w:cs="Arial" w:ascii="Arial" w:hAnsi="Arial"/>
        </w:rPr>
        <w:t>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92" w:name="art161"/>
      <w:bookmarkEnd w:id="92"/>
      <w:r>
        <w:rPr>
          <w:rFonts w:cs="Arial" w:ascii="Arial" w:hAnsi="Arial"/>
          <w:bCs/>
        </w:rPr>
        <w:t>22.9.</w:t>
      </w:r>
      <w:r>
        <w:rPr>
          <w:rFonts w:cs="Arial" w:ascii="Arial" w:hAnsi="Arial"/>
        </w:rPr>
        <w:t xml:space="preserve"> A Administração Pública Municipal, no prazo máximo 15 (quinze) dias úteis, contado da data de aplicação da sanção, informará e manterá atualizados os dados relativos às sanções por ela aplicadas, para fins de publicidade no Cadastro Nacional de Empresas Inidôneas e Suspensas (CEIS) e no Cadastro Nacional de Empresas Punidas (CNEP), instituídos no âmbito do Poder Executivo federal.</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bCs/>
          <w:color w:val="000000"/>
        </w:rPr>
        <w:t>22.10.</w:t>
      </w:r>
      <w:r>
        <w:rPr>
          <w:rFonts w:cs="Arial" w:ascii="Arial" w:hAnsi="Arial"/>
          <w:color w:val="000000"/>
        </w:rPr>
        <w:t xml:space="preserve"> O atraso injustificado na execução do contrato sujeitará o contratado a multa de mora, na forma prevista no inciso II do item 22.2.</w:t>
      </w:r>
    </w:p>
    <w:p>
      <w:pPr>
        <w:pStyle w:val="Normal"/>
        <w:tabs>
          <w:tab w:val="clear" w:pos="708"/>
          <w:tab w:val="left" w:pos="1134" w:leader="none"/>
        </w:tabs>
        <w:spacing w:lineRule="auto" w:line="240" w:before="0" w:after="0"/>
        <w:jc w:val="both"/>
        <w:rPr>
          <w:rFonts w:ascii="Arial" w:hAnsi="Arial" w:cs="Arial"/>
          <w:color w:val="000000"/>
        </w:rPr>
      </w:pPr>
      <w:r>
        <w:rPr>
          <w:rFonts w:cs="Arial" w:ascii="Arial" w:hAnsi="Arial"/>
          <w:color w:val="000000"/>
        </w:rPr>
      </w:r>
    </w:p>
    <w:p>
      <w:pPr>
        <w:pStyle w:val="Normal"/>
        <w:tabs>
          <w:tab w:val="clear" w:pos="708"/>
          <w:tab w:val="left" w:pos="1134" w:leader="none"/>
        </w:tabs>
        <w:spacing w:lineRule="auto" w:line="240" w:before="0" w:after="0"/>
        <w:jc w:val="both"/>
        <w:rPr/>
      </w:pPr>
      <w:bookmarkStart w:id="93" w:name="art162p"/>
      <w:bookmarkEnd w:id="93"/>
      <w:r>
        <w:rPr>
          <w:rFonts w:cs="Arial" w:ascii="Arial" w:hAnsi="Arial"/>
          <w:bCs/>
        </w:rPr>
        <w:t>22.11.</w:t>
      </w:r>
      <w:r>
        <w:rPr>
          <w:rFonts w:cs="Arial" w:ascii="Arial" w:hAnsi="Arial"/>
        </w:rPr>
        <w:t xml:space="preserve"> A aplicação de multa de mora não impedirá que a Administração a converta em compensatória e promova a extinção unilateral do contrato com a aplicação cumulada de outras sanções previstas na Lei nº 14.133/2021.</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94" w:name="art163"/>
      <w:bookmarkEnd w:id="94"/>
      <w:r>
        <w:rPr>
          <w:rFonts w:cs="Arial" w:ascii="Arial" w:hAnsi="Arial"/>
          <w:bCs/>
        </w:rPr>
        <w:t>22.12.</w:t>
      </w:r>
      <w:r>
        <w:rPr>
          <w:rFonts w:cs="Arial" w:ascii="Arial" w:hAnsi="Arial"/>
        </w:rPr>
        <w:t xml:space="preserve"> É admitida a reabilitação do licitante ou contratado perante o Município de </w:t>
      </w:r>
      <w:r>
        <w:rPr>
          <w:rFonts w:cs="Arial" w:ascii="Arial" w:hAnsi="Arial"/>
          <w:color w:val="000000"/>
        </w:rPr>
        <w:t>Itá-SC</w:t>
      </w:r>
      <w:r>
        <w:rPr>
          <w:rFonts w:cs="Arial" w:ascii="Arial" w:hAnsi="Arial"/>
        </w:rPr>
        <w:t>, exigidos, cumulativamente.</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bookmarkStart w:id="95" w:name="art163i"/>
      <w:bookmarkEnd w:id="95"/>
      <w:r>
        <w:rPr>
          <w:rFonts w:cs="Arial" w:ascii="Arial" w:hAnsi="Arial"/>
        </w:rPr>
        <w:t>Reparação integral do dano causado à Administração Pública Municipal;</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bookmarkStart w:id="96" w:name="art163ii"/>
      <w:bookmarkEnd w:id="96"/>
      <w:r>
        <w:rPr>
          <w:rFonts w:cs="Arial" w:ascii="Arial" w:hAnsi="Arial"/>
        </w:rPr>
        <w:t>Pagamento da multa;</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bookmarkStart w:id="97" w:name="art163iii"/>
      <w:bookmarkEnd w:id="97"/>
      <w:r>
        <w:rPr>
          <w:rFonts w:cs="Arial" w:ascii="Arial" w:hAnsi="Arial"/>
        </w:rPr>
        <w:t>Transcurso do prazo mínimo de 01 (um) ano da aplicação da penalidade, no caso de impedimento de licitar e contratar, ou de 03 (três) anos da aplicação da penalidade, no caso de declaração de inidoneidade;</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bookmarkStart w:id="98" w:name="art163iv"/>
      <w:bookmarkEnd w:id="98"/>
      <w:r>
        <w:rPr>
          <w:rFonts w:cs="Arial" w:ascii="Arial" w:hAnsi="Arial"/>
        </w:rPr>
        <w:t>Cumprimento das condições de reabilitação definidas no ato punitivo;</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bookmarkStart w:id="99" w:name="art163v"/>
      <w:bookmarkEnd w:id="99"/>
      <w:r>
        <w:rPr>
          <w:rFonts w:cs="Arial" w:ascii="Arial" w:hAnsi="Arial"/>
        </w:rPr>
        <w:t>Análise jurídica prévia, com posicionamento conclusivo quanto ao cumprimento dos requisitos definidos neste item.</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bookmarkStart w:id="100" w:name="art163p"/>
      <w:bookmarkStart w:id="101" w:name="art163p"/>
      <w:bookmarkEnd w:id="101"/>
    </w:p>
    <w:p>
      <w:pPr>
        <w:pStyle w:val="Normal"/>
        <w:tabs>
          <w:tab w:val="clear" w:pos="708"/>
          <w:tab w:val="left" w:pos="1134" w:leader="none"/>
        </w:tabs>
        <w:spacing w:lineRule="auto" w:line="240" w:before="0" w:after="0"/>
        <w:jc w:val="both"/>
        <w:rPr/>
      </w:pPr>
      <w:r>
        <w:rPr>
          <w:rFonts w:cs="Arial" w:ascii="Arial" w:hAnsi="Arial"/>
          <w:bCs/>
        </w:rPr>
        <w:t>22.12.1.</w:t>
      </w:r>
      <w:r>
        <w:rPr>
          <w:rFonts w:cs="Arial" w:ascii="Arial" w:hAnsi="Arial"/>
        </w:rPr>
        <w:t xml:space="preserve"> A sanção pelas infrações previstas nos incisos VIII (</w:t>
      </w:r>
      <w:r>
        <w:rPr>
          <w:rFonts w:cs="Arial" w:ascii="Arial" w:hAnsi="Arial"/>
          <w:i/>
        </w:rPr>
        <w:t>Apresentar declaração ou documentação falsa exigida para o certame ou prestar declaração falsa durante a licitação ou a execução do contrato</w:t>
      </w:r>
      <w:r>
        <w:rPr>
          <w:rFonts w:cs="Arial" w:ascii="Arial" w:hAnsi="Arial"/>
        </w:rPr>
        <w:t>) e XII (</w:t>
      </w:r>
      <w:r>
        <w:rPr>
          <w:rFonts w:cs="Arial" w:ascii="Arial" w:hAnsi="Arial"/>
          <w:i/>
        </w:rPr>
        <w:t>Praticar ato lesivo previsto no art. 5º da Lei nº 12.846, de 1º de agosto de 2013</w:t>
      </w:r>
      <w:r>
        <w:rPr>
          <w:rFonts w:cs="Arial" w:ascii="Arial" w:hAnsi="Arial"/>
        </w:rPr>
        <w:t xml:space="preserve">) do </w:t>
      </w:r>
      <w:r>
        <w:rPr>
          <w:rFonts w:cs="Arial" w:ascii="Arial" w:hAnsi="Arial"/>
          <w:bCs/>
          <w:i/>
        </w:rPr>
        <w:t xml:space="preserve">caput </w:t>
      </w:r>
      <w:r>
        <w:rPr>
          <w:rFonts w:cs="Arial" w:ascii="Arial" w:hAnsi="Arial"/>
        </w:rPr>
        <w:t>do item 22.1 exigirá, como condição de reabilitação do licitante ou contratado, a implantação ou aperfeiçoamento de programa de integridade pelo responsável.</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23. DISPOSIÇÕES FINAIS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23.1.</w:t>
      </w:r>
      <w:r>
        <w:rPr>
          <w:rFonts w:cs="Arial" w:ascii="Arial" w:hAnsi="Arial"/>
        </w:rPr>
        <w:t xml:space="preserve"> É facultado ao </w:t>
      </w:r>
      <w:r>
        <w:rPr>
          <w:rFonts w:cs="Arial" w:ascii="Arial" w:hAnsi="Arial"/>
          <w:b/>
        </w:rPr>
        <w:t>pregoeiro</w:t>
      </w:r>
      <w:r>
        <w:rPr>
          <w:rFonts w:cs="Arial" w:ascii="Arial" w:hAnsi="Arial"/>
        </w:rPr>
        <w:t xml:space="preserve"> ou ao Prefeito Municipal/Gestor(a) do Fundo Municipal de Saúde, em qualquer fase deste processo licitatório, promover diligência destinada a esclarecer ou completar a instrução do processo, sendo vedada, ressalvados os casos previstos neste edital, a inclusão posterior de informações ou de documentos que deveriam ter sido apresentados para fins de classificação e habilitação. </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23.2.</w:t>
      </w:r>
      <w:r>
        <w:rPr>
          <w:rFonts w:cs="Arial" w:ascii="Arial" w:hAnsi="Arial"/>
          <w:b/>
        </w:rPr>
        <w:t xml:space="preserve"> </w:t>
      </w:r>
      <w:r>
        <w:rPr>
          <w:rFonts w:cs="Arial" w:ascii="Arial" w:hAnsi="Arial"/>
        </w:rPr>
        <w:t xml:space="preserve">Caso os prazos definidos neste edital não estejam expressamente indicados na proposta, eles serão considerados como aceitos pelos licitantes para efeitos de julgamento deste processo licitatório. </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23.3.</w:t>
      </w:r>
      <w:r>
        <w:rPr>
          <w:rFonts w:cs="Arial" w:ascii="Arial" w:hAnsi="Arial"/>
        </w:rPr>
        <w:t xml:space="preserve"> Só se iniciam e vencem os prazos referidos nesta licitação em dia de expediente no Município de </w:t>
      </w:r>
      <w:r>
        <w:rPr>
          <w:rFonts w:cs="Arial" w:ascii="Arial" w:hAnsi="Arial"/>
          <w:color w:val="000000"/>
        </w:rPr>
        <w:t>Itá-SC</w:t>
      </w:r>
      <w:r>
        <w:rPr>
          <w:rFonts w:cs="Arial" w:ascii="Arial" w:hAnsi="Arial"/>
        </w:rPr>
        <w:t>, portanto serão prorrogados até o próximo dia útil os prazos que vencerem durante o recesso municipal.</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23.4.</w:t>
      </w:r>
      <w:r>
        <w:rPr>
          <w:rFonts w:cs="Arial" w:ascii="Arial" w:hAnsi="Arial"/>
        </w:rPr>
        <w:t xml:space="preserve"> Para fins de garantir a ampla publicidade, este edital será divulgado:</w:t>
      </w:r>
    </w:p>
    <w:p>
      <w:pPr>
        <w:pStyle w:val="ListParagraph"/>
        <w:numPr>
          <w:ilvl w:val="0"/>
          <w:numId w:val="37"/>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Portal Nacional de Contratações Públicas – PNCP, a partir da adoção pelo Município;</w:t>
      </w:r>
    </w:p>
    <w:p>
      <w:pPr>
        <w:pStyle w:val="ListParagraph"/>
        <w:numPr>
          <w:ilvl w:val="0"/>
          <w:numId w:val="37"/>
        </w:numPr>
        <w:tabs>
          <w:tab w:val="clear" w:pos="708"/>
          <w:tab w:val="left" w:pos="1134" w:leader="none"/>
        </w:tabs>
        <w:spacing w:lineRule="auto" w:line="240" w:before="0" w:after="0"/>
        <w:ind w:left="567" w:hanging="0"/>
        <w:contextualSpacing/>
        <w:jc w:val="both"/>
        <w:rPr/>
      </w:pPr>
      <w:r>
        <w:rPr>
          <w:rFonts w:cs="Arial" w:ascii="Arial" w:hAnsi="Arial"/>
          <w:color w:val="000000"/>
        </w:rPr>
        <w:t>Página do Município de Itá-SC (ita.atende.net);</w:t>
      </w:r>
    </w:p>
    <w:p>
      <w:pPr>
        <w:pStyle w:val="ListParagraph"/>
        <w:numPr>
          <w:ilvl w:val="0"/>
          <w:numId w:val="37"/>
        </w:numPr>
        <w:tabs>
          <w:tab w:val="clear" w:pos="708"/>
          <w:tab w:val="left" w:pos="1134" w:leader="none"/>
        </w:tabs>
        <w:spacing w:lineRule="auto" w:line="240" w:before="0" w:after="0"/>
        <w:ind w:left="567" w:hanging="0"/>
        <w:contextualSpacing/>
        <w:jc w:val="both"/>
        <w:rPr>
          <w:rFonts w:ascii="Arial" w:hAnsi="Arial" w:cs="Arial"/>
          <w:color w:val="000000"/>
        </w:rPr>
      </w:pPr>
      <w:r>
        <w:rPr>
          <w:rFonts w:cs="Arial" w:ascii="Arial" w:hAnsi="Arial"/>
          <w:color w:val="000000"/>
        </w:rPr>
        <w:t>Diário Oficial dos Municípios – DOM;</w:t>
      </w:r>
    </w:p>
    <w:p>
      <w:pPr>
        <w:pStyle w:val="ListParagraph"/>
        <w:numPr>
          <w:ilvl w:val="0"/>
          <w:numId w:val="37"/>
        </w:numPr>
        <w:tabs>
          <w:tab w:val="clear" w:pos="708"/>
          <w:tab w:val="left" w:pos="1134" w:leader="none"/>
        </w:tabs>
        <w:spacing w:lineRule="auto" w:line="240" w:before="0" w:after="0"/>
        <w:ind w:left="567" w:hanging="0"/>
        <w:contextualSpacing/>
        <w:jc w:val="both"/>
        <w:rPr/>
      </w:pPr>
      <w:r>
        <w:rPr>
          <w:rFonts w:cs="Arial" w:ascii="Arial" w:hAnsi="Arial"/>
          <w:color w:val="000000"/>
        </w:rPr>
        <w:t xml:space="preserve">Plataforma </w:t>
      </w:r>
      <w:r>
        <w:rPr>
          <w:rStyle w:val="LinkdaInternet"/>
          <w:rFonts w:cs="Arial" w:ascii="Arial" w:hAnsi="Arial"/>
        </w:rPr>
        <w:t>compras.gov.br</w:t>
      </w:r>
    </w:p>
    <w:p>
      <w:pPr>
        <w:pStyle w:val="ListParagraph"/>
        <w:numPr>
          <w:ilvl w:val="0"/>
          <w:numId w:val="37"/>
        </w:numPr>
        <w:tabs>
          <w:tab w:val="clear" w:pos="708"/>
          <w:tab w:val="left" w:pos="1134" w:leader="none"/>
        </w:tabs>
        <w:spacing w:lineRule="auto" w:line="240" w:before="0" w:after="0"/>
        <w:ind w:left="567" w:hanging="0"/>
        <w:contextualSpacing/>
        <w:jc w:val="both"/>
        <w:rPr>
          <w:rFonts w:ascii="Arial" w:hAnsi="Arial" w:cs="Arial"/>
          <w:color w:val="000000"/>
        </w:rPr>
      </w:pPr>
      <w:r>
        <w:rPr>
          <w:rFonts w:cs="Arial" w:ascii="Arial" w:hAnsi="Arial"/>
          <w:color w:val="000000"/>
        </w:rPr>
        <w:t>Jornal diário de grande circulação local.</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23.5.</w:t>
      </w:r>
      <w:r>
        <w:rPr>
          <w:rFonts w:cs="Arial" w:ascii="Arial" w:hAnsi="Arial"/>
          <w:b/>
        </w:rPr>
        <w:t xml:space="preserve"> </w:t>
      </w:r>
      <w:r>
        <w:rPr>
          <w:rFonts w:cs="Arial" w:ascii="Arial" w:hAnsi="Arial"/>
        </w:rPr>
        <w:t xml:space="preserve">São anexos deste edital: </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I)</w:t>
      </w:r>
      <w:r>
        <w:rPr>
          <w:rFonts w:cs="Arial" w:ascii="Arial" w:hAnsi="Arial"/>
        </w:rPr>
        <w:tab/>
        <w:t>Estudo Técnico Preliminar – ETP</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II)</w:t>
      </w:r>
      <w:r>
        <w:rPr>
          <w:rFonts w:cs="Arial" w:ascii="Arial" w:hAnsi="Arial"/>
        </w:rPr>
        <w:tab/>
        <w:t>Termo de Referência – TR</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III)</w:t>
      </w:r>
      <w:r>
        <w:rPr>
          <w:rFonts w:cs="Arial" w:ascii="Arial" w:hAnsi="Arial"/>
        </w:rPr>
        <w:tab/>
        <w:t>Declaração inexistência de impedimentos</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IV)</w:t>
      </w:r>
      <w:r>
        <w:rPr>
          <w:rFonts w:cs="Arial" w:ascii="Arial" w:hAnsi="Arial"/>
        </w:rPr>
        <w:tab/>
        <w:t>Declaração LGPD</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V)</w:t>
      </w:r>
      <w:r>
        <w:rPr>
          <w:rFonts w:cs="Arial" w:ascii="Arial" w:hAnsi="Arial"/>
        </w:rPr>
        <w:tab/>
        <w:t>Declaração para LC 123/2006</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color w:val="000000"/>
        </w:rPr>
        <w:t>VI)</w:t>
      </w:r>
      <w:r>
        <w:rPr>
          <w:rFonts w:cs="Arial" w:ascii="Arial" w:hAnsi="Arial"/>
          <w:color w:val="000000"/>
        </w:rPr>
        <w:tab/>
        <w:t xml:space="preserve">Proposta + Declaração art. 63, § 1º </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color w:val="000000"/>
        </w:rPr>
        <w:t>VII)</w:t>
      </w:r>
      <w:r>
        <w:rPr>
          <w:rFonts w:cs="Arial" w:ascii="Arial" w:hAnsi="Arial"/>
          <w:color w:val="000000"/>
        </w:rPr>
        <w:tab/>
        <w:t>Declaração art. 63, I – atende os requisitos de habilitação e de que documentos eletrônicos conferem com os originais</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VIII)</w:t>
      </w:r>
      <w:r>
        <w:rPr>
          <w:rFonts w:cs="Arial" w:ascii="Arial" w:hAnsi="Arial"/>
        </w:rPr>
        <w:tab/>
        <w:t>Declaração art. 63, IV – PcD e reabilitado da Previdência Social</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IX)</w:t>
      </w:r>
      <w:r>
        <w:rPr>
          <w:rFonts w:cs="Arial" w:ascii="Arial" w:hAnsi="Arial"/>
        </w:rPr>
        <w:tab/>
        <w:t>Ata de Registro de Preços</w:t>
      </w:r>
    </w:p>
    <w:p>
      <w:pPr>
        <w:pStyle w:val="ListParagraph"/>
        <w:widowControl w:val="false"/>
        <w:tabs>
          <w:tab w:val="clear" w:pos="708"/>
          <w:tab w:val="left" w:pos="1134" w:leader="none"/>
        </w:tabs>
        <w:spacing w:lineRule="auto" w:line="240" w:before="0" w:after="0"/>
        <w:contextualSpacing/>
        <w:jc w:val="both"/>
        <w:textAlignment w:val="baseline"/>
        <w:rPr/>
      </w:pPr>
      <w:r>
        <w:rPr/>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23.6.</w:t>
      </w:r>
      <w:r>
        <w:rPr>
          <w:rFonts w:cs="Arial" w:ascii="Arial" w:hAnsi="Arial"/>
        </w:rPr>
        <w:t xml:space="preserve"> As questões decorrentes das previsões deste edital que não possam ser dirimidas administrativamente serão processadas e julgadas no Foro da Comarca </w:t>
      </w:r>
      <w:r>
        <w:rPr>
          <w:rFonts w:cs="Arial" w:ascii="Arial" w:hAnsi="Arial"/>
          <w:color w:val="000000"/>
        </w:rPr>
        <w:t>Itá-SC</w:t>
      </w:r>
      <w:r>
        <w:rPr>
          <w:rFonts w:cs="Arial" w:ascii="Arial" w:hAnsi="Arial"/>
        </w:rPr>
        <w:t>, com exclusão de qualquer outro, por mais privilegiado que seja.</w:t>
      </w:r>
    </w:p>
    <w:p>
      <w:pPr>
        <w:pStyle w:val="Normal"/>
        <w:tabs>
          <w:tab w:val="clear" w:pos="708"/>
          <w:tab w:val="left" w:pos="1134" w:leader="none"/>
        </w:tabs>
        <w:spacing w:lineRule="auto" w:line="240" w:before="0" w:after="0"/>
        <w:jc w:val="both"/>
        <w:rPr>
          <w:rFonts w:ascii="Arial" w:hAnsi="Arial" w:cs="Arial"/>
          <w:color w:val="000000"/>
          <w:shd w:fill="FFFF00" w:val="clear"/>
        </w:rPr>
      </w:pPr>
      <w:r>
        <w:rPr>
          <w:rFonts w:cs="Arial" w:ascii="Arial" w:hAnsi="Arial"/>
          <w:color w:val="000000"/>
          <w:shd w:fill="FFFF00" w:val="clear"/>
        </w:rPr>
      </w:r>
    </w:p>
    <w:p>
      <w:pPr>
        <w:pStyle w:val="Normal"/>
        <w:spacing w:lineRule="auto" w:line="240" w:before="0" w:after="0"/>
        <w:jc w:val="both"/>
        <w:rPr/>
      </w:pPr>
      <w:r>
        <w:rPr>
          <w:rFonts w:cs="Arial" w:ascii="Arial" w:hAnsi="Arial"/>
          <w:bCs/>
          <w:color w:val="000000"/>
        </w:rPr>
        <w:t xml:space="preserve">Município de Itá-SC, </w:t>
      </w:r>
      <w:r>
        <w:rPr>
          <w:rFonts w:eastAsia="Calibri" w:cs="Arial" w:ascii="Arial" w:hAnsi="Arial"/>
          <w:bCs/>
          <w:color w:val="000000"/>
          <w:kern w:val="0"/>
          <w:sz w:val="22"/>
          <w:szCs w:val="22"/>
          <w:lang w:val="pt-BR" w:eastAsia="en-US" w:bidi="ar-SA"/>
        </w:rPr>
        <w:t>03</w:t>
      </w:r>
      <w:r>
        <w:rPr>
          <w:rFonts w:cs="Arial" w:ascii="Arial" w:hAnsi="Arial"/>
          <w:bCs/>
          <w:color w:val="000000"/>
        </w:rPr>
        <w:t xml:space="preserve"> de </w:t>
      </w:r>
      <w:r>
        <w:rPr>
          <w:rFonts w:eastAsia="Calibri" w:cs="Arial" w:ascii="Arial" w:hAnsi="Arial"/>
          <w:bCs/>
          <w:color w:val="000000"/>
          <w:kern w:val="0"/>
          <w:sz w:val="22"/>
          <w:szCs w:val="22"/>
          <w:lang w:val="pt-BR" w:eastAsia="en-US" w:bidi="ar-SA"/>
        </w:rPr>
        <w:t xml:space="preserve">novembro </w:t>
      </w:r>
      <w:r>
        <w:rPr>
          <w:rFonts w:cs="Arial" w:ascii="Arial" w:hAnsi="Arial"/>
          <w:bCs/>
          <w:color w:val="000000"/>
        </w:rPr>
        <w:t>de 2023.</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t>CLEMOR ANTÔNIO BATTISTI</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t>Prefeito do Município de Itá-SC</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pPr>
      <w:r>
        <w:rPr>
          <w:rFonts w:eastAsia="Times New Roman" w:cs="Arial" w:ascii="Arial" w:hAnsi="Arial"/>
          <w:b/>
          <w:lang w:eastAsia="pt-BR"/>
        </w:rPr>
        <w:t xml:space="preserve">PROCESSO LICITATÓRIO Nº </w:t>
      </w:r>
      <w:r>
        <w:rPr>
          <w:rFonts w:eastAsia="Times New Roman" w:cs="Arial" w:ascii="Arial" w:hAnsi="Arial"/>
          <w:b/>
          <w:color w:val="000000"/>
          <w:kern w:val="0"/>
          <w:sz w:val="22"/>
          <w:szCs w:val="22"/>
          <w:lang w:val="pt-BR" w:eastAsia="pt-BR" w:bidi="ar-SA"/>
        </w:rPr>
        <w:t>181</w:t>
      </w:r>
      <w:r>
        <w:rPr>
          <w:rFonts w:eastAsia="Times New Roman" w:cs="Arial" w:ascii="Arial" w:hAnsi="Arial"/>
          <w:b/>
          <w:color w:val="000000"/>
          <w:lang w:eastAsia="pt-BR"/>
        </w:rPr>
        <w:t>/2023</w:t>
      </w:r>
      <w:r>
        <w:rPr>
          <w:rFonts w:eastAsia="Times New Roman" w:cs="Arial" w:ascii="Arial" w:hAnsi="Arial"/>
          <w:b/>
          <w:lang w:eastAsia="pt-BR"/>
        </w:rPr>
        <w:t xml:space="preserve"> </w:t>
      </w:r>
    </w:p>
    <w:p>
      <w:pPr>
        <w:pStyle w:val="Normal"/>
        <w:widowControl w:val="false"/>
        <w:tabs>
          <w:tab w:val="clear" w:pos="708"/>
          <w:tab w:val="left" w:pos="1701" w:leader="none"/>
        </w:tabs>
        <w:spacing w:lineRule="auto" w:line="240" w:before="0" w:after="0"/>
        <w:jc w:val="center"/>
        <w:textAlignment w:val="baseline"/>
        <w:rPr/>
      </w:pPr>
      <w:r>
        <w:rPr/>
      </w:r>
    </w:p>
    <w:p>
      <w:pPr>
        <w:pStyle w:val="Normal"/>
        <w:widowControl w:val="false"/>
        <w:tabs>
          <w:tab w:val="clear" w:pos="708"/>
          <w:tab w:val="left" w:pos="1701" w:leader="none"/>
        </w:tabs>
        <w:spacing w:lineRule="auto" w:line="240" w:before="0" w:after="0"/>
        <w:jc w:val="center"/>
        <w:textAlignment w:val="baseline"/>
        <w:rPr/>
      </w:pPr>
      <w:r>
        <w:rPr>
          <w:rFonts w:eastAsia="Times New Roman" w:cs="Arial" w:ascii="Arial" w:hAnsi="Arial"/>
          <w:b/>
          <w:lang w:eastAsia="pt-BR"/>
        </w:rPr>
        <w:t xml:space="preserve">EDITAL DE PREGÃO ELETRÔNICO Nº </w:t>
      </w:r>
      <w:r>
        <w:rPr>
          <w:rFonts w:eastAsia="Times New Roman" w:cs="Arial" w:ascii="Arial" w:hAnsi="Arial"/>
          <w:b/>
          <w:color w:val="000000"/>
          <w:kern w:val="0"/>
          <w:sz w:val="22"/>
          <w:szCs w:val="22"/>
          <w:lang w:val="pt-BR" w:eastAsia="pt-BR" w:bidi="ar-SA"/>
        </w:rPr>
        <w:t>080</w:t>
      </w:r>
      <w:r>
        <w:rPr>
          <w:rFonts w:eastAsia="Times New Roman" w:cs="Arial" w:ascii="Arial" w:hAnsi="Arial"/>
          <w:b/>
          <w:color w:val="000000"/>
          <w:lang w:eastAsia="pt-BR"/>
        </w:rPr>
        <w:t>/2023</w:t>
      </w:r>
    </w:p>
    <w:p>
      <w:pPr>
        <w:pStyle w:val="Normal"/>
        <w:widowControl w:val="false"/>
        <w:tabs>
          <w:tab w:val="clear" w:pos="708"/>
          <w:tab w:val="left" w:pos="1701" w:leader="none"/>
        </w:tabs>
        <w:spacing w:lineRule="auto" w:line="240" w:before="0" w:after="0"/>
        <w:jc w:val="center"/>
        <w:textAlignment w:val="baseline"/>
        <w:rPr>
          <w:rFonts w:ascii="Arial" w:hAnsi="Arial" w:cs="Arial"/>
          <w:b/>
          <w:b/>
        </w:rPr>
      </w:pPr>
      <w:r>
        <w:rPr>
          <w:rFonts w:cs="Arial" w:ascii="Arial" w:hAnsi="Arial"/>
          <w:b/>
        </w:rPr>
      </w:r>
    </w:p>
    <w:p>
      <w:pPr>
        <w:pStyle w:val="Normal"/>
        <w:spacing w:lineRule="auto" w:line="240" w:before="0" w:after="0"/>
        <w:jc w:val="center"/>
        <w:rPr/>
      </w:pPr>
      <w:r>
        <w:rPr>
          <w:rFonts w:cs="Arial" w:ascii="Arial" w:hAnsi="Arial"/>
          <w:b/>
        </w:rPr>
        <w:t>ANEXO 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jc w:val="center"/>
        <w:rPr/>
      </w:pPr>
      <w:r>
        <w:rPr>
          <w:rFonts w:cs="Arial" w:ascii="Arial" w:hAnsi="Arial"/>
          <w:b/>
        </w:rPr>
        <w:t>ESTUDO TÉCNICO PRELIMINAR</w:t>
      </w:r>
    </w:p>
    <w:p>
      <w:pPr>
        <w:pStyle w:val="Normal"/>
        <w:spacing w:lineRule="auto" w:line="240"/>
        <w:jc w:val="center"/>
        <w:rPr/>
      </w:pPr>
      <w:r>
        <w:rPr/>
      </w:r>
    </w:p>
    <w:p>
      <w:pPr>
        <w:pStyle w:val="Normal"/>
        <w:spacing w:lineRule="auto" w:line="240"/>
        <w:jc w:val="center"/>
        <w:rPr>
          <w:rFonts w:ascii="Arial" w:hAnsi="Arial" w:cs="Arial"/>
        </w:rPr>
      </w:pPr>
      <w:r>
        <w:rPr>
          <w:rFonts w:cs="Arial" w:ascii="Arial" w:hAnsi="Arial"/>
        </w:rPr>
      </w:r>
    </w:p>
    <w:p>
      <w:pPr>
        <w:pStyle w:val="Normal"/>
        <w:spacing w:lineRule="auto" w:line="240"/>
        <w:jc w:val="both"/>
        <w:rPr>
          <w:rFonts w:ascii="Arial" w:hAnsi="Arial" w:cs="Calibri"/>
          <w:b/>
          <w:b/>
        </w:rPr>
      </w:pPr>
      <w:r>
        <w:rPr>
          <w:rFonts w:cs="Calibri" w:ascii="Arial" w:hAnsi="Arial"/>
          <w:b/>
        </w:rPr>
      </w:r>
    </w:p>
    <w:p>
      <w:pPr>
        <w:pStyle w:val="Normal"/>
        <w:widowControl w:val="false"/>
        <w:tabs>
          <w:tab w:val="clear" w:pos="708"/>
          <w:tab w:val="left" w:pos="1701" w:leader="none"/>
        </w:tabs>
        <w:spacing w:lineRule="auto" w:line="240" w:before="0" w:after="0"/>
        <w:jc w:val="both"/>
        <w:textAlignment w:val="baseline"/>
        <w:rPr/>
      </w:pPr>
      <w:r>
        <w:rPr>
          <w:rFonts w:eastAsia="Times New Roman" w:cs="Times New Roman" w:ascii="Arial" w:hAnsi="Arial"/>
          <w:b/>
          <w:lang w:eastAsia="pt-BR"/>
        </w:rPr>
        <w:t xml:space="preserve">Disponível em: </w:t>
      </w:r>
      <w:r>
        <w:rPr>
          <w:rFonts w:cs="Arial" w:ascii="Arial" w:hAnsi="Arial"/>
          <w:color w:val="000000"/>
          <w:lang w:eastAsia="pt-BR"/>
        </w:rPr>
        <w:t xml:space="preserve">ita.atende.net → buscar na aba de licitações → Pregão Eletrônico – Lei 14.133/2021 – Tipo de Objeto: Aquisição de Bens - (Nova Lei de Licitações) - Tipo de Concorrência: Registro de Preços - (Nova Lei de Licitações) → Selecionar Pregão nº </w:t>
      </w:r>
      <w:r>
        <w:rPr>
          <w:rFonts w:eastAsia="Calibri" w:cs="Arial" w:ascii="Arial" w:hAnsi="Arial"/>
          <w:color w:val="000000"/>
          <w:kern w:val="0"/>
          <w:sz w:val="22"/>
          <w:szCs w:val="22"/>
          <w:lang w:val="pt-BR" w:eastAsia="pt-BR" w:bidi="ar-SA"/>
        </w:rPr>
        <w:t>080</w:t>
      </w:r>
      <w:r>
        <w:rPr>
          <w:rFonts w:cs="Arial" w:ascii="Arial" w:hAnsi="Arial"/>
          <w:color w:val="000000"/>
          <w:lang w:eastAsia="pt-BR"/>
        </w:rPr>
        <w:t xml:space="preserve">/2023 e clicar em detalhar → </w:t>
      </w:r>
      <w:r>
        <w:rPr>
          <w:rFonts w:cs="Arial" w:ascii="Arial" w:hAnsi="Arial"/>
          <w:color w:val="000000"/>
        </w:rPr>
        <w:t>Acessar Estudo Técnico Preliminar (PDF).</w:t>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bookmarkStart w:id="102" w:name="_Hlk133233900"/>
      <w:bookmarkStart w:id="103" w:name="_Hlk133233900"/>
      <w:bookmarkEnd w:id="103"/>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000000"/>
          <w:kern w:val="0"/>
          <w:sz w:val="22"/>
          <w:szCs w:val="22"/>
          <w:lang w:val="pt-BR" w:eastAsia="pt-BR" w:bidi="ar-SA"/>
        </w:rPr>
        <w:t>181</w:t>
      </w:r>
      <w:r>
        <w:rPr>
          <w:rFonts w:cs="Arial" w:ascii="Arial" w:hAnsi="Arial"/>
          <w:b/>
          <w:bCs/>
          <w:color w:val="000000"/>
          <w:lang w:eastAsia="pt-BR"/>
        </w:rPr>
        <w:t>/2023</w:t>
      </w:r>
      <w:r>
        <w:rPr>
          <w:rFonts w:cs="Arial" w:ascii="Arial" w:hAnsi="Arial"/>
          <w:b/>
          <w:bCs/>
          <w:lang w:eastAsia="pt-BR"/>
        </w:rPr>
        <w:t xml:space="preserve">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000000"/>
          <w:kern w:val="0"/>
          <w:sz w:val="22"/>
          <w:szCs w:val="22"/>
          <w:lang w:val="pt-BR" w:eastAsia="en-US" w:bidi="ar-SA"/>
        </w:rPr>
        <w:t>080</w:t>
      </w:r>
      <w:r>
        <w:rPr>
          <w:rFonts w:cs="Arial" w:ascii="Arial" w:hAnsi="Arial"/>
          <w:b/>
          <w:bCs/>
          <w:color w:val="000000"/>
        </w:rPr>
        <w:t>/2023</w:t>
      </w:r>
      <w:r>
        <w:rPr>
          <w:rFonts w:cs="Arial" w:ascii="Arial" w:hAnsi="Arial"/>
          <w:b/>
          <w:bCs/>
        </w:rPr>
        <w:t xml:space="preserve">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pPr>
      <w:r>
        <w:rPr>
          <w:rFonts w:cs="Arial" w:ascii="Arial" w:hAnsi="Arial"/>
          <w:b/>
        </w:rPr>
        <w:t>ANEXO II</w:t>
      </w:r>
    </w:p>
    <w:p>
      <w:pPr>
        <w:pStyle w:val="Normal"/>
        <w:widowControl w:val="false"/>
        <w:spacing w:lineRule="auto" w:line="240" w:before="0" w:after="0"/>
        <w:jc w:val="center"/>
        <w:rPr>
          <w:rFonts w:ascii="Arial" w:hAnsi="Arial" w:cs="Arial"/>
          <w:b/>
          <w:b/>
        </w:rPr>
      </w:pPr>
      <w:r>
        <w:rPr>
          <w:rFonts w:cs="Arial" w:ascii="Arial" w:hAnsi="Arial"/>
          <w:b/>
        </w:rPr>
      </w:r>
    </w:p>
    <w:p>
      <w:pPr>
        <w:pStyle w:val="Normal"/>
        <w:widowControl w:val="false"/>
        <w:spacing w:lineRule="auto" w:line="240" w:before="0" w:after="0"/>
        <w:jc w:val="center"/>
        <w:rPr/>
      </w:pPr>
      <w:r>
        <w:rPr>
          <w:rFonts w:cs="Calibri" w:ascii="Arial" w:hAnsi="Arial"/>
          <w:b/>
        </w:rPr>
        <w:t>TERMO DE REFERÊNCIA</w:t>
      </w:r>
    </w:p>
    <w:p>
      <w:pPr>
        <w:pStyle w:val="Normal"/>
        <w:widowControl w:val="false"/>
        <w:spacing w:lineRule="auto" w:line="240"/>
        <w:jc w:val="center"/>
        <w:rPr/>
      </w:pPr>
      <w: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Times New Roman" w:ascii="Arial" w:hAnsi="Arial"/>
          <w:b/>
          <w:lang w:eastAsia="pt-BR"/>
        </w:rPr>
        <w:t xml:space="preserve">Disponível em: </w:t>
      </w:r>
      <w:r>
        <w:rPr>
          <w:rFonts w:cs="Arial" w:ascii="Arial" w:hAnsi="Arial"/>
          <w:color w:val="000000"/>
          <w:lang w:eastAsia="pt-BR"/>
        </w:rPr>
        <w:t xml:space="preserve">ita.atende.net → buscar na aba de licitações → Pregão Eletrônico – Lei 14.133/2021 – Tipo de Objeto: Aquisição de Bens - (Nova Lei de Licitações) - Tipo de Concorrência: Registro de Preços - (Nova Lei de Licitações) → Selecionar Pregão nº </w:t>
      </w:r>
      <w:r>
        <w:rPr>
          <w:rFonts w:eastAsia="Calibri" w:cs="Arial" w:ascii="Arial" w:hAnsi="Arial"/>
          <w:color w:val="000000"/>
          <w:kern w:val="0"/>
          <w:sz w:val="22"/>
          <w:szCs w:val="22"/>
          <w:lang w:val="pt-BR" w:eastAsia="pt-BR" w:bidi="ar-SA"/>
        </w:rPr>
        <w:t>080</w:t>
      </w:r>
      <w:r>
        <w:rPr>
          <w:rFonts w:cs="Arial" w:ascii="Arial" w:hAnsi="Arial"/>
          <w:color w:val="000000"/>
          <w:lang w:eastAsia="pt-BR"/>
        </w:rPr>
        <w:t xml:space="preserve">/2023 e clicar em detalhar → </w:t>
      </w:r>
      <w:r>
        <w:rPr>
          <w:rFonts w:cs="Arial" w:ascii="Arial" w:hAnsi="Arial"/>
          <w:color w:val="000000"/>
        </w:rPr>
        <w:t>Acessar Termo de Referência (PDF).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181</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080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ANEXO III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DECLARAÇÃO DE INEXISTÊNCIA DE IMPEDIMENTOS</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rPr>
        <w:tab/>
        <w:t>O licitante ___________________________, inscrito no CPF/CNPJ nº ______________, DECLARA que não incorre nas vedações previstas na Lei nº 14.133/2021, assumindo a responsabilidade de comunicar imediatamente a Administração Pública no caso de incorrer:</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Agente público de órgão ou entidade licitante ou contratante, devendo ser observadas as situações que possam configurar conflito de interesses no exercício ou após o exercício do cargo ou emprego, nos termos da legislação que disciplina a matéria;</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Pessoa física ou jurídica que se encontre, ao tempo da licitação, impossibilitada de participar da licitação em decorrência de sanção que lhe foi imposta;</w:t>
      </w:r>
    </w:p>
    <w:p>
      <w:pPr>
        <w:pStyle w:val="ListParagraph"/>
        <w:tabs>
          <w:tab w:val="clear" w:pos="708"/>
          <w:tab w:val="left" w:pos="1701" w:leader="none"/>
        </w:tabs>
        <w:spacing w:lineRule="auto" w:line="240" w:before="0" w:after="0"/>
        <w:ind w:left="1418" w:hanging="0"/>
        <w:contextualSpacing/>
        <w:jc w:val="both"/>
        <w:rPr/>
      </w:pPr>
      <w:r>
        <w:rPr>
          <w:rFonts w:cs="Arial" w:ascii="Arial" w:hAnsi="Arial"/>
          <w:b/>
        </w:rPr>
        <w:t>Obs. 1:</w:t>
      </w:r>
      <w:r>
        <w:rPr>
          <w:rFonts w:cs="Arial" w:ascii="Arial" w:hAnsi="Arial"/>
        </w:rPr>
        <w:t xml:space="preserve">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pPr>
      <w:r>
        <w:rPr>
          <w:rFonts w:cs="Arial" w:ascii="Arial" w:hAnsi="Arial"/>
        </w:rPr>
        <w:t xml:space="preserve">Empresas controladoras, controladas ou coligadas, nos termos da </w:t>
      </w:r>
      <w:hyperlink r:id="rId23">
        <w:r>
          <w:rPr>
            <w:rStyle w:val="LinkdaInternet"/>
            <w:rFonts w:cs="Arial" w:ascii="Arial" w:hAnsi="Arial"/>
          </w:rPr>
          <w:t>Lei nº 6.404, de 15 de dezembro de 1976 – Dispõe sobre as Sociedades por Ações</w:t>
        </w:r>
      </w:hyperlink>
      <w:r>
        <w:rPr>
          <w:rFonts w:cs="Arial" w:ascii="Arial" w:hAnsi="Arial"/>
        </w:rPr>
        <w:t>, concorrendo entre si;</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É impedida a empresa consorciada participar, na mesma licitação, de mais de um consórcio ou de forma isolada;</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pPr>
        <w:pStyle w:val="Normal"/>
        <w:spacing w:lineRule="auto" w:line="240" w:before="0" w:after="0"/>
        <w:jc w:val="both"/>
        <w:rPr>
          <w:rFonts w:ascii="Arial" w:hAnsi="Arial" w:cs="Arial"/>
        </w:rPr>
      </w:pPr>
      <w:r>
        <w:rPr>
          <w:rFonts w:cs="Arial" w:ascii="Arial" w:hAnsi="Arial"/>
        </w:rPr>
        <w:tab/>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rPr>
      </w:pPr>
      <w:r>
        <w:rPr>
          <w:rFonts w:cs="Arial" w:ascii="Arial" w:hAnsi="Arial"/>
        </w:rPr>
        <w:t>(LICITANTE – CNPJ/CPF)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181</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080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rPr>
      </w:pPr>
      <w:r>
        <w:rPr>
          <w:rFonts w:cs="Arial" w:ascii="Arial" w:hAnsi="Arial"/>
          <w:b/>
        </w:rPr>
        <w:t>ANEXO IV</w:t>
      </w:r>
    </w:p>
    <w:p>
      <w:pPr>
        <w:pStyle w:val="Normal"/>
        <w:spacing w:lineRule="auto" w:line="240" w:before="0" w:after="0"/>
        <w:jc w:val="center"/>
        <w:rPr>
          <w:rFonts w:ascii="Arial" w:hAnsi="Arial" w:cs="Arial"/>
          <w:b/>
          <w:b/>
        </w:rPr>
      </w:pPr>
      <w:r>
        <w:rPr>
          <w:rFonts w:cs="Arial" w:ascii="Arial" w:hAnsi="Arial"/>
          <w:b/>
        </w:rPr>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t>INSTRUMENTO PARTICULAR DE CONFIDENCIALIDADE E OUTRAS AVENÇAS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pPr>
      <w:r>
        <w:rPr>
          <w:rFonts w:cs="Arial" w:ascii="Arial" w:hAnsi="Arial"/>
          <w:spacing w:val="2"/>
          <w:sz w:val="22"/>
          <w:szCs w:val="22"/>
        </w:rPr>
        <w:t xml:space="preserve">Por este instrumento, de um lado, </w:t>
      </w:r>
      <w:r>
        <w:rPr>
          <w:rFonts w:cs="Arial" w:ascii="Arial" w:hAnsi="Arial"/>
          <w:b/>
          <w:bCs/>
          <w:spacing w:val="2"/>
          <w:sz w:val="22"/>
          <w:szCs w:val="22"/>
        </w:rPr>
        <w:t>Município de Itá-SC</w:t>
      </w:r>
      <w:r>
        <w:rPr>
          <w:rFonts w:cs="Arial" w:ascii="Arial" w:hAnsi="Arial"/>
          <w:spacing w:val="2"/>
          <w:sz w:val="22"/>
          <w:szCs w:val="22"/>
        </w:rPr>
        <w:t xml:space="preserve">, neste ato representado pelo conforme estabelecido em seu contrato social (“Parte Reveladora”) e, de outro lado, a </w:t>
      </w:r>
      <w:r>
        <w:rPr>
          <w:rFonts w:cs="Arial" w:ascii="Arial" w:hAnsi="Arial"/>
          <w:b/>
          <w:spacing w:val="2"/>
          <w:sz w:val="22"/>
          <w:szCs w:val="22"/>
        </w:rPr>
        <w:t>empresa .........................................................................</w:t>
      </w:r>
      <w:r>
        <w:rPr>
          <w:rFonts w:cs="Arial" w:ascii="Arial" w:hAnsi="Arial"/>
          <w:spacing w:val="2"/>
          <w:sz w:val="22"/>
          <w:szCs w:val="22"/>
        </w:rPr>
        <w:t xml:space="preserve">, inscrita no CNPJ sob o nº ..................................., com sede ..................................................., neste ato representada pelo seu representante legal. ..................................................... CPF .......................(“Parte Receptora”), resolvem, em comum acordo e na melhor forma de direito, celebrar o </w:t>
      </w:r>
      <w:r>
        <w:rPr>
          <w:rFonts w:cs="Arial" w:ascii="Arial" w:hAnsi="Arial"/>
          <w:b/>
          <w:bCs/>
          <w:spacing w:val="2"/>
          <w:sz w:val="22"/>
          <w:szCs w:val="22"/>
        </w:rPr>
        <w:t>Instrumento Particular de Confidencialidade e Outras Avenças</w:t>
      </w:r>
      <w:r>
        <w:rPr>
          <w:rFonts w:cs="Arial" w:ascii="Arial" w:hAnsi="Arial"/>
          <w:spacing w:val="2"/>
          <w:sz w:val="22"/>
          <w:szCs w:val="22"/>
        </w:rPr>
        <w:t>, mediante as cláusulas e condições que seguem:</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pPr>
      <w:r>
        <w:rPr>
          <w:rFonts w:cs="Arial" w:ascii="Arial" w:hAnsi="Arial"/>
          <w:b/>
          <w:bCs/>
          <w:spacing w:val="2"/>
          <w:sz w:val="22"/>
          <w:szCs w:val="22"/>
        </w:rPr>
        <w:t xml:space="preserve">CLÁUSULA PRIMEIRA </w:t>
      </w:r>
      <w:r>
        <w:rPr>
          <w:rFonts w:cs="Arial" w:ascii="Arial" w:hAnsi="Arial"/>
          <w:spacing w:val="2"/>
          <w:sz w:val="22"/>
          <w:szCs w:val="22"/>
        </w:rPr>
        <w:t xml:space="preserve">– </w:t>
      </w:r>
      <w:r>
        <w:rPr>
          <w:rFonts w:cs="Arial" w:ascii="Arial" w:hAnsi="Arial"/>
          <w:b/>
          <w:bCs/>
          <w:spacing w:val="2"/>
          <w:sz w:val="22"/>
          <w:szCs w:val="22"/>
        </w:rPr>
        <w:t>DO OBJETO</w:t>
      </w:r>
    </w:p>
    <w:p>
      <w:pPr>
        <w:pStyle w:val="NormalWeb"/>
        <w:shd w:val="clear" w:color="auto" w:fill="FFFFFF"/>
        <w:spacing w:lineRule="auto" w:line="240" w:before="0" w:after="0"/>
        <w:jc w:val="both"/>
        <w:rPr/>
      </w:pPr>
      <w:r>
        <w:rPr>
          <w:rFonts w:cs="Arial" w:ascii="Arial" w:hAnsi="Arial"/>
          <w:b/>
          <w:spacing w:val="2"/>
          <w:sz w:val="22"/>
          <w:szCs w:val="22"/>
        </w:rPr>
        <w:t>1.1.</w:t>
      </w:r>
      <w:r>
        <w:rPr>
          <w:rFonts w:cs="Arial" w:ascii="Arial" w:hAnsi="Arial"/>
          <w:spacing w:val="2"/>
          <w:sz w:val="22"/>
          <w:szCs w:val="22"/>
        </w:rPr>
        <w:t xml:space="preserve"> É objeto deste instrumento a manuten</w:t>
      </w:r>
      <w:r>
        <w:rPr>
          <w:rFonts w:cs="Arial" w:ascii="Arial" w:hAnsi="Arial"/>
          <w:sz w:val="22"/>
          <w:szCs w:val="22"/>
        </w:rPr>
        <w:t>ção do mais absoluto sigilo em relação a toda e qualquer informação relacionada aos dados fornecidos para a confecção do contrato/ata assinado juntamente com o Município de Itá-SC.</w:t>
      </w:r>
    </w:p>
    <w:p>
      <w:pPr>
        <w:pStyle w:val="NormalWeb"/>
        <w:shd w:val="clear" w:color="auto" w:fill="FFFFFF"/>
        <w:spacing w:lineRule="auto" w:line="240" w:before="0" w:after="0"/>
        <w:jc w:val="both"/>
        <w:rPr>
          <w:rFonts w:ascii="Arial" w:hAnsi="Arial" w:cs="Arial"/>
          <w:sz w:val="22"/>
          <w:szCs w:val="22"/>
        </w:rPr>
      </w:pPr>
      <w:r>
        <w:rPr>
          <w:rFonts w:cs="Arial" w:ascii="Arial" w:hAnsi="Arial"/>
          <w:sz w:val="22"/>
          <w:szCs w:val="22"/>
        </w:rPr>
      </w:r>
    </w:p>
    <w:p>
      <w:pPr>
        <w:pStyle w:val="NormalWeb"/>
        <w:shd w:val="clear" w:color="auto" w:fill="FFFFFF"/>
        <w:spacing w:lineRule="auto" w:line="240" w:before="0" w:after="0"/>
        <w:jc w:val="both"/>
        <w:rPr/>
      </w:pPr>
      <w:r>
        <w:rPr>
          <w:rFonts w:cs="Arial" w:ascii="Arial" w:hAnsi="Arial"/>
          <w:b/>
          <w:bCs/>
          <w:spacing w:val="2"/>
          <w:sz w:val="22"/>
          <w:szCs w:val="22"/>
        </w:rPr>
        <w:t xml:space="preserve">CLÁUSULA SEGUNDA </w:t>
      </w:r>
      <w:r>
        <w:rPr>
          <w:rFonts w:cs="Arial" w:ascii="Arial" w:hAnsi="Arial"/>
          <w:spacing w:val="2"/>
          <w:sz w:val="22"/>
          <w:szCs w:val="22"/>
        </w:rPr>
        <w:t xml:space="preserve">– </w:t>
      </w:r>
      <w:r>
        <w:rPr>
          <w:rFonts w:cs="Arial" w:ascii="Arial" w:hAnsi="Arial"/>
          <w:b/>
          <w:bCs/>
          <w:spacing w:val="2"/>
          <w:sz w:val="22"/>
          <w:szCs w:val="22"/>
        </w:rPr>
        <w:t>DAS INFORMAÇÕES CONFIDENCIAIS</w:t>
      </w:r>
    </w:p>
    <w:p>
      <w:pPr>
        <w:pStyle w:val="NormalWeb"/>
        <w:shd w:val="clear" w:color="auto" w:fill="FFFFFF"/>
        <w:spacing w:lineRule="auto" w:line="240" w:before="0" w:after="0"/>
        <w:jc w:val="both"/>
        <w:rPr/>
      </w:pPr>
      <w:r>
        <w:rPr>
          <w:rFonts w:cs="Arial" w:ascii="Arial" w:hAnsi="Arial"/>
          <w:b/>
          <w:spacing w:val="2"/>
          <w:sz w:val="22"/>
          <w:szCs w:val="22"/>
        </w:rPr>
        <w:t>2.1.</w:t>
      </w:r>
      <w:r>
        <w:rPr>
          <w:rFonts w:cs="Arial" w:ascii="Arial" w:hAnsi="Arial"/>
          <w:spacing w:val="2"/>
          <w:sz w:val="22"/>
          <w:szCs w:val="22"/>
        </w:rPr>
        <w:t xml:space="preserve"> Para todos os efeitos deste instrumento, serão consideradas confidenciais, todas as informações relacionadas ao contrato assinado/ata homologada que a Parte Receptora vier a ter acesso em decorrência dos serviços prestados à Parte Reveladora (“Informações Confidenciais”).</w:t>
      </w:r>
    </w:p>
    <w:p>
      <w:pPr>
        <w:pStyle w:val="NormalWeb"/>
        <w:shd w:val="clear" w:color="auto" w:fill="FFFFFF"/>
        <w:spacing w:lineRule="auto" w:line="240" w:before="0" w:after="0"/>
        <w:jc w:val="both"/>
        <w:rPr/>
      </w:pPr>
      <w:r>
        <w:rPr>
          <w:rFonts w:cs="Arial" w:ascii="Arial" w:hAnsi="Arial"/>
          <w:b/>
          <w:spacing w:val="2"/>
          <w:sz w:val="22"/>
          <w:szCs w:val="22"/>
        </w:rPr>
        <w:t>2.1.1.</w:t>
      </w:r>
      <w:r>
        <w:rPr>
          <w:rFonts w:cs="Arial" w:ascii="Arial" w:hAnsi="Arial"/>
          <w:spacing w:val="2"/>
          <w:sz w:val="22"/>
          <w:szCs w:val="22"/>
        </w:rPr>
        <w:t xml:space="preserve"> Serão, ainda, consideradas Informações Confidenciais todas as informações que assim forem identificadas </w:t>
      </w:r>
      <w:r>
        <w:rPr>
          <w:rFonts w:cs="Arial" w:ascii="Arial" w:hAnsi="Arial"/>
          <w:color w:val="111111"/>
          <w:spacing w:val="2"/>
          <w:sz w:val="22"/>
          <w:szCs w:val="22"/>
        </w:rPr>
        <w:t>pelo</w:t>
      </w:r>
      <w:r>
        <w:rPr>
          <w:rFonts w:cs="Arial" w:ascii="Arial" w:hAnsi="Arial"/>
          <w:b/>
          <w:color w:val="111111"/>
          <w:spacing w:val="2"/>
          <w:sz w:val="22"/>
          <w:szCs w:val="22"/>
        </w:rPr>
        <w:t xml:space="preserve"> Município de Itá-SC</w:t>
      </w:r>
      <w:r>
        <w:rPr>
          <w:rFonts w:cs="Arial" w:ascii="Arial" w:hAnsi="Arial"/>
          <w:spacing w:val="2"/>
          <w:sz w:val="22"/>
          <w:szCs w:val="22"/>
        </w:rPr>
        <w:t>, Parte Reveladora, pelas legislações aplicáveis (inclusive a Lei nº 13.709/2018 – Lei Geral de Proteção de Dados “LGPD”) ou que, devido às circunstâncias da revelação ou à própria natureza da informação devam ser consideradas confidenciais ou de propriedade da Parte Reveladora.</w:t>
      </w:r>
    </w:p>
    <w:p>
      <w:pPr>
        <w:pStyle w:val="NormalWeb"/>
        <w:shd w:val="clear" w:color="auto" w:fill="FFFFFF"/>
        <w:spacing w:lineRule="auto" w:line="240" w:before="0" w:after="0"/>
        <w:jc w:val="both"/>
        <w:rPr/>
      </w:pPr>
      <w:r>
        <w:rPr>
          <w:rFonts w:cs="Arial" w:ascii="Arial" w:hAnsi="Arial"/>
          <w:b/>
          <w:spacing w:val="2"/>
          <w:sz w:val="22"/>
          <w:szCs w:val="22"/>
        </w:rPr>
        <w:t>2.2.</w:t>
      </w:r>
      <w:r>
        <w:rPr>
          <w:rFonts w:cs="Arial" w:ascii="Arial" w:hAnsi="Arial"/>
          <w:spacing w:val="2"/>
          <w:sz w:val="22"/>
          <w:szCs w:val="22"/>
        </w:rPr>
        <w:t xml:space="preserve"> A revelação das Informações Confidenciais não representa a concessão de qualquer tipo de licença explícita ou de qualquer outra natureza, nem de direitos de qualquer espécie para a Parte Receptora.</w:t>
      </w:r>
    </w:p>
    <w:p>
      <w:pPr>
        <w:pStyle w:val="NormalWeb"/>
        <w:shd w:val="clear" w:color="auto" w:fill="FFFFFF"/>
        <w:spacing w:lineRule="auto" w:line="240" w:before="0" w:after="0"/>
        <w:jc w:val="both"/>
        <w:rPr/>
      </w:pPr>
      <w:r>
        <w:rPr>
          <w:rFonts w:cs="Arial" w:ascii="Arial" w:hAnsi="Arial"/>
          <w:b/>
          <w:spacing w:val="2"/>
          <w:sz w:val="22"/>
          <w:szCs w:val="22"/>
        </w:rPr>
        <w:t>2.3.</w:t>
      </w:r>
      <w:r>
        <w:rPr>
          <w:rFonts w:cs="Arial" w:ascii="Arial" w:hAnsi="Arial"/>
          <w:spacing w:val="2"/>
          <w:sz w:val="22"/>
          <w:szCs w:val="22"/>
        </w:rPr>
        <w:t xml:space="preserve"> A Parte Receptora se compromete a:</w:t>
      </w:r>
    </w:p>
    <w:p>
      <w:pPr>
        <w:pStyle w:val="NormalWeb"/>
        <w:widowControl w:val="false"/>
        <w:numPr>
          <w:ilvl w:val="0"/>
          <w:numId w:val="39"/>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Utilizar as Informações Confidenciais com o propósito restrito de desempenhar suas atividades junto à Parte Reveladora;</w:t>
      </w:r>
    </w:p>
    <w:p>
      <w:pPr>
        <w:pStyle w:val="NormalWeb"/>
        <w:widowControl w:val="false"/>
        <w:numPr>
          <w:ilvl w:val="0"/>
          <w:numId w:val="39"/>
        </w:numPr>
        <w:shd w:val="clear" w:color="auto" w:fill="FFFFFF"/>
        <w:spacing w:lineRule="auto" w:line="240" w:before="0" w:after="0"/>
        <w:jc w:val="both"/>
        <w:textAlignment w:val="baseline"/>
        <w:rPr/>
      </w:pPr>
      <w:r>
        <w:rPr>
          <w:rFonts w:cs="Arial" w:ascii="Arial" w:hAnsi="Arial"/>
          <w:spacing w:val="2"/>
          <w:sz w:val="22"/>
          <w:szCs w:val="22"/>
        </w:rPr>
        <w:t>Não utilizar tais informações em seu próprio benefício e/ou para qualquer propósito que não aquele para o qual foram reveladas, abstendo-se de divulgar, publicar, fazer circular, produzir cópia ou efetuar </w:t>
      </w:r>
      <w:r>
        <w:rPr>
          <w:rFonts w:cs="Arial" w:ascii="Arial" w:hAnsi="Arial"/>
          <w:i/>
          <w:iCs/>
          <w:spacing w:val="2"/>
          <w:sz w:val="22"/>
          <w:szCs w:val="22"/>
        </w:rPr>
        <w:t>backup</w:t>
      </w:r>
      <w:r>
        <w:rPr>
          <w:rFonts w:cs="Arial" w:ascii="Arial" w:hAnsi="Arial"/>
          <w:spacing w:val="2"/>
          <w:sz w:val="22"/>
          <w:szCs w:val="22"/>
        </w:rPr>
        <w:t>, por qualquer meio ou forma, de qualquer documento ou informação confidencial;</w:t>
      </w:r>
    </w:p>
    <w:p>
      <w:pPr>
        <w:pStyle w:val="NormalWeb"/>
        <w:widowControl w:val="false"/>
        <w:numPr>
          <w:ilvl w:val="0"/>
          <w:numId w:val="39"/>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Zelar para que referidas informações não sejam divulgadas ou reveladas a terceiros, utilizando-se, no mínimo do mesmo zelo e cuidado que dispensa às suas próprias Informações Confidenciais;</w:t>
      </w:r>
    </w:p>
    <w:p>
      <w:pPr>
        <w:pStyle w:val="NormalWeb"/>
        <w:widowControl w:val="false"/>
        <w:numPr>
          <w:ilvl w:val="0"/>
          <w:numId w:val="39"/>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A não revelar as Informações Confidenciais a quaisquer terceiros, salvo mediante prévia e expressa autorização da Parte Reveladora. Ainda, em caso de revelação das informações, a Parte Receptora se compromete, desde já, a repassar todas as obrigações descritas neste instrumento aos que vierem a ter acesso a tais informações, responsabilizando-se por eventuais descumprimentos; e,</w:t>
      </w:r>
    </w:p>
    <w:p>
      <w:pPr>
        <w:pStyle w:val="NormalWeb"/>
        <w:widowControl w:val="false"/>
        <w:numPr>
          <w:ilvl w:val="0"/>
          <w:numId w:val="39"/>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Informar imediatamente à Parte Reveladora qualquer violação das regras de sigilo ora estabelecidas que tenha ocorrido ou que venha a ocorrer por sua ação ou omissão, independentemente da existência de dolo.</w:t>
      </w:r>
    </w:p>
    <w:p>
      <w:pPr>
        <w:pStyle w:val="NormalWeb"/>
        <w:shd w:val="clear" w:color="auto" w:fill="FFFFFF"/>
        <w:spacing w:lineRule="auto" w:line="240" w:before="0" w:after="0"/>
        <w:jc w:val="both"/>
        <w:rPr/>
      </w:pPr>
      <w:r>
        <w:rPr>
          <w:rFonts w:cs="Arial" w:ascii="Arial" w:hAnsi="Arial"/>
          <w:b/>
          <w:spacing w:val="2"/>
          <w:sz w:val="22"/>
          <w:szCs w:val="22"/>
        </w:rPr>
        <w:t>2.4.</w:t>
      </w:r>
      <w:r>
        <w:rPr>
          <w:rFonts w:cs="Arial" w:ascii="Arial" w:hAnsi="Arial"/>
          <w:spacing w:val="2"/>
          <w:sz w:val="22"/>
          <w:szCs w:val="22"/>
        </w:rPr>
        <w:t xml:space="preserve"> As obrigações estabelecidas neste instrumento não serão aplicáveis a quaisquer Informações Confidenciais que:</w:t>
      </w:r>
    </w:p>
    <w:p>
      <w:pPr>
        <w:pStyle w:val="NormalWeb"/>
        <w:widowControl w:val="false"/>
        <w:numPr>
          <w:ilvl w:val="0"/>
          <w:numId w:val="40"/>
        </w:numPr>
        <w:shd w:val="clear" w:color="auto" w:fill="FFFFFF"/>
        <w:spacing w:lineRule="auto" w:line="240" w:before="0" w:after="0"/>
        <w:jc w:val="both"/>
        <w:textAlignment w:val="baseline"/>
        <w:rPr/>
      </w:pPr>
      <w:r>
        <w:rPr>
          <w:rFonts w:cs="Arial" w:ascii="Arial" w:hAnsi="Arial"/>
          <w:spacing w:val="2"/>
          <w:sz w:val="22"/>
          <w:szCs w:val="22"/>
        </w:rPr>
        <w:t>Anteriormente ao seu recebimento pela Parte Receptora tenham tornado-se públicas ou chegado ao poder da Parte Receptora por uma fonte que não a Parte Reveladora; ou</w:t>
      </w:r>
    </w:p>
    <w:p>
      <w:pPr>
        <w:pStyle w:val="NormalWeb"/>
        <w:widowControl w:val="false"/>
        <w:numPr>
          <w:ilvl w:val="0"/>
          <w:numId w:val="40"/>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Após o recebimento pela Parte Receptora, tenham tornado-se públicas por qualquer meio que não como consequência de uma violação de sua obrigação aqui prevista.</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b/>
          <w:b/>
          <w:bCs/>
          <w:spacing w:val="2"/>
          <w:sz w:val="22"/>
          <w:szCs w:val="22"/>
        </w:rPr>
      </w:pPr>
      <w:r>
        <w:rPr>
          <w:rFonts w:cs="Arial" w:ascii="Arial" w:hAnsi="Arial"/>
          <w:b/>
          <w:bCs/>
          <w:spacing w:val="2"/>
          <w:sz w:val="22"/>
          <w:szCs w:val="22"/>
        </w:rPr>
        <w:t>CLÁUSULA TERCEIRA – DA PROTEÇÃO DE DADOS</w:t>
      </w:r>
    </w:p>
    <w:p>
      <w:pPr>
        <w:pStyle w:val="NormalWeb"/>
        <w:shd w:val="clear" w:color="auto" w:fill="FFFFFF"/>
        <w:spacing w:lineRule="auto" w:line="240" w:before="0" w:after="0"/>
        <w:jc w:val="both"/>
        <w:rPr/>
      </w:pPr>
      <w:r>
        <w:rPr>
          <w:rFonts w:cs="Arial" w:ascii="Arial" w:hAnsi="Arial"/>
          <w:b/>
          <w:spacing w:val="2"/>
          <w:sz w:val="22"/>
          <w:szCs w:val="22"/>
        </w:rPr>
        <w:t>3.1.</w:t>
      </w:r>
      <w:r>
        <w:rPr>
          <w:rFonts w:cs="Arial" w:ascii="Arial" w:hAnsi="Arial"/>
          <w:spacing w:val="2"/>
          <w:sz w:val="22"/>
          <w:szCs w:val="22"/>
        </w:rPr>
        <w:t xml:space="preserve"> Serão aplicáveis a este instrumento, as “Leis Aplicáveis à Proteção de Dados” que significa todas as leis, normas e regulamentos que regem o tratamento de dados pessoais, especialmente a Lei nº </w:t>
        <w:tab/>
        <w:t>13.709/2018 – LGPD, além das normas e dos regulamentos adotados pelas competentes autoridades de proteção de dados.</w:t>
      </w:r>
    </w:p>
    <w:p>
      <w:pPr>
        <w:pStyle w:val="NormalWeb"/>
        <w:shd w:val="clear" w:color="auto" w:fill="FFFFFF"/>
        <w:spacing w:lineRule="auto" w:line="240" w:before="0" w:after="0"/>
        <w:jc w:val="both"/>
        <w:rPr/>
      </w:pPr>
      <w:r>
        <w:rPr>
          <w:rFonts w:cs="Arial" w:ascii="Arial" w:hAnsi="Arial"/>
          <w:b/>
          <w:spacing w:val="2"/>
          <w:sz w:val="22"/>
          <w:szCs w:val="22"/>
        </w:rPr>
        <w:t>3.2.</w:t>
      </w:r>
      <w:r>
        <w:rPr>
          <w:rFonts w:cs="Arial" w:ascii="Arial" w:hAnsi="Arial"/>
          <w:spacing w:val="2"/>
          <w:sz w:val="22"/>
          <w:szCs w:val="22"/>
        </w:rPr>
        <w:t xml:space="preserve"> A Parte Receptora declara-se ciente e concorda que poderá ter acesso, utilizar, manter e processar, eletrônica e manualmente, informações e dados prestados pela Parte Reveladora e seus clientes (“dados protegidos”), exclusivamente para a prestação dos serviços.</w:t>
      </w:r>
    </w:p>
    <w:p>
      <w:pPr>
        <w:pStyle w:val="NormalWeb"/>
        <w:shd w:val="clear" w:color="auto" w:fill="FFFFFF"/>
        <w:spacing w:lineRule="auto" w:line="240" w:before="0" w:after="0"/>
        <w:jc w:val="both"/>
        <w:rPr/>
      </w:pPr>
      <w:r>
        <w:rPr>
          <w:rFonts w:cs="Arial" w:ascii="Arial" w:hAnsi="Arial"/>
          <w:b/>
          <w:spacing w:val="2"/>
          <w:sz w:val="22"/>
          <w:szCs w:val="22"/>
        </w:rPr>
        <w:t>3.3.</w:t>
      </w:r>
      <w:r>
        <w:rPr>
          <w:rFonts w:cs="Arial" w:ascii="Arial" w:hAnsi="Arial"/>
          <w:spacing w:val="2"/>
          <w:sz w:val="22"/>
          <w:szCs w:val="22"/>
        </w:rPr>
        <w:t xml:space="preserve"> As partes declaram-se cientes dos direitos, obrigações e penalidades aplicáveis constantes da Lei nº 13.709/2018 – LGPD e obrigam-se a adotar todas as medidas razoáveis para garantir, por si, bem como seu pessoal, colaboradores, empregados e subcontratados que utilizem os dados protegidos na extensão autorizada na referida LGPD.</w:t>
      </w:r>
    </w:p>
    <w:p>
      <w:pPr>
        <w:pStyle w:val="NormalWeb"/>
        <w:shd w:val="clear" w:color="auto" w:fill="FFFFFF"/>
        <w:spacing w:lineRule="auto" w:line="240" w:before="0" w:after="0"/>
        <w:jc w:val="both"/>
        <w:rPr/>
      </w:pPr>
      <w:r>
        <w:rPr>
          <w:rFonts w:cs="Arial" w:ascii="Arial" w:hAnsi="Arial"/>
          <w:b/>
          <w:spacing w:val="2"/>
          <w:sz w:val="22"/>
          <w:szCs w:val="22"/>
        </w:rPr>
        <w:t>3.4.</w:t>
      </w:r>
      <w:r>
        <w:rPr>
          <w:rFonts w:cs="Arial" w:ascii="Arial" w:hAnsi="Arial"/>
          <w:spacing w:val="2"/>
          <w:sz w:val="22"/>
          <w:szCs w:val="22"/>
        </w:rPr>
        <w:t xml:space="preserve"> A Parte Receptora somente poderá tratar dados pessoais conforme as instruções da Parte Reveladora, a fim de cumprir suas obrigações para a prestação dos serviços, jamais para qualquer outro propósito.</w:t>
      </w:r>
    </w:p>
    <w:p>
      <w:pPr>
        <w:pStyle w:val="NormalWeb"/>
        <w:shd w:val="clear" w:color="auto" w:fill="FFFFFF"/>
        <w:spacing w:lineRule="auto" w:line="240" w:before="0" w:after="0"/>
        <w:jc w:val="both"/>
        <w:rPr/>
      </w:pPr>
      <w:r>
        <w:rPr>
          <w:rFonts w:cs="Arial" w:ascii="Arial" w:hAnsi="Arial"/>
          <w:b/>
          <w:spacing w:val="2"/>
          <w:sz w:val="22"/>
          <w:szCs w:val="22"/>
        </w:rPr>
        <w:t>3.5.</w:t>
      </w:r>
      <w:r>
        <w:rPr>
          <w:rFonts w:cs="Arial" w:ascii="Arial" w:hAnsi="Arial"/>
          <w:spacing w:val="2"/>
          <w:sz w:val="22"/>
          <w:szCs w:val="22"/>
        </w:rPr>
        <w:t xml:space="preserve"> A Parte Receptora tratará os dados pessoais em nome da Parte Reveladora e de acordo com as instruções escritas fornecidas pela Parte Reveladora. Caso a Parte Receptora considere que não possui informações suficientes para o tratamento dos dados pessoais de acordo com este instrumento ou que uma instrução infrinja as Leis Aplicáveis à Proteção de Dados, a Parte Receptora prontamente notificará a Parte Reveladora e aguardará novas instruções.</w:t>
      </w:r>
    </w:p>
    <w:p>
      <w:pPr>
        <w:pStyle w:val="NormalWeb"/>
        <w:shd w:val="clear" w:color="auto" w:fill="FFFFFF"/>
        <w:spacing w:lineRule="auto" w:line="240" w:before="0" w:after="0"/>
        <w:jc w:val="both"/>
        <w:rPr/>
      </w:pPr>
      <w:r>
        <w:rPr>
          <w:rFonts w:cs="Arial" w:ascii="Arial" w:hAnsi="Arial"/>
          <w:b/>
          <w:spacing w:val="2"/>
          <w:sz w:val="22"/>
          <w:szCs w:val="22"/>
        </w:rPr>
        <w:t>3.6.</w:t>
      </w:r>
      <w:r>
        <w:rPr>
          <w:rFonts w:cs="Arial" w:ascii="Arial" w:hAnsi="Arial"/>
          <w:spacing w:val="2"/>
          <w:sz w:val="22"/>
          <w:szCs w:val="22"/>
        </w:rPr>
        <w:t xml:space="preserve"> Se aplicável, a Parte Receptora se certificará que qualquer terceiro sob sua responsabilidade agirá de acordo com este instrumento, as Leis Aplicáveis à Proteção de Dados e as instruções transmitidas pela Parte Reveladora. A Parte Receptora se certificará que as pessoas autorizadas a tratar os dados pessoais assumam um compromisso de confidencialidade ou estejam sujeitas a adequadas obrigações legais de confidencialidade.</w:t>
      </w:r>
    </w:p>
    <w:p>
      <w:pPr>
        <w:pStyle w:val="NormalWeb"/>
        <w:shd w:val="clear" w:color="auto" w:fill="FFFFFF"/>
        <w:spacing w:lineRule="auto" w:line="240" w:before="0" w:after="0"/>
        <w:jc w:val="both"/>
        <w:rPr/>
      </w:pPr>
      <w:r>
        <w:rPr>
          <w:rFonts w:cs="Arial" w:ascii="Arial" w:hAnsi="Arial"/>
          <w:b/>
          <w:spacing w:val="2"/>
          <w:sz w:val="22"/>
          <w:szCs w:val="22"/>
        </w:rPr>
        <w:t>3.7.</w:t>
      </w:r>
      <w:r>
        <w:rPr>
          <w:rFonts w:cs="Arial" w:ascii="Arial" w:hAnsi="Arial"/>
          <w:spacing w:val="2"/>
          <w:sz w:val="22"/>
          <w:szCs w:val="22"/>
        </w:rPr>
        <w:t xml:space="preserve"> Se o titular dos dados, autoridade de proteção de dados ou terceiro solicitar informações diretamente da Parte Receptora relativas ao tratamento de dados pessoais, a Parte Receptora submeterá esse pedido à apreciação da Parte Reveladora. A Parte Receptora não poderá, sem instruções prévias da Parte Reveladora, transferir ou, de qualquer outra forma, compartilhar e/ou garantir acesso aos dados pessoais ou a quaisquer outras informações relativas ao tratamento de dados pessoais a qualquer terceiro.</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b/>
          <w:b/>
          <w:bCs/>
          <w:spacing w:val="2"/>
          <w:sz w:val="22"/>
          <w:szCs w:val="22"/>
        </w:rPr>
      </w:pPr>
      <w:r>
        <w:rPr>
          <w:rFonts w:cs="Arial" w:ascii="Arial" w:hAnsi="Arial"/>
          <w:b/>
          <w:bCs/>
          <w:spacing w:val="2"/>
          <w:sz w:val="22"/>
          <w:szCs w:val="22"/>
        </w:rPr>
        <w:t>CLÁUSULA QUARTA – DAS DISPOSIÇÕES GERAIS</w:t>
      </w:r>
    </w:p>
    <w:p>
      <w:pPr>
        <w:pStyle w:val="NormalWeb"/>
        <w:shd w:val="clear" w:color="auto" w:fill="FFFFFF"/>
        <w:spacing w:lineRule="auto" w:line="240" w:before="0" w:after="0"/>
        <w:jc w:val="both"/>
        <w:rPr/>
      </w:pPr>
      <w:r>
        <w:rPr>
          <w:rFonts w:cs="Arial" w:ascii="Arial" w:hAnsi="Arial"/>
          <w:b/>
          <w:spacing w:val="2"/>
          <w:sz w:val="22"/>
          <w:szCs w:val="22"/>
        </w:rPr>
        <w:t>4.1.</w:t>
      </w:r>
      <w:r>
        <w:rPr>
          <w:rFonts w:cs="Arial" w:ascii="Arial" w:hAnsi="Arial"/>
          <w:spacing w:val="2"/>
          <w:sz w:val="22"/>
          <w:szCs w:val="22"/>
        </w:rPr>
        <w:t xml:space="preserve"> Este instrumento poderá ser alterado somente mediante a celebração de Termo Aditivo.</w:t>
      </w:r>
    </w:p>
    <w:p>
      <w:pPr>
        <w:pStyle w:val="NormalWeb"/>
        <w:shd w:val="clear" w:color="auto" w:fill="FFFFFF"/>
        <w:spacing w:lineRule="auto" w:line="240" w:before="0" w:after="0"/>
        <w:jc w:val="both"/>
        <w:rPr/>
      </w:pPr>
      <w:r>
        <w:rPr>
          <w:rFonts w:cs="Arial" w:ascii="Arial" w:hAnsi="Arial"/>
          <w:b/>
          <w:spacing w:val="2"/>
          <w:sz w:val="22"/>
          <w:szCs w:val="22"/>
        </w:rPr>
        <w:t>4.2.</w:t>
      </w:r>
      <w:r>
        <w:rPr>
          <w:rFonts w:cs="Arial" w:ascii="Arial" w:hAnsi="Arial"/>
          <w:spacing w:val="2"/>
          <w:sz w:val="22"/>
          <w:szCs w:val="22"/>
        </w:rPr>
        <w:t xml:space="preserve"> A nulidade ou anulação de qualquer cláusula deste instrumento não implicará na nulidade ou anulação das demais cláusulas, que permanecerão em vigor, a menos que expressamente anuladas por decisão judicial.</w:t>
      </w:r>
    </w:p>
    <w:p>
      <w:pPr>
        <w:pStyle w:val="NormalWeb"/>
        <w:shd w:val="clear" w:color="auto" w:fill="FFFFFF"/>
        <w:spacing w:lineRule="auto" w:line="240" w:before="0" w:after="0"/>
        <w:jc w:val="both"/>
        <w:rPr/>
      </w:pPr>
      <w:r>
        <w:rPr>
          <w:rFonts w:cs="Arial" w:ascii="Arial" w:hAnsi="Arial"/>
          <w:b/>
          <w:spacing w:val="2"/>
          <w:sz w:val="22"/>
          <w:szCs w:val="22"/>
        </w:rPr>
        <w:t>4.3.</w:t>
      </w:r>
      <w:r>
        <w:rPr>
          <w:rFonts w:cs="Arial" w:ascii="Arial" w:hAnsi="Arial"/>
          <w:spacing w:val="2"/>
          <w:sz w:val="22"/>
          <w:szCs w:val="22"/>
        </w:rPr>
        <w:t xml:space="preserve"> O não exercício pelas partes de quaisquer dos direitos ou prerrogativas previstos neste instrumento ou na legislação aplicável será tido como ato de mera liberalidade, não constituindo alteração ou novação das obrigações ora estabelecidas, cujo cumprimento poderá ser exigido a qualquer tempo, independentemente de comunicação prévia à parte.</w:t>
      </w:r>
    </w:p>
    <w:p>
      <w:pPr>
        <w:pStyle w:val="NormalWeb"/>
        <w:shd w:val="clear" w:color="auto" w:fill="FFFFFF"/>
        <w:spacing w:lineRule="auto" w:line="240" w:before="0" w:after="0"/>
        <w:jc w:val="both"/>
        <w:rPr/>
      </w:pPr>
      <w:r>
        <w:rPr>
          <w:rFonts w:cs="Arial" w:ascii="Arial" w:hAnsi="Arial"/>
          <w:b/>
          <w:spacing w:val="2"/>
          <w:sz w:val="22"/>
          <w:szCs w:val="22"/>
        </w:rPr>
        <w:t>4.4.</w:t>
      </w:r>
      <w:r>
        <w:rPr>
          <w:rFonts w:cs="Arial" w:ascii="Arial" w:hAnsi="Arial"/>
          <w:spacing w:val="2"/>
          <w:sz w:val="22"/>
          <w:szCs w:val="22"/>
        </w:rPr>
        <w:t xml:space="preserve"> O presente instrumento é celebrado em caráter irrevogável e irretratável, obrigando as partes e seus sucessores, a qualquer título e tempo.</w:t>
      </w:r>
    </w:p>
    <w:p>
      <w:pPr>
        <w:pStyle w:val="NormalWeb"/>
        <w:shd w:val="clear" w:color="auto" w:fill="FFFFFF"/>
        <w:spacing w:lineRule="auto" w:line="240" w:before="0" w:after="0"/>
        <w:jc w:val="both"/>
        <w:rPr/>
      </w:pPr>
      <w:r>
        <w:rPr>
          <w:rFonts w:cs="Arial" w:ascii="Arial" w:hAnsi="Arial"/>
          <w:b/>
          <w:spacing w:val="2"/>
          <w:sz w:val="22"/>
          <w:szCs w:val="22"/>
        </w:rPr>
        <w:t>4.5.</w:t>
      </w:r>
      <w:r>
        <w:rPr>
          <w:rFonts w:cs="Arial" w:ascii="Arial" w:hAnsi="Arial"/>
          <w:spacing w:val="2"/>
          <w:sz w:val="22"/>
          <w:szCs w:val="22"/>
        </w:rPr>
        <w:t xml:space="preserve"> A Parte Receptora declara que os serviços serão prestados de acordo com todas as legislações, princípios e normas aplicáveis, inclusive a Lei nº 13.709/2018 – Lei Geral de Proteção de Dados (LGDP).</w:t>
      </w:r>
    </w:p>
    <w:p>
      <w:pPr>
        <w:pStyle w:val="NormalWeb"/>
        <w:shd w:val="clear" w:color="auto" w:fill="FFFFFF"/>
        <w:spacing w:lineRule="auto" w:line="240" w:before="0" w:after="0"/>
        <w:jc w:val="both"/>
        <w:rPr/>
      </w:pPr>
      <w:r>
        <w:rPr>
          <w:rFonts w:cs="Arial" w:ascii="Arial" w:hAnsi="Arial"/>
          <w:b/>
          <w:spacing w:val="2"/>
          <w:sz w:val="22"/>
          <w:szCs w:val="22"/>
        </w:rPr>
        <w:t>4.6.</w:t>
      </w:r>
      <w:r>
        <w:rPr>
          <w:rFonts w:cs="Arial" w:ascii="Arial" w:hAnsi="Arial"/>
          <w:spacing w:val="2"/>
          <w:sz w:val="22"/>
          <w:szCs w:val="22"/>
        </w:rPr>
        <w:t xml:space="preserve"> Os efeitos deste instrumento retroagem à data que a Parte Receptora teve acesso à primeira informação confidencial relacionada </w:t>
      </w:r>
      <w:r>
        <w:rPr>
          <w:rFonts w:cs="Arial" w:ascii="Arial" w:hAnsi="Arial"/>
          <w:color w:val="111111"/>
          <w:spacing w:val="2"/>
          <w:sz w:val="22"/>
          <w:szCs w:val="22"/>
        </w:rPr>
        <w:t>ao contrato/ata assinado juntamente com o Munic</w:t>
      </w:r>
      <w:r>
        <w:rPr>
          <w:rFonts w:cs="Arial" w:ascii="Arial" w:hAnsi="Arial"/>
          <w:color w:val="111111"/>
          <w:sz w:val="22"/>
          <w:szCs w:val="22"/>
        </w:rPr>
        <w:t xml:space="preserve">ípio de Itá-SC, </w:t>
      </w:r>
      <w:r>
        <w:rPr>
          <w:rFonts w:cs="Arial" w:ascii="Arial" w:hAnsi="Arial"/>
          <w:color w:val="111111"/>
          <w:spacing w:val="2"/>
          <w:sz w:val="22"/>
          <w:szCs w:val="22"/>
        </w:rPr>
        <w:t xml:space="preserve"> sendo que todas as obrigações aqui estabelecidas permanecerão válidas até que a Parte Reveladora autorize (por escrito) a</w:t>
      </w:r>
      <w:r>
        <w:rPr>
          <w:rFonts w:cs="Arial" w:ascii="Arial" w:hAnsi="Arial"/>
          <w:spacing w:val="2"/>
          <w:sz w:val="22"/>
          <w:szCs w:val="22"/>
        </w:rPr>
        <w:t xml:space="preserve"> revelação da informação confidencial, observado, ainda, o disposto nas legislações vigentes (inclusive a Lei nº 13.709/2018 – LGPD).</w:t>
      </w:r>
    </w:p>
    <w:p>
      <w:pPr>
        <w:pStyle w:val="NormalWeb"/>
        <w:shd w:val="clear" w:color="auto" w:fill="FFFFFF"/>
        <w:spacing w:lineRule="auto" w:line="240" w:before="0" w:after="0"/>
        <w:jc w:val="both"/>
        <w:rPr/>
      </w:pPr>
      <w:r>
        <w:rPr>
          <w:rFonts w:cs="Arial" w:ascii="Arial" w:hAnsi="Arial"/>
          <w:b/>
          <w:spacing w:val="2"/>
          <w:sz w:val="22"/>
          <w:szCs w:val="22"/>
        </w:rPr>
        <w:t>4.7.</w:t>
      </w:r>
      <w:r>
        <w:rPr>
          <w:rFonts w:cs="Arial" w:ascii="Arial" w:hAnsi="Arial"/>
          <w:spacing w:val="2"/>
          <w:sz w:val="22"/>
          <w:szCs w:val="22"/>
        </w:rPr>
        <w:t xml:space="preserve"> As partes declaram e reconhecem que são</w:t>
      </w:r>
      <w:r>
        <w:rPr>
          <w:rFonts w:cs="Arial" w:ascii="Arial" w:hAnsi="Arial"/>
          <w:b/>
          <w:spacing w:val="2"/>
          <w:sz w:val="22"/>
          <w:szCs w:val="22"/>
        </w:rPr>
        <w:t xml:space="preserve"> </w:t>
      </w:r>
      <w:r>
        <w:rPr>
          <w:rFonts w:cs="Arial" w:ascii="Arial" w:hAnsi="Arial"/>
          <w:spacing w:val="2"/>
          <w:sz w:val="22"/>
          <w:szCs w:val="22"/>
        </w:rPr>
        <w:t>entidades totalmente independentes entre si, de forma que nenhuma disposição deste instrumento poderá ser interpretada no sentido de criar qualquer vínculo empregatício entre as partes, bem como entre os empregados de uma parte e a outra parte.</w:t>
      </w:r>
    </w:p>
    <w:p>
      <w:pPr>
        <w:pStyle w:val="NormalWeb"/>
        <w:shd w:val="clear" w:color="auto" w:fill="FFFFFF"/>
        <w:spacing w:lineRule="auto" w:line="240" w:before="0" w:after="0"/>
        <w:jc w:val="both"/>
        <w:rPr/>
      </w:pPr>
      <w:r>
        <w:rPr>
          <w:rFonts w:cs="Arial" w:ascii="Arial" w:hAnsi="Arial"/>
          <w:b/>
          <w:spacing w:val="2"/>
          <w:sz w:val="22"/>
          <w:szCs w:val="22"/>
        </w:rPr>
        <w:t>4.8.</w:t>
      </w:r>
      <w:r>
        <w:rPr>
          <w:rFonts w:cs="Arial" w:ascii="Arial" w:hAnsi="Arial"/>
          <w:spacing w:val="2"/>
          <w:sz w:val="22"/>
          <w:szCs w:val="22"/>
        </w:rPr>
        <w:t xml:space="preserve"> Através deste instrumento, a Parte Receptora cede à Parte Reveladora todos os direitos patrimoniais de autor a ela pertencente, decorrentes dos serviços prestados.</w:t>
      </w:r>
    </w:p>
    <w:p>
      <w:pPr>
        <w:pStyle w:val="NormalWeb"/>
        <w:shd w:val="clear" w:color="auto" w:fill="FFFFFF"/>
        <w:spacing w:lineRule="auto" w:line="240" w:before="0" w:after="0"/>
        <w:jc w:val="both"/>
        <w:rPr/>
      </w:pPr>
      <w:r>
        <w:rPr>
          <w:rFonts w:cs="Arial" w:ascii="Arial" w:hAnsi="Arial"/>
          <w:b/>
          <w:spacing w:val="2"/>
          <w:sz w:val="22"/>
          <w:szCs w:val="22"/>
        </w:rPr>
        <w:t>4.9.</w:t>
      </w:r>
      <w:r>
        <w:rPr>
          <w:rFonts w:cs="Arial" w:ascii="Arial" w:hAnsi="Arial"/>
          <w:spacing w:val="2"/>
          <w:sz w:val="22"/>
          <w:szCs w:val="22"/>
        </w:rPr>
        <w:t xml:space="preserve"> A inobservância de qualquer uma das disposições estabelecidas neste instrumento, sujeitará a Parte Receptora ao pagamento ou ressarcimento, de todas as perdas e danos, materiais e morais, lucros cessantes, nos termos das legislações vigentes.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b/>
          <w:b/>
          <w:bCs/>
          <w:spacing w:val="2"/>
          <w:sz w:val="22"/>
          <w:szCs w:val="22"/>
        </w:rPr>
      </w:pPr>
      <w:r>
        <w:rPr>
          <w:rFonts w:cs="Arial" w:ascii="Arial" w:hAnsi="Arial"/>
          <w:b/>
          <w:bCs/>
          <w:spacing w:val="2"/>
          <w:sz w:val="22"/>
          <w:szCs w:val="22"/>
        </w:rPr>
        <w:t>CLÁUSULA QUINTA – DO FORO</w:t>
      </w:r>
    </w:p>
    <w:p>
      <w:pPr>
        <w:pStyle w:val="NormalWeb"/>
        <w:shd w:val="clear" w:color="auto" w:fill="FFFFFF"/>
        <w:spacing w:lineRule="auto" w:line="240" w:before="0" w:after="0"/>
        <w:jc w:val="both"/>
        <w:rPr/>
      </w:pPr>
      <w:r>
        <w:rPr>
          <w:rFonts w:cs="Arial" w:ascii="Arial" w:hAnsi="Arial"/>
          <w:b/>
          <w:spacing w:val="2"/>
          <w:sz w:val="22"/>
          <w:szCs w:val="22"/>
        </w:rPr>
        <w:t>5.1.</w:t>
      </w:r>
      <w:r>
        <w:rPr>
          <w:rFonts w:cs="Arial" w:ascii="Arial" w:hAnsi="Arial"/>
          <w:spacing w:val="2"/>
          <w:sz w:val="22"/>
          <w:szCs w:val="22"/>
        </w:rPr>
        <w:t xml:space="preserve"> Fica eleito o Foro d</w:t>
      </w:r>
      <w:r>
        <w:rPr>
          <w:rFonts w:cs="Arial" w:ascii="Arial" w:hAnsi="Arial"/>
          <w:color w:val="111111"/>
          <w:spacing w:val="2"/>
          <w:sz w:val="22"/>
          <w:szCs w:val="22"/>
        </w:rPr>
        <w:t>a Comarca de Itá, Estado de Santa Catarina, como único competente para dirimir as controvérsias resultantes deste instrumento, renunciando as partes a qualquer outro, por mais privilegiado que seja ou venha a ser</w:t>
      </w:r>
      <w:r>
        <w:rPr>
          <w:rFonts w:cs="Arial" w:ascii="Arial" w:hAnsi="Arial"/>
          <w:spacing w:val="2"/>
          <w:sz w:val="22"/>
          <w:szCs w:val="22"/>
        </w:rPr>
        <w:t>.</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center"/>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center"/>
        <w:rPr>
          <w:rFonts w:ascii="Arial" w:hAnsi="Arial" w:cs="Arial"/>
          <w:spacing w:val="2"/>
          <w:sz w:val="22"/>
          <w:szCs w:val="22"/>
        </w:rPr>
      </w:pPr>
      <w:r>
        <w:rPr>
          <w:rFonts w:cs="Arial" w:ascii="Arial" w:hAnsi="Arial"/>
          <w:spacing w:val="2"/>
          <w:sz w:val="22"/>
          <w:szCs w:val="22"/>
        </w:rPr>
        <w:t>(LOCAL), (DATA).</w:t>
      </w:r>
    </w:p>
    <w:p>
      <w:pPr>
        <w:pStyle w:val="NormalWeb"/>
        <w:shd w:val="clear" w:color="auto" w:fill="FFFFFF"/>
        <w:spacing w:lineRule="auto" w:line="240" w:before="0" w:after="0"/>
        <w:jc w:val="center"/>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center"/>
        <w:rPr>
          <w:rFonts w:ascii="Arial" w:hAnsi="Arial" w:cs="Arial"/>
          <w:color w:val="111111"/>
          <w:sz w:val="22"/>
          <w:szCs w:val="22"/>
        </w:rPr>
      </w:pPr>
      <w:r>
        <w:rPr>
          <w:rFonts w:cs="Arial" w:ascii="Arial" w:hAnsi="Arial"/>
          <w:color w:val="111111"/>
          <w:sz w:val="22"/>
          <w:szCs w:val="22"/>
        </w:rPr>
      </w:r>
    </w:p>
    <w:p>
      <w:pPr>
        <w:pStyle w:val="NormalWeb"/>
        <w:shd w:val="clear" w:color="auto" w:fill="FFFFFF"/>
        <w:spacing w:lineRule="auto" w:line="240" w:before="0" w:after="0"/>
        <w:jc w:val="center"/>
        <w:rPr>
          <w:rFonts w:ascii="Arial" w:hAnsi="Arial" w:cs="Arial"/>
          <w:spacing w:val="2"/>
          <w:sz w:val="22"/>
          <w:szCs w:val="22"/>
        </w:rPr>
      </w:pPr>
      <w:r>
        <w:rPr>
          <w:rFonts w:cs="Arial" w:ascii="Arial" w:hAnsi="Arial"/>
          <w:spacing w:val="2"/>
          <w:sz w:val="22"/>
          <w:szCs w:val="22"/>
        </w:rPr>
        <w:t>______________________________________________________________</w:t>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t>Razão Social do Contratado</w:t>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181</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080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rPr>
      </w:pPr>
      <w:r>
        <w:rPr>
          <w:rFonts w:cs="Arial" w:ascii="Arial" w:hAnsi="Arial"/>
          <w:b/>
        </w:rPr>
        <w:t>ANEXO V</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APLICAÇÃO DOS ARTS. 42 AO 49 DA LEI COMPLEMENTAR Nº 123/2006</w:t>
      </w:r>
    </w:p>
    <w:p>
      <w:pPr>
        <w:pStyle w:val="Normal"/>
        <w:spacing w:lineRule="auto" w:line="240" w:before="0" w:after="0"/>
        <w:ind w:firstLine="708"/>
        <w:jc w:val="both"/>
        <w:rPr>
          <w:rFonts w:ascii="Arial" w:hAnsi="Arial" w:cs="Arial"/>
        </w:rPr>
      </w:pPr>
      <w:r>
        <w:rPr>
          <w:rFonts w:cs="Arial" w:ascii="Arial" w:hAnsi="Arial"/>
        </w:rPr>
      </w:r>
    </w:p>
    <w:p>
      <w:pPr>
        <w:pStyle w:val="Normal"/>
        <w:spacing w:lineRule="auto" w:line="240" w:before="0" w:after="0"/>
        <w:ind w:firstLine="708"/>
        <w:jc w:val="both"/>
        <w:rPr>
          <w:rFonts w:ascii="Arial" w:hAnsi="Arial" w:cs="Arial"/>
        </w:rPr>
      </w:pPr>
      <w:r>
        <w:rPr>
          <w:rFonts w:cs="Arial" w:ascii="Arial" w:hAnsi="Arial"/>
        </w:rPr>
        <w:t>O licitante ___________________________, inscrito no CPF/CNPJ nº ______________, DECLARA, nos termos do art. 4º, § 2º da Lei nº 14.133/2021, que para obter os benefícios dos arts. 42 a 49 da Lei Complementar nº 123/2006, o licitante no ano-calendário de realização da licitação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 sendo que nas contratações com prazo de vigência superior a 1 (um) ano, será considerado o valor anual do contrato, conforme dispõe o art. 4º, § 3º da Lei nº 14.133/2021.</w:t>
      </w:r>
    </w:p>
    <w:p>
      <w:pPr>
        <w:pStyle w:val="Normal"/>
        <w:spacing w:lineRule="auto" w:line="240" w:before="0" w:after="0"/>
        <w:jc w:val="both"/>
        <w:rPr>
          <w:rFonts w:ascii="Arial" w:hAnsi="Arial" w:cs="Arial"/>
        </w:rPr>
      </w:pPr>
      <w:r>
        <w:rPr>
          <w:rFonts w:cs="Arial" w:ascii="Arial" w:hAnsi="Arial"/>
        </w:rPr>
        <w:tab/>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rPr>
      </w:pPr>
      <w:r>
        <w:rPr>
          <w:rFonts w:cs="Arial" w:ascii="Arial" w:hAnsi="Arial"/>
        </w:rPr>
        <w:t>(LICITANTE – CNPJ/CPF)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181</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080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rPr>
      </w:pPr>
      <w:r>
        <w:rPr>
          <w:rFonts w:cs="Arial" w:ascii="Arial" w:hAnsi="Arial"/>
          <w:b/>
        </w:rPr>
        <w:t>ANEXO VI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PROPOSTA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tbl>
      <w:tblPr>
        <w:tblW w:w="8494"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2808"/>
        <w:gridCol w:w="2950"/>
        <w:gridCol w:w="2736"/>
      </w:tblGrid>
      <w:tr>
        <w:trPr>
          <w:trHeight w:val="886" w:hRule="atLeast"/>
        </w:trPr>
        <w:tc>
          <w:tcPr>
            <w:tcW w:w="280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t>DEFINIÇÃO</w:t>
            </w:r>
          </w:p>
        </w:tc>
        <w:tc>
          <w:tcPr>
            <w:tcW w:w="29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t>QUANTIDADE</w:t>
            </w:r>
          </w:p>
        </w:tc>
        <w:tc>
          <w:tcPr>
            <w:tcW w:w="27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t>VALOR UNITÁRIO</w:t>
            </w:r>
          </w:p>
        </w:tc>
      </w:tr>
      <w:tr>
        <w:trPr>
          <w:trHeight w:val="903" w:hRule="atLeast"/>
        </w:trPr>
        <w:tc>
          <w:tcPr>
            <w:tcW w:w="280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r>
          </w:p>
        </w:tc>
        <w:tc>
          <w:tcPr>
            <w:tcW w:w="29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r>
          </w:p>
        </w:tc>
        <w:tc>
          <w:tcPr>
            <w:tcW w:w="27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r>
          </w:p>
        </w:tc>
      </w:tr>
      <w:tr>
        <w:trPr>
          <w:trHeight w:val="886" w:hRule="atLeast"/>
        </w:trPr>
        <w:tc>
          <w:tcPr>
            <w:tcW w:w="575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t>VALOR TOTAL</w:t>
            </w:r>
          </w:p>
        </w:tc>
        <w:tc>
          <w:tcPr>
            <w:tcW w:w="27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r>
          </w:p>
        </w:tc>
      </w:tr>
    </w:tbl>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rPr>
        <w:tab/>
        <w:t>O licitante ___________________________, inscrito no CPF/CNPJ nº ______________, 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spacing w:lineRule="auto" w:line="240" w:before="0" w:after="0"/>
        <w:jc w:val="both"/>
        <w:rPr/>
      </w:pPr>
      <w:r>
        <w:rPr>
          <w:rFonts w:cs="Arial" w:ascii="Arial" w:hAnsi="Arial"/>
        </w:rPr>
        <w:tab/>
      </w:r>
      <w:r>
        <w:rPr>
          <w:rFonts w:cs="Arial" w:ascii="Arial" w:hAnsi="Arial"/>
          <w:color w:val="111111"/>
        </w:rPr>
        <w:t>Também DECLARA que o cálculo do valor da contratação considera taxa de risco compatível com o objeto da licitação e com os riscos atribuídos ao contratado.</w:t>
      </w:r>
    </w:p>
    <w:p>
      <w:pPr>
        <w:pStyle w:val="Normal"/>
        <w:spacing w:lineRule="auto" w:line="240" w:before="0" w:after="0"/>
        <w:jc w:val="both"/>
        <w:rPr>
          <w:rFonts w:ascii="Arial" w:hAnsi="Arial" w:cs="Arial"/>
        </w:rPr>
      </w:pPr>
      <w:r>
        <w:rPr>
          <w:rFonts w:cs="Arial" w:ascii="Arial" w:hAnsi="Arial"/>
        </w:rPr>
        <w:tab/>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bCs/>
        </w:rPr>
      </w:pPr>
      <w:r>
        <w:rPr>
          <w:rFonts w:cs="Arial" w:ascii="Arial" w:hAnsi="Arial"/>
          <w:bCs/>
        </w:rPr>
        <w:t>Dados da empresa contendo: nome, CNPJ, endereço completo (com CEP), telefone, e-mail, nome completo do responsável, CPF, endereço completo, função na empresa, demais informações que achar pertinente.</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rPr>
      </w:pPr>
      <w:r>
        <w:rPr>
          <w:rFonts w:cs="Arial" w:ascii="Arial" w:hAnsi="Arial"/>
        </w:rPr>
        <w:t>(LICITANTE – CNPJ/CPF)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181</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080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rPr>
      </w:pPr>
      <w:r>
        <w:rPr>
          <w:rFonts w:cs="Arial" w:ascii="Arial" w:hAnsi="Arial"/>
          <w:b/>
        </w:rPr>
        <w:t>ANEXO VII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 xml:space="preserve">ATENDIMENTO AOS REQUISITOS DE HABILITAÇÃO E DECLARAÇÃO DE QUE OS DOCUMENTOS APRESENTADOS PELO PROPONENTE CONFEREM COM O ORIGINAL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A empresa ___________________________, inscrita no CPF/CNPJ nº ______________, DECLARA, nos termos do art. 63, I da Lei nº 14.133/2021 que atende aos requisitos de habilitação, respondendo pela veracidade das informações prestadas, na forma da lei. DECLARA ainda, que os documentos apresentados de origem não eletrônica, conferem com seus respectivos originais, nos termos do que dispõe o art. 3°, § 2° da Lei Federal n° 13.726/2018. </w:t>
      </w:r>
      <w:r>
        <w:rPr>
          <w:rFonts w:cs="Times New Roman" w:ascii="Arial" w:hAnsi="Arial"/>
        </w:rPr>
        <w:t xml:space="preserve">DECLARA ainda que </w:t>
      </w:r>
      <w:r>
        <w:rPr>
          <w:rFonts w:cs="Arial" w:ascii="Arial" w:hAnsi="Arial"/>
        </w:rPr>
        <w:t>tomou conhecimento de todas as informações e das condições locais para o cumprimento das obrigações objeto da licitação, comprometendo-se a cumprir com os requisitos e obrigações constantes no Edital do Processo Licitatório, no Estudo Técnico Preliminar, Termo de Referência e demais anexos.</w:t>
      </w:r>
    </w:p>
    <w:p>
      <w:pPr>
        <w:pStyle w:val="Normal"/>
        <w:spacing w:lineRule="auto" w:line="240" w:before="0" w:after="0"/>
        <w:jc w:val="both"/>
        <w:rPr>
          <w:rFonts w:ascii="Arial" w:hAnsi="Arial" w:cs="Arial"/>
        </w:rPr>
      </w:pPr>
      <w:r>
        <w:rPr>
          <w:rFonts w:cs="Arial" w:ascii="Arial" w:hAnsi="Arial"/>
        </w:rPr>
        <w:tab/>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rPr>
      </w:pPr>
      <w:r>
        <w:rPr>
          <w:rFonts w:cs="Arial" w:ascii="Arial" w:hAnsi="Arial"/>
        </w:rPr>
        <w:t>(LICITANTE – CNPJ/CPF)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181</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080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cs="Arial"/>
        </w:rPr>
      </w:pPr>
      <w:r>
        <w:rPr>
          <w:rFonts w:cs="Arial" w:ascii="Arial" w:hAnsi="Arial"/>
        </w:rPr>
      </w:r>
    </w:p>
    <w:p>
      <w:pPr>
        <w:pStyle w:val="Normal"/>
        <w:spacing w:lineRule="auto" w:line="240" w:before="0" w:after="0"/>
        <w:jc w:val="center"/>
        <w:rPr>
          <w:rFonts w:ascii="Arial" w:hAnsi="Arial" w:cs="Arial"/>
          <w:b/>
          <w:b/>
        </w:rPr>
      </w:pPr>
      <w:r>
        <w:rPr>
          <w:rFonts w:cs="Arial" w:ascii="Arial" w:hAnsi="Arial"/>
          <w:b/>
        </w:rPr>
        <w:t>ANEXO VIII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DECLARAÇÃO DE CUMPRIMENTO DE RESERVA DE CARGOS</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ind w:firstLine="708"/>
        <w:jc w:val="both"/>
        <w:rPr>
          <w:rFonts w:ascii="Arial" w:hAnsi="Arial" w:cs="Arial"/>
        </w:rPr>
      </w:pPr>
      <w:r>
        <w:rPr>
          <w:rFonts w:cs="Arial" w:ascii="Arial" w:hAnsi="Arial"/>
        </w:rPr>
        <w:t>O licitante ___________________________, inscrito no CPF/CNPJ nº ______________, DECLARA, nos termos do art. 63, IV, da Lei nº 14.133/2021, que cumpre as exigências de reserva de cargos para pessoa com deficiência e para reabilitado da Previdência Social, previstas em lei e em outras normas específicas.</w:t>
      </w:r>
    </w:p>
    <w:p>
      <w:pPr>
        <w:pStyle w:val="Normal"/>
        <w:spacing w:lineRule="auto" w:line="240" w:before="0" w:after="0"/>
        <w:ind w:firstLine="708"/>
        <w:jc w:val="both"/>
        <w:rPr>
          <w:rFonts w:ascii="Arial" w:hAnsi="Arial" w:cs="Arial"/>
        </w:rPr>
      </w:pPr>
      <w:r>
        <w:rPr>
          <w:rFonts w:cs="Arial" w:ascii="Arial" w:hAnsi="Arial"/>
        </w:rPr>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rPr>
      </w:pPr>
      <w:r>
        <w:rPr>
          <w:rFonts w:cs="Arial" w:ascii="Arial" w:hAnsi="Arial"/>
        </w:rPr>
        <w:t>(LICITANTE – CNPJ/CPF)</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181</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080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rPr>
      </w:pPr>
      <w:r>
        <w:rPr>
          <w:rFonts w:cs="Arial" w:ascii="Arial" w:hAnsi="Arial"/>
          <w:b/>
        </w:rPr>
        <w:t>ANEXO IX</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pPr>
      <w:r>
        <w:rPr>
          <w:rFonts w:cs="Arial" w:ascii="Arial" w:hAnsi="Arial"/>
          <w:b/>
        </w:rPr>
        <w:t>ATA DE REGISTRO DE PREÇOS Nº xxx</w:t>
      </w:r>
      <w:r>
        <w:rPr>
          <w:rFonts w:cs="Arial" w:ascii="Arial" w:hAnsi="Arial"/>
          <w:b/>
          <w:color w:val="111111"/>
        </w:rPr>
        <w:t>/2023</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center"/>
        <w:rPr/>
      </w:pPr>
      <w:r>
        <w:rPr>
          <w:rFonts w:cs="Arial" w:ascii="Arial" w:hAnsi="Arial"/>
          <w:b/>
        </w:rPr>
        <w:t>MINUTA DA ATA DE REGISTRO DE PREÇOS Nº xxx</w:t>
      </w:r>
      <w:r>
        <w:rPr>
          <w:rFonts w:cs="Arial" w:ascii="Arial" w:hAnsi="Arial"/>
          <w:b/>
          <w:color w:val="111111"/>
        </w:rPr>
        <w:t>/2023</w:t>
      </w:r>
    </w:p>
    <w:p>
      <w:pPr>
        <w:pStyle w:val="Corpodotexto"/>
        <w:spacing w:before="1" w:after="0"/>
        <w:rPr>
          <w:rFonts w:ascii="Arial" w:hAnsi="Arial"/>
          <w:b/>
          <w:b/>
        </w:rPr>
      </w:pPr>
      <w:r>
        <w:rPr>
          <w:rFonts w:ascii="Arial" w:hAnsi="Arial"/>
          <w:b/>
        </w:rPr>
      </w:r>
    </w:p>
    <w:p>
      <w:pPr>
        <w:pStyle w:val="Corpodotexto"/>
        <w:spacing w:lineRule="auto" w:line="240" w:before="0" w:after="0"/>
        <w:jc w:val="both"/>
        <w:rPr>
          <w:rFonts w:ascii="Arial" w:hAnsi="Arial"/>
        </w:rPr>
      </w:pPr>
      <w:r>
        <w:rPr>
          <w:rFonts w:ascii="Arial" w:hAnsi="Arial"/>
        </w:rPr>
        <w:t>Aos</w:t>
      </w:r>
      <w:r>
        <w:rPr>
          <w:rFonts w:ascii="Arial" w:hAnsi="Arial"/>
          <w:spacing w:val="-2"/>
        </w:rPr>
        <w:t xml:space="preserve"> </w:t>
      </w:r>
      <w:r>
        <w:rPr>
          <w:rFonts w:ascii="Arial" w:hAnsi="Arial"/>
          <w:b/>
          <w:bCs/>
          <w:spacing w:val="-2"/>
        </w:rPr>
        <w:t>xxxxxxxx</w:t>
      </w:r>
      <w:r>
        <w:rPr>
          <w:rFonts w:ascii="Arial" w:hAnsi="Arial"/>
          <w:spacing w:val="-1"/>
        </w:rPr>
        <w:t xml:space="preserve"> </w:t>
      </w:r>
      <w:r>
        <w:rPr>
          <w:rFonts w:ascii="Arial" w:hAnsi="Arial"/>
        </w:rPr>
        <w:t>dias</w:t>
      </w:r>
      <w:r>
        <w:rPr>
          <w:rFonts w:ascii="Arial" w:hAnsi="Arial"/>
          <w:spacing w:val="-1"/>
        </w:rPr>
        <w:t xml:space="preserve"> </w:t>
      </w:r>
      <w:r>
        <w:rPr>
          <w:rFonts w:ascii="Arial" w:hAnsi="Arial"/>
        </w:rPr>
        <w:t>do</w:t>
      </w:r>
      <w:r>
        <w:rPr>
          <w:rFonts w:ascii="Arial" w:hAnsi="Arial"/>
          <w:spacing w:val="-2"/>
        </w:rPr>
        <w:t xml:space="preserve"> </w:t>
      </w:r>
      <w:r>
        <w:rPr>
          <w:rFonts w:ascii="Arial" w:hAnsi="Arial"/>
        </w:rPr>
        <w:t>mês</w:t>
      </w:r>
      <w:r>
        <w:rPr>
          <w:rFonts w:ascii="Arial" w:hAnsi="Arial"/>
          <w:spacing w:val="-1"/>
        </w:rPr>
        <w:t xml:space="preserve"> </w:t>
      </w:r>
      <w:r>
        <w:rPr>
          <w:rFonts w:ascii="Arial" w:hAnsi="Arial"/>
        </w:rPr>
        <w:t>de</w:t>
      </w:r>
      <w:r>
        <w:rPr>
          <w:rFonts w:ascii="Arial" w:hAnsi="Arial"/>
          <w:spacing w:val="-1"/>
        </w:rPr>
        <w:t xml:space="preserve"> </w:t>
      </w:r>
      <w:r>
        <w:rPr>
          <w:rFonts w:ascii="Arial" w:hAnsi="Arial"/>
          <w:b/>
          <w:bCs/>
          <w:spacing w:val="-1"/>
        </w:rPr>
        <w:t>xxxxxx</w:t>
      </w:r>
      <w:r>
        <w:rPr>
          <w:rFonts w:ascii="Arial" w:hAnsi="Arial"/>
          <w:spacing w:val="-2"/>
        </w:rPr>
        <w:t xml:space="preserve"> </w:t>
      </w:r>
      <w:r>
        <w:rPr>
          <w:rFonts w:ascii="Arial" w:hAnsi="Arial"/>
        </w:rPr>
        <w:t>do</w:t>
      </w:r>
      <w:r>
        <w:rPr>
          <w:rFonts w:ascii="Arial" w:hAnsi="Arial"/>
          <w:spacing w:val="-1"/>
        </w:rPr>
        <w:t xml:space="preserve"> </w:t>
      </w:r>
      <w:r>
        <w:rPr>
          <w:rFonts w:ascii="Arial" w:hAnsi="Arial"/>
        </w:rPr>
        <w:t>ano</w:t>
      </w:r>
      <w:r>
        <w:rPr>
          <w:rFonts w:ascii="Arial" w:hAnsi="Arial"/>
          <w:spacing w:val="-1"/>
        </w:rPr>
        <w:t xml:space="preserve"> </w:t>
      </w:r>
      <w:r>
        <w:rPr>
          <w:rFonts w:ascii="Arial" w:hAnsi="Arial"/>
        </w:rPr>
        <w:t>de</w:t>
      </w:r>
      <w:r>
        <w:rPr>
          <w:rFonts w:ascii="Arial" w:hAnsi="Arial"/>
          <w:spacing w:val="-2"/>
        </w:rPr>
        <w:t xml:space="preserve"> </w:t>
      </w:r>
      <w:r>
        <w:rPr>
          <w:rFonts w:ascii="Arial" w:hAnsi="Arial"/>
          <w:b/>
          <w:bCs/>
          <w:spacing w:val="-2"/>
        </w:rPr>
        <w:t>xxxxxxxx</w:t>
      </w:r>
      <w:r>
        <w:rPr>
          <w:rFonts w:ascii="Arial" w:hAnsi="Arial"/>
        </w:rPr>
        <w:t>,</w:t>
      </w:r>
      <w:r>
        <w:rPr>
          <w:rFonts w:ascii="Arial" w:hAnsi="Arial"/>
          <w:spacing w:val="-1"/>
        </w:rPr>
        <w:t xml:space="preserve"> </w:t>
      </w:r>
      <w:r>
        <w:rPr>
          <w:rFonts w:ascii="Arial" w:hAnsi="Arial"/>
        </w:rPr>
        <w:t>o(a)</w:t>
      </w:r>
      <w:r>
        <w:rPr>
          <w:rFonts w:ascii="Arial" w:hAnsi="Arial"/>
          <w:spacing w:val="-1"/>
        </w:rPr>
        <w:t xml:space="preserve"> </w:t>
      </w:r>
      <w:r>
        <w:rPr>
          <w:rFonts w:ascii="Arial" w:hAnsi="Arial"/>
          <w:b/>
        </w:rPr>
        <w:t>MUNICÍPIO</w:t>
      </w:r>
      <w:r>
        <w:rPr>
          <w:rFonts w:ascii="Arial" w:hAnsi="Arial"/>
          <w:b/>
          <w:spacing w:val="-2"/>
        </w:rPr>
        <w:t xml:space="preserve"> </w:t>
      </w:r>
      <w:r>
        <w:rPr>
          <w:rFonts w:ascii="Arial" w:hAnsi="Arial"/>
          <w:b/>
        </w:rPr>
        <w:t>DE</w:t>
      </w:r>
      <w:r>
        <w:rPr>
          <w:rFonts w:ascii="Arial" w:hAnsi="Arial"/>
          <w:b/>
          <w:spacing w:val="-1"/>
        </w:rPr>
        <w:t xml:space="preserve"> </w:t>
      </w:r>
      <w:r>
        <w:rPr>
          <w:rFonts w:ascii="Arial" w:hAnsi="Arial"/>
          <w:b/>
        </w:rPr>
        <w:t>ITÁ</w:t>
      </w:r>
      <w:r>
        <w:rPr>
          <w:rFonts w:ascii="Arial" w:hAnsi="Arial"/>
        </w:rPr>
        <w:t>,</w:t>
      </w:r>
      <w:r>
        <w:rPr>
          <w:rFonts w:ascii="Arial" w:hAnsi="Arial"/>
          <w:spacing w:val="-1"/>
        </w:rPr>
        <w:t xml:space="preserve"> </w:t>
      </w:r>
      <w:r>
        <w:rPr>
          <w:rFonts w:ascii="Arial" w:hAnsi="Arial"/>
        </w:rPr>
        <w:t>pessoa</w:t>
      </w:r>
      <w:r>
        <w:rPr>
          <w:rFonts w:ascii="Arial" w:hAnsi="Arial"/>
          <w:spacing w:val="-2"/>
        </w:rPr>
        <w:t xml:space="preserve"> </w:t>
      </w:r>
      <w:r>
        <w:rPr>
          <w:rFonts w:ascii="Arial" w:hAnsi="Arial"/>
        </w:rPr>
        <w:t>jurídica</w:t>
      </w:r>
      <w:r>
        <w:rPr>
          <w:rFonts w:ascii="Arial" w:hAnsi="Arial"/>
          <w:spacing w:val="-1"/>
        </w:rPr>
        <w:t xml:space="preserve"> </w:t>
      </w:r>
      <w:r>
        <w:rPr>
          <w:rFonts w:ascii="Arial" w:hAnsi="Arial"/>
        </w:rPr>
        <w:t>de</w:t>
      </w:r>
      <w:r>
        <w:rPr>
          <w:rFonts w:ascii="Arial" w:hAnsi="Arial"/>
          <w:spacing w:val="-1"/>
        </w:rPr>
        <w:t xml:space="preserve"> </w:t>
      </w:r>
      <w:r>
        <w:rPr>
          <w:rFonts w:ascii="Arial" w:hAnsi="Arial"/>
        </w:rPr>
        <w:t>direito</w:t>
      </w:r>
      <w:r>
        <w:rPr>
          <w:rFonts w:ascii="Arial" w:hAnsi="Arial"/>
          <w:spacing w:val="-2"/>
        </w:rPr>
        <w:t xml:space="preserve"> </w:t>
      </w:r>
      <w:r>
        <w:rPr>
          <w:rFonts w:ascii="Arial" w:hAnsi="Arial"/>
        </w:rPr>
        <w:t>público,</w:t>
      </w:r>
      <w:r>
        <w:rPr>
          <w:rFonts w:ascii="Arial" w:hAnsi="Arial"/>
          <w:spacing w:val="-1"/>
        </w:rPr>
        <w:t xml:space="preserve"> </w:t>
      </w:r>
      <w:r>
        <w:rPr>
          <w:rFonts w:ascii="Arial" w:hAnsi="Arial"/>
        </w:rPr>
        <w:t>situado</w:t>
      </w:r>
      <w:r>
        <w:rPr>
          <w:rFonts w:ascii="Arial" w:hAnsi="Arial"/>
          <w:spacing w:val="-1"/>
        </w:rPr>
        <w:t xml:space="preserve"> </w:t>
      </w:r>
      <w:r>
        <w:rPr>
          <w:rFonts w:ascii="Arial" w:hAnsi="Arial"/>
        </w:rPr>
        <w:t>na</w:t>
      </w:r>
      <w:r>
        <w:rPr>
          <w:rFonts w:ascii="Arial" w:hAnsi="Arial"/>
          <w:spacing w:val="-2"/>
        </w:rPr>
        <w:t xml:space="preserve"> </w:t>
      </w:r>
      <w:r>
        <w:rPr>
          <w:rFonts w:ascii="Arial" w:hAnsi="Arial"/>
        </w:rPr>
        <w:t xml:space="preserve">Praça </w:t>
      </w:r>
      <w:r>
        <w:rPr>
          <w:rFonts w:cs="Arial" w:ascii="Arial" w:hAnsi="Arial"/>
          <w:iCs/>
        </w:rPr>
        <w:t xml:space="preserve">- 100 Urbana, CENTRO, Itá - SC, </w:t>
      </w:r>
      <w:r>
        <w:rPr>
          <w:rFonts w:cs="Arial" w:ascii="Arial" w:hAnsi="Arial"/>
          <w:iCs/>
          <w:shd w:fill="auto" w:val="clear"/>
        </w:rPr>
        <w:t>inscrito no CNPJ Nº. 83.024.240/0001-53, abaixo assinado, nos termos do artigo 40 da Lei Federal nº.</w:t>
      </w:r>
      <w:r>
        <w:rPr>
          <w:rFonts w:cs="Arial" w:ascii="Arial" w:hAnsi="Arial"/>
          <w:iCs/>
          <w:spacing w:val="1"/>
          <w:shd w:fill="auto" w:val="clear"/>
        </w:rPr>
        <w:t xml:space="preserve"> </w:t>
      </w:r>
      <w:r>
        <w:rPr>
          <w:rFonts w:cs="Arial" w:ascii="Arial" w:hAnsi="Arial"/>
          <w:iCs/>
          <w:shd w:fill="auto" w:val="clear"/>
        </w:rPr>
        <w:t>14.333/2021 e alterações e das demais normas legais aplicáveis, em face da classificação das propostas apresentadas para o SISTEMA DE</w:t>
      </w:r>
      <w:r>
        <w:rPr>
          <w:rFonts w:cs="Arial" w:ascii="Arial" w:hAnsi="Arial"/>
          <w:iCs/>
          <w:spacing w:val="1"/>
          <w:shd w:fill="auto" w:val="clear"/>
        </w:rPr>
        <w:t xml:space="preserve"> </w:t>
      </w:r>
      <w:r>
        <w:rPr>
          <w:rFonts w:cs="Arial" w:ascii="Arial" w:hAnsi="Arial"/>
          <w:iCs/>
          <w:shd w:fill="auto" w:val="clear"/>
        </w:rPr>
        <w:t>REGISTRO DE PREÇOS da licitação Pregão Eletrônico Nº. xx/202x, RESOLVE registrar os valores oferecidos</w:t>
      </w:r>
      <w:bookmarkStart w:id="104" w:name="_Hlk1408222531"/>
      <w:r>
        <w:rPr>
          <w:rFonts w:eastAsia="Calibri" w:cs="Times New Roman" w:ascii="Arial" w:hAnsi="Arial" w:eastAsiaTheme="minorHAnsi"/>
          <w:iCs/>
          <w:color w:val="000000"/>
          <w:shd w:fill="auto" w:val="clear"/>
        </w:rPr>
        <w:t xml:space="preserve"> </w:t>
      </w:r>
      <w:bookmarkEnd w:id="104"/>
      <w:r>
        <w:rPr>
          <w:rFonts w:eastAsia="Calibri" w:cs="Times New Roman" w:ascii="Arial" w:hAnsi="Arial" w:eastAsiaTheme="minorHAnsi"/>
          <w:iCs/>
          <w:color w:val="000000"/>
          <w:shd w:fill="auto" w:val="clear"/>
        </w:rPr>
        <w:t xml:space="preserve">visando a </w:t>
      </w:r>
      <w:r>
        <w:rPr>
          <w:rFonts w:eastAsia="Arial" w:cs="Arial" w:ascii="Arial" w:hAnsi="Arial"/>
          <w:b w:val="false"/>
          <w:bCs w:val="false"/>
          <w:iCs/>
          <w:color w:val="000000"/>
          <w:kern w:val="0"/>
          <w:sz w:val="22"/>
          <w:szCs w:val="22"/>
          <w:shd w:fill="auto" w:val="clear"/>
          <w:lang w:val="pt-BR" w:eastAsia="pt-BR" w:bidi="ar-SA"/>
        </w:rPr>
        <w:t>contratação de empresas para aquisição de materiais esportivos e serviço de transporte de atletas, visando o desenvolvimento da escolinha de voleibol</w:t>
      </w:r>
      <w:r>
        <w:rPr>
          <w:rFonts w:eastAsia="Times New Roman" w:cs="Times New Roman" w:ascii="Arial" w:hAnsi="Arial"/>
          <w:iCs/>
          <w:color w:val="000000"/>
          <w:shd w:fill="auto" w:val="clear"/>
          <w:lang w:eastAsia="pt-BR"/>
        </w:rPr>
        <w:t>, de acordo com as demais informações e descritivos constantes no presente contrato</w:t>
      </w:r>
      <w:r>
        <w:rPr>
          <w:rFonts w:cs="Arial" w:ascii="Arial" w:hAnsi="Arial"/>
          <w:iCs/>
          <w:shd w:fill="auto" w:val="clear"/>
        </w:rPr>
        <w:t xml:space="preserve">, pelo período de </w:t>
      </w:r>
      <w:r>
        <w:rPr>
          <w:rFonts w:cs="Arial" w:ascii="Arial" w:hAnsi="Arial"/>
          <w:b/>
          <w:bCs/>
          <w:iCs/>
          <w:shd w:fill="auto" w:val="clear"/>
        </w:rPr>
        <w:t>xxx</w:t>
      </w:r>
      <w:r>
        <w:rPr>
          <w:rFonts w:cs="Arial" w:ascii="Arial" w:hAnsi="Arial"/>
          <w:iCs/>
          <w:shd w:fill="auto" w:val="clear"/>
        </w:rPr>
        <w:t xml:space="preserve"> meses e </w:t>
      </w:r>
      <w:r>
        <w:rPr>
          <w:rFonts w:cs="Arial" w:ascii="Arial" w:hAnsi="Arial"/>
          <w:b/>
          <w:bCs/>
          <w:iCs/>
          <w:shd w:fill="auto" w:val="clear"/>
        </w:rPr>
        <w:t>xxx</w:t>
      </w:r>
      <w:r>
        <w:rPr>
          <w:rFonts w:cs="Arial" w:ascii="Arial" w:hAnsi="Arial"/>
          <w:iCs/>
          <w:shd w:fill="auto" w:val="clear"/>
        </w:rPr>
        <w:t xml:space="preserve"> dias, conforme consta nos Anexos e termos</w:t>
      </w:r>
      <w:r>
        <w:rPr>
          <w:rFonts w:cs="Arial" w:ascii="Arial" w:hAnsi="Arial"/>
          <w:iCs/>
          <w:spacing w:val="14"/>
          <w:shd w:fill="auto" w:val="clear"/>
        </w:rPr>
        <w:t xml:space="preserve"> </w:t>
      </w:r>
      <w:r>
        <w:rPr>
          <w:rFonts w:cs="Arial" w:ascii="Arial" w:hAnsi="Arial"/>
          <w:iCs/>
          <w:shd w:fill="auto" w:val="clear"/>
        </w:rPr>
        <w:t>do</w:t>
      </w:r>
      <w:r>
        <w:rPr>
          <w:rFonts w:cs="Arial" w:ascii="Arial" w:hAnsi="Arial"/>
          <w:iCs/>
          <w:spacing w:val="15"/>
          <w:shd w:fill="auto" w:val="clear"/>
        </w:rPr>
        <w:t xml:space="preserve"> </w:t>
      </w:r>
      <w:r>
        <w:rPr>
          <w:rFonts w:cs="Arial" w:ascii="Arial" w:hAnsi="Arial"/>
          <w:iCs/>
          <w:shd w:fill="auto" w:val="clear"/>
        </w:rPr>
        <w:t>Edital</w:t>
      </w:r>
      <w:r>
        <w:rPr>
          <w:rFonts w:cs="Arial" w:ascii="Arial" w:hAnsi="Arial"/>
          <w:iCs/>
          <w:spacing w:val="15"/>
          <w:shd w:fill="auto" w:val="clear"/>
        </w:rPr>
        <w:t xml:space="preserve"> </w:t>
      </w:r>
      <w:r>
        <w:rPr>
          <w:rFonts w:cs="Arial" w:ascii="Arial" w:hAnsi="Arial"/>
          <w:iCs/>
          <w:shd w:fill="auto" w:val="clear"/>
        </w:rPr>
        <w:t>da</w:t>
      </w:r>
      <w:r>
        <w:rPr>
          <w:rFonts w:cs="Arial" w:ascii="Arial" w:hAnsi="Arial"/>
          <w:iCs/>
          <w:spacing w:val="15"/>
          <w:shd w:fill="auto" w:val="clear"/>
        </w:rPr>
        <w:t xml:space="preserve"> </w:t>
      </w:r>
      <w:r>
        <w:rPr>
          <w:rFonts w:cs="Arial" w:ascii="Arial" w:hAnsi="Arial"/>
          <w:iCs/>
          <w:shd w:fill="auto" w:val="clear"/>
        </w:rPr>
        <w:t>referida</w:t>
      </w:r>
      <w:r>
        <w:rPr>
          <w:rFonts w:cs="Arial" w:ascii="Arial" w:hAnsi="Arial"/>
          <w:iCs/>
          <w:spacing w:val="15"/>
          <w:shd w:fill="auto" w:val="clear"/>
        </w:rPr>
        <w:t xml:space="preserve"> </w:t>
      </w:r>
      <w:r>
        <w:rPr>
          <w:rFonts w:cs="Arial" w:ascii="Arial" w:hAnsi="Arial"/>
          <w:iCs/>
          <w:shd w:fill="auto" w:val="clear"/>
        </w:rPr>
        <w:t>licitação,</w:t>
      </w:r>
      <w:r>
        <w:rPr>
          <w:rFonts w:cs="Arial" w:ascii="Arial" w:hAnsi="Arial"/>
          <w:iCs/>
          <w:spacing w:val="15"/>
          <w:shd w:fill="auto" w:val="clear"/>
        </w:rPr>
        <w:t xml:space="preserve"> </w:t>
      </w:r>
      <w:r>
        <w:rPr>
          <w:rFonts w:cs="Arial" w:ascii="Arial" w:hAnsi="Arial"/>
          <w:iCs/>
          <w:shd w:fill="auto" w:val="clear"/>
        </w:rPr>
        <w:t>que</w:t>
      </w:r>
      <w:r>
        <w:rPr>
          <w:rFonts w:cs="Arial" w:ascii="Arial" w:hAnsi="Arial"/>
          <w:iCs/>
          <w:spacing w:val="15"/>
          <w:shd w:fill="auto" w:val="clear"/>
        </w:rPr>
        <w:t xml:space="preserve"> </w:t>
      </w:r>
      <w:r>
        <w:rPr>
          <w:rFonts w:cs="Arial" w:ascii="Arial" w:hAnsi="Arial"/>
          <w:iCs/>
          <w:shd w:fill="auto" w:val="clear"/>
        </w:rPr>
        <w:t>passa</w:t>
      </w:r>
      <w:r>
        <w:rPr>
          <w:rFonts w:cs="Arial" w:ascii="Arial" w:hAnsi="Arial"/>
          <w:iCs/>
          <w:spacing w:val="15"/>
          <w:shd w:fill="auto" w:val="clear"/>
        </w:rPr>
        <w:t xml:space="preserve"> </w:t>
      </w:r>
      <w:r>
        <w:rPr>
          <w:rFonts w:cs="Arial" w:ascii="Arial" w:hAnsi="Arial"/>
          <w:iCs/>
          <w:shd w:fill="auto" w:val="clear"/>
        </w:rPr>
        <w:t>a</w:t>
      </w:r>
      <w:r>
        <w:rPr>
          <w:rFonts w:cs="Arial" w:ascii="Arial" w:hAnsi="Arial"/>
          <w:iCs/>
          <w:spacing w:val="15"/>
          <w:shd w:fill="auto" w:val="clear"/>
        </w:rPr>
        <w:t xml:space="preserve"> </w:t>
      </w:r>
      <w:r>
        <w:rPr>
          <w:rFonts w:cs="Arial" w:ascii="Arial" w:hAnsi="Arial"/>
          <w:iCs/>
          <w:shd w:fill="auto" w:val="clear"/>
        </w:rPr>
        <w:t>fazer</w:t>
      </w:r>
      <w:r>
        <w:rPr>
          <w:rFonts w:cs="Arial" w:ascii="Arial" w:hAnsi="Arial"/>
          <w:iCs/>
          <w:spacing w:val="15"/>
          <w:shd w:fill="auto" w:val="clear"/>
        </w:rPr>
        <w:t xml:space="preserve"> </w:t>
      </w:r>
      <w:r>
        <w:rPr>
          <w:rFonts w:cs="Arial" w:ascii="Arial" w:hAnsi="Arial"/>
          <w:iCs/>
          <w:shd w:fill="auto" w:val="clear"/>
        </w:rPr>
        <w:t>parte</w:t>
      </w:r>
      <w:r>
        <w:rPr>
          <w:rFonts w:cs="Arial" w:ascii="Arial" w:hAnsi="Arial"/>
          <w:iCs/>
          <w:spacing w:val="15"/>
          <w:shd w:fill="auto" w:val="clear"/>
        </w:rPr>
        <w:t xml:space="preserve"> </w:t>
      </w:r>
      <w:r>
        <w:rPr>
          <w:rFonts w:cs="Arial" w:ascii="Arial" w:hAnsi="Arial"/>
          <w:iCs/>
          <w:shd w:fill="auto" w:val="clear"/>
        </w:rPr>
        <w:t>desta</w:t>
      </w:r>
      <w:r>
        <w:rPr>
          <w:rFonts w:cs="Arial" w:ascii="Arial" w:hAnsi="Arial"/>
          <w:iCs/>
          <w:spacing w:val="15"/>
          <w:shd w:fill="auto" w:val="clear"/>
        </w:rPr>
        <w:t xml:space="preserve"> </w:t>
      </w:r>
      <w:r>
        <w:rPr>
          <w:rFonts w:cs="Arial" w:ascii="Arial" w:hAnsi="Arial"/>
          <w:iCs/>
          <w:shd w:fill="auto" w:val="clear"/>
        </w:rPr>
        <w:t>Ata,</w:t>
      </w:r>
      <w:r>
        <w:rPr>
          <w:rFonts w:cs="Arial" w:ascii="Arial" w:hAnsi="Arial"/>
          <w:iCs/>
          <w:spacing w:val="15"/>
          <w:shd w:fill="auto" w:val="clear"/>
        </w:rPr>
        <w:t xml:space="preserve"> </w:t>
      </w:r>
      <w:r>
        <w:rPr>
          <w:rFonts w:cs="Arial" w:ascii="Arial" w:hAnsi="Arial"/>
          <w:iCs/>
          <w:shd w:fill="auto" w:val="clear"/>
        </w:rPr>
        <w:t>tendo</w:t>
      </w:r>
      <w:r>
        <w:rPr>
          <w:rFonts w:cs="Arial" w:ascii="Arial" w:hAnsi="Arial"/>
          <w:iCs/>
          <w:spacing w:val="15"/>
          <w:shd w:fill="auto" w:val="clear"/>
        </w:rPr>
        <w:t xml:space="preserve"> </w:t>
      </w:r>
      <w:r>
        <w:rPr>
          <w:rFonts w:cs="Arial" w:ascii="Arial" w:hAnsi="Arial"/>
          <w:iCs/>
          <w:shd w:fill="auto" w:val="clear"/>
        </w:rPr>
        <w:t>sido,</w:t>
      </w:r>
      <w:r>
        <w:rPr>
          <w:rFonts w:cs="Arial" w:ascii="Arial" w:hAnsi="Arial"/>
          <w:iCs/>
          <w:spacing w:val="15"/>
          <w:shd w:fill="auto" w:val="clear"/>
        </w:rPr>
        <w:t xml:space="preserve"> </w:t>
      </w:r>
      <w:r>
        <w:rPr>
          <w:rFonts w:cs="Arial" w:ascii="Arial" w:hAnsi="Arial"/>
          <w:iCs/>
          <w:shd w:fill="auto" w:val="clear"/>
        </w:rPr>
        <w:t>os</w:t>
      </w:r>
      <w:r>
        <w:rPr>
          <w:rFonts w:cs="Arial" w:ascii="Arial" w:hAnsi="Arial"/>
          <w:iCs/>
          <w:spacing w:val="15"/>
          <w:shd w:fill="auto" w:val="clear"/>
        </w:rPr>
        <w:t xml:space="preserve"> </w:t>
      </w:r>
      <w:r>
        <w:rPr>
          <w:rFonts w:cs="Arial" w:ascii="Arial" w:hAnsi="Arial"/>
          <w:iCs/>
          <w:shd w:fill="auto" w:val="clear"/>
        </w:rPr>
        <w:t>referidos</w:t>
      </w:r>
      <w:r>
        <w:rPr>
          <w:rFonts w:cs="Arial" w:ascii="Arial" w:hAnsi="Arial"/>
          <w:iCs/>
          <w:spacing w:val="15"/>
          <w:shd w:fill="auto" w:val="clear"/>
        </w:rPr>
        <w:t xml:space="preserve"> </w:t>
      </w:r>
      <w:r>
        <w:rPr>
          <w:rFonts w:cs="Arial" w:ascii="Arial" w:hAnsi="Arial"/>
          <w:iCs/>
          <w:shd w:fill="auto" w:val="clear"/>
        </w:rPr>
        <w:t>valores,</w:t>
      </w:r>
      <w:r>
        <w:rPr>
          <w:rFonts w:cs="Arial" w:ascii="Arial" w:hAnsi="Arial"/>
          <w:iCs/>
          <w:spacing w:val="15"/>
          <w:shd w:fill="auto" w:val="clear"/>
        </w:rPr>
        <w:t xml:space="preserve"> </w:t>
      </w:r>
      <w:r>
        <w:rPr>
          <w:rFonts w:cs="Arial" w:ascii="Arial" w:hAnsi="Arial"/>
          <w:iCs/>
          <w:shd w:fill="auto" w:val="clear"/>
        </w:rPr>
        <w:t>oferecidos</w:t>
      </w:r>
      <w:r>
        <w:rPr>
          <w:rFonts w:cs="Arial" w:ascii="Arial" w:hAnsi="Arial"/>
          <w:iCs/>
          <w:spacing w:val="15"/>
          <w:shd w:fill="auto" w:val="clear"/>
        </w:rPr>
        <w:t xml:space="preserve"> </w:t>
      </w:r>
      <w:r>
        <w:rPr>
          <w:rFonts w:cs="Arial" w:ascii="Arial" w:hAnsi="Arial"/>
          <w:iCs/>
          <w:shd w:fill="auto" w:val="clear"/>
        </w:rPr>
        <w:t>pelas</w:t>
      </w:r>
      <w:r>
        <w:rPr>
          <w:rFonts w:cs="Arial" w:ascii="Arial" w:hAnsi="Arial"/>
          <w:iCs/>
          <w:spacing w:val="15"/>
          <w:shd w:fill="auto" w:val="clear"/>
        </w:rPr>
        <w:t xml:space="preserve"> </w:t>
      </w:r>
      <w:r>
        <w:rPr>
          <w:rFonts w:cs="Arial" w:ascii="Arial" w:hAnsi="Arial"/>
          <w:iCs/>
          <w:shd w:fill="auto" w:val="clear"/>
        </w:rPr>
        <w:t>empresas</w:t>
      </w:r>
      <w:r>
        <w:rPr>
          <w:rFonts w:cs="Arial" w:ascii="Arial" w:hAnsi="Arial"/>
          <w:iCs/>
          <w:spacing w:val="15"/>
          <w:shd w:fill="auto" w:val="clear"/>
        </w:rPr>
        <w:t xml:space="preserve"> </w:t>
      </w:r>
      <w:r>
        <w:rPr>
          <w:rFonts w:cs="Arial" w:ascii="Arial" w:hAnsi="Arial"/>
          <w:iCs/>
          <w:shd w:fill="auto" w:val="clear"/>
        </w:rPr>
        <w:t>cujas</w:t>
      </w:r>
      <w:r>
        <w:rPr>
          <w:rFonts w:cs="Arial" w:ascii="Arial" w:hAnsi="Arial"/>
          <w:iCs/>
          <w:spacing w:val="15"/>
          <w:shd w:fill="auto" w:val="clear"/>
        </w:rPr>
        <w:t xml:space="preserve"> </w:t>
      </w:r>
      <w:r>
        <w:rPr>
          <w:rFonts w:cs="Arial" w:ascii="Arial" w:hAnsi="Arial"/>
          <w:iCs/>
          <w:shd w:fill="auto" w:val="clear"/>
        </w:rPr>
        <w:t>propostas</w:t>
      </w:r>
      <w:r>
        <w:rPr>
          <w:rFonts w:cs="Arial" w:ascii="Arial" w:hAnsi="Arial"/>
          <w:iCs/>
          <w:spacing w:val="1"/>
          <w:shd w:fill="auto" w:val="clear"/>
        </w:rPr>
        <w:t xml:space="preserve"> </w:t>
      </w:r>
      <w:r>
        <w:rPr>
          <w:rFonts w:cs="Arial" w:ascii="Arial" w:hAnsi="Arial"/>
          <w:iCs/>
          <w:shd w:fill="auto" w:val="clear"/>
        </w:rPr>
        <w:t>fora</w:t>
      </w:r>
      <w:r>
        <w:rPr>
          <w:rFonts w:cs="Arial" w:ascii="Arial" w:hAnsi="Arial"/>
          <w:iCs/>
        </w:rPr>
        <w:t>m</w:t>
      </w:r>
      <w:r>
        <w:rPr>
          <w:rFonts w:cs="Arial" w:ascii="Arial" w:hAnsi="Arial"/>
          <w:iCs/>
          <w:spacing w:val="-1"/>
        </w:rPr>
        <w:t xml:space="preserve"> </w:t>
      </w:r>
      <w:r>
        <w:rPr>
          <w:rFonts w:cs="Arial" w:ascii="Arial" w:hAnsi="Arial"/>
          <w:iCs/>
        </w:rPr>
        <w:t>classificadas</w:t>
      </w:r>
      <w:r>
        <w:rPr>
          <w:rFonts w:cs="Arial" w:ascii="Arial" w:hAnsi="Arial"/>
          <w:iCs/>
          <w:spacing w:val="-1"/>
        </w:rPr>
        <w:t xml:space="preserve"> </w:t>
      </w:r>
      <w:r>
        <w:rPr>
          <w:rFonts w:cs="Arial" w:ascii="Arial" w:hAnsi="Arial"/>
          <w:iCs/>
        </w:rPr>
        <w:t>no</w:t>
      </w:r>
      <w:r>
        <w:rPr>
          <w:rFonts w:cs="Arial" w:ascii="Arial" w:hAnsi="Arial"/>
          <w:iCs/>
          <w:spacing w:val="-1"/>
        </w:rPr>
        <w:t xml:space="preserve"> </w:t>
      </w:r>
      <w:r>
        <w:rPr>
          <w:rFonts w:cs="Arial" w:ascii="Arial" w:hAnsi="Arial"/>
          <w:iCs/>
        </w:rPr>
        <w:t>certame.</w:t>
      </w:r>
      <w:r>
        <w:rPr>
          <w:rFonts w:cs="Arial" w:ascii="Arial" w:hAnsi="Arial"/>
          <w:iCs/>
          <w:spacing w:val="-1"/>
        </w:rPr>
        <w:t xml:space="preserve"> </w:t>
      </w:r>
      <w:r>
        <w:rPr>
          <w:rFonts w:cs="Arial" w:ascii="Arial" w:hAnsi="Arial"/>
          <w:iCs/>
        </w:rPr>
        <w:t>Presentes</w:t>
      </w:r>
      <w:r>
        <w:rPr>
          <w:rFonts w:cs="Arial" w:ascii="Arial" w:hAnsi="Arial"/>
          <w:iCs/>
          <w:spacing w:val="-1"/>
        </w:rPr>
        <w:t xml:space="preserve"> </w:t>
      </w:r>
      <w:r>
        <w:rPr>
          <w:rFonts w:cs="Arial" w:ascii="Arial" w:hAnsi="Arial"/>
          <w:iCs/>
        </w:rPr>
        <w:t>às</w:t>
      </w:r>
      <w:r>
        <w:rPr>
          <w:rFonts w:cs="Arial" w:ascii="Arial" w:hAnsi="Arial"/>
          <w:iCs/>
          <w:spacing w:val="-2"/>
        </w:rPr>
        <w:t xml:space="preserve"> </w:t>
      </w:r>
      <w:r>
        <w:rPr>
          <w:rFonts w:cs="Arial" w:ascii="Arial" w:hAnsi="Arial"/>
          <w:iCs/>
        </w:rPr>
        <w:t>empresas</w:t>
      </w:r>
      <w:r>
        <w:rPr>
          <w:rFonts w:cs="Arial" w:ascii="Arial" w:hAnsi="Arial"/>
          <w:iCs/>
          <w:spacing w:val="-1"/>
        </w:rPr>
        <w:t xml:space="preserve"> </w:t>
      </w:r>
      <w:r>
        <w:rPr>
          <w:rFonts w:cs="Arial" w:ascii="Arial" w:hAnsi="Arial"/>
          <w:iCs/>
        </w:rPr>
        <w:t>e</w:t>
      </w:r>
      <w:r>
        <w:rPr>
          <w:rFonts w:cs="Arial" w:ascii="Arial" w:hAnsi="Arial"/>
          <w:iCs/>
          <w:spacing w:val="-1"/>
        </w:rPr>
        <w:t xml:space="preserve"> </w:t>
      </w:r>
      <w:r>
        <w:rPr>
          <w:rFonts w:cs="Arial" w:ascii="Arial" w:hAnsi="Arial"/>
          <w:iCs/>
        </w:rPr>
        <w:t>seus</w:t>
      </w:r>
      <w:r>
        <w:rPr>
          <w:rFonts w:cs="Arial" w:ascii="Arial" w:hAnsi="Arial"/>
          <w:iCs/>
          <w:spacing w:val="-1"/>
        </w:rPr>
        <w:t xml:space="preserve"> </w:t>
      </w:r>
      <w:r>
        <w:rPr>
          <w:rFonts w:cs="Arial" w:ascii="Arial" w:hAnsi="Arial"/>
          <w:iCs/>
        </w:rPr>
        <w:t>representantes:</w:t>
      </w:r>
    </w:p>
    <w:p>
      <w:pPr>
        <w:pStyle w:val="Normal"/>
        <w:spacing w:lineRule="auto" w:line="240" w:before="0" w:after="0"/>
        <w:jc w:val="center"/>
        <w:rPr>
          <w:rFonts w:ascii="Arial" w:hAnsi="Arial" w:cs="Arial"/>
        </w:rPr>
      </w:pPr>
      <w:r>
        <w:rPr>
          <w:rFonts w:cs="Arial" w:ascii="Arial" w:hAnsi="Arial"/>
        </w:rPr>
      </w:r>
    </w:p>
    <w:tbl>
      <w:tblPr>
        <w:tblW w:w="8513" w:type="dxa"/>
        <w:jc w:val="left"/>
        <w:tblInd w:w="46" w:type="dxa"/>
        <w:tblLayout w:type="fixed"/>
        <w:tblCellMar>
          <w:top w:w="0" w:type="dxa"/>
          <w:left w:w="7" w:type="dxa"/>
          <w:bottom w:w="0" w:type="dxa"/>
          <w:right w:w="7" w:type="dxa"/>
        </w:tblCellMar>
        <w:tblLook w:firstRow="1" w:noVBand="0" w:lastRow="1" w:firstColumn="1" w:lastColumn="1" w:noHBand="0" w:val="01e0"/>
      </w:tblPr>
      <w:tblGrid>
        <w:gridCol w:w="3406"/>
        <w:gridCol w:w="5106"/>
      </w:tblGrid>
      <w:tr>
        <w:trPr>
          <w:trHeight w:val="238" w:hRule="atLeast"/>
        </w:trPr>
        <w:tc>
          <w:tcPr>
            <w:tcW w:w="3406"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708"/>
                <w:tab w:val="left" w:pos="8339" w:leader="none"/>
              </w:tabs>
              <w:spacing w:before="32" w:after="0"/>
              <w:jc w:val="left"/>
              <w:rPr>
                <w:rFonts w:ascii="Arial" w:hAnsi="Arial"/>
                <w:b/>
                <w:b/>
                <w:sz w:val="16"/>
              </w:rPr>
            </w:pPr>
            <w:r>
              <w:rPr>
                <w:rFonts w:ascii="Arial" w:hAnsi="Arial"/>
                <w:b/>
                <w:sz w:val="16"/>
                <w:shd w:fill="DFDFDF" w:val="clear"/>
              </w:rPr>
              <w:t>Participantes</w:t>
            </w:r>
          </w:p>
        </w:tc>
        <w:tc>
          <w:tcPr>
            <w:tcW w:w="5106"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708"/>
                <w:tab w:val="left" w:pos="627" w:leader="none"/>
                <w:tab w:val="left" w:pos="2020" w:leader="none"/>
              </w:tabs>
              <w:spacing w:before="32" w:after="0"/>
              <w:ind w:left="15" w:hanging="0"/>
              <w:rPr>
                <w:rFonts w:ascii="Arial" w:hAnsi="Arial"/>
                <w:b/>
                <w:b/>
                <w:sz w:val="16"/>
              </w:rPr>
            </w:pPr>
            <w:r>
              <w:rPr>
                <w:rFonts w:ascii="Times New Roman" w:hAnsi="Times New Roman"/>
                <w:sz w:val="16"/>
                <w:shd w:fill="DFDFDF" w:val="clear"/>
              </w:rPr>
              <w:t xml:space="preserve"> </w:t>
            </w:r>
            <w:r>
              <w:rPr>
                <w:rFonts w:ascii="Times New Roman" w:hAnsi="Times New Roman"/>
                <w:sz w:val="16"/>
                <w:shd w:fill="DFDFDF" w:val="clear"/>
              </w:rPr>
              <w:tab/>
            </w:r>
            <w:r>
              <w:rPr>
                <w:rFonts w:ascii="Arial" w:hAnsi="Arial"/>
                <w:b/>
                <w:sz w:val="16"/>
                <w:shd w:fill="DFDFDF" w:val="clear"/>
              </w:rPr>
              <w:t>CPF/CNPJ</w:t>
            </w:r>
          </w:p>
        </w:tc>
      </w:tr>
      <w:tr>
        <w:trPr>
          <w:trHeight w:val="238" w:hRule="atLeast"/>
        </w:trPr>
        <w:tc>
          <w:tcPr>
            <w:tcW w:w="340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jc w:val="left"/>
              <w:rPr>
                <w:sz w:val="16"/>
              </w:rPr>
            </w:pPr>
            <w:r>
              <w:rPr>
                <w:sz w:val="16"/>
              </w:rPr>
              <w:t>XXXXXXXXXXXXXXXXX</w:t>
            </w:r>
          </w:p>
        </w:tc>
        <w:tc>
          <w:tcPr>
            <w:tcW w:w="510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25" w:hanging="0"/>
              <w:rPr>
                <w:sz w:val="16"/>
              </w:rPr>
            </w:pPr>
            <w:r>
              <w:rPr>
                <w:sz w:val="16"/>
              </w:rPr>
              <w:t>XX.XXX.XXX/XXX-XX</w:t>
            </w:r>
          </w:p>
        </w:tc>
      </w:tr>
      <w:tr>
        <w:trPr>
          <w:trHeight w:val="238" w:hRule="atLeast"/>
        </w:trPr>
        <w:tc>
          <w:tcPr>
            <w:tcW w:w="340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jc w:val="left"/>
              <w:rPr>
                <w:sz w:val="16"/>
              </w:rPr>
            </w:pPr>
            <w:r>
              <w:rPr>
                <w:sz w:val="16"/>
              </w:rPr>
              <w:t>XXXXXXXXXXXXXXXXX</w:t>
            </w:r>
          </w:p>
        </w:tc>
        <w:tc>
          <w:tcPr>
            <w:tcW w:w="510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25" w:hanging="0"/>
              <w:rPr>
                <w:sz w:val="16"/>
              </w:rPr>
            </w:pPr>
            <w:r>
              <w:rPr>
                <w:sz w:val="16"/>
              </w:rPr>
              <w:t>XX.XXX.XXX/XXX-XX</w:t>
            </w:r>
          </w:p>
        </w:tc>
      </w:tr>
      <w:tr>
        <w:trPr>
          <w:trHeight w:val="238" w:hRule="atLeast"/>
        </w:trPr>
        <w:tc>
          <w:tcPr>
            <w:tcW w:w="340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jc w:val="left"/>
              <w:rPr>
                <w:sz w:val="16"/>
              </w:rPr>
            </w:pPr>
            <w:r>
              <w:rPr>
                <w:sz w:val="16"/>
              </w:rPr>
              <w:t>XXXXXXXXXXXXXXXXX</w:t>
            </w:r>
          </w:p>
        </w:tc>
        <w:tc>
          <w:tcPr>
            <w:tcW w:w="510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25" w:hanging="0"/>
              <w:rPr>
                <w:sz w:val="16"/>
              </w:rPr>
            </w:pPr>
            <w:r>
              <w:rPr>
                <w:sz w:val="16"/>
              </w:rPr>
              <w:t>XX.XXX.XXX/XXX-XX</w:t>
            </w:r>
          </w:p>
        </w:tc>
      </w:tr>
    </w:tbl>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Ttulo2"/>
        <w:numPr>
          <w:ilvl w:val="1"/>
          <w:numId w:val="51"/>
        </w:numPr>
        <w:tabs>
          <w:tab w:val="clear" w:pos="708"/>
          <w:tab w:val="left" w:pos="10597" w:leader="none"/>
        </w:tabs>
        <w:spacing w:before="0" w:after="0"/>
        <w:ind w:left="37" w:hanging="37"/>
        <w:rPr>
          <w:rFonts w:ascii="Arial" w:hAnsi="Arial"/>
          <w:sz w:val="22"/>
          <w:szCs w:val="22"/>
        </w:rPr>
      </w:pPr>
      <w:r>
        <w:rPr>
          <w:rFonts w:ascii="Arial" w:hAnsi="Arial"/>
          <w:sz w:val="22"/>
          <w:szCs w:val="22"/>
          <w:shd w:fill="DFDFDF" w:val="clear"/>
        </w:rPr>
        <w:t>CLÁUSULA</w:t>
      </w:r>
      <w:r>
        <w:rPr>
          <w:rFonts w:ascii="Arial" w:hAnsi="Arial"/>
          <w:spacing w:val="-4"/>
          <w:sz w:val="22"/>
          <w:szCs w:val="22"/>
          <w:shd w:fill="DFDFDF" w:val="clear"/>
        </w:rPr>
        <w:t xml:space="preserve"> </w:t>
      </w:r>
      <w:r>
        <w:rPr>
          <w:rFonts w:ascii="Arial" w:hAnsi="Arial"/>
          <w:sz w:val="22"/>
          <w:szCs w:val="22"/>
          <w:shd w:fill="DFDFDF" w:val="clear"/>
        </w:rPr>
        <w:t>I</w:t>
      </w:r>
      <w:r>
        <w:rPr>
          <w:rFonts w:ascii="Arial" w:hAnsi="Arial"/>
          <w:spacing w:val="-3"/>
          <w:sz w:val="22"/>
          <w:szCs w:val="22"/>
          <w:shd w:fill="DFDFDF" w:val="clear"/>
        </w:rPr>
        <w:t xml:space="preserve"> – </w:t>
      </w:r>
      <w:r>
        <w:rPr>
          <w:rFonts w:ascii="Arial" w:hAnsi="Arial"/>
          <w:sz w:val="22"/>
          <w:szCs w:val="22"/>
          <w:shd w:fill="DFDFDF" w:val="clear"/>
        </w:rPr>
        <w:t>DO</w:t>
      </w:r>
      <w:r>
        <w:rPr>
          <w:rFonts w:ascii="Arial" w:hAnsi="Arial"/>
          <w:spacing w:val="-3"/>
          <w:sz w:val="22"/>
          <w:szCs w:val="22"/>
          <w:shd w:fill="DFDFDF" w:val="clear"/>
        </w:rPr>
        <w:t xml:space="preserve"> </w:t>
      </w:r>
      <w:r>
        <w:rPr>
          <w:rFonts w:ascii="Arial" w:hAnsi="Arial"/>
          <w:sz w:val="22"/>
          <w:szCs w:val="22"/>
          <w:shd w:fill="DFDFDF" w:val="clear"/>
        </w:rPr>
        <w:t>OBJETO</w:t>
      </w:r>
    </w:p>
    <w:p>
      <w:pPr>
        <w:pStyle w:val="Ttulo2"/>
        <w:numPr>
          <w:ilvl w:val="1"/>
          <w:numId w:val="51"/>
        </w:numPr>
        <w:tabs>
          <w:tab w:val="clear" w:pos="708"/>
          <w:tab w:val="left" w:pos="10597" w:leader="none"/>
        </w:tabs>
        <w:spacing w:lineRule="auto" w:line="240" w:before="0" w:after="0"/>
        <w:ind w:left="1440" w:hanging="360"/>
        <w:jc w:val="center"/>
        <w:rPr>
          <w:rFonts w:ascii="Arial" w:hAnsi="Arial"/>
          <w:sz w:val="22"/>
          <w:szCs w:val="22"/>
        </w:rPr>
      </w:pPr>
      <w:r>
        <w:rPr>
          <w:rFonts w:ascii="Arial" w:hAnsi="Arial"/>
          <w:sz w:val="22"/>
          <w:szCs w:val="22"/>
        </w:rPr>
      </w:r>
    </w:p>
    <w:p>
      <w:pPr>
        <w:pStyle w:val="ListParagraph"/>
        <w:widowControl w:val="false"/>
        <w:tabs>
          <w:tab w:val="clear" w:pos="708"/>
          <w:tab w:val="left" w:pos="322" w:leader="none"/>
        </w:tabs>
        <w:spacing w:lineRule="auto" w:line="240" w:before="0" w:after="0"/>
        <w:ind w:left="0" w:hanging="0"/>
        <w:contextualSpacing/>
        <w:jc w:val="both"/>
        <w:textAlignment w:val="baseline"/>
        <w:rPr>
          <w:rFonts w:ascii="Arial" w:hAnsi="Arial" w:eastAsia="Times New Roman" w:cs="Arial"/>
          <w:lang w:eastAsia="pt-BR"/>
        </w:rPr>
      </w:pPr>
      <w:r>
        <w:rPr>
          <w:rFonts w:eastAsia="Times New Roman" w:cs="Arial" w:ascii="Arial" w:hAnsi="Arial"/>
          <w:lang w:eastAsia="pt-BR"/>
        </w:rPr>
        <w:t>1.</w:t>
        <w:tab/>
      </w:r>
      <w:r>
        <w:rPr>
          <w:rFonts w:eastAsia="Times New Roman" w:cs="Arial" w:ascii="Arial" w:hAnsi="Arial"/>
          <w:b/>
          <w:bCs/>
          <w:lang w:eastAsia="pt-BR"/>
        </w:rPr>
        <w:t>CONTRATAÇÃO:</w:t>
      </w:r>
      <w:r>
        <w:rPr>
          <w:rFonts w:eastAsia="Times New Roman" w:cs="Times New Roman" w:ascii="Arial" w:hAnsi="Arial"/>
          <w:b/>
          <w:bCs/>
          <w:color w:val="000000"/>
          <w:lang w:eastAsia="pt-BR"/>
        </w:rPr>
        <w:t xml:space="preserve"> </w:t>
      </w:r>
      <w:r>
        <w:rPr>
          <w:rFonts w:eastAsia="Times New Roman" w:cs="Times New Roman" w:ascii="Arial" w:hAnsi="Arial"/>
          <w:b/>
          <w:bCs/>
          <w:color w:val="000000"/>
          <w:lang w:eastAsia="pt-BR"/>
        </w:rPr>
        <w:t>C</w:t>
      </w:r>
      <w:r>
        <w:rPr>
          <w:rFonts w:eastAsia="Arial" w:cs="Arial" w:ascii="Arial" w:hAnsi="Arial"/>
          <w:b/>
          <w:bCs/>
          <w:color w:val="000000"/>
          <w:kern w:val="0"/>
          <w:sz w:val="22"/>
          <w:szCs w:val="22"/>
          <w:lang w:val="pt-BR" w:eastAsia="pt-BR" w:bidi="ar-SA"/>
        </w:rPr>
        <w:t>ontratação de empresas para aquisição de materiais esportivos e serviço de transporte de atletas, visando o desenvolvimento da escolinha de voleibol</w:t>
      </w:r>
      <w:r>
        <w:rPr>
          <w:rFonts w:eastAsia="Times New Roman" w:cs="Arial" w:ascii="Arial" w:hAnsi="Arial"/>
          <w:lang w:eastAsia="pt-BR"/>
        </w:rPr>
        <w:t>, em</w:t>
      </w:r>
      <w:r>
        <w:rPr>
          <w:rFonts w:eastAsia="Times New Roman" w:cs="Arial" w:ascii="Arial" w:hAnsi="Arial"/>
          <w:spacing w:val="-42"/>
          <w:lang w:eastAsia="pt-BR"/>
        </w:rPr>
        <w:t xml:space="preserve"> </w:t>
      </w:r>
      <w:r>
        <w:rPr>
          <w:rFonts w:eastAsia="Times New Roman" w:cs="Arial" w:ascii="Arial" w:hAnsi="Arial"/>
          <w:lang w:eastAsia="pt-BR"/>
        </w:rPr>
        <w:t>um prazo que se estende até xx/xx/xxxx a partir da assinatura da presente Ata de Registro de Preços, através do Sistema de Registro de Preços, para uso do(a)</w:t>
      </w:r>
      <w:r>
        <w:rPr>
          <w:rFonts w:eastAsia="Times New Roman" w:cs="Arial" w:ascii="Arial" w:hAnsi="Arial"/>
          <w:spacing w:val="1"/>
          <w:lang w:eastAsia="pt-BR"/>
        </w:rPr>
        <w:t xml:space="preserve"> </w:t>
      </w:r>
      <w:r>
        <w:rPr>
          <w:rFonts w:eastAsia="Times New Roman" w:cs="Arial" w:ascii="Arial" w:hAnsi="Arial"/>
          <w:lang w:eastAsia="pt-BR"/>
        </w:rPr>
        <w:t>MUNICÍPIO</w:t>
      </w:r>
      <w:r>
        <w:rPr>
          <w:rFonts w:eastAsia="Times New Roman" w:cs="Arial" w:ascii="Arial" w:hAnsi="Arial"/>
          <w:spacing w:val="-2"/>
          <w:lang w:eastAsia="pt-BR"/>
        </w:rPr>
        <w:t xml:space="preserve"> </w:t>
      </w:r>
      <w:r>
        <w:rPr>
          <w:rFonts w:eastAsia="Times New Roman" w:cs="Arial" w:ascii="Arial" w:hAnsi="Arial"/>
          <w:lang w:eastAsia="pt-BR"/>
        </w:rPr>
        <w:t>DE</w:t>
      </w:r>
      <w:r>
        <w:rPr>
          <w:rFonts w:eastAsia="Times New Roman" w:cs="Arial" w:ascii="Arial" w:hAnsi="Arial"/>
          <w:spacing w:val="-1"/>
          <w:lang w:eastAsia="pt-BR"/>
        </w:rPr>
        <w:t xml:space="preserve"> </w:t>
      </w:r>
      <w:r>
        <w:rPr>
          <w:rFonts w:eastAsia="Times New Roman" w:cs="Arial" w:ascii="Arial" w:hAnsi="Arial"/>
          <w:lang w:eastAsia="pt-BR"/>
        </w:rPr>
        <w:t>ITÁ,</w:t>
      </w:r>
      <w:r>
        <w:rPr>
          <w:rFonts w:eastAsia="Times New Roman" w:cs="Arial" w:ascii="Arial" w:hAnsi="Arial"/>
          <w:spacing w:val="-2"/>
          <w:lang w:eastAsia="pt-BR"/>
        </w:rPr>
        <w:t xml:space="preserve"> </w:t>
      </w:r>
      <w:r>
        <w:rPr>
          <w:rFonts w:eastAsia="Times New Roman" w:cs="Arial" w:ascii="Arial" w:hAnsi="Arial"/>
          <w:lang w:eastAsia="pt-BR"/>
        </w:rPr>
        <w:t>de</w:t>
      </w:r>
      <w:r>
        <w:rPr>
          <w:rFonts w:eastAsia="Times New Roman" w:cs="Arial" w:ascii="Arial" w:hAnsi="Arial"/>
          <w:spacing w:val="-1"/>
          <w:lang w:eastAsia="pt-BR"/>
        </w:rPr>
        <w:t xml:space="preserve"> </w:t>
      </w:r>
      <w:r>
        <w:rPr>
          <w:rFonts w:eastAsia="Times New Roman" w:cs="Arial" w:ascii="Arial" w:hAnsi="Arial"/>
          <w:lang w:eastAsia="pt-BR"/>
        </w:rPr>
        <w:t>acordo</w:t>
      </w:r>
      <w:r>
        <w:rPr>
          <w:rFonts w:eastAsia="Times New Roman" w:cs="Arial" w:ascii="Arial" w:hAnsi="Arial"/>
          <w:spacing w:val="-2"/>
          <w:lang w:eastAsia="pt-BR"/>
        </w:rPr>
        <w:t xml:space="preserve"> </w:t>
      </w:r>
      <w:r>
        <w:rPr>
          <w:rFonts w:eastAsia="Times New Roman" w:cs="Arial" w:ascii="Arial" w:hAnsi="Arial"/>
          <w:lang w:eastAsia="pt-BR"/>
        </w:rPr>
        <w:t>com</w:t>
      </w:r>
      <w:r>
        <w:rPr>
          <w:rFonts w:eastAsia="Times New Roman" w:cs="Arial" w:ascii="Arial" w:hAnsi="Arial"/>
          <w:spacing w:val="-1"/>
          <w:lang w:eastAsia="pt-BR"/>
        </w:rPr>
        <w:t xml:space="preserve"> </w:t>
      </w:r>
      <w:r>
        <w:rPr>
          <w:rFonts w:eastAsia="Times New Roman" w:cs="Arial" w:ascii="Arial" w:hAnsi="Arial"/>
          <w:lang w:eastAsia="pt-BR"/>
        </w:rPr>
        <w:t>as</w:t>
      </w:r>
      <w:r>
        <w:rPr>
          <w:rFonts w:eastAsia="Times New Roman" w:cs="Arial" w:ascii="Arial" w:hAnsi="Arial"/>
          <w:spacing w:val="-2"/>
          <w:lang w:eastAsia="pt-BR"/>
        </w:rPr>
        <w:t xml:space="preserve"> </w:t>
      </w:r>
      <w:r>
        <w:rPr>
          <w:rFonts w:eastAsia="Times New Roman" w:cs="Arial" w:ascii="Arial" w:hAnsi="Arial"/>
          <w:lang w:eastAsia="pt-BR"/>
        </w:rPr>
        <w:t>especificações</w:t>
      </w:r>
      <w:r>
        <w:rPr>
          <w:rFonts w:eastAsia="Times New Roman" w:cs="Arial" w:ascii="Arial" w:hAnsi="Arial"/>
          <w:spacing w:val="-1"/>
          <w:lang w:eastAsia="pt-BR"/>
        </w:rPr>
        <w:t xml:space="preserve"> </w:t>
      </w:r>
      <w:r>
        <w:rPr>
          <w:rFonts w:eastAsia="Times New Roman" w:cs="Arial" w:ascii="Arial" w:hAnsi="Arial"/>
          <w:lang w:eastAsia="pt-BR"/>
        </w:rPr>
        <w:t>e</w:t>
      </w:r>
      <w:r>
        <w:rPr>
          <w:rFonts w:eastAsia="Times New Roman" w:cs="Arial" w:ascii="Arial" w:hAnsi="Arial"/>
          <w:spacing w:val="-2"/>
          <w:lang w:eastAsia="pt-BR"/>
        </w:rPr>
        <w:t xml:space="preserve"> </w:t>
      </w:r>
      <w:r>
        <w:rPr>
          <w:rFonts w:eastAsia="Times New Roman" w:cs="Arial" w:ascii="Arial" w:hAnsi="Arial"/>
          <w:lang w:eastAsia="pt-BR"/>
        </w:rPr>
        <w:t>quantitativos</w:t>
      </w:r>
      <w:r>
        <w:rPr>
          <w:rFonts w:eastAsia="Times New Roman" w:cs="Arial" w:ascii="Arial" w:hAnsi="Arial"/>
          <w:spacing w:val="-1"/>
          <w:lang w:eastAsia="pt-BR"/>
        </w:rPr>
        <w:t xml:space="preserve"> </w:t>
      </w:r>
      <w:r>
        <w:rPr>
          <w:rFonts w:eastAsia="Times New Roman" w:cs="Arial" w:ascii="Arial" w:hAnsi="Arial"/>
          <w:lang w:eastAsia="pt-BR"/>
        </w:rPr>
        <w:t>abaixo</w:t>
      </w:r>
      <w:r>
        <w:rPr>
          <w:rFonts w:eastAsia="Times New Roman" w:cs="Arial" w:ascii="Arial" w:hAnsi="Arial"/>
          <w:spacing w:val="-2"/>
          <w:lang w:eastAsia="pt-BR"/>
        </w:rPr>
        <w:t xml:space="preserve"> </w:t>
      </w:r>
      <w:r>
        <w:rPr>
          <w:rFonts w:eastAsia="Times New Roman" w:cs="Arial" w:ascii="Arial" w:hAnsi="Arial"/>
          <w:lang w:eastAsia="pt-BR"/>
        </w:rPr>
        <w:t>estimados:</w:t>
      </w:r>
    </w:p>
    <w:p>
      <w:pPr>
        <w:pStyle w:val="ListParagraph"/>
        <w:widowControl w:val="false"/>
        <w:tabs>
          <w:tab w:val="clear" w:pos="708"/>
          <w:tab w:val="left" w:pos="322" w:leader="none"/>
        </w:tabs>
        <w:spacing w:lineRule="auto" w:line="240" w:before="0" w:after="0"/>
        <w:ind w:left="2340" w:hanging="0"/>
        <w:contextualSpacing/>
        <w:jc w:val="both"/>
        <w:textAlignment w:val="baseline"/>
        <w:rPr/>
      </w:pPr>
      <w:r>
        <w:rPr/>
      </w:r>
    </w:p>
    <w:tbl>
      <w:tblPr>
        <w:tblW w:w="8736" w:type="dxa"/>
        <w:jc w:val="left"/>
        <w:tblInd w:w="-118" w:type="dxa"/>
        <w:tblLayout w:type="fixed"/>
        <w:tblCellMar>
          <w:top w:w="55" w:type="dxa"/>
          <w:left w:w="55" w:type="dxa"/>
          <w:bottom w:w="55" w:type="dxa"/>
          <w:right w:w="55" w:type="dxa"/>
        </w:tblCellMar>
        <w:tblLook w:firstRow="0" w:noVBand="0" w:lastRow="0" w:firstColumn="0" w:lastColumn="0" w:noHBand="0" w:val="0000"/>
      </w:tblPr>
      <w:tblGrid>
        <w:gridCol w:w="566"/>
        <w:gridCol w:w="4368"/>
        <w:gridCol w:w="850"/>
        <w:gridCol w:w="733"/>
        <w:gridCol w:w="1246"/>
        <w:gridCol w:w="972"/>
      </w:tblGrid>
      <w:tr>
        <w:trPr>
          <w:trHeight w:val="396" w:hRule="atLeast"/>
        </w:trPr>
        <w:tc>
          <w:tcPr>
            <w:tcW w:w="8735" w:type="dxa"/>
            <w:gridSpan w:val="6"/>
            <w:tcBorders>
              <w:top w:val="single" w:sz="2" w:space="0" w:color="000000"/>
              <w:left w:val="single" w:sz="2" w:space="0" w:color="000000"/>
              <w:bottom w:val="single" w:sz="2" w:space="0" w:color="000000"/>
              <w:right w:val="single" w:sz="2" w:space="0" w:color="000000"/>
            </w:tcBorders>
          </w:tcPr>
          <w:p>
            <w:pPr>
              <w:pStyle w:val="TableParagraph"/>
              <w:widowControl w:val="false"/>
              <w:tabs>
                <w:tab w:val="clear" w:pos="708"/>
                <w:tab w:val="left" w:pos="10419" w:leader="none"/>
              </w:tabs>
              <w:spacing w:lineRule="auto" w:line="240" w:before="0" w:after="0"/>
              <w:ind w:left="0" w:hanging="0"/>
              <w:jc w:val="left"/>
              <w:rPr>
                <w:rFonts w:ascii="Arial" w:hAnsi="Arial"/>
                <w:b/>
                <w:b/>
                <w:sz w:val="16"/>
              </w:rPr>
            </w:pPr>
            <w:r>
              <w:rPr>
                <w:rFonts w:ascii="Arial" w:hAnsi="Arial"/>
                <w:b/>
                <w:spacing w:val="-1"/>
                <w:sz w:val="16"/>
                <w:shd w:fill="DFDFDF" w:val="clear"/>
              </w:rPr>
              <w:t>Fornecedor:</w:t>
            </w:r>
            <w:r>
              <w:rPr>
                <w:rFonts w:ascii="Arial" w:hAnsi="Arial"/>
                <w:b/>
                <w:spacing w:val="-8"/>
                <w:sz w:val="16"/>
                <w:shd w:fill="DFDFDF" w:val="clear"/>
              </w:rPr>
              <w:t xml:space="preserve"> </w:t>
            </w:r>
            <w:r>
              <w:rPr>
                <w:rFonts w:ascii="Arial" w:hAnsi="Arial"/>
                <w:b/>
                <w:color w:val="000000"/>
                <w:spacing w:val="-1"/>
                <w:sz w:val="16"/>
                <w:shd w:fill="DFDFDF" w:val="clear"/>
              </w:rPr>
              <w:t>XXXXXXXXXXXXXXXXXXX</w:t>
            </w:r>
          </w:p>
        </w:tc>
      </w:tr>
      <w:tr>
        <w:trPr>
          <w:trHeight w:val="396" w:hRule="atLeast"/>
        </w:trPr>
        <w:tc>
          <w:tcPr>
            <w:tcW w:w="7763" w:type="dxa"/>
            <w:gridSpan w:val="5"/>
            <w:tcBorders>
              <w:left w:val="single" w:sz="2" w:space="0" w:color="000000"/>
              <w:bottom w:val="single" w:sz="2" w:space="0" w:color="000000"/>
            </w:tcBorders>
          </w:tcPr>
          <w:p>
            <w:pPr>
              <w:pStyle w:val="TableParagraph"/>
              <w:widowControl w:val="false"/>
              <w:spacing w:lineRule="auto" w:line="240" w:before="0" w:after="0"/>
              <w:ind w:left="0" w:hanging="0"/>
              <w:rPr>
                <w:rFonts w:ascii="Arial" w:hAnsi="Arial"/>
                <w:b/>
                <w:b/>
                <w:sz w:val="16"/>
              </w:rPr>
            </w:pPr>
            <w:r>
              <w:rPr>
                <w:rFonts w:ascii="Arial" w:hAnsi="Arial"/>
                <w:b/>
                <w:sz w:val="16"/>
              </w:rPr>
              <w:t>LOTE XXX – Caso Houver</w:t>
            </w:r>
          </w:p>
        </w:tc>
        <w:tc>
          <w:tcPr>
            <w:tcW w:w="972" w:type="dxa"/>
            <w:tcBorders>
              <w:left w:val="single" w:sz="2" w:space="0" w:color="000000"/>
              <w:bottom w:val="single" w:sz="2" w:space="0" w:color="000000"/>
              <w:right w:val="single" w:sz="2" w:space="0" w:color="000000"/>
            </w:tcBorders>
          </w:tcPr>
          <w:p>
            <w:pPr>
              <w:pStyle w:val="Normal"/>
              <w:widowControl w:val="false"/>
              <w:spacing w:lineRule="auto" w:line="240" w:before="0" w:after="0"/>
              <w:rPr/>
            </w:pPr>
            <w:r>
              <w:rPr/>
            </w:r>
          </w:p>
        </w:tc>
      </w:tr>
      <w:tr>
        <w:trPr>
          <w:trHeight w:val="396" w:hRule="atLeast"/>
        </w:trPr>
        <w:tc>
          <w:tcPr>
            <w:tcW w:w="566" w:type="dxa"/>
            <w:tcBorders>
              <w:left w:val="single" w:sz="2" w:space="0" w:color="000000"/>
              <w:bottom w:val="single" w:sz="2"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t>Item</w:t>
            </w:r>
          </w:p>
        </w:tc>
        <w:tc>
          <w:tcPr>
            <w:tcW w:w="4368" w:type="dxa"/>
            <w:tcBorders>
              <w:left w:val="single" w:sz="2" w:space="0" w:color="000000"/>
              <w:bottom w:val="single" w:sz="2"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t>Descrição</w:t>
            </w:r>
          </w:p>
        </w:tc>
        <w:tc>
          <w:tcPr>
            <w:tcW w:w="850" w:type="dxa"/>
            <w:tcBorders>
              <w:left w:val="single" w:sz="2" w:space="0" w:color="000000"/>
              <w:bottom w:val="single" w:sz="2"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t>Unid.</w:t>
            </w:r>
          </w:p>
        </w:tc>
        <w:tc>
          <w:tcPr>
            <w:tcW w:w="733" w:type="dxa"/>
            <w:tcBorders>
              <w:left w:val="single" w:sz="2" w:space="0" w:color="000000"/>
              <w:bottom w:val="single" w:sz="2"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t>Quant.</w:t>
            </w:r>
          </w:p>
        </w:tc>
        <w:tc>
          <w:tcPr>
            <w:tcW w:w="1246" w:type="dxa"/>
            <w:tcBorders>
              <w:left w:val="single" w:sz="2" w:space="0" w:color="000000"/>
              <w:bottom w:val="single" w:sz="2"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t>Valor Unit.</w:t>
            </w:r>
          </w:p>
        </w:tc>
        <w:tc>
          <w:tcPr>
            <w:tcW w:w="972" w:type="dxa"/>
            <w:tcBorders>
              <w:left w:val="single" w:sz="2" w:space="0" w:color="000000"/>
              <w:bottom w:val="single" w:sz="2" w:space="0" w:color="000000"/>
              <w:right w:val="single" w:sz="2"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t>Valor Total</w:t>
            </w:r>
          </w:p>
        </w:tc>
      </w:tr>
      <w:tr>
        <w:trPr>
          <w:trHeight w:val="396" w:hRule="atLeast"/>
        </w:trPr>
        <w:tc>
          <w:tcPr>
            <w:tcW w:w="566" w:type="dxa"/>
            <w:tcBorders>
              <w:left w:val="single" w:sz="2" w:space="0" w:color="000000"/>
              <w:bottom w:val="single" w:sz="2" w:space="0" w:color="000000"/>
            </w:tcBorders>
            <w:vAlign w:val="center"/>
          </w:tcPr>
          <w:p>
            <w:pPr>
              <w:pStyle w:val="Normal"/>
              <w:widowControl w:val="false"/>
              <w:suppressAutoHyphens w:val="false"/>
              <w:spacing w:lineRule="auto" w:line="240" w:before="0" w:after="0"/>
              <w:jc w:val="center"/>
              <w:rPr>
                <w:rFonts w:ascii="Arial" w:hAnsi="Arial" w:eastAsia="Times New Roman"/>
                <w:color w:val="000000"/>
                <w:sz w:val="20"/>
                <w:szCs w:val="20"/>
                <w:lang w:eastAsia="pt-BR"/>
              </w:rPr>
            </w:pPr>
            <w:r>
              <w:rPr>
                <w:rFonts w:eastAsia="Times New Roman" w:cs="Arial" w:ascii="Arial" w:hAnsi="Arial"/>
                <w:color w:val="000000"/>
                <w:sz w:val="20"/>
                <w:szCs w:val="20"/>
                <w:lang w:eastAsia="pt-BR"/>
              </w:rPr>
              <w:t>01</w:t>
            </w:r>
          </w:p>
        </w:tc>
        <w:tc>
          <w:tcPr>
            <w:tcW w:w="4368" w:type="dxa"/>
            <w:tcBorders>
              <w:left w:val="single" w:sz="2" w:space="0" w:color="000000"/>
              <w:bottom w:val="single" w:sz="2" w:space="0" w:color="000000"/>
            </w:tcBorders>
          </w:tcPr>
          <w:p>
            <w:pPr>
              <w:pStyle w:val="Normal"/>
              <w:widowControl w:val="false"/>
              <w:spacing w:lineRule="auto" w:line="240" w:before="0" w:after="0"/>
              <w:jc w:val="both"/>
              <w:rPr>
                <w:rFonts w:ascii="Arial" w:hAnsi="Arial" w:eastAsia="Times New Roman" w:cs="Arial"/>
                <w:color w:val="000000"/>
                <w:sz w:val="20"/>
                <w:szCs w:val="20"/>
                <w:lang w:eastAsia="pt-BR"/>
              </w:rPr>
            </w:pPr>
            <w:r>
              <w:rPr>
                <w:rFonts w:eastAsia="Times New Roman" w:cs="Arial" w:ascii="Arial" w:hAnsi="Arial"/>
                <w:color w:val="000000"/>
                <w:sz w:val="20"/>
                <w:szCs w:val="20"/>
                <w:lang w:eastAsia="pt-BR"/>
              </w:rPr>
              <w:t>xxxxxxxxxxxxxxxxxxxxx</w:t>
            </w:r>
          </w:p>
        </w:tc>
        <w:tc>
          <w:tcPr>
            <w:tcW w:w="850" w:type="dxa"/>
            <w:tcBorders>
              <w:left w:val="single" w:sz="2" w:space="0" w:color="000000"/>
              <w:bottom w:val="single" w:sz="2" w:space="0" w:color="000000"/>
            </w:tcBorders>
            <w:vAlign w:val="center"/>
          </w:tcPr>
          <w:p>
            <w:pPr>
              <w:pStyle w:val="Normal"/>
              <w:widowControl w:val="false"/>
              <w:suppressAutoHyphens w:val="false"/>
              <w:spacing w:lineRule="auto" w:line="240" w:before="0" w:after="0"/>
              <w:jc w:val="center"/>
              <w:rPr>
                <w:rFonts w:ascii="Arial" w:hAnsi="Arial" w:cs="Arial"/>
                <w:sz w:val="20"/>
                <w:szCs w:val="20"/>
              </w:rPr>
            </w:pPr>
            <w:r>
              <w:rPr>
                <w:rFonts w:cs="Arial" w:ascii="Arial" w:hAnsi="Arial"/>
                <w:sz w:val="20"/>
                <w:szCs w:val="20"/>
              </w:rPr>
              <w:t>xxx</w:t>
            </w:r>
          </w:p>
        </w:tc>
        <w:tc>
          <w:tcPr>
            <w:tcW w:w="733"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xxx</w:t>
            </w:r>
          </w:p>
        </w:tc>
        <w:tc>
          <w:tcPr>
            <w:tcW w:w="1246" w:type="dxa"/>
            <w:tcBorders>
              <w:left w:val="single" w:sz="2" w:space="0" w:color="000000"/>
              <w:bottom w:val="single" w:sz="2" w:space="0" w:color="000000"/>
            </w:tcBorders>
            <w:vAlign w:val="center"/>
          </w:tcPr>
          <w:p>
            <w:pPr>
              <w:pStyle w:val="Normal"/>
              <w:widowControl w:val="false"/>
              <w:suppressAutoHyphens w:val="false"/>
              <w:spacing w:lineRule="auto" w:line="240" w:before="0" w:after="0"/>
              <w:jc w:val="center"/>
              <w:rPr>
                <w:rFonts w:ascii="Arial" w:hAnsi="Arial" w:eastAsia="Times New Roman"/>
                <w:color w:val="000000"/>
                <w:sz w:val="20"/>
                <w:szCs w:val="20"/>
                <w:lang w:eastAsia="pt-BR"/>
              </w:rPr>
            </w:pPr>
            <w:r>
              <w:rPr>
                <w:rFonts w:eastAsia="Times New Roman" w:ascii="Arial" w:hAnsi="Arial"/>
                <w:color w:val="000000"/>
                <w:sz w:val="20"/>
                <w:szCs w:val="20"/>
                <w:lang w:eastAsia="pt-BR"/>
              </w:rPr>
              <w:t>***</w:t>
            </w:r>
          </w:p>
        </w:tc>
        <w:tc>
          <w:tcPr>
            <w:tcW w:w="972" w:type="dxa"/>
            <w:tcBorders>
              <w:left w:val="single" w:sz="2" w:space="0" w:color="000000"/>
              <w:bottom w:val="single" w:sz="2" w:space="0" w:color="000000"/>
              <w:right w:val="single" w:sz="2" w:space="0" w:color="000000"/>
            </w:tcBorders>
            <w:vAlign w:val="center"/>
          </w:tcPr>
          <w:p>
            <w:pPr>
              <w:pStyle w:val="Normal"/>
              <w:widowControl w:val="false"/>
              <w:suppressAutoHyphens w:val="false"/>
              <w:spacing w:lineRule="auto" w:line="240" w:before="0" w:after="0"/>
              <w:jc w:val="center"/>
              <w:rPr>
                <w:rFonts w:ascii="Arial" w:hAnsi="Arial" w:eastAsia="Times New Roman"/>
                <w:color w:val="000000"/>
                <w:sz w:val="20"/>
                <w:szCs w:val="20"/>
                <w:lang w:eastAsia="pt-BR"/>
              </w:rPr>
            </w:pPr>
            <w:r>
              <w:rPr>
                <w:rFonts w:eastAsia="Times New Roman" w:ascii="Arial" w:hAnsi="Arial"/>
                <w:color w:val="000000"/>
                <w:sz w:val="20"/>
                <w:szCs w:val="20"/>
                <w:lang w:eastAsia="pt-BR"/>
              </w:rPr>
              <w:t>***</w:t>
            </w:r>
          </w:p>
        </w:tc>
      </w:tr>
    </w:tbl>
    <w:p>
      <w:pPr>
        <w:pStyle w:val="Ttulo2"/>
        <w:widowControl w:val="false"/>
        <w:numPr>
          <w:ilvl w:val="1"/>
          <w:numId w:val="51"/>
        </w:numPr>
        <w:tabs>
          <w:tab w:val="clear" w:pos="708"/>
          <w:tab w:val="left" w:pos="10597" w:leader="none"/>
        </w:tabs>
        <w:spacing w:lineRule="auto" w:line="240" w:before="0" w:after="0"/>
        <w:ind w:left="37" w:hanging="360"/>
        <w:textAlignment w:val="baseline"/>
        <w:rPr>
          <w:rFonts w:ascii="Arial" w:hAnsi="Arial" w:eastAsia="Times New Roman" w:cs="Arial"/>
          <w:lang w:eastAsia="pt-BR"/>
        </w:rPr>
      </w:pPr>
      <w:r>
        <w:rPr>
          <w:rFonts w:eastAsia="Times New Roman" w:cs="Arial" w:ascii="Arial" w:hAnsi="Arial"/>
          <w:lang w:eastAsia="pt-BR"/>
        </w:rPr>
      </w:r>
    </w:p>
    <w:p>
      <w:pPr>
        <w:pStyle w:val="Ttulo2"/>
        <w:widowControl w:val="false"/>
        <w:numPr>
          <w:ilvl w:val="1"/>
          <w:numId w:val="51"/>
        </w:numPr>
        <w:tabs>
          <w:tab w:val="clear" w:pos="708"/>
          <w:tab w:val="left" w:pos="10597" w:leader="none"/>
        </w:tabs>
        <w:spacing w:lineRule="auto" w:line="240" w:before="0" w:after="0"/>
        <w:ind w:left="37" w:hanging="37"/>
        <w:textAlignment w:val="baseline"/>
        <w:rPr>
          <w:rFonts w:ascii="Arial" w:hAnsi="Arial" w:eastAsia="Times New Roman" w:cs="Arial"/>
          <w:lang w:eastAsia="pt-BR"/>
        </w:rPr>
      </w:pPr>
      <w:r>
        <w:rPr>
          <w:rFonts w:eastAsia="Times New Roman" w:cs="Arial" w:ascii="Arial" w:hAnsi="Arial"/>
          <w:sz w:val="22"/>
          <w:szCs w:val="22"/>
          <w:shd w:fill="DFDFDF" w:val="clear"/>
          <w:lang w:eastAsia="pt-BR"/>
        </w:rPr>
        <w:t>CLÁUSULA</w:t>
      </w:r>
      <w:r>
        <w:rPr>
          <w:rFonts w:eastAsia="Times New Roman" w:cs="Arial" w:ascii="Arial" w:hAnsi="Arial"/>
          <w:spacing w:val="-4"/>
          <w:sz w:val="22"/>
          <w:szCs w:val="22"/>
          <w:shd w:fill="DFDFDF" w:val="clear"/>
          <w:lang w:eastAsia="pt-BR"/>
        </w:rPr>
        <w:t xml:space="preserve"> </w:t>
      </w:r>
      <w:r>
        <w:rPr>
          <w:rFonts w:eastAsia="Times New Roman" w:cs="Arial" w:ascii="Arial" w:hAnsi="Arial"/>
          <w:sz w:val="22"/>
          <w:szCs w:val="22"/>
          <w:shd w:fill="DFDFDF" w:val="clear"/>
          <w:lang w:eastAsia="pt-BR"/>
        </w:rPr>
        <w:t xml:space="preserve">II </w:t>
      </w:r>
      <w:r>
        <w:rPr>
          <w:rFonts w:eastAsia="Times New Roman" w:cs="Arial" w:ascii="Arial" w:hAnsi="Arial"/>
          <w:spacing w:val="-3"/>
          <w:sz w:val="22"/>
          <w:szCs w:val="22"/>
          <w:shd w:fill="DFDFDF" w:val="clear"/>
          <w:lang w:eastAsia="pt-BR"/>
        </w:rPr>
        <w:t xml:space="preserve">– </w:t>
      </w:r>
      <w:r>
        <w:rPr>
          <w:rFonts w:eastAsia="Times New Roman" w:cs="Arial" w:ascii="Arial" w:hAnsi="Arial"/>
          <w:sz w:val="22"/>
          <w:szCs w:val="22"/>
          <w:shd w:fill="DFDFDF" w:val="clear"/>
          <w:lang w:eastAsia="pt-BR"/>
        </w:rPr>
        <w:t>DA</w:t>
      </w:r>
      <w:r>
        <w:rPr>
          <w:rFonts w:eastAsia="Times New Roman" w:cs="Arial" w:ascii="Arial" w:hAnsi="Arial"/>
          <w:spacing w:val="-3"/>
          <w:sz w:val="22"/>
          <w:szCs w:val="22"/>
          <w:shd w:fill="DFDFDF" w:val="clear"/>
          <w:lang w:eastAsia="pt-BR"/>
        </w:rPr>
        <w:t xml:space="preserve"> </w:t>
      </w:r>
      <w:r>
        <w:rPr>
          <w:rFonts w:eastAsia="Times New Roman" w:cs="Arial" w:ascii="Arial" w:hAnsi="Arial"/>
          <w:color w:val="000000"/>
          <w:spacing w:val="-3"/>
          <w:sz w:val="22"/>
          <w:szCs w:val="22"/>
          <w:shd w:fill="DFDFDF" w:val="clear"/>
          <w:lang w:eastAsia="pt-BR"/>
        </w:rPr>
        <w:t>VALIDADE DOS PREÇOS</w:t>
      </w:r>
    </w:p>
    <w:p>
      <w:pPr>
        <w:pStyle w:val="ListParagraph"/>
        <w:tabs>
          <w:tab w:val="clear" w:pos="708"/>
          <w:tab w:val="left" w:pos="320" w:leader="none"/>
        </w:tabs>
        <w:spacing w:lineRule="auto" w:line="240" w:before="0" w:after="0"/>
        <w:ind w:left="0" w:hanging="0"/>
        <w:contextualSpacing/>
        <w:jc w:val="both"/>
        <w:rPr>
          <w:rFonts w:ascii="Arial" w:hAnsi="Arial"/>
        </w:rPr>
      </w:pPr>
      <w:r>
        <w:rPr>
          <w:rFonts w:ascii="Arial" w:hAnsi="Arial"/>
        </w:rPr>
      </w:r>
    </w:p>
    <w:p>
      <w:pPr>
        <w:pStyle w:val="ListParagraph"/>
        <w:tabs>
          <w:tab w:val="clear" w:pos="708"/>
          <w:tab w:val="left" w:pos="320" w:leader="none"/>
        </w:tabs>
        <w:spacing w:lineRule="auto" w:line="240" w:before="0" w:after="0"/>
        <w:ind w:left="0" w:hanging="0"/>
        <w:contextualSpacing/>
        <w:jc w:val="both"/>
        <w:rPr>
          <w:rFonts w:ascii="Arial" w:hAnsi="Arial"/>
        </w:rPr>
      </w:pPr>
      <w:r>
        <w:rPr>
          <w:rFonts w:ascii="Arial" w:hAnsi="Arial"/>
        </w:rPr>
        <w:t>2.</w:t>
        <w:tab/>
        <w:t>A</w:t>
      </w:r>
      <w:r>
        <w:rPr>
          <w:rFonts w:ascii="Arial" w:hAnsi="Arial"/>
          <w:spacing w:val="-4"/>
        </w:rPr>
        <w:t xml:space="preserve"> </w:t>
      </w:r>
      <w:r>
        <w:rPr>
          <w:rFonts w:ascii="Arial" w:hAnsi="Arial"/>
        </w:rPr>
        <w:t>presente</w:t>
      </w:r>
      <w:r>
        <w:rPr>
          <w:rFonts w:ascii="Arial" w:hAnsi="Arial"/>
          <w:spacing w:val="-3"/>
        </w:rPr>
        <w:t xml:space="preserve"> </w:t>
      </w:r>
      <w:r>
        <w:rPr>
          <w:rFonts w:ascii="Arial" w:hAnsi="Arial"/>
        </w:rPr>
        <w:t>Ata</w:t>
      </w:r>
      <w:r>
        <w:rPr>
          <w:rFonts w:ascii="Arial" w:hAnsi="Arial"/>
          <w:spacing w:val="-4"/>
        </w:rPr>
        <w:t xml:space="preserve"> </w:t>
      </w:r>
      <w:r>
        <w:rPr>
          <w:rFonts w:ascii="Arial" w:hAnsi="Arial"/>
        </w:rPr>
        <w:t>de</w:t>
      </w:r>
      <w:r>
        <w:rPr>
          <w:rFonts w:ascii="Arial" w:hAnsi="Arial"/>
          <w:spacing w:val="-3"/>
        </w:rPr>
        <w:t xml:space="preserve"> </w:t>
      </w:r>
      <w:r>
        <w:rPr>
          <w:rFonts w:ascii="Arial" w:hAnsi="Arial"/>
        </w:rPr>
        <w:t>Registro</w:t>
      </w:r>
      <w:r>
        <w:rPr>
          <w:rFonts w:ascii="Arial" w:hAnsi="Arial"/>
          <w:spacing w:val="-3"/>
        </w:rPr>
        <w:t xml:space="preserve"> </w:t>
      </w:r>
      <w:r>
        <w:rPr>
          <w:rFonts w:ascii="Arial" w:hAnsi="Arial"/>
        </w:rPr>
        <w:t>de</w:t>
      </w:r>
      <w:r>
        <w:rPr>
          <w:rFonts w:ascii="Arial" w:hAnsi="Arial"/>
          <w:spacing w:val="-4"/>
        </w:rPr>
        <w:t xml:space="preserve"> </w:t>
      </w:r>
      <w:r>
        <w:rPr>
          <w:rFonts w:ascii="Arial" w:hAnsi="Arial"/>
        </w:rPr>
        <w:t>Preços</w:t>
      </w:r>
      <w:r>
        <w:rPr>
          <w:rFonts w:ascii="Arial" w:hAnsi="Arial"/>
          <w:spacing w:val="-3"/>
        </w:rPr>
        <w:t xml:space="preserve"> </w:t>
      </w:r>
      <w:r>
        <w:rPr>
          <w:rFonts w:ascii="Arial" w:hAnsi="Arial"/>
        </w:rPr>
        <w:t>terá</w:t>
      </w:r>
      <w:r>
        <w:rPr>
          <w:rFonts w:ascii="Arial" w:hAnsi="Arial"/>
          <w:spacing w:val="-3"/>
        </w:rPr>
        <w:t xml:space="preserve"> </w:t>
      </w:r>
      <w:r>
        <w:rPr>
          <w:rFonts w:ascii="Arial" w:hAnsi="Arial"/>
        </w:rPr>
        <w:t>validade</w:t>
      </w:r>
      <w:r>
        <w:rPr>
          <w:rFonts w:ascii="Arial" w:hAnsi="Arial"/>
          <w:spacing w:val="-4"/>
        </w:rPr>
        <w:t xml:space="preserve"> </w:t>
      </w:r>
      <w:r>
        <w:rPr>
          <w:rFonts w:ascii="Arial" w:hAnsi="Arial"/>
        </w:rPr>
        <w:t>de</w:t>
      </w:r>
      <w:r>
        <w:rPr>
          <w:rFonts w:ascii="Arial" w:hAnsi="Arial"/>
          <w:spacing w:val="-3"/>
        </w:rPr>
        <w:t xml:space="preserve"> </w:t>
      </w:r>
      <w:r>
        <w:rPr>
          <w:rFonts w:ascii="Arial" w:hAnsi="Arial"/>
          <w:b/>
          <w:bCs/>
          <w:spacing w:val="-3"/>
        </w:rPr>
        <w:t>xxx</w:t>
      </w:r>
      <w:r>
        <w:rPr>
          <w:rFonts w:ascii="Arial" w:hAnsi="Arial"/>
          <w:spacing w:val="-3"/>
        </w:rPr>
        <w:t xml:space="preserve"> </w:t>
      </w:r>
      <w:r>
        <w:rPr>
          <w:rFonts w:ascii="Arial" w:hAnsi="Arial"/>
        </w:rPr>
        <w:t>meses</w:t>
      </w:r>
      <w:r>
        <w:rPr>
          <w:rFonts w:ascii="Arial" w:hAnsi="Arial"/>
          <w:spacing w:val="-4"/>
        </w:rPr>
        <w:t xml:space="preserve"> </w:t>
      </w:r>
      <w:r>
        <w:rPr>
          <w:rFonts w:ascii="Arial" w:hAnsi="Arial"/>
        </w:rPr>
        <w:t>e</w:t>
      </w:r>
      <w:r>
        <w:rPr>
          <w:rFonts w:ascii="Arial" w:hAnsi="Arial"/>
          <w:spacing w:val="-3"/>
        </w:rPr>
        <w:t xml:space="preserve"> </w:t>
      </w:r>
      <w:r>
        <w:rPr>
          <w:rFonts w:ascii="Arial" w:hAnsi="Arial"/>
          <w:b/>
          <w:bCs/>
          <w:spacing w:val="-3"/>
        </w:rPr>
        <w:t xml:space="preserve">xxx </w:t>
      </w:r>
      <w:r>
        <w:rPr>
          <w:rFonts w:ascii="Arial" w:hAnsi="Arial"/>
        </w:rPr>
        <w:t>dias,</w:t>
      </w:r>
      <w:r>
        <w:rPr>
          <w:rFonts w:ascii="Arial" w:hAnsi="Arial"/>
          <w:spacing w:val="-4"/>
        </w:rPr>
        <w:t xml:space="preserve"> </w:t>
      </w:r>
      <w:r>
        <w:rPr>
          <w:rFonts w:ascii="Arial" w:hAnsi="Arial"/>
        </w:rPr>
        <w:t>contados</w:t>
      </w:r>
      <w:r>
        <w:rPr>
          <w:rFonts w:ascii="Arial" w:hAnsi="Arial"/>
          <w:spacing w:val="-3"/>
        </w:rPr>
        <w:t xml:space="preserve"> </w:t>
      </w:r>
      <w:r>
        <w:rPr>
          <w:rFonts w:ascii="Arial" w:hAnsi="Arial"/>
        </w:rPr>
        <w:t>a</w:t>
      </w:r>
      <w:r>
        <w:rPr>
          <w:rFonts w:ascii="Arial" w:hAnsi="Arial"/>
          <w:spacing w:val="-4"/>
        </w:rPr>
        <w:t xml:space="preserve"> </w:t>
      </w:r>
      <w:r>
        <w:rPr>
          <w:rFonts w:ascii="Arial" w:hAnsi="Arial"/>
        </w:rPr>
        <w:t>partir</w:t>
      </w:r>
      <w:r>
        <w:rPr>
          <w:rFonts w:ascii="Arial" w:hAnsi="Arial"/>
          <w:spacing w:val="-3"/>
        </w:rPr>
        <w:t xml:space="preserve"> </w:t>
      </w:r>
      <w:r>
        <w:rPr>
          <w:rFonts w:ascii="Arial" w:hAnsi="Arial"/>
        </w:rPr>
        <w:t>da</w:t>
      </w:r>
      <w:r>
        <w:rPr>
          <w:rFonts w:ascii="Arial" w:hAnsi="Arial"/>
          <w:spacing w:val="-3"/>
        </w:rPr>
        <w:t xml:space="preserve"> </w:t>
      </w:r>
      <w:r>
        <w:rPr>
          <w:rFonts w:ascii="Arial" w:hAnsi="Arial"/>
        </w:rPr>
        <w:t>sua</w:t>
      </w:r>
      <w:r>
        <w:rPr>
          <w:rFonts w:ascii="Arial" w:hAnsi="Arial"/>
          <w:spacing w:val="-4"/>
        </w:rPr>
        <w:t xml:space="preserve"> </w:t>
      </w:r>
      <w:r>
        <w:rPr>
          <w:rFonts w:ascii="Arial" w:hAnsi="Arial"/>
        </w:rPr>
        <w:t>assinatura,</w:t>
      </w:r>
      <w:r>
        <w:rPr>
          <w:rFonts w:ascii="Arial" w:hAnsi="Arial"/>
          <w:spacing w:val="-4"/>
        </w:rPr>
        <w:t xml:space="preserve"> </w:t>
      </w:r>
      <w:r>
        <w:rPr>
          <w:rFonts w:ascii="Arial" w:hAnsi="Arial"/>
        </w:rPr>
        <w:t>contados</w:t>
      </w:r>
      <w:r>
        <w:rPr>
          <w:rFonts w:ascii="Arial" w:hAnsi="Arial"/>
          <w:spacing w:val="-3"/>
        </w:rPr>
        <w:t xml:space="preserve"> </w:t>
      </w:r>
      <w:r>
        <w:rPr>
          <w:rFonts w:ascii="Arial" w:hAnsi="Arial"/>
        </w:rPr>
        <w:t>a</w:t>
      </w:r>
      <w:r>
        <w:rPr>
          <w:rFonts w:ascii="Arial" w:hAnsi="Arial"/>
          <w:spacing w:val="-4"/>
        </w:rPr>
        <w:t xml:space="preserve"> </w:t>
      </w:r>
      <w:r>
        <w:rPr>
          <w:rFonts w:ascii="Arial" w:hAnsi="Arial"/>
        </w:rPr>
        <w:t>partir</w:t>
      </w:r>
      <w:r>
        <w:rPr>
          <w:rFonts w:ascii="Arial" w:hAnsi="Arial"/>
          <w:spacing w:val="-3"/>
        </w:rPr>
        <w:t xml:space="preserve"> </w:t>
      </w:r>
      <w:r>
        <w:rPr>
          <w:rFonts w:ascii="Arial" w:hAnsi="Arial"/>
        </w:rPr>
        <w:t>da</w:t>
      </w:r>
      <w:r>
        <w:rPr>
          <w:rFonts w:ascii="Arial" w:hAnsi="Arial"/>
          <w:spacing w:val="-3"/>
        </w:rPr>
        <w:t xml:space="preserve"> </w:t>
      </w:r>
      <w:r>
        <w:rPr>
          <w:rFonts w:ascii="Arial" w:hAnsi="Arial"/>
        </w:rPr>
        <w:t>sua</w:t>
      </w:r>
      <w:r>
        <w:rPr>
          <w:rFonts w:ascii="Arial" w:hAnsi="Arial"/>
          <w:spacing w:val="-4"/>
        </w:rPr>
        <w:t xml:space="preserve"> </w:t>
      </w:r>
      <w:r>
        <w:rPr>
          <w:rFonts w:ascii="Arial" w:hAnsi="Arial"/>
        </w:rPr>
        <w:t xml:space="preserve">assinatura, podendo ser prorrogada, conforme artigo 84. </w:t>
      </w:r>
    </w:p>
    <w:p>
      <w:pPr>
        <w:pStyle w:val="ListParagraph"/>
        <w:widowControl w:val="false"/>
        <w:tabs>
          <w:tab w:val="clear" w:pos="708"/>
          <w:tab w:val="left" w:pos="480" w:leader="none"/>
        </w:tabs>
        <w:spacing w:lineRule="auto" w:line="240" w:before="0" w:after="0"/>
        <w:ind w:left="0" w:hanging="0"/>
        <w:contextualSpacing/>
        <w:jc w:val="both"/>
        <w:textAlignment w:val="baseline"/>
        <w:rPr>
          <w:rFonts w:ascii="Arial" w:hAnsi="Arial" w:eastAsia="Times New Roman" w:cs="Arial"/>
          <w:lang w:eastAsia="pt-BR"/>
        </w:rPr>
      </w:pPr>
      <w:r>
        <w:rPr>
          <w:rFonts w:eastAsia="Times New Roman" w:cs="Arial" w:ascii="Arial" w:hAnsi="Arial"/>
          <w:lang w:eastAsia="pt-BR"/>
        </w:rPr>
        <w:t>2.1</w:t>
        <w:tab/>
        <w:tab/>
        <w:t>Durante o prazo de validade desta Ata de Registro de Preços, o Município não será obrigado a contratar o objeto referido na Cláusula I</w:t>
      </w:r>
      <w:r>
        <w:rPr>
          <w:rFonts w:eastAsia="Times New Roman" w:cs="Arial" w:ascii="Arial" w:hAnsi="Arial"/>
          <w:spacing w:val="1"/>
          <w:lang w:eastAsia="pt-BR"/>
        </w:rPr>
        <w:t xml:space="preserve"> </w:t>
      </w:r>
      <w:r>
        <w:rPr>
          <w:rFonts w:eastAsia="Times New Roman" w:cs="Arial" w:ascii="Arial" w:hAnsi="Arial"/>
          <w:lang w:eastAsia="pt-BR"/>
        </w:rPr>
        <w:t>exclusivamente pelo Sistema de Registro de Preços, podendo fazê-lo através de outra licitação quando julgar conveniente, sem que caiba recurso</w:t>
      </w:r>
      <w:r>
        <w:rPr>
          <w:rFonts w:eastAsia="Times New Roman" w:cs="Arial" w:ascii="Arial" w:hAnsi="Arial"/>
          <w:spacing w:val="1"/>
          <w:lang w:eastAsia="pt-BR"/>
        </w:rPr>
        <w:t xml:space="preserve"> </w:t>
      </w:r>
      <w:r>
        <w:rPr>
          <w:rFonts w:eastAsia="Times New Roman" w:cs="Arial" w:ascii="Arial" w:hAnsi="Arial"/>
          <w:lang w:eastAsia="pt-BR"/>
        </w:rPr>
        <w:t>ou indenização de qualquer espécie às empresas detentoras, ou, cancelar a Ata, na ocorrência de alguma das hipóteses legalmente previstas para</w:t>
      </w:r>
      <w:r>
        <w:rPr>
          <w:rFonts w:eastAsia="Times New Roman" w:cs="Arial" w:ascii="Arial" w:hAnsi="Arial"/>
          <w:spacing w:val="1"/>
          <w:lang w:eastAsia="pt-BR"/>
        </w:rPr>
        <w:t xml:space="preserve"> </w:t>
      </w:r>
      <w:r>
        <w:rPr>
          <w:rFonts w:eastAsia="Times New Roman" w:cs="Arial" w:ascii="Arial" w:hAnsi="Arial"/>
          <w:lang w:eastAsia="pt-BR"/>
        </w:rPr>
        <w:t>tanto,</w:t>
      </w:r>
      <w:r>
        <w:rPr>
          <w:rFonts w:eastAsia="Times New Roman" w:cs="Arial" w:ascii="Arial" w:hAnsi="Arial"/>
          <w:spacing w:val="-1"/>
          <w:lang w:eastAsia="pt-BR"/>
        </w:rPr>
        <w:t xml:space="preserve"> </w:t>
      </w:r>
      <w:r>
        <w:rPr>
          <w:rFonts w:eastAsia="Times New Roman" w:cs="Arial" w:ascii="Arial" w:hAnsi="Arial"/>
          <w:lang w:eastAsia="pt-BR"/>
        </w:rPr>
        <w:t>garantidos</w:t>
      </w:r>
      <w:r>
        <w:rPr>
          <w:rFonts w:eastAsia="Times New Roman" w:cs="Arial" w:ascii="Arial" w:hAnsi="Arial"/>
          <w:spacing w:val="-1"/>
          <w:lang w:eastAsia="pt-BR"/>
        </w:rPr>
        <w:t xml:space="preserve"> </w:t>
      </w:r>
      <w:r>
        <w:rPr>
          <w:rFonts w:eastAsia="Times New Roman" w:cs="Arial" w:ascii="Arial" w:hAnsi="Arial"/>
          <w:lang w:eastAsia="pt-BR"/>
        </w:rPr>
        <w:t>à</w:t>
      </w:r>
      <w:r>
        <w:rPr>
          <w:rFonts w:eastAsia="Times New Roman" w:cs="Arial" w:ascii="Arial" w:hAnsi="Arial"/>
          <w:spacing w:val="-1"/>
          <w:lang w:eastAsia="pt-BR"/>
        </w:rPr>
        <w:t xml:space="preserve"> </w:t>
      </w:r>
      <w:r>
        <w:rPr>
          <w:rFonts w:eastAsia="Times New Roman" w:cs="Arial" w:ascii="Arial" w:hAnsi="Arial"/>
          <w:lang w:eastAsia="pt-BR"/>
        </w:rPr>
        <w:t>detentora,</w:t>
      </w:r>
      <w:r>
        <w:rPr>
          <w:rFonts w:eastAsia="Times New Roman" w:cs="Arial" w:ascii="Arial" w:hAnsi="Arial"/>
          <w:spacing w:val="-2"/>
          <w:lang w:eastAsia="pt-BR"/>
        </w:rPr>
        <w:t xml:space="preserve"> </w:t>
      </w:r>
      <w:r>
        <w:rPr>
          <w:rFonts w:eastAsia="Times New Roman" w:cs="Arial" w:ascii="Arial" w:hAnsi="Arial"/>
          <w:lang w:eastAsia="pt-BR"/>
        </w:rPr>
        <w:t>neste</w:t>
      </w:r>
      <w:r>
        <w:rPr>
          <w:rFonts w:eastAsia="Times New Roman" w:cs="Arial" w:ascii="Arial" w:hAnsi="Arial"/>
          <w:spacing w:val="-1"/>
          <w:lang w:eastAsia="pt-BR"/>
        </w:rPr>
        <w:t xml:space="preserve"> </w:t>
      </w:r>
      <w:r>
        <w:rPr>
          <w:rFonts w:eastAsia="Times New Roman" w:cs="Arial" w:ascii="Arial" w:hAnsi="Arial"/>
          <w:lang w:eastAsia="pt-BR"/>
        </w:rPr>
        <w:t>caso,</w:t>
      </w:r>
      <w:r>
        <w:rPr>
          <w:rFonts w:eastAsia="Times New Roman" w:cs="Arial" w:ascii="Arial" w:hAnsi="Arial"/>
          <w:spacing w:val="-1"/>
          <w:lang w:eastAsia="pt-BR"/>
        </w:rPr>
        <w:t xml:space="preserve"> </w:t>
      </w:r>
      <w:r>
        <w:rPr>
          <w:rFonts w:eastAsia="Times New Roman" w:cs="Arial" w:ascii="Arial" w:hAnsi="Arial"/>
          <w:lang w:eastAsia="pt-BR"/>
        </w:rPr>
        <w:t>o</w:t>
      </w:r>
      <w:r>
        <w:rPr>
          <w:rFonts w:eastAsia="Times New Roman" w:cs="Arial" w:ascii="Arial" w:hAnsi="Arial"/>
          <w:spacing w:val="-2"/>
          <w:lang w:eastAsia="pt-BR"/>
        </w:rPr>
        <w:t xml:space="preserve"> </w:t>
      </w:r>
      <w:r>
        <w:rPr>
          <w:rFonts w:eastAsia="Times New Roman" w:cs="Arial" w:ascii="Arial" w:hAnsi="Arial"/>
          <w:lang w:eastAsia="pt-BR"/>
        </w:rPr>
        <w:t>contraditório</w:t>
      </w:r>
      <w:r>
        <w:rPr>
          <w:rFonts w:eastAsia="Times New Roman" w:cs="Arial" w:ascii="Arial" w:hAnsi="Arial"/>
          <w:spacing w:val="-1"/>
          <w:lang w:eastAsia="pt-BR"/>
        </w:rPr>
        <w:t xml:space="preserve"> </w:t>
      </w:r>
      <w:r>
        <w:rPr>
          <w:rFonts w:eastAsia="Times New Roman" w:cs="Arial" w:ascii="Arial" w:hAnsi="Arial"/>
          <w:lang w:eastAsia="pt-BR"/>
        </w:rPr>
        <w:t>e</w:t>
      </w:r>
      <w:r>
        <w:rPr>
          <w:rFonts w:eastAsia="Times New Roman" w:cs="Arial" w:ascii="Arial" w:hAnsi="Arial"/>
          <w:spacing w:val="-1"/>
          <w:lang w:eastAsia="pt-BR"/>
        </w:rPr>
        <w:t xml:space="preserve"> </w:t>
      </w:r>
      <w:r>
        <w:rPr>
          <w:rFonts w:eastAsia="Times New Roman" w:cs="Arial" w:ascii="Arial" w:hAnsi="Arial"/>
          <w:lang w:eastAsia="pt-BR"/>
        </w:rPr>
        <w:t>a</w:t>
      </w:r>
      <w:r>
        <w:rPr>
          <w:rFonts w:eastAsia="Times New Roman" w:cs="Arial" w:ascii="Arial" w:hAnsi="Arial"/>
          <w:spacing w:val="-1"/>
          <w:lang w:eastAsia="pt-BR"/>
        </w:rPr>
        <w:t xml:space="preserve"> </w:t>
      </w:r>
      <w:r>
        <w:rPr>
          <w:rFonts w:eastAsia="Times New Roman" w:cs="Arial" w:ascii="Arial" w:hAnsi="Arial"/>
          <w:lang w:eastAsia="pt-BR"/>
        </w:rPr>
        <w:t>ampla</w:t>
      </w:r>
      <w:r>
        <w:rPr>
          <w:rFonts w:eastAsia="Times New Roman" w:cs="Arial" w:ascii="Arial" w:hAnsi="Arial"/>
          <w:spacing w:val="-2"/>
          <w:lang w:eastAsia="pt-BR"/>
        </w:rPr>
        <w:t xml:space="preserve"> </w:t>
      </w:r>
      <w:r>
        <w:rPr>
          <w:rFonts w:eastAsia="Times New Roman" w:cs="Arial" w:ascii="Arial" w:hAnsi="Arial"/>
          <w:lang w:eastAsia="pt-BR"/>
        </w:rPr>
        <w:t>defesa.</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Ttulo2"/>
        <w:widowControl w:val="false"/>
        <w:numPr>
          <w:ilvl w:val="1"/>
          <w:numId w:val="51"/>
        </w:numPr>
        <w:tabs>
          <w:tab w:val="clear" w:pos="708"/>
          <w:tab w:val="left" w:pos="10597" w:leader="none"/>
        </w:tabs>
        <w:spacing w:lineRule="auto" w:line="240" w:before="0" w:after="0"/>
        <w:ind w:left="37" w:hanging="37"/>
        <w:textAlignment w:val="baseline"/>
        <w:rPr>
          <w:rFonts w:ascii="Arial" w:hAnsi="Arial" w:eastAsia="Times New Roman" w:cs="Arial"/>
          <w:lang w:eastAsia="pt-BR"/>
        </w:rPr>
      </w:pPr>
      <w:r>
        <w:rPr>
          <w:rFonts w:eastAsia="Times New Roman" w:cs="Arial" w:ascii="Arial" w:hAnsi="Arial"/>
          <w:sz w:val="22"/>
          <w:szCs w:val="22"/>
          <w:shd w:fill="DFDFDF" w:val="clear"/>
          <w:lang w:eastAsia="pt-BR"/>
        </w:rPr>
        <w:t>CLÁUSULA</w:t>
      </w:r>
      <w:r>
        <w:rPr>
          <w:rFonts w:eastAsia="Times New Roman" w:cs="Arial" w:ascii="Arial" w:hAnsi="Arial"/>
          <w:spacing w:val="-4"/>
          <w:sz w:val="22"/>
          <w:szCs w:val="22"/>
          <w:shd w:fill="DFDFDF" w:val="clear"/>
          <w:lang w:eastAsia="pt-BR"/>
        </w:rPr>
        <w:t xml:space="preserve"> </w:t>
      </w:r>
      <w:r>
        <w:rPr>
          <w:rFonts w:eastAsia="Times New Roman" w:cs="Arial" w:ascii="Arial" w:hAnsi="Arial"/>
          <w:sz w:val="22"/>
          <w:szCs w:val="22"/>
          <w:shd w:fill="DFDFDF" w:val="clear"/>
          <w:lang w:eastAsia="pt-BR"/>
        </w:rPr>
        <w:t xml:space="preserve">III </w:t>
      </w:r>
      <w:r>
        <w:rPr>
          <w:rFonts w:eastAsia="Times New Roman" w:cs="Arial" w:ascii="Arial" w:hAnsi="Arial"/>
          <w:spacing w:val="-3"/>
          <w:sz w:val="22"/>
          <w:szCs w:val="22"/>
          <w:shd w:fill="DFDFDF" w:val="clear"/>
          <w:lang w:eastAsia="pt-BR"/>
        </w:rPr>
        <w:t xml:space="preserve">– </w:t>
      </w:r>
      <w:r>
        <w:rPr>
          <w:rFonts w:eastAsia="Times New Roman" w:cs="Arial" w:ascii="Arial" w:hAnsi="Arial"/>
          <w:sz w:val="22"/>
          <w:szCs w:val="22"/>
          <w:shd w:fill="DFDFDF" w:val="clear"/>
          <w:lang w:eastAsia="pt-BR"/>
        </w:rPr>
        <w:t>DA</w:t>
      </w:r>
      <w:r>
        <w:rPr>
          <w:rFonts w:eastAsia="Times New Roman" w:cs="Arial" w:ascii="Arial" w:hAnsi="Arial"/>
          <w:spacing w:val="-3"/>
          <w:sz w:val="22"/>
          <w:szCs w:val="22"/>
          <w:shd w:fill="DFDFDF" w:val="clear"/>
          <w:lang w:eastAsia="pt-BR"/>
        </w:rPr>
        <w:t xml:space="preserve"> </w:t>
      </w:r>
      <w:r>
        <w:rPr>
          <w:rFonts w:eastAsia="Times New Roman" w:cs="Arial" w:ascii="Arial" w:hAnsi="Arial"/>
          <w:color w:val="000000"/>
          <w:spacing w:val="-3"/>
          <w:sz w:val="22"/>
          <w:szCs w:val="22"/>
          <w:shd w:fill="DFDFDF" w:val="clear"/>
          <w:lang w:eastAsia="pt-BR"/>
        </w:rPr>
        <w:t>UTILIZAÇÃO DA ATA DE REGISTRO DE PREÇOS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ListParagraph"/>
        <w:tabs>
          <w:tab w:val="clear" w:pos="708"/>
          <w:tab w:val="left" w:pos="336" w:leader="none"/>
        </w:tabs>
        <w:spacing w:lineRule="auto" w:line="240" w:before="0" w:after="0"/>
        <w:ind w:left="0" w:hanging="0"/>
        <w:contextualSpacing/>
        <w:jc w:val="both"/>
        <w:rPr>
          <w:rFonts w:ascii="Arial" w:hAnsi="Arial"/>
        </w:rPr>
      </w:pPr>
      <w:r>
        <w:rPr>
          <w:rFonts w:ascii="Arial" w:hAnsi="Arial"/>
        </w:rPr>
        <w:t>3.</w:t>
        <w:tab/>
        <w:t>A</w:t>
      </w:r>
      <w:r>
        <w:rPr>
          <w:rFonts w:ascii="Arial" w:hAnsi="Arial"/>
          <w:spacing w:val="12"/>
        </w:rPr>
        <w:t xml:space="preserve"> </w:t>
      </w:r>
      <w:r>
        <w:rPr>
          <w:rFonts w:ascii="Arial" w:hAnsi="Arial"/>
        </w:rPr>
        <w:t>presente</w:t>
      </w:r>
      <w:r>
        <w:rPr>
          <w:rFonts w:ascii="Arial" w:hAnsi="Arial"/>
          <w:spacing w:val="13"/>
        </w:rPr>
        <w:t xml:space="preserve"> </w:t>
      </w:r>
      <w:r>
        <w:rPr>
          <w:rFonts w:ascii="Arial" w:hAnsi="Arial"/>
        </w:rPr>
        <w:t>Ata</w:t>
      </w:r>
      <w:r>
        <w:rPr>
          <w:rFonts w:ascii="Arial" w:hAnsi="Arial"/>
          <w:spacing w:val="12"/>
        </w:rPr>
        <w:t xml:space="preserve"> </w:t>
      </w:r>
      <w:r>
        <w:rPr>
          <w:rFonts w:ascii="Arial" w:hAnsi="Arial"/>
        </w:rPr>
        <w:t>de</w:t>
      </w:r>
      <w:r>
        <w:rPr>
          <w:rFonts w:ascii="Arial" w:hAnsi="Arial"/>
          <w:spacing w:val="13"/>
        </w:rPr>
        <w:t xml:space="preserve"> </w:t>
      </w:r>
      <w:r>
        <w:rPr>
          <w:rFonts w:ascii="Arial" w:hAnsi="Arial"/>
        </w:rPr>
        <w:t>Registro</w:t>
      </w:r>
      <w:r>
        <w:rPr>
          <w:rFonts w:ascii="Arial" w:hAnsi="Arial"/>
          <w:spacing w:val="13"/>
        </w:rPr>
        <w:t xml:space="preserve"> </w:t>
      </w:r>
      <w:r>
        <w:rPr>
          <w:rFonts w:ascii="Arial" w:hAnsi="Arial"/>
        </w:rPr>
        <w:t>de</w:t>
      </w:r>
      <w:r>
        <w:rPr>
          <w:rFonts w:ascii="Arial" w:hAnsi="Arial"/>
          <w:spacing w:val="13"/>
        </w:rPr>
        <w:t xml:space="preserve"> </w:t>
      </w:r>
      <w:r>
        <w:rPr>
          <w:rFonts w:ascii="Arial" w:hAnsi="Arial"/>
        </w:rPr>
        <w:t>Preços</w:t>
      </w:r>
      <w:r>
        <w:rPr>
          <w:rFonts w:ascii="Arial" w:hAnsi="Arial"/>
          <w:spacing w:val="12"/>
        </w:rPr>
        <w:t xml:space="preserve"> </w:t>
      </w:r>
      <w:r>
        <w:rPr>
          <w:rFonts w:ascii="Arial" w:hAnsi="Arial"/>
        </w:rPr>
        <w:t>será</w:t>
      </w:r>
      <w:r>
        <w:rPr>
          <w:rFonts w:ascii="Arial" w:hAnsi="Arial"/>
          <w:spacing w:val="13"/>
        </w:rPr>
        <w:t xml:space="preserve"> </w:t>
      </w:r>
      <w:r>
        <w:rPr>
          <w:rFonts w:ascii="Arial" w:hAnsi="Arial"/>
        </w:rPr>
        <w:t>usado</w:t>
      </w:r>
      <w:r>
        <w:rPr>
          <w:rFonts w:ascii="Arial" w:hAnsi="Arial"/>
          <w:spacing w:val="13"/>
        </w:rPr>
        <w:t xml:space="preserve"> </w:t>
      </w:r>
      <w:r>
        <w:rPr>
          <w:rFonts w:ascii="Arial" w:hAnsi="Arial"/>
        </w:rPr>
        <w:t>pelo(a)</w:t>
      </w:r>
      <w:r>
        <w:rPr>
          <w:rFonts w:ascii="Arial" w:hAnsi="Arial"/>
          <w:spacing w:val="13"/>
        </w:rPr>
        <w:t xml:space="preserve"> </w:t>
      </w:r>
      <w:r>
        <w:rPr>
          <w:rFonts w:ascii="Arial" w:hAnsi="Arial"/>
        </w:rPr>
        <w:t>MUNICÍPIO</w:t>
      </w:r>
      <w:r>
        <w:rPr>
          <w:rFonts w:ascii="Arial" w:hAnsi="Arial"/>
          <w:spacing w:val="13"/>
        </w:rPr>
        <w:t xml:space="preserve"> </w:t>
      </w:r>
      <w:r>
        <w:rPr>
          <w:rFonts w:ascii="Arial" w:hAnsi="Arial"/>
        </w:rPr>
        <w:t>DE</w:t>
      </w:r>
      <w:r>
        <w:rPr>
          <w:rFonts w:ascii="Arial" w:hAnsi="Arial"/>
          <w:spacing w:val="13"/>
        </w:rPr>
        <w:t xml:space="preserve"> </w:t>
      </w:r>
      <w:r>
        <w:rPr>
          <w:rFonts w:ascii="Arial" w:hAnsi="Arial"/>
        </w:rPr>
        <w:t>ITÁ,</w:t>
      </w:r>
      <w:r>
        <w:rPr>
          <w:rFonts w:ascii="Arial" w:hAnsi="Arial"/>
          <w:spacing w:val="12"/>
        </w:rPr>
        <w:t xml:space="preserve"> </w:t>
      </w:r>
      <w:r>
        <w:rPr>
          <w:rFonts w:ascii="Arial" w:hAnsi="Arial"/>
        </w:rPr>
        <w:t>que</w:t>
      </w:r>
      <w:r>
        <w:rPr>
          <w:rFonts w:ascii="Arial" w:hAnsi="Arial"/>
          <w:spacing w:val="13"/>
        </w:rPr>
        <w:t xml:space="preserve"> </w:t>
      </w:r>
      <w:r>
        <w:rPr>
          <w:rFonts w:ascii="Arial" w:hAnsi="Arial"/>
        </w:rPr>
        <w:t>será</w:t>
      </w:r>
      <w:r>
        <w:rPr>
          <w:rFonts w:ascii="Arial" w:hAnsi="Arial"/>
          <w:spacing w:val="13"/>
        </w:rPr>
        <w:t xml:space="preserve"> </w:t>
      </w:r>
      <w:r>
        <w:rPr>
          <w:rFonts w:ascii="Arial" w:hAnsi="Arial"/>
        </w:rPr>
        <w:t>o</w:t>
      </w:r>
      <w:r>
        <w:rPr>
          <w:rFonts w:ascii="Arial" w:hAnsi="Arial"/>
          <w:spacing w:val="13"/>
        </w:rPr>
        <w:t xml:space="preserve"> </w:t>
      </w:r>
      <w:r>
        <w:rPr>
          <w:rFonts w:ascii="Arial" w:hAnsi="Arial"/>
        </w:rPr>
        <w:t>órgão</w:t>
      </w:r>
      <w:r>
        <w:rPr>
          <w:rFonts w:ascii="Arial" w:hAnsi="Arial"/>
          <w:spacing w:val="13"/>
        </w:rPr>
        <w:t xml:space="preserve"> </w:t>
      </w:r>
      <w:r>
        <w:rPr>
          <w:rFonts w:ascii="Arial" w:hAnsi="Arial"/>
        </w:rPr>
        <w:t>gerenciador</w:t>
      </w:r>
      <w:r>
        <w:rPr>
          <w:rFonts w:ascii="Arial" w:hAnsi="Arial"/>
          <w:spacing w:val="13"/>
        </w:rPr>
        <w:t xml:space="preserve"> </w:t>
      </w:r>
      <w:r>
        <w:rPr>
          <w:rFonts w:ascii="Arial" w:hAnsi="Arial"/>
        </w:rPr>
        <w:t>da</w:t>
      </w:r>
      <w:r>
        <w:rPr>
          <w:rFonts w:ascii="Arial" w:hAnsi="Arial"/>
          <w:spacing w:val="13"/>
        </w:rPr>
        <w:t xml:space="preserve"> </w:t>
      </w:r>
      <w:r>
        <w:rPr>
          <w:rFonts w:ascii="Arial" w:hAnsi="Arial"/>
        </w:rPr>
        <w:t>presente</w:t>
      </w:r>
      <w:r>
        <w:rPr>
          <w:rFonts w:ascii="Arial" w:hAnsi="Arial"/>
          <w:spacing w:val="13"/>
        </w:rPr>
        <w:t xml:space="preserve"> </w:t>
      </w:r>
      <w:r>
        <w:rPr>
          <w:rFonts w:ascii="Arial" w:hAnsi="Arial"/>
        </w:rPr>
        <w:t>Ata</w:t>
      </w:r>
      <w:r>
        <w:rPr>
          <w:rFonts w:ascii="Arial" w:hAnsi="Arial"/>
          <w:spacing w:val="12"/>
        </w:rPr>
        <w:t xml:space="preserve"> </w:t>
      </w:r>
      <w:r>
        <w:rPr>
          <w:rFonts w:ascii="Arial" w:hAnsi="Arial"/>
        </w:rPr>
        <w:t>de</w:t>
      </w:r>
      <w:r>
        <w:rPr>
          <w:rFonts w:ascii="Arial" w:hAnsi="Arial"/>
          <w:spacing w:val="13"/>
        </w:rPr>
        <w:t xml:space="preserve"> </w:t>
      </w:r>
      <w:r>
        <w:rPr>
          <w:rFonts w:ascii="Arial" w:hAnsi="Arial"/>
        </w:rPr>
        <w:t>Registro</w:t>
      </w:r>
      <w:r>
        <w:rPr>
          <w:rFonts w:ascii="Arial" w:hAnsi="Arial"/>
          <w:spacing w:val="13"/>
        </w:rPr>
        <w:t xml:space="preserve"> </w:t>
      </w:r>
      <w:r>
        <w:rPr>
          <w:rFonts w:ascii="Arial" w:hAnsi="Arial"/>
        </w:rPr>
        <w:t>de</w:t>
      </w:r>
      <w:r>
        <w:rPr>
          <w:rFonts w:ascii="Arial" w:hAnsi="Arial"/>
          <w:spacing w:val="1"/>
        </w:rPr>
        <w:t xml:space="preserve"> </w:t>
      </w:r>
      <w:r>
        <w:rPr>
          <w:rFonts w:ascii="Arial" w:hAnsi="Arial"/>
        </w:rPr>
        <w:t>Preços.</w:t>
      </w:r>
    </w:p>
    <w:p>
      <w:pPr>
        <w:pStyle w:val="ListParagraph"/>
        <w:tabs>
          <w:tab w:val="clear" w:pos="708"/>
          <w:tab w:val="left" w:pos="468" w:leader="none"/>
        </w:tabs>
        <w:spacing w:lineRule="auto" w:line="240" w:before="0" w:after="0"/>
        <w:ind w:left="0" w:hanging="0"/>
        <w:contextualSpacing/>
        <w:jc w:val="both"/>
        <w:rPr>
          <w:rFonts w:ascii="Arial" w:hAnsi="Arial"/>
        </w:rPr>
      </w:pPr>
      <w:r>
        <w:rPr>
          <w:rFonts w:ascii="Arial" w:hAnsi="Arial"/>
        </w:rPr>
        <w:t>3.1</w:t>
        <w:tab/>
        <w:t>O</w:t>
      </w:r>
      <w:r>
        <w:rPr>
          <w:rFonts w:ascii="Arial" w:hAnsi="Arial"/>
          <w:spacing w:val="10"/>
        </w:rPr>
        <w:t xml:space="preserve"> </w:t>
      </w:r>
      <w:r>
        <w:rPr>
          <w:rFonts w:ascii="Arial" w:hAnsi="Arial"/>
        </w:rPr>
        <w:t>valor</w:t>
      </w:r>
      <w:r>
        <w:rPr>
          <w:rFonts w:ascii="Arial" w:hAnsi="Arial"/>
          <w:spacing w:val="11"/>
        </w:rPr>
        <w:t xml:space="preserve"> </w:t>
      </w:r>
      <w:r>
        <w:rPr>
          <w:rFonts w:ascii="Arial" w:hAnsi="Arial"/>
        </w:rPr>
        <w:t>ofertado</w:t>
      </w:r>
      <w:r>
        <w:rPr>
          <w:rFonts w:ascii="Arial" w:hAnsi="Arial"/>
          <w:spacing w:val="10"/>
        </w:rPr>
        <w:t xml:space="preserve"> </w:t>
      </w:r>
      <w:r>
        <w:rPr>
          <w:rFonts w:ascii="Arial" w:hAnsi="Arial"/>
        </w:rPr>
        <w:t>pelas</w:t>
      </w:r>
      <w:r>
        <w:rPr>
          <w:rFonts w:ascii="Arial" w:hAnsi="Arial"/>
          <w:spacing w:val="11"/>
        </w:rPr>
        <w:t xml:space="preserve"> </w:t>
      </w:r>
      <w:r>
        <w:rPr>
          <w:rFonts w:ascii="Arial" w:hAnsi="Arial"/>
        </w:rPr>
        <w:t>empresas</w:t>
      </w:r>
      <w:r>
        <w:rPr>
          <w:rFonts w:ascii="Arial" w:hAnsi="Arial"/>
          <w:spacing w:val="10"/>
        </w:rPr>
        <w:t xml:space="preserve"> </w:t>
      </w:r>
      <w:r>
        <w:rPr>
          <w:rFonts w:ascii="Arial" w:hAnsi="Arial"/>
        </w:rPr>
        <w:t>signatárias</w:t>
      </w:r>
      <w:r>
        <w:rPr>
          <w:rFonts w:ascii="Arial" w:hAnsi="Arial"/>
          <w:spacing w:val="11"/>
        </w:rPr>
        <w:t xml:space="preserve"> </w:t>
      </w:r>
      <w:r>
        <w:rPr>
          <w:rFonts w:ascii="Arial" w:hAnsi="Arial"/>
        </w:rPr>
        <w:t>da</w:t>
      </w:r>
      <w:r>
        <w:rPr>
          <w:rFonts w:ascii="Arial" w:hAnsi="Arial"/>
          <w:spacing w:val="10"/>
        </w:rPr>
        <w:t xml:space="preserve"> </w:t>
      </w:r>
      <w:r>
        <w:rPr>
          <w:rFonts w:ascii="Arial" w:hAnsi="Arial"/>
        </w:rPr>
        <w:t>presente</w:t>
      </w:r>
      <w:r>
        <w:rPr>
          <w:rFonts w:ascii="Arial" w:hAnsi="Arial"/>
          <w:spacing w:val="11"/>
        </w:rPr>
        <w:t xml:space="preserve"> </w:t>
      </w:r>
      <w:r>
        <w:rPr>
          <w:rFonts w:ascii="Arial" w:hAnsi="Arial"/>
        </w:rPr>
        <w:t>Ata</w:t>
      </w:r>
      <w:r>
        <w:rPr>
          <w:rFonts w:ascii="Arial" w:hAnsi="Arial"/>
          <w:spacing w:val="10"/>
        </w:rPr>
        <w:t xml:space="preserve"> </w:t>
      </w:r>
      <w:r>
        <w:rPr>
          <w:rFonts w:ascii="Arial" w:hAnsi="Arial"/>
        </w:rPr>
        <w:t>de</w:t>
      </w:r>
      <w:r>
        <w:rPr>
          <w:rFonts w:ascii="Arial" w:hAnsi="Arial"/>
          <w:spacing w:val="10"/>
        </w:rPr>
        <w:t xml:space="preserve"> </w:t>
      </w:r>
      <w:r>
        <w:rPr>
          <w:rFonts w:ascii="Arial" w:hAnsi="Arial"/>
        </w:rPr>
        <w:t>Registro</w:t>
      </w:r>
      <w:r>
        <w:rPr>
          <w:rFonts w:ascii="Arial" w:hAnsi="Arial"/>
          <w:spacing w:val="11"/>
        </w:rPr>
        <w:t xml:space="preserve"> </w:t>
      </w:r>
      <w:r>
        <w:rPr>
          <w:rFonts w:ascii="Arial" w:hAnsi="Arial"/>
        </w:rPr>
        <w:t>de</w:t>
      </w:r>
      <w:r>
        <w:rPr>
          <w:rFonts w:ascii="Arial" w:hAnsi="Arial"/>
          <w:spacing w:val="10"/>
        </w:rPr>
        <w:t xml:space="preserve"> </w:t>
      </w:r>
      <w:r>
        <w:rPr>
          <w:rFonts w:ascii="Arial" w:hAnsi="Arial"/>
        </w:rPr>
        <w:t>Preços</w:t>
      </w:r>
      <w:r>
        <w:rPr>
          <w:rFonts w:ascii="Arial" w:hAnsi="Arial"/>
          <w:spacing w:val="10"/>
        </w:rPr>
        <w:t xml:space="preserve"> </w:t>
      </w:r>
      <w:r>
        <w:rPr>
          <w:rFonts w:ascii="Arial" w:hAnsi="Arial"/>
        </w:rPr>
        <w:t>é</w:t>
      </w:r>
      <w:r>
        <w:rPr>
          <w:rFonts w:ascii="Arial" w:hAnsi="Arial"/>
          <w:spacing w:val="10"/>
        </w:rPr>
        <w:t xml:space="preserve"> </w:t>
      </w:r>
      <w:r>
        <w:rPr>
          <w:rFonts w:ascii="Arial" w:hAnsi="Arial"/>
        </w:rPr>
        <w:t>o</w:t>
      </w:r>
      <w:r>
        <w:rPr>
          <w:rFonts w:ascii="Arial" w:hAnsi="Arial"/>
          <w:spacing w:val="11"/>
        </w:rPr>
        <w:t xml:space="preserve"> </w:t>
      </w:r>
      <w:r>
        <w:rPr>
          <w:rFonts w:ascii="Arial" w:hAnsi="Arial"/>
        </w:rPr>
        <w:t>relacionado</w:t>
      </w:r>
      <w:r>
        <w:rPr>
          <w:rFonts w:ascii="Arial" w:hAnsi="Arial"/>
          <w:spacing w:val="11"/>
        </w:rPr>
        <w:t xml:space="preserve"> </w:t>
      </w:r>
      <w:r>
        <w:rPr>
          <w:rFonts w:ascii="Arial" w:hAnsi="Arial"/>
        </w:rPr>
        <w:t>na</w:t>
      </w:r>
      <w:r>
        <w:rPr>
          <w:rFonts w:ascii="Arial" w:hAnsi="Arial"/>
          <w:spacing w:val="10"/>
        </w:rPr>
        <w:t xml:space="preserve"> </w:t>
      </w:r>
      <w:r>
        <w:rPr>
          <w:rFonts w:ascii="Arial" w:hAnsi="Arial"/>
        </w:rPr>
        <w:t>Cláusula</w:t>
      </w:r>
      <w:r>
        <w:rPr>
          <w:rFonts w:ascii="Arial" w:hAnsi="Arial"/>
          <w:spacing w:val="10"/>
        </w:rPr>
        <w:t xml:space="preserve"> </w:t>
      </w:r>
      <w:r>
        <w:rPr>
          <w:rFonts w:ascii="Arial" w:hAnsi="Arial"/>
        </w:rPr>
        <w:t>Primeira,</w:t>
      </w:r>
      <w:r>
        <w:rPr>
          <w:rFonts w:ascii="Arial" w:hAnsi="Arial"/>
          <w:spacing w:val="11"/>
        </w:rPr>
        <w:t xml:space="preserve"> </w:t>
      </w:r>
      <w:r>
        <w:rPr>
          <w:rFonts w:ascii="Arial" w:hAnsi="Arial"/>
        </w:rPr>
        <w:t>de</w:t>
      </w:r>
      <w:r>
        <w:rPr>
          <w:rFonts w:ascii="Arial" w:hAnsi="Arial"/>
          <w:spacing w:val="10"/>
        </w:rPr>
        <w:t xml:space="preserve"> </w:t>
      </w:r>
      <w:r>
        <w:rPr>
          <w:rFonts w:ascii="Arial" w:hAnsi="Arial"/>
        </w:rPr>
        <w:t>acordo</w:t>
      </w:r>
      <w:r>
        <w:rPr>
          <w:rFonts w:ascii="Arial" w:hAnsi="Arial"/>
          <w:spacing w:val="10"/>
        </w:rPr>
        <w:t xml:space="preserve"> </w:t>
      </w:r>
      <w:r>
        <w:rPr>
          <w:rFonts w:ascii="Arial" w:hAnsi="Arial"/>
        </w:rPr>
        <w:t>com</w:t>
      </w:r>
      <w:r>
        <w:rPr>
          <w:rFonts w:ascii="Arial" w:hAnsi="Arial"/>
          <w:spacing w:val="11"/>
        </w:rPr>
        <w:t xml:space="preserve"> </w:t>
      </w:r>
      <w:r>
        <w:rPr>
          <w:rFonts w:ascii="Arial" w:hAnsi="Arial"/>
        </w:rPr>
        <w:t>a</w:t>
      </w:r>
      <w:r>
        <w:rPr>
          <w:rFonts w:ascii="Arial" w:hAnsi="Arial"/>
          <w:spacing w:val="1"/>
        </w:rPr>
        <w:t xml:space="preserve"> </w:t>
      </w:r>
      <w:r>
        <w:rPr>
          <w:rFonts w:ascii="Arial" w:hAnsi="Arial"/>
        </w:rPr>
        <w:t>respectiva</w:t>
      </w:r>
      <w:r>
        <w:rPr>
          <w:rFonts w:ascii="Arial" w:hAnsi="Arial"/>
          <w:spacing w:val="-2"/>
        </w:rPr>
        <w:t xml:space="preserve"> </w:t>
      </w:r>
      <w:r>
        <w:rPr>
          <w:rFonts w:ascii="Arial" w:hAnsi="Arial"/>
        </w:rPr>
        <w:t>classificação</w:t>
      </w:r>
      <w:r>
        <w:rPr>
          <w:rFonts w:ascii="Arial" w:hAnsi="Arial"/>
          <w:spacing w:val="-1"/>
        </w:rPr>
        <w:t xml:space="preserve"> </w:t>
      </w:r>
      <w:r>
        <w:rPr>
          <w:rFonts w:ascii="Arial" w:hAnsi="Arial"/>
        </w:rPr>
        <w:t>no(a)</w:t>
      </w:r>
      <w:r>
        <w:rPr>
          <w:rFonts w:ascii="Arial" w:hAnsi="Arial"/>
          <w:spacing w:val="-1"/>
        </w:rPr>
        <w:t xml:space="preserve"> </w:t>
      </w:r>
      <w:r>
        <w:rPr>
          <w:rFonts w:ascii="Arial" w:hAnsi="Arial"/>
        </w:rPr>
        <w:t>Pregão</w:t>
      </w:r>
      <w:r>
        <w:rPr>
          <w:rFonts w:ascii="Arial" w:hAnsi="Arial"/>
          <w:spacing w:val="-1"/>
        </w:rPr>
        <w:t xml:space="preserve"> </w:t>
      </w:r>
      <w:r>
        <w:rPr>
          <w:rFonts w:ascii="Arial" w:hAnsi="Arial"/>
        </w:rPr>
        <w:t>Eletrônico</w:t>
      </w:r>
      <w:r>
        <w:rPr>
          <w:rFonts w:ascii="Arial" w:hAnsi="Arial"/>
          <w:spacing w:val="-1"/>
        </w:rPr>
        <w:t xml:space="preserve"> </w:t>
      </w:r>
      <w:r>
        <w:rPr>
          <w:rFonts w:ascii="Arial" w:hAnsi="Arial"/>
        </w:rPr>
        <w:t>Nº.</w:t>
      </w:r>
      <w:r>
        <w:rPr>
          <w:rFonts w:ascii="Arial" w:hAnsi="Arial"/>
          <w:spacing w:val="-2"/>
        </w:rPr>
        <w:t xml:space="preserve"> </w:t>
      </w:r>
      <w:r>
        <w:rPr>
          <w:rFonts w:ascii="Arial" w:hAnsi="Arial"/>
          <w:b/>
          <w:bCs/>
          <w:spacing w:val="-2"/>
        </w:rPr>
        <w:t>xxx</w:t>
      </w:r>
      <w:r>
        <w:rPr>
          <w:rFonts w:ascii="Arial" w:hAnsi="Arial"/>
        </w:rPr>
        <w:t>/2023</w:t>
      </w:r>
    </w:p>
    <w:p>
      <w:pPr>
        <w:pStyle w:val="ListParagraph"/>
        <w:widowControl w:val="false"/>
        <w:tabs>
          <w:tab w:val="clear" w:pos="708"/>
          <w:tab w:val="left" w:pos="487" w:leader="none"/>
        </w:tabs>
        <w:spacing w:lineRule="auto" w:line="240" w:before="0" w:after="0"/>
        <w:ind w:left="0" w:hanging="0"/>
        <w:contextualSpacing/>
        <w:jc w:val="both"/>
        <w:textAlignment w:val="baseline"/>
        <w:rPr>
          <w:rFonts w:ascii="Arial" w:hAnsi="Arial" w:eastAsia="Times New Roman" w:cs="Arial"/>
          <w:lang w:eastAsia="pt-BR"/>
        </w:rPr>
      </w:pPr>
      <w:r>
        <w:rPr>
          <w:rFonts w:eastAsia="Times New Roman" w:cs="Arial" w:ascii="Arial" w:hAnsi="Arial"/>
          <w:lang w:eastAsia="pt-BR"/>
        </w:rPr>
        <w:t>3.2</w:t>
        <w:tab/>
        <w:t>Em</w:t>
      </w:r>
      <w:r>
        <w:rPr>
          <w:rFonts w:eastAsia="Times New Roman" w:cs="Arial" w:ascii="Arial" w:hAnsi="Arial"/>
          <w:spacing w:val="30"/>
          <w:lang w:eastAsia="pt-BR"/>
        </w:rPr>
        <w:t xml:space="preserve"> </w:t>
      </w:r>
      <w:r>
        <w:rPr>
          <w:rFonts w:eastAsia="Times New Roman" w:cs="Arial" w:ascii="Arial" w:hAnsi="Arial"/>
          <w:lang w:eastAsia="pt-BR"/>
        </w:rPr>
        <w:t>cada</w:t>
      </w:r>
      <w:r>
        <w:rPr>
          <w:rFonts w:eastAsia="Times New Roman" w:cs="Arial" w:ascii="Arial" w:hAnsi="Arial"/>
          <w:spacing w:val="31"/>
          <w:lang w:eastAsia="pt-BR"/>
        </w:rPr>
        <w:t xml:space="preserve"> </w:t>
      </w:r>
      <w:r>
        <w:rPr>
          <w:rFonts w:eastAsia="Times New Roman" w:cs="Arial" w:ascii="Arial" w:hAnsi="Arial"/>
          <w:lang w:eastAsia="pt-BR"/>
        </w:rPr>
        <w:t>fornecimento</w:t>
      </w:r>
      <w:r>
        <w:rPr>
          <w:rFonts w:eastAsia="Times New Roman" w:cs="Arial" w:ascii="Arial" w:hAnsi="Arial"/>
          <w:spacing w:val="31"/>
          <w:lang w:eastAsia="pt-BR"/>
        </w:rPr>
        <w:t xml:space="preserve"> </w:t>
      </w:r>
      <w:r>
        <w:rPr>
          <w:rFonts w:eastAsia="Times New Roman" w:cs="Arial" w:ascii="Arial" w:hAnsi="Arial"/>
          <w:lang w:eastAsia="pt-BR"/>
        </w:rPr>
        <w:t>de</w:t>
      </w:r>
      <w:r>
        <w:rPr>
          <w:rFonts w:eastAsia="Times New Roman" w:cs="Arial" w:ascii="Arial" w:hAnsi="Arial"/>
          <w:spacing w:val="30"/>
          <w:lang w:eastAsia="pt-BR"/>
        </w:rPr>
        <w:t xml:space="preserve"> </w:t>
      </w:r>
      <w:r>
        <w:rPr>
          <w:rFonts w:eastAsia="Times New Roman" w:cs="Arial" w:ascii="Arial" w:hAnsi="Arial"/>
          <w:lang w:eastAsia="pt-BR"/>
        </w:rPr>
        <w:t>serviço(s)</w:t>
      </w:r>
      <w:r>
        <w:rPr>
          <w:rFonts w:eastAsia="Times New Roman" w:cs="Arial" w:ascii="Arial" w:hAnsi="Arial"/>
          <w:spacing w:val="31"/>
          <w:lang w:eastAsia="pt-BR"/>
        </w:rPr>
        <w:t xml:space="preserve"> </w:t>
      </w:r>
      <w:r>
        <w:rPr>
          <w:rFonts w:eastAsia="Times New Roman" w:cs="Arial" w:ascii="Arial" w:hAnsi="Arial"/>
          <w:lang w:eastAsia="pt-BR"/>
        </w:rPr>
        <w:t>decorrente</w:t>
      </w:r>
      <w:r>
        <w:rPr>
          <w:rFonts w:eastAsia="Times New Roman" w:cs="Arial" w:ascii="Arial" w:hAnsi="Arial"/>
          <w:spacing w:val="31"/>
          <w:lang w:eastAsia="pt-BR"/>
        </w:rPr>
        <w:t xml:space="preserve"> </w:t>
      </w:r>
      <w:r>
        <w:rPr>
          <w:rFonts w:eastAsia="Times New Roman" w:cs="Arial" w:ascii="Arial" w:hAnsi="Arial"/>
          <w:lang w:eastAsia="pt-BR"/>
        </w:rPr>
        <w:t>desta</w:t>
      </w:r>
      <w:r>
        <w:rPr>
          <w:rFonts w:eastAsia="Times New Roman" w:cs="Arial" w:ascii="Arial" w:hAnsi="Arial"/>
          <w:spacing w:val="30"/>
          <w:lang w:eastAsia="pt-BR"/>
        </w:rPr>
        <w:t xml:space="preserve"> </w:t>
      </w:r>
      <w:r>
        <w:rPr>
          <w:rFonts w:eastAsia="Times New Roman" w:cs="Arial" w:ascii="Arial" w:hAnsi="Arial"/>
          <w:lang w:eastAsia="pt-BR"/>
        </w:rPr>
        <w:t>Ata,</w:t>
      </w:r>
      <w:r>
        <w:rPr>
          <w:rFonts w:eastAsia="Times New Roman" w:cs="Arial" w:ascii="Arial" w:hAnsi="Arial"/>
          <w:spacing w:val="31"/>
          <w:lang w:eastAsia="pt-BR"/>
        </w:rPr>
        <w:t xml:space="preserve"> </w:t>
      </w:r>
      <w:r>
        <w:rPr>
          <w:rFonts w:eastAsia="Times New Roman" w:cs="Arial" w:ascii="Arial" w:hAnsi="Arial"/>
          <w:lang w:eastAsia="pt-BR"/>
        </w:rPr>
        <w:t>serão</w:t>
      </w:r>
      <w:r>
        <w:rPr>
          <w:rFonts w:eastAsia="Times New Roman" w:cs="Arial" w:ascii="Arial" w:hAnsi="Arial"/>
          <w:spacing w:val="31"/>
          <w:lang w:eastAsia="pt-BR"/>
        </w:rPr>
        <w:t xml:space="preserve"> </w:t>
      </w:r>
      <w:r>
        <w:rPr>
          <w:rFonts w:eastAsia="Times New Roman" w:cs="Arial" w:ascii="Arial" w:hAnsi="Arial"/>
          <w:lang w:eastAsia="pt-BR"/>
        </w:rPr>
        <w:t>observadas</w:t>
      </w:r>
      <w:r>
        <w:rPr>
          <w:rFonts w:eastAsia="Times New Roman" w:cs="Arial" w:ascii="Arial" w:hAnsi="Arial"/>
          <w:spacing w:val="30"/>
          <w:lang w:eastAsia="pt-BR"/>
        </w:rPr>
        <w:t xml:space="preserve"> </w:t>
      </w:r>
      <w:r>
        <w:rPr>
          <w:rFonts w:eastAsia="Times New Roman" w:cs="Arial" w:ascii="Arial" w:hAnsi="Arial"/>
          <w:lang w:eastAsia="pt-BR"/>
        </w:rPr>
        <w:t>as</w:t>
      </w:r>
      <w:r>
        <w:rPr>
          <w:rFonts w:eastAsia="Times New Roman" w:cs="Arial" w:ascii="Arial" w:hAnsi="Arial"/>
          <w:spacing w:val="31"/>
          <w:lang w:eastAsia="pt-BR"/>
        </w:rPr>
        <w:t xml:space="preserve"> </w:t>
      </w:r>
      <w:r>
        <w:rPr>
          <w:rFonts w:eastAsia="Times New Roman" w:cs="Arial" w:ascii="Arial" w:hAnsi="Arial"/>
          <w:lang w:eastAsia="pt-BR"/>
        </w:rPr>
        <w:t>cláusulas</w:t>
      </w:r>
      <w:r>
        <w:rPr>
          <w:rFonts w:eastAsia="Times New Roman" w:cs="Arial" w:ascii="Arial" w:hAnsi="Arial"/>
          <w:spacing w:val="31"/>
          <w:lang w:eastAsia="pt-BR"/>
        </w:rPr>
        <w:t xml:space="preserve"> </w:t>
      </w:r>
      <w:r>
        <w:rPr>
          <w:rFonts w:eastAsia="Times New Roman" w:cs="Arial" w:ascii="Arial" w:hAnsi="Arial"/>
          <w:lang w:eastAsia="pt-BR"/>
        </w:rPr>
        <w:t>e</w:t>
      </w:r>
      <w:r>
        <w:rPr>
          <w:rFonts w:eastAsia="Times New Roman" w:cs="Arial" w:ascii="Arial" w:hAnsi="Arial"/>
          <w:spacing w:val="30"/>
          <w:lang w:eastAsia="pt-BR"/>
        </w:rPr>
        <w:t xml:space="preserve"> </w:t>
      </w:r>
      <w:r>
        <w:rPr>
          <w:rFonts w:eastAsia="Times New Roman" w:cs="Arial" w:ascii="Arial" w:hAnsi="Arial"/>
          <w:lang w:eastAsia="pt-BR"/>
        </w:rPr>
        <w:t>condições</w:t>
      </w:r>
      <w:r>
        <w:rPr>
          <w:rFonts w:eastAsia="Times New Roman" w:cs="Arial" w:ascii="Arial" w:hAnsi="Arial"/>
          <w:spacing w:val="31"/>
          <w:lang w:eastAsia="pt-BR"/>
        </w:rPr>
        <w:t xml:space="preserve"> </w:t>
      </w:r>
      <w:r>
        <w:rPr>
          <w:rFonts w:eastAsia="Times New Roman" w:cs="Arial" w:ascii="Arial" w:hAnsi="Arial"/>
          <w:lang w:eastAsia="pt-BR"/>
        </w:rPr>
        <w:t>constantes</w:t>
      </w:r>
      <w:r>
        <w:rPr>
          <w:rFonts w:eastAsia="Times New Roman" w:cs="Arial" w:ascii="Arial" w:hAnsi="Arial"/>
          <w:spacing w:val="31"/>
          <w:lang w:eastAsia="pt-BR"/>
        </w:rPr>
        <w:t xml:space="preserve"> </w:t>
      </w:r>
      <w:r>
        <w:rPr>
          <w:rFonts w:eastAsia="Times New Roman" w:cs="Arial" w:ascii="Arial" w:hAnsi="Arial"/>
          <w:lang w:eastAsia="pt-BR"/>
        </w:rPr>
        <w:t>do</w:t>
      </w:r>
      <w:r>
        <w:rPr>
          <w:rFonts w:eastAsia="Times New Roman" w:cs="Arial" w:ascii="Arial" w:hAnsi="Arial"/>
          <w:spacing w:val="31"/>
          <w:lang w:eastAsia="pt-BR"/>
        </w:rPr>
        <w:t xml:space="preserve"> </w:t>
      </w:r>
      <w:r>
        <w:rPr>
          <w:rFonts w:eastAsia="Times New Roman" w:cs="Arial" w:ascii="Arial" w:hAnsi="Arial"/>
          <w:lang w:eastAsia="pt-BR"/>
        </w:rPr>
        <w:t>Edital</w:t>
      </w:r>
      <w:r>
        <w:rPr>
          <w:rFonts w:eastAsia="Times New Roman" w:cs="Arial" w:ascii="Arial" w:hAnsi="Arial"/>
          <w:spacing w:val="30"/>
          <w:lang w:eastAsia="pt-BR"/>
        </w:rPr>
        <w:t xml:space="preserve"> </w:t>
      </w:r>
      <w:r>
        <w:rPr>
          <w:rFonts w:eastAsia="Times New Roman" w:cs="Arial" w:ascii="Arial" w:hAnsi="Arial"/>
          <w:lang w:eastAsia="pt-BR"/>
        </w:rPr>
        <w:t>de</w:t>
      </w:r>
      <w:r>
        <w:rPr>
          <w:rFonts w:eastAsia="Times New Roman" w:cs="Arial" w:ascii="Arial" w:hAnsi="Arial"/>
          <w:spacing w:val="32"/>
          <w:lang w:eastAsia="pt-BR"/>
        </w:rPr>
        <w:t xml:space="preserve"> </w:t>
      </w:r>
      <w:r>
        <w:rPr>
          <w:rFonts w:eastAsia="Times New Roman" w:cs="Arial" w:ascii="Arial" w:hAnsi="Arial"/>
          <w:lang w:eastAsia="pt-BR"/>
        </w:rPr>
        <w:t>Pregão</w:t>
      </w:r>
      <w:r>
        <w:rPr>
          <w:rFonts w:eastAsia="Times New Roman" w:cs="Arial" w:ascii="Arial" w:hAnsi="Arial"/>
          <w:spacing w:val="1"/>
          <w:lang w:eastAsia="pt-BR"/>
        </w:rPr>
        <w:t xml:space="preserve"> </w:t>
      </w:r>
      <w:r>
        <w:rPr>
          <w:rFonts w:eastAsia="Times New Roman" w:cs="Arial" w:ascii="Arial" w:hAnsi="Arial"/>
          <w:lang w:eastAsia="pt-BR"/>
        </w:rPr>
        <w:t>Eletrônico Nº.</w:t>
      </w:r>
      <w:r>
        <w:rPr>
          <w:rFonts w:eastAsia="Times New Roman" w:cs="Arial" w:ascii="Arial" w:hAnsi="Arial"/>
          <w:spacing w:val="-2"/>
          <w:lang w:eastAsia="pt-BR"/>
        </w:rPr>
        <w:t xml:space="preserve"> </w:t>
      </w:r>
      <w:r>
        <w:rPr>
          <w:rFonts w:eastAsia="Times New Roman" w:cs="Arial" w:ascii="Arial" w:hAnsi="Arial"/>
          <w:b/>
          <w:bCs/>
          <w:spacing w:val="-2"/>
          <w:lang w:eastAsia="pt-BR"/>
        </w:rPr>
        <w:t>xxx</w:t>
      </w:r>
      <w:r>
        <w:rPr>
          <w:rFonts w:eastAsia="Times New Roman" w:cs="Arial" w:ascii="Arial" w:hAnsi="Arial"/>
          <w:lang w:eastAsia="pt-BR"/>
        </w:rPr>
        <w:t>/2023</w:t>
      </w:r>
      <w:r>
        <w:rPr>
          <w:rFonts w:eastAsia="Times New Roman" w:cs="Arial" w:ascii="Arial" w:hAnsi="Arial"/>
          <w:spacing w:val="-2"/>
          <w:lang w:eastAsia="pt-BR"/>
        </w:rPr>
        <w:t xml:space="preserve"> </w:t>
      </w:r>
      <w:r>
        <w:rPr>
          <w:rFonts w:eastAsia="Times New Roman" w:cs="Arial" w:ascii="Arial" w:hAnsi="Arial"/>
          <w:lang w:eastAsia="pt-BR"/>
        </w:rPr>
        <w:t>e</w:t>
      </w:r>
      <w:r>
        <w:rPr>
          <w:rFonts w:eastAsia="Times New Roman" w:cs="Arial" w:ascii="Arial" w:hAnsi="Arial"/>
          <w:spacing w:val="-2"/>
          <w:lang w:eastAsia="pt-BR"/>
        </w:rPr>
        <w:t xml:space="preserve"> </w:t>
      </w:r>
      <w:r>
        <w:rPr>
          <w:rFonts w:eastAsia="Times New Roman" w:cs="Arial" w:ascii="Arial" w:hAnsi="Arial"/>
          <w:lang w:eastAsia="pt-BR"/>
        </w:rPr>
        <w:t>seus</w:t>
      </w:r>
      <w:r>
        <w:rPr>
          <w:rFonts w:eastAsia="Times New Roman" w:cs="Arial" w:ascii="Arial" w:hAnsi="Arial"/>
          <w:spacing w:val="-1"/>
          <w:lang w:eastAsia="pt-BR"/>
        </w:rPr>
        <w:t xml:space="preserve"> </w:t>
      </w:r>
      <w:r>
        <w:rPr>
          <w:rFonts w:eastAsia="Times New Roman" w:cs="Arial" w:ascii="Arial" w:hAnsi="Arial"/>
          <w:lang w:eastAsia="pt-BR"/>
        </w:rPr>
        <w:t>Anexos,</w:t>
      </w:r>
      <w:r>
        <w:rPr>
          <w:rFonts w:eastAsia="Times New Roman" w:cs="Arial" w:ascii="Arial" w:hAnsi="Arial"/>
          <w:spacing w:val="-2"/>
          <w:lang w:eastAsia="pt-BR"/>
        </w:rPr>
        <w:t xml:space="preserve"> </w:t>
      </w:r>
      <w:r>
        <w:rPr>
          <w:rFonts w:eastAsia="Times New Roman" w:cs="Arial" w:ascii="Arial" w:hAnsi="Arial"/>
          <w:lang w:eastAsia="pt-BR"/>
        </w:rPr>
        <w:t>que</w:t>
      </w:r>
      <w:r>
        <w:rPr>
          <w:rFonts w:eastAsia="Times New Roman" w:cs="Arial" w:ascii="Arial" w:hAnsi="Arial"/>
          <w:spacing w:val="-2"/>
          <w:lang w:eastAsia="pt-BR"/>
        </w:rPr>
        <w:t xml:space="preserve"> </w:t>
      </w:r>
      <w:r>
        <w:rPr>
          <w:rFonts w:eastAsia="Times New Roman" w:cs="Arial" w:ascii="Arial" w:hAnsi="Arial"/>
          <w:lang w:eastAsia="pt-BR"/>
        </w:rPr>
        <w:t>a</w:t>
      </w:r>
      <w:r>
        <w:rPr>
          <w:rFonts w:eastAsia="Times New Roman" w:cs="Arial" w:ascii="Arial" w:hAnsi="Arial"/>
          <w:spacing w:val="-2"/>
          <w:lang w:eastAsia="pt-BR"/>
        </w:rPr>
        <w:t xml:space="preserve"> </w:t>
      </w:r>
      <w:r>
        <w:rPr>
          <w:rFonts w:eastAsia="Times New Roman" w:cs="Arial" w:ascii="Arial" w:hAnsi="Arial"/>
          <w:lang w:eastAsia="pt-BR"/>
        </w:rPr>
        <w:t>precederam</w:t>
      </w:r>
      <w:r>
        <w:rPr>
          <w:rFonts w:eastAsia="Times New Roman" w:cs="Arial" w:ascii="Arial" w:hAnsi="Arial"/>
          <w:spacing w:val="-1"/>
          <w:lang w:eastAsia="pt-BR"/>
        </w:rPr>
        <w:t xml:space="preserve"> </w:t>
      </w:r>
      <w:r>
        <w:rPr>
          <w:rFonts w:eastAsia="Times New Roman" w:cs="Arial" w:ascii="Arial" w:hAnsi="Arial"/>
          <w:lang w:eastAsia="pt-BR"/>
        </w:rPr>
        <w:t>e</w:t>
      </w:r>
      <w:r>
        <w:rPr>
          <w:rFonts w:eastAsia="Times New Roman" w:cs="Arial" w:ascii="Arial" w:hAnsi="Arial"/>
          <w:spacing w:val="-2"/>
          <w:lang w:eastAsia="pt-BR"/>
        </w:rPr>
        <w:t xml:space="preserve"> </w:t>
      </w:r>
      <w:r>
        <w:rPr>
          <w:rFonts w:eastAsia="Times New Roman" w:cs="Arial" w:ascii="Arial" w:hAnsi="Arial"/>
          <w:lang w:eastAsia="pt-BR"/>
        </w:rPr>
        <w:t>integram</w:t>
      </w:r>
      <w:r>
        <w:rPr>
          <w:rFonts w:eastAsia="Times New Roman" w:cs="Arial" w:ascii="Arial" w:hAnsi="Arial"/>
          <w:spacing w:val="-2"/>
          <w:lang w:eastAsia="pt-BR"/>
        </w:rPr>
        <w:t xml:space="preserve"> </w:t>
      </w:r>
      <w:r>
        <w:rPr>
          <w:rFonts w:eastAsia="Times New Roman" w:cs="Arial" w:ascii="Arial" w:hAnsi="Arial"/>
          <w:lang w:eastAsia="pt-BR"/>
        </w:rPr>
        <w:t>o</w:t>
      </w:r>
      <w:r>
        <w:rPr>
          <w:rFonts w:eastAsia="Times New Roman" w:cs="Arial" w:ascii="Arial" w:hAnsi="Arial"/>
          <w:spacing w:val="-2"/>
          <w:lang w:eastAsia="pt-BR"/>
        </w:rPr>
        <w:t xml:space="preserve"> </w:t>
      </w:r>
      <w:r>
        <w:rPr>
          <w:rFonts w:eastAsia="Times New Roman" w:cs="Arial" w:ascii="Arial" w:hAnsi="Arial"/>
          <w:lang w:eastAsia="pt-BR"/>
        </w:rPr>
        <w:t>presente</w:t>
      </w:r>
      <w:r>
        <w:rPr>
          <w:rFonts w:eastAsia="Times New Roman" w:cs="Arial" w:ascii="Arial" w:hAnsi="Arial"/>
          <w:spacing w:val="-1"/>
          <w:lang w:eastAsia="pt-BR"/>
        </w:rPr>
        <w:t xml:space="preserve"> </w:t>
      </w:r>
      <w:r>
        <w:rPr>
          <w:rFonts w:eastAsia="Times New Roman" w:cs="Arial" w:ascii="Arial" w:hAnsi="Arial"/>
          <w:lang w:eastAsia="pt-BR"/>
        </w:rPr>
        <w:t>instrumento</w:t>
      </w:r>
      <w:r>
        <w:rPr>
          <w:rFonts w:eastAsia="Times New Roman" w:cs="Arial" w:ascii="Arial" w:hAnsi="Arial"/>
          <w:spacing w:val="-2"/>
          <w:lang w:eastAsia="pt-BR"/>
        </w:rPr>
        <w:t xml:space="preserve"> </w:t>
      </w:r>
      <w:r>
        <w:rPr>
          <w:rFonts w:eastAsia="Times New Roman" w:cs="Arial" w:ascii="Arial" w:hAnsi="Arial"/>
          <w:lang w:eastAsia="pt-BR"/>
        </w:rPr>
        <w:t>de</w:t>
      </w:r>
      <w:r>
        <w:rPr>
          <w:rFonts w:eastAsia="Times New Roman" w:cs="Arial" w:ascii="Arial" w:hAnsi="Arial"/>
          <w:spacing w:val="-2"/>
          <w:lang w:eastAsia="pt-BR"/>
        </w:rPr>
        <w:t xml:space="preserve"> </w:t>
      </w:r>
      <w:r>
        <w:rPr>
          <w:rFonts w:eastAsia="Times New Roman" w:cs="Arial" w:ascii="Arial" w:hAnsi="Arial"/>
          <w:lang w:eastAsia="pt-BR"/>
        </w:rPr>
        <w:t>compromisso.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Ttulo2"/>
        <w:widowControl w:val="false"/>
        <w:numPr>
          <w:ilvl w:val="1"/>
          <w:numId w:val="51"/>
        </w:numPr>
        <w:tabs>
          <w:tab w:val="clear" w:pos="708"/>
          <w:tab w:val="left" w:pos="10597" w:leader="none"/>
        </w:tabs>
        <w:spacing w:lineRule="auto" w:line="240" w:before="0" w:after="0"/>
        <w:ind w:left="37" w:hanging="37"/>
        <w:textAlignment w:val="baseline"/>
        <w:rPr>
          <w:rFonts w:ascii="Arial" w:hAnsi="Arial" w:eastAsia="Times New Roman" w:cs="Arial"/>
          <w:lang w:eastAsia="pt-BR"/>
        </w:rPr>
      </w:pPr>
      <w:r>
        <w:rPr>
          <w:rFonts w:eastAsia="Times New Roman" w:cs="Arial" w:ascii="Arial" w:hAnsi="Arial"/>
          <w:sz w:val="22"/>
          <w:szCs w:val="22"/>
          <w:shd w:fill="DFDFDF" w:val="clear"/>
          <w:lang w:eastAsia="pt-BR"/>
        </w:rPr>
        <w:t>CLÁUSULA</w:t>
      </w:r>
      <w:r>
        <w:rPr>
          <w:rFonts w:eastAsia="Times New Roman" w:cs="Arial" w:ascii="Arial" w:hAnsi="Arial"/>
          <w:spacing w:val="-4"/>
          <w:sz w:val="22"/>
          <w:szCs w:val="22"/>
          <w:shd w:fill="DFDFDF" w:val="clear"/>
          <w:lang w:eastAsia="pt-BR"/>
        </w:rPr>
        <w:t xml:space="preserve"> IV</w:t>
      </w:r>
      <w:r>
        <w:rPr>
          <w:rFonts w:eastAsia="Times New Roman" w:cs="Arial" w:ascii="Arial" w:hAnsi="Arial"/>
          <w:sz w:val="22"/>
          <w:szCs w:val="22"/>
          <w:shd w:fill="DFDFDF" w:val="clear"/>
          <w:lang w:eastAsia="pt-BR"/>
        </w:rPr>
        <w:t xml:space="preserve"> </w:t>
      </w:r>
      <w:r>
        <w:rPr>
          <w:rFonts w:eastAsia="Times New Roman" w:cs="Arial" w:ascii="Arial" w:hAnsi="Arial"/>
          <w:spacing w:val="-3"/>
          <w:sz w:val="22"/>
          <w:szCs w:val="22"/>
          <w:shd w:fill="DFDFDF" w:val="clear"/>
          <w:lang w:eastAsia="pt-BR"/>
        </w:rPr>
        <w:t xml:space="preserve">– </w:t>
      </w:r>
      <w:r>
        <w:rPr>
          <w:rFonts w:eastAsia="Times New Roman" w:cs="Arial" w:ascii="Arial" w:hAnsi="Arial"/>
          <w:sz w:val="22"/>
          <w:szCs w:val="22"/>
          <w:shd w:fill="DFDFDF" w:val="clear"/>
          <w:lang w:eastAsia="pt-BR"/>
        </w:rPr>
        <w:t>D</w:t>
      </w:r>
      <w:r>
        <w:rPr>
          <w:rFonts w:eastAsia="Times New Roman" w:cs="Arial" w:ascii="Arial" w:hAnsi="Arial"/>
          <w:color w:val="000000"/>
          <w:spacing w:val="-3"/>
          <w:sz w:val="22"/>
          <w:szCs w:val="22"/>
          <w:shd w:fill="DFDFDF" w:val="clear"/>
          <w:lang w:eastAsia="pt-BR"/>
        </w:rPr>
        <w:t>O PAGAMENTO</w:t>
      </w:r>
    </w:p>
    <w:p>
      <w:pPr>
        <w:pStyle w:val="Corpodotexto"/>
        <w:widowControl w:val="false"/>
        <w:tabs>
          <w:tab w:val="clear" w:pos="708"/>
          <w:tab w:val="left" w:pos="10597" w:leader="none"/>
        </w:tabs>
        <w:spacing w:lineRule="auto" w:line="240" w:before="0" w:after="0"/>
        <w:textAlignment w:val="baseline"/>
        <w:rPr/>
      </w:pPr>
      <w:r>
        <w:rPr/>
      </w:r>
    </w:p>
    <w:p>
      <w:pPr>
        <w:pStyle w:val="Corpodotexto"/>
        <w:spacing w:lineRule="auto" w:line="240" w:before="0" w:after="0"/>
        <w:rPr>
          <w:rFonts w:ascii="Arial" w:hAnsi="Arial"/>
        </w:rPr>
      </w:pPr>
      <w:r>
        <w:rPr>
          <w:rFonts w:ascii="Arial" w:hAnsi="Arial"/>
        </w:rPr>
        <w:t>4.1.</w:t>
      </w:r>
      <w:r>
        <w:rPr>
          <w:rFonts w:ascii="Arial" w:hAnsi="Arial"/>
          <w:spacing w:val="-5"/>
        </w:rPr>
        <w:t xml:space="preserve"> </w:t>
      </w:r>
      <w:r>
        <w:rPr>
          <w:rFonts w:ascii="Arial" w:hAnsi="Arial"/>
        </w:rPr>
        <w:t>Do</w:t>
      </w:r>
      <w:r>
        <w:rPr>
          <w:rFonts w:ascii="Arial" w:hAnsi="Arial"/>
          <w:spacing w:val="-5"/>
        </w:rPr>
        <w:t xml:space="preserve"> </w:t>
      </w:r>
      <w:r>
        <w:rPr>
          <w:rFonts w:ascii="Arial" w:hAnsi="Arial"/>
        </w:rPr>
        <w:t>Recurso</w:t>
      </w:r>
      <w:r>
        <w:rPr>
          <w:rFonts w:ascii="Arial" w:hAnsi="Arial"/>
          <w:spacing w:val="-5"/>
        </w:rPr>
        <w:t xml:space="preserve"> </w:t>
      </w:r>
      <w:r>
        <w:rPr>
          <w:rFonts w:ascii="Arial" w:hAnsi="Arial"/>
        </w:rPr>
        <w:t>Financeiro</w:t>
      </w:r>
      <w:r>
        <w:rPr>
          <w:rFonts w:ascii="Arial" w:hAnsi="Arial"/>
          <w:spacing w:val="-4"/>
        </w:rPr>
        <w:t xml:space="preserve"> – </w:t>
      </w:r>
      <w:r>
        <w:rPr>
          <w:rFonts w:ascii="Arial" w:hAnsi="Arial"/>
        </w:rPr>
        <w:t>As</w:t>
      </w:r>
      <w:r>
        <w:rPr>
          <w:rFonts w:ascii="Arial" w:hAnsi="Arial"/>
          <w:spacing w:val="-5"/>
        </w:rPr>
        <w:t xml:space="preserve"> </w:t>
      </w:r>
      <w:r>
        <w:rPr>
          <w:rFonts w:ascii="Arial" w:hAnsi="Arial"/>
        </w:rPr>
        <w:t>despesas</w:t>
      </w:r>
      <w:r>
        <w:rPr>
          <w:rFonts w:ascii="Arial" w:hAnsi="Arial"/>
          <w:spacing w:val="-5"/>
        </w:rPr>
        <w:t xml:space="preserve"> </w:t>
      </w:r>
      <w:r>
        <w:rPr>
          <w:rFonts w:ascii="Arial" w:hAnsi="Arial"/>
        </w:rPr>
        <w:t>decorrentes</w:t>
      </w:r>
      <w:r>
        <w:rPr>
          <w:rFonts w:ascii="Arial" w:hAnsi="Arial"/>
          <w:spacing w:val="-4"/>
        </w:rPr>
        <w:t xml:space="preserve"> da presente A</w:t>
      </w:r>
      <w:r>
        <w:rPr>
          <w:rFonts w:cs="Arial" w:ascii="Arial" w:hAnsi="Arial"/>
          <w:spacing w:val="-4"/>
        </w:rPr>
        <w:t>ta de Registro de Preços</w:t>
      </w:r>
      <w:r>
        <w:rPr>
          <w:rFonts w:ascii="Arial" w:hAnsi="Arial"/>
          <w:spacing w:val="-5"/>
        </w:rPr>
        <w:t xml:space="preserve"> </w:t>
      </w:r>
      <w:r>
        <w:rPr>
          <w:rFonts w:ascii="Arial" w:hAnsi="Arial"/>
        </w:rPr>
        <w:t>serão</w:t>
      </w:r>
      <w:r>
        <w:rPr>
          <w:rFonts w:ascii="Arial" w:hAnsi="Arial"/>
          <w:spacing w:val="-4"/>
        </w:rPr>
        <w:t xml:space="preserve"> </w:t>
      </w:r>
      <w:r>
        <w:rPr>
          <w:rFonts w:ascii="Arial" w:hAnsi="Arial"/>
        </w:rPr>
        <w:t>efetuadas</w:t>
      </w:r>
      <w:r>
        <w:rPr>
          <w:rFonts w:ascii="Arial" w:hAnsi="Arial"/>
          <w:spacing w:val="-5"/>
        </w:rPr>
        <w:t xml:space="preserve"> </w:t>
      </w:r>
      <w:r>
        <w:rPr>
          <w:rFonts w:ascii="Arial" w:hAnsi="Arial"/>
        </w:rPr>
        <w:t>à</w:t>
      </w:r>
      <w:r>
        <w:rPr>
          <w:rFonts w:ascii="Arial" w:hAnsi="Arial"/>
          <w:spacing w:val="-5"/>
        </w:rPr>
        <w:t xml:space="preserve"> </w:t>
      </w:r>
      <w:r>
        <w:rPr>
          <w:rFonts w:ascii="Arial" w:hAnsi="Arial"/>
        </w:rPr>
        <w:t>conta</w:t>
      </w:r>
      <w:r>
        <w:rPr>
          <w:rFonts w:ascii="Arial" w:hAnsi="Arial"/>
          <w:spacing w:val="-5"/>
        </w:rPr>
        <w:t xml:space="preserve"> </w:t>
      </w:r>
      <w:r>
        <w:rPr>
          <w:rFonts w:ascii="Arial" w:hAnsi="Arial"/>
        </w:rPr>
        <w:t>do</w:t>
      </w:r>
      <w:r>
        <w:rPr>
          <w:rFonts w:ascii="Arial" w:hAnsi="Arial"/>
          <w:spacing w:val="-4"/>
        </w:rPr>
        <w:t xml:space="preserve"> </w:t>
      </w:r>
      <w:r>
        <w:rPr>
          <w:rFonts w:ascii="Arial" w:hAnsi="Arial"/>
        </w:rPr>
        <w:t>seguinte</w:t>
      </w:r>
      <w:r>
        <w:rPr>
          <w:rFonts w:ascii="Arial" w:hAnsi="Arial"/>
          <w:spacing w:val="-5"/>
        </w:rPr>
        <w:t xml:space="preserve"> </w:t>
      </w:r>
      <w:r>
        <w:rPr>
          <w:rFonts w:ascii="Arial" w:hAnsi="Arial"/>
        </w:rPr>
        <w:t>recurso</w:t>
      </w:r>
      <w:r>
        <w:rPr>
          <w:rFonts w:ascii="Arial" w:hAnsi="Arial"/>
          <w:spacing w:val="-5"/>
        </w:rPr>
        <w:t xml:space="preserve"> </w:t>
      </w:r>
      <w:r>
        <w:rPr>
          <w:rFonts w:ascii="Arial" w:hAnsi="Arial"/>
        </w:rPr>
        <w:t>financeiro:</w:t>
      </w:r>
    </w:p>
    <w:tbl>
      <w:tblPr>
        <w:tblW w:w="8981" w:type="dxa"/>
        <w:jc w:val="left"/>
        <w:tblInd w:w="-26" w:type="dxa"/>
        <w:tblLayout w:type="fixed"/>
        <w:tblCellMar>
          <w:top w:w="0" w:type="dxa"/>
          <w:left w:w="7" w:type="dxa"/>
          <w:bottom w:w="0" w:type="dxa"/>
          <w:right w:w="7" w:type="dxa"/>
        </w:tblCellMar>
        <w:tblLook w:firstRow="1" w:noVBand="0" w:lastRow="1" w:firstColumn="1" w:lastColumn="1" w:noHBand="0" w:val="01e0"/>
      </w:tblPr>
      <w:tblGrid>
        <w:gridCol w:w="1082"/>
        <w:gridCol w:w="900"/>
        <w:gridCol w:w="1076"/>
        <w:gridCol w:w="855"/>
        <w:gridCol w:w="3349"/>
        <w:gridCol w:w="1718"/>
      </w:tblGrid>
      <w:tr>
        <w:trPr>
          <w:trHeight w:val="238" w:hRule="atLeast"/>
        </w:trPr>
        <w:tc>
          <w:tcPr>
            <w:tcW w:w="8980" w:type="dxa"/>
            <w:gridSpan w:val="6"/>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708"/>
                <w:tab w:val="left" w:pos="4379" w:leader="none"/>
                <w:tab w:val="left" w:pos="10419" w:leader="none"/>
              </w:tabs>
              <w:spacing w:before="32" w:after="0"/>
              <w:ind w:left="37" w:hanging="0"/>
              <w:jc w:val="left"/>
              <w:rPr>
                <w:rFonts w:ascii="Arial" w:hAnsi="Arial"/>
                <w:sz w:val="20"/>
                <w:szCs w:val="20"/>
              </w:rPr>
            </w:pPr>
            <w:r>
              <w:rPr>
                <w:rFonts w:ascii="Arial" w:hAnsi="Arial"/>
                <w:sz w:val="20"/>
                <w:szCs w:val="20"/>
                <w:shd w:fill="DFDFDF" w:val="clear"/>
              </w:rPr>
              <w:t xml:space="preserve"> </w:t>
            </w:r>
            <w:r>
              <w:rPr>
                <w:rFonts w:ascii="Arial" w:hAnsi="Arial"/>
                <w:sz w:val="20"/>
                <w:szCs w:val="20"/>
                <w:shd w:fill="DFDFDF" w:val="clear"/>
              </w:rPr>
              <w:tab/>
            </w:r>
            <w:r>
              <w:rPr>
                <w:rFonts w:ascii="Arial" w:hAnsi="Arial"/>
                <w:b/>
                <w:sz w:val="20"/>
                <w:szCs w:val="20"/>
                <w:shd w:fill="DFDFDF" w:val="clear"/>
              </w:rPr>
              <w:t>Dotação</w:t>
            </w:r>
            <w:r>
              <w:rPr>
                <w:rFonts w:ascii="Arial" w:hAnsi="Arial"/>
                <w:b/>
                <w:spacing w:val="-9"/>
                <w:sz w:val="20"/>
                <w:szCs w:val="20"/>
                <w:shd w:fill="DFDFDF" w:val="clear"/>
              </w:rPr>
              <w:t xml:space="preserve"> </w:t>
            </w:r>
            <w:r>
              <w:rPr>
                <w:rFonts w:ascii="Arial" w:hAnsi="Arial"/>
                <w:b/>
                <w:sz w:val="20"/>
                <w:szCs w:val="20"/>
                <w:shd w:fill="DFDFDF" w:val="clear"/>
              </w:rPr>
              <w:t>Orçamentária</w:t>
            </w:r>
          </w:p>
        </w:tc>
      </w:tr>
      <w:tr>
        <w:trPr>
          <w:trHeight w:val="238" w:hRule="atLeast"/>
        </w:trPr>
        <w:tc>
          <w:tcPr>
            <w:tcW w:w="1082"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32" w:after="0"/>
              <w:ind w:left="139" w:right="114" w:hanging="0"/>
              <w:rPr>
                <w:rFonts w:ascii="Arial" w:hAnsi="Arial"/>
                <w:b/>
                <w:b/>
                <w:sz w:val="20"/>
                <w:szCs w:val="20"/>
              </w:rPr>
            </w:pPr>
            <w:r>
              <w:rPr>
                <w:rFonts w:ascii="Arial" w:hAnsi="Arial"/>
                <w:b/>
                <w:sz w:val="20"/>
                <w:szCs w:val="20"/>
              </w:rPr>
              <w:t>Dotação</w:t>
            </w:r>
          </w:p>
        </w:tc>
        <w:tc>
          <w:tcPr>
            <w:tcW w:w="90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32" w:after="0"/>
              <w:ind w:left="139" w:right="114" w:hanging="0"/>
              <w:rPr>
                <w:rFonts w:ascii="Arial" w:hAnsi="Arial"/>
                <w:b/>
                <w:b/>
                <w:sz w:val="20"/>
                <w:szCs w:val="20"/>
              </w:rPr>
            </w:pPr>
            <w:r>
              <w:rPr>
                <w:rFonts w:ascii="Arial" w:hAnsi="Arial"/>
                <w:b/>
                <w:sz w:val="20"/>
                <w:szCs w:val="20"/>
              </w:rPr>
              <w:t>Órgão</w:t>
            </w:r>
          </w:p>
        </w:tc>
        <w:tc>
          <w:tcPr>
            <w:tcW w:w="107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32" w:after="0"/>
              <w:ind w:left="140" w:right="113" w:hanging="0"/>
              <w:rPr>
                <w:rFonts w:ascii="Arial" w:hAnsi="Arial"/>
                <w:b/>
                <w:b/>
                <w:sz w:val="20"/>
                <w:szCs w:val="20"/>
              </w:rPr>
            </w:pPr>
            <w:r>
              <w:rPr>
                <w:rFonts w:ascii="Arial" w:hAnsi="Arial"/>
                <w:b/>
                <w:sz w:val="20"/>
                <w:szCs w:val="20"/>
              </w:rPr>
              <w:t>Unidade</w:t>
            </w:r>
          </w:p>
        </w:tc>
        <w:tc>
          <w:tcPr>
            <w:tcW w:w="855"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32" w:after="0"/>
              <w:ind w:left="0" w:right="252" w:hanging="0"/>
              <w:jc w:val="right"/>
              <w:rPr>
                <w:rFonts w:ascii="Arial" w:hAnsi="Arial"/>
                <w:b/>
                <w:b/>
                <w:sz w:val="20"/>
                <w:szCs w:val="20"/>
              </w:rPr>
            </w:pPr>
            <w:r>
              <w:rPr>
                <w:rFonts w:ascii="Arial" w:hAnsi="Arial"/>
                <w:b/>
                <w:sz w:val="20"/>
                <w:szCs w:val="20"/>
              </w:rPr>
              <w:t>Ação</w:t>
            </w:r>
          </w:p>
        </w:tc>
        <w:tc>
          <w:tcPr>
            <w:tcW w:w="334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32" w:after="0"/>
              <w:ind w:left="42" w:right="1207" w:hanging="0"/>
              <w:rPr>
                <w:rFonts w:ascii="Arial" w:hAnsi="Arial"/>
                <w:b/>
                <w:b/>
                <w:sz w:val="20"/>
                <w:szCs w:val="20"/>
              </w:rPr>
            </w:pPr>
            <w:r>
              <w:rPr>
                <w:rFonts w:ascii="Arial" w:hAnsi="Arial"/>
                <w:b/>
                <w:sz w:val="20"/>
                <w:szCs w:val="20"/>
              </w:rPr>
              <w:t>Elemento</w:t>
            </w:r>
          </w:p>
        </w:tc>
        <w:tc>
          <w:tcPr>
            <w:tcW w:w="1718"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32" w:after="0"/>
              <w:ind w:left="42" w:right="672" w:hanging="0"/>
              <w:rPr>
                <w:rFonts w:ascii="Arial" w:hAnsi="Arial"/>
                <w:b/>
                <w:b/>
                <w:sz w:val="20"/>
                <w:szCs w:val="20"/>
              </w:rPr>
            </w:pPr>
            <w:r>
              <w:rPr>
                <w:rFonts w:ascii="Arial" w:hAnsi="Arial"/>
                <w:b/>
                <w:sz w:val="20"/>
                <w:szCs w:val="20"/>
              </w:rPr>
              <w:t>Vínculo</w:t>
            </w:r>
          </w:p>
        </w:tc>
      </w:tr>
      <w:tr>
        <w:trPr>
          <w:trHeight w:val="262" w:hRule="atLeast"/>
        </w:trPr>
        <w:tc>
          <w:tcPr>
            <w:tcW w:w="1082"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139" w:right="114" w:hanging="0"/>
              <w:rPr>
                <w:rFonts w:ascii="Arial" w:hAnsi="Arial"/>
                <w:sz w:val="20"/>
                <w:szCs w:val="20"/>
              </w:rPr>
            </w:pPr>
            <w:r>
              <w:rPr>
                <w:rFonts w:ascii="Arial" w:hAnsi="Arial"/>
                <w:sz w:val="20"/>
                <w:szCs w:val="20"/>
              </w:rPr>
              <w:t>xxx</w:t>
            </w:r>
          </w:p>
        </w:tc>
        <w:tc>
          <w:tcPr>
            <w:tcW w:w="90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25" w:hanging="0"/>
              <w:rPr>
                <w:rFonts w:ascii="Arial" w:hAnsi="Arial"/>
                <w:sz w:val="20"/>
                <w:szCs w:val="20"/>
              </w:rPr>
            </w:pPr>
            <w:r>
              <w:rPr>
                <w:rFonts w:ascii="Arial" w:hAnsi="Arial"/>
                <w:sz w:val="20"/>
                <w:szCs w:val="20"/>
              </w:rPr>
              <w:t>x</w:t>
            </w:r>
          </w:p>
        </w:tc>
        <w:tc>
          <w:tcPr>
            <w:tcW w:w="107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26" w:hanging="0"/>
              <w:rPr>
                <w:rFonts w:ascii="Arial" w:hAnsi="Arial"/>
                <w:sz w:val="20"/>
                <w:szCs w:val="20"/>
              </w:rPr>
            </w:pPr>
            <w:r>
              <w:rPr>
                <w:rFonts w:ascii="Arial" w:hAnsi="Arial"/>
                <w:sz w:val="20"/>
                <w:szCs w:val="20"/>
              </w:rPr>
              <w:t>x</w:t>
            </w:r>
          </w:p>
        </w:tc>
        <w:tc>
          <w:tcPr>
            <w:tcW w:w="855"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0" w:right="269" w:hanging="0"/>
              <w:jc w:val="right"/>
              <w:rPr>
                <w:rFonts w:ascii="Arial" w:hAnsi="Arial"/>
                <w:sz w:val="20"/>
                <w:szCs w:val="20"/>
              </w:rPr>
            </w:pPr>
            <w:r>
              <w:rPr>
                <w:rFonts w:ascii="Arial" w:hAnsi="Arial"/>
                <w:sz w:val="20"/>
                <w:szCs w:val="20"/>
              </w:rPr>
              <w:t>xxxx</w:t>
            </w:r>
          </w:p>
        </w:tc>
        <w:tc>
          <w:tcPr>
            <w:tcW w:w="334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auto" w:line="240" w:before="0" w:after="0"/>
              <w:ind w:left="0" w:hanging="0"/>
              <w:rPr>
                <w:rFonts w:ascii="Arial" w:hAnsi="Arial"/>
                <w:sz w:val="20"/>
                <w:szCs w:val="20"/>
              </w:rPr>
            </w:pPr>
            <w:r>
              <w:rPr>
                <w:rFonts w:ascii="Arial" w:hAnsi="Arial"/>
                <w:sz w:val="20"/>
                <w:szCs w:val="20"/>
              </w:rPr>
              <w:t>xxxxxxxxxxxxxxxx</w:t>
            </w:r>
          </w:p>
        </w:tc>
        <w:tc>
          <w:tcPr>
            <w:tcW w:w="1718"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auto" w:line="240" w:before="0" w:after="0"/>
              <w:ind w:left="0" w:hanging="0"/>
              <w:rPr>
                <w:rFonts w:ascii="Arial" w:hAnsi="Arial"/>
                <w:sz w:val="20"/>
                <w:szCs w:val="20"/>
              </w:rPr>
            </w:pPr>
            <w:r>
              <w:rPr>
                <w:rFonts w:ascii="Arial" w:hAnsi="Arial"/>
                <w:sz w:val="20"/>
                <w:szCs w:val="20"/>
              </w:rPr>
              <w:t>Xxxxxxxxxxxx</w:t>
            </w:r>
          </w:p>
        </w:tc>
      </w:tr>
    </w:tbl>
    <w:p>
      <w:pPr>
        <w:pStyle w:val="Corpodotexto"/>
        <w:widowControl w:val="false"/>
        <w:tabs>
          <w:tab w:val="clear" w:pos="708"/>
          <w:tab w:val="left" w:pos="1701" w:leader="none"/>
        </w:tabs>
        <w:spacing w:lineRule="auto" w:line="240" w:before="4"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Corpodotexto"/>
        <w:widowControl w:val="false"/>
        <w:tabs>
          <w:tab w:val="clear" w:pos="708"/>
          <w:tab w:val="left" w:pos="1701" w:leader="none"/>
        </w:tabs>
        <w:spacing w:lineRule="auto" w:line="240" w:before="4" w:after="0"/>
        <w:jc w:val="both"/>
        <w:textAlignment w:val="baseline"/>
        <w:rPr>
          <w:rFonts w:ascii="Arial" w:hAnsi="Arial" w:eastAsia="Times New Roman" w:cs="Arial"/>
          <w:b w:val="false"/>
          <w:b w:val="false"/>
          <w:bCs w:val="false"/>
          <w:lang w:eastAsia="pt-BR"/>
        </w:rPr>
      </w:pPr>
      <w:r>
        <w:rPr>
          <w:rFonts w:eastAsia="Times New Roman" w:cs="Arial" w:ascii="Arial" w:hAnsi="Arial"/>
          <w:b w:val="false"/>
          <w:bCs w:val="false"/>
          <w:lang w:eastAsia="pt-BR"/>
        </w:rPr>
        <w:t xml:space="preserve">4.2. </w:t>
      </w:r>
      <w:r>
        <w:rPr>
          <w:rFonts w:eastAsia="Times New Roman" w:cs="Arial" w:ascii="Arial" w:hAnsi="Arial"/>
          <w:b w:val="false"/>
          <w:bCs w:val="false"/>
          <w:color w:val="000000"/>
          <w:shd w:fill="auto" w:val="clear"/>
          <w:lang w:eastAsia="pt-BR"/>
        </w:rPr>
        <w:t>O objeto será pago com recursos oriundos do processo nº 71000.062885/2021-11, SLI 2101506, celebrado entre o Município de Itá e o Ministério do Esporte, através da Lei de Incentivo ao Esporte.</w:t>
      </w:r>
    </w:p>
    <w:p>
      <w:pPr>
        <w:pStyle w:val="Corpodotexto"/>
        <w:widowControl w:val="false"/>
        <w:tabs>
          <w:tab w:val="clear" w:pos="708"/>
          <w:tab w:val="left" w:pos="1701" w:leader="none"/>
        </w:tabs>
        <w:spacing w:lineRule="auto" w:line="240" w:before="4" w:after="0"/>
        <w:jc w:val="both"/>
        <w:textAlignment w:val="baseline"/>
        <w:rPr>
          <w:rFonts w:ascii="Arial" w:hAnsi="Arial" w:eastAsia="Times New Roman" w:cs="Arial"/>
          <w:b w:val="false"/>
          <w:b w:val="false"/>
          <w:bCs w:val="false"/>
          <w:lang w:eastAsia="pt-BR"/>
        </w:rPr>
      </w:pPr>
      <w:r>
        <w:rPr>
          <w:rFonts w:eastAsia="Times New Roman" w:cs="Arial" w:ascii="Arial" w:hAnsi="Arial"/>
          <w:b w:val="false"/>
          <w:bCs w:val="false"/>
          <w:lang w:eastAsia="pt-BR"/>
        </w:rPr>
      </w:r>
    </w:p>
    <w:p>
      <w:pPr>
        <w:pStyle w:val="Corpodotexto"/>
        <w:widowControl w:val="false"/>
        <w:tabs>
          <w:tab w:val="clear" w:pos="708"/>
          <w:tab w:val="left" w:pos="1701" w:leader="none"/>
        </w:tabs>
        <w:spacing w:lineRule="auto" w:line="240" w:before="4" w:after="0"/>
        <w:jc w:val="both"/>
        <w:textAlignment w:val="baseline"/>
        <w:rPr>
          <w:rFonts w:ascii="Arial" w:hAnsi="Arial" w:eastAsia="Times New Roman" w:cs="Arial"/>
          <w:b w:val="false"/>
          <w:b w:val="false"/>
          <w:bCs w:val="false"/>
          <w:lang w:eastAsia="pt-BR"/>
        </w:rPr>
      </w:pPr>
      <w:r>
        <w:rPr>
          <w:rFonts w:eastAsia="Times New Roman" w:cs="Arial" w:ascii="Arial" w:hAnsi="Arial"/>
          <w:b w:val="false"/>
          <w:bCs w:val="false"/>
          <w:color w:val="000000"/>
          <w:shd w:fill="auto" w:val="clear"/>
          <w:lang w:eastAsia="pt-BR"/>
        </w:rPr>
        <w:t xml:space="preserve">4.3. </w:t>
      </w:r>
      <w:r>
        <w:rPr>
          <w:rFonts w:eastAsia="Times New Roman" w:cs="Arial" w:ascii="Arial" w:hAnsi="Arial"/>
          <w:b w:val="false"/>
          <w:bCs w:val="false"/>
          <w:color w:val="000000"/>
          <w:shd w:fill="auto" w:val="clear"/>
          <w:lang w:eastAsia="pt-BR"/>
        </w:rPr>
        <w:t>Deverá vir impresso na Nota Fiscal o nº do Contrato, sob pena de devolução da mesma.</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Ttulo2"/>
        <w:widowControl w:val="false"/>
        <w:numPr>
          <w:ilvl w:val="1"/>
          <w:numId w:val="51"/>
        </w:numPr>
        <w:tabs>
          <w:tab w:val="clear" w:pos="708"/>
          <w:tab w:val="left" w:pos="10597" w:leader="none"/>
        </w:tabs>
        <w:spacing w:lineRule="auto" w:line="240" w:before="0" w:after="0"/>
        <w:ind w:hanging="22"/>
        <w:jc w:val="both"/>
        <w:textAlignment w:val="baseline"/>
        <w:rPr>
          <w:rFonts w:ascii="Arial" w:hAnsi="Arial" w:eastAsia="Times New Roman" w:cs="Arial"/>
          <w:color w:val="000000"/>
          <w:spacing w:val="-3"/>
          <w:sz w:val="22"/>
          <w:szCs w:val="22"/>
          <w:shd w:fill="DFDFDF" w:val="clear"/>
          <w:lang w:eastAsia="pt-BR"/>
        </w:rPr>
      </w:pPr>
      <w:r>
        <w:rPr>
          <w:rFonts w:eastAsia="Times New Roman" w:cs="Arial" w:ascii="Arial" w:hAnsi="Arial"/>
          <w:sz w:val="22"/>
          <w:szCs w:val="22"/>
          <w:shd w:fill="DFDFDF" w:val="clear"/>
          <w:lang w:eastAsia="pt-BR"/>
        </w:rPr>
        <w:t>CLÁUSULA</w:t>
      </w:r>
      <w:r>
        <w:rPr>
          <w:rFonts w:eastAsia="Times New Roman" w:cs="Arial" w:ascii="Arial" w:hAnsi="Arial"/>
          <w:spacing w:val="-4"/>
          <w:sz w:val="22"/>
          <w:szCs w:val="22"/>
          <w:shd w:fill="DFDFDF" w:val="clear"/>
          <w:lang w:eastAsia="pt-BR"/>
        </w:rPr>
        <w:t xml:space="preserve"> V</w:t>
      </w:r>
      <w:r>
        <w:rPr>
          <w:rFonts w:eastAsia="Times New Roman" w:cs="Arial" w:ascii="Arial" w:hAnsi="Arial"/>
          <w:sz w:val="22"/>
          <w:szCs w:val="22"/>
          <w:shd w:fill="DFDFDF" w:val="clear"/>
          <w:lang w:eastAsia="pt-BR"/>
        </w:rPr>
        <w:t xml:space="preserve"> </w:t>
      </w:r>
      <w:r>
        <w:rPr>
          <w:rFonts w:eastAsia="Times New Roman" w:cs="Arial" w:ascii="Arial" w:hAnsi="Arial"/>
          <w:spacing w:val="-3"/>
          <w:sz w:val="22"/>
          <w:szCs w:val="22"/>
          <w:shd w:fill="DFDFDF" w:val="clear"/>
          <w:lang w:eastAsia="pt-BR"/>
        </w:rPr>
        <w:t xml:space="preserve">– </w:t>
      </w:r>
      <w:r>
        <w:rPr>
          <w:rFonts w:eastAsia="Times New Roman" w:cs="Arial" w:ascii="Arial" w:hAnsi="Arial"/>
          <w:sz w:val="22"/>
          <w:szCs w:val="22"/>
          <w:shd w:fill="DFDFDF" w:val="clear"/>
          <w:lang w:eastAsia="pt-BR"/>
        </w:rPr>
        <w:t>D</w:t>
      </w:r>
      <w:r>
        <w:rPr>
          <w:rFonts w:eastAsia="Times New Roman" w:cs="Arial" w:ascii="Arial" w:hAnsi="Arial"/>
          <w:color w:val="000000"/>
          <w:spacing w:val="-3"/>
          <w:sz w:val="22"/>
          <w:szCs w:val="22"/>
          <w:shd w:fill="DFDFDF" w:val="clear"/>
          <w:lang w:eastAsia="pt-BR"/>
        </w:rPr>
        <w:t>AS CONDIÇÕES DE FORNECIMENTO, LOCAL E PRAZO DE ENTREGA E PAGAMENTO</w:t>
      </w:r>
    </w:p>
    <w:p>
      <w:pPr>
        <w:pStyle w:val="Corpodotexto"/>
        <w:spacing w:lineRule="auto" w:line="240" w:before="0" w:after="0"/>
        <w:rPr>
          <w:lang w:eastAsia="pt-BR"/>
        </w:rPr>
      </w:pPr>
      <w:r>
        <w:rPr>
          <w:lang w:eastAsia="pt-BR"/>
        </w:rPr>
      </w:r>
    </w:p>
    <w:p>
      <w:pPr>
        <w:pStyle w:val="Normal"/>
        <w:tabs>
          <w:tab w:val="clear" w:pos="708"/>
          <w:tab w:val="left" w:pos="0" w:leader="none"/>
        </w:tabs>
        <w:spacing w:lineRule="auto" w:line="240" w:before="0" w:after="0"/>
        <w:jc w:val="both"/>
        <w:rPr/>
      </w:pPr>
      <w:r>
        <w:rPr>
          <w:rFonts w:ascii="Arial" w:hAnsi="Arial"/>
        </w:rPr>
        <w:t xml:space="preserve">5. </w:t>
      </w:r>
      <w:r>
        <w:rPr>
          <w:rFonts w:cs="Arial" w:ascii="Arial" w:hAnsi="Arial"/>
          <w:color w:val="000000"/>
        </w:rPr>
        <w:t xml:space="preserve">Os </w:t>
      </w:r>
      <w:r>
        <w:rPr>
          <w:rFonts w:eastAsia="Calibri" w:cs="Arial" w:ascii="Arial" w:hAnsi="Arial"/>
          <w:color w:val="000000"/>
          <w:kern w:val="0"/>
          <w:sz w:val="22"/>
          <w:szCs w:val="22"/>
          <w:lang w:val="pt-BR" w:eastAsia="en-US" w:bidi="ar-SA"/>
        </w:rPr>
        <w:t>materiais</w:t>
      </w:r>
      <w:r>
        <w:rPr>
          <w:rFonts w:cs="Arial" w:ascii="Arial" w:hAnsi="Arial"/>
          <w:color w:val="000000"/>
        </w:rPr>
        <w:t xml:space="preserve"> deverão ser entregues nos locais indicados pela Secretaria solicitante, </w:t>
      </w:r>
      <w:r>
        <w:rPr>
          <w:rFonts w:cs="Arial" w:ascii="Arial" w:hAnsi="Arial"/>
          <w:b/>
          <w:bCs/>
          <w:color w:val="000000"/>
        </w:rPr>
        <w:t>no prazo máximo de 20 (vinte) dias consecutivos</w:t>
      </w:r>
      <w:r>
        <w:rPr>
          <w:rFonts w:cs="Arial" w:ascii="Arial" w:hAnsi="Arial"/>
          <w:color w:val="000000"/>
        </w:rPr>
        <w:t xml:space="preserve"> após a emissão da requisição de compra. Os </w:t>
      </w:r>
      <w:r>
        <w:rPr>
          <w:rFonts w:ascii="Arial" w:hAnsi="Arial"/>
        </w:rPr>
        <w:t xml:space="preserve">valores estimados incluem o custo do objeto/material, transporte, entrega e demais serviços necessários para o correto fornecimento dos objetos, nos locais e horários determinados pela administração. O serviço de transporte </w:t>
      </w:r>
      <w:r>
        <w:rPr>
          <w:rFonts w:eastAsia="Calibri" w:cs="Tahoma" w:ascii="Arial" w:hAnsi="Arial"/>
          <w:color w:val="auto"/>
          <w:kern w:val="0"/>
          <w:sz w:val="22"/>
          <w:szCs w:val="22"/>
          <w:lang w:val="pt-BR" w:eastAsia="en-US" w:bidi="ar-SA"/>
        </w:rPr>
        <w:t xml:space="preserve">deverá </w:t>
      </w:r>
      <w:r>
        <w:rPr>
          <w:rFonts w:ascii="Arial" w:hAnsi="Arial"/>
        </w:rPr>
        <w:t>ser prestado de acordo com a programação da Secretaria solicitante, ficando o Contratado obrigado a cumprir com o cronograma definido, que será repassado com antecedência.</w:t>
      </w:r>
    </w:p>
    <w:p>
      <w:pPr>
        <w:pStyle w:val="ListParagraph"/>
        <w:tabs>
          <w:tab w:val="clear" w:pos="708"/>
          <w:tab w:val="left" w:pos="337" w:leader="none"/>
        </w:tabs>
        <w:spacing w:lineRule="auto" w:line="240" w:before="0" w:after="0"/>
        <w:ind w:left="0" w:hanging="0"/>
        <w:contextualSpacing/>
        <w:jc w:val="both"/>
        <w:rPr/>
      </w:pPr>
      <w:r>
        <w:rPr>
          <w:rFonts w:ascii="Arial" w:hAnsi="Arial"/>
        </w:rPr>
        <w:t>5.1. O pagamento será efetuado mensalmente até o dia 15 (quinze) do mês subsequente, após a conferência dos materiais entregues.</w:t>
      </w:r>
    </w:p>
    <w:p>
      <w:pPr>
        <w:pStyle w:val="Normal"/>
        <w:widowControl w:val="false"/>
        <w:tabs>
          <w:tab w:val="clear" w:pos="708"/>
          <w:tab w:val="left" w:pos="453" w:leader="none"/>
        </w:tabs>
        <w:spacing w:lineRule="auto" w:line="240" w:before="0" w:after="0"/>
        <w:jc w:val="both"/>
        <w:textAlignment w:val="baseline"/>
        <w:rPr>
          <w:highlight w:val="yellow"/>
        </w:rPr>
      </w:pPr>
      <w:r>
        <w:rPr>
          <w:highlight w:val="yellow"/>
        </w:rPr>
      </w:r>
    </w:p>
    <w:p>
      <w:pPr>
        <w:pStyle w:val="Ttulo2"/>
        <w:widowControl w:val="false"/>
        <w:numPr>
          <w:ilvl w:val="1"/>
          <w:numId w:val="51"/>
        </w:numPr>
        <w:tabs>
          <w:tab w:val="clear" w:pos="708"/>
          <w:tab w:val="left" w:pos="10597" w:leader="none"/>
        </w:tabs>
        <w:spacing w:lineRule="auto" w:line="240" w:before="0" w:after="0"/>
        <w:ind w:hanging="22"/>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sz w:val="22"/>
          <w:szCs w:val="22"/>
          <w:shd w:fill="CCCCCC" w:val="clear"/>
          <w:lang w:eastAsia="pt-BR"/>
        </w:rPr>
        <w:t>CLÁUSULA</w:t>
      </w:r>
      <w:r>
        <w:rPr>
          <w:rFonts w:eastAsia="Times New Roman" w:cs="Arial" w:ascii="Arial" w:hAnsi="Arial"/>
          <w:bCs w:val="false"/>
          <w:spacing w:val="-4"/>
          <w:sz w:val="22"/>
          <w:szCs w:val="22"/>
          <w:shd w:fill="CCCCCC" w:val="clear"/>
          <w:lang w:eastAsia="pt-BR"/>
        </w:rPr>
        <w:t xml:space="preserve"> VI</w:t>
      </w:r>
      <w:r>
        <w:rPr>
          <w:rFonts w:eastAsia="Times New Roman" w:cs="Arial" w:ascii="Arial" w:hAnsi="Arial"/>
          <w:bCs w:val="false"/>
          <w:sz w:val="22"/>
          <w:szCs w:val="22"/>
          <w:shd w:fill="CCCCCC" w:val="clear"/>
          <w:lang w:eastAsia="pt-BR"/>
        </w:rPr>
        <w:t xml:space="preserve"> </w:t>
      </w:r>
      <w:r>
        <w:rPr>
          <w:rFonts w:eastAsia="Times New Roman" w:cs="Arial" w:ascii="Arial" w:hAnsi="Arial"/>
          <w:bCs w:val="false"/>
          <w:spacing w:val="-3"/>
          <w:sz w:val="22"/>
          <w:szCs w:val="22"/>
          <w:shd w:fill="CCCCCC" w:val="clear"/>
          <w:lang w:eastAsia="pt-BR"/>
        </w:rPr>
        <w:t xml:space="preserve">– </w:t>
      </w:r>
      <w:r>
        <w:rPr>
          <w:rFonts w:eastAsia="Times New Roman" w:cs="Arial" w:ascii="Arial" w:hAnsi="Arial"/>
          <w:bCs w:val="false"/>
          <w:color w:val="000000"/>
          <w:spacing w:val="-3"/>
          <w:sz w:val="22"/>
          <w:szCs w:val="22"/>
          <w:shd w:fill="CCCCCC" w:val="clear"/>
          <w:lang w:eastAsia="pt-BR"/>
        </w:rPr>
        <w:t>DAS PENALIDADES</w:t>
      </w:r>
    </w:p>
    <w:p>
      <w:pPr>
        <w:pStyle w:val="Corpodotexto"/>
        <w:widowControl w:val="false"/>
        <w:tabs>
          <w:tab w:val="clear" w:pos="708"/>
          <w:tab w:val="left" w:pos="10597" w:leader="none"/>
        </w:tabs>
        <w:spacing w:lineRule="auto" w:line="240" w:before="0" w:after="0"/>
        <w:textAlignment w:val="baseline"/>
        <w:rPr>
          <w:rFonts w:ascii="Arial" w:hAnsi="Arial" w:eastAsia="Times New Roman" w:cs="Arial"/>
          <w:b/>
          <w:b/>
          <w:spacing w:val="-3"/>
          <w:shd w:fill="CCCCCC" w:val="clear"/>
          <w:lang w:eastAsia="pt-BR"/>
        </w:rPr>
      </w:pPr>
      <w:r>
        <w:rPr>
          <w:rFonts w:eastAsia="Times New Roman" w:cs="Arial" w:ascii="Arial" w:hAnsi="Arial"/>
          <w:b/>
          <w:spacing w:val="-3"/>
          <w:shd w:fill="CCCCCC" w:val="clear"/>
          <w:lang w:eastAsia="pt-BR"/>
        </w:rPr>
      </w:r>
    </w:p>
    <w:p>
      <w:pPr>
        <w:pStyle w:val="ListParagraph"/>
        <w:tabs>
          <w:tab w:val="clear" w:pos="708"/>
          <w:tab w:val="left" w:pos="320" w:leader="none"/>
        </w:tabs>
        <w:spacing w:lineRule="auto" w:line="240" w:before="0" w:after="0"/>
        <w:ind w:left="0" w:hanging="0"/>
        <w:contextualSpacing/>
        <w:jc w:val="both"/>
        <w:rPr>
          <w:rFonts w:ascii="Arial" w:hAnsi="Arial"/>
        </w:rPr>
      </w:pPr>
      <w:r>
        <w:rPr>
          <w:rFonts w:ascii="Arial" w:hAnsi="Arial"/>
        </w:rPr>
        <w:t>6.</w:t>
        <w:tab/>
        <w:t>A recusa injustificada da empresa com proposta classificada na licitação e indicada para registro dos respectivos preços ensejará a aplicação das</w:t>
      </w:r>
      <w:r>
        <w:rPr>
          <w:rFonts w:ascii="Arial" w:hAnsi="Arial"/>
          <w:spacing w:val="-42"/>
        </w:rPr>
        <w:t xml:space="preserve"> </w:t>
      </w:r>
      <w:r>
        <w:rPr>
          <w:rFonts w:ascii="Arial" w:hAnsi="Arial"/>
        </w:rPr>
        <w:t>penalidades</w:t>
      </w:r>
      <w:r>
        <w:rPr>
          <w:rFonts w:ascii="Arial" w:hAnsi="Arial"/>
          <w:spacing w:val="-1"/>
        </w:rPr>
        <w:t xml:space="preserve"> </w:t>
      </w:r>
      <w:r>
        <w:rPr>
          <w:rFonts w:ascii="Arial" w:hAnsi="Arial"/>
        </w:rPr>
        <w:t>enunciadas</w:t>
      </w:r>
      <w:r>
        <w:rPr>
          <w:rFonts w:ascii="Arial" w:hAnsi="Arial"/>
          <w:spacing w:val="-1"/>
        </w:rPr>
        <w:t xml:space="preserve"> </w:t>
      </w:r>
      <w:r>
        <w:rPr>
          <w:rFonts w:ascii="Arial" w:hAnsi="Arial"/>
        </w:rPr>
        <w:t>no</w:t>
      </w:r>
      <w:r>
        <w:rPr>
          <w:rFonts w:ascii="Arial" w:hAnsi="Arial"/>
          <w:spacing w:val="-2"/>
        </w:rPr>
        <w:t xml:space="preserve"> </w:t>
      </w:r>
      <w:r>
        <w:rPr>
          <w:rFonts w:ascii="Arial" w:hAnsi="Arial"/>
        </w:rPr>
        <w:t>artigo</w:t>
      </w:r>
      <w:r>
        <w:rPr>
          <w:rFonts w:ascii="Arial" w:hAnsi="Arial"/>
          <w:spacing w:val="-1"/>
        </w:rPr>
        <w:t xml:space="preserve"> </w:t>
      </w:r>
      <w:r>
        <w:rPr>
          <w:rFonts w:ascii="Arial" w:hAnsi="Arial"/>
        </w:rPr>
        <w:t>156</w:t>
      </w:r>
      <w:r>
        <w:rPr>
          <w:rFonts w:ascii="Arial" w:hAnsi="Arial"/>
          <w:spacing w:val="-2"/>
        </w:rPr>
        <w:t xml:space="preserve"> </w:t>
      </w:r>
      <w:r>
        <w:rPr>
          <w:rFonts w:ascii="Arial" w:hAnsi="Arial"/>
        </w:rPr>
        <w:t>da</w:t>
      </w:r>
      <w:r>
        <w:rPr>
          <w:rFonts w:ascii="Arial" w:hAnsi="Arial"/>
          <w:spacing w:val="-1"/>
        </w:rPr>
        <w:t xml:space="preserve"> </w:t>
      </w:r>
      <w:r>
        <w:rPr>
          <w:rFonts w:ascii="Arial" w:hAnsi="Arial"/>
        </w:rPr>
        <w:t>Lei</w:t>
      </w:r>
      <w:r>
        <w:rPr>
          <w:rFonts w:ascii="Arial" w:hAnsi="Arial"/>
          <w:spacing w:val="-2"/>
        </w:rPr>
        <w:t xml:space="preserve"> </w:t>
      </w:r>
      <w:r>
        <w:rPr>
          <w:rFonts w:ascii="Arial" w:hAnsi="Arial"/>
        </w:rPr>
        <w:t>Federal</w:t>
      </w:r>
      <w:r>
        <w:rPr>
          <w:rFonts w:ascii="Arial" w:hAnsi="Arial"/>
          <w:spacing w:val="-1"/>
        </w:rPr>
        <w:t xml:space="preserve"> </w:t>
      </w:r>
      <w:r>
        <w:rPr>
          <w:rFonts w:ascii="Arial" w:hAnsi="Arial"/>
        </w:rPr>
        <w:t>nº.</w:t>
      </w:r>
      <w:r>
        <w:rPr>
          <w:rFonts w:ascii="Arial" w:hAnsi="Arial"/>
          <w:spacing w:val="-2"/>
        </w:rPr>
        <w:t xml:space="preserve"> </w:t>
      </w:r>
      <w:r>
        <w:rPr>
          <w:rFonts w:ascii="Arial" w:hAnsi="Arial"/>
        </w:rPr>
        <w:t>14.133/2021</w:t>
      </w:r>
      <w:r>
        <w:rPr>
          <w:rFonts w:ascii="Arial" w:hAnsi="Arial"/>
          <w:spacing w:val="-1"/>
        </w:rPr>
        <w:t xml:space="preserve"> </w:t>
      </w:r>
      <w:r>
        <w:rPr>
          <w:rFonts w:ascii="Arial" w:hAnsi="Arial"/>
        </w:rPr>
        <w:t>e</w:t>
      </w:r>
      <w:r>
        <w:rPr>
          <w:rFonts w:ascii="Arial" w:hAnsi="Arial"/>
          <w:spacing w:val="-2"/>
        </w:rPr>
        <w:t xml:space="preserve"> </w:t>
      </w:r>
      <w:r>
        <w:rPr>
          <w:rFonts w:ascii="Arial" w:hAnsi="Arial"/>
        </w:rPr>
        <w:t>alterações.</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6.1.1.</w:t>
        <w:tab/>
        <w:t>Impedimento</w:t>
      </w:r>
      <w:r>
        <w:rPr>
          <w:rFonts w:ascii="Arial" w:hAnsi="Arial"/>
          <w:spacing w:val="-5"/>
        </w:rPr>
        <w:t xml:space="preserve"> </w:t>
      </w:r>
      <w:r>
        <w:rPr>
          <w:rFonts w:ascii="Arial" w:hAnsi="Arial"/>
        </w:rPr>
        <w:t>para</w:t>
      </w:r>
      <w:r>
        <w:rPr>
          <w:rFonts w:ascii="Arial" w:hAnsi="Arial"/>
          <w:spacing w:val="-4"/>
        </w:rPr>
        <w:t xml:space="preserve"> </w:t>
      </w:r>
      <w:r>
        <w:rPr>
          <w:rFonts w:ascii="Arial" w:hAnsi="Arial"/>
        </w:rPr>
        <w:t>registro</w:t>
      </w:r>
      <w:r>
        <w:rPr>
          <w:rFonts w:ascii="Arial" w:hAnsi="Arial"/>
          <w:spacing w:val="-4"/>
        </w:rPr>
        <w:t xml:space="preserve"> </w:t>
      </w:r>
      <w:r>
        <w:rPr>
          <w:rFonts w:ascii="Arial" w:hAnsi="Arial"/>
        </w:rPr>
        <w:t>na</w:t>
      </w:r>
      <w:r>
        <w:rPr>
          <w:rFonts w:ascii="Arial" w:hAnsi="Arial"/>
          <w:spacing w:val="-4"/>
        </w:rPr>
        <w:t xml:space="preserve"> </w:t>
      </w:r>
      <w:r>
        <w:rPr>
          <w:rFonts w:ascii="Arial" w:hAnsi="Arial"/>
        </w:rPr>
        <w:t>Ata,</w:t>
      </w:r>
      <w:r>
        <w:rPr>
          <w:rFonts w:ascii="Arial" w:hAnsi="Arial"/>
          <w:spacing w:val="-4"/>
        </w:rPr>
        <w:t xml:space="preserve"> </w:t>
      </w:r>
      <w:r>
        <w:rPr>
          <w:rFonts w:ascii="Arial" w:hAnsi="Arial"/>
        </w:rPr>
        <w:t>se</w:t>
      </w:r>
      <w:r>
        <w:rPr>
          <w:rFonts w:ascii="Arial" w:hAnsi="Arial"/>
          <w:spacing w:val="-4"/>
        </w:rPr>
        <w:t xml:space="preserve"> </w:t>
      </w:r>
      <w:r>
        <w:rPr>
          <w:rFonts w:ascii="Arial" w:hAnsi="Arial"/>
        </w:rPr>
        <w:t>concluída</w:t>
      </w:r>
      <w:r>
        <w:rPr>
          <w:rFonts w:ascii="Arial" w:hAnsi="Arial"/>
          <w:spacing w:val="-4"/>
        </w:rPr>
        <w:t xml:space="preserve"> </w:t>
      </w:r>
      <w:r>
        <w:rPr>
          <w:rFonts w:ascii="Arial" w:hAnsi="Arial"/>
        </w:rPr>
        <w:t>a</w:t>
      </w:r>
      <w:r>
        <w:rPr>
          <w:rFonts w:ascii="Arial" w:hAnsi="Arial"/>
          <w:spacing w:val="-5"/>
        </w:rPr>
        <w:t xml:space="preserve"> </w:t>
      </w:r>
      <w:r>
        <w:rPr>
          <w:rFonts w:ascii="Arial" w:hAnsi="Arial"/>
        </w:rPr>
        <w:t>fase</w:t>
      </w:r>
      <w:r>
        <w:rPr>
          <w:rFonts w:ascii="Arial" w:hAnsi="Arial"/>
          <w:spacing w:val="-4"/>
        </w:rPr>
        <w:t xml:space="preserve"> </w:t>
      </w:r>
      <w:r>
        <w:rPr>
          <w:rFonts w:ascii="Arial" w:hAnsi="Arial"/>
        </w:rPr>
        <w:t>licitatória;</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6.1.2.</w:t>
        <w:tab/>
        <w:t>Cancelamento</w:t>
      </w:r>
      <w:r>
        <w:rPr>
          <w:rFonts w:ascii="Arial" w:hAnsi="Arial"/>
          <w:spacing w:val="-5"/>
        </w:rPr>
        <w:t xml:space="preserve"> </w:t>
      </w:r>
      <w:r>
        <w:rPr>
          <w:rFonts w:ascii="Arial" w:hAnsi="Arial"/>
        </w:rPr>
        <w:t>do</w:t>
      </w:r>
      <w:r>
        <w:rPr>
          <w:rFonts w:ascii="Arial" w:hAnsi="Arial"/>
          <w:spacing w:val="-4"/>
        </w:rPr>
        <w:t xml:space="preserve"> </w:t>
      </w:r>
      <w:r>
        <w:rPr>
          <w:rFonts w:ascii="Arial" w:hAnsi="Arial"/>
        </w:rPr>
        <w:t>registro</w:t>
      </w:r>
      <w:r>
        <w:rPr>
          <w:rFonts w:ascii="Arial" w:hAnsi="Arial"/>
          <w:spacing w:val="-4"/>
        </w:rPr>
        <w:t xml:space="preserve"> </w:t>
      </w:r>
      <w:r>
        <w:rPr>
          <w:rFonts w:ascii="Arial" w:hAnsi="Arial"/>
        </w:rPr>
        <w:t>na</w:t>
      </w:r>
      <w:r>
        <w:rPr>
          <w:rFonts w:ascii="Arial" w:hAnsi="Arial"/>
          <w:spacing w:val="-4"/>
        </w:rPr>
        <w:t xml:space="preserve"> </w:t>
      </w:r>
      <w:r>
        <w:rPr>
          <w:rFonts w:ascii="Arial" w:hAnsi="Arial"/>
        </w:rPr>
        <w:t>Ata;</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6.1.3.</w:t>
        <w:tab/>
        <w:t>Advertência</w:t>
      </w:r>
      <w:r>
        <w:rPr>
          <w:rFonts w:ascii="Arial" w:hAnsi="Arial"/>
          <w:spacing w:val="-7"/>
        </w:rPr>
        <w:t xml:space="preserve"> </w:t>
      </w:r>
      <w:r>
        <w:rPr>
          <w:rFonts w:ascii="Arial" w:hAnsi="Arial"/>
        </w:rPr>
        <w:t>e</w:t>
      </w:r>
      <w:r>
        <w:rPr>
          <w:rFonts w:ascii="Arial" w:hAnsi="Arial"/>
          <w:spacing w:val="-7"/>
        </w:rPr>
        <w:t xml:space="preserve"> </w:t>
      </w:r>
      <w:r>
        <w:rPr>
          <w:rFonts w:ascii="Arial" w:hAnsi="Arial"/>
        </w:rPr>
        <w:t>anotação</w:t>
      </w:r>
      <w:r>
        <w:rPr>
          <w:rFonts w:ascii="Arial" w:hAnsi="Arial"/>
          <w:spacing w:val="-6"/>
        </w:rPr>
        <w:t xml:space="preserve"> </w:t>
      </w:r>
      <w:r>
        <w:rPr>
          <w:rFonts w:ascii="Arial" w:hAnsi="Arial"/>
        </w:rPr>
        <w:t>restritiva</w:t>
      </w:r>
      <w:r>
        <w:rPr>
          <w:rFonts w:ascii="Arial" w:hAnsi="Arial"/>
          <w:spacing w:val="-7"/>
        </w:rPr>
        <w:t xml:space="preserve"> </w:t>
      </w:r>
      <w:r>
        <w:rPr>
          <w:rFonts w:ascii="Arial" w:hAnsi="Arial"/>
        </w:rPr>
        <w:t>no</w:t>
      </w:r>
      <w:r>
        <w:rPr>
          <w:rFonts w:ascii="Arial" w:hAnsi="Arial"/>
          <w:spacing w:val="-6"/>
        </w:rPr>
        <w:t xml:space="preserve"> </w:t>
      </w:r>
      <w:r>
        <w:rPr>
          <w:rFonts w:ascii="Arial" w:hAnsi="Arial"/>
        </w:rPr>
        <w:t>Cadastro</w:t>
      </w:r>
      <w:r>
        <w:rPr>
          <w:rFonts w:ascii="Arial" w:hAnsi="Arial"/>
          <w:spacing w:val="-7"/>
        </w:rPr>
        <w:t xml:space="preserve"> </w:t>
      </w:r>
      <w:r>
        <w:rPr>
          <w:rFonts w:ascii="Arial" w:hAnsi="Arial"/>
        </w:rPr>
        <w:t>de</w:t>
      </w:r>
      <w:r>
        <w:rPr>
          <w:rFonts w:ascii="Arial" w:hAnsi="Arial"/>
          <w:spacing w:val="-6"/>
        </w:rPr>
        <w:t xml:space="preserve"> </w:t>
      </w:r>
      <w:r>
        <w:rPr>
          <w:rFonts w:ascii="Arial" w:hAnsi="Arial"/>
        </w:rPr>
        <w:t>Fornecedores;</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6.1.4.</w:t>
        <w:tab/>
        <w:t>Multa</w:t>
      </w:r>
      <w:r>
        <w:rPr>
          <w:rFonts w:ascii="Arial" w:hAnsi="Arial"/>
          <w:spacing w:val="-3"/>
        </w:rPr>
        <w:t xml:space="preserve"> </w:t>
      </w:r>
      <w:r>
        <w:rPr>
          <w:rFonts w:ascii="Arial" w:hAnsi="Arial"/>
        </w:rPr>
        <w:t>de</w:t>
      </w:r>
      <w:r>
        <w:rPr>
          <w:rFonts w:ascii="Arial" w:hAnsi="Arial"/>
          <w:spacing w:val="-2"/>
        </w:rPr>
        <w:t xml:space="preserve"> </w:t>
      </w:r>
      <w:r>
        <w:rPr>
          <w:rFonts w:ascii="Arial" w:hAnsi="Arial"/>
        </w:rPr>
        <w:t>10%</w:t>
      </w:r>
      <w:r>
        <w:rPr>
          <w:rFonts w:ascii="Arial" w:hAnsi="Arial"/>
          <w:spacing w:val="-3"/>
        </w:rPr>
        <w:t xml:space="preserve"> </w:t>
      </w:r>
      <w:r>
        <w:rPr>
          <w:rFonts w:ascii="Arial" w:hAnsi="Arial"/>
        </w:rPr>
        <w:t>(dez</w:t>
      </w:r>
      <w:r>
        <w:rPr>
          <w:rFonts w:ascii="Arial" w:hAnsi="Arial"/>
          <w:spacing w:val="-2"/>
        </w:rPr>
        <w:t xml:space="preserve"> </w:t>
      </w:r>
      <w:r>
        <w:rPr>
          <w:rFonts w:ascii="Arial" w:hAnsi="Arial"/>
        </w:rPr>
        <w:t>por</w:t>
      </w:r>
      <w:r>
        <w:rPr>
          <w:rFonts w:ascii="Arial" w:hAnsi="Arial"/>
          <w:spacing w:val="-2"/>
        </w:rPr>
        <w:t xml:space="preserve"> </w:t>
      </w:r>
      <w:r>
        <w:rPr>
          <w:rFonts w:ascii="Arial" w:hAnsi="Arial"/>
        </w:rPr>
        <w:t>cento)</w:t>
      </w:r>
      <w:r>
        <w:rPr>
          <w:rFonts w:ascii="Arial" w:hAnsi="Arial"/>
          <w:spacing w:val="-3"/>
        </w:rPr>
        <w:t xml:space="preserve"> </w:t>
      </w:r>
      <w:r>
        <w:rPr>
          <w:rFonts w:ascii="Arial" w:hAnsi="Arial"/>
        </w:rPr>
        <w:t>do</w:t>
      </w:r>
      <w:r>
        <w:rPr>
          <w:rFonts w:ascii="Arial" w:hAnsi="Arial"/>
          <w:spacing w:val="-2"/>
        </w:rPr>
        <w:t xml:space="preserve"> </w:t>
      </w:r>
      <w:r>
        <w:rPr>
          <w:rFonts w:ascii="Arial" w:hAnsi="Arial"/>
        </w:rPr>
        <w:t>valor</w:t>
      </w:r>
      <w:r>
        <w:rPr>
          <w:rFonts w:ascii="Arial" w:hAnsi="Arial"/>
          <w:spacing w:val="-3"/>
        </w:rPr>
        <w:t xml:space="preserve"> </w:t>
      </w:r>
      <w:r>
        <w:rPr>
          <w:rFonts w:ascii="Arial" w:hAnsi="Arial"/>
        </w:rPr>
        <w:t>estimado</w:t>
      </w:r>
      <w:r>
        <w:rPr>
          <w:rFonts w:ascii="Arial" w:hAnsi="Arial"/>
          <w:spacing w:val="-2"/>
        </w:rPr>
        <w:t xml:space="preserve"> </w:t>
      </w:r>
      <w:r>
        <w:rPr>
          <w:rFonts w:ascii="Arial" w:hAnsi="Arial"/>
        </w:rPr>
        <w:t>da</w:t>
      </w:r>
      <w:r>
        <w:rPr>
          <w:rFonts w:ascii="Arial" w:hAnsi="Arial"/>
          <w:spacing w:val="-2"/>
        </w:rPr>
        <w:t xml:space="preserve"> </w:t>
      </w:r>
      <w:r>
        <w:rPr>
          <w:rFonts w:ascii="Arial" w:hAnsi="Arial"/>
        </w:rPr>
        <w:t>contratação;</w:t>
      </w:r>
    </w:p>
    <w:p>
      <w:pPr>
        <w:pStyle w:val="ListParagraph"/>
        <w:tabs>
          <w:tab w:val="clear" w:pos="708"/>
          <w:tab w:val="left" w:pos="567" w:leader="none"/>
        </w:tabs>
        <w:spacing w:lineRule="auto" w:line="240" w:before="0" w:after="0"/>
        <w:ind w:left="0" w:hanging="0"/>
        <w:contextualSpacing/>
        <w:jc w:val="both"/>
        <w:rPr>
          <w:rFonts w:ascii="Arial" w:hAnsi="Arial"/>
        </w:rPr>
      </w:pPr>
      <w:r>
        <w:rPr>
          <w:rFonts w:ascii="Arial" w:hAnsi="Arial"/>
        </w:rPr>
        <w:t>6.1.5.</w:t>
        <w:tab/>
        <w:tab/>
        <w:t>Suspensão</w:t>
      </w:r>
      <w:r>
        <w:rPr>
          <w:rFonts w:ascii="Arial" w:hAnsi="Arial"/>
          <w:spacing w:val="21"/>
        </w:rPr>
        <w:t xml:space="preserve"> </w:t>
      </w:r>
      <w:r>
        <w:rPr>
          <w:rFonts w:ascii="Arial" w:hAnsi="Arial"/>
        </w:rPr>
        <w:t>temporária</w:t>
      </w:r>
      <w:r>
        <w:rPr>
          <w:rFonts w:ascii="Arial" w:hAnsi="Arial"/>
          <w:spacing w:val="21"/>
        </w:rPr>
        <w:t xml:space="preserve"> </w:t>
      </w:r>
      <w:r>
        <w:rPr>
          <w:rFonts w:ascii="Arial" w:hAnsi="Arial"/>
        </w:rPr>
        <w:t>do</w:t>
      </w:r>
      <w:r>
        <w:rPr>
          <w:rFonts w:ascii="Arial" w:hAnsi="Arial"/>
          <w:spacing w:val="21"/>
        </w:rPr>
        <w:t xml:space="preserve"> </w:t>
      </w:r>
      <w:r>
        <w:rPr>
          <w:rFonts w:ascii="Arial" w:hAnsi="Arial"/>
        </w:rPr>
        <w:t>direito</w:t>
      </w:r>
      <w:r>
        <w:rPr>
          <w:rFonts w:ascii="Arial" w:hAnsi="Arial"/>
          <w:spacing w:val="21"/>
        </w:rPr>
        <w:t xml:space="preserve"> </w:t>
      </w:r>
      <w:r>
        <w:rPr>
          <w:rFonts w:ascii="Arial" w:hAnsi="Arial"/>
        </w:rPr>
        <w:t>de</w:t>
      </w:r>
      <w:r>
        <w:rPr>
          <w:rFonts w:ascii="Arial" w:hAnsi="Arial"/>
          <w:spacing w:val="21"/>
        </w:rPr>
        <w:t xml:space="preserve"> </w:t>
      </w:r>
      <w:r>
        <w:rPr>
          <w:rFonts w:ascii="Arial" w:hAnsi="Arial"/>
        </w:rPr>
        <w:t>licitar</w:t>
      </w:r>
      <w:r>
        <w:rPr>
          <w:rFonts w:ascii="Arial" w:hAnsi="Arial"/>
          <w:spacing w:val="21"/>
        </w:rPr>
        <w:t xml:space="preserve"> </w:t>
      </w:r>
      <w:r>
        <w:rPr>
          <w:rFonts w:ascii="Arial" w:hAnsi="Arial"/>
        </w:rPr>
        <w:t>ou</w:t>
      </w:r>
      <w:r>
        <w:rPr>
          <w:rFonts w:ascii="Arial" w:hAnsi="Arial"/>
          <w:spacing w:val="21"/>
        </w:rPr>
        <w:t xml:space="preserve"> </w:t>
      </w:r>
      <w:r>
        <w:rPr>
          <w:rFonts w:ascii="Arial" w:hAnsi="Arial"/>
        </w:rPr>
        <w:t>de</w:t>
      </w:r>
      <w:r>
        <w:rPr>
          <w:rFonts w:ascii="Arial" w:hAnsi="Arial"/>
          <w:spacing w:val="21"/>
        </w:rPr>
        <w:t xml:space="preserve"> </w:t>
      </w:r>
      <w:r>
        <w:rPr>
          <w:rFonts w:ascii="Arial" w:hAnsi="Arial"/>
        </w:rPr>
        <w:t>contratar</w:t>
      </w:r>
      <w:r>
        <w:rPr>
          <w:rFonts w:ascii="Arial" w:hAnsi="Arial"/>
          <w:spacing w:val="21"/>
        </w:rPr>
        <w:t xml:space="preserve"> </w:t>
      </w:r>
      <w:r>
        <w:rPr>
          <w:rFonts w:ascii="Arial" w:hAnsi="Arial"/>
        </w:rPr>
        <w:t>com</w:t>
      </w:r>
      <w:r>
        <w:rPr>
          <w:rFonts w:ascii="Arial" w:hAnsi="Arial"/>
          <w:spacing w:val="21"/>
        </w:rPr>
        <w:t xml:space="preserve"> </w:t>
      </w:r>
      <w:r>
        <w:rPr>
          <w:rFonts w:ascii="Arial" w:hAnsi="Arial"/>
        </w:rPr>
        <w:t>a</w:t>
      </w:r>
      <w:r>
        <w:rPr>
          <w:rFonts w:ascii="Arial" w:hAnsi="Arial"/>
          <w:spacing w:val="21"/>
        </w:rPr>
        <w:t xml:space="preserve"> </w:t>
      </w:r>
      <w:r>
        <w:rPr>
          <w:rFonts w:ascii="Arial" w:hAnsi="Arial"/>
        </w:rPr>
        <w:t>Administração</w:t>
      </w:r>
      <w:r>
        <w:rPr>
          <w:rFonts w:ascii="Arial" w:hAnsi="Arial"/>
          <w:spacing w:val="21"/>
        </w:rPr>
        <w:t xml:space="preserve"> </w:t>
      </w:r>
      <w:r>
        <w:rPr>
          <w:rFonts w:ascii="Arial" w:hAnsi="Arial"/>
        </w:rPr>
        <w:t>Pública,</w:t>
      </w:r>
      <w:r>
        <w:rPr>
          <w:rFonts w:ascii="Arial" w:hAnsi="Arial"/>
          <w:spacing w:val="21"/>
        </w:rPr>
        <w:t xml:space="preserve"> </w:t>
      </w:r>
      <w:r>
        <w:rPr>
          <w:rFonts w:ascii="Arial" w:hAnsi="Arial"/>
        </w:rPr>
        <w:t>pelo</w:t>
      </w:r>
      <w:r>
        <w:rPr>
          <w:rFonts w:ascii="Arial" w:hAnsi="Arial"/>
          <w:spacing w:val="22"/>
        </w:rPr>
        <w:t xml:space="preserve"> </w:t>
      </w:r>
      <w:r>
        <w:rPr>
          <w:rFonts w:ascii="Arial" w:hAnsi="Arial"/>
        </w:rPr>
        <w:t>prazo</w:t>
      </w:r>
      <w:r>
        <w:rPr>
          <w:rFonts w:ascii="Arial" w:hAnsi="Arial"/>
          <w:spacing w:val="21"/>
        </w:rPr>
        <w:t xml:space="preserve"> </w:t>
      </w:r>
      <w:r>
        <w:rPr>
          <w:rFonts w:ascii="Arial" w:hAnsi="Arial"/>
        </w:rPr>
        <w:t>de</w:t>
      </w:r>
      <w:r>
        <w:rPr>
          <w:rFonts w:ascii="Arial" w:hAnsi="Arial"/>
          <w:spacing w:val="21"/>
        </w:rPr>
        <w:t xml:space="preserve"> </w:t>
      </w:r>
      <w:r>
        <w:rPr>
          <w:rFonts w:ascii="Arial" w:hAnsi="Arial"/>
        </w:rPr>
        <w:t>até</w:t>
      </w:r>
      <w:r>
        <w:rPr>
          <w:rFonts w:ascii="Arial" w:hAnsi="Arial"/>
          <w:spacing w:val="21"/>
        </w:rPr>
        <w:t xml:space="preserve"> </w:t>
      </w:r>
      <w:r>
        <w:rPr>
          <w:rFonts w:ascii="Arial" w:hAnsi="Arial"/>
        </w:rPr>
        <w:t>05</w:t>
      </w:r>
      <w:r>
        <w:rPr>
          <w:rFonts w:ascii="Arial" w:hAnsi="Arial"/>
          <w:spacing w:val="21"/>
        </w:rPr>
        <w:t xml:space="preserve"> </w:t>
      </w:r>
      <w:r>
        <w:rPr>
          <w:rFonts w:ascii="Arial" w:hAnsi="Arial"/>
        </w:rPr>
        <w:t>(cinco)</w:t>
      </w:r>
      <w:r>
        <w:rPr>
          <w:rFonts w:ascii="Arial" w:hAnsi="Arial"/>
          <w:spacing w:val="21"/>
        </w:rPr>
        <w:t xml:space="preserve"> </w:t>
      </w:r>
      <w:r>
        <w:rPr>
          <w:rFonts w:ascii="Arial" w:hAnsi="Arial"/>
        </w:rPr>
        <w:t>anos</w:t>
      </w:r>
      <w:r>
        <w:rPr>
          <w:rFonts w:ascii="Arial" w:hAnsi="Arial"/>
          <w:spacing w:val="21"/>
        </w:rPr>
        <w:t xml:space="preserve"> </w:t>
      </w:r>
      <w:r>
        <w:rPr>
          <w:rFonts w:ascii="Arial" w:hAnsi="Arial"/>
        </w:rPr>
        <w:t>ou</w:t>
      </w:r>
      <w:r>
        <w:rPr>
          <w:rFonts w:ascii="Arial" w:hAnsi="Arial"/>
          <w:spacing w:val="21"/>
        </w:rPr>
        <w:t xml:space="preserve"> </w:t>
      </w:r>
      <w:r>
        <w:rPr>
          <w:rFonts w:ascii="Arial" w:hAnsi="Arial"/>
        </w:rPr>
        <w:t>enquanto</w:t>
      </w:r>
      <w:r>
        <w:rPr>
          <w:rFonts w:ascii="Arial" w:hAnsi="Arial"/>
          <w:spacing w:val="1"/>
        </w:rPr>
        <w:t xml:space="preserve"> </w:t>
      </w:r>
      <w:r>
        <w:rPr>
          <w:rFonts w:ascii="Arial" w:hAnsi="Arial"/>
        </w:rPr>
        <w:t>perdurarem</w:t>
      </w:r>
      <w:r>
        <w:rPr>
          <w:rFonts w:ascii="Arial" w:hAnsi="Arial"/>
          <w:spacing w:val="-4"/>
        </w:rPr>
        <w:t xml:space="preserve"> </w:t>
      </w:r>
      <w:r>
        <w:rPr>
          <w:rFonts w:ascii="Arial" w:hAnsi="Arial"/>
        </w:rPr>
        <w:t>os</w:t>
      </w:r>
      <w:r>
        <w:rPr>
          <w:rFonts w:ascii="Arial" w:hAnsi="Arial"/>
          <w:spacing w:val="-4"/>
        </w:rPr>
        <w:t xml:space="preserve"> </w:t>
      </w:r>
      <w:r>
        <w:rPr>
          <w:rFonts w:ascii="Arial" w:hAnsi="Arial"/>
        </w:rPr>
        <w:t>motivos</w:t>
      </w:r>
      <w:r>
        <w:rPr>
          <w:rFonts w:ascii="Arial" w:hAnsi="Arial"/>
          <w:spacing w:val="-4"/>
        </w:rPr>
        <w:t xml:space="preserve"> </w:t>
      </w:r>
      <w:r>
        <w:rPr>
          <w:rFonts w:ascii="Arial" w:hAnsi="Arial"/>
        </w:rPr>
        <w:t>determinantes</w:t>
      </w:r>
      <w:r>
        <w:rPr>
          <w:rFonts w:ascii="Arial" w:hAnsi="Arial"/>
          <w:spacing w:val="-4"/>
        </w:rPr>
        <w:t xml:space="preserve"> </w:t>
      </w:r>
      <w:r>
        <w:rPr>
          <w:rFonts w:ascii="Arial" w:hAnsi="Arial"/>
        </w:rPr>
        <w:t>da</w:t>
      </w:r>
      <w:r>
        <w:rPr>
          <w:rFonts w:ascii="Arial" w:hAnsi="Arial"/>
          <w:spacing w:val="-4"/>
        </w:rPr>
        <w:t xml:space="preserve"> </w:t>
      </w:r>
      <w:r>
        <w:rPr>
          <w:rFonts w:ascii="Arial" w:hAnsi="Arial"/>
        </w:rPr>
        <w:t>punição</w:t>
      </w:r>
      <w:r>
        <w:rPr>
          <w:rFonts w:ascii="Arial" w:hAnsi="Arial"/>
          <w:spacing w:val="-4"/>
        </w:rPr>
        <w:t xml:space="preserve"> </w:t>
      </w:r>
      <w:r>
        <w:rPr>
          <w:rFonts w:ascii="Arial" w:hAnsi="Arial"/>
        </w:rPr>
        <w:t>ou,</w:t>
      </w:r>
      <w:r>
        <w:rPr>
          <w:rFonts w:ascii="Arial" w:hAnsi="Arial"/>
          <w:spacing w:val="-5"/>
        </w:rPr>
        <w:t xml:space="preserve"> </w:t>
      </w:r>
      <w:r>
        <w:rPr>
          <w:rFonts w:ascii="Arial" w:hAnsi="Arial"/>
        </w:rPr>
        <w:t>ainda,</w:t>
      </w:r>
      <w:r>
        <w:rPr>
          <w:rFonts w:ascii="Arial" w:hAnsi="Arial"/>
          <w:spacing w:val="-4"/>
        </w:rPr>
        <w:t xml:space="preserve"> </w:t>
      </w:r>
      <w:r>
        <w:rPr>
          <w:rFonts w:ascii="Arial" w:hAnsi="Arial"/>
        </w:rPr>
        <w:t>até</w:t>
      </w:r>
      <w:r>
        <w:rPr>
          <w:rFonts w:ascii="Arial" w:hAnsi="Arial"/>
          <w:spacing w:val="-4"/>
        </w:rPr>
        <w:t xml:space="preserve"> </w:t>
      </w:r>
      <w:r>
        <w:rPr>
          <w:rFonts w:ascii="Arial" w:hAnsi="Arial"/>
        </w:rPr>
        <w:t>que</w:t>
      </w:r>
      <w:r>
        <w:rPr>
          <w:rFonts w:ascii="Arial" w:hAnsi="Arial"/>
          <w:spacing w:val="-4"/>
        </w:rPr>
        <w:t xml:space="preserve"> </w:t>
      </w:r>
      <w:r>
        <w:rPr>
          <w:rFonts w:ascii="Arial" w:hAnsi="Arial"/>
        </w:rPr>
        <w:t>seja</w:t>
      </w:r>
      <w:r>
        <w:rPr>
          <w:rFonts w:ascii="Arial" w:hAnsi="Arial"/>
          <w:spacing w:val="-4"/>
        </w:rPr>
        <w:t xml:space="preserve"> </w:t>
      </w:r>
      <w:r>
        <w:rPr>
          <w:rFonts w:ascii="Arial" w:hAnsi="Arial"/>
        </w:rPr>
        <w:t>promovida</w:t>
      </w:r>
      <w:r>
        <w:rPr>
          <w:rFonts w:ascii="Arial" w:hAnsi="Arial"/>
          <w:spacing w:val="-4"/>
        </w:rPr>
        <w:t xml:space="preserve"> </w:t>
      </w:r>
      <w:r>
        <w:rPr>
          <w:rFonts w:ascii="Arial" w:hAnsi="Arial"/>
        </w:rPr>
        <w:t>a</w:t>
      </w:r>
      <w:r>
        <w:rPr>
          <w:rFonts w:ascii="Arial" w:hAnsi="Arial"/>
          <w:spacing w:val="-4"/>
        </w:rPr>
        <w:t xml:space="preserve"> </w:t>
      </w:r>
      <w:r>
        <w:rPr>
          <w:rFonts w:ascii="Arial" w:hAnsi="Arial"/>
        </w:rPr>
        <w:t>reabilitação</w:t>
      </w:r>
      <w:r>
        <w:rPr>
          <w:rFonts w:ascii="Arial" w:hAnsi="Arial"/>
          <w:spacing w:val="-5"/>
        </w:rPr>
        <w:t xml:space="preserve"> </w:t>
      </w:r>
      <w:r>
        <w:rPr>
          <w:rFonts w:ascii="Arial" w:hAnsi="Arial"/>
        </w:rPr>
        <w:t>perante</w:t>
      </w:r>
      <w:r>
        <w:rPr>
          <w:rFonts w:ascii="Arial" w:hAnsi="Arial"/>
          <w:spacing w:val="-4"/>
        </w:rPr>
        <w:t xml:space="preserve"> </w:t>
      </w:r>
      <w:r>
        <w:rPr>
          <w:rFonts w:ascii="Arial" w:hAnsi="Arial"/>
        </w:rPr>
        <w:t>a</w:t>
      </w:r>
      <w:r>
        <w:rPr>
          <w:rFonts w:ascii="Arial" w:hAnsi="Arial"/>
          <w:spacing w:val="-4"/>
        </w:rPr>
        <w:t xml:space="preserve"> </w:t>
      </w:r>
      <w:r>
        <w:rPr>
          <w:rFonts w:ascii="Arial" w:hAnsi="Arial"/>
        </w:rPr>
        <w:t>autoridade</w:t>
      </w:r>
      <w:r>
        <w:rPr>
          <w:rFonts w:ascii="Arial" w:hAnsi="Arial"/>
          <w:spacing w:val="-4"/>
        </w:rPr>
        <w:t xml:space="preserve"> </w:t>
      </w:r>
      <w:r>
        <w:rPr>
          <w:rFonts w:ascii="Arial" w:hAnsi="Arial"/>
        </w:rPr>
        <w:t>que</w:t>
      </w:r>
      <w:r>
        <w:rPr>
          <w:rFonts w:ascii="Arial" w:hAnsi="Arial"/>
          <w:spacing w:val="-4"/>
        </w:rPr>
        <w:t xml:space="preserve"> </w:t>
      </w:r>
      <w:r>
        <w:rPr>
          <w:rFonts w:ascii="Arial" w:hAnsi="Arial"/>
        </w:rPr>
        <w:t>aplicou</w:t>
      </w:r>
      <w:r>
        <w:rPr>
          <w:rFonts w:ascii="Arial" w:hAnsi="Arial"/>
          <w:spacing w:val="-4"/>
        </w:rPr>
        <w:t xml:space="preserve"> </w:t>
      </w:r>
      <w:r>
        <w:rPr>
          <w:rFonts w:ascii="Arial" w:hAnsi="Arial"/>
        </w:rPr>
        <w:t>a</w:t>
      </w:r>
      <w:r>
        <w:rPr>
          <w:rFonts w:ascii="Arial" w:hAnsi="Arial"/>
          <w:spacing w:val="-4"/>
        </w:rPr>
        <w:t xml:space="preserve"> </w:t>
      </w:r>
      <w:r>
        <w:rPr>
          <w:rFonts w:ascii="Arial" w:hAnsi="Arial"/>
        </w:rPr>
        <w:t>penalidade.</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6.1.6.</w:t>
        <w:tab/>
        <w:t>Declaração</w:t>
      </w:r>
      <w:r>
        <w:rPr>
          <w:rFonts w:ascii="Arial" w:hAnsi="Arial"/>
          <w:spacing w:val="-6"/>
        </w:rPr>
        <w:t xml:space="preserve"> </w:t>
      </w:r>
      <w:r>
        <w:rPr>
          <w:rFonts w:ascii="Arial" w:hAnsi="Arial"/>
        </w:rPr>
        <w:t>de</w:t>
      </w:r>
      <w:r>
        <w:rPr>
          <w:rFonts w:ascii="Arial" w:hAnsi="Arial"/>
          <w:spacing w:val="-6"/>
        </w:rPr>
        <w:t xml:space="preserve"> </w:t>
      </w:r>
      <w:r>
        <w:rPr>
          <w:rFonts w:ascii="Arial" w:hAnsi="Arial"/>
        </w:rPr>
        <w:t>inidoneidade</w:t>
      </w:r>
      <w:r>
        <w:rPr>
          <w:rFonts w:ascii="Arial" w:hAnsi="Arial"/>
          <w:spacing w:val="-5"/>
        </w:rPr>
        <w:t xml:space="preserve"> </w:t>
      </w:r>
      <w:r>
        <w:rPr>
          <w:rFonts w:ascii="Arial" w:hAnsi="Arial"/>
        </w:rPr>
        <w:t>para</w:t>
      </w:r>
      <w:r>
        <w:rPr>
          <w:rFonts w:ascii="Arial" w:hAnsi="Arial"/>
          <w:spacing w:val="-6"/>
        </w:rPr>
        <w:t xml:space="preserve"> </w:t>
      </w:r>
      <w:r>
        <w:rPr>
          <w:rFonts w:ascii="Arial" w:hAnsi="Arial"/>
        </w:rPr>
        <w:t>licitar</w:t>
      </w:r>
      <w:r>
        <w:rPr>
          <w:rFonts w:ascii="Arial" w:hAnsi="Arial"/>
          <w:spacing w:val="-5"/>
        </w:rPr>
        <w:t xml:space="preserve"> </w:t>
      </w:r>
      <w:r>
        <w:rPr>
          <w:rFonts w:ascii="Arial" w:hAnsi="Arial"/>
        </w:rPr>
        <w:t>ou</w:t>
      </w:r>
      <w:r>
        <w:rPr>
          <w:rFonts w:ascii="Arial" w:hAnsi="Arial"/>
          <w:spacing w:val="-6"/>
        </w:rPr>
        <w:t xml:space="preserve"> </w:t>
      </w:r>
      <w:r>
        <w:rPr>
          <w:rFonts w:ascii="Arial" w:hAnsi="Arial"/>
        </w:rPr>
        <w:t>contratar</w:t>
      </w:r>
      <w:r>
        <w:rPr>
          <w:rFonts w:ascii="Arial" w:hAnsi="Arial"/>
          <w:spacing w:val="-5"/>
        </w:rPr>
        <w:t xml:space="preserve"> </w:t>
      </w:r>
      <w:r>
        <w:rPr>
          <w:rFonts w:ascii="Arial" w:hAnsi="Arial"/>
        </w:rPr>
        <w:t>com</w:t>
      </w:r>
      <w:r>
        <w:rPr>
          <w:rFonts w:ascii="Arial" w:hAnsi="Arial"/>
          <w:spacing w:val="-6"/>
        </w:rPr>
        <w:t xml:space="preserve"> </w:t>
      </w:r>
      <w:r>
        <w:rPr>
          <w:rFonts w:ascii="Arial" w:hAnsi="Arial"/>
        </w:rPr>
        <w:t>a</w:t>
      </w:r>
      <w:r>
        <w:rPr>
          <w:rFonts w:ascii="Arial" w:hAnsi="Arial"/>
          <w:spacing w:val="-5"/>
        </w:rPr>
        <w:t xml:space="preserve"> </w:t>
      </w:r>
      <w:r>
        <w:rPr>
          <w:rFonts w:ascii="Arial" w:hAnsi="Arial"/>
        </w:rPr>
        <w:t>Administração</w:t>
      </w:r>
      <w:r>
        <w:rPr>
          <w:rFonts w:ascii="Arial" w:hAnsi="Arial"/>
          <w:spacing w:val="-6"/>
        </w:rPr>
        <w:t xml:space="preserve"> </w:t>
      </w:r>
      <w:r>
        <w:rPr>
          <w:rFonts w:ascii="Arial" w:hAnsi="Arial"/>
        </w:rPr>
        <w:t>Pública.</w:t>
      </w:r>
    </w:p>
    <w:p>
      <w:pPr>
        <w:pStyle w:val="ListParagraph"/>
        <w:tabs>
          <w:tab w:val="clear" w:pos="708"/>
          <w:tab w:val="left" w:pos="410" w:leader="none"/>
        </w:tabs>
        <w:spacing w:lineRule="auto" w:line="240" w:before="0" w:after="0"/>
        <w:ind w:left="0" w:hanging="0"/>
        <w:contextualSpacing/>
        <w:jc w:val="both"/>
        <w:rPr>
          <w:rFonts w:ascii="Arial" w:hAnsi="Arial"/>
        </w:rPr>
      </w:pPr>
      <w:r>
        <w:rPr>
          <w:rFonts w:ascii="Arial" w:hAnsi="Arial"/>
        </w:rPr>
        <w:t>6.2.</w:t>
        <w:tab/>
        <w:tab/>
        <w:t>A aplicação das penalidades ocorrerá depois de defesa prévia do interessado, no prazo estabelecido na Lei de Licitações, a contar da intimação</w:t>
      </w:r>
      <w:r>
        <w:rPr>
          <w:rFonts w:ascii="Arial" w:hAnsi="Arial"/>
          <w:spacing w:val="-42"/>
        </w:rPr>
        <w:t xml:space="preserve"> </w:t>
      </w:r>
      <w:r>
        <w:rPr>
          <w:rFonts w:ascii="Arial" w:hAnsi="Arial"/>
        </w:rPr>
        <w:t>do</w:t>
      </w:r>
      <w:r>
        <w:rPr>
          <w:rFonts w:ascii="Arial" w:hAnsi="Arial"/>
          <w:spacing w:val="-2"/>
        </w:rPr>
        <w:t xml:space="preserve"> </w:t>
      </w:r>
      <w:r>
        <w:rPr>
          <w:rFonts w:ascii="Arial" w:hAnsi="Arial"/>
        </w:rPr>
        <w:t>ato.</w:t>
      </w:r>
    </w:p>
    <w:p>
      <w:pPr>
        <w:pStyle w:val="ListParagraph"/>
        <w:tabs>
          <w:tab w:val="clear" w:pos="708"/>
          <w:tab w:val="left" w:pos="409" w:leader="none"/>
        </w:tabs>
        <w:spacing w:lineRule="auto" w:line="240" w:before="0" w:after="0"/>
        <w:ind w:left="0" w:hanging="0"/>
        <w:contextualSpacing/>
        <w:jc w:val="both"/>
        <w:rPr>
          <w:rFonts w:ascii="Arial" w:hAnsi="Arial"/>
        </w:rPr>
      </w:pPr>
      <w:r>
        <w:rPr>
          <w:rFonts w:ascii="Arial" w:hAnsi="Arial"/>
        </w:rPr>
        <w:t>6.3.</w:t>
        <w:tab/>
        <w:tab/>
        <w:t>Não</w:t>
      </w:r>
      <w:r>
        <w:rPr>
          <w:rFonts w:ascii="Arial" w:hAnsi="Arial"/>
          <w:spacing w:val="-4"/>
        </w:rPr>
        <w:t xml:space="preserve"> </w:t>
      </w:r>
      <w:r>
        <w:rPr>
          <w:rFonts w:ascii="Arial" w:hAnsi="Arial"/>
        </w:rPr>
        <w:t>será</w:t>
      </w:r>
      <w:r>
        <w:rPr>
          <w:rFonts w:ascii="Arial" w:hAnsi="Arial"/>
          <w:spacing w:val="-3"/>
        </w:rPr>
        <w:t xml:space="preserve"> </w:t>
      </w:r>
      <w:r>
        <w:rPr>
          <w:rFonts w:ascii="Arial" w:hAnsi="Arial"/>
        </w:rPr>
        <w:t>aplicada</w:t>
      </w:r>
      <w:r>
        <w:rPr>
          <w:rFonts w:ascii="Arial" w:hAnsi="Arial"/>
          <w:spacing w:val="-3"/>
        </w:rPr>
        <w:t xml:space="preserve"> </w:t>
      </w:r>
      <w:r>
        <w:rPr>
          <w:rFonts w:ascii="Arial" w:hAnsi="Arial"/>
        </w:rPr>
        <w:t>multa</w:t>
      </w:r>
      <w:r>
        <w:rPr>
          <w:rFonts w:ascii="Arial" w:hAnsi="Arial"/>
          <w:spacing w:val="-4"/>
        </w:rPr>
        <w:t xml:space="preserve"> </w:t>
      </w:r>
      <w:r>
        <w:rPr>
          <w:rFonts w:ascii="Arial" w:hAnsi="Arial"/>
        </w:rPr>
        <w:t>se,</w:t>
      </w:r>
      <w:r>
        <w:rPr>
          <w:rFonts w:ascii="Arial" w:hAnsi="Arial"/>
          <w:spacing w:val="-3"/>
        </w:rPr>
        <w:t xml:space="preserve"> </w:t>
      </w:r>
      <w:r>
        <w:rPr>
          <w:rFonts w:ascii="Arial" w:hAnsi="Arial"/>
        </w:rPr>
        <w:t>comprovadamente,</w:t>
      </w:r>
      <w:r>
        <w:rPr>
          <w:rFonts w:ascii="Arial" w:hAnsi="Arial"/>
          <w:spacing w:val="-3"/>
        </w:rPr>
        <w:t xml:space="preserve"> </w:t>
      </w:r>
      <w:r>
        <w:rPr>
          <w:rFonts w:ascii="Arial" w:hAnsi="Arial"/>
        </w:rPr>
        <w:t>o</w:t>
      </w:r>
      <w:r>
        <w:rPr>
          <w:rFonts w:ascii="Arial" w:hAnsi="Arial"/>
          <w:spacing w:val="-4"/>
        </w:rPr>
        <w:t xml:space="preserve"> </w:t>
      </w:r>
      <w:r>
        <w:rPr>
          <w:rFonts w:ascii="Arial" w:hAnsi="Arial"/>
        </w:rPr>
        <w:t>atraso</w:t>
      </w:r>
      <w:r>
        <w:rPr>
          <w:rFonts w:ascii="Arial" w:hAnsi="Arial"/>
          <w:spacing w:val="-3"/>
        </w:rPr>
        <w:t xml:space="preserve"> </w:t>
      </w:r>
      <w:r>
        <w:rPr>
          <w:rFonts w:ascii="Arial" w:hAnsi="Arial"/>
        </w:rPr>
        <w:t>do</w:t>
      </w:r>
      <w:r>
        <w:rPr>
          <w:rFonts w:ascii="Arial" w:hAnsi="Arial"/>
          <w:spacing w:val="-3"/>
        </w:rPr>
        <w:t xml:space="preserve"> </w:t>
      </w:r>
      <w:r>
        <w:rPr>
          <w:rFonts w:ascii="Arial" w:hAnsi="Arial"/>
        </w:rPr>
        <w:t>atendimento,</w:t>
      </w:r>
      <w:r>
        <w:rPr>
          <w:rFonts w:ascii="Arial" w:hAnsi="Arial"/>
          <w:spacing w:val="-3"/>
        </w:rPr>
        <w:t xml:space="preserve"> </w:t>
      </w:r>
      <w:r>
        <w:rPr>
          <w:rFonts w:ascii="Arial" w:hAnsi="Arial"/>
        </w:rPr>
        <w:t>advir</w:t>
      </w:r>
      <w:r>
        <w:rPr>
          <w:rFonts w:ascii="Arial" w:hAnsi="Arial"/>
          <w:spacing w:val="-4"/>
        </w:rPr>
        <w:t xml:space="preserve"> </w:t>
      </w:r>
      <w:r>
        <w:rPr>
          <w:rFonts w:ascii="Arial" w:hAnsi="Arial"/>
        </w:rPr>
        <w:t>de</w:t>
      </w:r>
      <w:r>
        <w:rPr>
          <w:rFonts w:ascii="Arial" w:hAnsi="Arial"/>
          <w:spacing w:val="-3"/>
        </w:rPr>
        <w:t xml:space="preserve"> </w:t>
      </w:r>
      <w:r>
        <w:rPr>
          <w:rFonts w:ascii="Arial" w:hAnsi="Arial"/>
        </w:rPr>
        <w:t>caso</w:t>
      </w:r>
      <w:r>
        <w:rPr>
          <w:rFonts w:ascii="Arial" w:hAnsi="Arial"/>
          <w:spacing w:val="-3"/>
        </w:rPr>
        <w:t xml:space="preserve"> </w:t>
      </w:r>
      <w:r>
        <w:rPr>
          <w:rFonts w:ascii="Arial" w:hAnsi="Arial"/>
        </w:rPr>
        <w:t>fortuito</w:t>
      </w:r>
      <w:r>
        <w:rPr>
          <w:rFonts w:ascii="Arial" w:hAnsi="Arial"/>
          <w:spacing w:val="-4"/>
        </w:rPr>
        <w:t xml:space="preserve"> </w:t>
      </w:r>
      <w:r>
        <w:rPr>
          <w:rFonts w:ascii="Arial" w:hAnsi="Arial"/>
        </w:rPr>
        <w:t>ou</w:t>
      </w:r>
      <w:r>
        <w:rPr>
          <w:rFonts w:ascii="Arial" w:hAnsi="Arial"/>
          <w:spacing w:val="-3"/>
        </w:rPr>
        <w:t xml:space="preserve"> </w:t>
      </w:r>
      <w:r>
        <w:rPr>
          <w:rFonts w:ascii="Arial" w:hAnsi="Arial"/>
        </w:rPr>
        <w:t>motivo</w:t>
      </w:r>
      <w:r>
        <w:rPr>
          <w:rFonts w:ascii="Arial" w:hAnsi="Arial"/>
          <w:spacing w:val="-3"/>
        </w:rPr>
        <w:t xml:space="preserve"> </w:t>
      </w:r>
      <w:r>
        <w:rPr>
          <w:rFonts w:ascii="Arial" w:hAnsi="Arial"/>
        </w:rPr>
        <w:t>de</w:t>
      </w:r>
      <w:r>
        <w:rPr>
          <w:rFonts w:ascii="Arial" w:hAnsi="Arial"/>
          <w:spacing w:val="-3"/>
        </w:rPr>
        <w:t xml:space="preserve"> </w:t>
      </w:r>
      <w:r>
        <w:rPr>
          <w:rFonts w:ascii="Arial" w:hAnsi="Arial"/>
        </w:rPr>
        <w:t>força</w:t>
      </w:r>
      <w:r>
        <w:rPr>
          <w:rFonts w:ascii="Arial" w:hAnsi="Arial"/>
          <w:spacing w:val="-4"/>
        </w:rPr>
        <w:t xml:space="preserve"> </w:t>
      </w:r>
      <w:r>
        <w:rPr>
          <w:rFonts w:ascii="Arial" w:hAnsi="Arial"/>
        </w:rPr>
        <w:t>maior.</w:t>
      </w:r>
    </w:p>
    <w:p>
      <w:pPr>
        <w:pStyle w:val="ListParagraph"/>
        <w:tabs>
          <w:tab w:val="clear" w:pos="708"/>
          <w:tab w:val="left" w:pos="424" w:leader="none"/>
        </w:tabs>
        <w:spacing w:lineRule="auto" w:line="240" w:before="0" w:after="0"/>
        <w:ind w:left="0" w:hanging="0"/>
        <w:contextualSpacing/>
        <w:jc w:val="both"/>
        <w:rPr>
          <w:rFonts w:ascii="Arial" w:hAnsi="Arial"/>
        </w:rPr>
      </w:pPr>
      <w:r>
        <w:rPr>
          <w:rFonts w:ascii="Arial" w:hAnsi="Arial"/>
        </w:rPr>
        <w:t>6.4.</w:t>
        <w:tab/>
        <w:tab/>
        <w:t>O descumprimento total ou parcial das obrigações assumidas pelo fornecedor no momento da execução da Ata de Registro de Preços, sem</w:t>
      </w:r>
      <w:r>
        <w:rPr>
          <w:rFonts w:ascii="Arial" w:hAnsi="Arial"/>
          <w:spacing w:val="1"/>
        </w:rPr>
        <w:t xml:space="preserve"> </w:t>
      </w:r>
      <w:r>
        <w:rPr>
          <w:rFonts w:ascii="Arial" w:hAnsi="Arial"/>
        </w:rPr>
        <w:t>justificativa</w:t>
      </w:r>
      <w:r>
        <w:rPr>
          <w:rFonts w:ascii="Arial" w:hAnsi="Arial"/>
          <w:spacing w:val="1"/>
        </w:rPr>
        <w:t xml:space="preserve"> </w:t>
      </w:r>
      <w:r>
        <w:rPr>
          <w:rFonts w:ascii="Arial" w:hAnsi="Arial"/>
        </w:rPr>
        <w:t>aceita</w:t>
      </w:r>
      <w:r>
        <w:rPr>
          <w:rFonts w:ascii="Arial" w:hAnsi="Arial"/>
          <w:spacing w:val="1"/>
        </w:rPr>
        <w:t xml:space="preserve"> </w:t>
      </w:r>
      <w:r>
        <w:rPr>
          <w:rFonts w:ascii="Arial" w:hAnsi="Arial"/>
        </w:rPr>
        <w:t>pelo</w:t>
      </w:r>
      <w:r>
        <w:rPr>
          <w:rFonts w:ascii="Arial" w:hAnsi="Arial"/>
          <w:spacing w:val="1"/>
        </w:rPr>
        <w:t xml:space="preserve"> </w:t>
      </w:r>
      <w:r>
        <w:rPr>
          <w:rFonts w:ascii="Arial" w:hAnsi="Arial"/>
        </w:rPr>
        <w:t>órgão</w:t>
      </w:r>
      <w:r>
        <w:rPr>
          <w:rFonts w:ascii="Arial" w:hAnsi="Arial"/>
          <w:spacing w:val="1"/>
        </w:rPr>
        <w:t xml:space="preserve"> </w:t>
      </w:r>
      <w:r>
        <w:rPr>
          <w:rFonts w:ascii="Arial" w:hAnsi="Arial"/>
        </w:rPr>
        <w:t>ou</w:t>
      </w:r>
      <w:r>
        <w:rPr>
          <w:rFonts w:ascii="Arial" w:hAnsi="Arial"/>
          <w:spacing w:val="1"/>
        </w:rPr>
        <w:t xml:space="preserve"> </w:t>
      </w:r>
      <w:r>
        <w:rPr>
          <w:rFonts w:ascii="Arial" w:hAnsi="Arial"/>
        </w:rPr>
        <w:t>entidade</w:t>
      </w:r>
      <w:r>
        <w:rPr>
          <w:rFonts w:ascii="Arial" w:hAnsi="Arial"/>
          <w:spacing w:val="1"/>
        </w:rPr>
        <w:t xml:space="preserve"> </w:t>
      </w:r>
      <w:r>
        <w:rPr>
          <w:rFonts w:ascii="Arial" w:hAnsi="Arial"/>
        </w:rPr>
        <w:t>usuária,</w:t>
      </w:r>
      <w:r>
        <w:rPr>
          <w:rFonts w:ascii="Arial" w:hAnsi="Arial"/>
          <w:spacing w:val="1"/>
        </w:rPr>
        <w:t xml:space="preserve"> </w:t>
      </w:r>
      <w:r>
        <w:rPr>
          <w:rFonts w:ascii="Arial" w:hAnsi="Arial"/>
        </w:rPr>
        <w:t>resguardados</w:t>
      </w:r>
      <w:r>
        <w:rPr>
          <w:rFonts w:ascii="Arial" w:hAnsi="Arial"/>
          <w:spacing w:val="1"/>
        </w:rPr>
        <w:t xml:space="preserve"> </w:t>
      </w:r>
      <w:r>
        <w:rPr>
          <w:rFonts w:ascii="Arial" w:hAnsi="Arial"/>
        </w:rPr>
        <w:t>os</w:t>
      </w:r>
      <w:r>
        <w:rPr>
          <w:rFonts w:ascii="Arial" w:hAnsi="Arial"/>
          <w:spacing w:val="1"/>
        </w:rPr>
        <w:t xml:space="preserve"> </w:t>
      </w:r>
      <w:r>
        <w:rPr>
          <w:rFonts w:ascii="Arial" w:hAnsi="Arial"/>
        </w:rPr>
        <w:t>procedimentos</w:t>
      </w:r>
      <w:r>
        <w:rPr>
          <w:rFonts w:ascii="Arial" w:hAnsi="Arial"/>
          <w:spacing w:val="1"/>
        </w:rPr>
        <w:t xml:space="preserve"> </w:t>
      </w:r>
      <w:r>
        <w:rPr>
          <w:rFonts w:ascii="Arial" w:hAnsi="Arial"/>
        </w:rPr>
        <w:t>legais</w:t>
      </w:r>
      <w:r>
        <w:rPr>
          <w:rFonts w:ascii="Arial" w:hAnsi="Arial"/>
          <w:spacing w:val="1"/>
        </w:rPr>
        <w:t xml:space="preserve"> </w:t>
      </w:r>
      <w:r>
        <w:rPr>
          <w:rFonts w:ascii="Arial" w:hAnsi="Arial"/>
        </w:rPr>
        <w:t>pertinentes,</w:t>
      </w:r>
      <w:r>
        <w:rPr>
          <w:rFonts w:ascii="Arial" w:hAnsi="Arial"/>
          <w:spacing w:val="1"/>
        </w:rPr>
        <w:t xml:space="preserve"> </w:t>
      </w:r>
      <w:r>
        <w:rPr>
          <w:rFonts w:ascii="Arial" w:hAnsi="Arial"/>
        </w:rPr>
        <w:t>poderá</w:t>
      </w:r>
      <w:r>
        <w:rPr>
          <w:rFonts w:ascii="Arial" w:hAnsi="Arial"/>
          <w:spacing w:val="1"/>
        </w:rPr>
        <w:t xml:space="preserve"> </w:t>
      </w:r>
      <w:r>
        <w:rPr>
          <w:rFonts w:ascii="Arial" w:hAnsi="Arial"/>
        </w:rPr>
        <w:t>acarretar,</w:t>
      </w:r>
      <w:r>
        <w:rPr>
          <w:rFonts w:ascii="Arial" w:hAnsi="Arial"/>
          <w:spacing w:val="1"/>
        </w:rPr>
        <w:t xml:space="preserve"> </w:t>
      </w:r>
      <w:r>
        <w:rPr>
          <w:rFonts w:ascii="Arial" w:hAnsi="Arial"/>
        </w:rPr>
        <w:t>isolada</w:t>
      </w:r>
      <w:r>
        <w:rPr>
          <w:rFonts w:ascii="Arial" w:hAnsi="Arial"/>
          <w:spacing w:val="44"/>
        </w:rPr>
        <w:t xml:space="preserve"> </w:t>
      </w:r>
      <w:r>
        <w:rPr>
          <w:rFonts w:ascii="Arial" w:hAnsi="Arial"/>
        </w:rPr>
        <w:t>ou</w:t>
      </w:r>
      <w:r>
        <w:rPr>
          <w:rFonts w:ascii="Arial" w:hAnsi="Arial"/>
          <w:spacing w:val="1"/>
        </w:rPr>
        <w:t xml:space="preserve"> </w:t>
      </w:r>
      <w:r>
        <w:rPr>
          <w:rFonts w:ascii="Arial" w:hAnsi="Arial"/>
        </w:rPr>
        <w:t>cumulativamente,</w:t>
      </w:r>
      <w:r>
        <w:rPr>
          <w:rFonts w:ascii="Arial" w:hAnsi="Arial"/>
          <w:spacing w:val="-2"/>
        </w:rPr>
        <w:t xml:space="preserve"> </w:t>
      </w:r>
      <w:r>
        <w:rPr>
          <w:rFonts w:ascii="Arial" w:hAnsi="Arial"/>
        </w:rPr>
        <w:t>nas</w:t>
      </w:r>
      <w:r>
        <w:rPr>
          <w:rFonts w:ascii="Arial" w:hAnsi="Arial"/>
          <w:spacing w:val="-1"/>
        </w:rPr>
        <w:t xml:space="preserve"> </w:t>
      </w:r>
      <w:r>
        <w:rPr>
          <w:rFonts w:ascii="Arial" w:hAnsi="Arial"/>
        </w:rPr>
        <w:t>seguintes</w:t>
      </w:r>
      <w:r>
        <w:rPr>
          <w:rFonts w:ascii="Arial" w:hAnsi="Arial"/>
          <w:spacing w:val="-1"/>
        </w:rPr>
        <w:t xml:space="preserve"> </w:t>
      </w:r>
      <w:r>
        <w:rPr>
          <w:rFonts w:ascii="Arial" w:hAnsi="Arial"/>
        </w:rPr>
        <w:t>sanções:</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6.4.1.</w:t>
        <w:tab/>
        <w:t>Advertência;</w:t>
      </w:r>
    </w:p>
    <w:p>
      <w:pPr>
        <w:pStyle w:val="ListParagraph"/>
        <w:tabs>
          <w:tab w:val="clear" w:pos="708"/>
          <w:tab w:val="left" w:pos="548" w:leader="none"/>
        </w:tabs>
        <w:spacing w:lineRule="auto" w:line="240" w:before="0" w:after="0"/>
        <w:ind w:left="0" w:hanging="0"/>
        <w:contextualSpacing/>
        <w:jc w:val="both"/>
        <w:rPr>
          <w:rFonts w:ascii="Arial" w:hAnsi="Arial"/>
        </w:rPr>
      </w:pPr>
      <w:r>
        <w:rPr>
          <w:rFonts w:ascii="Arial" w:hAnsi="Arial"/>
        </w:rPr>
        <w:t>6.4.2.</w:t>
        <w:tab/>
        <w:t>Multa de 10% (dez por cento) sobre o valor estimado total do contrato/</w:t>
      </w:r>
      <w:r>
        <w:rPr>
          <w:rFonts w:cs="Arial" w:ascii="Arial" w:hAnsi="Arial"/>
        </w:rPr>
        <w:t>ata de registro de preços</w:t>
      </w:r>
      <w:r>
        <w:rPr>
          <w:rFonts w:ascii="Arial" w:hAnsi="Arial"/>
        </w:rPr>
        <w:t>, em caso de recusa do 1.º colocada de cada item em assinar a Ata de</w:t>
      </w:r>
      <w:r>
        <w:rPr>
          <w:rFonts w:ascii="Arial" w:hAnsi="Arial"/>
          <w:spacing w:val="1"/>
        </w:rPr>
        <w:t xml:space="preserve"> </w:t>
      </w:r>
      <w:r>
        <w:rPr>
          <w:rFonts w:ascii="Arial" w:hAnsi="Arial"/>
        </w:rPr>
        <w:t>Registro</w:t>
      </w:r>
      <w:r>
        <w:rPr>
          <w:rFonts w:ascii="Arial" w:hAnsi="Arial"/>
          <w:spacing w:val="-2"/>
        </w:rPr>
        <w:t xml:space="preserve"> </w:t>
      </w:r>
      <w:r>
        <w:rPr>
          <w:rFonts w:ascii="Arial" w:hAnsi="Arial"/>
        </w:rPr>
        <w:t>de</w:t>
      </w:r>
      <w:r>
        <w:rPr>
          <w:rFonts w:ascii="Arial" w:hAnsi="Arial"/>
          <w:spacing w:val="-1"/>
        </w:rPr>
        <w:t xml:space="preserve"> </w:t>
      </w:r>
      <w:r>
        <w:rPr>
          <w:rFonts w:ascii="Arial" w:hAnsi="Arial"/>
        </w:rPr>
        <w:t>Preços.</w:t>
      </w:r>
    </w:p>
    <w:p>
      <w:pPr>
        <w:pStyle w:val="ListParagraph"/>
        <w:tabs>
          <w:tab w:val="clear" w:pos="708"/>
          <w:tab w:val="left" w:pos="546" w:leader="none"/>
        </w:tabs>
        <w:spacing w:lineRule="auto" w:line="240" w:before="0" w:after="0"/>
        <w:ind w:left="0" w:hanging="0"/>
        <w:contextualSpacing/>
        <w:jc w:val="both"/>
        <w:rPr>
          <w:rFonts w:ascii="Arial" w:hAnsi="Arial"/>
        </w:rPr>
      </w:pPr>
      <w:r>
        <w:rPr>
          <w:rFonts w:ascii="Arial" w:hAnsi="Arial"/>
        </w:rPr>
        <w:t>6.4.3.</w:t>
        <w:tab/>
        <w:t>Multa de 10% (dez por cento) por dia de inadimplência, até o trigésimo dia de fornecimento incompleto ou em atraso, incidentes sobre o valor</w:t>
      </w:r>
      <w:r>
        <w:rPr>
          <w:rFonts w:ascii="Arial" w:hAnsi="Arial"/>
          <w:spacing w:val="1"/>
        </w:rPr>
        <w:t xml:space="preserve"> </w:t>
      </w:r>
      <w:r>
        <w:rPr>
          <w:rFonts w:ascii="Arial" w:hAnsi="Arial"/>
        </w:rPr>
        <w:t>estimado</w:t>
      </w:r>
      <w:r>
        <w:rPr>
          <w:rFonts w:ascii="Arial" w:hAnsi="Arial"/>
          <w:spacing w:val="-2"/>
        </w:rPr>
        <w:t xml:space="preserve"> </w:t>
      </w:r>
      <w:r>
        <w:rPr>
          <w:rFonts w:ascii="Arial" w:hAnsi="Arial"/>
        </w:rPr>
        <w:t>mensal</w:t>
      </w:r>
      <w:r>
        <w:rPr>
          <w:rFonts w:ascii="Arial" w:hAnsi="Arial"/>
          <w:spacing w:val="-2"/>
        </w:rPr>
        <w:t xml:space="preserve"> </w:t>
      </w:r>
      <w:r>
        <w:rPr>
          <w:rFonts w:ascii="Arial" w:hAnsi="Arial"/>
        </w:rPr>
        <w:t>da</w:t>
      </w:r>
      <w:r>
        <w:rPr>
          <w:rFonts w:ascii="Arial" w:hAnsi="Arial"/>
          <w:spacing w:val="-2"/>
        </w:rPr>
        <w:t xml:space="preserve"> </w:t>
      </w:r>
      <w:r>
        <w:rPr>
          <w:rFonts w:ascii="Arial" w:hAnsi="Arial"/>
        </w:rPr>
        <w:t>contratação,</w:t>
      </w:r>
      <w:r>
        <w:rPr>
          <w:rFonts w:ascii="Arial" w:hAnsi="Arial"/>
          <w:spacing w:val="-1"/>
        </w:rPr>
        <w:t xml:space="preserve"> </w:t>
      </w:r>
      <w:r>
        <w:rPr>
          <w:rFonts w:ascii="Arial" w:hAnsi="Arial"/>
        </w:rPr>
        <w:t>além</w:t>
      </w:r>
      <w:r>
        <w:rPr>
          <w:rFonts w:ascii="Arial" w:hAnsi="Arial"/>
          <w:spacing w:val="-2"/>
        </w:rPr>
        <w:t xml:space="preserve"> </w:t>
      </w:r>
      <w:r>
        <w:rPr>
          <w:rFonts w:ascii="Arial" w:hAnsi="Arial"/>
        </w:rPr>
        <w:t>do</w:t>
      </w:r>
      <w:r>
        <w:rPr>
          <w:rFonts w:ascii="Arial" w:hAnsi="Arial"/>
          <w:spacing w:val="-2"/>
        </w:rPr>
        <w:t xml:space="preserve"> </w:t>
      </w:r>
      <w:r>
        <w:rPr>
          <w:rFonts w:ascii="Arial" w:hAnsi="Arial"/>
        </w:rPr>
        <w:t>desconto</w:t>
      </w:r>
      <w:r>
        <w:rPr>
          <w:rFonts w:ascii="Arial" w:hAnsi="Arial"/>
          <w:spacing w:val="-1"/>
        </w:rPr>
        <w:t xml:space="preserve"> </w:t>
      </w:r>
      <w:r>
        <w:rPr>
          <w:rFonts w:ascii="Arial" w:hAnsi="Arial"/>
        </w:rPr>
        <w:t>do</w:t>
      </w:r>
      <w:r>
        <w:rPr>
          <w:rFonts w:ascii="Arial" w:hAnsi="Arial"/>
          <w:spacing w:val="-2"/>
        </w:rPr>
        <w:t xml:space="preserve"> </w:t>
      </w:r>
      <w:r>
        <w:rPr>
          <w:rFonts w:ascii="Arial" w:hAnsi="Arial"/>
        </w:rPr>
        <w:t>valor</w:t>
      </w:r>
      <w:r>
        <w:rPr>
          <w:rFonts w:ascii="Arial" w:hAnsi="Arial"/>
          <w:spacing w:val="-2"/>
        </w:rPr>
        <w:t xml:space="preserve"> </w:t>
      </w:r>
      <w:r>
        <w:rPr>
          <w:rFonts w:ascii="Arial" w:hAnsi="Arial"/>
        </w:rPr>
        <w:t>correspondente</w:t>
      </w:r>
      <w:r>
        <w:rPr>
          <w:rFonts w:ascii="Arial" w:hAnsi="Arial"/>
          <w:spacing w:val="-1"/>
        </w:rPr>
        <w:t xml:space="preserve"> </w:t>
      </w:r>
      <w:r>
        <w:rPr>
          <w:rFonts w:ascii="Arial" w:hAnsi="Arial"/>
        </w:rPr>
        <w:t>ao</w:t>
      </w:r>
      <w:r>
        <w:rPr>
          <w:rFonts w:ascii="Arial" w:hAnsi="Arial"/>
          <w:spacing w:val="-2"/>
        </w:rPr>
        <w:t xml:space="preserve"> </w:t>
      </w:r>
      <w:r>
        <w:rPr>
          <w:rFonts w:ascii="Arial" w:hAnsi="Arial"/>
        </w:rPr>
        <w:t>serviço</w:t>
      </w:r>
      <w:r>
        <w:rPr>
          <w:rFonts w:ascii="Arial" w:hAnsi="Arial"/>
          <w:spacing w:val="-2"/>
        </w:rPr>
        <w:t xml:space="preserve"> </w:t>
      </w:r>
      <w:r>
        <w:rPr>
          <w:rFonts w:ascii="Arial" w:hAnsi="Arial"/>
        </w:rPr>
        <w:t>não</w:t>
      </w:r>
      <w:r>
        <w:rPr>
          <w:rFonts w:ascii="Arial" w:hAnsi="Arial"/>
          <w:spacing w:val="-1"/>
        </w:rPr>
        <w:t xml:space="preserve"> </w:t>
      </w:r>
      <w:r>
        <w:rPr>
          <w:rFonts w:ascii="Arial" w:hAnsi="Arial"/>
        </w:rPr>
        <w:t>realizado</w:t>
      </w:r>
      <w:r>
        <w:rPr>
          <w:rFonts w:ascii="Arial" w:hAnsi="Arial"/>
          <w:spacing w:val="-2"/>
        </w:rPr>
        <w:t xml:space="preserve"> </w:t>
      </w:r>
      <w:r>
        <w:rPr>
          <w:rFonts w:ascii="Arial" w:hAnsi="Arial"/>
        </w:rPr>
        <w:t>pela</w:t>
      </w:r>
      <w:r>
        <w:rPr>
          <w:rFonts w:ascii="Arial" w:hAnsi="Arial"/>
          <w:spacing w:val="-2"/>
        </w:rPr>
        <w:t xml:space="preserve"> </w:t>
      </w:r>
      <w:r>
        <w:rPr>
          <w:rFonts w:ascii="Arial" w:hAnsi="Arial"/>
        </w:rPr>
        <w:t>detentora</w:t>
      </w:r>
      <w:r>
        <w:rPr>
          <w:rFonts w:ascii="Arial" w:hAnsi="Arial"/>
          <w:spacing w:val="-1"/>
        </w:rPr>
        <w:t xml:space="preserve"> </w:t>
      </w:r>
      <w:r>
        <w:rPr>
          <w:rFonts w:ascii="Arial" w:hAnsi="Arial"/>
        </w:rPr>
        <w:t>da</w:t>
      </w:r>
      <w:r>
        <w:rPr>
          <w:rFonts w:ascii="Arial" w:hAnsi="Arial"/>
          <w:spacing w:val="-2"/>
        </w:rPr>
        <w:t xml:space="preserve"> </w:t>
      </w:r>
      <w:r>
        <w:rPr>
          <w:rFonts w:ascii="Arial" w:hAnsi="Arial"/>
        </w:rPr>
        <w:t>Ata.</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6.4.4</w:t>
        <w:tab/>
        <w:tab/>
        <w:t>Suspensão</w:t>
      </w:r>
      <w:r>
        <w:rPr>
          <w:rFonts w:ascii="Arial" w:hAnsi="Arial"/>
          <w:spacing w:val="-5"/>
        </w:rPr>
        <w:t xml:space="preserve"> </w:t>
      </w:r>
      <w:r>
        <w:rPr>
          <w:rFonts w:ascii="Arial" w:hAnsi="Arial"/>
        </w:rPr>
        <w:t>temporária</w:t>
      </w:r>
      <w:r>
        <w:rPr>
          <w:rFonts w:ascii="Arial" w:hAnsi="Arial"/>
          <w:spacing w:val="-5"/>
        </w:rPr>
        <w:t xml:space="preserve"> </w:t>
      </w:r>
      <w:r>
        <w:rPr>
          <w:rFonts w:ascii="Arial" w:hAnsi="Arial"/>
        </w:rPr>
        <w:t>do</w:t>
      </w:r>
      <w:r>
        <w:rPr>
          <w:rFonts w:ascii="Arial" w:hAnsi="Arial"/>
          <w:spacing w:val="-6"/>
        </w:rPr>
        <w:t xml:space="preserve"> </w:t>
      </w:r>
      <w:r>
        <w:rPr>
          <w:rFonts w:ascii="Arial" w:hAnsi="Arial"/>
        </w:rPr>
        <w:t>direito</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participar</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licitação</w:t>
      </w:r>
      <w:r>
        <w:rPr>
          <w:rFonts w:ascii="Arial" w:hAnsi="Arial"/>
          <w:spacing w:val="-5"/>
        </w:rPr>
        <w:t xml:space="preserve"> </w:t>
      </w:r>
      <w:r>
        <w:rPr>
          <w:rFonts w:ascii="Arial" w:hAnsi="Arial"/>
        </w:rPr>
        <w:t>e</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fornecer</w:t>
      </w:r>
      <w:r>
        <w:rPr>
          <w:rFonts w:ascii="Arial" w:hAnsi="Arial"/>
          <w:spacing w:val="-5"/>
        </w:rPr>
        <w:t xml:space="preserve"> </w:t>
      </w:r>
      <w:r>
        <w:rPr>
          <w:rFonts w:ascii="Arial" w:hAnsi="Arial"/>
        </w:rPr>
        <w:t>à</w:t>
      </w:r>
      <w:r>
        <w:rPr>
          <w:rFonts w:ascii="Arial" w:hAnsi="Arial"/>
          <w:spacing w:val="-5"/>
        </w:rPr>
        <w:t xml:space="preserve"> </w:t>
      </w:r>
      <w:r>
        <w:rPr>
          <w:rFonts w:ascii="Arial" w:hAnsi="Arial"/>
        </w:rPr>
        <w:t>Administração</w:t>
      </w:r>
      <w:r>
        <w:rPr>
          <w:rFonts w:ascii="Arial" w:hAnsi="Arial"/>
          <w:spacing w:val="-5"/>
        </w:rPr>
        <w:t xml:space="preserve"> </w:t>
      </w:r>
      <w:r>
        <w:rPr>
          <w:rFonts w:ascii="Arial" w:hAnsi="Arial"/>
        </w:rPr>
        <w:t>Pública,</w:t>
      </w:r>
      <w:r>
        <w:rPr>
          <w:rFonts w:ascii="Arial" w:hAnsi="Arial"/>
          <w:spacing w:val="-5"/>
        </w:rPr>
        <w:t xml:space="preserve"> </w:t>
      </w:r>
      <w:r>
        <w:rPr>
          <w:rFonts w:ascii="Arial" w:hAnsi="Arial"/>
        </w:rPr>
        <w:t>por</w:t>
      </w:r>
      <w:r>
        <w:rPr>
          <w:rFonts w:ascii="Arial" w:hAnsi="Arial"/>
          <w:spacing w:val="-5"/>
        </w:rPr>
        <w:t xml:space="preserve"> </w:t>
      </w:r>
      <w:r>
        <w:rPr>
          <w:rFonts w:ascii="Arial" w:hAnsi="Arial"/>
        </w:rPr>
        <w:t>prazo</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até</w:t>
      </w:r>
      <w:r>
        <w:rPr>
          <w:rFonts w:ascii="Arial" w:hAnsi="Arial"/>
          <w:spacing w:val="-5"/>
        </w:rPr>
        <w:t xml:space="preserve"> </w:t>
      </w:r>
      <w:r>
        <w:rPr>
          <w:rFonts w:ascii="Arial" w:hAnsi="Arial"/>
        </w:rPr>
        <w:t>05</w:t>
      </w:r>
      <w:r>
        <w:rPr>
          <w:rFonts w:ascii="Arial" w:hAnsi="Arial"/>
          <w:spacing w:val="-5"/>
        </w:rPr>
        <w:t xml:space="preserve"> </w:t>
      </w:r>
      <w:r>
        <w:rPr>
          <w:rFonts w:ascii="Arial" w:hAnsi="Arial"/>
        </w:rPr>
        <w:t>(cinco)</w:t>
      </w:r>
      <w:r>
        <w:rPr>
          <w:rFonts w:ascii="Arial" w:hAnsi="Arial"/>
          <w:spacing w:val="-5"/>
        </w:rPr>
        <w:t xml:space="preserve"> </w:t>
      </w:r>
      <w:r>
        <w:rPr>
          <w:rFonts w:ascii="Arial" w:hAnsi="Arial"/>
        </w:rPr>
        <w:t>anos;</w:t>
      </w:r>
    </w:p>
    <w:p>
      <w:pPr>
        <w:pStyle w:val="ListParagraph"/>
        <w:tabs>
          <w:tab w:val="clear" w:pos="708"/>
          <w:tab w:val="left" w:pos="409" w:leader="none"/>
        </w:tabs>
        <w:spacing w:lineRule="auto" w:line="240" w:before="0" w:after="0"/>
        <w:ind w:left="0" w:hanging="0"/>
        <w:contextualSpacing/>
        <w:jc w:val="both"/>
        <w:rPr>
          <w:rFonts w:ascii="Arial" w:hAnsi="Arial"/>
        </w:rPr>
      </w:pPr>
      <w:r>
        <w:rPr>
          <w:rFonts w:ascii="Arial" w:hAnsi="Arial"/>
        </w:rPr>
        <w:t>6.5.</w:t>
        <w:tab/>
        <w:tab/>
        <w:t>Em</w:t>
      </w:r>
      <w:r>
        <w:rPr>
          <w:rFonts w:ascii="Arial" w:hAnsi="Arial"/>
          <w:spacing w:val="-5"/>
        </w:rPr>
        <w:t xml:space="preserve"> </w:t>
      </w:r>
      <w:r>
        <w:rPr>
          <w:rFonts w:ascii="Arial" w:hAnsi="Arial"/>
        </w:rPr>
        <w:t>qualquer</w:t>
      </w:r>
      <w:r>
        <w:rPr>
          <w:rFonts w:ascii="Arial" w:hAnsi="Arial"/>
          <w:spacing w:val="-6"/>
        </w:rPr>
        <w:t xml:space="preserve"> </w:t>
      </w:r>
      <w:r>
        <w:rPr>
          <w:rFonts w:ascii="Arial" w:hAnsi="Arial"/>
        </w:rPr>
        <w:t>hipótese</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aplicação</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penalidades</w:t>
      </w:r>
      <w:r>
        <w:rPr>
          <w:rFonts w:ascii="Arial" w:hAnsi="Arial"/>
          <w:spacing w:val="-5"/>
        </w:rPr>
        <w:t xml:space="preserve"> </w:t>
      </w:r>
      <w:r>
        <w:rPr>
          <w:rFonts w:ascii="Arial" w:hAnsi="Arial"/>
        </w:rPr>
        <w:t>será</w:t>
      </w:r>
      <w:r>
        <w:rPr>
          <w:rFonts w:ascii="Arial" w:hAnsi="Arial"/>
          <w:spacing w:val="-5"/>
        </w:rPr>
        <w:t xml:space="preserve"> </w:t>
      </w:r>
      <w:r>
        <w:rPr>
          <w:rFonts w:ascii="Arial" w:hAnsi="Arial"/>
        </w:rPr>
        <w:t>assegurado</w:t>
      </w:r>
      <w:r>
        <w:rPr>
          <w:rFonts w:ascii="Arial" w:hAnsi="Arial"/>
          <w:spacing w:val="-5"/>
        </w:rPr>
        <w:t xml:space="preserve"> </w:t>
      </w:r>
      <w:r>
        <w:rPr>
          <w:rFonts w:ascii="Arial" w:hAnsi="Arial"/>
        </w:rPr>
        <w:t>ao</w:t>
      </w:r>
      <w:r>
        <w:rPr>
          <w:rFonts w:ascii="Arial" w:hAnsi="Arial"/>
          <w:spacing w:val="-5"/>
        </w:rPr>
        <w:t xml:space="preserve"> </w:t>
      </w:r>
      <w:r>
        <w:rPr>
          <w:rFonts w:ascii="Arial" w:hAnsi="Arial"/>
        </w:rPr>
        <w:t>fornecedor</w:t>
      </w:r>
      <w:r>
        <w:rPr>
          <w:rFonts w:ascii="Arial" w:hAnsi="Arial"/>
          <w:spacing w:val="-5"/>
        </w:rPr>
        <w:t xml:space="preserve"> </w:t>
      </w:r>
      <w:r>
        <w:rPr>
          <w:rFonts w:ascii="Arial" w:hAnsi="Arial"/>
        </w:rPr>
        <w:t>o</w:t>
      </w:r>
      <w:r>
        <w:rPr>
          <w:rFonts w:ascii="Arial" w:hAnsi="Arial"/>
          <w:spacing w:val="-5"/>
        </w:rPr>
        <w:t xml:space="preserve"> </w:t>
      </w:r>
      <w:r>
        <w:rPr>
          <w:rFonts w:ascii="Arial" w:hAnsi="Arial"/>
        </w:rPr>
        <w:t>contraditório</w:t>
      </w:r>
      <w:r>
        <w:rPr>
          <w:rFonts w:ascii="Arial" w:hAnsi="Arial"/>
          <w:spacing w:val="-5"/>
        </w:rPr>
        <w:t xml:space="preserve"> </w:t>
      </w:r>
      <w:r>
        <w:rPr>
          <w:rFonts w:ascii="Arial" w:hAnsi="Arial"/>
        </w:rPr>
        <w:t>e</w:t>
      </w:r>
      <w:r>
        <w:rPr>
          <w:rFonts w:ascii="Arial" w:hAnsi="Arial"/>
          <w:spacing w:val="-5"/>
        </w:rPr>
        <w:t xml:space="preserve"> </w:t>
      </w:r>
      <w:r>
        <w:rPr>
          <w:rFonts w:ascii="Arial" w:hAnsi="Arial"/>
        </w:rPr>
        <w:t>ampla</w:t>
      </w:r>
      <w:r>
        <w:rPr>
          <w:rFonts w:ascii="Arial" w:hAnsi="Arial"/>
          <w:spacing w:val="-5"/>
        </w:rPr>
        <w:t xml:space="preserve"> </w:t>
      </w:r>
      <w:r>
        <w:rPr>
          <w:rFonts w:ascii="Arial" w:hAnsi="Arial"/>
        </w:rPr>
        <w:t>defesa.</w:t>
      </w:r>
    </w:p>
    <w:p>
      <w:pPr>
        <w:pStyle w:val="ListParagraph"/>
        <w:tabs>
          <w:tab w:val="clear" w:pos="708"/>
          <w:tab w:val="left" w:pos="412" w:leader="none"/>
        </w:tabs>
        <w:spacing w:lineRule="auto" w:line="240" w:before="0" w:after="0"/>
        <w:ind w:left="0" w:hanging="0"/>
        <w:contextualSpacing/>
        <w:jc w:val="both"/>
        <w:rPr>
          <w:rFonts w:ascii="Arial" w:hAnsi="Arial"/>
        </w:rPr>
      </w:pPr>
      <w:r>
        <w:rPr>
          <w:rFonts w:ascii="Arial" w:hAnsi="Arial"/>
        </w:rPr>
        <w:t>6.6.</w:t>
        <w:tab/>
        <w:tab/>
        <w:t>A aplicação das sanções previstas nesta Ata não exclui a possibilidade de aplicação de outras, previstas em Lei, inclusive responsabilização do</w:t>
      </w:r>
      <w:r>
        <w:rPr>
          <w:rFonts w:ascii="Arial" w:hAnsi="Arial"/>
          <w:spacing w:val="1"/>
        </w:rPr>
        <w:t xml:space="preserve"> </w:t>
      </w:r>
      <w:r>
        <w:rPr>
          <w:rFonts w:ascii="Arial" w:hAnsi="Arial"/>
        </w:rPr>
        <w:t>fornecedor por</w:t>
      </w:r>
      <w:r>
        <w:rPr>
          <w:rFonts w:ascii="Arial" w:hAnsi="Arial"/>
          <w:spacing w:val="-1"/>
        </w:rPr>
        <w:t xml:space="preserve"> </w:t>
      </w:r>
      <w:r>
        <w:rPr>
          <w:rFonts w:ascii="Arial" w:hAnsi="Arial"/>
        </w:rPr>
        <w:t>eventuais</w:t>
      </w:r>
      <w:r>
        <w:rPr>
          <w:rFonts w:ascii="Arial" w:hAnsi="Arial"/>
          <w:spacing w:val="-1"/>
        </w:rPr>
        <w:t xml:space="preserve"> </w:t>
      </w:r>
      <w:r>
        <w:rPr>
          <w:rFonts w:ascii="Arial" w:hAnsi="Arial"/>
        </w:rPr>
        <w:t>perdas</w:t>
      </w:r>
      <w:r>
        <w:rPr>
          <w:rFonts w:ascii="Arial" w:hAnsi="Arial"/>
          <w:spacing w:val="-2"/>
        </w:rPr>
        <w:t xml:space="preserve"> </w:t>
      </w:r>
      <w:r>
        <w:rPr>
          <w:rFonts w:ascii="Arial" w:hAnsi="Arial"/>
        </w:rPr>
        <w:t>e</w:t>
      </w:r>
      <w:r>
        <w:rPr>
          <w:rFonts w:ascii="Arial" w:hAnsi="Arial"/>
          <w:spacing w:val="-1"/>
        </w:rPr>
        <w:t xml:space="preserve"> </w:t>
      </w:r>
      <w:r>
        <w:rPr>
          <w:rFonts w:ascii="Arial" w:hAnsi="Arial"/>
        </w:rPr>
        <w:t>danos</w:t>
      </w:r>
      <w:r>
        <w:rPr>
          <w:rFonts w:ascii="Arial" w:hAnsi="Arial"/>
          <w:spacing w:val="-1"/>
        </w:rPr>
        <w:t xml:space="preserve"> </w:t>
      </w:r>
      <w:r>
        <w:rPr>
          <w:rFonts w:ascii="Arial" w:hAnsi="Arial"/>
        </w:rPr>
        <w:t>causados</w:t>
      </w:r>
      <w:r>
        <w:rPr>
          <w:rFonts w:ascii="Arial" w:hAnsi="Arial"/>
          <w:spacing w:val="-2"/>
        </w:rPr>
        <w:t xml:space="preserve"> </w:t>
      </w:r>
      <w:r>
        <w:rPr>
          <w:rFonts w:ascii="Arial" w:hAnsi="Arial"/>
        </w:rPr>
        <w:t>à</w:t>
      </w:r>
      <w:r>
        <w:rPr>
          <w:rFonts w:ascii="Arial" w:hAnsi="Arial"/>
          <w:spacing w:val="-1"/>
        </w:rPr>
        <w:t xml:space="preserve"> </w:t>
      </w:r>
      <w:r>
        <w:rPr>
          <w:rFonts w:ascii="Arial" w:hAnsi="Arial"/>
        </w:rPr>
        <w:t>Administração.</w:t>
      </w:r>
    </w:p>
    <w:p>
      <w:pPr>
        <w:pStyle w:val="ListParagraph"/>
        <w:tabs>
          <w:tab w:val="clear" w:pos="708"/>
          <w:tab w:val="left" w:pos="412" w:leader="none"/>
        </w:tabs>
        <w:spacing w:lineRule="auto" w:line="240" w:before="0" w:after="0"/>
        <w:ind w:left="0" w:hanging="0"/>
        <w:contextualSpacing/>
        <w:jc w:val="both"/>
        <w:rPr>
          <w:rFonts w:ascii="Arial" w:hAnsi="Arial"/>
        </w:rPr>
      </w:pPr>
      <w:r>
        <w:rPr>
          <w:rFonts w:ascii="Arial" w:hAnsi="Arial"/>
        </w:rPr>
        <w:t>6.7.</w:t>
        <w:tab/>
        <w:tab/>
        <w:t>As importâncias relativas a multas serão descontadas dos pagamentos a serem efetuados à detentora da Ata, podendo, entretanto, conforme o</w:t>
      </w:r>
      <w:r>
        <w:rPr>
          <w:rFonts w:ascii="Arial" w:hAnsi="Arial"/>
          <w:spacing w:val="1"/>
        </w:rPr>
        <w:t xml:space="preserve"> </w:t>
      </w:r>
      <w:r>
        <w:rPr>
          <w:rFonts w:ascii="Arial" w:hAnsi="Arial"/>
        </w:rPr>
        <w:t>caso,</w:t>
      </w:r>
      <w:r>
        <w:rPr>
          <w:rFonts w:ascii="Arial" w:hAnsi="Arial"/>
          <w:spacing w:val="-2"/>
        </w:rPr>
        <w:t xml:space="preserve"> </w:t>
      </w:r>
      <w:r>
        <w:rPr>
          <w:rFonts w:ascii="Arial" w:hAnsi="Arial"/>
        </w:rPr>
        <w:t>processar-se</w:t>
      </w:r>
      <w:r>
        <w:rPr>
          <w:rFonts w:ascii="Arial" w:hAnsi="Arial"/>
          <w:spacing w:val="-1"/>
        </w:rPr>
        <w:t xml:space="preserve"> </w:t>
      </w:r>
      <w:r>
        <w:rPr>
          <w:rFonts w:ascii="Arial" w:hAnsi="Arial"/>
        </w:rPr>
        <w:t>a</w:t>
      </w:r>
      <w:r>
        <w:rPr>
          <w:rFonts w:ascii="Arial" w:hAnsi="Arial"/>
          <w:spacing w:val="-1"/>
        </w:rPr>
        <w:t xml:space="preserve"> </w:t>
      </w:r>
      <w:r>
        <w:rPr>
          <w:rFonts w:ascii="Arial" w:hAnsi="Arial"/>
        </w:rPr>
        <w:t>cobrança</w:t>
      </w:r>
      <w:r>
        <w:rPr>
          <w:rFonts w:ascii="Arial" w:hAnsi="Arial"/>
          <w:spacing w:val="-1"/>
        </w:rPr>
        <w:t xml:space="preserve"> </w:t>
      </w:r>
      <w:r>
        <w:rPr>
          <w:rFonts w:ascii="Arial" w:hAnsi="Arial"/>
        </w:rPr>
        <w:t>judicialmente.</w:t>
      </w:r>
    </w:p>
    <w:p>
      <w:pPr>
        <w:pStyle w:val="ListParagraph"/>
        <w:widowControl w:val="false"/>
        <w:tabs>
          <w:tab w:val="clear" w:pos="708"/>
          <w:tab w:val="left" w:pos="444" w:leader="none"/>
        </w:tabs>
        <w:spacing w:lineRule="auto" w:line="240" w:before="0" w:after="0"/>
        <w:ind w:left="0" w:hanging="0"/>
        <w:contextualSpacing/>
        <w:jc w:val="both"/>
        <w:textAlignment w:val="baseline"/>
        <w:rPr>
          <w:rFonts w:ascii="Arial" w:hAnsi="Arial"/>
        </w:rPr>
      </w:pPr>
      <w:r>
        <w:rPr>
          <w:rFonts w:eastAsia="Times New Roman" w:cs="Arial" w:ascii="Arial" w:hAnsi="Arial"/>
          <w:color w:val="000000"/>
          <w:spacing w:val="-3"/>
          <w:lang w:eastAsia="pt-BR"/>
        </w:rPr>
        <w:t>6.8.</w:t>
        <w:tab/>
        <w:tab/>
        <w:t>As</w:t>
      </w:r>
      <w:r>
        <w:rPr>
          <w:rFonts w:eastAsia="Times New Roman" w:cs="Arial" w:ascii="Arial" w:hAnsi="Arial"/>
          <w:color w:val="000000"/>
          <w:spacing w:val="30"/>
          <w:lang w:eastAsia="pt-BR"/>
        </w:rPr>
        <w:t xml:space="preserve"> </w:t>
      </w:r>
      <w:r>
        <w:rPr>
          <w:rFonts w:eastAsia="Times New Roman" w:cs="Arial" w:ascii="Arial" w:hAnsi="Arial"/>
          <w:color w:val="000000"/>
          <w:spacing w:val="-3"/>
          <w:lang w:eastAsia="pt-BR"/>
        </w:rPr>
        <w:t>penalidades</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serão</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aplicadas</w:t>
      </w:r>
      <w:r>
        <w:rPr>
          <w:rFonts w:eastAsia="Times New Roman" w:cs="Arial" w:ascii="Arial" w:hAnsi="Arial"/>
          <w:color w:val="000000"/>
          <w:spacing w:val="30"/>
          <w:lang w:eastAsia="pt-BR"/>
        </w:rPr>
        <w:t xml:space="preserve"> </w:t>
      </w:r>
      <w:r>
        <w:rPr>
          <w:rFonts w:eastAsia="Times New Roman" w:cs="Arial" w:ascii="Arial" w:hAnsi="Arial"/>
          <w:color w:val="000000"/>
          <w:spacing w:val="-3"/>
          <w:lang w:eastAsia="pt-BR"/>
        </w:rPr>
        <w:t>sem</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prejuízo</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das</w:t>
      </w:r>
      <w:r>
        <w:rPr>
          <w:rFonts w:eastAsia="Times New Roman" w:cs="Arial" w:ascii="Arial" w:hAnsi="Arial"/>
          <w:color w:val="000000"/>
          <w:spacing w:val="30"/>
          <w:lang w:eastAsia="pt-BR"/>
        </w:rPr>
        <w:t xml:space="preserve"> </w:t>
      </w:r>
      <w:r>
        <w:rPr>
          <w:rFonts w:eastAsia="Times New Roman" w:cs="Arial" w:ascii="Arial" w:hAnsi="Arial"/>
          <w:color w:val="000000"/>
          <w:spacing w:val="-3"/>
          <w:lang w:eastAsia="pt-BR"/>
        </w:rPr>
        <w:t>demais</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sanções</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cabíveis,</w:t>
      </w:r>
      <w:r>
        <w:rPr>
          <w:rFonts w:eastAsia="Times New Roman" w:cs="Arial" w:ascii="Arial" w:hAnsi="Arial"/>
          <w:color w:val="000000"/>
          <w:spacing w:val="30"/>
          <w:lang w:eastAsia="pt-BR"/>
        </w:rPr>
        <w:t xml:space="preserve"> </w:t>
      </w:r>
      <w:r>
        <w:rPr>
          <w:rFonts w:eastAsia="Times New Roman" w:cs="Arial" w:ascii="Arial" w:hAnsi="Arial"/>
          <w:color w:val="000000"/>
          <w:spacing w:val="-3"/>
          <w:lang w:eastAsia="pt-BR"/>
        </w:rPr>
        <w:t>sejam</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estas</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administrativas</w:t>
      </w:r>
      <w:r>
        <w:rPr>
          <w:rFonts w:eastAsia="Times New Roman" w:cs="Arial" w:ascii="Arial" w:hAnsi="Arial"/>
          <w:color w:val="000000"/>
          <w:spacing w:val="30"/>
          <w:lang w:eastAsia="pt-BR"/>
        </w:rPr>
        <w:t xml:space="preserve"> </w:t>
      </w:r>
      <w:r>
        <w:rPr>
          <w:rFonts w:eastAsia="Times New Roman" w:cs="Arial" w:ascii="Arial" w:hAnsi="Arial"/>
          <w:color w:val="000000"/>
          <w:spacing w:val="-3"/>
          <w:lang w:eastAsia="pt-BR"/>
        </w:rPr>
        <w:t>ou</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penais,</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previstas</w:t>
      </w:r>
      <w:r>
        <w:rPr>
          <w:rFonts w:eastAsia="Times New Roman" w:cs="Arial" w:ascii="Arial" w:hAnsi="Arial"/>
          <w:color w:val="000000"/>
          <w:spacing w:val="30"/>
          <w:lang w:eastAsia="pt-BR"/>
        </w:rPr>
        <w:t xml:space="preserve"> </w:t>
      </w:r>
      <w:r>
        <w:rPr>
          <w:rFonts w:eastAsia="Times New Roman" w:cs="Arial" w:ascii="Arial" w:hAnsi="Arial"/>
          <w:color w:val="000000"/>
          <w:spacing w:val="-3"/>
          <w:lang w:eastAsia="pt-BR"/>
        </w:rPr>
        <w:t>na</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Lei</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nº.</w:t>
      </w:r>
      <w:r>
        <w:rPr>
          <w:rFonts w:eastAsia="Times New Roman" w:cs="Arial" w:ascii="Arial" w:hAnsi="Arial"/>
          <w:color w:val="000000"/>
          <w:spacing w:val="1"/>
          <w:lang w:eastAsia="pt-BR"/>
        </w:rPr>
        <w:t xml:space="preserve"> </w:t>
      </w:r>
      <w:r>
        <w:rPr>
          <w:rFonts w:eastAsia="Times New Roman" w:cs="Arial" w:ascii="Arial" w:hAnsi="Arial"/>
          <w:color w:val="000000"/>
          <w:spacing w:val="-3"/>
          <w:lang w:eastAsia="pt-BR"/>
        </w:rPr>
        <w:t>14.133/2021</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e</w:t>
      </w:r>
      <w:r>
        <w:rPr>
          <w:rFonts w:eastAsia="Times New Roman" w:cs="Arial" w:ascii="Arial" w:hAnsi="Arial"/>
          <w:color w:val="000000"/>
          <w:spacing w:val="-1"/>
          <w:lang w:eastAsia="pt-BR"/>
        </w:rPr>
        <w:t xml:space="preserve"> </w:t>
      </w:r>
      <w:r>
        <w:rPr>
          <w:rFonts w:eastAsia="Times New Roman" w:cs="Arial" w:ascii="Arial" w:hAnsi="Arial"/>
          <w:color w:val="000000"/>
          <w:spacing w:val="-3"/>
          <w:lang w:eastAsia="pt-BR"/>
        </w:rPr>
        <w:t>alterações.</w:t>
      </w:r>
    </w:p>
    <w:p>
      <w:pPr>
        <w:pStyle w:val="ListParagraph"/>
        <w:widowControl w:val="false"/>
        <w:tabs>
          <w:tab w:val="clear" w:pos="708"/>
          <w:tab w:val="left" w:pos="444" w:leader="none"/>
        </w:tabs>
        <w:spacing w:lineRule="auto" w:line="240" w:before="0" w:after="0"/>
        <w:ind w:left="0" w:hanging="0"/>
        <w:contextualSpacing/>
        <w:jc w:val="both"/>
        <w:textAlignment w:val="baseline"/>
        <w:rPr>
          <w:rFonts w:eastAsia="Times New Roman" w:cs="Arial"/>
          <w:spacing w:val="-3"/>
          <w:lang w:eastAsia="pt-BR"/>
        </w:rPr>
      </w:pPr>
      <w:r>
        <w:rPr>
          <w:rFonts w:eastAsia="Times New Roman" w:cs="Arial"/>
          <w:spacing w:val="-3"/>
          <w:lang w:eastAsia="pt-BR"/>
        </w:rPr>
      </w:r>
    </w:p>
    <w:p>
      <w:pPr>
        <w:pStyle w:val="Ttulo2"/>
        <w:widowControl w:val="false"/>
        <w:numPr>
          <w:ilvl w:val="1"/>
          <w:numId w:val="51"/>
        </w:numPr>
        <w:tabs>
          <w:tab w:val="clear" w:pos="708"/>
          <w:tab w:val="left" w:pos="10597" w:leader="none"/>
        </w:tabs>
        <w:spacing w:lineRule="auto" w:line="240" w:before="0" w:after="0"/>
        <w:ind w:hanging="22"/>
        <w:jc w:val="both"/>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VII</w:t>
      </w:r>
      <w:r>
        <w:rPr>
          <w:rFonts w:eastAsia="Times New Roman" w:cs="Arial" w:ascii="Arial" w:hAnsi="Arial"/>
          <w:bCs w:val="false"/>
          <w:color w:val="000000"/>
          <w:spacing w:val="-3"/>
          <w:sz w:val="22"/>
          <w:szCs w:val="22"/>
          <w:shd w:fill="CCCCCC" w:val="clear"/>
          <w:lang w:eastAsia="pt-BR"/>
        </w:rPr>
        <w:t xml:space="preserve"> – DO REAJUSTAMENTO DE PREÇOS E REEQUILÍBRIO ECONÔMICO</w:t>
      </w:r>
    </w:p>
    <w:p>
      <w:pPr>
        <w:pStyle w:val="Corpodotexto"/>
        <w:widowControl w:val="false"/>
        <w:tabs>
          <w:tab w:val="clear" w:pos="708"/>
          <w:tab w:val="left" w:pos="10597" w:leader="none"/>
        </w:tabs>
        <w:spacing w:lineRule="auto" w:line="240" w:before="0" w:after="0"/>
        <w:jc w:val="both"/>
        <w:textAlignment w:val="baseline"/>
        <w:rPr>
          <w:rFonts w:eastAsia="Times New Roman" w:cs="Arial"/>
          <w:spacing w:val="-3"/>
          <w:shd w:fill="CCCCCC" w:val="clear"/>
          <w:lang w:eastAsia="pt-BR"/>
        </w:rPr>
      </w:pPr>
      <w:r>
        <w:rPr>
          <w:rFonts w:eastAsia="Times New Roman" w:cs="Arial"/>
          <w:spacing w:val="-3"/>
          <w:shd w:fill="CCCCCC" w:val="clear"/>
          <w:lang w:eastAsia="pt-BR"/>
        </w:rPr>
      </w:r>
    </w:p>
    <w:p>
      <w:pPr>
        <w:pStyle w:val="ListParagraph"/>
        <w:tabs>
          <w:tab w:val="clear" w:pos="708"/>
          <w:tab w:val="left" w:pos="330" w:leader="none"/>
        </w:tabs>
        <w:spacing w:lineRule="auto" w:line="240" w:before="0" w:after="0"/>
        <w:ind w:left="0" w:hanging="0"/>
        <w:contextualSpacing/>
        <w:jc w:val="both"/>
        <w:rPr>
          <w:rFonts w:ascii="Arial" w:hAnsi="Arial"/>
        </w:rPr>
      </w:pPr>
      <w:r>
        <w:rPr>
          <w:rFonts w:ascii="Arial" w:hAnsi="Arial"/>
        </w:rPr>
        <w:t>7.</w:t>
        <w:tab/>
        <w:tab/>
        <w:t>Considerando</w:t>
      </w:r>
      <w:r>
        <w:rPr>
          <w:rFonts w:ascii="Arial" w:hAnsi="Arial"/>
          <w:spacing w:val="5"/>
        </w:rPr>
        <w:t xml:space="preserve"> </w:t>
      </w:r>
      <w:r>
        <w:rPr>
          <w:rFonts w:ascii="Arial" w:hAnsi="Arial"/>
        </w:rPr>
        <w:t>o</w:t>
      </w:r>
      <w:r>
        <w:rPr>
          <w:rFonts w:ascii="Arial" w:hAnsi="Arial"/>
          <w:spacing w:val="6"/>
        </w:rPr>
        <w:t xml:space="preserve"> </w:t>
      </w:r>
      <w:r>
        <w:rPr>
          <w:rFonts w:ascii="Arial" w:hAnsi="Arial"/>
        </w:rPr>
        <w:t>disposto</w:t>
      </w:r>
      <w:r>
        <w:rPr>
          <w:rFonts w:ascii="Arial" w:hAnsi="Arial"/>
          <w:spacing w:val="5"/>
        </w:rPr>
        <w:t xml:space="preserve"> </w:t>
      </w:r>
      <w:r>
        <w:rPr>
          <w:rFonts w:ascii="Arial" w:hAnsi="Arial"/>
        </w:rPr>
        <w:t>no</w:t>
      </w:r>
      <w:r>
        <w:rPr>
          <w:rFonts w:ascii="Arial" w:hAnsi="Arial"/>
          <w:spacing w:val="6"/>
        </w:rPr>
        <w:t xml:space="preserve"> </w:t>
      </w:r>
      <w:r>
        <w:rPr>
          <w:rFonts w:ascii="Arial" w:hAnsi="Arial"/>
        </w:rPr>
        <w:t>artigo</w:t>
      </w:r>
      <w:r>
        <w:rPr>
          <w:rFonts w:ascii="Arial" w:hAnsi="Arial"/>
          <w:spacing w:val="6"/>
        </w:rPr>
        <w:t xml:space="preserve"> </w:t>
      </w:r>
      <w:r>
        <w:rPr>
          <w:rFonts w:ascii="Arial" w:hAnsi="Arial"/>
        </w:rPr>
        <w:t>82,</w:t>
      </w:r>
      <w:r>
        <w:rPr>
          <w:rFonts w:ascii="Arial" w:hAnsi="Arial"/>
          <w:spacing w:val="5"/>
        </w:rPr>
        <w:t xml:space="preserve"> </w:t>
      </w:r>
      <w:r>
        <w:rPr>
          <w:rFonts w:ascii="Arial" w:hAnsi="Arial"/>
        </w:rPr>
        <w:t>§5º,</w:t>
      </w:r>
      <w:r>
        <w:rPr>
          <w:rFonts w:ascii="Arial" w:hAnsi="Arial"/>
          <w:spacing w:val="6"/>
        </w:rPr>
        <w:t xml:space="preserve"> </w:t>
      </w:r>
      <w:r>
        <w:rPr>
          <w:rFonts w:ascii="Arial" w:hAnsi="Arial"/>
        </w:rPr>
        <w:t>inciso</w:t>
      </w:r>
      <w:r>
        <w:rPr>
          <w:rFonts w:ascii="Arial" w:hAnsi="Arial"/>
          <w:spacing w:val="6"/>
        </w:rPr>
        <w:t xml:space="preserve"> </w:t>
      </w:r>
      <w:r>
        <w:rPr>
          <w:rFonts w:ascii="Arial" w:hAnsi="Arial"/>
        </w:rPr>
        <w:t>IV</w:t>
      </w:r>
      <w:r>
        <w:rPr>
          <w:rFonts w:ascii="Arial" w:hAnsi="Arial"/>
          <w:spacing w:val="5"/>
        </w:rPr>
        <w:t xml:space="preserve"> </w:t>
      </w:r>
      <w:r>
        <w:rPr>
          <w:rFonts w:ascii="Arial" w:hAnsi="Arial"/>
        </w:rPr>
        <w:t>e</w:t>
      </w:r>
      <w:r>
        <w:rPr>
          <w:rFonts w:ascii="Arial" w:hAnsi="Arial"/>
          <w:spacing w:val="6"/>
        </w:rPr>
        <w:t xml:space="preserve"> </w:t>
      </w:r>
      <w:r>
        <w:rPr>
          <w:rFonts w:ascii="Arial" w:hAnsi="Arial"/>
        </w:rPr>
        <w:t>artigo</w:t>
      </w:r>
      <w:r>
        <w:rPr>
          <w:rFonts w:ascii="Arial" w:hAnsi="Arial"/>
          <w:spacing w:val="6"/>
        </w:rPr>
        <w:t xml:space="preserve"> </w:t>
      </w:r>
      <w:r>
        <w:rPr>
          <w:rFonts w:ascii="Arial" w:hAnsi="Arial"/>
        </w:rPr>
        <w:t>84</w:t>
      </w:r>
      <w:r>
        <w:rPr>
          <w:rFonts w:ascii="Arial" w:hAnsi="Arial"/>
          <w:spacing w:val="5"/>
        </w:rPr>
        <w:t xml:space="preserve"> </w:t>
      </w:r>
      <w:r>
        <w:rPr>
          <w:rFonts w:ascii="Arial" w:hAnsi="Arial"/>
        </w:rPr>
        <w:t>da</w:t>
      </w:r>
      <w:r>
        <w:rPr>
          <w:rFonts w:ascii="Arial" w:hAnsi="Arial"/>
          <w:spacing w:val="6"/>
        </w:rPr>
        <w:t xml:space="preserve"> </w:t>
      </w:r>
      <w:r>
        <w:rPr>
          <w:rFonts w:ascii="Arial" w:hAnsi="Arial"/>
        </w:rPr>
        <w:t>Lei</w:t>
      </w:r>
      <w:r>
        <w:rPr>
          <w:rFonts w:ascii="Arial" w:hAnsi="Arial"/>
          <w:spacing w:val="6"/>
        </w:rPr>
        <w:t xml:space="preserve"> </w:t>
      </w:r>
      <w:r>
        <w:rPr>
          <w:rFonts w:ascii="Arial" w:hAnsi="Arial"/>
        </w:rPr>
        <w:t>14.133/2021,</w:t>
      </w:r>
      <w:r>
        <w:rPr>
          <w:rFonts w:ascii="Arial" w:hAnsi="Arial"/>
          <w:spacing w:val="5"/>
        </w:rPr>
        <w:t xml:space="preserve"> </w:t>
      </w:r>
      <w:r>
        <w:rPr>
          <w:rFonts w:ascii="Arial" w:hAnsi="Arial"/>
        </w:rPr>
        <w:t>em</w:t>
      </w:r>
      <w:r>
        <w:rPr>
          <w:rFonts w:ascii="Arial" w:hAnsi="Arial"/>
          <w:spacing w:val="6"/>
        </w:rPr>
        <w:t xml:space="preserve"> </w:t>
      </w:r>
      <w:r>
        <w:rPr>
          <w:rFonts w:ascii="Arial" w:hAnsi="Arial"/>
        </w:rPr>
        <w:t>caso</w:t>
      </w:r>
      <w:r>
        <w:rPr>
          <w:rFonts w:ascii="Arial" w:hAnsi="Arial"/>
          <w:spacing w:val="5"/>
        </w:rPr>
        <w:t xml:space="preserve"> </w:t>
      </w:r>
      <w:r>
        <w:rPr>
          <w:rFonts w:ascii="Arial" w:hAnsi="Arial"/>
        </w:rPr>
        <w:t>de</w:t>
      </w:r>
      <w:r>
        <w:rPr>
          <w:rFonts w:ascii="Arial" w:hAnsi="Arial"/>
          <w:spacing w:val="6"/>
        </w:rPr>
        <w:t xml:space="preserve"> </w:t>
      </w:r>
      <w:r>
        <w:rPr>
          <w:rFonts w:ascii="Arial" w:hAnsi="Arial"/>
        </w:rPr>
        <w:t>eventual</w:t>
      </w:r>
      <w:r>
        <w:rPr>
          <w:rFonts w:ascii="Arial" w:hAnsi="Arial"/>
          <w:spacing w:val="6"/>
        </w:rPr>
        <w:t xml:space="preserve"> </w:t>
      </w:r>
      <w:r>
        <w:rPr>
          <w:rFonts w:ascii="Arial" w:hAnsi="Arial"/>
        </w:rPr>
        <w:t>prorrogação</w:t>
      </w:r>
      <w:r>
        <w:rPr>
          <w:rFonts w:ascii="Arial" w:hAnsi="Arial"/>
          <w:spacing w:val="5"/>
        </w:rPr>
        <w:t xml:space="preserve"> </w:t>
      </w:r>
      <w:r>
        <w:rPr>
          <w:rFonts w:ascii="Arial" w:hAnsi="Arial"/>
        </w:rPr>
        <w:t>da</w:t>
      </w:r>
      <w:r>
        <w:rPr>
          <w:rFonts w:ascii="Arial" w:hAnsi="Arial"/>
          <w:spacing w:val="6"/>
        </w:rPr>
        <w:t xml:space="preserve"> </w:t>
      </w:r>
      <w:r>
        <w:rPr>
          <w:rFonts w:ascii="Arial" w:hAnsi="Arial"/>
        </w:rPr>
        <w:t>vigência</w:t>
      </w:r>
      <w:r>
        <w:rPr>
          <w:rFonts w:ascii="Arial" w:hAnsi="Arial"/>
          <w:spacing w:val="6"/>
        </w:rPr>
        <w:t xml:space="preserve"> </w:t>
      </w:r>
      <w:r>
        <w:rPr>
          <w:rFonts w:ascii="Arial" w:hAnsi="Arial"/>
        </w:rPr>
        <w:t>da</w:t>
      </w:r>
      <w:r>
        <w:rPr>
          <w:rFonts w:ascii="Arial" w:hAnsi="Arial"/>
          <w:spacing w:val="5"/>
        </w:rPr>
        <w:t xml:space="preserve"> </w:t>
      </w:r>
      <w:r>
        <w:rPr>
          <w:rFonts w:ascii="Arial" w:hAnsi="Arial"/>
        </w:rPr>
        <w:t>presente</w:t>
      </w:r>
      <w:r>
        <w:rPr>
          <w:rFonts w:ascii="Arial" w:hAnsi="Arial"/>
          <w:spacing w:val="1"/>
        </w:rPr>
        <w:t xml:space="preserve"> </w:t>
      </w:r>
      <w:r>
        <w:rPr>
          <w:rFonts w:ascii="Arial" w:hAnsi="Arial"/>
        </w:rPr>
        <w:t>ata</w:t>
      </w:r>
      <w:r>
        <w:rPr>
          <w:rFonts w:ascii="Arial" w:hAnsi="Arial"/>
          <w:spacing w:val="-5"/>
        </w:rPr>
        <w:t xml:space="preserve"> </w:t>
      </w:r>
      <w:r>
        <w:rPr>
          <w:rFonts w:ascii="Arial" w:hAnsi="Arial"/>
        </w:rPr>
        <w:t>de</w:t>
      </w:r>
      <w:r>
        <w:rPr>
          <w:rFonts w:ascii="Arial" w:hAnsi="Arial"/>
          <w:spacing w:val="-4"/>
        </w:rPr>
        <w:t xml:space="preserve"> </w:t>
      </w:r>
      <w:r>
        <w:rPr>
          <w:rFonts w:ascii="Arial" w:hAnsi="Arial"/>
        </w:rPr>
        <w:t>registros</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preços,</w:t>
      </w:r>
      <w:r>
        <w:rPr>
          <w:rFonts w:ascii="Arial" w:hAnsi="Arial"/>
          <w:spacing w:val="-4"/>
        </w:rPr>
        <w:t xml:space="preserve"> </w:t>
      </w:r>
      <w:r>
        <w:rPr>
          <w:rFonts w:ascii="Arial" w:hAnsi="Arial"/>
        </w:rPr>
        <w:t>os</w:t>
      </w:r>
      <w:r>
        <w:rPr>
          <w:rFonts w:ascii="Arial" w:hAnsi="Arial"/>
          <w:spacing w:val="-4"/>
        </w:rPr>
        <w:t xml:space="preserve"> </w:t>
      </w:r>
      <w:r>
        <w:rPr>
          <w:rFonts w:ascii="Arial" w:hAnsi="Arial"/>
        </w:rPr>
        <w:t>preços</w:t>
      </w:r>
      <w:r>
        <w:rPr>
          <w:rFonts w:ascii="Arial" w:hAnsi="Arial"/>
          <w:spacing w:val="-4"/>
        </w:rPr>
        <w:t xml:space="preserve"> </w:t>
      </w:r>
      <w:r>
        <w:rPr>
          <w:rFonts w:ascii="Arial" w:hAnsi="Arial"/>
        </w:rPr>
        <w:t>poderão</w:t>
      </w:r>
      <w:r>
        <w:rPr>
          <w:rFonts w:ascii="Arial" w:hAnsi="Arial"/>
          <w:spacing w:val="-5"/>
        </w:rPr>
        <w:t xml:space="preserve"> </w:t>
      </w:r>
      <w:r>
        <w:rPr>
          <w:rFonts w:ascii="Arial" w:hAnsi="Arial"/>
        </w:rPr>
        <w:t>ser</w:t>
      </w:r>
      <w:r>
        <w:rPr>
          <w:rFonts w:ascii="Arial" w:hAnsi="Arial"/>
          <w:spacing w:val="-4"/>
        </w:rPr>
        <w:t xml:space="preserve"> </w:t>
      </w:r>
      <w:r>
        <w:rPr>
          <w:rFonts w:ascii="Arial" w:hAnsi="Arial"/>
        </w:rPr>
        <w:t>atualizados</w:t>
      </w:r>
      <w:r>
        <w:rPr>
          <w:rFonts w:ascii="Arial" w:hAnsi="Arial"/>
          <w:spacing w:val="-4"/>
        </w:rPr>
        <w:t xml:space="preserve"> </w:t>
      </w:r>
      <w:r>
        <w:rPr>
          <w:rFonts w:ascii="Arial" w:hAnsi="Arial"/>
        </w:rPr>
        <w:t>com</w:t>
      </w:r>
      <w:r>
        <w:rPr>
          <w:rFonts w:ascii="Arial" w:hAnsi="Arial"/>
          <w:spacing w:val="-4"/>
        </w:rPr>
        <w:t xml:space="preserve"> </w:t>
      </w:r>
      <w:r>
        <w:rPr>
          <w:rFonts w:ascii="Arial" w:hAnsi="Arial"/>
        </w:rPr>
        <w:t>base</w:t>
      </w:r>
      <w:r>
        <w:rPr>
          <w:rFonts w:ascii="Arial" w:hAnsi="Arial"/>
          <w:spacing w:val="-4"/>
        </w:rPr>
        <w:t xml:space="preserve"> </w:t>
      </w:r>
      <w:r>
        <w:rPr>
          <w:rFonts w:ascii="Arial" w:hAnsi="Arial"/>
        </w:rPr>
        <w:t>no</w:t>
      </w:r>
      <w:r>
        <w:rPr>
          <w:rFonts w:ascii="Arial" w:hAnsi="Arial"/>
          <w:spacing w:val="-4"/>
        </w:rPr>
        <w:t xml:space="preserve"> </w:t>
      </w:r>
      <w:r>
        <w:rPr>
          <w:rFonts w:ascii="Arial" w:hAnsi="Arial"/>
        </w:rPr>
        <w:t>acumulado</w:t>
      </w:r>
      <w:r>
        <w:rPr>
          <w:rFonts w:ascii="Arial" w:hAnsi="Arial"/>
          <w:spacing w:val="-4"/>
        </w:rPr>
        <w:t xml:space="preserve"> </w:t>
      </w:r>
      <w:r>
        <w:rPr>
          <w:rFonts w:ascii="Arial" w:hAnsi="Arial"/>
        </w:rPr>
        <w:t>do</w:t>
      </w:r>
      <w:r>
        <w:rPr>
          <w:rFonts w:ascii="Arial" w:hAnsi="Arial"/>
          <w:spacing w:val="-4"/>
        </w:rPr>
        <w:t xml:space="preserve"> </w:t>
      </w:r>
      <w:r>
        <w:rPr>
          <w:rFonts w:ascii="Arial" w:hAnsi="Arial"/>
        </w:rPr>
        <w:t>índice</w:t>
      </w:r>
      <w:r>
        <w:rPr>
          <w:rFonts w:ascii="Arial" w:hAnsi="Arial"/>
          <w:spacing w:val="-5"/>
        </w:rPr>
        <w:t xml:space="preserve"> </w:t>
      </w:r>
      <w:r>
        <w:rPr>
          <w:rFonts w:ascii="Arial" w:hAnsi="Arial"/>
        </w:rPr>
        <w:t>inflacionário</w:t>
      </w:r>
      <w:r>
        <w:rPr>
          <w:rFonts w:ascii="Arial" w:hAnsi="Arial"/>
          <w:spacing w:val="-4"/>
        </w:rPr>
        <w:t xml:space="preserve"> </w:t>
      </w:r>
      <w:r>
        <w:rPr>
          <w:rFonts w:ascii="Arial" w:hAnsi="Arial"/>
        </w:rPr>
        <w:t>IPCA</w:t>
      </w:r>
      <w:r>
        <w:rPr>
          <w:rFonts w:ascii="Arial" w:hAnsi="Arial"/>
          <w:spacing w:val="-4"/>
        </w:rPr>
        <w:t xml:space="preserve"> </w:t>
      </w:r>
      <w:r>
        <w:rPr>
          <w:rFonts w:ascii="Arial" w:hAnsi="Arial"/>
        </w:rPr>
        <w:t>no</w:t>
      </w:r>
      <w:r>
        <w:rPr>
          <w:rFonts w:ascii="Arial" w:hAnsi="Arial"/>
          <w:spacing w:val="-4"/>
        </w:rPr>
        <w:t xml:space="preserve"> </w:t>
      </w:r>
      <w:r>
        <w:rPr>
          <w:rFonts w:ascii="Arial" w:hAnsi="Arial"/>
        </w:rPr>
        <w:t>período</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vigência</w:t>
      </w:r>
      <w:r>
        <w:rPr>
          <w:rFonts w:ascii="Arial" w:hAnsi="Arial"/>
          <w:spacing w:val="-4"/>
        </w:rPr>
        <w:t xml:space="preserve"> </w:t>
      </w:r>
      <w:r>
        <w:rPr>
          <w:rFonts w:ascii="Arial" w:hAnsi="Arial"/>
        </w:rPr>
        <w:t>original.</w:t>
      </w:r>
    </w:p>
    <w:p>
      <w:pPr>
        <w:pStyle w:val="ListParagraph"/>
        <w:tabs>
          <w:tab w:val="clear" w:pos="708"/>
          <w:tab w:val="left" w:pos="330" w:leader="none"/>
        </w:tabs>
        <w:spacing w:lineRule="auto" w:line="240" w:before="0" w:after="0"/>
        <w:ind w:left="0" w:hanging="0"/>
        <w:contextualSpacing/>
        <w:jc w:val="both"/>
        <w:rPr>
          <w:rFonts w:ascii="Arial" w:hAnsi="Arial"/>
        </w:rPr>
      </w:pPr>
      <w:r>
        <w:rPr>
          <w:rFonts w:ascii="Arial" w:hAnsi="Arial"/>
        </w:rPr>
        <w:t>7.1.</w:t>
        <w:tab/>
        <w:t>Fica ressalvada a possibilidade de alteração das condições para a concessão de reajustes em face da superveniência de normas federais</w:t>
      </w:r>
      <w:r>
        <w:rPr>
          <w:rFonts w:ascii="Arial" w:hAnsi="Arial"/>
          <w:spacing w:val="1"/>
        </w:rPr>
        <w:t xml:space="preserve"> </w:t>
      </w:r>
      <w:r>
        <w:rPr>
          <w:rFonts w:ascii="Arial" w:hAnsi="Arial"/>
        </w:rPr>
        <w:t>aplicáveis</w:t>
      </w:r>
      <w:r>
        <w:rPr>
          <w:rFonts w:ascii="Arial" w:hAnsi="Arial"/>
          <w:spacing w:val="-1"/>
        </w:rPr>
        <w:t xml:space="preserve"> </w:t>
      </w:r>
      <w:r>
        <w:rPr>
          <w:rFonts w:ascii="Arial" w:hAnsi="Arial"/>
        </w:rPr>
        <w:t>à</w:t>
      </w:r>
      <w:r>
        <w:rPr>
          <w:rFonts w:ascii="Arial" w:hAnsi="Arial"/>
          <w:spacing w:val="-1"/>
        </w:rPr>
        <w:t xml:space="preserve"> </w:t>
      </w:r>
      <w:r>
        <w:rPr>
          <w:rFonts w:ascii="Arial" w:hAnsi="Arial"/>
        </w:rPr>
        <w:t>espécie.</w:t>
      </w:r>
    </w:p>
    <w:p>
      <w:pPr>
        <w:pStyle w:val="ListParagraph"/>
        <w:tabs>
          <w:tab w:val="clear" w:pos="708"/>
          <w:tab w:val="left" w:pos="418" w:leader="none"/>
        </w:tabs>
        <w:spacing w:lineRule="auto" w:line="240" w:before="0" w:after="0"/>
        <w:ind w:left="0" w:hanging="0"/>
        <w:contextualSpacing/>
        <w:jc w:val="both"/>
        <w:rPr>
          <w:rFonts w:ascii="Arial" w:hAnsi="Arial"/>
        </w:rPr>
      </w:pPr>
      <w:r>
        <w:rPr>
          <w:rFonts w:ascii="Arial" w:hAnsi="Arial"/>
        </w:rPr>
        <w:t>7.2.</w:t>
        <w:tab/>
        <w:tab/>
        <w:t>Se</w:t>
      </w:r>
      <w:r>
        <w:rPr>
          <w:rFonts w:ascii="Arial" w:hAnsi="Arial"/>
          <w:spacing w:val="4"/>
        </w:rPr>
        <w:t xml:space="preserve"> </w:t>
      </w:r>
      <w:r>
        <w:rPr>
          <w:rFonts w:ascii="Arial" w:hAnsi="Arial"/>
        </w:rPr>
        <w:t>no</w:t>
      </w:r>
      <w:r>
        <w:rPr>
          <w:rFonts w:ascii="Arial" w:hAnsi="Arial"/>
          <w:spacing w:val="5"/>
        </w:rPr>
        <w:t xml:space="preserve"> </w:t>
      </w:r>
      <w:r>
        <w:rPr>
          <w:rFonts w:ascii="Arial" w:hAnsi="Arial"/>
        </w:rPr>
        <w:t>decorrer</w:t>
      </w:r>
      <w:r>
        <w:rPr>
          <w:rFonts w:ascii="Arial" w:hAnsi="Arial"/>
          <w:spacing w:val="5"/>
        </w:rPr>
        <w:t xml:space="preserve"> </w:t>
      </w:r>
      <w:r>
        <w:rPr>
          <w:rFonts w:ascii="Arial" w:hAnsi="Arial"/>
        </w:rPr>
        <w:t>dos</w:t>
      </w:r>
      <w:r>
        <w:rPr>
          <w:rFonts w:ascii="Arial" w:hAnsi="Arial"/>
          <w:spacing w:val="4"/>
        </w:rPr>
        <w:t xml:space="preserve"> </w:t>
      </w:r>
      <w:r>
        <w:rPr>
          <w:rFonts w:ascii="Arial" w:hAnsi="Arial"/>
        </w:rPr>
        <w:t>fornecimentos</w:t>
      </w:r>
      <w:r>
        <w:rPr>
          <w:rFonts w:ascii="Arial" w:hAnsi="Arial"/>
          <w:spacing w:val="5"/>
        </w:rPr>
        <w:t xml:space="preserve"> </w:t>
      </w:r>
      <w:r>
        <w:rPr>
          <w:rFonts w:ascii="Arial" w:hAnsi="Arial"/>
        </w:rPr>
        <w:t>oriundos</w:t>
      </w:r>
      <w:r>
        <w:rPr>
          <w:rFonts w:ascii="Arial" w:hAnsi="Arial"/>
          <w:spacing w:val="5"/>
        </w:rPr>
        <w:t xml:space="preserve"> </w:t>
      </w:r>
      <w:r>
        <w:rPr>
          <w:rFonts w:ascii="Arial" w:hAnsi="Arial"/>
        </w:rPr>
        <w:t>da</w:t>
      </w:r>
      <w:r>
        <w:rPr>
          <w:rFonts w:ascii="Arial" w:hAnsi="Arial"/>
          <w:spacing w:val="4"/>
        </w:rPr>
        <w:t xml:space="preserve"> </w:t>
      </w:r>
      <w:r>
        <w:rPr>
          <w:rFonts w:ascii="Arial" w:hAnsi="Arial"/>
        </w:rPr>
        <w:t>Ata</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Registro</w:t>
      </w:r>
      <w:r>
        <w:rPr>
          <w:rFonts w:ascii="Arial" w:hAnsi="Arial"/>
          <w:spacing w:val="4"/>
        </w:rPr>
        <w:t xml:space="preserve"> </w:t>
      </w:r>
      <w:r>
        <w:rPr>
          <w:rFonts w:ascii="Arial" w:hAnsi="Arial"/>
        </w:rPr>
        <w:t>de</w:t>
      </w:r>
      <w:r>
        <w:rPr>
          <w:rFonts w:ascii="Arial" w:hAnsi="Arial"/>
          <w:spacing w:val="5"/>
        </w:rPr>
        <w:t xml:space="preserve"> </w:t>
      </w:r>
      <w:r>
        <w:rPr>
          <w:rFonts w:ascii="Arial" w:hAnsi="Arial"/>
        </w:rPr>
        <w:t>Preços,</w:t>
      </w:r>
      <w:r>
        <w:rPr>
          <w:rFonts w:ascii="Arial" w:hAnsi="Arial"/>
          <w:spacing w:val="5"/>
        </w:rPr>
        <w:t xml:space="preserve"> </w:t>
      </w:r>
      <w:r>
        <w:rPr>
          <w:rFonts w:ascii="Arial" w:hAnsi="Arial"/>
        </w:rPr>
        <w:t>ficar</w:t>
      </w:r>
      <w:r>
        <w:rPr>
          <w:rFonts w:ascii="Arial" w:hAnsi="Arial"/>
          <w:spacing w:val="4"/>
        </w:rPr>
        <w:t xml:space="preserve"> </w:t>
      </w:r>
      <w:r>
        <w:rPr>
          <w:rFonts w:ascii="Arial" w:hAnsi="Arial"/>
        </w:rPr>
        <w:t>comprovado</w:t>
      </w:r>
      <w:r>
        <w:rPr>
          <w:rFonts w:ascii="Arial" w:hAnsi="Arial"/>
          <w:spacing w:val="5"/>
        </w:rPr>
        <w:t xml:space="preserve"> </w:t>
      </w:r>
      <w:r>
        <w:rPr>
          <w:rFonts w:ascii="Arial" w:hAnsi="Arial"/>
        </w:rPr>
        <w:t>que</w:t>
      </w:r>
      <w:r>
        <w:rPr>
          <w:rFonts w:ascii="Arial" w:hAnsi="Arial"/>
          <w:spacing w:val="5"/>
        </w:rPr>
        <w:t xml:space="preserve"> </w:t>
      </w:r>
      <w:r>
        <w:rPr>
          <w:rFonts w:ascii="Arial" w:hAnsi="Arial"/>
        </w:rPr>
        <w:t>os</w:t>
      </w:r>
      <w:r>
        <w:rPr>
          <w:rFonts w:ascii="Arial" w:hAnsi="Arial"/>
          <w:spacing w:val="4"/>
        </w:rPr>
        <w:t xml:space="preserve"> </w:t>
      </w:r>
      <w:r>
        <w:rPr>
          <w:rFonts w:ascii="Arial" w:hAnsi="Arial"/>
        </w:rPr>
        <w:t>preços</w:t>
      </w:r>
      <w:r>
        <w:rPr>
          <w:rFonts w:ascii="Arial" w:hAnsi="Arial"/>
          <w:spacing w:val="5"/>
        </w:rPr>
        <w:t xml:space="preserve"> </w:t>
      </w:r>
      <w:r>
        <w:rPr>
          <w:rFonts w:ascii="Arial" w:hAnsi="Arial"/>
        </w:rPr>
        <w:t>registrados</w:t>
      </w:r>
      <w:r>
        <w:rPr>
          <w:rFonts w:ascii="Arial" w:hAnsi="Arial"/>
          <w:spacing w:val="5"/>
        </w:rPr>
        <w:t xml:space="preserve"> </w:t>
      </w:r>
      <w:r>
        <w:rPr>
          <w:rFonts w:ascii="Arial" w:hAnsi="Arial"/>
        </w:rPr>
        <w:t>são</w:t>
      </w:r>
      <w:r>
        <w:rPr>
          <w:rFonts w:ascii="Arial" w:hAnsi="Arial"/>
          <w:spacing w:val="4"/>
        </w:rPr>
        <w:t xml:space="preserve"> </w:t>
      </w:r>
      <w:r>
        <w:rPr>
          <w:rFonts w:ascii="Arial" w:hAnsi="Arial"/>
        </w:rPr>
        <w:t>incompatíveis</w:t>
      </w:r>
      <w:r>
        <w:rPr>
          <w:rFonts w:ascii="Arial" w:hAnsi="Arial"/>
          <w:spacing w:val="5"/>
        </w:rPr>
        <w:t xml:space="preserve"> </w:t>
      </w:r>
      <w:r>
        <w:rPr>
          <w:rFonts w:ascii="Arial" w:hAnsi="Arial"/>
        </w:rPr>
        <w:t>com</w:t>
      </w:r>
      <w:r>
        <w:rPr>
          <w:rFonts w:ascii="Arial" w:hAnsi="Arial"/>
          <w:spacing w:val="1"/>
        </w:rPr>
        <w:t xml:space="preserve"> </w:t>
      </w:r>
      <w:r>
        <w:rPr>
          <w:rFonts w:ascii="Arial" w:hAnsi="Arial"/>
        </w:rPr>
        <w:t>os fixados por órgãos oficiais ou com os praticados no mercado, a Administração reserva-se o direito de aplicar o disposto no artigo 75, inciso III,</w:t>
      </w:r>
      <w:r>
        <w:rPr>
          <w:rFonts w:ascii="Arial" w:hAnsi="Arial"/>
          <w:spacing w:val="1"/>
        </w:rPr>
        <w:t xml:space="preserve"> </w:t>
      </w:r>
      <w:r>
        <w:rPr>
          <w:rFonts w:ascii="Arial" w:hAnsi="Arial"/>
        </w:rPr>
        <w:t>alínea b da Lei nº. 14.133/2021 e alterações, efetuando a compra direta, por valor não superior ao constante da Ata de Registro de Preços. Tal</w:t>
      </w:r>
      <w:r>
        <w:rPr>
          <w:rFonts w:ascii="Arial" w:hAnsi="Arial"/>
          <w:spacing w:val="1"/>
        </w:rPr>
        <w:t xml:space="preserve"> </w:t>
      </w:r>
      <w:r>
        <w:rPr>
          <w:rFonts w:ascii="Arial" w:hAnsi="Arial"/>
        </w:rPr>
        <w:t>comprovação</w:t>
      </w:r>
      <w:r>
        <w:rPr>
          <w:rFonts w:ascii="Arial" w:hAnsi="Arial"/>
          <w:spacing w:val="-2"/>
        </w:rPr>
        <w:t xml:space="preserve"> </w:t>
      </w:r>
      <w:r>
        <w:rPr>
          <w:rFonts w:ascii="Arial" w:hAnsi="Arial"/>
        </w:rPr>
        <w:t>será</w:t>
      </w:r>
      <w:r>
        <w:rPr>
          <w:rFonts w:ascii="Arial" w:hAnsi="Arial"/>
          <w:spacing w:val="-1"/>
        </w:rPr>
        <w:t xml:space="preserve"> </w:t>
      </w:r>
      <w:r>
        <w:rPr>
          <w:rFonts w:ascii="Arial" w:hAnsi="Arial"/>
        </w:rPr>
        <w:t>feita</w:t>
      </w:r>
      <w:r>
        <w:rPr>
          <w:rFonts w:ascii="Arial" w:hAnsi="Arial"/>
          <w:spacing w:val="-1"/>
        </w:rPr>
        <w:t xml:space="preserve"> </w:t>
      </w:r>
      <w:r>
        <w:rPr>
          <w:rFonts w:ascii="Arial" w:hAnsi="Arial"/>
        </w:rPr>
        <w:t>através</w:t>
      </w:r>
      <w:r>
        <w:rPr>
          <w:rFonts w:ascii="Arial" w:hAnsi="Arial"/>
          <w:spacing w:val="-1"/>
        </w:rPr>
        <w:t xml:space="preserve"> </w:t>
      </w:r>
      <w:r>
        <w:rPr>
          <w:rFonts w:ascii="Arial" w:hAnsi="Arial"/>
        </w:rPr>
        <w:t>de</w:t>
      </w:r>
      <w:r>
        <w:rPr>
          <w:rFonts w:ascii="Arial" w:hAnsi="Arial"/>
          <w:spacing w:val="-2"/>
        </w:rPr>
        <w:t xml:space="preserve"> </w:t>
      </w:r>
      <w:r>
        <w:rPr>
          <w:rFonts w:ascii="Arial" w:hAnsi="Arial"/>
        </w:rPr>
        <w:t>tabelas</w:t>
      </w:r>
      <w:r>
        <w:rPr>
          <w:rFonts w:ascii="Arial" w:hAnsi="Arial"/>
          <w:spacing w:val="-1"/>
        </w:rPr>
        <w:t xml:space="preserve"> </w:t>
      </w:r>
      <w:r>
        <w:rPr>
          <w:rFonts w:ascii="Arial" w:hAnsi="Arial"/>
        </w:rPr>
        <w:t>oficiais</w:t>
      </w:r>
      <w:r>
        <w:rPr>
          <w:rFonts w:ascii="Arial" w:hAnsi="Arial"/>
          <w:spacing w:val="-1"/>
        </w:rPr>
        <w:t xml:space="preserve"> </w:t>
      </w:r>
      <w:r>
        <w:rPr>
          <w:rFonts w:ascii="Arial" w:hAnsi="Arial"/>
        </w:rPr>
        <w:t>e/ou</w:t>
      </w:r>
      <w:r>
        <w:rPr>
          <w:rFonts w:ascii="Arial" w:hAnsi="Arial"/>
          <w:spacing w:val="-1"/>
        </w:rPr>
        <w:t xml:space="preserve"> </w:t>
      </w:r>
      <w:r>
        <w:rPr>
          <w:rFonts w:ascii="Arial" w:hAnsi="Arial"/>
        </w:rPr>
        <w:t>cotações</w:t>
      </w:r>
      <w:r>
        <w:rPr>
          <w:rFonts w:ascii="Arial" w:hAnsi="Arial"/>
          <w:spacing w:val="-1"/>
        </w:rPr>
        <w:t xml:space="preserve"> </w:t>
      </w:r>
      <w:r>
        <w:rPr>
          <w:rFonts w:ascii="Arial" w:hAnsi="Arial"/>
        </w:rPr>
        <w:t>de</w:t>
      </w:r>
      <w:r>
        <w:rPr>
          <w:rFonts w:ascii="Arial" w:hAnsi="Arial"/>
          <w:spacing w:val="-2"/>
        </w:rPr>
        <w:t xml:space="preserve"> </w:t>
      </w:r>
      <w:r>
        <w:rPr>
          <w:rFonts w:ascii="Arial" w:hAnsi="Arial"/>
        </w:rPr>
        <w:t>mercado.</w:t>
      </w:r>
    </w:p>
    <w:p>
      <w:pPr>
        <w:pStyle w:val="Default"/>
        <w:jc w:val="both"/>
        <w:rPr>
          <w:rFonts w:ascii="Arial" w:hAnsi="Arial"/>
          <w:sz w:val="22"/>
        </w:rPr>
      </w:pPr>
      <w:r>
        <w:rPr>
          <w:rFonts w:eastAsia="Arial MT" w:cs="Arial MT" w:ascii="Arial" w:hAnsi="Arial"/>
          <w:color w:val="auto"/>
          <w:sz w:val="22"/>
          <w:lang w:val="pt-PT"/>
        </w:rPr>
        <w:t xml:space="preserve">7.3. O reequilíbrio econômico poderá ser solicitado a qualquer tempo pelo Contratado,  desde que comprovado caso de força maior, caso fortuito ou fato do príncipe ou em decorrência de fatos imprevisíveis ou previsíveis de consequências incalculáveis, que inviabilizem a execução da presente ata tal como pactuado, nos termos do art. 124, inciso II, alínea “d” da lei nº 14.133/21, sendo que a resposta de deferimento ou indeferimento do pedido ocorrerá sempre no primeiro dia do mês subsequente a requisição. </w:t>
      </w:r>
    </w:p>
    <w:p>
      <w:pPr>
        <w:pStyle w:val="Normal"/>
        <w:widowControl w:val="false"/>
        <w:tabs>
          <w:tab w:val="clear" w:pos="708"/>
          <w:tab w:val="left" w:pos="10597" w:leader="none"/>
        </w:tabs>
        <w:spacing w:lineRule="auto" w:line="240" w:before="0" w:after="0"/>
        <w:jc w:val="both"/>
        <w:textAlignment w:val="baseline"/>
        <w:rPr>
          <w:rFonts w:ascii="Arial" w:hAnsi="Arial"/>
        </w:rPr>
      </w:pPr>
      <w:r>
        <w:rPr>
          <w:rFonts w:eastAsia="Times New Roman" w:cs="Arial" w:ascii="Arial" w:hAnsi="Arial"/>
          <w:color w:val="000000"/>
          <w:spacing w:val="-3"/>
          <w:lang w:eastAsia="pt-BR"/>
        </w:rPr>
        <w:t>7.3.1 Se concedido o reequilíbrio este atingirá somente compras futuras, posteriores ao pedido, não recaindo nas compras já solicitadas e empenhadas. Devendo o fornecedor entregar os bens já empenhados pelo valor da licitação.</w:t>
      </w:r>
    </w:p>
    <w:p>
      <w:pPr>
        <w:pStyle w:val="Normal"/>
        <w:widowControl w:val="false"/>
        <w:tabs>
          <w:tab w:val="clear" w:pos="708"/>
          <w:tab w:val="left" w:pos="10597" w:leader="none"/>
        </w:tabs>
        <w:spacing w:lineRule="auto" w:line="240" w:before="0" w:after="0"/>
        <w:jc w:val="both"/>
        <w:textAlignment w:val="baseline"/>
        <w:rPr>
          <w:rFonts w:eastAsia="Times New Roman" w:cs="Arial"/>
          <w:spacing w:val="-3"/>
          <w:lang w:eastAsia="pt-BR"/>
        </w:rPr>
      </w:pPr>
      <w:r>
        <w:rPr>
          <w:rFonts w:eastAsia="Times New Roman" w:cs="Arial"/>
          <w:spacing w:val="-3"/>
          <w:lang w:eastAsia="pt-BR"/>
        </w:rPr>
      </w:r>
    </w:p>
    <w:p>
      <w:pPr>
        <w:pStyle w:val="Ttulo2"/>
        <w:widowControl w:val="false"/>
        <w:numPr>
          <w:ilvl w:val="1"/>
          <w:numId w:val="51"/>
        </w:numPr>
        <w:tabs>
          <w:tab w:val="clear" w:pos="708"/>
          <w:tab w:val="left" w:pos="10597" w:leader="none"/>
        </w:tabs>
        <w:spacing w:lineRule="auto" w:line="240" w:before="0" w:after="0"/>
        <w:ind w:hanging="22"/>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VIII</w:t>
      </w:r>
      <w:r>
        <w:rPr>
          <w:rFonts w:eastAsia="Times New Roman" w:cs="Arial" w:ascii="Arial" w:hAnsi="Arial"/>
          <w:bCs w:val="false"/>
          <w:color w:val="000000"/>
          <w:spacing w:val="-3"/>
          <w:sz w:val="22"/>
          <w:szCs w:val="22"/>
          <w:shd w:fill="CCCCCC" w:val="clear"/>
          <w:lang w:eastAsia="pt-BR"/>
        </w:rPr>
        <w:t xml:space="preserve"> – DO CANCELAMENTO DA ATA DE REGISTRO DE PREÇOS</w:t>
      </w:r>
    </w:p>
    <w:p>
      <w:pPr>
        <w:pStyle w:val="ListParagraph"/>
        <w:tabs>
          <w:tab w:val="clear" w:pos="708"/>
          <w:tab w:val="left" w:pos="320" w:leader="none"/>
        </w:tabs>
        <w:spacing w:lineRule="auto" w:line="240" w:before="0" w:after="0"/>
        <w:contextualSpacing/>
        <w:rPr>
          <w:rFonts w:eastAsia="Times New Roman" w:cs="Arial"/>
          <w:spacing w:val="-3"/>
          <w:lang w:eastAsia="pt-BR"/>
        </w:rPr>
      </w:pPr>
      <w:r>
        <w:rPr>
          <w:rFonts w:eastAsia="Times New Roman" w:cs="Arial"/>
          <w:spacing w:val="-3"/>
          <w:lang w:eastAsia="pt-BR"/>
        </w:rPr>
      </w:r>
    </w:p>
    <w:p>
      <w:pPr>
        <w:pStyle w:val="ListParagraph"/>
        <w:tabs>
          <w:tab w:val="clear" w:pos="708"/>
          <w:tab w:val="left" w:pos="320" w:leader="none"/>
        </w:tabs>
        <w:spacing w:lineRule="auto" w:line="240" w:before="0" w:after="0"/>
        <w:ind w:left="0" w:hanging="0"/>
        <w:contextualSpacing/>
        <w:jc w:val="both"/>
        <w:rPr>
          <w:rFonts w:ascii="Arial" w:hAnsi="Arial"/>
        </w:rPr>
      </w:pPr>
      <w:r>
        <w:rPr>
          <w:rFonts w:eastAsia="Times New Roman" w:cs="Arial" w:ascii="Arial" w:hAnsi="Arial"/>
          <w:color w:val="000000"/>
          <w:spacing w:val="-3"/>
          <w:lang w:eastAsia="pt-BR"/>
        </w:rPr>
        <w:t xml:space="preserve">8. </w:t>
      </w:r>
      <w:r>
        <w:rPr>
          <w:rFonts w:ascii="Arial" w:hAnsi="Arial"/>
        </w:rPr>
        <w:t>A</w:t>
      </w:r>
      <w:r>
        <w:rPr>
          <w:rFonts w:ascii="Arial" w:hAnsi="Arial"/>
          <w:spacing w:val="-4"/>
        </w:rPr>
        <w:t xml:space="preserve"> </w:t>
      </w:r>
      <w:r>
        <w:rPr>
          <w:rFonts w:ascii="Arial" w:hAnsi="Arial"/>
        </w:rPr>
        <w:t>Ata</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Registro</w:t>
      </w:r>
      <w:r>
        <w:rPr>
          <w:rFonts w:ascii="Arial" w:hAnsi="Arial"/>
          <w:spacing w:val="-4"/>
        </w:rPr>
        <w:t xml:space="preserve"> </w:t>
      </w:r>
      <w:r>
        <w:rPr>
          <w:rFonts w:ascii="Arial" w:hAnsi="Arial"/>
        </w:rPr>
        <w:t>de</w:t>
      </w:r>
      <w:r>
        <w:rPr>
          <w:rFonts w:ascii="Arial" w:hAnsi="Arial"/>
          <w:spacing w:val="-3"/>
        </w:rPr>
        <w:t xml:space="preserve"> </w:t>
      </w:r>
      <w:r>
        <w:rPr>
          <w:rFonts w:ascii="Arial" w:hAnsi="Arial"/>
        </w:rPr>
        <w:t>Preços</w:t>
      </w:r>
      <w:r>
        <w:rPr>
          <w:rFonts w:ascii="Arial" w:hAnsi="Arial"/>
          <w:spacing w:val="-4"/>
        </w:rPr>
        <w:t xml:space="preserve"> </w:t>
      </w:r>
      <w:r>
        <w:rPr>
          <w:rFonts w:ascii="Arial" w:hAnsi="Arial"/>
        </w:rPr>
        <w:t>poderá</w:t>
      </w:r>
      <w:r>
        <w:rPr>
          <w:rFonts w:ascii="Arial" w:hAnsi="Arial"/>
          <w:spacing w:val="-4"/>
        </w:rPr>
        <w:t xml:space="preserve"> </w:t>
      </w:r>
      <w:r>
        <w:rPr>
          <w:rFonts w:ascii="Arial" w:hAnsi="Arial"/>
        </w:rPr>
        <w:t>ser</w:t>
      </w:r>
      <w:r>
        <w:rPr>
          <w:rFonts w:ascii="Arial" w:hAnsi="Arial"/>
          <w:spacing w:val="-4"/>
        </w:rPr>
        <w:t xml:space="preserve"> </w:t>
      </w:r>
      <w:r>
        <w:rPr>
          <w:rFonts w:ascii="Arial" w:hAnsi="Arial"/>
        </w:rPr>
        <w:t>cancelada,</w:t>
      </w:r>
      <w:r>
        <w:rPr>
          <w:rFonts w:ascii="Arial" w:hAnsi="Arial"/>
          <w:spacing w:val="-4"/>
        </w:rPr>
        <w:t xml:space="preserve"> </w:t>
      </w:r>
      <w:r>
        <w:rPr>
          <w:rFonts w:ascii="Arial" w:hAnsi="Arial"/>
        </w:rPr>
        <w:t>de</w:t>
      </w:r>
      <w:r>
        <w:rPr>
          <w:rFonts w:ascii="Arial" w:hAnsi="Arial"/>
          <w:spacing w:val="-3"/>
        </w:rPr>
        <w:t xml:space="preserve"> </w:t>
      </w:r>
      <w:r>
        <w:rPr>
          <w:rFonts w:ascii="Arial" w:hAnsi="Arial"/>
        </w:rPr>
        <w:t>pleno</w:t>
      </w:r>
      <w:r>
        <w:rPr>
          <w:rFonts w:ascii="Arial" w:hAnsi="Arial"/>
          <w:spacing w:val="-4"/>
        </w:rPr>
        <w:t xml:space="preserve"> </w:t>
      </w:r>
      <w:r>
        <w:rPr>
          <w:rFonts w:ascii="Arial" w:hAnsi="Arial"/>
        </w:rPr>
        <w:t>direito:</w:t>
      </w:r>
    </w:p>
    <w:p>
      <w:pPr>
        <w:pStyle w:val="ListParagraph"/>
        <w:tabs>
          <w:tab w:val="clear" w:pos="708"/>
          <w:tab w:val="left" w:pos="409" w:leader="none"/>
        </w:tabs>
        <w:spacing w:lineRule="auto" w:line="240" w:before="0" w:after="0"/>
        <w:ind w:left="0" w:hanging="0"/>
        <w:contextualSpacing/>
        <w:jc w:val="both"/>
        <w:rPr>
          <w:rFonts w:ascii="Arial" w:hAnsi="Arial"/>
        </w:rPr>
      </w:pPr>
      <w:r>
        <w:rPr>
          <w:rFonts w:ascii="Arial" w:hAnsi="Arial"/>
        </w:rPr>
        <w:t>8.1.</w:t>
        <w:tab/>
        <w:t>Pela</w:t>
      </w:r>
      <w:r>
        <w:rPr>
          <w:rFonts w:ascii="Arial" w:hAnsi="Arial"/>
          <w:spacing w:val="-7"/>
        </w:rPr>
        <w:t xml:space="preserve"> </w:t>
      </w:r>
      <w:r>
        <w:rPr>
          <w:rFonts w:ascii="Arial" w:hAnsi="Arial"/>
        </w:rPr>
        <w:t>Administração</w:t>
      </w:r>
      <w:r>
        <w:rPr>
          <w:rFonts w:ascii="Arial" w:hAnsi="Arial"/>
          <w:spacing w:val="-6"/>
        </w:rPr>
        <w:t xml:space="preserve"> </w:t>
      </w:r>
      <w:r>
        <w:rPr>
          <w:rFonts w:ascii="Arial" w:hAnsi="Arial"/>
        </w:rPr>
        <w:t>Municipal,</w:t>
      </w:r>
      <w:r>
        <w:rPr>
          <w:rFonts w:ascii="Arial" w:hAnsi="Arial"/>
          <w:spacing w:val="-6"/>
        </w:rPr>
        <w:t xml:space="preserve"> </w:t>
      </w:r>
      <w:r>
        <w:rPr>
          <w:rFonts w:ascii="Arial" w:hAnsi="Arial"/>
        </w:rPr>
        <w:t>quando:</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8.1.1. A</w:t>
      </w:r>
      <w:r>
        <w:rPr>
          <w:rFonts w:ascii="Arial" w:hAnsi="Arial"/>
          <w:spacing w:val="-5"/>
        </w:rPr>
        <w:t xml:space="preserve"> </w:t>
      </w:r>
      <w:r>
        <w:rPr>
          <w:rFonts w:ascii="Arial" w:hAnsi="Arial"/>
        </w:rPr>
        <w:t>detentora</w:t>
      </w:r>
      <w:r>
        <w:rPr>
          <w:rFonts w:ascii="Arial" w:hAnsi="Arial"/>
          <w:spacing w:val="-4"/>
        </w:rPr>
        <w:t xml:space="preserve"> </w:t>
      </w:r>
      <w:r>
        <w:rPr>
          <w:rFonts w:ascii="Arial" w:hAnsi="Arial"/>
        </w:rPr>
        <w:t>não</w:t>
      </w:r>
      <w:r>
        <w:rPr>
          <w:rFonts w:ascii="Arial" w:hAnsi="Arial"/>
          <w:spacing w:val="-4"/>
        </w:rPr>
        <w:t xml:space="preserve"> </w:t>
      </w:r>
      <w:r>
        <w:rPr>
          <w:rFonts w:ascii="Arial" w:hAnsi="Arial"/>
        </w:rPr>
        <w:t>cumprir</w:t>
      </w:r>
      <w:r>
        <w:rPr>
          <w:rFonts w:ascii="Arial" w:hAnsi="Arial"/>
          <w:spacing w:val="-4"/>
        </w:rPr>
        <w:t xml:space="preserve"> </w:t>
      </w:r>
      <w:r>
        <w:rPr>
          <w:rFonts w:ascii="Arial" w:hAnsi="Arial"/>
        </w:rPr>
        <w:t>as</w:t>
      </w:r>
      <w:r>
        <w:rPr>
          <w:rFonts w:ascii="Arial" w:hAnsi="Arial"/>
          <w:spacing w:val="-4"/>
        </w:rPr>
        <w:t xml:space="preserve"> </w:t>
      </w:r>
      <w:r>
        <w:rPr>
          <w:rFonts w:ascii="Arial" w:hAnsi="Arial"/>
        </w:rPr>
        <w:t>obrigações</w:t>
      </w:r>
      <w:r>
        <w:rPr>
          <w:rFonts w:ascii="Arial" w:hAnsi="Arial"/>
          <w:spacing w:val="-5"/>
        </w:rPr>
        <w:t xml:space="preserve"> </w:t>
      </w:r>
      <w:r>
        <w:rPr>
          <w:rFonts w:ascii="Arial" w:hAnsi="Arial"/>
        </w:rPr>
        <w:t>constantes</w:t>
      </w:r>
      <w:r>
        <w:rPr>
          <w:rFonts w:ascii="Arial" w:hAnsi="Arial"/>
          <w:spacing w:val="-4"/>
        </w:rPr>
        <w:t xml:space="preserve"> </w:t>
      </w:r>
      <w:r>
        <w:rPr>
          <w:rFonts w:ascii="Arial" w:hAnsi="Arial"/>
        </w:rPr>
        <w:t>desta</w:t>
      </w:r>
      <w:r>
        <w:rPr>
          <w:rFonts w:ascii="Arial" w:hAnsi="Arial"/>
          <w:spacing w:val="-4"/>
        </w:rPr>
        <w:t xml:space="preserve"> </w:t>
      </w:r>
      <w:r>
        <w:rPr>
          <w:rFonts w:ascii="Arial" w:hAnsi="Arial"/>
        </w:rPr>
        <w:t>Ata</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Registro</w:t>
      </w:r>
      <w:r>
        <w:rPr>
          <w:rFonts w:ascii="Arial" w:hAnsi="Arial"/>
          <w:spacing w:val="-4"/>
        </w:rPr>
        <w:t xml:space="preserve"> </w:t>
      </w:r>
      <w:r>
        <w:rPr>
          <w:rFonts w:ascii="Arial" w:hAnsi="Arial"/>
        </w:rPr>
        <w:t>de</w:t>
      </w:r>
      <w:r>
        <w:rPr>
          <w:rFonts w:ascii="Arial" w:hAnsi="Arial"/>
          <w:spacing w:val="-5"/>
        </w:rPr>
        <w:t xml:space="preserve"> </w:t>
      </w:r>
      <w:r>
        <w:rPr>
          <w:rFonts w:ascii="Arial" w:hAnsi="Arial"/>
        </w:rPr>
        <w:t>Preços;</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8.1.2. A</w:t>
      </w:r>
      <w:r>
        <w:rPr>
          <w:rFonts w:ascii="Arial" w:hAnsi="Arial"/>
          <w:spacing w:val="-5"/>
        </w:rPr>
        <w:t xml:space="preserve"> </w:t>
      </w:r>
      <w:r>
        <w:rPr>
          <w:rFonts w:ascii="Arial" w:hAnsi="Arial"/>
        </w:rPr>
        <w:t>detentora</w:t>
      </w:r>
      <w:r>
        <w:rPr>
          <w:rFonts w:ascii="Arial" w:hAnsi="Arial"/>
          <w:spacing w:val="-5"/>
        </w:rPr>
        <w:t xml:space="preserve"> </w:t>
      </w:r>
      <w:r>
        <w:rPr>
          <w:rFonts w:ascii="Arial" w:hAnsi="Arial"/>
        </w:rPr>
        <w:t>não</w:t>
      </w:r>
      <w:r>
        <w:rPr>
          <w:rFonts w:ascii="Arial" w:hAnsi="Arial"/>
          <w:spacing w:val="-5"/>
        </w:rPr>
        <w:t xml:space="preserve"> </w:t>
      </w:r>
      <w:r>
        <w:rPr>
          <w:rFonts w:ascii="Arial" w:hAnsi="Arial"/>
        </w:rPr>
        <w:t>retirar</w:t>
      </w:r>
      <w:r>
        <w:rPr>
          <w:rFonts w:ascii="Arial" w:hAnsi="Arial"/>
          <w:spacing w:val="-5"/>
        </w:rPr>
        <w:t xml:space="preserve"> </w:t>
      </w:r>
      <w:r>
        <w:rPr>
          <w:rFonts w:ascii="Arial" w:hAnsi="Arial"/>
        </w:rPr>
        <w:t>a</w:t>
      </w:r>
      <w:r>
        <w:rPr>
          <w:rFonts w:ascii="Arial" w:hAnsi="Arial"/>
          <w:spacing w:val="-5"/>
        </w:rPr>
        <w:t xml:space="preserve"> </w:t>
      </w:r>
      <w:r>
        <w:rPr>
          <w:rFonts w:ascii="Arial" w:hAnsi="Arial"/>
        </w:rPr>
        <w:t>Nota</w:t>
      </w:r>
      <w:r>
        <w:rPr>
          <w:rFonts w:ascii="Arial" w:hAnsi="Arial"/>
          <w:spacing w:val="-5"/>
        </w:rPr>
        <w:t xml:space="preserve"> </w:t>
      </w:r>
      <w:r>
        <w:rPr>
          <w:rFonts w:ascii="Arial" w:hAnsi="Arial"/>
        </w:rPr>
        <w:t>de</w:t>
      </w:r>
      <w:r>
        <w:rPr>
          <w:rFonts w:ascii="Arial" w:hAnsi="Arial"/>
          <w:spacing w:val="-4"/>
        </w:rPr>
        <w:t xml:space="preserve"> </w:t>
      </w:r>
      <w:r>
        <w:rPr>
          <w:rFonts w:ascii="Arial" w:hAnsi="Arial"/>
        </w:rPr>
        <w:t>Empenho</w:t>
      </w:r>
      <w:r>
        <w:rPr>
          <w:rFonts w:ascii="Arial" w:hAnsi="Arial"/>
          <w:spacing w:val="-5"/>
        </w:rPr>
        <w:t xml:space="preserve"> </w:t>
      </w:r>
      <w:r>
        <w:rPr>
          <w:rFonts w:ascii="Arial" w:hAnsi="Arial"/>
        </w:rPr>
        <w:t>no</w:t>
      </w:r>
      <w:r>
        <w:rPr>
          <w:rFonts w:ascii="Arial" w:hAnsi="Arial"/>
          <w:spacing w:val="-5"/>
        </w:rPr>
        <w:t xml:space="preserve"> </w:t>
      </w:r>
      <w:r>
        <w:rPr>
          <w:rFonts w:ascii="Arial" w:hAnsi="Arial"/>
        </w:rPr>
        <w:t>prazo</w:t>
      </w:r>
      <w:r>
        <w:rPr>
          <w:rFonts w:ascii="Arial" w:hAnsi="Arial"/>
          <w:spacing w:val="-5"/>
        </w:rPr>
        <w:t xml:space="preserve"> </w:t>
      </w:r>
      <w:r>
        <w:rPr>
          <w:rFonts w:ascii="Arial" w:hAnsi="Arial"/>
        </w:rPr>
        <w:t>estabelecido</w:t>
      </w:r>
      <w:r>
        <w:rPr>
          <w:rFonts w:ascii="Arial" w:hAnsi="Arial"/>
          <w:spacing w:val="-5"/>
        </w:rPr>
        <w:t xml:space="preserve"> </w:t>
      </w:r>
      <w:r>
        <w:rPr>
          <w:rFonts w:ascii="Arial" w:hAnsi="Arial"/>
        </w:rPr>
        <w:t>e</w:t>
      </w:r>
      <w:r>
        <w:rPr>
          <w:rFonts w:ascii="Arial" w:hAnsi="Arial"/>
          <w:spacing w:val="-5"/>
        </w:rPr>
        <w:t xml:space="preserve"> </w:t>
      </w:r>
      <w:r>
        <w:rPr>
          <w:rFonts w:ascii="Arial" w:hAnsi="Arial"/>
        </w:rPr>
        <w:t>a</w:t>
      </w:r>
      <w:r>
        <w:rPr>
          <w:rFonts w:ascii="Arial" w:hAnsi="Arial"/>
          <w:spacing w:val="-4"/>
        </w:rPr>
        <w:t xml:space="preserve"> </w:t>
      </w:r>
      <w:r>
        <w:rPr>
          <w:rFonts w:ascii="Arial" w:hAnsi="Arial"/>
        </w:rPr>
        <w:t>Administração</w:t>
      </w:r>
      <w:r>
        <w:rPr>
          <w:rFonts w:ascii="Arial" w:hAnsi="Arial"/>
          <w:spacing w:val="-5"/>
        </w:rPr>
        <w:t xml:space="preserve"> </w:t>
      </w:r>
      <w:r>
        <w:rPr>
          <w:rFonts w:ascii="Arial" w:hAnsi="Arial"/>
        </w:rPr>
        <w:t>não</w:t>
      </w:r>
      <w:r>
        <w:rPr>
          <w:rFonts w:ascii="Arial" w:hAnsi="Arial"/>
          <w:spacing w:val="-5"/>
        </w:rPr>
        <w:t xml:space="preserve"> </w:t>
      </w:r>
      <w:r>
        <w:rPr>
          <w:rFonts w:ascii="Arial" w:hAnsi="Arial"/>
        </w:rPr>
        <w:t>aceitar</w:t>
      </w:r>
      <w:r>
        <w:rPr>
          <w:rFonts w:ascii="Arial" w:hAnsi="Arial"/>
          <w:spacing w:val="-5"/>
        </w:rPr>
        <w:t xml:space="preserve"> </w:t>
      </w:r>
      <w:r>
        <w:rPr>
          <w:rFonts w:ascii="Arial" w:hAnsi="Arial"/>
        </w:rPr>
        <w:t>sua</w:t>
      </w:r>
      <w:r>
        <w:rPr>
          <w:rFonts w:ascii="Arial" w:hAnsi="Arial"/>
          <w:spacing w:val="-5"/>
        </w:rPr>
        <w:t xml:space="preserve"> </w:t>
      </w:r>
      <w:r>
        <w:rPr>
          <w:rFonts w:ascii="Arial" w:hAnsi="Arial"/>
        </w:rPr>
        <w:t>justificativa;</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8.1.3. A</w:t>
      </w:r>
      <w:r>
        <w:rPr>
          <w:rFonts w:ascii="Arial" w:hAnsi="Arial"/>
          <w:spacing w:val="-4"/>
        </w:rPr>
        <w:t xml:space="preserve"> </w:t>
      </w:r>
      <w:r>
        <w:rPr>
          <w:rFonts w:ascii="Arial" w:hAnsi="Arial"/>
        </w:rPr>
        <w:t>detentora</w:t>
      </w:r>
      <w:r>
        <w:rPr>
          <w:rFonts w:ascii="Arial" w:hAnsi="Arial"/>
          <w:spacing w:val="-4"/>
        </w:rPr>
        <w:t xml:space="preserve"> </w:t>
      </w:r>
      <w:r>
        <w:rPr>
          <w:rFonts w:ascii="Arial" w:hAnsi="Arial"/>
        </w:rPr>
        <w:t>der</w:t>
      </w:r>
      <w:r>
        <w:rPr>
          <w:rFonts w:ascii="Arial" w:hAnsi="Arial"/>
          <w:spacing w:val="-4"/>
        </w:rPr>
        <w:t xml:space="preserve"> </w:t>
      </w:r>
      <w:r>
        <w:rPr>
          <w:rFonts w:ascii="Arial" w:hAnsi="Arial"/>
        </w:rPr>
        <w:t>causa</w:t>
      </w:r>
      <w:r>
        <w:rPr>
          <w:rFonts w:ascii="Arial" w:hAnsi="Arial"/>
          <w:spacing w:val="-4"/>
        </w:rPr>
        <w:t xml:space="preserve"> </w:t>
      </w:r>
      <w:r>
        <w:rPr>
          <w:rFonts w:ascii="Arial" w:hAnsi="Arial"/>
        </w:rPr>
        <w:t>a</w:t>
      </w:r>
      <w:r>
        <w:rPr>
          <w:rFonts w:ascii="Arial" w:hAnsi="Arial"/>
          <w:spacing w:val="-4"/>
        </w:rPr>
        <w:t xml:space="preserve"> </w:t>
      </w:r>
      <w:r>
        <w:rPr>
          <w:rFonts w:ascii="Arial" w:hAnsi="Arial"/>
        </w:rPr>
        <w:t>rescisão</w:t>
      </w:r>
      <w:r>
        <w:rPr>
          <w:rFonts w:ascii="Arial" w:hAnsi="Arial"/>
          <w:spacing w:val="-4"/>
        </w:rPr>
        <w:t xml:space="preserve"> </w:t>
      </w:r>
      <w:r>
        <w:rPr>
          <w:rFonts w:ascii="Arial" w:hAnsi="Arial"/>
        </w:rPr>
        <w:t>administrativa</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contrato</w:t>
      </w:r>
      <w:r>
        <w:rPr>
          <w:rFonts w:ascii="Arial" w:hAnsi="Arial"/>
          <w:spacing w:val="-4"/>
        </w:rPr>
        <w:t xml:space="preserve"> </w:t>
      </w:r>
      <w:r>
        <w:rPr>
          <w:rFonts w:ascii="Arial" w:hAnsi="Arial"/>
        </w:rPr>
        <w:t>decorrente</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registro</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preços;</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8.1.4. Em</w:t>
      </w:r>
      <w:r>
        <w:rPr>
          <w:rFonts w:ascii="Arial" w:hAnsi="Arial"/>
          <w:spacing w:val="-5"/>
        </w:rPr>
        <w:t xml:space="preserve"> </w:t>
      </w:r>
      <w:r>
        <w:rPr>
          <w:rFonts w:ascii="Arial" w:hAnsi="Arial"/>
        </w:rPr>
        <w:t>qualquer</w:t>
      </w:r>
      <w:r>
        <w:rPr>
          <w:rFonts w:ascii="Arial" w:hAnsi="Arial"/>
          <w:spacing w:val="-4"/>
        </w:rPr>
        <w:t xml:space="preserve"> </w:t>
      </w:r>
      <w:r>
        <w:rPr>
          <w:rFonts w:ascii="Arial" w:hAnsi="Arial"/>
        </w:rPr>
        <w:t>das</w:t>
      </w:r>
      <w:r>
        <w:rPr>
          <w:rFonts w:ascii="Arial" w:hAnsi="Arial"/>
          <w:spacing w:val="-4"/>
        </w:rPr>
        <w:t xml:space="preserve"> </w:t>
      </w:r>
      <w:r>
        <w:rPr>
          <w:rFonts w:ascii="Arial" w:hAnsi="Arial"/>
        </w:rPr>
        <w:t>hipóteses</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recusa</w:t>
      </w:r>
      <w:r>
        <w:rPr>
          <w:rFonts w:ascii="Arial" w:hAnsi="Arial"/>
          <w:spacing w:val="-4"/>
        </w:rPr>
        <w:t xml:space="preserve"> </w:t>
      </w:r>
      <w:r>
        <w:rPr>
          <w:rFonts w:ascii="Arial" w:hAnsi="Arial"/>
        </w:rPr>
        <w:t>na</w:t>
      </w:r>
      <w:r>
        <w:rPr>
          <w:rFonts w:ascii="Arial" w:hAnsi="Arial"/>
          <w:spacing w:val="-4"/>
        </w:rPr>
        <w:t xml:space="preserve"> </w:t>
      </w:r>
      <w:r>
        <w:rPr>
          <w:rFonts w:ascii="Arial" w:hAnsi="Arial"/>
        </w:rPr>
        <w:t>entrega</w:t>
      </w:r>
      <w:r>
        <w:rPr>
          <w:rFonts w:ascii="Arial" w:hAnsi="Arial"/>
          <w:spacing w:val="-4"/>
        </w:rPr>
        <w:t xml:space="preserve"> </w:t>
      </w:r>
      <w:r>
        <w:rPr>
          <w:rFonts w:ascii="Arial" w:hAnsi="Arial"/>
        </w:rPr>
        <w:t>total</w:t>
      </w:r>
      <w:r>
        <w:rPr>
          <w:rFonts w:ascii="Arial" w:hAnsi="Arial"/>
          <w:spacing w:val="-4"/>
        </w:rPr>
        <w:t xml:space="preserve"> </w:t>
      </w:r>
      <w:r>
        <w:rPr>
          <w:rFonts w:ascii="Arial" w:hAnsi="Arial"/>
        </w:rPr>
        <w:t>ou</w:t>
      </w:r>
      <w:r>
        <w:rPr>
          <w:rFonts w:ascii="Arial" w:hAnsi="Arial"/>
          <w:spacing w:val="-4"/>
        </w:rPr>
        <w:t xml:space="preserve"> </w:t>
      </w:r>
      <w:r>
        <w:rPr>
          <w:rFonts w:ascii="Arial" w:hAnsi="Arial"/>
        </w:rPr>
        <w:t>parcial</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contrato</w:t>
      </w:r>
      <w:r>
        <w:rPr>
          <w:rFonts w:ascii="Arial" w:hAnsi="Arial"/>
          <w:spacing w:val="-4"/>
        </w:rPr>
        <w:t xml:space="preserve"> </w:t>
      </w:r>
      <w:r>
        <w:rPr>
          <w:rFonts w:ascii="Arial" w:hAnsi="Arial"/>
        </w:rPr>
        <w:t>decorrente</w:t>
      </w:r>
      <w:r>
        <w:rPr>
          <w:rFonts w:ascii="Arial" w:hAnsi="Arial"/>
          <w:spacing w:val="-5"/>
        </w:rPr>
        <w:t xml:space="preserve"> </w:t>
      </w:r>
      <w:r>
        <w:rPr>
          <w:rFonts w:ascii="Arial" w:hAnsi="Arial"/>
        </w:rPr>
        <w:t>de</w:t>
      </w:r>
      <w:r>
        <w:rPr>
          <w:rFonts w:ascii="Arial" w:hAnsi="Arial"/>
          <w:spacing w:val="-4"/>
        </w:rPr>
        <w:t xml:space="preserve"> </w:t>
      </w:r>
      <w:r>
        <w:rPr>
          <w:rFonts w:ascii="Arial" w:hAnsi="Arial"/>
        </w:rPr>
        <w:t>registro</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preços;</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8.1.5. Os</w:t>
      </w:r>
      <w:r>
        <w:rPr>
          <w:rFonts w:ascii="Arial" w:hAnsi="Arial"/>
          <w:spacing w:val="-4"/>
        </w:rPr>
        <w:t xml:space="preserve"> </w:t>
      </w:r>
      <w:r>
        <w:rPr>
          <w:rFonts w:ascii="Arial" w:hAnsi="Arial"/>
        </w:rPr>
        <w:t>preços</w:t>
      </w:r>
      <w:r>
        <w:rPr>
          <w:rFonts w:ascii="Arial" w:hAnsi="Arial"/>
          <w:spacing w:val="-4"/>
        </w:rPr>
        <w:t xml:space="preserve"> </w:t>
      </w:r>
      <w:r>
        <w:rPr>
          <w:rFonts w:ascii="Arial" w:hAnsi="Arial"/>
        </w:rPr>
        <w:t>registrados</w:t>
      </w:r>
      <w:r>
        <w:rPr>
          <w:rFonts w:ascii="Arial" w:hAnsi="Arial"/>
          <w:spacing w:val="-4"/>
        </w:rPr>
        <w:t xml:space="preserve"> </w:t>
      </w:r>
      <w:r>
        <w:rPr>
          <w:rFonts w:ascii="Arial" w:hAnsi="Arial"/>
        </w:rPr>
        <w:t>se</w:t>
      </w:r>
      <w:r>
        <w:rPr>
          <w:rFonts w:ascii="Arial" w:hAnsi="Arial"/>
          <w:spacing w:val="-4"/>
        </w:rPr>
        <w:t xml:space="preserve"> </w:t>
      </w:r>
      <w:r>
        <w:rPr>
          <w:rFonts w:ascii="Arial" w:hAnsi="Arial"/>
        </w:rPr>
        <w:t>apresentarem</w:t>
      </w:r>
      <w:r>
        <w:rPr>
          <w:rFonts w:ascii="Arial" w:hAnsi="Arial"/>
          <w:spacing w:val="-4"/>
        </w:rPr>
        <w:t xml:space="preserve"> </w:t>
      </w:r>
      <w:r>
        <w:rPr>
          <w:rFonts w:ascii="Arial" w:hAnsi="Arial"/>
        </w:rPr>
        <w:t>superiores</w:t>
      </w:r>
      <w:r>
        <w:rPr>
          <w:rFonts w:ascii="Arial" w:hAnsi="Arial"/>
          <w:spacing w:val="-4"/>
        </w:rPr>
        <w:t xml:space="preserve"> </w:t>
      </w:r>
      <w:r>
        <w:rPr>
          <w:rFonts w:ascii="Arial" w:hAnsi="Arial"/>
        </w:rPr>
        <w:t>aos</w:t>
      </w:r>
      <w:r>
        <w:rPr>
          <w:rFonts w:ascii="Arial" w:hAnsi="Arial"/>
          <w:spacing w:val="-3"/>
        </w:rPr>
        <w:t xml:space="preserve"> </w:t>
      </w:r>
      <w:r>
        <w:rPr>
          <w:rFonts w:ascii="Arial" w:hAnsi="Arial"/>
        </w:rPr>
        <w:t>praticados</w:t>
      </w:r>
      <w:r>
        <w:rPr>
          <w:rFonts w:ascii="Arial" w:hAnsi="Arial"/>
          <w:spacing w:val="-4"/>
        </w:rPr>
        <w:t xml:space="preserve"> </w:t>
      </w:r>
      <w:r>
        <w:rPr>
          <w:rFonts w:ascii="Arial" w:hAnsi="Arial"/>
        </w:rPr>
        <w:t>no</w:t>
      </w:r>
      <w:r>
        <w:rPr>
          <w:rFonts w:ascii="Arial" w:hAnsi="Arial"/>
          <w:spacing w:val="-4"/>
        </w:rPr>
        <w:t xml:space="preserve"> </w:t>
      </w:r>
      <w:r>
        <w:rPr>
          <w:rFonts w:ascii="Arial" w:hAnsi="Arial"/>
        </w:rPr>
        <w:t>mercado;</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8.1.6. Por</w:t>
      </w:r>
      <w:r>
        <w:rPr>
          <w:rFonts w:ascii="Arial" w:hAnsi="Arial"/>
          <w:spacing w:val="-7"/>
        </w:rPr>
        <w:t xml:space="preserve"> </w:t>
      </w:r>
      <w:r>
        <w:rPr>
          <w:rFonts w:ascii="Arial" w:hAnsi="Arial"/>
        </w:rPr>
        <w:t>razões</w:t>
      </w:r>
      <w:r>
        <w:rPr>
          <w:rFonts w:ascii="Arial" w:hAnsi="Arial"/>
          <w:spacing w:val="-7"/>
        </w:rPr>
        <w:t xml:space="preserve"> </w:t>
      </w:r>
      <w:r>
        <w:rPr>
          <w:rFonts w:ascii="Arial" w:hAnsi="Arial"/>
        </w:rPr>
        <w:t>de</w:t>
      </w:r>
      <w:r>
        <w:rPr>
          <w:rFonts w:ascii="Arial" w:hAnsi="Arial"/>
          <w:spacing w:val="-7"/>
        </w:rPr>
        <w:t xml:space="preserve"> </w:t>
      </w:r>
      <w:r>
        <w:rPr>
          <w:rFonts w:ascii="Arial" w:hAnsi="Arial"/>
        </w:rPr>
        <w:t>interesse</w:t>
      </w:r>
      <w:r>
        <w:rPr>
          <w:rFonts w:ascii="Arial" w:hAnsi="Arial"/>
          <w:spacing w:val="-7"/>
        </w:rPr>
        <w:t xml:space="preserve"> </w:t>
      </w:r>
      <w:r>
        <w:rPr>
          <w:rFonts w:ascii="Arial" w:hAnsi="Arial"/>
        </w:rPr>
        <w:t>público</w:t>
      </w:r>
      <w:r>
        <w:rPr>
          <w:rFonts w:ascii="Arial" w:hAnsi="Arial"/>
          <w:spacing w:val="-7"/>
        </w:rPr>
        <w:t xml:space="preserve"> </w:t>
      </w:r>
      <w:r>
        <w:rPr>
          <w:rFonts w:ascii="Arial" w:hAnsi="Arial"/>
        </w:rPr>
        <w:t>devidamente</w:t>
      </w:r>
      <w:r>
        <w:rPr>
          <w:rFonts w:ascii="Arial" w:hAnsi="Arial"/>
          <w:spacing w:val="-7"/>
        </w:rPr>
        <w:t xml:space="preserve"> </w:t>
      </w:r>
      <w:r>
        <w:rPr>
          <w:rFonts w:ascii="Arial" w:hAnsi="Arial"/>
        </w:rPr>
        <w:t>demonstradas</w:t>
      </w:r>
      <w:r>
        <w:rPr>
          <w:rFonts w:ascii="Arial" w:hAnsi="Arial"/>
          <w:spacing w:val="-7"/>
        </w:rPr>
        <w:t xml:space="preserve"> </w:t>
      </w:r>
      <w:r>
        <w:rPr>
          <w:rFonts w:ascii="Arial" w:hAnsi="Arial"/>
        </w:rPr>
        <w:t>e</w:t>
      </w:r>
      <w:r>
        <w:rPr>
          <w:rFonts w:ascii="Arial" w:hAnsi="Arial"/>
          <w:spacing w:val="-7"/>
        </w:rPr>
        <w:t xml:space="preserve"> </w:t>
      </w:r>
      <w:r>
        <w:rPr>
          <w:rFonts w:ascii="Arial" w:hAnsi="Arial"/>
        </w:rPr>
        <w:t>justificadas</w:t>
      </w:r>
      <w:r>
        <w:rPr>
          <w:rFonts w:ascii="Arial" w:hAnsi="Arial"/>
          <w:spacing w:val="-6"/>
        </w:rPr>
        <w:t xml:space="preserve"> </w:t>
      </w:r>
      <w:r>
        <w:rPr>
          <w:rFonts w:ascii="Arial" w:hAnsi="Arial"/>
        </w:rPr>
        <w:t>pela</w:t>
      </w:r>
      <w:r>
        <w:rPr>
          <w:rFonts w:ascii="Arial" w:hAnsi="Arial"/>
          <w:spacing w:val="-7"/>
        </w:rPr>
        <w:t xml:space="preserve"> </w:t>
      </w:r>
      <w:r>
        <w:rPr>
          <w:rFonts w:ascii="Arial" w:hAnsi="Arial"/>
        </w:rPr>
        <w:t>Administração;</w:t>
      </w:r>
    </w:p>
    <w:p>
      <w:pPr>
        <w:pStyle w:val="ListParagraph"/>
        <w:tabs>
          <w:tab w:val="clear" w:pos="708"/>
          <w:tab w:val="left" w:pos="441" w:leader="none"/>
        </w:tabs>
        <w:spacing w:lineRule="auto" w:line="240" w:before="0" w:after="0"/>
        <w:ind w:left="0" w:hanging="0"/>
        <w:contextualSpacing/>
        <w:jc w:val="both"/>
        <w:rPr>
          <w:rFonts w:ascii="Arial" w:hAnsi="Arial"/>
        </w:rPr>
      </w:pPr>
      <w:r>
        <w:rPr>
          <w:rFonts w:ascii="Arial" w:hAnsi="Arial"/>
        </w:rPr>
        <w:t>8.2. No</w:t>
      </w:r>
      <w:r>
        <w:rPr>
          <w:rFonts w:ascii="Arial" w:hAnsi="Arial"/>
          <w:spacing w:val="27"/>
        </w:rPr>
        <w:t xml:space="preserve"> </w:t>
      </w:r>
      <w:r>
        <w:rPr>
          <w:rFonts w:ascii="Arial" w:hAnsi="Arial"/>
        </w:rPr>
        <w:t>caso</w:t>
      </w:r>
      <w:r>
        <w:rPr>
          <w:rFonts w:ascii="Arial" w:hAnsi="Arial"/>
          <w:spacing w:val="28"/>
        </w:rPr>
        <w:t xml:space="preserve"> </w:t>
      </w:r>
      <w:r>
        <w:rPr>
          <w:rFonts w:ascii="Arial" w:hAnsi="Arial"/>
        </w:rPr>
        <w:t>de</w:t>
      </w:r>
      <w:r>
        <w:rPr>
          <w:rFonts w:ascii="Arial" w:hAnsi="Arial"/>
          <w:spacing w:val="28"/>
        </w:rPr>
        <w:t xml:space="preserve"> </w:t>
      </w:r>
      <w:r>
        <w:rPr>
          <w:rFonts w:ascii="Arial" w:hAnsi="Arial"/>
        </w:rPr>
        <w:t>ser</w:t>
      </w:r>
      <w:r>
        <w:rPr>
          <w:rFonts w:ascii="Arial" w:hAnsi="Arial"/>
          <w:spacing w:val="28"/>
        </w:rPr>
        <w:t xml:space="preserve"> </w:t>
      </w:r>
      <w:r>
        <w:rPr>
          <w:rFonts w:ascii="Arial" w:hAnsi="Arial"/>
        </w:rPr>
        <w:t>ignorado,</w:t>
      </w:r>
      <w:r>
        <w:rPr>
          <w:rFonts w:ascii="Arial" w:hAnsi="Arial"/>
          <w:spacing w:val="28"/>
        </w:rPr>
        <w:t xml:space="preserve"> </w:t>
      </w:r>
      <w:r>
        <w:rPr>
          <w:rFonts w:ascii="Arial" w:hAnsi="Arial"/>
        </w:rPr>
        <w:t>incerto</w:t>
      </w:r>
      <w:r>
        <w:rPr>
          <w:rFonts w:ascii="Arial" w:hAnsi="Arial"/>
          <w:spacing w:val="28"/>
        </w:rPr>
        <w:t xml:space="preserve"> </w:t>
      </w:r>
      <w:r>
        <w:rPr>
          <w:rFonts w:ascii="Arial" w:hAnsi="Arial"/>
        </w:rPr>
        <w:t>ou</w:t>
      </w:r>
      <w:r>
        <w:rPr>
          <w:rFonts w:ascii="Arial" w:hAnsi="Arial"/>
          <w:spacing w:val="28"/>
        </w:rPr>
        <w:t xml:space="preserve"> </w:t>
      </w:r>
      <w:r>
        <w:rPr>
          <w:rFonts w:ascii="Arial" w:hAnsi="Arial"/>
        </w:rPr>
        <w:t>inacessível</w:t>
      </w:r>
      <w:r>
        <w:rPr>
          <w:rFonts w:ascii="Arial" w:hAnsi="Arial"/>
          <w:spacing w:val="28"/>
        </w:rPr>
        <w:t xml:space="preserve"> </w:t>
      </w:r>
      <w:r>
        <w:rPr>
          <w:rFonts w:ascii="Arial" w:hAnsi="Arial"/>
        </w:rPr>
        <w:t>o</w:t>
      </w:r>
      <w:r>
        <w:rPr>
          <w:rFonts w:ascii="Arial" w:hAnsi="Arial"/>
          <w:spacing w:val="28"/>
        </w:rPr>
        <w:t xml:space="preserve"> </w:t>
      </w:r>
      <w:r>
        <w:rPr>
          <w:rFonts w:ascii="Arial" w:hAnsi="Arial"/>
        </w:rPr>
        <w:t>endereço</w:t>
      </w:r>
      <w:r>
        <w:rPr>
          <w:rFonts w:ascii="Arial" w:hAnsi="Arial"/>
          <w:spacing w:val="28"/>
        </w:rPr>
        <w:t xml:space="preserve"> </w:t>
      </w:r>
      <w:r>
        <w:rPr>
          <w:rFonts w:ascii="Arial" w:hAnsi="Arial"/>
        </w:rPr>
        <w:t>da</w:t>
      </w:r>
      <w:r>
        <w:rPr>
          <w:rFonts w:ascii="Arial" w:hAnsi="Arial"/>
          <w:spacing w:val="28"/>
        </w:rPr>
        <w:t xml:space="preserve"> </w:t>
      </w:r>
      <w:r>
        <w:rPr>
          <w:rFonts w:ascii="Arial" w:hAnsi="Arial"/>
        </w:rPr>
        <w:t>detentora,</w:t>
      </w:r>
      <w:r>
        <w:rPr>
          <w:rFonts w:ascii="Arial" w:hAnsi="Arial"/>
          <w:spacing w:val="28"/>
        </w:rPr>
        <w:t xml:space="preserve"> </w:t>
      </w:r>
      <w:r>
        <w:rPr>
          <w:rFonts w:ascii="Arial" w:hAnsi="Arial"/>
        </w:rPr>
        <w:t>a</w:t>
      </w:r>
      <w:r>
        <w:rPr>
          <w:rFonts w:ascii="Arial" w:hAnsi="Arial"/>
          <w:spacing w:val="27"/>
        </w:rPr>
        <w:t xml:space="preserve"> </w:t>
      </w:r>
      <w:r>
        <w:rPr>
          <w:rFonts w:ascii="Arial" w:hAnsi="Arial"/>
        </w:rPr>
        <w:t>comunicação</w:t>
      </w:r>
      <w:r>
        <w:rPr>
          <w:rFonts w:ascii="Arial" w:hAnsi="Arial"/>
          <w:spacing w:val="28"/>
        </w:rPr>
        <w:t xml:space="preserve"> </w:t>
      </w:r>
      <w:r>
        <w:rPr>
          <w:rFonts w:ascii="Arial" w:hAnsi="Arial"/>
        </w:rPr>
        <w:t>será</w:t>
      </w:r>
      <w:r>
        <w:rPr>
          <w:rFonts w:ascii="Arial" w:hAnsi="Arial"/>
          <w:spacing w:val="28"/>
        </w:rPr>
        <w:t xml:space="preserve"> </w:t>
      </w:r>
      <w:r>
        <w:rPr>
          <w:rFonts w:ascii="Arial" w:hAnsi="Arial"/>
        </w:rPr>
        <w:t>feita</w:t>
      </w:r>
      <w:r>
        <w:rPr>
          <w:rFonts w:ascii="Arial" w:hAnsi="Arial"/>
          <w:spacing w:val="28"/>
        </w:rPr>
        <w:t xml:space="preserve"> </w:t>
      </w:r>
      <w:r>
        <w:rPr>
          <w:rFonts w:ascii="Arial" w:hAnsi="Arial"/>
        </w:rPr>
        <w:t>por</w:t>
      </w:r>
      <w:r>
        <w:rPr>
          <w:rFonts w:ascii="Arial" w:hAnsi="Arial"/>
          <w:spacing w:val="28"/>
        </w:rPr>
        <w:t xml:space="preserve"> </w:t>
      </w:r>
      <w:r>
        <w:rPr>
          <w:rFonts w:ascii="Arial" w:hAnsi="Arial"/>
        </w:rPr>
        <w:t>publicação</w:t>
      </w:r>
      <w:r>
        <w:rPr>
          <w:rFonts w:ascii="Arial" w:hAnsi="Arial"/>
          <w:spacing w:val="28"/>
        </w:rPr>
        <w:t xml:space="preserve"> </w:t>
      </w:r>
      <w:r>
        <w:rPr>
          <w:rFonts w:ascii="Arial" w:hAnsi="Arial"/>
        </w:rPr>
        <w:t>na</w:t>
      </w:r>
      <w:r>
        <w:rPr>
          <w:rFonts w:ascii="Arial" w:hAnsi="Arial"/>
          <w:spacing w:val="28"/>
        </w:rPr>
        <w:t xml:space="preserve"> </w:t>
      </w:r>
      <w:r>
        <w:rPr>
          <w:rFonts w:ascii="Arial" w:hAnsi="Arial"/>
        </w:rPr>
        <w:t>Imprensa</w:t>
      </w:r>
      <w:r>
        <w:rPr>
          <w:rFonts w:ascii="Arial" w:hAnsi="Arial"/>
          <w:spacing w:val="28"/>
        </w:rPr>
        <w:t xml:space="preserve"> </w:t>
      </w:r>
      <w:r>
        <w:rPr>
          <w:rFonts w:ascii="Arial" w:hAnsi="Arial"/>
        </w:rPr>
        <w:t>Oficial,</w:t>
      </w:r>
      <w:r>
        <w:rPr>
          <w:rFonts w:ascii="Arial" w:hAnsi="Arial"/>
          <w:spacing w:val="1"/>
        </w:rPr>
        <w:t xml:space="preserve"> </w:t>
      </w:r>
      <w:r>
        <w:rPr>
          <w:rFonts w:ascii="Arial" w:hAnsi="Arial"/>
        </w:rPr>
        <w:t>considerando-se</w:t>
      </w:r>
      <w:r>
        <w:rPr>
          <w:rFonts w:ascii="Arial" w:hAnsi="Arial"/>
          <w:spacing w:val="-2"/>
        </w:rPr>
        <w:t xml:space="preserve"> </w:t>
      </w:r>
      <w:r>
        <w:rPr>
          <w:rFonts w:ascii="Arial" w:hAnsi="Arial"/>
        </w:rPr>
        <w:t>cancelado</w:t>
      </w:r>
      <w:r>
        <w:rPr>
          <w:rFonts w:ascii="Arial" w:hAnsi="Arial"/>
          <w:spacing w:val="-1"/>
        </w:rPr>
        <w:t xml:space="preserve"> </w:t>
      </w:r>
      <w:r>
        <w:rPr>
          <w:rFonts w:ascii="Arial" w:hAnsi="Arial"/>
        </w:rPr>
        <w:t>o</w:t>
      </w:r>
      <w:r>
        <w:rPr>
          <w:rFonts w:ascii="Arial" w:hAnsi="Arial"/>
          <w:spacing w:val="-1"/>
        </w:rPr>
        <w:t xml:space="preserve"> </w:t>
      </w:r>
      <w:r>
        <w:rPr>
          <w:rFonts w:ascii="Arial" w:hAnsi="Arial"/>
        </w:rPr>
        <w:t>preço</w:t>
      </w:r>
      <w:r>
        <w:rPr>
          <w:rFonts w:ascii="Arial" w:hAnsi="Arial"/>
          <w:spacing w:val="-1"/>
        </w:rPr>
        <w:t xml:space="preserve"> </w:t>
      </w:r>
      <w:r>
        <w:rPr>
          <w:rFonts w:ascii="Arial" w:hAnsi="Arial"/>
        </w:rPr>
        <w:t>registrado</w:t>
      </w:r>
      <w:r>
        <w:rPr>
          <w:rFonts w:ascii="Arial" w:hAnsi="Arial"/>
          <w:spacing w:val="-2"/>
        </w:rPr>
        <w:t xml:space="preserve"> </w:t>
      </w:r>
      <w:r>
        <w:rPr>
          <w:rFonts w:ascii="Arial" w:hAnsi="Arial"/>
        </w:rPr>
        <w:t>após</w:t>
      </w:r>
      <w:r>
        <w:rPr>
          <w:rFonts w:ascii="Arial" w:hAnsi="Arial"/>
          <w:spacing w:val="-1"/>
        </w:rPr>
        <w:t xml:space="preserve"> </w:t>
      </w:r>
      <w:r>
        <w:rPr>
          <w:rFonts w:ascii="Arial" w:hAnsi="Arial"/>
        </w:rPr>
        <w:t>01(um)</w:t>
      </w:r>
      <w:r>
        <w:rPr>
          <w:rFonts w:ascii="Arial" w:hAnsi="Arial"/>
          <w:spacing w:val="-1"/>
        </w:rPr>
        <w:t xml:space="preserve"> </w:t>
      </w:r>
      <w:r>
        <w:rPr>
          <w:rFonts w:ascii="Arial" w:hAnsi="Arial"/>
        </w:rPr>
        <w:t>dia</w:t>
      </w:r>
      <w:r>
        <w:rPr>
          <w:rFonts w:ascii="Arial" w:hAnsi="Arial"/>
          <w:spacing w:val="-1"/>
        </w:rPr>
        <w:t xml:space="preserve"> </w:t>
      </w:r>
      <w:r>
        <w:rPr>
          <w:rFonts w:ascii="Arial" w:hAnsi="Arial"/>
        </w:rPr>
        <w:t>da</w:t>
      </w:r>
      <w:r>
        <w:rPr>
          <w:rFonts w:ascii="Arial" w:hAnsi="Arial"/>
          <w:spacing w:val="-1"/>
        </w:rPr>
        <w:t xml:space="preserve"> </w:t>
      </w:r>
      <w:r>
        <w:rPr>
          <w:rFonts w:ascii="Arial" w:hAnsi="Arial"/>
        </w:rPr>
        <w:t>publicação.</w:t>
      </w:r>
    </w:p>
    <w:p>
      <w:pPr>
        <w:pStyle w:val="ListParagraph"/>
        <w:tabs>
          <w:tab w:val="clear" w:pos="708"/>
          <w:tab w:val="left" w:pos="413" w:leader="none"/>
        </w:tabs>
        <w:spacing w:lineRule="auto" w:line="240" w:before="0" w:after="0"/>
        <w:ind w:left="0" w:hanging="0"/>
        <w:contextualSpacing/>
        <w:jc w:val="both"/>
        <w:rPr>
          <w:rFonts w:ascii="Arial" w:hAnsi="Arial"/>
        </w:rPr>
      </w:pPr>
      <w:r>
        <w:rPr>
          <w:rFonts w:ascii="Arial" w:hAnsi="Arial"/>
        </w:rPr>
        <w:t>8.3. Pelas detentoras, quando, mediante solicitação por escrito, comprovarem estar impossibilitadas de cumprir as exigências desta Ata de Registro</w:t>
      </w:r>
      <w:r>
        <w:rPr>
          <w:rFonts w:ascii="Arial" w:hAnsi="Arial"/>
          <w:spacing w:val="1"/>
        </w:rPr>
        <w:t xml:space="preserve"> </w:t>
      </w:r>
      <w:r>
        <w:rPr>
          <w:rFonts w:ascii="Arial" w:hAnsi="Arial"/>
        </w:rPr>
        <w:t>de</w:t>
      </w:r>
      <w:r>
        <w:rPr>
          <w:rFonts w:ascii="Arial" w:hAnsi="Arial"/>
          <w:spacing w:val="-2"/>
        </w:rPr>
        <w:t xml:space="preserve"> </w:t>
      </w:r>
      <w:r>
        <w:rPr>
          <w:rFonts w:ascii="Arial" w:hAnsi="Arial"/>
        </w:rPr>
        <w:t>Preços.</w:t>
      </w:r>
    </w:p>
    <w:p>
      <w:pPr>
        <w:pStyle w:val="ListParagraph"/>
        <w:tabs>
          <w:tab w:val="clear" w:pos="708"/>
          <w:tab w:val="left" w:pos="410" w:leader="none"/>
        </w:tabs>
        <w:spacing w:lineRule="auto" w:line="240" w:before="0" w:after="0"/>
        <w:ind w:left="0" w:hanging="0"/>
        <w:contextualSpacing/>
        <w:jc w:val="both"/>
        <w:rPr>
          <w:rFonts w:ascii="Arial" w:hAnsi="Arial"/>
        </w:rPr>
      </w:pPr>
      <w:r>
        <w:rPr>
          <w:rFonts w:ascii="Arial" w:hAnsi="Arial"/>
        </w:rPr>
        <w:t>8.4. A solicitação das detentoras para cancelamento dos preços registrados deverá ser formulada com a antecedência de 30 (trinta) dias, cabendo a</w:t>
      </w:r>
      <w:r>
        <w:rPr>
          <w:rFonts w:ascii="Arial" w:hAnsi="Arial"/>
          <w:spacing w:val="-42"/>
        </w:rPr>
        <w:t xml:space="preserve"> </w:t>
      </w:r>
      <w:r>
        <w:rPr>
          <w:rFonts w:ascii="Arial" w:hAnsi="Arial"/>
        </w:rPr>
        <w:t>Administração</w:t>
      </w:r>
      <w:r>
        <w:rPr>
          <w:rFonts w:ascii="Arial" w:hAnsi="Arial"/>
          <w:spacing w:val="2"/>
        </w:rPr>
        <w:t xml:space="preserve"> </w:t>
      </w:r>
      <w:r>
        <w:rPr>
          <w:rFonts w:ascii="Arial" w:hAnsi="Arial"/>
        </w:rPr>
        <w:t>a</w:t>
      </w:r>
      <w:r>
        <w:rPr>
          <w:rFonts w:ascii="Arial" w:hAnsi="Arial"/>
          <w:spacing w:val="-1"/>
        </w:rPr>
        <w:t xml:space="preserve"> </w:t>
      </w:r>
      <w:r>
        <w:rPr>
          <w:rFonts w:ascii="Arial" w:hAnsi="Arial"/>
        </w:rPr>
        <w:t>aplicação</w:t>
      </w:r>
      <w:r>
        <w:rPr>
          <w:rFonts w:ascii="Arial" w:hAnsi="Arial"/>
          <w:spacing w:val="-1"/>
        </w:rPr>
        <w:t xml:space="preserve"> </w:t>
      </w:r>
      <w:r>
        <w:rPr>
          <w:rFonts w:ascii="Arial" w:hAnsi="Arial"/>
        </w:rPr>
        <w:t>das</w:t>
      </w:r>
      <w:r>
        <w:rPr>
          <w:rFonts w:ascii="Arial" w:hAnsi="Arial"/>
          <w:spacing w:val="-2"/>
        </w:rPr>
        <w:t xml:space="preserve"> </w:t>
      </w:r>
      <w:r>
        <w:rPr>
          <w:rFonts w:ascii="Arial" w:hAnsi="Arial"/>
        </w:rPr>
        <w:t>penalidades</w:t>
      </w:r>
      <w:r>
        <w:rPr>
          <w:rFonts w:ascii="Arial" w:hAnsi="Arial"/>
          <w:spacing w:val="-1"/>
        </w:rPr>
        <w:t xml:space="preserve"> </w:t>
      </w:r>
      <w:r>
        <w:rPr>
          <w:rFonts w:ascii="Arial" w:hAnsi="Arial"/>
        </w:rPr>
        <w:t>previstas</w:t>
      </w:r>
      <w:r>
        <w:rPr>
          <w:rFonts w:ascii="Arial" w:hAnsi="Arial"/>
          <w:spacing w:val="-1"/>
        </w:rPr>
        <w:t xml:space="preserve"> </w:t>
      </w:r>
      <w:r>
        <w:rPr>
          <w:rFonts w:ascii="Arial" w:hAnsi="Arial"/>
        </w:rPr>
        <w:t>em</w:t>
      </w:r>
      <w:r>
        <w:rPr>
          <w:rFonts w:ascii="Arial" w:hAnsi="Arial"/>
          <w:spacing w:val="-2"/>
        </w:rPr>
        <w:t xml:space="preserve"> </w:t>
      </w:r>
      <w:r>
        <w:rPr>
          <w:rFonts w:ascii="Arial" w:hAnsi="Arial"/>
        </w:rPr>
        <w:t>lei.</w:t>
      </w:r>
    </w:p>
    <w:p>
      <w:pPr>
        <w:pStyle w:val="Corpodotexto"/>
        <w:widowControl w:val="false"/>
        <w:tabs>
          <w:tab w:val="clear" w:pos="708"/>
          <w:tab w:val="left" w:pos="10597" w:leader="none"/>
        </w:tabs>
        <w:spacing w:lineRule="auto" w:line="240" w:before="0" w:after="0"/>
        <w:textAlignment w:val="baseline"/>
        <w:rPr>
          <w:rFonts w:ascii="Arial" w:hAnsi="Arial"/>
        </w:rPr>
      </w:pPr>
      <w:r>
        <w:rPr>
          <w:rFonts w:ascii="Arial" w:hAnsi="Arial"/>
        </w:rPr>
      </w:r>
    </w:p>
    <w:p>
      <w:pPr>
        <w:pStyle w:val="Ttulo2"/>
        <w:widowControl w:val="false"/>
        <w:numPr>
          <w:ilvl w:val="1"/>
          <w:numId w:val="51"/>
        </w:numPr>
        <w:tabs>
          <w:tab w:val="clear" w:pos="708"/>
          <w:tab w:val="left" w:pos="10597" w:leader="none"/>
        </w:tabs>
        <w:spacing w:lineRule="auto" w:line="240" w:before="0" w:after="0"/>
        <w:ind w:hanging="22"/>
        <w:jc w:val="both"/>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IX</w:t>
      </w:r>
      <w:r>
        <w:rPr>
          <w:rFonts w:eastAsia="Times New Roman" w:cs="Arial" w:ascii="Arial" w:hAnsi="Arial"/>
          <w:bCs w:val="false"/>
          <w:color w:val="000000"/>
          <w:spacing w:val="-3"/>
          <w:sz w:val="22"/>
          <w:szCs w:val="22"/>
          <w:shd w:fill="CCCCCC" w:val="clear"/>
          <w:lang w:eastAsia="pt-BR"/>
        </w:rPr>
        <w:t xml:space="preserve"> – DA AUTORIZAÇÃO PARA CONTRATAÇÃO E EMISSÃO DAS NOTAS DE EMPENHO</w:t>
      </w:r>
    </w:p>
    <w:p>
      <w:pPr>
        <w:pStyle w:val="ListParagraph"/>
        <w:tabs>
          <w:tab w:val="clear" w:pos="708"/>
          <w:tab w:val="left" w:pos="343" w:leader="none"/>
        </w:tabs>
        <w:spacing w:lineRule="auto" w:line="240" w:before="0" w:after="0"/>
        <w:contextualSpacing/>
        <w:jc w:val="both"/>
        <w:rPr>
          <w:rFonts w:eastAsia="Times New Roman" w:cs="Arial"/>
          <w:spacing w:val="-3"/>
          <w:lang w:eastAsia="pt-BR"/>
        </w:rPr>
      </w:pPr>
      <w:r>
        <w:rPr>
          <w:rFonts w:eastAsia="Times New Roman" w:cs="Arial"/>
          <w:spacing w:val="-3"/>
          <w:lang w:eastAsia="pt-BR"/>
        </w:rPr>
      </w:r>
    </w:p>
    <w:p>
      <w:pPr>
        <w:pStyle w:val="ListParagraph"/>
        <w:tabs>
          <w:tab w:val="clear" w:pos="708"/>
          <w:tab w:val="left" w:pos="343" w:leader="none"/>
        </w:tabs>
        <w:spacing w:lineRule="auto" w:line="240" w:before="0" w:after="0"/>
        <w:ind w:left="0" w:hanging="0"/>
        <w:contextualSpacing/>
        <w:jc w:val="both"/>
        <w:rPr/>
      </w:pPr>
      <w:r>
        <w:rPr>
          <w:rFonts w:eastAsia="Times New Roman" w:cs="Arial" w:ascii="Arial" w:hAnsi="Arial"/>
          <w:color w:val="000000"/>
          <w:spacing w:val="-3"/>
          <w:lang w:eastAsia="pt-BR"/>
        </w:rPr>
        <w:t>9.</w:t>
        <w:tab/>
      </w:r>
      <w:r>
        <w:rPr>
          <w:rFonts w:ascii="Arial" w:hAnsi="Arial"/>
        </w:rPr>
        <w:t>O</w:t>
      </w:r>
      <w:r>
        <w:rPr>
          <w:rFonts w:ascii="Arial" w:hAnsi="Arial"/>
          <w:spacing w:val="19"/>
        </w:rPr>
        <w:t xml:space="preserve"> </w:t>
      </w:r>
      <w:r>
        <w:rPr>
          <w:rFonts w:ascii="Arial" w:hAnsi="Arial"/>
        </w:rPr>
        <w:t>fornecimento</w:t>
      </w:r>
      <w:r>
        <w:rPr>
          <w:rFonts w:ascii="Arial" w:hAnsi="Arial"/>
          <w:spacing w:val="20"/>
        </w:rPr>
        <w:t xml:space="preserve"> </w:t>
      </w:r>
      <w:r>
        <w:rPr>
          <w:rFonts w:ascii="Arial" w:hAnsi="Arial"/>
        </w:rPr>
        <w:t>do</w:t>
      </w:r>
      <w:r>
        <w:rPr>
          <w:rFonts w:ascii="Arial" w:hAnsi="Arial"/>
          <w:spacing w:val="19"/>
        </w:rPr>
        <w:t xml:space="preserve"> </w:t>
      </w:r>
      <w:r>
        <w:rPr>
          <w:rFonts w:ascii="Arial" w:hAnsi="Arial"/>
        </w:rPr>
        <w:t>objeto</w:t>
      </w:r>
      <w:r>
        <w:rPr>
          <w:rFonts w:ascii="Arial" w:hAnsi="Arial"/>
          <w:spacing w:val="20"/>
        </w:rPr>
        <w:t xml:space="preserve"> </w:t>
      </w:r>
      <w:r>
        <w:rPr>
          <w:rFonts w:ascii="Arial" w:hAnsi="Arial"/>
        </w:rPr>
        <w:t>da</w:t>
      </w:r>
      <w:r>
        <w:rPr>
          <w:rFonts w:ascii="Arial" w:hAnsi="Arial"/>
          <w:spacing w:val="20"/>
        </w:rPr>
        <w:t xml:space="preserve"> </w:t>
      </w:r>
      <w:r>
        <w:rPr>
          <w:rFonts w:ascii="Arial" w:hAnsi="Arial"/>
        </w:rPr>
        <w:t>presente</w:t>
      </w:r>
      <w:r>
        <w:rPr>
          <w:rFonts w:ascii="Arial" w:hAnsi="Arial"/>
          <w:spacing w:val="19"/>
        </w:rPr>
        <w:t xml:space="preserve"> </w:t>
      </w:r>
      <w:r>
        <w:rPr>
          <w:rFonts w:ascii="Arial" w:hAnsi="Arial"/>
        </w:rPr>
        <w:t>Ata</w:t>
      </w:r>
      <w:r>
        <w:rPr>
          <w:rFonts w:ascii="Arial" w:hAnsi="Arial"/>
          <w:spacing w:val="20"/>
        </w:rPr>
        <w:t xml:space="preserve"> </w:t>
      </w:r>
      <w:r>
        <w:rPr>
          <w:rFonts w:ascii="Arial" w:hAnsi="Arial"/>
        </w:rPr>
        <w:t>de</w:t>
      </w:r>
      <w:r>
        <w:rPr>
          <w:rFonts w:ascii="Arial" w:hAnsi="Arial"/>
          <w:spacing w:val="20"/>
        </w:rPr>
        <w:t xml:space="preserve"> </w:t>
      </w:r>
      <w:r>
        <w:rPr>
          <w:rFonts w:ascii="Arial" w:hAnsi="Arial"/>
        </w:rPr>
        <w:t>Registro</w:t>
      </w:r>
      <w:r>
        <w:rPr>
          <w:rFonts w:ascii="Arial" w:hAnsi="Arial"/>
          <w:spacing w:val="19"/>
        </w:rPr>
        <w:t xml:space="preserve"> </w:t>
      </w:r>
      <w:r>
        <w:rPr>
          <w:rFonts w:ascii="Arial" w:hAnsi="Arial"/>
        </w:rPr>
        <w:t>de</w:t>
      </w:r>
      <w:r>
        <w:rPr>
          <w:rFonts w:ascii="Arial" w:hAnsi="Arial"/>
          <w:spacing w:val="20"/>
        </w:rPr>
        <w:t xml:space="preserve"> </w:t>
      </w:r>
      <w:r>
        <w:rPr>
          <w:rFonts w:ascii="Arial" w:hAnsi="Arial"/>
        </w:rPr>
        <w:t>Preços</w:t>
      </w:r>
      <w:r>
        <w:rPr>
          <w:rFonts w:ascii="Arial" w:hAnsi="Arial"/>
          <w:spacing w:val="20"/>
        </w:rPr>
        <w:t xml:space="preserve"> </w:t>
      </w:r>
      <w:r>
        <w:rPr>
          <w:rFonts w:ascii="Arial" w:hAnsi="Arial"/>
        </w:rPr>
        <w:t>será</w:t>
      </w:r>
      <w:r>
        <w:rPr>
          <w:rFonts w:ascii="Arial" w:hAnsi="Arial"/>
          <w:spacing w:val="19"/>
        </w:rPr>
        <w:t xml:space="preserve"> </w:t>
      </w:r>
      <w:r>
        <w:rPr>
          <w:rFonts w:ascii="Arial" w:hAnsi="Arial"/>
        </w:rPr>
        <w:t>autorizado,</w:t>
      </w:r>
      <w:r>
        <w:rPr>
          <w:rFonts w:ascii="Arial" w:hAnsi="Arial"/>
          <w:spacing w:val="20"/>
        </w:rPr>
        <w:t xml:space="preserve"> </w:t>
      </w:r>
      <w:r>
        <w:rPr>
          <w:rFonts w:ascii="Arial" w:hAnsi="Arial"/>
        </w:rPr>
        <w:t>caso</w:t>
      </w:r>
      <w:r>
        <w:rPr>
          <w:rFonts w:ascii="Arial" w:hAnsi="Arial"/>
          <w:spacing w:val="19"/>
        </w:rPr>
        <w:t xml:space="preserve"> </w:t>
      </w:r>
      <w:r>
        <w:rPr>
          <w:rFonts w:ascii="Arial" w:hAnsi="Arial"/>
        </w:rPr>
        <w:t>a</w:t>
      </w:r>
      <w:r>
        <w:rPr>
          <w:rFonts w:ascii="Arial" w:hAnsi="Arial"/>
          <w:spacing w:val="20"/>
        </w:rPr>
        <w:t xml:space="preserve"> </w:t>
      </w:r>
      <w:r>
        <w:rPr>
          <w:rFonts w:ascii="Arial" w:hAnsi="Arial"/>
        </w:rPr>
        <w:t>caso,</w:t>
      </w:r>
      <w:r>
        <w:rPr>
          <w:rFonts w:ascii="Arial" w:hAnsi="Arial"/>
          <w:spacing w:val="20"/>
        </w:rPr>
        <w:t xml:space="preserve"> </w:t>
      </w:r>
      <w:r>
        <w:rPr>
          <w:rFonts w:ascii="Arial" w:hAnsi="Arial"/>
        </w:rPr>
        <w:t>pelo(a)</w:t>
      </w:r>
      <w:r>
        <w:rPr>
          <w:rFonts w:ascii="Arial" w:hAnsi="Arial"/>
          <w:spacing w:val="19"/>
        </w:rPr>
        <w:t xml:space="preserve"> </w:t>
      </w:r>
      <w:r>
        <w:rPr>
          <w:rFonts w:ascii="Arial" w:hAnsi="Arial"/>
        </w:rPr>
        <w:t>MUNICÍPIO</w:t>
      </w:r>
      <w:r>
        <w:rPr>
          <w:rFonts w:ascii="Arial" w:hAnsi="Arial"/>
          <w:spacing w:val="20"/>
        </w:rPr>
        <w:t xml:space="preserve"> </w:t>
      </w:r>
      <w:r>
        <w:rPr>
          <w:rFonts w:ascii="Arial" w:hAnsi="Arial"/>
        </w:rPr>
        <w:t>DE</w:t>
      </w:r>
      <w:r>
        <w:rPr>
          <w:rFonts w:ascii="Arial" w:hAnsi="Arial"/>
          <w:spacing w:val="20"/>
        </w:rPr>
        <w:t xml:space="preserve"> </w:t>
      </w:r>
      <w:r>
        <w:rPr>
          <w:rFonts w:ascii="Arial" w:hAnsi="Arial"/>
        </w:rPr>
        <w:t>ITÁ,</w:t>
      </w:r>
      <w:r>
        <w:rPr>
          <w:rFonts w:ascii="Arial" w:hAnsi="Arial"/>
          <w:spacing w:val="19"/>
        </w:rPr>
        <w:t xml:space="preserve"> </w:t>
      </w:r>
      <w:r>
        <w:rPr>
          <w:rFonts w:ascii="Arial" w:hAnsi="Arial"/>
        </w:rPr>
        <w:t>que</w:t>
      </w:r>
      <w:r>
        <w:rPr>
          <w:rFonts w:ascii="Arial" w:hAnsi="Arial"/>
          <w:spacing w:val="20"/>
        </w:rPr>
        <w:t xml:space="preserve"> </w:t>
      </w:r>
      <w:r>
        <w:rPr>
          <w:rFonts w:ascii="Arial" w:hAnsi="Arial"/>
        </w:rPr>
        <w:t>é</w:t>
      </w:r>
      <w:r>
        <w:rPr>
          <w:rFonts w:ascii="Arial" w:hAnsi="Arial"/>
          <w:spacing w:val="20"/>
        </w:rPr>
        <w:t xml:space="preserve"> </w:t>
      </w:r>
      <w:r>
        <w:rPr>
          <w:rFonts w:ascii="Arial" w:hAnsi="Arial"/>
        </w:rPr>
        <w:t>o</w:t>
      </w:r>
      <w:r>
        <w:rPr>
          <w:rFonts w:ascii="Arial" w:hAnsi="Arial"/>
          <w:spacing w:val="19"/>
        </w:rPr>
        <w:t xml:space="preserve"> </w:t>
      </w:r>
      <w:r>
        <w:rPr>
          <w:rFonts w:ascii="Arial" w:hAnsi="Arial"/>
        </w:rPr>
        <w:t>órgão</w:t>
      </w:r>
      <w:r>
        <w:rPr>
          <w:rFonts w:ascii="Arial" w:hAnsi="Arial"/>
          <w:spacing w:val="1"/>
        </w:rPr>
        <w:t xml:space="preserve"> </w:t>
      </w:r>
      <w:r>
        <w:rPr>
          <w:rFonts w:ascii="Arial" w:hAnsi="Arial"/>
        </w:rPr>
        <w:t>gerenciador</w:t>
      </w:r>
      <w:r>
        <w:rPr>
          <w:rFonts w:ascii="Arial" w:hAnsi="Arial"/>
          <w:spacing w:val="-1"/>
        </w:rPr>
        <w:t xml:space="preserve"> </w:t>
      </w:r>
      <w:r>
        <w:rPr>
          <w:rFonts w:ascii="Arial" w:hAnsi="Arial"/>
        </w:rPr>
        <w:t>da</w:t>
      </w:r>
      <w:r>
        <w:rPr>
          <w:rFonts w:ascii="Arial" w:hAnsi="Arial"/>
          <w:spacing w:val="-1"/>
        </w:rPr>
        <w:t xml:space="preserve"> </w:t>
      </w:r>
      <w:r>
        <w:rPr>
          <w:rFonts w:ascii="Arial" w:hAnsi="Arial"/>
        </w:rPr>
        <w:t>mesma</w:t>
      </w:r>
      <w:r>
        <w:rPr>
          <w:rFonts w:ascii="Arial" w:hAnsi="Arial"/>
          <w:spacing w:val="-2"/>
        </w:rPr>
        <w:t xml:space="preserve"> </w:t>
      </w:r>
      <w:r>
        <w:rPr>
          <w:rFonts w:ascii="Arial" w:hAnsi="Arial"/>
        </w:rPr>
        <w:t>e</w:t>
      </w:r>
      <w:r>
        <w:rPr>
          <w:rFonts w:ascii="Arial" w:hAnsi="Arial"/>
          <w:spacing w:val="-1"/>
        </w:rPr>
        <w:t xml:space="preserve"> </w:t>
      </w:r>
      <w:r>
        <w:rPr>
          <w:rFonts w:ascii="Arial" w:hAnsi="Arial"/>
        </w:rPr>
        <w:t>também</w:t>
      </w:r>
      <w:r>
        <w:rPr>
          <w:rFonts w:ascii="Arial" w:hAnsi="Arial"/>
          <w:spacing w:val="-2"/>
        </w:rPr>
        <w:t xml:space="preserve"> </w:t>
      </w:r>
      <w:r>
        <w:rPr>
          <w:rFonts w:ascii="Arial" w:hAnsi="Arial"/>
        </w:rPr>
        <w:t>pela</w:t>
      </w:r>
      <w:r>
        <w:rPr>
          <w:rFonts w:ascii="Arial" w:hAnsi="Arial"/>
          <w:spacing w:val="-1"/>
        </w:rPr>
        <w:t xml:space="preserve"> </w:t>
      </w:r>
      <w:r>
        <w:rPr>
          <w:rFonts w:ascii="Arial" w:hAnsi="Arial"/>
        </w:rPr>
        <w:t>unidade</w:t>
      </w:r>
      <w:r>
        <w:rPr>
          <w:rFonts w:ascii="Arial" w:hAnsi="Arial"/>
          <w:spacing w:val="-2"/>
        </w:rPr>
        <w:t xml:space="preserve"> </w:t>
      </w:r>
      <w:r>
        <w:rPr>
          <w:rFonts w:ascii="Arial" w:hAnsi="Arial"/>
        </w:rPr>
        <w:t>financeira</w:t>
      </w:r>
      <w:r>
        <w:rPr>
          <w:rFonts w:ascii="Arial" w:hAnsi="Arial"/>
          <w:spacing w:val="-1"/>
        </w:rPr>
        <w:t xml:space="preserve"> </w:t>
      </w:r>
      <w:r>
        <w:rPr>
          <w:rFonts w:ascii="Arial" w:hAnsi="Arial"/>
        </w:rPr>
        <w:t>competente</w:t>
      </w:r>
      <w:r>
        <w:rPr>
          <w:rFonts w:ascii="Arial" w:hAnsi="Arial"/>
          <w:spacing w:val="-2"/>
        </w:rPr>
        <w:t xml:space="preserve"> </w:t>
      </w:r>
      <w:r>
        <w:rPr>
          <w:rFonts w:ascii="Arial" w:hAnsi="Arial"/>
        </w:rPr>
        <w:t>para</w:t>
      </w:r>
      <w:r>
        <w:rPr>
          <w:rFonts w:ascii="Arial" w:hAnsi="Arial"/>
          <w:spacing w:val="-1"/>
        </w:rPr>
        <w:t xml:space="preserve"> </w:t>
      </w:r>
      <w:r>
        <w:rPr>
          <w:rFonts w:ascii="Arial" w:hAnsi="Arial"/>
        </w:rPr>
        <w:t>os</w:t>
      </w:r>
      <w:r>
        <w:rPr>
          <w:rFonts w:ascii="Arial" w:hAnsi="Arial"/>
          <w:spacing w:val="-2"/>
        </w:rPr>
        <w:t xml:space="preserve"> </w:t>
      </w:r>
      <w:r>
        <w:rPr>
          <w:rFonts w:ascii="Arial" w:hAnsi="Arial"/>
        </w:rPr>
        <w:t>pagamentos.</w:t>
      </w:r>
    </w:p>
    <w:p>
      <w:pPr>
        <w:pStyle w:val="Corpodotexto"/>
        <w:widowControl w:val="false"/>
        <w:tabs>
          <w:tab w:val="clear" w:pos="708"/>
          <w:tab w:val="left" w:pos="10597" w:leader="none"/>
        </w:tabs>
        <w:spacing w:lineRule="auto" w:line="240" w:before="0" w:after="0"/>
        <w:jc w:val="both"/>
        <w:textAlignment w:val="baseline"/>
        <w:rPr/>
      </w:pPr>
      <w:r>
        <w:rPr>
          <w:rFonts w:eastAsia="Times New Roman" w:cs="Arial" w:ascii="Arial" w:hAnsi="Arial"/>
          <w:color w:val="000000"/>
          <w:spacing w:val="-3"/>
          <w:lang w:eastAsia="pt-BR"/>
        </w:rPr>
        <w:t>9.1.</w:t>
      </w:r>
      <w:r>
        <w:rPr>
          <w:rFonts w:eastAsia="Times New Roman" w:cs="Arial" w:ascii="Arial" w:hAnsi="Arial"/>
          <w:color w:val="000000"/>
          <w:spacing w:val="16"/>
          <w:lang w:eastAsia="pt-BR"/>
        </w:rPr>
        <w:t xml:space="preserve"> </w:t>
      </w:r>
      <w:r>
        <w:rPr>
          <w:rFonts w:eastAsia="Times New Roman" w:cs="Arial" w:ascii="Arial" w:hAnsi="Arial"/>
          <w:color w:val="000000"/>
          <w:spacing w:val="-3"/>
          <w:lang w:eastAsia="pt-BR"/>
        </w:rPr>
        <w:t>A</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emissão</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dos</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pedidos,</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sua</w:t>
      </w:r>
      <w:r>
        <w:rPr>
          <w:rFonts w:eastAsia="Times New Roman" w:cs="Arial" w:ascii="Arial" w:hAnsi="Arial"/>
          <w:color w:val="000000"/>
          <w:spacing w:val="16"/>
          <w:lang w:eastAsia="pt-BR"/>
        </w:rPr>
        <w:t xml:space="preserve"> </w:t>
      </w:r>
      <w:r>
        <w:rPr>
          <w:rFonts w:eastAsia="Times New Roman" w:cs="Arial" w:ascii="Arial" w:hAnsi="Arial"/>
          <w:color w:val="000000"/>
          <w:spacing w:val="-3"/>
          <w:lang w:eastAsia="pt-BR"/>
        </w:rPr>
        <w:t>retificação</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ou</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cancelamento,</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autorizados</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pelo</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órgão</w:t>
      </w:r>
      <w:r>
        <w:rPr>
          <w:rFonts w:eastAsia="Times New Roman" w:cs="Arial" w:ascii="Arial" w:hAnsi="Arial"/>
          <w:color w:val="000000"/>
          <w:spacing w:val="16"/>
          <w:lang w:eastAsia="pt-BR"/>
        </w:rPr>
        <w:t xml:space="preserve"> </w:t>
      </w:r>
      <w:r>
        <w:rPr>
          <w:rFonts w:eastAsia="Times New Roman" w:cs="Arial" w:ascii="Arial" w:hAnsi="Arial"/>
          <w:color w:val="000000"/>
          <w:spacing w:val="-3"/>
          <w:lang w:eastAsia="pt-BR"/>
        </w:rPr>
        <w:t>requisitante</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total</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ou</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parcial,</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serão</w:t>
      </w:r>
      <w:r>
        <w:rPr>
          <w:rFonts w:eastAsia="Times New Roman" w:cs="Arial" w:ascii="Arial" w:hAnsi="Arial"/>
          <w:color w:val="000000"/>
          <w:spacing w:val="16"/>
          <w:lang w:eastAsia="pt-BR"/>
        </w:rPr>
        <w:t xml:space="preserve"> </w:t>
      </w:r>
      <w:r>
        <w:rPr>
          <w:rFonts w:eastAsia="Times New Roman" w:cs="Arial" w:ascii="Arial" w:hAnsi="Arial"/>
          <w:color w:val="000000"/>
          <w:spacing w:val="-3"/>
          <w:lang w:eastAsia="pt-BR"/>
        </w:rPr>
        <w:t>igualmente,</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quando</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da</w:t>
      </w:r>
      <w:r>
        <w:rPr>
          <w:rFonts w:eastAsia="Times New Roman" w:cs="Arial" w:ascii="Arial" w:hAnsi="Arial"/>
          <w:color w:val="000000"/>
          <w:spacing w:val="1"/>
          <w:lang w:eastAsia="pt-BR"/>
        </w:rPr>
        <w:t xml:space="preserve"> </w:t>
      </w:r>
      <w:r>
        <w:rPr>
          <w:rFonts w:eastAsia="Times New Roman" w:cs="Arial" w:ascii="Arial" w:hAnsi="Arial"/>
          <w:color w:val="000000"/>
          <w:spacing w:val="-3"/>
          <w:lang w:eastAsia="pt-BR"/>
        </w:rPr>
        <w:t>solicitação.</w:t>
      </w:r>
    </w:p>
    <w:p>
      <w:pPr>
        <w:pStyle w:val="Corpodotexto"/>
        <w:widowControl w:val="false"/>
        <w:tabs>
          <w:tab w:val="clear" w:pos="708"/>
          <w:tab w:val="left" w:pos="10597" w:leader="none"/>
        </w:tabs>
        <w:spacing w:lineRule="auto" w:line="240" w:before="0" w:after="0"/>
        <w:jc w:val="both"/>
        <w:textAlignment w:val="baseline"/>
        <w:rPr>
          <w:rFonts w:eastAsia="Times New Roman" w:cs="Arial"/>
          <w:spacing w:val="-3"/>
          <w:lang w:eastAsia="pt-BR"/>
        </w:rPr>
      </w:pPr>
      <w:r>
        <w:rPr>
          <w:rFonts w:eastAsia="Times New Roman" w:cs="Arial"/>
          <w:spacing w:val="-3"/>
          <w:lang w:eastAsia="pt-BR"/>
        </w:rPr>
      </w:r>
    </w:p>
    <w:p>
      <w:pPr>
        <w:pStyle w:val="Ttulo2"/>
        <w:widowControl w:val="false"/>
        <w:numPr>
          <w:ilvl w:val="1"/>
          <w:numId w:val="51"/>
        </w:numPr>
        <w:tabs>
          <w:tab w:val="clear" w:pos="708"/>
          <w:tab w:val="left" w:pos="10597" w:leader="none"/>
        </w:tabs>
        <w:spacing w:lineRule="auto" w:line="240" w:before="0" w:after="0"/>
        <w:ind w:hanging="22"/>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X</w:t>
      </w:r>
      <w:r>
        <w:rPr>
          <w:rFonts w:eastAsia="Times New Roman" w:cs="Arial" w:ascii="Arial" w:hAnsi="Arial"/>
          <w:bCs w:val="false"/>
          <w:color w:val="000000"/>
          <w:spacing w:val="-3"/>
          <w:sz w:val="22"/>
          <w:szCs w:val="22"/>
          <w:shd w:fill="CCCCCC" w:val="clear"/>
          <w:lang w:eastAsia="pt-BR"/>
        </w:rPr>
        <w:t xml:space="preserve"> – DAS OBRIGAÇÕES DO CONTRATANTE:</w:t>
      </w:r>
    </w:p>
    <w:p>
      <w:pPr>
        <w:pStyle w:val="Corpodotexto"/>
        <w:widowControl w:val="false"/>
        <w:tabs>
          <w:tab w:val="clear" w:pos="708"/>
          <w:tab w:val="left" w:pos="10597" w:leader="none"/>
        </w:tabs>
        <w:spacing w:lineRule="auto" w:line="240" w:before="0" w:after="0"/>
        <w:textAlignment w:val="baseline"/>
        <w:rPr>
          <w:rFonts w:eastAsia="Times New Roman" w:cs="Arial"/>
          <w:spacing w:val="-3"/>
          <w:lang w:eastAsia="pt-BR"/>
        </w:rPr>
      </w:pPr>
      <w:r>
        <w:rPr>
          <w:rFonts w:eastAsia="Times New Roman" w:cs="Arial"/>
          <w:spacing w:val="-3"/>
          <w:lang w:eastAsia="pt-BR"/>
        </w:rPr>
      </w:r>
    </w:p>
    <w:p>
      <w:pPr>
        <w:pStyle w:val="ListParagraph"/>
        <w:tabs>
          <w:tab w:val="clear" w:pos="708"/>
          <w:tab w:val="left" w:pos="409" w:leader="none"/>
        </w:tabs>
        <w:spacing w:lineRule="auto" w:line="240" w:before="0" w:after="0"/>
        <w:ind w:left="0" w:hanging="0"/>
        <w:contextualSpacing/>
        <w:jc w:val="both"/>
        <w:rPr>
          <w:rFonts w:ascii="Arial" w:hAnsi="Arial"/>
        </w:rPr>
      </w:pPr>
      <w:r>
        <w:rPr>
          <w:rFonts w:ascii="Arial" w:hAnsi="Arial"/>
        </w:rPr>
        <w:t>10.</w:t>
        <w:tab/>
        <w:tab/>
        <w:t>Compete</w:t>
      </w:r>
      <w:r>
        <w:rPr>
          <w:rFonts w:ascii="Arial" w:hAnsi="Arial"/>
          <w:spacing w:val="-7"/>
        </w:rPr>
        <w:t xml:space="preserve"> ao </w:t>
      </w:r>
      <w:r>
        <w:rPr>
          <w:rFonts w:ascii="Arial" w:hAnsi="Arial"/>
        </w:rPr>
        <w:t>Contratante:</w:t>
      </w:r>
    </w:p>
    <w:p>
      <w:pPr>
        <w:pStyle w:val="ListParagraph"/>
        <w:tabs>
          <w:tab w:val="clear" w:pos="708"/>
          <w:tab w:val="left" w:pos="498" w:leader="none"/>
        </w:tabs>
        <w:spacing w:lineRule="auto" w:line="240" w:before="0" w:after="0"/>
        <w:ind w:left="0" w:hanging="0"/>
        <w:contextualSpacing/>
        <w:jc w:val="both"/>
        <w:rPr>
          <w:rFonts w:ascii="Arial" w:hAnsi="Arial"/>
        </w:rPr>
      </w:pPr>
      <w:r>
        <w:rPr>
          <w:rFonts w:ascii="Arial" w:hAnsi="Arial"/>
        </w:rPr>
        <w:t>10.1.</w:t>
        <w:tab/>
        <w:tab/>
        <w:t>Indicar previamente os locais da prestação de serviços.</w:t>
      </w:r>
    </w:p>
    <w:p>
      <w:pPr>
        <w:pStyle w:val="ListParagraph"/>
        <w:tabs>
          <w:tab w:val="clear" w:pos="708"/>
          <w:tab w:val="left" w:pos="498" w:leader="none"/>
        </w:tabs>
        <w:spacing w:lineRule="auto" w:line="240" w:before="0" w:after="0"/>
        <w:ind w:left="0" w:hanging="0"/>
        <w:contextualSpacing/>
        <w:jc w:val="both"/>
        <w:rPr>
          <w:rFonts w:ascii="Arial" w:hAnsi="Arial"/>
        </w:rPr>
      </w:pPr>
      <w:r>
        <w:rPr>
          <w:rFonts w:ascii="Arial" w:hAnsi="Arial"/>
        </w:rPr>
        <w:t>10.2.</w:t>
        <w:tab/>
        <w:tab/>
        <w:t>Efetuar</w:t>
      </w:r>
      <w:r>
        <w:rPr>
          <w:rFonts w:ascii="Arial" w:hAnsi="Arial"/>
          <w:spacing w:val="-6"/>
        </w:rPr>
        <w:t xml:space="preserve"> </w:t>
      </w:r>
      <w:r>
        <w:rPr>
          <w:rFonts w:ascii="Arial" w:hAnsi="Arial"/>
        </w:rPr>
        <w:t>o</w:t>
      </w:r>
      <w:r>
        <w:rPr>
          <w:rFonts w:ascii="Arial" w:hAnsi="Arial"/>
          <w:spacing w:val="-5"/>
        </w:rPr>
        <w:t xml:space="preserve"> </w:t>
      </w:r>
      <w:r>
        <w:rPr>
          <w:rFonts w:ascii="Arial" w:hAnsi="Arial"/>
        </w:rPr>
        <w:t>pagamento</w:t>
      </w:r>
      <w:r>
        <w:rPr>
          <w:rFonts w:ascii="Arial" w:hAnsi="Arial"/>
          <w:spacing w:val="-5"/>
        </w:rPr>
        <w:t xml:space="preserve"> </w:t>
      </w:r>
      <w:r>
        <w:rPr>
          <w:rFonts w:ascii="Arial" w:hAnsi="Arial"/>
        </w:rPr>
        <w:t>nas</w:t>
      </w:r>
      <w:r>
        <w:rPr>
          <w:rFonts w:ascii="Arial" w:hAnsi="Arial"/>
          <w:spacing w:val="-5"/>
        </w:rPr>
        <w:t xml:space="preserve"> </w:t>
      </w:r>
      <w:r>
        <w:rPr>
          <w:rFonts w:ascii="Arial" w:hAnsi="Arial"/>
        </w:rPr>
        <w:t>condições</w:t>
      </w:r>
      <w:r>
        <w:rPr>
          <w:rFonts w:ascii="Arial" w:hAnsi="Arial"/>
          <w:spacing w:val="-5"/>
        </w:rPr>
        <w:t xml:space="preserve"> </w:t>
      </w:r>
      <w:r>
        <w:rPr>
          <w:rFonts w:ascii="Arial" w:hAnsi="Arial"/>
        </w:rPr>
        <w:t>pactuadas.</w:t>
      </w:r>
    </w:p>
    <w:p>
      <w:pPr>
        <w:pStyle w:val="ListParagraph"/>
        <w:tabs>
          <w:tab w:val="clear" w:pos="708"/>
          <w:tab w:val="left" w:pos="498" w:leader="none"/>
        </w:tabs>
        <w:spacing w:lineRule="auto" w:line="240" w:before="0" w:after="0"/>
        <w:ind w:left="0" w:hanging="0"/>
        <w:contextualSpacing/>
        <w:jc w:val="both"/>
        <w:rPr>
          <w:rFonts w:ascii="Arial" w:hAnsi="Arial"/>
        </w:rPr>
      </w:pPr>
      <w:r>
        <w:rPr>
          <w:rFonts w:ascii="Arial" w:hAnsi="Arial"/>
        </w:rPr>
        <w:t>10.3.</w:t>
        <w:tab/>
        <w:tab/>
        <w:t>Notificar</w:t>
      </w:r>
      <w:r>
        <w:rPr>
          <w:rFonts w:ascii="Arial" w:hAnsi="Arial"/>
          <w:spacing w:val="-6"/>
        </w:rPr>
        <w:t xml:space="preserve"> o </w:t>
      </w:r>
      <w:r>
        <w:rPr>
          <w:rFonts w:ascii="Arial" w:hAnsi="Arial"/>
        </w:rPr>
        <w:t>Contratado</w:t>
      </w:r>
      <w:r>
        <w:rPr>
          <w:rFonts w:ascii="Arial" w:hAnsi="Arial"/>
          <w:spacing w:val="-6"/>
        </w:rPr>
        <w:t xml:space="preserve"> </w:t>
      </w:r>
      <w:r>
        <w:rPr>
          <w:rFonts w:ascii="Arial" w:hAnsi="Arial"/>
        </w:rPr>
        <w:t>relativamente</w:t>
      </w:r>
      <w:r>
        <w:rPr>
          <w:rFonts w:ascii="Arial" w:hAnsi="Arial"/>
          <w:spacing w:val="-6"/>
        </w:rPr>
        <w:t xml:space="preserve"> </w:t>
      </w:r>
      <w:r>
        <w:rPr>
          <w:rFonts w:ascii="Arial" w:hAnsi="Arial"/>
        </w:rPr>
        <w:t>a</w:t>
      </w:r>
      <w:r>
        <w:rPr>
          <w:rFonts w:ascii="Arial" w:hAnsi="Arial"/>
          <w:spacing w:val="-6"/>
        </w:rPr>
        <w:t xml:space="preserve"> </w:t>
      </w:r>
      <w:r>
        <w:rPr>
          <w:rFonts w:ascii="Arial" w:hAnsi="Arial"/>
        </w:rPr>
        <w:t>qualquer</w:t>
      </w:r>
      <w:r>
        <w:rPr>
          <w:rFonts w:ascii="Arial" w:hAnsi="Arial"/>
          <w:spacing w:val="-6"/>
        </w:rPr>
        <w:t xml:space="preserve"> </w:t>
      </w:r>
      <w:r>
        <w:rPr>
          <w:rFonts w:ascii="Arial" w:hAnsi="Arial"/>
        </w:rPr>
        <w:t>irregularidade</w:t>
      </w:r>
      <w:r>
        <w:rPr>
          <w:rFonts w:ascii="Arial" w:hAnsi="Arial"/>
          <w:spacing w:val="-6"/>
        </w:rPr>
        <w:t xml:space="preserve"> </w:t>
      </w:r>
      <w:r>
        <w:rPr>
          <w:rFonts w:ascii="Arial" w:hAnsi="Arial"/>
        </w:rPr>
        <w:t>encontrada</w:t>
      </w:r>
      <w:r>
        <w:rPr>
          <w:rFonts w:ascii="Arial" w:hAnsi="Arial"/>
          <w:spacing w:val="-6"/>
        </w:rPr>
        <w:t xml:space="preserve"> </w:t>
      </w:r>
      <w:r>
        <w:rPr>
          <w:rFonts w:ascii="Arial" w:hAnsi="Arial"/>
        </w:rPr>
        <w:t>no</w:t>
      </w:r>
      <w:r>
        <w:rPr>
          <w:rFonts w:ascii="Arial" w:hAnsi="Arial"/>
          <w:spacing w:val="-6"/>
        </w:rPr>
        <w:t xml:space="preserve"> </w:t>
      </w:r>
      <w:r>
        <w:rPr>
          <w:rFonts w:ascii="Arial" w:hAnsi="Arial"/>
        </w:rPr>
        <w:t>fornecimento</w:t>
      </w:r>
      <w:r>
        <w:rPr>
          <w:rFonts w:ascii="Arial" w:hAnsi="Arial"/>
          <w:spacing w:val="-6"/>
        </w:rPr>
        <w:t xml:space="preserve"> </w:t>
      </w:r>
      <w:r>
        <w:rPr>
          <w:rFonts w:ascii="Arial" w:hAnsi="Arial"/>
        </w:rPr>
        <w:t>do objeto.</w:t>
      </w:r>
    </w:p>
    <w:p>
      <w:pPr>
        <w:pStyle w:val="ListParagraph"/>
        <w:tabs>
          <w:tab w:val="clear" w:pos="708"/>
          <w:tab w:val="left" w:pos="142" w:leader="none"/>
        </w:tabs>
        <w:spacing w:lineRule="auto" w:line="240" w:before="0" w:after="0"/>
        <w:ind w:left="0" w:hanging="0"/>
        <w:contextualSpacing/>
        <w:jc w:val="both"/>
        <w:rPr>
          <w:rFonts w:ascii="Arial" w:hAnsi="Arial"/>
        </w:rPr>
      </w:pPr>
      <w:r>
        <w:rPr>
          <w:rFonts w:ascii="Arial" w:hAnsi="Arial"/>
        </w:rPr>
        <w:t>10.4.</w:t>
        <w:tab/>
        <w:t>Acompanhar e fiscalizar o cumprimento das obrigações do Contratado, através de comissão/servidor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ListParagraph"/>
        <w:tabs>
          <w:tab w:val="clear" w:pos="708"/>
          <w:tab w:val="left" w:pos="142" w:leader="none"/>
        </w:tabs>
        <w:spacing w:lineRule="auto" w:line="240" w:before="0" w:after="0"/>
        <w:ind w:left="0" w:hanging="0"/>
        <w:contextualSpacing/>
        <w:jc w:val="both"/>
        <w:rPr>
          <w:rFonts w:ascii="Arial" w:hAnsi="Arial"/>
        </w:rPr>
      </w:pPr>
      <w:r>
        <w:rPr>
          <w:rFonts w:ascii="Arial" w:hAnsi="Arial"/>
        </w:rPr>
        <w:t>10.5.</w:t>
        <w:tab/>
        <w:t xml:space="preserve">Prestar as informações e os esclarecimentos que venham a ser solicitados pelos empregados, encarregados e/ou prepostos do Contratado, desde que inerentes ao objeto contratado. </w:t>
      </w:r>
    </w:p>
    <w:p>
      <w:pPr>
        <w:pStyle w:val="ListParagraph"/>
        <w:tabs>
          <w:tab w:val="clear" w:pos="708"/>
          <w:tab w:val="left" w:pos="498" w:leader="none"/>
        </w:tabs>
        <w:spacing w:lineRule="auto" w:line="240" w:before="0" w:after="0"/>
        <w:ind w:left="0" w:hanging="0"/>
        <w:contextualSpacing/>
        <w:jc w:val="both"/>
        <w:rPr>
          <w:rFonts w:ascii="Arial" w:hAnsi="Arial"/>
        </w:rPr>
      </w:pPr>
      <w:r>
        <w:rPr>
          <w:rFonts w:ascii="Arial" w:hAnsi="Arial"/>
        </w:rPr>
        <w:t>10.6.</w:t>
        <w:tab/>
        <w:tab/>
        <w:t>Permitir o livre acesso dos empregados, encarregados e/ou prepostos do Contratado para a execução do objeto.</w:t>
      </w:r>
    </w:p>
    <w:p>
      <w:pPr>
        <w:pStyle w:val="ListParagraph"/>
        <w:widowControl w:val="false"/>
        <w:tabs>
          <w:tab w:val="clear" w:pos="708"/>
          <w:tab w:val="left" w:pos="142" w:leader="none"/>
        </w:tabs>
        <w:spacing w:lineRule="auto" w:line="240" w:before="0" w:after="0"/>
        <w:ind w:left="0" w:hanging="0"/>
        <w:contextualSpacing/>
        <w:jc w:val="both"/>
        <w:textAlignment w:val="baseline"/>
        <w:rPr>
          <w:rFonts w:ascii="Arial" w:hAnsi="Arial"/>
        </w:rPr>
      </w:pPr>
      <w:r>
        <w:rPr>
          <w:rFonts w:eastAsia="Times New Roman" w:cs="Arial" w:ascii="Arial" w:hAnsi="Arial"/>
          <w:color w:val="000000"/>
          <w:spacing w:val="-3"/>
          <w:lang w:eastAsia="pt-BR"/>
        </w:rPr>
        <w:t>10.7.</w:t>
        <w:tab/>
        <w:t>O Município</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não</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será</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responsável</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por</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quaisquer</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ônus,</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direitos</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ou</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obrigações</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vinculadas</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à</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legislação</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trabalhista,</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tributárias</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ou</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securitárias</w:t>
      </w:r>
      <w:r>
        <w:rPr>
          <w:rFonts w:eastAsia="Times New Roman" w:cs="Arial" w:ascii="Arial" w:hAnsi="Arial"/>
          <w:color w:val="000000"/>
          <w:spacing w:val="1"/>
          <w:lang w:eastAsia="pt-BR"/>
        </w:rPr>
        <w:t xml:space="preserve"> </w:t>
      </w:r>
      <w:r>
        <w:rPr>
          <w:rFonts w:eastAsia="Times New Roman" w:cs="Arial" w:ascii="Arial" w:hAnsi="Arial"/>
          <w:color w:val="000000"/>
          <w:spacing w:val="-3"/>
          <w:lang w:eastAsia="pt-BR"/>
        </w:rPr>
        <w:t>decorrentes</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da</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execução</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da</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presente ata,</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cujo</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cumprimento</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e</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responsabilidade</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caberão,</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exclusivamente,</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ao</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Contratado.</w:t>
      </w:r>
    </w:p>
    <w:p>
      <w:pPr>
        <w:pStyle w:val="ListParagraph"/>
        <w:widowControl w:val="false"/>
        <w:tabs>
          <w:tab w:val="clear" w:pos="708"/>
          <w:tab w:val="left" w:pos="142" w:leader="none"/>
        </w:tabs>
        <w:spacing w:lineRule="auto" w:line="240" w:before="0" w:after="0"/>
        <w:ind w:left="1440" w:hanging="0"/>
        <w:contextualSpacing/>
        <w:jc w:val="both"/>
        <w:textAlignment w:val="baseline"/>
        <w:rPr>
          <w:rFonts w:eastAsia="Times New Roman" w:cs="Arial"/>
          <w:spacing w:val="-3"/>
          <w:lang w:eastAsia="pt-BR"/>
        </w:rPr>
      </w:pPr>
      <w:r>
        <w:rPr>
          <w:rFonts w:eastAsia="Times New Roman" w:cs="Arial"/>
          <w:spacing w:val="-3"/>
          <w:lang w:eastAsia="pt-BR"/>
        </w:rPr>
      </w:r>
    </w:p>
    <w:p>
      <w:pPr>
        <w:pStyle w:val="Ttulo2"/>
        <w:widowControl w:val="false"/>
        <w:numPr>
          <w:ilvl w:val="1"/>
          <w:numId w:val="51"/>
        </w:numPr>
        <w:tabs>
          <w:tab w:val="clear" w:pos="708"/>
          <w:tab w:val="left" w:pos="10597" w:leader="none"/>
        </w:tabs>
        <w:spacing w:lineRule="auto" w:line="240" w:before="0" w:after="0"/>
        <w:ind w:hanging="22"/>
        <w:textAlignment w:val="baseline"/>
        <w:rPr>
          <w:highlight w:val="lightGray"/>
        </w:rPr>
      </w:pPr>
      <w:r>
        <w:rPr>
          <w:rFonts w:eastAsia="Times New Roman" w:cs="Arial" w:ascii="Arial" w:hAnsi="Arial"/>
          <w:bCs w:val="false"/>
          <w:color w:val="000000"/>
          <w:spacing w:val="-3"/>
          <w:sz w:val="22"/>
          <w:szCs w:val="22"/>
          <w:highlight w:val="lightGray"/>
          <w:lang w:eastAsia="pt-BR"/>
        </w:rPr>
        <w:t>CLÁUSULA</w:t>
      </w:r>
      <w:r>
        <w:rPr>
          <w:rFonts w:eastAsia="Times New Roman" w:cs="Arial" w:ascii="Arial" w:hAnsi="Arial"/>
          <w:bCs w:val="false"/>
          <w:color w:val="000000"/>
          <w:spacing w:val="-4"/>
          <w:sz w:val="22"/>
          <w:szCs w:val="22"/>
          <w:highlight w:val="lightGray"/>
          <w:lang w:eastAsia="pt-BR"/>
        </w:rPr>
        <w:t xml:space="preserve"> XI</w:t>
      </w:r>
      <w:r>
        <w:rPr>
          <w:rFonts w:eastAsia="Times New Roman" w:cs="Arial" w:ascii="Arial" w:hAnsi="Arial"/>
          <w:bCs w:val="false"/>
          <w:color w:val="000000"/>
          <w:spacing w:val="-3"/>
          <w:sz w:val="22"/>
          <w:szCs w:val="22"/>
          <w:highlight w:val="lightGray"/>
          <w:lang w:eastAsia="pt-BR"/>
        </w:rPr>
        <w:t xml:space="preserve"> – DAS OBRIGAÇÕES DO CONTRATADO:</w:t>
      </w:r>
    </w:p>
    <w:p>
      <w:pPr>
        <w:pStyle w:val="Corpodotexto"/>
        <w:widowControl w:val="false"/>
        <w:tabs>
          <w:tab w:val="clear" w:pos="708"/>
          <w:tab w:val="left" w:pos="10597" w:leader="none"/>
        </w:tabs>
        <w:spacing w:lineRule="auto" w:line="240" w:before="0" w:after="0"/>
        <w:textAlignment w:val="baseline"/>
        <w:rPr>
          <w:rFonts w:eastAsia="Times New Roman" w:cs="Arial"/>
          <w:spacing w:val="-3"/>
          <w:lang w:eastAsia="pt-BR"/>
        </w:rPr>
      </w:pPr>
      <w:r>
        <w:rPr>
          <w:rFonts w:eastAsia="Times New Roman" w:cs="Arial"/>
          <w:spacing w:val="-3"/>
          <w:lang w:eastAsia="pt-BR"/>
        </w:rPr>
      </w:r>
    </w:p>
    <w:p>
      <w:pPr>
        <w:pStyle w:val="Normal"/>
        <w:tabs>
          <w:tab w:val="clear" w:pos="708"/>
          <w:tab w:val="left" w:pos="1134" w:leader="none"/>
        </w:tabs>
        <w:spacing w:lineRule="auto" w:line="240" w:before="0" w:after="0"/>
        <w:jc w:val="both"/>
        <w:rPr/>
      </w:pPr>
      <w:r>
        <w:rPr>
          <w:rFonts w:ascii="Arial" w:hAnsi="Arial"/>
        </w:rPr>
        <w:t xml:space="preserve">11.1. </w:t>
      </w:r>
      <w:r>
        <w:rPr>
          <w:rFonts w:cs="Arial" w:ascii="Arial" w:hAnsi="Arial"/>
        </w:rPr>
        <w:t>A CONTRATADA deve cumprir todas as obrigações constantes no Edital, seus anexos e sua proposta, assumindo como exclusivamente seus os riscos e as despesas decorrentes da boa e perfeita execução do objeto e, ainda:</w:t>
      </w:r>
    </w:p>
    <w:p>
      <w:pPr>
        <w:pStyle w:val="Normal"/>
        <w:tabs>
          <w:tab w:val="clear" w:pos="708"/>
          <w:tab w:val="left" w:pos="1134" w:leader="none"/>
        </w:tabs>
        <w:spacing w:lineRule="auto" w:line="240" w:before="0" w:after="0"/>
        <w:jc w:val="both"/>
        <w:rPr/>
      </w:pPr>
      <w:r>
        <w:rPr>
          <w:rFonts w:eastAsia="Calibri" w:cs="Arial" w:ascii="Arial" w:hAnsi="Arial"/>
          <w:color w:val="000000"/>
          <w:kern w:val="0"/>
          <w:sz w:val="22"/>
          <w:szCs w:val="22"/>
          <w:lang w:val="pt-BR" w:eastAsia="en-US" w:bidi="ar-SA"/>
        </w:rPr>
        <w:t>11</w:t>
      </w:r>
      <w:r>
        <w:rPr>
          <w:rFonts w:cs="Arial" w:ascii="Arial" w:hAnsi="Arial"/>
        </w:rPr>
        <w:t xml:space="preserve">.2. </w:t>
      </w:r>
      <w:r>
        <w:rPr>
          <w:rFonts w:cs="Arial" w:ascii="Arial" w:hAnsi="Arial"/>
          <w:color w:val="000000"/>
        </w:rPr>
        <w:t xml:space="preserve">Os </w:t>
      </w:r>
      <w:r>
        <w:rPr>
          <w:rFonts w:eastAsia="Calibri" w:cs="Arial" w:ascii="Arial" w:hAnsi="Arial"/>
          <w:color w:val="000000"/>
          <w:kern w:val="0"/>
          <w:sz w:val="22"/>
          <w:szCs w:val="22"/>
          <w:lang w:val="pt-BR" w:eastAsia="en-US" w:bidi="ar-SA"/>
        </w:rPr>
        <w:t>materiais</w:t>
      </w:r>
      <w:r>
        <w:rPr>
          <w:rFonts w:cs="Arial" w:ascii="Arial" w:hAnsi="Arial"/>
          <w:color w:val="000000"/>
        </w:rPr>
        <w:t xml:space="preserve"> deverão ser entregues nos locais indicados pela Secretaria solicitante, </w:t>
      </w:r>
      <w:r>
        <w:rPr>
          <w:rFonts w:cs="Arial" w:ascii="Arial" w:hAnsi="Arial"/>
          <w:b/>
          <w:bCs/>
          <w:color w:val="000000"/>
        </w:rPr>
        <w:t>no prazo máximo de 20 (vinte) dias consecutivos</w:t>
      </w:r>
      <w:r>
        <w:rPr>
          <w:rFonts w:cs="Arial" w:ascii="Arial" w:hAnsi="Arial"/>
          <w:color w:val="000000"/>
        </w:rPr>
        <w:t xml:space="preserve"> após a emissão da requisição de compra. Os </w:t>
      </w:r>
      <w:r>
        <w:rPr>
          <w:rFonts w:ascii="Arial" w:hAnsi="Arial"/>
        </w:rPr>
        <w:t xml:space="preserve">valores estimados incluem o custo do objeto/material, transporte, entrega e demais serviços necessários para o correto fornecimento dos objetos, nos locais e horários determinados pela administração. O serviço de transporte </w:t>
      </w:r>
      <w:r>
        <w:rPr>
          <w:rFonts w:eastAsia="Calibri" w:cs="Tahoma" w:ascii="Arial" w:hAnsi="Arial"/>
          <w:color w:val="auto"/>
          <w:kern w:val="0"/>
          <w:sz w:val="22"/>
          <w:szCs w:val="22"/>
          <w:lang w:val="pt-BR" w:eastAsia="en-US" w:bidi="ar-SA"/>
        </w:rPr>
        <w:t xml:space="preserve">deverá </w:t>
      </w:r>
      <w:r>
        <w:rPr>
          <w:rFonts w:ascii="Arial" w:hAnsi="Arial"/>
        </w:rPr>
        <w:t>ser prestado de acordo com a programação da Secretaria solicitante, ficando o Contratado obrigado a cumprir com o cronograma definido, que será repassado com antecedência.</w:t>
      </w:r>
    </w:p>
    <w:p>
      <w:pPr>
        <w:pStyle w:val="Normal"/>
        <w:tabs>
          <w:tab w:val="clear" w:pos="708"/>
          <w:tab w:val="left" w:pos="1134" w:leader="none"/>
        </w:tabs>
        <w:spacing w:lineRule="auto" w:line="240" w:before="0" w:after="0"/>
        <w:jc w:val="both"/>
        <w:rPr/>
      </w:pPr>
      <w:r>
        <w:rPr>
          <w:rFonts w:eastAsia="Calibri" w:cs="Tahoma" w:ascii="Arial" w:hAnsi="Arial"/>
          <w:color w:val="auto"/>
          <w:kern w:val="0"/>
          <w:sz w:val="22"/>
          <w:szCs w:val="22"/>
          <w:lang w:val="pt-BR" w:eastAsia="en-US" w:bidi="ar-SA"/>
        </w:rPr>
        <w:t>11</w:t>
      </w:r>
      <w:r>
        <w:rPr>
          <w:rFonts w:ascii="Arial" w:hAnsi="Arial"/>
        </w:rPr>
        <w:t>.2.1. O prazo para entrega poderá ser prorrogado pelo mesmo período definido no item anterior, sob justificativa da empresa vencedora e caso haja interesse da administração.</w:t>
      </w:r>
    </w:p>
    <w:p>
      <w:pPr>
        <w:pStyle w:val="Normal"/>
        <w:tabs>
          <w:tab w:val="clear" w:pos="708"/>
          <w:tab w:val="left" w:pos="1134" w:leader="none"/>
        </w:tabs>
        <w:spacing w:lineRule="auto" w:line="240" w:before="0" w:after="0"/>
        <w:jc w:val="both"/>
        <w:rPr/>
      </w:pPr>
      <w:r>
        <w:rPr>
          <w:rFonts w:eastAsia="Calibri" w:cs="Arial" w:ascii="Arial" w:hAnsi="Arial"/>
          <w:color w:val="000000"/>
          <w:kern w:val="0"/>
          <w:sz w:val="22"/>
          <w:szCs w:val="22"/>
          <w:lang w:val="pt-BR" w:eastAsia="en-US" w:bidi="ar-SA"/>
        </w:rPr>
        <w:t>11</w:t>
      </w:r>
      <w:r>
        <w:rPr>
          <w:rFonts w:cs="Arial" w:ascii="Arial" w:hAnsi="Arial"/>
        </w:rPr>
        <w:t xml:space="preserve">.3. </w:t>
      </w:r>
      <w:r>
        <w:rPr>
          <w:rFonts w:eastAsia="Arial" w:cs="Arial" w:ascii="Arial" w:hAnsi="Arial"/>
        </w:rPr>
        <w:t>Acatar e atender as reclamações quanto às especificações e qualidade dos produtos fornecidos, sanando eventuais deficiências no prazo máximo de 07</w:t>
      </w:r>
      <w:r>
        <w:rPr>
          <w:rFonts w:eastAsia="Arial" w:cs="Arial" w:ascii="Arial" w:hAnsi="Arial"/>
          <w:shd w:fill="FFFFFF" w:val="clear"/>
          <w14:ligatures w14:val="standardContextual"/>
        </w:rPr>
        <w:t xml:space="preserve"> (</w:t>
      </w:r>
      <w:r>
        <w:rPr>
          <w:rFonts w:eastAsia="Arial" w:cs="Arial" w:ascii="Arial" w:hAnsi="Arial"/>
          <w:color w:val="000000"/>
          <w:kern w:val="2"/>
          <w:sz w:val="22"/>
          <w:szCs w:val="22"/>
          <w:shd w:fill="FFFFFF" w:val="clear"/>
          <w:lang w:val="pt-BR" w:eastAsia="pt-BR" w:bidi="ar-SA"/>
          <w14:ligatures w14:val="standardContextual"/>
        </w:rPr>
        <w:t>sete</w:t>
      </w:r>
      <w:r>
        <w:rPr>
          <w:rFonts w:eastAsia="Arial" w:cs="Arial" w:ascii="Arial" w:hAnsi="Arial"/>
          <w:shd w:fill="FFFFFF" w:val="clear"/>
          <w14:ligatures w14:val="standardContextual"/>
        </w:rPr>
        <w:t xml:space="preserve">) </w:t>
      </w:r>
      <w:r>
        <w:rPr>
          <w:rFonts w:eastAsia="Arial" w:cs="Arial" w:ascii="Arial" w:hAnsi="Arial"/>
          <w:color w:val="000000"/>
          <w:kern w:val="2"/>
          <w:sz w:val="22"/>
          <w:szCs w:val="22"/>
          <w:shd w:fill="FFFFFF" w:val="clear"/>
          <w:lang w:val="pt-BR" w:eastAsia="pt-BR" w:bidi="ar-SA"/>
          <w14:ligatures w14:val="standardContextual"/>
        </w:rPr>
        <w:t>dias</w:t>
      </w:r>
      <w:r>
        <w:rPr>
          <w:rFonts w:eastAsia="Arial" w:cs="Arial" w:ascii="Arial" w:hAnsi="Arial"/>
        </w:rPr>
        <w:t>, a contar da notificação da contratada, às suas custas, sem prejuízo da aplicação das penalidades, o que não atenda às especificações do contrato e cumprimento dos prazos previamente estabelecidos;</w:t>
      </w:r>
    </w:p>
    <w:p>
      <w:pPr>
        <w:pStyle w:val="Normal"/>
        <w:tabs>
          <w:tab w:val="clear" w:pos="708"/>
          <w:tab w:val="left" w:pos="1134" w:leader="none"/>
        </w:tabs>
        <w:spacing w:lineRule="auto" w:line="240" w:before="0" w:after="0"/>
        <w:jc w:val="both"/>
        <w:rPr/>
      </w:pPr>
      <w:r>
        <w:rPr>
          <w:rFonts w:eastAsia="Calibri" w:cs="Arial" w:ascii="Arial" w:hAnsi="Arial"/>
          <w:color w:val="auto"/>
          <w:kern w:val="0"/>
          <w:sz w:val="22"/>
          <w:szCs w:val="22"/>
          <w:lang w:val="pt-BR" w:eastAsia="en-US" w:bidi="ar-SA"/>
        </w:rPr>
        <w:t>11</w:t>
      </w:r>
      <w:r>
        <w:rPr>
          <w:rFonts w:cs="Arial" w:ascii="Arial" w:hAnsi="Arial"/>
        </w:rPr>
        <w:t>.4. Serão de inteira responsabilidade da proponente vencedora, as despesas diretas ou indiretas tais como: transporte, encargos sociais, fiscais, trabalhistas, previdenciários ou de classe, indenizações civis e qualquer outra que for devido a empregados no desempenho dos serviços de entrega do objeto deste Contrato, ficando ainda o Contratante, isento de qualquer vínculo empregatício com os mesmos.</w:t>
      </w:r>
    </w:p>
    <w:p>
      <w:pPr>
        <w:pStyle w:val="Normal"/>
        <w:spacing w:lineRule="auto" w:line="240" w:before="0" w:after="0"/>
        <w:jc w:val="both"/>
        <w:rPr/>
      </w:pPr>
      <w:r>
        <w:rPr>
          <w:rFonts w:eastAsia="Calibri" w:cs="Tahoma" w:ascii="Arial" w:hAnsi="Arial"/>
          <w:color w:val="auto"/>
          <w:kern w:val="0"/>
          <w:sz w:val="22"/>
          <w:szCs w:val="22"/>
          <w:lang w:val="pt-BR" w:eastAsia="en-US" w:bidi="ar-SA"/>
        </w:rPr>
        <w:t>11</w:t>
      </w:r>
      <w:r>
        <w:rPr>
          <w:rFonts w:ascii="Arial" w:hAnsi="Arial"/>
        </w:rPr>
        <w:t>.5. A empresa contratada será responsável por todos os ônus e obrigações concernentes à legislação fiscal, social, trabalhista e tributária, bem como pelos danos e prejuízos que a qualquer título causar ao contratante, ao meio ambiente e/ou a terceiros, em decorrência da execução dos serviços contratados, respondendo por si e por seus sucessores.</w:t>
      </w:r>
    </w:p>
    <w:p>
      <w:pPr>
        <w:pStyle w:val="Normal"/>
        <w:spacing w:lineRule="auto" w:line="240" w:before="0" w:after="0"/>
        <w:jc w:val="both"/>
        <w:rPr/>
      </w:pPr>
      <w:r>
        <w:rPr>
          <w:rFonts w:eastAsia="Calibri" w:cs="Tahoma" w:ascii="Arial" w:hAnsi="Arial"/>
          <w:color w:val="auto"/>
          <w:kern w:val="0"/>
          <w:sz w:val="22"/>
          <w:szCs w:val="22"/>
          <w:lang w:val="pt-BR" w:eastAsia="en-US" w:bidi="ar-SA"/>
        </w:rPr>
        <w:t>11</w:t>
      </w:r>
      <w:r>
        <w:rPr>
          <w:rFonts w:ascii="Arial" w:hAnsi="Arial"/>
        </w:rPr>
        <w:t xml:space="preserve">.6. </w:t>
      </w:r>
      <w:r>
        <w:rPr>
          <w:rFonts w:eastAsia="Arial" w:cs="Arial" w:ascii="Arial" w:hAnsi="Arial"/>
        </w:rPr>
        <w:t>Sempre que solicitado pela secretaria, a empresa deverá apresentar amostra do objeto, antes que seja efetivamente feita a compra. A empresa terá o prazo máximo de 07 (sete) dias para envio da amostra que será analisada pelo município.</w:t>
      </w:r>
    </w:p>
    <w:p>
      <w:pPr>
        <w:pStyle w:val="Normal"/>
        <w:spacing w:lineRule="auto" w:line="240" w:before="0" w:after="0"/>
        <w:jc w:val="both"/>
        <w:rPr/>
      </w:pPr>
      <w:r>
        <w:rPr>
          <w:rFonts w:eastAsia="Arial" w:cs="Arial" w:ascii="Arial" w:hAnsi="Arial"/>
          <w:color w:val="auto"/>
          <w:kern w:val="0"/>
          <w:sz w:val="22"/>
          <w:szCs w:val="22"/>
          <w:lang w:val="pt-BR" w:eastAsia="en-US" w:bidi="ar-SA"/>
        </w:rPr>
        <w:t>11</w:t>
      </w:r>
      <w:r>
        <w:rPr>
          <w:rFonts w:eastAsia="Arial" w:cs="Arial" w:ascii="Arial" w:hAnsi="Arial"/>
        </w:rPr>
        <w:t>.6.1. As amostras deverão ser apresentadas devidamente embaladas e identificadas com etiquetas que contenham, no mínimo, a razão social da licitante, a identificação da licitação o número do item e marca a que se refere.</w:t>
      </w:r>
    </w:p>
    <w:p>
      <w:pPr>
        <w:pStyle w:val="Normal"/>
        <w:tabs>
          <w:tab w:val="clear" w:pos="708"/>
          <w:tab w:val="left" w:pos="1134" w:leader="none"/>
        </w:tabs>
        <w:spacing w:lineRule="auto" w:line="240" w:before="0" w:after="0"/>
        <w:jc w:val="both"/>
        <w:rPr/>
      </w:pPr>
      <w:r>
        <w:rPr>
          <w:rFonts w:eastAsia="Arial" w:cs="Arial" w:ascii="Arial" w:hAnsi="Arial"/>
          <w:color w:val="auto"/>
          <w:kern w:val="0"/>
          <w:sz w:val="22"/>
          <w:szCs w:val="22"/>
          <w:lang w:val="pt-BR" w:eastAsia="en-US" w:bidi="ar-SA"/>
        </w:rPr>
        <w:t>11</w:t>
      </w:r>
      <w:r>
        <w:rPr>
          <w:rFonts w:eastAsia="Arial" w:cs="Arial" w:ascii="Arial" w:hAnsi="Arial"/>
        </w:rPr>
        <w:t xml:space="preserve">.7. O contratado fica obrigado a cumprir com os demais requisitos, obrigações e observações constantes no presente Edital, no Estudo Técnico Preliminar, no Termo de Referência e na Ata de Registro de Preços. </w:t>
      </w:r>
    </w:p>
    <w:p>
      <w:pPr>
        <w:pStyle w:val="ListParagraph"/>
        <w:tabs>
          <w:tab w:val="clear" w:pos="708"/>
          <w:tab w:val="left" w:pos="409" w:leader="none"/>
        </w:tabs>
        <w:spacing w:lineRule="auto" w:line="240" w:before="0" w:after="0"/>
        <w:ind w:left="0" w:hanging="0"/>
        <w:contextualSpacing/>
        <w:jc w:val="both"/>
        <w:rPr>
          <w:sz w:val="16"/>
        </w:rPr>
      </w:pPr>
      <w:r>
        <w:rPr>
          <w:sz w:val="16"/>
        </w:rPr>
      </w:r>
    </w:p>
    <w:p>
      <w:pPr>
        <w:pStyle w:val="Ttulo2"/>
        <w:widowControl w:val="false"/>
        <w:numPr>
          <w:ilvl w:val="1"/>
          <w:numId w:val="51"/>
        </w:numPr>
        <w:tabs>
          <w:tab w:val="clear" w:pos="708"/>
          <w:tab w:val="left" w:pos="10597" w:leader="none"/>
        </w:tabs>
        <w:spacing w:lineRule="auto" w:line="240" w:before="0" w:after="0"/>
        <w:ind w:hanging="22"/>
        <w:jc w:val="both"/>
        <w:textAlignment w:val="baseline"/>
        <w:rPr>
          <w:shd w:fill="CCCCCC" w:val="clea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XII</w:t>
      </w:r>
      <w:r>
        <w:rPr>
          <w:rFonts w:eastAsia="Times New Roman" w:cs="Arial" w:ascii="Arial" w:hAnsi="Arial"/>
          <w:bCs w:val="false"/>
          <w:color w:val="000000"/>
          <w:spacing w:val="-3"/>
          <w:sz w:val="22"/>
          <w:szCs w:val="22"/>
          <w:shd w:fill="CCCCCC" w:val="clear"/>
          <w:lang w:eastAsia="pt-BR"/>
        </w:rPr>
        <w:t xml:space="preserve"> – DA FISCALIZAÇÃO:</w:t>
      </w:r>
    </w:p>
    <w:p>
      <w:pPr>
        <w:pStyle w:val="Corpodotexto"/>
        <w:widowControl w:val="false"/>
        <w:tabs>
          <w:tab w:val="clear" w:pos="708"/>
          <w:tab w:val="left" w:pos="10597" w:leader="none"/>
        </w:tabs>
        <w:spacing w:lineRule="auto" w:line="240" w:before="0" w:after="0"/>
        <w:jc w:val="both"/>
        <w:textAlignment w:val="baseline"/>
        <w:rPr>
          <w:rFonts w:ascii="Arial" w:hAnsi="Arial" w:eastAsia="Times New Roman" w:cs="Arial"/>
          <w:spacing w:val="-3"/>
          <w:lang w:eastAsia="pt-BR"/>
        </w:rPr>
      </w:pPr>
      <w:r>
        <w:rPr>
          <w:rFonts w:eastAsia="Times New Roman" w:cs="Arial" w:ascii="Arial" w:hAnsi="Arial"/>
          <w:spacing w:val="-3"/>
          <w:lang w:eastAsia="pt-BR"/>
        </w:rPr>
      </w:r>
    </w:p>
    <w:p>
      <w:pPr>
        <w:pStyle w:val="Corpodotexto"/>
        <w:widowControl w:val="false"/>
        <w:tabs>
          <w:tab w:val="clear" w:pos="708"/>
          <w:tab w:val="left" w:pos="10597" w:leader="none"/>
        </w:tabs>
        <w:spacing w:lineRule="auto" w:line="240" w:before="0" w:after="0"/>
        <w:jc w:val="both"/>
        <w:textAlignment w:val="baseline"/>
        <w:rPr/>
      </w:pPr>
      <w:r>
        <w:rPr>
          <w:rFonts w:eastAsia="Times New Roman" w:cs="Arial" w:ascii="Arial" w:hAnsi="Arial"/>
          <w:color w:val="000000"/>
          <w:spacing w:val="-3"/>
          <w:lang w:eastAsia="pt-BR"/>
        </w:rPr>
        <w:t>12.1. A fiscalização da execução do objeto da presente ata será exercida pelo servidor, *****************, o qual acompanhará e fiscalizar a presente contratação, documentando as ocorrências havidas, orientando eventuais medidas corretivas.</w:t>
      </w:r>
    </w:p>
    <w:p>
      <w:pPr>
        <w:pStyle w:val="Corpodotexto"/>
        <w:widowControl w:val="false"/>
        <w:tabs>
          <w:tab w:val="clear" w:pos="708"/>
          <w:tab w:val="left" w:pos="10597" w:leader="none"/>
        </w:tabs>
        <w:spacing w:lineRule="auto" w:line="240" w:before="0" w:after="0"/>
        <w:jc w:val="both"/>
        <w:textAlignment w:val="baseline"/>
        <w:rPr>
          <w:rFonts w:ascii="Arial" w:hAnsi="Arial" w:eastAsia="Times New Roman" w:cs="Arial"/>
          <w:spacing w:val="-3"/>
          <w:lang w:eastAsia="pt-BR"/>
        </w:rPr>
      </w:pPr>
      <w:r>
        <w:rPr>
          <w:rFonts w:eastAsia="Times New Roman" w:cs="Arial" w:ascii="Arial" w:hAnsi="Arial"/>
          <w:spacing w:val="-3"/>
          <w:lang w:eastAsia="pt-BR"/>
        </w:rPr>
      </w:r>
    </w:p>
    <w:p>
      <w:pPr>
        <w:pStyle w:val="Ttulo2"/>
        <w:widowControl w:val="false"/>
        <w:numPr>
          <w:ilvl w:val="1"/>
          <w:numId w:val="51"/>
        </w:numPr>
        <w:tabs>
          <w:tab w:val="clear" w:pos="708"/>
          <w:tab w:val="left" w:pos="10597" w:leader="none"/>
        </w:tabs>
        <w:spacing w:lineRule="auto" w:line="240" w:before="0" w:after="0"/>
        <w:ind w:hanging="22"/>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XIII</w:t>
      </w:r>
      <w:r>
        <w:rPr>
          <w:rFonts w:eastAsia="Times New Roman" w:cs="Arial" w:ascii="Arial" w:hAnsi="Arial"/>
          <w:bCs w:val="false"/>
          <w:color w:val="000000"/>
          <w:spacing w:val="-3"/>
          <w:sz w:val="22"/>
          <w:szCs w:val="22"/>
          <w:shd w:fill="CCCCCC" w:val="clear"/>
          <w:lang w:eastAsia="pt-BR"/>
        </w:rPr>
        <w:t xml:space="preserve"> – DA PUBLICAÇÃO:</w:t>
      </w:r>
    </w:p>
    <w:p>
      <w:pPr>
        <w:pStyle w:val="Corpodotexto"/>
        <w:widowControl w:val="false"/>
        <w:tabs>
          <w:tab w:val="clear" w:pos="708"/>
          <w:tab w:val="left" w:pos="10597" w:leader="none"/>
        </w:tabs>
        <w:spacing w:lineRule="auto" w:line="240" w:before="0" w:after="0"/>
        <w:textAlignment w:val="baseline"/>
        <w:rPr>
          <w:rFonts w:eastAsia="Times New Roman" w:cs="Arial"/>
          <w:spacing w:val="-3"/>
          <w:shd w:fill="CCCCCC" w:val="clear"/>
          <w:lang w:eastAsia="pt-BR"/>
        </w:rPr>
      </w:pPr>
      <w:r>
        <w:rPr>
          <w:rFonts w:eastAsia="Times New Roman" w:cs="Arial"/>
          <w:spacing w:val="-3"/>
          <w:shd w:fill="CCCCCC" w:val="clear"/>
          <w:lang w:eastAsia="pt-BR"/>
        </w:rPr>
      </w:r>
    </w:p>
    <w:p>
      <w:pPr>
        <w:pStyle w:val="Corpodotexto"/>
        <w:spacing w:lineRule="auto" w:line="240" w:before="0" w:after="0"/>
        <w:jc w:val="both"/>
        <w:rPr>
          <w:rFonts w:ascii="Arial" w:hAnsi="Arial"/>
        </w:rPr>
      </w:pPr>
      <w:r>
        <w:rPr>
          <w:rFonts w:ascii="Arial" w:hAnsi="Arial"/>
        </w:rPr>
        <w:t>13.</w:t>
        <w:tab/>
      </w:r>
      <w:r>
        <w:rPr>
          <w:rFonts w:cs="Arial" w:ascii="Arial" w:hAnsi="Arial"/>
        </w:rPr>
        <w:t>Esta ata será publicado no prazo máximo de 20 (vinte) dias úteis a contar da assinatura das partes.</w:t>
      </w:r>
    </w:p>
    <w:p>
      <w:pPr>
        <w:pStyle w:val="Normal"/>
        <w:spacing w:lineRule="auto" w:line="240" w:before="0" w:after="0"/>
        <w:jc w:val="both"/>
        <w:rPr>
          <w:rFonts w:ascii="Arial" w:hAnsi="Arial"/>
        </w:rPr>
      </w:pPr>
      <w:r>
        <w:rPr>
          <w:rFonts w:cs="Arial" w:ascii="Arial" w:hAnsi="Arial"/>
        </w:rPr>
        <w:t>13.1.</w:t>
        <w:tab/>
        <w:t>Para fins de garantir a ampla publicidade, esta ata e/ou seu extrato será divulgado:</w:t>
      </w:r>
    </w:p>
    <w:p>
      <w:pPr>
        <w:pStyle w:val="ListParagraph"/>
        <w:tabs>
          <w:tab w:val="clear" w:pos="708"/>
          <w:tab w:val="left" w:pos="567" w:leader="none"/>
        </w:tabs>
        <w:spacing w:lineRule="auto" w:line="240" w:before="0" w:after="0"/>
        <w:contextualSpacing/>
        <w:jc w:val="both"/>
        <w:rPr>
          <w:rFonts w:ascii="Arial" w:hAnsi="Arial"/>
        </w:rPr>
      </w:pPr>
      <w:r>
        <w:rPr>
          <w:rFonts w:cs="Arial" w:ascii="Arial" w:hAnsi="Arial"/>
          <w:b/>
          <w:bCs/>
        </w:rPr>
        <w:t>a)</w:t>
      </w:r>
      <w:r>
        <w:rPr>
          <w:rFonts w:cs="Arial" w:ascii="Arial" w:hAnsi="Arial"/>
        </w:rPr>
        <w:tab/>
        <w:t>Portal Nacional de Contratações Públicas – PNCP, a partir da adoção pelo Município;</w:t>
      </w:r>
    </w:p>
    <w:p>
      <w:pPr>
        <w:pStyle w:val="ListParagraph"/>
        <w:tabs>
          <w:tab w:val="clear" w:pos="708"/>
          <w:tab w:val="left" w:pos="567" w:leader="none"/>
        </w:tabs>
        <w:spacing w:lineRule="auto" w:line="240" w:before="0" w:after="0"/>
        <w:contextualSpacing/>
        <w:jc w:val="both"/>
        <w:rPr>
          <w:rFonts w:ascii="Arial" w:hAnsi="Arial"/>
        </w:rPr>
      </w:pPr>
      <w:r>
        <w:rPr>
          <w:rFonts w:cs="Arial" w:ascii="Arial" w:hAnsi="Arial"/>
          <w:b/>
          <w:bCs/>
        </w:rPr>
        <w:t>b)</w:t>
      </w:r>
      <w:r>
        <w:rPr>
          <w:rFonts w:cs="Arial" w:ascii="Arial" w:hAnsi="Arial"/>
        </w:rPr>
        <w:tab/>
        <w:t>Página do Município de Itá-SC (ita.atende.net);</w:t>
      </w:r>
    </w:p>
    <w:p>
      <w:pPr>
        <w:pStyle w:val="ListParagraph"/>
        <w:tabs>
          <w:tab w:val="clear" w:pos="708"/>
          <w:tab w:val="left" w:pos="567" w:leader="none"/>
        </w:tabs>
        <w:spacing w:lineRule="auto" w:line="240" w:before="0" w:after="0"/>
        <w:contextualSpacing/>
        <w:jc w:val="both"/>
        <w:textAlignment w:val="baseline"/>
        <w:rPr>
          <w:rFonts w:ascii="Arial" w:hAnsi="Arial"/>
        </w:rPr>
      </w:pPr>
      <w:r>
        <w:rPr>
          <w:rFonts w:eastAsia="Times New Roman" w:cs="Arial" w:ascii="Arial" w:hAnsi="Arial"/>
          <w:b/>
          <w:bCs/>
          <w:color w:val="000000"/>
          <w:spacing w:val="-3"/>
          <w:lang w:eastAsia="pt-BR"/>
        </w:rPr>
        <w:t>c)</w:t>
      </w:r>
      <w:r>
        <w:rPr>
          <w:rFonts w:eastAsia="Times New Roman" w:cs="Arial" w:ascii="Arial" w:hAnsi="Arial"/>
          <w:color w:val="000000"/>
          <w:spacing w:val="-3"/>
          <w:lang w:eastAsia="pt-BR"/>
        </w:rPr>
        <w:tab/>
        <w:t>Diário Oficial dos Municípios – DOM.</w:t>
      </w:r>
    </w:p>
    <w:p>
      <w:pPr>
        <w:pStyle w:val="ListParagraph"/>
        <w:tabs>
          <w:tab w:val="clear" w:pos="708"/>
          <w:tab w:val="left" w:pos="567" w:leader="none"/>
        </w:tabs>
        <w:spacing w:lineRule="auto" w:line="240" w:before="0" w:after="0"/>
        <w:ind w:left="0" w:hanging="0"/>
        <w:contextualSpacing/>
        <w:jc w:val="both"/>
        <w:textAlignment w:val="baseline"/>
        <w:rPr>
          <w:rFonts w:eastAsia="Times New Roman" w:cs="Arial"/>
          <w:spacing w:val="-3"/>
          <w:lang w:eastAsia="pt-BR"/>
        </w:rPr>
      </w:pPr>
      <w:r>
        <w:rPr>
          <w:rFonts w:eastAsia="Times New Roman" w:cs="Arial"/>
          <w:spacing w:val="-3"/>
          <w:lang w:eastAsia="pt-BR"/>
        </w:rPr>
      </w:r>
    </w:p>
    <w:p>
      <w:pPr>
        <w:pStyle w:val="Ttulo2"/>
        <w:widowControl w:val="false"/>
        <w:numPr>
          <w:ilvl w:val="1"/>
          <w:numId w:val="51"/>
        </w:numPr>
        <w:tabs>
          <w:tab w:val="clear" w:pos="708"/>
          <w:tab w:val="left" w:pos="10597" w:leader="none"/>
        </w:tabs>
        <w:spacing w:lineRule="auto" w:line="240" w:before="0" w:after="0"/>
        <w:ind w:hanging="22"/>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XIV</w:t>
      </w:r>
      <w:r>
        <w:rPr>
          <w:rFonts w:eastAsia="Times New Roman" w:cs="Arial" w:ascii="Arial" w:hAnsi="Arial"/>
          <w:bCs w:val="false"/>
          <w:color w:val="000000"/>
          <w:spacing w:val="-3"/>
          <w:sz w:val="22"/>
          <w:szCs w:val="22"/>
          <w:shd w:fill="CCCCCC" w:val="clear"/>
          <w:lang w:eastAsia="pt-BR"/>
        </w:rPr>
        <w:t xml:space="preserve"> – DAS DISPOSIÇÕES FINAIS:</w:t>
      </w:r>
    </w:p>
    <w:p>
      <w:pPr>
        <w:pStyle w:val="Corpodotexto"/>
        <w:widowControl w:val="false"/>
        <w:tabs>
          <w:tab w:val="clear" w:pos="708"/>
          <w:tab w:val="left" w:pos="10597" w:leader="none"/>
        </w:tabs>
        <w:spacing w:lineRule="auto" w:line="240" w:before="0" w:after="0"/>
        <w:jc w:val="both"/>
        <w:textAlignment w:val="baseline"/>
        <w:rPr>
          <w:rFonts w:eastAsia="Times New Roman" w:cs="Arial"/>
          <w:spacing w:val="-3"/>
          <w:shd w:fill="CCCCCC" w:val="clear"/>
          <w:lang w:eastAsia="pt-BR"/>
        </w:rPr>
      </w:pPr>
      <w:r>
        <w:rPr>
          <w:rFonts w:eastAsia="Times New Roman" w:cs="Arial"/>
          <w:spacing w:val="-3"/>
          <w:shd w:fill="CCCCCC" w:val="clear"/>
          <w:lang w:eastAsia="pt-BR"/>
        </w:rPr>
      </w:r>
    </w:p>
    <w:p>
      <w:pPr>
        <w:pStyle w:val="ListParagraph"/>
        <w:tabs>
          <w:tab w:val="clear" w:pos="708"/>
          <w:tab w:val="left" w:pos="409" w:leader="none"/>
        </w:tabs>
        <w:spacing w:lineRule="auto" w:line="240" w:before="0" w:after="0"/>
        <w:ind w:left="0" w:hanging="0"/>
        <w:contextualSpacing/>
        <w:jc w:val="both"/>
        <w:rPr>
          <w:rFonts w:ascii="Arial" w:hAnsi="Arial"/>
        </w:rPr>
      </w:pPr>
      <w:r>
        <w:rPr>
          <w:rFonts w:ascii="Arial" w:hAnsi="Arial"/>
        </w:rPr>
        <w:t>14.</w:t>
        <w:tab/>
        <w:tab/>
        <w:t>Integram</w:t>
      </w:r>
      <w:r>
        <w:rPr>
          <w:rFonts w:ascii="Arial" w:hAnsi="Arial"/>
          <w:spacing w:val="-5"/>
        </w:rPr>
        <w:t xml:space="preserve"> </w:t>
      </w:r>
      <w:r>
        <w:rPr>
          <w:rFonts w:ascii="Arial" w:hAnsi="Arial"/>
        </w:rPr>
        <w:t>esta</w:t>
      </w:r>
      <w:r>
        <w:rPr>
          <w:rFonts w:ascii="Arial" w:hAnsi="Arial"/>
          <w:spacing w:val="-4"/>
        </w:rPr>
        <w:t xml:space="preserve"> </w:t>
      </w:r>
      <w:r>
        <w:rPr>
          <w:rFonts w:ascii="Arial" w:hAnsi="Arial"/>
        </w:rPr>
        <w:t>Ata,</w:t>
      </w:r>
      <w:r>
        <w:rPr>
          <w:rFonts w:ascii="Arial" w:hAnsi="Arial"/>
          <w:spacing w:val="-5"/>
        </w:rPr>
        <w:t xml:space="preserve"> </w:t>
      </w:r>
      <w:r>
        <w:rPr>
          <w:rFonts w:ascii="Arial" w:hAnsi="Arial"/>
        </w:rPr>
        <w:t>o</w:t>
      </w:r>
      <w:r>
        <w:rPr>
          <w:rFonts w:ascii="Arial" w:hAnsi="Arial"/>
          <w:spacing w:val="-4"/>
        </w:rPr>
        <w:t xml:space="preserve"> </w:t>
      </w:r>
      <w:r>
        <w:rPr>
          <w:rFonts w:ascii="Arial" w:hAnsi="Arial"/>
        </w:rPr>
        <w:t>Edital</w:t>
      </w:r>
      <w:r>
        <w:rPr>
          <w:rFonts w:ascii="Arial" w:hAnsi="Arial"/>
          <w:spacing w:val="-4"/>
        </w:rPr>
        <w:t xml:space="preserve"> </w:t>
      </w:r>
      <w:r>
        <w:rPr>
          <w:rFonts w:ascii="Arial" w:hAnsi="Arial"/>
        </w:rPr>
        <w:t>de</w:t>
      </w:r>
      <w:r>
        <w:rPr>
          <w:rFonts w:ascii="Arial" w:hAnsi="Arial"/>
          <w:spacing w:val="-5"/>
        </w:rPr>
        <w:t xml:space="preserve"> </w:t>
      </w:r>
      <w:r>
        <w:rPr>
          <w:rFonts w:ascii="Arial" w:hAnsi="Arial"/>
        </w:rPr>
        <w:t>Pregão</w:t>
      </w:r>
      <w:r>
        <w:rPr>
          <w:rFonts w:ascii="Arial" w:hAnsi="Arial"/>
          <w:spacing w:val="-4"/>
        </w:rPr>
        <w:t xml:space="preserve"> </w:t>
      </w:r>
      <w:r>
        <w:rPr>
          <w:rFonts w:ascii="Arial" w:hAnsi="Arial"/>
        </w:rPr>
        <w:t>Eletrônico</w:t>
      </w:r>
      <w:r>
        <w:rPr>
          <w:rFonts w:ascii="Arial" w:hAnsi="Arial"/>
          <w:spacing w:val="-4"/>
        </w:rPr>
        <w:t xml:space="preserve"> </w:t>
      </w:r>
      <w:r>
        <w:rPr>
          <w:rFonts w:ascii="Arial" w:hAnsi="Arial"/>
        </w:rPr>
        <w:t>Nº.</w:t>
      </w:r>
      <w:r>
        <w:rPr>
          <w:rFonts w:ascii="Arial" w:hAnsi="Arial"/>
          <w:spacing w:val="-5"/>
        </w:rPr>
        <w:t xml:space="preserve"> </w:t>
      </w:r>
      <w:r>
        <w:rPr>
          <w:rFonts w:ascii="Arial" w:hAnsi="Arial"/>
          <w:b/>
          <w:bCs/>
          <w:spacing w:val="-5"/>
        </w:rPr>
        <w:t>xxx</w:t>
      </w:r>
      <w:r>
        <w:rPr>
          <w:rFonts w:ascii="Arial" w:hAnsi="Arial"/>
        </w:rPr>
        <w:t>/2023,</w:t>
      </w:r>
      <w:r>
        <w:rPr>
          <w:rFonts w:ascii="Arial" w:hAnsi="Arial"/>
          <w:spacing w:val="-4"/>
        </w:rPr>
        <w:t xml:space="preserve"> </w:t>
      </w:r>
      <w:r>
        <w:rPr>
          <w:rFonts w:ascii="Arial" w:hAnsi="Arial"/>
        </w:rPr>
        <w:t>e</w:t>
      </w:r>
      <w:r>
        <w:rPr>
          <w:rFonts w:ascii="Arial" w:hAnsi="Arial"/>
          <w:spacing w:val="-4"/>
        </w:rPr>
        <w:t xml:space="preserve"> </w:t>
      </w:r>
      <w:r>
        <w:rPr>
          <w:rFonts w:ascii="Arial" w:hAnsi="Arial"/>
        </w:rPr>
        <w:t>as</w:t>
      </w:r>
      <w:r>
        <w:rPr>
          <w:rFonts w:ascii="Arial" w:hAnsi="Arial"/>
          <w:spacing w:val="-5"/>
        </w:rPr>
        <w:t xml:space="preserve"> </w:t>
      </w:r>
      <w:r>
        <w:rPr>
          <w:rFonts w:ascii="Arial" w:hAnsi="Arial"/>
        </w:rPr>
        <w:t>propostas</w:t>
      </w:r>
      <w:r>
        <w:rPr>
          <w:rFonts w:ascii="Arial" w:hAnsi="Arial"/>
          <w:spacing w:val="-4"/>
        </w:rPr>
        <w:t xml:space="preserve"> </w:t>
      </w:r>
      <w:r>
        <w:rPr>
          <w:rFonts w:ascii="Arial" w:hAnsi="Arial"/>
        </w:rPr>
        <w:t>das</w:t>
      </w:r>
      <w:r>
        <w:rPr>
          <w:rFonts w:ascii="Arial" w:hAnsi="Arial"/>
          <w:spacing w:val="-4"/>
        </w:rPr>
        <w:t xml:space="preserve"> </w:t>
      </w:r>
      <w:r>
        <w:rPr>
          <w:rFonts w:ascii="Arial" w:hAnsi="Arial"/>
        </w:rPr>
        <w:t>empresas</w:t>
      </w:r>
      <w:r>
        <w:rPr>
          <w:rFonts w:ascii="Arial" w:hAnsi="Arial"/>
          <w:spacing w:val="-5"/>
        </w:rPr>
        <w:t xml:space="preserve"> </w:t>
      </w:r>
      <w:r>
        <w:rPr>
          <w:rFonts w:ascii="Arial" w:hAnsi="Arial"/>
        </w:rPr>
        <w:t>classificadas</w:t>
      </w:r>
      <w:r>
        <w:rPr>
          <w:rFonts w:ascii="Arial" w:hAnsi="Arial"/>
          <w:spacing w:val="-4"/>
        </w:rPr>
        <w:t xml:space="preserve"> </w:t>
      </w:r>
      <w:r>
        <w:rPr>
          <w:rFonts w:ascii="Arial" w:hAnsi="Arial"/>
        </w:rPr>
        <w:t>no</w:t>
      </w:r>
      <w:r>
        <w:rPr>
          <w:rFonts w:ascii="Arial" w:hAnsi="Arial"/>
          <w:spacing w:val="-4"/>
        </w:rPr>
        <w:t xml:space="preserve"> </w:t>
      </w:r>
      <w:r>
        <w:rPr>
          <w:rFonts w:ascii="Arial" w:hAnsi="Arial"/>
        </w:rPr>
        <w:t>mesmo.</w:t>
      </w:r>
    </w:p>
    <w:p>
      <w:pPr>
        <w:pStyle w:val="ListParagraph"/>
        <w:numPr>
          <w:ilvl w:val="1"/>
          <w:numId w:val="52"/>
        </w:numPr>
        <w:tabs>
          <w:tab w:val="clear" w:pos="708"/>
          <w:tab w:val="left" w:pos="498" w:leader="none"/>
        </w:tabs>
        <w:overflowPunct w:val="true"/>
        <w:spacing w:lineRule="auto" w:line="240" w:before="0" w:after="0"/>
        <w:contextualSpacing/>
        <w:jc w:val="both"/>
        <w:rPr>
          <w:rFonts w:ascii="Arial" w:hAnsi="Arial"/>
        </w:rPr>
      </w:pPr>
      <w:r>
        <w:rPr>
          <w:rFonts w:ascii="Arial" w:hAnsi="Arial"/>
        </w:rPr>
        <w:t>14.1.</w:t>
        <w:tab/>
        <w:tab/>
        <w:t>Fica</w:t>
      </w:r>
      <w:r>
        <w:rPr>
          <w:rFonts w:ascii="Arial" w:hAnsi="Arial"/>
          <w:spacing w:val="-5"/>
        </w:rPr>
        <w:t xml:space="preserve"> </w:t>
      </w:r>
      <w:r>
        <w:rPr>
          <w:rFonts w:ascii="Arial" w:hAnsi="Arial"/>
        </w:rPr>
        <w:t>eleito</w:t>
      </w:r>
      <w:r>
        <w:rPr>
          <w:rFonts w:ascii="Arial" w:hAnsi="Arial"/>
          <w:spacing w:val="-5"/>
        </w:rPr>
        <w:t xml:space="preserve"> </w:t>
      </w:r>
      <w:r>
        <w:rPr>
          <w:rFonts w:ascii="Arial" w:hAnsi="Arial"/>
        </w:rPr>
        <w:t>o</w:t>
      </w:r>
      <w:r>
        <w:rPr>
          <w:rFonts w:ascii="Arial" w:hAnsi="Arial"/>
          <w:spacing w:val="-5"/>
        </w:rPr>
        <w:t xml:space="preserve"> </w:t>
      </w:r>
      <w:r>
        <w:rPr>
          <w:rFonts w:ascii="Arial" w:hAnsi="Arial"/>
        </w:rPr>
        <w:t>foro</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Itá</w:t>
      </w:r>
      <w:r>
        <w:rPr>
          <w:rFonts w:ascii="Arial" w:hAnsi="Arial"/>
          <w:spacing w:val="-5"/>
        </w:rPr>
        <w:t xml:space="preserve"> </w:t>
      </w:r>
      <w:r>
        <w:rPr>
          <w:rFonts w:ascii="Arial" w:hAnsi="Arial"/>
        </w:rPr>
        <w:t>-</w:t>
      </w:r>
      <w:r>
        <w:rPr>
          <w:rFonts w:ascii="Arial" w:hAnsi="Arial"/>
          <w:spacing w:val="-5"/>
        </w:rPr>
        <w:t xml:space="preserve"> </w:t>
      </w:r>
      <w:r>
        <w:rPr>
          <w:rFonts w:ascii="Arial" w:hAnsi="Arial"/>
        </w:rPr>
        <w:t>SC,</w:t>
      </w:r>
      <w:r>
        <w:rPr>
          <w:rFonts w:ascii="Arial" w:hAnsi="Arial"/>
          <w:spacing w:val="-5"/>
        </w:rPr>
        <w:t xml:space="preserve"> </w:t>
      </w:r>
      <w:r>
        <w:rPr>
          <w:rFonts w:ascii="Arial" w:hAnsi="Arial"/>
        </w:rPr>
        <w:t>para</w:t>
      </w:r>
      <w:r>
        <w:rPr>
          <w:rFonts w:ascii="Arial" w:hAnsi="Arial"/>
          <w:spacing w:val="-5"/>
        </w:rPr>
        <w:t xml:space="preserve"> </w:t>
      </w:r>
      <w:r>
        <w:rPr>
          <w:rFonts w:ascii="Arial" w:hAnsi="Arial"/>
        </w:rPr>
        <w:t>dirimir</w:t>
      </w:r>
      <w:r>
        <w:rPr>
          <w:rFonts w:ascii="Arial" w:hAnsi="Arial"/>
          <w:spacing w:val="-5"/>
        </w:rPr>
        <w:t xml:space="preserve"> </w:t>
      </w:r>
      <w:r>
        <w:rPr>
          <w:rFonts w:ascii="Arial" w:hAnsi="Arial"/>
        </w:rPr>
        <w:t>quaisquer</w:t>
      </w:r>
      <w:r>
        <w:rPr>
          <w:rFonts w:ascii="Arial" w:hAnsi="Arial"/>
          <w:spacing w:val="-5"/>
        </w:rPr>
        <w:t xml:space="preserve"> </w:t>
      </w:r>
      <w:r>
        <w:rPr>
          <w:rFonts w:ascii="Arial" w:hAnsi="Arial"/>
        </w:rPr>
        <w:t>questões</w:t>
      </w:r>
      <w:r>
        <w:rPr>
          <w:rFonts w:ascii="Arial" w:hAnsi="Arial"/>
          <w:spacing w:val="-5"/>
        </w:rPr>
        <w:t xml:space="preserve"> </w:t>
      </w:r>
      <w:r>
        <w:rPr>
          <w:rFonts w:ascii="Arial" w:hAnsi="Arial"/>
        </w:rPr>
        <w:t>decorrentes</w:t>
      </w:r>
      <w:r>
        <w:rPr>
          <w:rFonts w:ascii="Arial" w:hAnsi="Arial"/>
          <w:spacing w:val="-5"/>
        </w:rPr>
        <w:t xml:space="preserve"> </w:t>
      </w:r>
      <w:r>
        <w:rPr>
          <w:rFonts w:ascii="Arial" w:hAnsi="Arial"/>
        </w:rPr>
        <w:t>da</w:t>
      </w:r>
      <w:r>
        <w:rPr>
          <w:rFonts w:ascii="Arial" w:hAnsi="Arial"/>
          <w:spacing w:val="-5"/>
        </w:rPr>
        <w:t xml:space="preserve"> </w:t>
      </w:r>
      <w:r>
        <w:rPr>
          <w:rFonts w:ascii="Arial" w:hAnsi="Arial"/>
        </w:rPr>
        <w:t>utilização</w:t>
      </w:r>
      <w:r>
        <w:rPr>
          <w:rFonts w:ascii="Arial" w:hAnsi="Arial"/>
          <w:spacing w:val="-5"/>
        </w:rPr>
        <w:t xml:space="preserve"> </w:t>
      </w:r>
      <w:r>
        <w:rPr>
          <w:rFonts w:ascii="Arial" w:hAnsi="Arial"/>
        </w:rPr>
        <w:t>da</w:t>
      </w:r>
      <w:r>
        <w:rPr>
          <w:rFonts w:ascii="Arial" w:hAnsi="Arial"/>
          <w:spacing w:val="-5"/>
        </w:rPr>
        <w:t xml:space="preserve"> </w:t>
      </w:r>
      <w:r>
        <w:rPr>
          <w:rFonts w:ascii="Arial" w:hAnsi="Arial"/>
        </w:rPr>
        <w:t>presente</w:t>
      </w:r>
      <w:r>
        <w:rPr>
          <w:rFonts w:ascii="Arial" w:hAnsi="Arial"/>
          <w:spacing w:val="-5"/>
        </w:rPr>
        <w:t xml:space="preserve"> </w:t>
      </w:r>
      <w:r>
        <w:rPr>
          <w:rFonts w:ascii="Arial" w:hAnsi="Arial"/>
        </w:rPr>
        <w:t>Ata.</w:t>
      </w:r>
    </w:p>
    <w:p>
      <w:pPr>
        <w:pStyle w:val="ListParagraph"/>
        <w:numPr>
          <w:ilvl w:val="1"/>
          <w:numId w:val="52"/>
        </w:numPr>
        <w:tabs>
          <w:tab w:val="clear" w:pos="708"/>
          <w:tab w:val="left" w:pos="498" w:leader="none"/>
        </w:tabs>
        <w:overflowPunct w:val="true"/>
        <w:spacing w:lineRule="auto" w:line="240" w:before="0" w:after="0"/>
        <w:contextualSpacing/>
        <w:jc w:val="both"/>
        <w:rPr>
          <w:rFonts w:ascii="Arial" w:hAnsi="Arial"/>
        </w:rPr>
      </w:pPr>
      <w:r>
        <w:rPr>
          <w:rFonts w:ascii="Arial" w:hAnsi="Arial"/>
        </w:rPr>
        <w:t>14.2.</w:t>
        <w:tab/>
        <w:tab/>
        <w:t>Os</w:t>
      </w:r>
      <w:r>
        <w:rPr>
          <w:rFonts w:ascii="Arial" w:hAnsi="Arial"/>
          <w:spacing w:val="-5"/>
        </w:rPr>
        <w:t xml:space="preserve"> </w:t>
      </w:r>
      <w:r>
        <w:rPr>
          <w:rFonts w:ascii="Arial" w:hAnsi="Arial"/>
        </w:rPr>
        <w:t>casos</w:t>
      </w:r>
      <w:r>
        <w:rPr>
          <w:rFonts w:ascii="Arial" w:hAnsi="Arial"/>
          <w:spacing w:val="-4"/>
        </w:rPr>
        <w:t xml:space="preserve"> </w:t>
      </w:r>
      <w:r>
        <w:rPr>
          <w:rFonts w:ascii="Arial" w:hAnsi="Arial"/>
        </w:rPr>
        <w:t>omissos</w:t>
      </w:r>
      <w:r>
        <w:rPr>
          <w:rFonts w:ascii="Arial" w:hAnsi="Arial"/>
          <w:spacing w:val="-4"/>
        </w:rPr>
        <w:t xml:space="preserve"> </w:t>
      </w:r>
      <w:r>
        <w:rPr>
          <w:rFonts w:ascii="Arial" w:hAnsi="Arial"/>
        </w:rPr>
        <w:t>serão</w:t>
      </w:r>
      <w:r>
        <w:rPr>
          <w:rFonts w:ascii="Arial" w:hAnsi="Arial"/>
          <w:spacing w:val="-4"/>
        </w:rPr>
        <w:t xml:space="preserve"> </w:t>
      </w:r>
      <w:r>
        <w:rPr>
          <w:rFonts w:ascii="Arial" w:hAnsi="Arial"/>
        </w:rPr>
        <w:t>resolvidos</w:t>
      </w:r>
      <w:r>
        <w:rPr>
          <w:rFonts w:ascii="Arial" w:hAnsi="Arial"/>
          <w:spacing w:val="-4"/>
        </w:rPr>
        <w:t xml:space="preserve"> </w:t>
      </w:r>
      <w:r>
        <w:rPr>
          <w:rFonts w:ascii="Arial" w:hAnsi="Arial"/>
        </w:rPr>
        <w:t>de</w:t>
      </w:r>
      <w:r>
        <w:rPr>
          <w:rFonts w:ascii="Arial" w:hAnsi="Arial"/>
          <w:spacing w:val="-5"/>
        </w:rPr>
        <w:t xml:space="preserve"> </w:t>
      </w:r>
      <w:r>
        <w:rPr>
          <w:rFonts w:ascii="Arial" w:hAnsi="Arial"/>
        </w:rPr>
        <w:t>acordo</w:t>
      </w:r>
      <w:r>
        <w:rPr>
          <w:rFonts w:ascii="Arial" w:hAnsi="Arial"/>
          <w:spacing w:val="-4"/>
        </w:rPr>
        <w:t xml:space="preserve"> </w:t>
      </w:r>
      <w:r>
        <w:rPr>
          <w:rFonts w:ascii="Arial" w:hAnsi="Arial"/>
        </w:rPr>
        <w:t>com</w:t>
      </w:r>
      <w:r>
        <w:rPr>
          <w:rFonts w:ascii="Arial" w:hAnsi="Arial"/>
          <w:spacing w:val="-4"/>
        </w:rPr>
        <w:t xml:space="preserve"> </w:t>
      </w:r>
      <w:r>
        <w:rPr>
          <w:rFonts w:ascii="Arial" w:hAnsi="Arial"/>
        </w:rPr>
        <w:t>a</w:t>
      </w:r>
      <w:r>
        <w:rPr>
          <w:rFonts w:ascii="Arial" w:hAnsi="Arial"/>
          <w:spacing w:val="-4"/>
        </w:rPr>
        <w:t xml:space="preserve"> </w:t>
      </w:r>
      <w:r>
        <w:rPr>
          <w:rFonts w:ascii="Arial" w:hAnsi="Arial"/>
        </w:rPr>
        <w:t>Lei</w:t>
      </w:r>
      <w:r>
        <w:rPr>
          <w:rFonts w:ascii="Arial" w:hAnsi="Arial"/>
          <w:spacing w:val="-4"/>
        </w:rPr>
        <w:t xml:space="preserve"> </w:t>
      </w:r>
      <w:r>
        <w:rPr>
          <w:rFonts w:ascii="Arial" w:hAnsi="Arial"/>
        </w:rPr>
        <w:t>nº.</w:t>
      </w:r>
      <w:r>
        <w:rPr>
          <w:rFonts w:ascii="Arial" w:hAnsi="Arial"/>
          <w:spacing w:val="-4"/>
        </w:rPr>
        <w:t xml:space="preserve"> </w:t>
      </w:r>
      <w:r>
        <w:rPr>
          <w:rFonts w:ascii="Arial" w:hAnsi="Arial"/>
        </w:rPr>
        <w:t>14.133/2021</w:t>
      </w:r>
      <w:r>
        <w:rPr>
          <w:rFonts w:ascii="Arial" w:hAnsi="Arial"/>
          <w:spacing w:val="-5"/>
        </w:rPr>
        <w:t xml:space="preserve"> </w:t>
      </w:r>
      <w:r>
        <w:rPr>
          <w:rFonts w:ascii="Arial" w:hAnsi="Arial"/>
        </w:rPr>
        <w:t>e</w:t>
      </w:r>
      <w:r>
        <w:rPr>
          <w:rFonts w:ascii="Arial" w:hAnsi="Arial"/>
          <w:spacing w:val="-4"/>
        </w:rPr>
        <w:t xml:space="preserve"> </w:t>
      </w:r>
      <w:r>
        <w:rPr>
          <w:rFonts w:ascii="Arial" w:hAnsi="Arial"/>
        </w:rPr>
        <w:t>alterações,</w:t>
      </w:r>
      <w:r>
        <w:rPr>
          <w:rFonts w:ascii="Arial" w:hAnsi="Arial"/>
          <w:spacing w:val="-4"/>
        </w:rPr>
        <w:t xml:space="preserve"> </w:t>
      </w:r>
      <w:r>
        <w:rPr>
          <w:rFonts w:ascii="Arial" w:hAnsi="Arial"/>
        </w:rPr>
        <w:t>e</w:t>
      </w:r>
      <w:r>
        <w:rPr>
          <w:rFonts w:ascii="Arial" w:hAnsi="Arial"/>
          <w:spacing w:val="-4"/>
        </w:rPr>
        <w:t xml:space="preserve"> </w:t>
      </w:r>
      <w:r>
        <w:rPr>
          <w:rFonts w:ascii="Arial" w:hAnsi="Arial"/>
        </w:rPr>
        <w:t>demais</w:t>
      </w:r>
      <w:r>
        <w:rPr>
          <w:rFonts w:ascii="Arial" w:hAnsi="Arial"/>
          <w:spacing w:val="-4"/>
        </w:rPr>
        <w:t xml:space="preserve"> </w:t>
      </w:r>
      <w:r>
        <w:rPr>
          <w:rFonts w:ascii="Arial" w:hAnsi="Arial"/>
        </w:rPr>
        <w:t>normas</w:t>
      </w:r>
      <w:r>
        <w:rPr>
          <w:rFonts w:ascii="Arial" w:hAnsi="Arial"/>
          <w:spacing w:val="-5"/>
        </w:rPr>
        <w:t xml:space="preserve"> </w:t>
      </w:r>
      <w:r>
        <w:rPr>
          <w:rFonts w:ascii="Arial" w:hAnsi="Arial"/>
        </w:rPr>
        <w:t>aplicáveis.</w:t>
      </w:r>
    </w:p>
    <w:p>
      <w:pPr>
        <w:pStyle w:val="Corpodotexto"/>
        <w:rPr>
          <w:sz w:val="18"/>
        </w:rPr>
      </w:pPr>
      <w:r>
        <w:rPr/>
      </w:r>
    </w:p>
    <w:p>
      <w:pPr>
        <w:pStyle w:val="Corpodotexto"/>
        <w:ind w:right="100" w:hanging="0"/>
        <w:jc w:val="right"/>
        <w:rPr>
          <w:rFonts w:ascii="Arial" w:hAnsi="Arial"/>
        </w:rPr>
      </w:pPr>
      <w:r>
        <w:rPr>
          <w:rFonts w:ascii="Arial" w:hAnsi="Arial"/>
        </w:rPr>
        <w:t>Itá</w:t>
      </w:r>
      <w:r>
        <w:rPr>
          <w:rFonts w:ascii="Arial" w:hAnsi="Arial"/>
          <w:spacing w:val="-4"/>
        </w:rPr>
        <w:t xml:space="preserve"> – </w:t>
      </w:r>
      <w:r>
        <w:rPr>
          <w:rFonts w:ascii="Arial" w:hAnsi="Arial"/>
        </w:rPr>
        <w:t>SC,xx</w:t>
      </w:r>
      <w:r>
        <w:rPr>
          <w:rFonts w:ascii="Arial" w:hAnsi="Arial"/>
          <w:spacing w:val="-4"/>
        </w:rPr>
        <w:t xml:space="preserve"> </w:t>
      </w:r>
      <w:r>
        <w:rPr>
          <w:rFonts w:ascii="Arial" w:hAnsi="Arial"/>
        </w:rPr>
        <w:t>de</w:t>
      </w:r>
      <w:r>
        <w:rPr>
          <w:rFonts w:ascii="Arial" w:hAnsi="Arial"/>
          <w:spacing w:val="-3"/>
        </w:rPr>
        <w:t xml:space="preserve"> </w:t>
      </w:r>
      <w:r>
        <w:rPr>
          <w:rFonts w:ascii="Arial" w:hAnsi="Arial"/>
          <w:spacing w:val="-4"/>
        </w:rPr>
        <w:t xml:space="preserve">xxxxxx </w:t>
      </w:r>
      <w:r>
        <w:rPr>
          <w:rFonts w:ascii="Arial" w:hAnsi="Arial"/>
        </w:rPr>
        <w:t>de</w:t>
      </w:r>
      <w:r>
        <w:rPr>
          <w:rFonts w:ascii="Arial" w:hAnsi="Arial"/>
          <w:spacing w:val="-3"/>
        </w:rPr>
        <w:t xml:space="preserve"> </w:t>
      </w:r>
      <w:r>
        <w:rPr>
          <w:rFonts w:ascii="Arial" w:hAnsi="Arial"/>
        </w:rPr>
        <w:t>202x.</w:t>
      </w:r>
    </w:p>
    <w:p>
      <w:pPr>
        <w:pStyle w:val="Corpodotexto"/>
        <w:spacing w:lineRule="auto" w:line="240" w:before="0" w:after="0"/>
        <w:jc w:val="center"/>
        <w:rPr>
          <w:sz w:val="20"/>
        </w:rPr>
      </w:pPr>
      <w:r>
        <w:rPr>
          <w:sz w:val="20"/>
        </w:rPr>
        <w:t>_____________________________</w:t>
      </w:r>
    </w:p>
    <w:p>
      <w:pPr>
        <w:pStyle w:val="Corpodotexto"/>
        <w:spacing w:lineRule="auto" w:line="240" w:before="0" w:after="0"/>
        <w:jc w:val="center"/>
        <w:rPr>
          <w:rFonts w:ascii="Arial" w:hAnsi="Arial" w:cs="Arial"/>
        </w:rPr>
      </w:pPr>
      <w:r>
        <w:rPr>
          <w:rFonts w:cs="Arial" w:ascii="Arial" w:hAnsi="Arial"/>
        </w:rPr>
        <w:t>Contratante</w:t>
      </w:r>
    </w:p>
    <w:p>
      <w:pPr>
        <w:pStyle w:val="Corpodotexto"/>
        <w:spacing w:lineRule="auto" w:line="240" w:before="0" w:after="0"/>
        <w:jc w:val="center"/>
        <w:rPr>
          <w:sz w:val="20"/>
        </w:rPr>
      </w:pPr>
      <w:r>
        <w:rPr>
          <w:sz w:val="20"/>
        </w:rPr>
      </w:r>
    </w:p>
    <w:p>
      <w:pPr>
        <w:pStyle w:val="Corpodotexto"/>
        <w:spacing w:lineRule="auto" w:line="240" w:before="0" w:after="0"/>
        <w:jc w:val="center"/>
        <w:rPr>
          <w:sz w:val="20"/>
        </w:rPr>
      </w:pPr>
      <w:r>
        <w:rPr>
          <w:sz w:val="20"/>
        </w:rPr>
        <w:t>_________________________</w:t>
      </w:r>
    </w:p>
    <w:p>
      <w:pPr>
        <w:pStyle w:val="Corpodotexto"/>
        <w:spacing w:lineRule="auto" w:line="240" w:before="0" w:after="0"/>
        <w:jc w:val="center"/>
        <w:rPr>
          <w:rFonts w:ascii="Arial" w:hAnsi="Arial" w:cs="Arial"/>
        </w:rPr>
      </w:pPr>
      <w:r>
        <w:rPr>
          <w:rFonts w:cs="Arial" w:ascii="Arial" w:hAnsi="Arial"/>
        </w:rPr>
        <w:t>Contratad</w:t>
      </w:r>
      <w:r>
        <w:rPr>
          <w:rFonts w:cs="Arial" w:ascii="Arial" w:hAnsi="Arial"/>
        </w:rPr>
        <w:t>a</w:t>
      </w:r>
    </w:p>
    <w:sectPr>
      <w:headerReference w:type="default" r:id="rId24"/>
      <w:footerReference w:type="default" r:id="rId25"/>
      <w:footnotePr>
        <w:numFmt w:val="decimal"/>
      </w:footnotePr>
      <w:type w:val="nextPage"/>
      <w:pgSz w:w="11906" w:h="16838"/>
      <w:pgMar w:left="1701" w:right="1701" w:header="708" w:top="1417" w:footer="708" w:bottom="1417" w:gutter="0"/>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both"/>
      <w:rPr/>
    </w:pPr>
    <w:r>
      <w:rPr>
        <w:rFonts w:cs="Arial" w:ascii="Arial" w:hAnsi="Arial"/>
        <w:sz w:val="16"/>
        <w:szCs w:val="16"/>
        <w:shd w:fill="auto" w:val="clear"/>
      </w:rPr>
      <w:t xml:space="preserve">Pregão Eletrônico nº </w:t>
    </w:r>
    <w:r>
      <w:rPr>
        <w:rFonts w:eastAsia="Calibri" w:cs="Arial" w:ascii="Arial" w:hAnsi="Arial"/>
        <w:color w:val="000000"/>
        <w:kern w:val="0"/>
        <w:sz w:val="16"/>
        <w:szCs w:val="16"/>
        <w:shd w:fill="auto" w:val="clear"/>
        <w:lang w:val="pt-BR" w:eastAsia="en-US" w:bidi="ar-SA"/>
      </w:rPr>
      <w:t>080</w:t>
    </w:r>
    <w:r>
      <w:rPr>
        <w:rFonts w:cs="Arial" w:ascii="Arial" w:hAnsi="Arial"/>
        <w:color w:val="000000"/>
        <w:sz w:val="16"/>
        <w:szCs w:val="16"/>
        <w:shd w:fill="auto" w:val="clear"/>
      </w:rPr>
      <w:t>/2023</w:t>
    </w:r>
    <w:r>
      <w:rPr>
        <w:rFonts w:cs="Arial" w:ascii="Arial" w:hAnsi="Arial"/>
        <w:sz w:val="16"/>
        <w:szCs w:val="16"/>
        <w:shd w:fill="auto" w:val="clear"/>
      </w:rPr>
      <w:t xml:space="preserve"> </w:t>
    </w:r>
    <w:r>
      <w:rPr>
        <w:rFonts w:cs="Arial" w:ascii="Arial" w:hAnsi="Arial"/>
        <w:sz w:val="16"/>
        <w:szCs w:val="16"/>
      </w:rPr>
      <w:tab/>
      <w:t xml:space="preserve">Página </w:t>
    </w:r>
    <w:r>
      <w:rPr>
        <w:rFonts w:cs="Arial" w:ascii="Arial" w:hAnsi="Arial"/>
        <w:sz w:val="16"/>
        <w:szCs w:val="16"/>
      </w:rPr>
      <w:fldChar w:fldCharType="begin"/>
    </w:r>
    <w:r>
      <w:rPr>
        <w:sz w:val="16"/>
        <w:szCs w:val="16"/>
        <w:rFonts w:cs="Arial" w:ascii="Arial" w:hAnsi="Arial"/>
      </w:rPr>
      <w:instrText> PAGE </w:instrText>
    </w:r>
    <w:r>
      <w:rPr>
        <w:sz w:val="16"/>
        <w:szCs w:val="16"/>
        <w:rFonts w:cs="Arial" w:ascii="Arial" w:hAnsi="Arial"/>
      </w:rPr>
      <w:fldChar w:fldCharType="separate"/>
    </w:r>
    <w:r>
      <w:rPr>
        <w:sz w:val="16"/>
        <w:szCs w:val="16"/>
        <w:rFonts w:cs="Arial" w:ascii="Arial" w:hAnsi="Arial"/>
      </w:rPr>
      <w:t>1</w:t>
    </w:r>
    <w:r>
      <w:rPr>
        <w:sz w:val="16"/>
        <w:szCs w:val="16"/>
        <w:rFonts w:cs="Arial" w:ascii="Arial" w:hAnsi="Arial"/>
      </w:rPr>
      <w:fldChar w:fldCharType="end"/>
    </w:r>
    <w:r>
      <w:rPr>
        <w:rFonts w:cs="Arial" w:ascii="Arial" w:hAnsi="Arial"/>
        <w:sz w:val="16"/>
        <w:szCs w:val="16"/>
      </w:rPr>
      <w:t xml:space="preserve"> de </w:t>
    </w:r>
    <w:r>
      <w:rPr>
        <w:rFonts w:cs="Arial" w:ascii="Arial" w:hAnsi="Arial"/>
        <w:sz w:val="16"/>
        <w:szCs w:val="16"/>
      </w:rPr>
      <w:fldChar w:fldCharType="begin"/>
    </w:r>
    <w:r>
      <w:rPr>
        <w:sz w:val="16"/>
        <w:szCs w:val="16"/>
        <w:rFonts w:cs="Arial" w:ascii="Arial" w:hAnsi="Arial"/>
      </w:rPr>
      <w:instrText> NUMPAGES </w:instrText>
    </w:r>
    <w:r>
      <w:rPr>
        <w:sz w:val="16"/>
        <w:szCs w:val="16"/>
        <w:rFonts w:cs="Arial" w:ascii="Arial" w:hAnsi="Arial"/>
      </w:rPr>
      <w:fldChar w:fldCharType="separate"/>
    </w:r>
    <w:r>
      <w:rPr>
        <w:sz w:val="16"/>
        <w:szCs w:val="16"/>
        <w:rFonts w:cs="Arial" w:ascii="Arial" w:hAnsi="Arial"/>
      </w:rPr>
      <w:t>52</w:t>
    </w:r>
    <w:r>
      <w:rPr>
        <w:sz w:val="16"/>
        <w:szCs w:val="16"/>
        <w:rFonts w:cs="Arial" w:ascii="Arial" w:hAnsi="Arial"/>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taderodap"/>
        <w:rPr/>
      </w:pPr>
      <w:r>
        <w:rPr>
          <w:rStyle w:val="Caracteresdenotaderodap"/>
        </w:rPr>
        <w:footnoteRef/>
      </w:r>
      <w:r>
        <w:rPr>
          <w:sz w:val="16"/>
          <w:szCs w:val="16"/>
        </w:rPr>
        <w:t xml:space="preserve"> </w:t>
      </w:r>
      <w:r>
        <w:rPr>
          <w:b/>
          <w:bCs/>
          <w:sz w:val="16"/>
          <w:szCs w:val="16"/>
        </w:rPr>
        <w:t>Violação de sigilo em licitação</w:t>
      </w:r>
    </w:p>
    <w:p>
      <w:pPr>
        <w:pStyle w:val="Notaderodap"/>
        <w:rPr/>
      </w:pPr>
      <w:r>
        <w:fldChar w:fldCharType="begin"/>
      </w:r>
      <w:r>
        <w:rPr>
          <w:rStyle w:val="LinkdaInternet"/>
          <w:sz w:val="16"/>
          <w:szCs w:val="16"/>
        </w:rPr>
        <w:instrText> HYPERLINK "http://www.planalto.gov.br/ccivil_03/Decreto-Lei/Del2848.htm" \l "art337j"</w:instrText>
      </w:r>
      <w:r>
        <w:rPr>
          <w:rStyle w:val="LinkdaInternet"/>
          <w:sz w:val="16"/>
          <w:szCs w:val="16"/>
        </w:rPr>
        <w:fldChar w:fldCharType="separate"/>
      </w:r>
      <w:r>
        <w:rPr>
          <w:rStyle w:val="LinkdaInternet"/>
          <w:sz w:val="16"/>
          <w:szCs w:val="16"/>
        </w:rPr>
        <w:t>Art. 337-J</w:t>
      </w:r>
      <w:r>
        <w:rPr>
          <w:rStyle w:val="LinkdaInternet"/>
          <w:sz w:val="16"/>
          <w:szCs w:val="16"/>
        </w:rPr>
        <w:fldChar w:fldCharType="end"/>
      </w:r>
      <w:r>
        <w:rPr>
          <w:sz w:val="16"/>
          <w:szCs w:val="16"/>
        </w:rPr>
        <w:t>. Devassar o sigilo de proposta apresentada em processo licitatório ou proporcionar a terceiro o ensejo de devassá-lo:</w:t>
      </w:r>
    </w:p>
    <w:p>
      <w:pPr>
        <w:pStyle w:val="Notaderodap"/>
        <w:rPr>
          <w:sz w:val="16"/>
          <w:szCs w:val="16"/>
        </w:rPr>
      </w:pPr>
      <w:r>
        <w:rPr>
          <w:sz w:val="16"/>
          <w:szCs w:val="16"/>
        </w:rPr>
        <w:t>Pena - detenção, de 2 (dois) anos a 3 (três) anos, e multa.</w:t>
      </w:r>
    </w:p>
  </w:footnote>
  <w:footnote w:id="3">
    <w:p>
      <w:pPr>
        <w:pStyle w:val="Notaderodap"/>
        <w:rPr/>
      </w:pPr>
      <w:r>
        <w:rPr>
          <w:rStyle w:val="Caracteresdenotaderodap"/>
        </w:rPr>
        <w:footnoteRef/>
      </w:r>
      <w:r>
        <w:rPr>
          <w:sz w:val="16"/>
          <w:szCs w:val="16"/>
        </w:rPr>
        <w:t xml:space="preserve"> </w:t>
      </w:r>
      <w:r>
        <w:rPr>
          <w:b/>
          <w:bCs/>
          <w:i/>
          <w:sz w:val="16"/>
          <w:szCs w:val="16"/>
        </w:rPr>
        <w:t>Contratação inidônea</w:t>
      </w:r>
    </w:p>
    <w:p>
      <w:pPr>
        <w:pStyle w:val="Notaderodap"/>
        <w:rPr>
          <w:i/>
          <w:i/>
          <w:sz w:val="16"/>
          <w:szCs w:val="16"/>
        </w:rPr>
      </w:pPr>
      <w:r>
        <w:rPr>
          <w:i/>
          <w:sz w:val="16"/>
          <w:szCs w:val="16"/>
        </w:rPr>
        <w:t>Art. 337-M. Admitir à licitação empresa ou profissional declarado inidôneo:</w:t>
      </w:r>
    </w:p>
    <w:p>
      <w:pPr>
        <w:pStyle w:val="Notaderodap"/>
        <w:rPr>
          <w:i/>
          <w:i/>
          <w:sz w:val="16"/>
          <w:szCs w:val="16"/>
        </w:rPr>
      </w:pPr>
      <w:r>
        <w:rPr>
          <w:i/>
          <w:sz w:val="16"/>
          <w:szCs w:val="16"/>
        </w:rPr>
        <w:t>Pena - reclusão, de 1 (um) ano a 3 (três) anos, e multa.</w:t>
      </w:r>
    </w:p>
    <w:p>
      <w:pPr>
        <w:pStyle w:val="Notaderodap"/>
        <w:rPr>
          <w:i/>
          <w:i/>
          <w:sz w:val="16"/>
          <w:szCs w:val="16"/>
        </w:rPr>
      </w:pPr>
      <w:r>
        <w:rPr>
          <w:i/>
          <w:sz w:val="16"/>
          <w:szCs w:val="16"/>
        </w:rPr>
        <w:t>§ 1º Celebrar contrato com empresa ou profissional declarado inidôneo:</w:t>
      </w:r>
    </w:p>
    <w:p>
      <w:pPr>
        <w:pStyle w:val="Notaderodap"/>
        <w:rPr>
          <w:i/>
          <w:i/>
          <w:sz w:val="16"/>
          <w:szCs w:val="16"/>
        </w:rPr>
      </w:pPr>
      <w:r>
        <w:rPr>
          <w:i/>
          <w:sz w:val="16"/>
          <w:szCs w:val="16"/>
        </w:rPr>
        <w:t>Pena - reclusão, de 3 (três) anos a 6 (seis) anos, e multa.</w:t>
      </w:r>
    </w:p>
    <w:p>
      <w:pPr>
        <w:pStyle w:val="Notaderodap"/>
        <w:rPr/>
      </w:pPr>
      <w:r>
        <w:rPr>
          <w:i/>
          <w:sz w:val="16"/>
          <w:szCs w:val="16"/>
        </w:rPr>
        <w:t>§ 2º Incide na mesma pena do </w:t>
      </w:r>
      <w:r>
        <w:rPr>
          <w:b/>
          <w:bCs/>
          <w:i/>
          <w:sz w:val="16"/>
          <w:szCs w:val="16"/>
        </w:rPr>
        <w:t>caput</w:t>
      </w:r>
      <w:r>
        <w:rPr>
          <w:i/>
          <w:sz w:val="16"/>
          <w:szCs w:val="16"/>
        </w:rPr>
        <w:t> deste artigo aquele que, declarado inidôneo, venha a participar de licitação e, na mesma pena do § 1º deste artigo, aquele que, declarado inidôneo, venha a contratar com a Administração Pública.</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both"/>
      <w:rPr/>
    </w:pPr>
    <w:r>
      <w:drawing>
        <wp:anchor behindDoc="1" distT="0" distB="0" distL="114935" distR="114935" simplePos="0" locked="0" layoutInCell="0" allowOverlap="1" relativeHeight="53">
          <wp:simplePos x="0" y="0"/>
          <wp:positionH relativeFrom="column">
            <wp:posOffset>0</wp:posOffset>
          </wp:positionH>
          <wp:positionV relativeFrom="paragraph">
            <wp:posOffset>-111125</wp:posOffset>
          </wp:positionV>
          <wp:extent cx="987425" cy="98869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rcRect l="-419" t="-409" r="-419" b="-409"/>
                  <a:stretch>
                    <a:fillRect/>
                  </a:stretch>
                </pic:blipFill>
                <pic:spPr bwMode="auto">
                  <a:xfrm>
                    <a:off x="0" y="0"/>
                    <a:ext cx="987425" cy="988695"/>
                  </a:xfrm>
                  <a:prstGeom prst="rect">
                    <a:avLst/>
                  </a:prstGeom>
                </pic:spPr>
              </pic:pic>
            </a:graphicData>
          </a:graphic>
        </wp:anchor>
      </w:drawing>
    </w:r>
    <w:r>
      <w:rPr>
        <w:rFonts w:eastAsia="Verdana" w:cs="Verdana" w:ascii="Verdana" w:hAnsi="Verdana"/>
        <w:b/>
        <w:sz w:val="20"/>
      </w:rPr>
      <w:t xml:space="preserve">                        </w:t>
    </w:r>
    <w:r>
      <w:rPr>
        <w:rFonts w:cs="Verdana" w:ascii="Verdana" w:hAnsi="Verdana"/>
        <w:b/>
        <w:sz w:val="20"/>
      </w:rPr>
      <w:t>ESTADO DE SANTA CATARINA</w:t>
    </w:r>
  </w:p>
  <w:p>
    <w:pPr>
      <w:pStyle w:val="Cabealho"/>
      <w:jc w:val="both"/>
      <w:rPr/>
    </w:pPr>
    <w:r>
      <w:rPr>
        <w:rFonts w:eastAsia="Verdana" w:cs="Verdana" w:ascii="Verdana" w:hAnsi="Verdana"/>
        <w:b/>
        <w:sz w:val="20"/>
      </w:rPr>
      <w:t xml:space="preserve">                        </w:t>
    </w:r>
    <w:r>
      <w:rPr>
        <w:rFonts w:cs="Verdana" w:ascii="Verdana" w:hAnsi="Verdana"/>
        <w:b/>
        <w:sz w:val="20"/>
      </w:rPr>
      <w:t>MUNICÍPIO DE ITÁ</w:t>
    </w:r>
  </w:p>
  <w:p>
    <w:pPr>
      <w:pStyle w:val="Cabealho"/>
      <w:rPr/>
    </w:pPr>
    <w:r>
      <w:rPr>
        <w:rFonts w:eastAsia="Verdana" w:cs="Verdana" w:ascii="Verdana" w:hAnsi="Verdana"/>
        <w:sz w:val="20"/>
      </w:rPr>
      <w:t xml:space="preserve">                       </w:t>
    </w:r>
    <w:r>
      <w:rPr>
        <w:rFonts w:cs="Verdana" w:ascii="Verdana" w:hAnsi="Verdana"/>
        <w:b/>
        <w:sz w:val="20"/>
      </w:rPr>
      <w:t>Praça Dr. Aldo Ivo Stumpf, 100 - Fone</w:t>
    </w:r>
    <w:r>
      <w:rPr>
        <w:rFonts w:cs="Verdana" w:ascii="Verdana" w:hAnsi="Verdana"/>
        <w:b/>
        <w:sz w:val="20"/>
        <w:lang w:eastAsia="pt-BR"/>
      </w:rPr>
      <w:t xml:space="preserve"> (</w:t>
    </w:r>
    <w:r>
      <w:rPr>
        <w:rFonts w:cs="Verdana" w:ascii="Verdana" w:hAnsi="Verdana"/>
        <w:b/>
        <w:sz w:val="20"/>
      </w:rPr>
      <w:t>49) 3458-9500.</w:t>
    </w:r>
  </w:p>
  <w:p>
    <w:pPr>
      <w:pStyle w:val="Cabealho"/>
      <w:rPr/>
    </w:pPr>
    <w:r>
      <w:rPr>
        <w:rFonts w:eastAsia="Verdana" w:cs="Verdana" w:ascii="Verdana" w:hAnsi="Verdana"/>
        <w:b/>
        <w:sz w:val="20"/>
      </w:rPr>
      <w:t xml:space="preserve">                        </w:t>
    </w:r>
    <w:r>
      <w:rPr>
        <w:rFonts w:cs="Verdana" w:ascii="Verdana" w:hAnsi="Verdana"/>
        <w:b/>
        <w:sz w:val="20"/>
      </w:rPr>
      <w:t>CEP: 89760-000 – ITÁ – Santa Catarina</w:t>
    </w:r>
  </w:p>
  <w:p>
    <w:pPr>
      <w:pStyle w:val="Cabealho"/>
      <w:rPr/>
    </w:pPr>
    <w:r>
      <w:rPr>
        <w:rFonts w:eastAsia="Verdana" w:cs="Verdana" w:ascii="Verdana" w:hAnsi="Verdana"/>
        <w:b/>
        <w:sz w:val="20"/>
      </w:rPr>
      <w:t xml:space="preserve">               </w:t>
    </w:r>
    <w:r>
      <w:rPr>
        <w:rFonts w:cs="Verdana" w:ascii="Verdana" w:hAnsi="Verdana"/>
        <w:b/>
        <w:sz w:val="20"/>
      </w:rPr>
      <w:t xml:space="preserve">E       E-mail: </w:t>
    </w:r>
    <w:hyperlink r:id="rId2">
      <w:r>
        <w:rPr>
          <w:rStyle w:val="LinkdaInternet"/>
          <w:rFonts w:cs="Verdana" w:ascii="Verdana" w:hAnsi="Verdana"/>
          <w:b/>
          <w:sz w:val="20"/>
        </w:rPr>
        <w:t>licitacao@ita.sc.gov.br</w:t>
      </w:r>
    </w:hyperlink>
    <w:r>
      <w:rPr>
        <w:rFonts w:cs="Verdana" w:ascii="Verdana" w:hAnsi="Verdana"/>
        <w:b/>
        <w:sz w:val="20"/>
      </w:rPr>
      <w:t xml:space="preserve"> - site: </w:t>
    </w:r>
    <w:hyperlink r:id="rId3">
      <w:r>
        <w:rPr>
          <w:rStyle w:val="LinkdaInternet"/>
          <w:rFonts w:cs="Verdana" w:ascii="Verdana" w:hAnsi="Verdana"/>
          <w:b/>
          <w:sz w:val="20"/>
        </w:rPr>
        <w:t>ita.atende.net</w:t>
      </w:r>
    </w:hyperlink>
  </w:p>
  <w:p>
    <w:pPr>
      <w:pStyle w:val="Cabealho"/>
      <w:widowControl w:val="false"/>
      <w:jc w:val="both"/>
      <w:rPr>
        <w:rFonts w:ascii="Times New Roman" w:hAnsi="Times New Roman" w:eastAsia="Times New Roman" w:cs="Times New Roman"/>
        <w:sz w:val="20"/>
        <w:szCs w:val="20"/>
        <w:lang w:eastAsia="pt-BR"/>
      </w:rPr>
    </w:pPr>
    <w:r>
      <w:rPr>
        <w:rFonts w:eastAsia="Times New Roman" w:cs="Times New Roman" w:ascii="Times New Roman" w:hAnsi="Times New Roman"/>
        <w:sz w:val="20"/>
        <w:szCs w:val="20"/>
        <w:lang w:eastAsia="pt-BR"/>
      </w:rPr>
    </w:r>
  </w:p>
  <w:p>
    <w:pPr>
      <w:pStyle w:val="Normal"/>
      <w:widowControl w:val="false"/>
      <w:tabs>
        <w:tab w:val="clear" w:pos="708"/>
        <w:tab w:val="center" w:pos="4252" w:leader="none"/>
        <w:tab w:val="right" w:pos="8504" w:leader="none"/>
      </w:tabs>
      <w:spacing w:lineRule="auto" w:line="240" w:before="0" w:after="0"/>
      <w:jc w:val="both"/>
      <w:rPr>
        <w:rFonts w:ascii="Times New Roman" w:hAnsi="Times New Roman" w:eastAsia="Times New Roman" w:cs="Times New Roman"/>
        <w:sz w:val="20"/>
        <w:szCs w:val="20"/>
        <w:lang w:eastAsia="pt-BR"/>
      </w:rPr>
    </w:pPr>
    <w:r>
      <w:rPr>
        <w:rFonts w:eastAsia="Times New Roman" w:cs="Times New Roman" w:ascii="Times New Roman" w:hAnsi="Times New Roman"/>
        <w:sz w:val="20"/>
        <w:szCs w:val="20"/>
        <w:lang w:eastAsia="pt-BR"/>
      </w:rPr>
      <mc:AlternateContent>
        <mc:Choice Requires="wps">
          <w:drawing>
            <wp:anchor behindDoc="1" distT="28575" distB="28575" distL="28575" distR="28575" simplePos="0" locked="0" layoutInCell="0" allowOverlap="1" relativeHeight="105">
              <wp:simplePos x="0" y="0"/>
              <wp:positionH relativeFrom="column">
                <wp:posOffset>655320</wp:posOffset>
              </wp:positionH>
              <wp:positionV relativeFrom="paragraph">
                <wp:posOffset>15240</wp:posOffset>
              </wp:positionV>
              <wp:extent cx="4587875" cy="23495"/>
              <wp:effectExtent l="0" t="0" r="0" b="0"/>
              <wp:wrapNone/>
              <wp:docPr id="2" name="Figura1"/>
              <a:graphic xmlns:a="http://schemas.openxmlformats.org/drawingml/2006/main">
                <a:graphicData uri="http://schemas.microsoft.com/office/word/2010/wordprocessingShape">
                  <wps:wsp>
                    <wps:cNvSpPr/>
                    <wps:spPr>
                      <a:xfrm>
                        <a:off x="0" y="0"/>
                        <a:ext cx="4587120" cy="19080"/>
                      </a:xfrm>
                      <a:prstGeom prst="line">
                        <a:avLst/>
                      </a:prstGeom>
                      <a:ln w="57240">
                        <a:solidFill>
                          <a:srgbClr val="000000"/>
                        </a:solidFill>
                        <a:miter/>
                      </a:ln>
                    </wps:spPr>
                    <wps:style>
                      <a:lnRef idx="0"/>
                      <a:fillRef idx="0"/>
                      <a:effectRef idx="0"/>
                      <a:fontRef idx="minor"/>
                    </wps:style>
                    <wps:bodyPr/>
                  </wps:wsp>
                </a:graphicData>
              </a:graphic>
            </wp:anchor>
          </w:drawing>
        </mc:Choice>
        <mc:Fallback>
          <w:pict>
            <v:line id="shape_0" from="51.6pt,1.2pt" to="412.75pt,2.65pt" ID="Figura1" stroked="t" style="position:absolute">
              <v:stroke color="black" weight="57240" joinstyle="miter" endcap="flat"/>
              <v:fill o:detectmouseclick="t" on="false"/>
              <w10:wrap type="none"/>
            </v:line>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Ttulo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rPr>
        <w:b/>
        <w:color w:val="FF0000"/>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
    <w:lvl w:ilvl="0">
      <w:start w:val="1"/>
      <w:numFmt w:val="upperRoman"/>
      <w:lvlText w:val="%1"/>
      <w:lvlJc w:val="left"/>
      <w:pPr>
        <w:tabs>
          <w:tab w:val="num" w:pos="0"/>
        </w:tabs>
        <w:ind w:left="720" w:hanging="360"/>
      </w:pPr>
      <w:rPr>
        <w:b/>
      </w:rPr>
    </w:lvl>
    <w:lvl w:ilvl="1">
      <w:start w:val="1"/>
      <w:numFmt w:val="lowerRoman"/>
      <w:lvlText w:val="%1.%2"/>
      <w:lvlJc w:val="right"/>
      <w:pPr>
        <w:tabs>
          <w:tab w:val="num" w:pos="0"/>
        </w:tabs>
        <w:ind w:left="1440" w:hanging="360"/>
      </w:pPr>
      <w:rPr>
        <w:b/>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rPr>
        <w:b/>
      </w:rPr>
    </w:lvl>
    <w:lvl w:ilvl="2">
      <w:start w:val="1"/>
      <w:numFmt w:val="lowerLetter"/>
      <w:lvlText w:val="%2.%3"/>
      <w:lvlJc w:val="left"/>
      <w:pPr>
        <w:tabs>
          <w:tab w:val="num" w:pos="0"/>
        </w:tabs>
        <w:ind w:left="2160" w:hanging="180"/>
      </w:pPr>
      <w:rPr>
        <w:b/>
      </w:r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6">
    <w:lvl w:ilvl="0">
      <w:start w:val="1"/>
      <w:numFmt w:val="lowerLetter"/>
      <w:lvlText w:val="%1"/>
      <w:lvlJc w:val="left"/>
      <w:pPr>
        <w:tabs>
          <w:tab w:val="num" w:pos="0"/>
        </w:tabs>
        <w:ind w:left="720" w:hanging="360"/>
      </w:pPr>
    </w:lvl>
    <w:lvl w:ilvl="1">
      <w:start w:val="1"/>
      <w:numFmt w:val="upperRoman"/>
      <w:lvlText w:val="%1.%2"/>
      <w:lvlJc w:val="left"/>
      <w:pPr>
        <w:tabs>
          <w:tab w:val="num" w:pos="0"/>
        </w:tabs>
        <w:ind w:left="1440" w:hanging="360"/>
      </w:pPr>
      <w:rPr>
        <w:b/>
      </w:rPr>
    </w:lvl>
    <w:lvl w:ilvl="2">
      <w:start w:val="1"/>
      <w:numFmt w:val="lowerLetter"/>
      <w:lvlText w:val="%2.%3"/>
      <w:lvlJc w:val="left"/>
      <w:pPr>
        <w:tabs>
          <w:tab w:val="num" w:pos="0"/>
        </w:tabs>
        <w:ind w:left="2160" w:hanging="180"/>
      </w:pPr>
      <w:rPr>
        <w:b/>
      </w:r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7">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8">
    <w:lvl w:ilvl="0">
      <w:start w:val="1"/>
      <w:numFmt w:val="upperRoman"/>
      <w:lvlText w:val="%1"/>
      <w:lvlJc w:val="left"/>
      <w:pPr>
        <w:tabs>
          <w:tab w:val="num" w:pos="0"/>
        </w:tabs>
        <w:ind w:left="2340" w:hanging="360"/>
      </w:pPr>
      <w:rPr>
        <w:b/>
      </w:rPr>
    </w:lvl>
    <w:lvl w:ilvl="1">
      <w:start w:val="1"/>
      <w:numFmt w:val="lowerLetter"/>
      <w:lvlText w:val="%1.%2"/>
      <w:lvlJc w:val="left"/>
      <w:pPr>
        <w:tabs>
          <w:tab w:val="num" w:pos="0"/>
        </w:tabs>
        <w:ind w:left="3060" w:hanging="360"/>
      </w:pPr>
    </w:lvl>
    <w:lvl w:ilvl="2">
      <w:start w:val="1"/>
      <w:numFmt w:val="lowerRoman"/>
      <w:lvlText w:val="%2.%3"/>
      <w:lvlJc w:val="right"/>
      <w:pPr>
        <w:tabs>
          <w:tab w:val="num" w:pos="0"/>
        </w:tabs>
        <w:ind w:left="3780" w:hanging="180"/>
      </w:pPr>
    </w:lvl>
    <w:lvl w:ilvl="3">
      <w:start w:val="1"/>
      <w:numFmt w:val="decimal"/>
      <w:lvlText w:val="%3.%4"/>
      <w:lvlJc w:val="left"/>
      <w:pPr>
        <w:tabs>
          <w:tab w:val="num" w:pos="0"/>
        </w:tabs>
        <w:ind w:left="4500" w:hanging="360"/>
      </w:pPr>
    </w:lvl>
    <w:lvl w:ilvl="4">
      <w:start w:val="1"/>
      <w:numFmt w:val="lowerLetter"/>
      <w:lvlText w:val="%4.%5"/>
      <w:lvlJc w:val="left"/>
      <w:pPr>
        <w:tabs>
          <w:tab w:val="num" w:pos="0"/>
        </w:tabs>
        <w:ind w:left="5220" w:hanging="360"/>
      </w:pPr>
    </w:lvl>
    <w:lvl w:ilvl="5">
      <w:start w:val="1"/>
      <w:numFmt w:val="lowerRoman"/>
      <w:lvlText w:val="%5.%6"/>
      <w:lvlJc w:val="right"/>
      <w:pPr>
        <w:tabs>
          <w:tab w:val="num" w:pos="0"/>
        </w:tabs>
        <w:ind w:left="5940" w:hanging="180"/>
      </w:pPr>
    </w:lvl>
    <w:lvl w:ilvl="6">
      <w:start w:val="1"/>
      <w:numFmt w:val="decimal"/>
      <w:lvlText w:val="%6.%7"/>
      <w:lvlJc w:val="left"/>
      <w:pPr>
        <w:tabs>
          <w:tab w:val="num" w:pos="0"/>
        </w:tabs>
        <w:ind w:left="6660" w:hanging="360"/>
      </w:pPr>
    </w:lvl>
    <w:lvl w:ilvl="7">
      <w:start w:val="1"/>
      <w:numFmt w:val="lowerLetter"/>
      <w:lvlText w:val="%7.%8"/>
      <w:lvlJc w:val="left"/>
      <w:pPr>
        <w:tabs>
          <w:tab w:val="num" w:pos="0"/>
        </w:tabs>
        <w:ind w:left="7380" w:hanging="360"/>
      </w:pPr>
    </w:lvl>
    <w:lvl w:ilvl="8">
      <w:start w:val="1"/>
      <w:numFmt w:val="lowerRoman"/>
      <w:lvlText w:val="%8.%9"/>
      <w:lvlJc w:val="right"/>
      <w:pPr>
        <w:tabs>
          <w:tab w:val="num" w:pos="0"/>
        </w:tabs>
        <w:ind w:left="8100" w:hanging="180"/>
      </w:pPr>
    </w:lvl>
  </w:abstractNum>
  <w:abstractNum w:abstractNumId="9">
    <w:lvl w:ilvl="0">
      <w:start w:val="1"/>
      <w:numFmt w:val="upperRoman"/>
      <w:lvlText w:val="%1"/>
      <w:lvlJc w:val="left"/>
      <w:pPr>
        <w:tabs>
          <w:tab w:val="num" w:pos="0"/>
        </w:tabs>
        <w:ind w:left="2340" w:hanging="360"/>
      </w:pPr>
      <w:rPr>
        <w:b/>
      </w:rPr>
    </w:lvl>
    <w:lvl w:ilvl="1">
      <w:start w:val="1"/>
      <w:numFmt w:val="lowerLetter"/>
      <w:lvlText w:val="%1.%2"/>
      <w:lvlJc w:val="left"/>
      <w:pPr>
        <w:tabs>
          <w:tab w:val="num" w:pos="0"/>
        </w:tabs>
        <w:ind w:left="3060" w:hanging="360"/>
      </w:pPr>
    </w:lvl>
    <w:lvl w:ilvl="2">
      <w:start w:val="1"/>
      <w:numFmt w:val="lowerRoman"/>
      <w:lvlText w:val="%2.%3"/>
      <w:lvlJc w:val="right"/>
      <w:pPr>
        <w:tabs>
          <w:tab w:val="num" w:pos="0"/>
        </w:tabs>
        <w:ind w:left="3780" w:hanging="180"/>
      </w:pPr>
    </w:lvl>
    <w:lvl w:ilvl="3">
      <w:start w:val="1"/>
      <w:numFmt w:val="decimal"/>
      <w:lvlText w:val="%3.%4"/>
      <w:lvlJc w:val="left"/>
      <w:pPr>
        <w:tabs>
          <w:tab w:val="num" w:pos="0"/>
        </w:tabs>
        <w:ind w:left="4500" w:hanging="360"/>
      </w:pPr>
    </w:lvl>
    <w:lvl w:ilvl="4">
      <w:start w:val="1"/>
      <w:numFmt w:val="lowerLetter"/>
      <w:lvlText w:val="%4.%5"/>
      <w:lvlJc w:val="left"/>
      <w:pPr>
        <w:tabs>
          <w:tab w:val="num" w:pos="0"/>
        </w:tabs>
        <w:ind w:left="5220" w:hanging="360"/>
      </w:pPr>
    </w:lvl>
    <w:lvl w:ilvl="5">
      <w:start w:val="1"/>
      <w:numFmt w:val="lowerRoman"/>
      <w:lvlText w:val="%5.%6"/>
      <w:lvlJc w:val="right"/>
      <w:pPr>
        <w:tabs>
          <w:tab w:val="num" w:pos="0"/>
        </w:tabs>
        <w:ind w:left="5940" w:hanging="180"/>
      </w:pPr>
    </w:lvl>
    <w:lvl w:ilvl="6">
      <w:start w:val="1"/>
      <w:numFmt w:val="decimal"/>
      <w:lvlText w:val="%6.%7"/>
      <w:lvlJc w:val="left"/>
      <w:pPr>
        <w:tabs>
          <w:tab w:val="num" w:pos="0"/>
        </w:tabs>
        <w:ind w:left="6660" w:hanging="360"/>
      </w:pPr>
    </w:lvl>
    <w:lvl w:ilvl="7">
      <w:start w:val="1"/>
      <w:numFmt w:val="lowerLetter"/>
      <w:lvlText w:val="%7.%8"/>
      <w:lvlJc w:val="left"/>
      <w:pPr>
        <w:tabs>
          <w:tab w:val="num" w:pos="0"/>
        </w:tabs>
        <w:ind w:left="7380" w:hanging="360"/>
      </w:pPr>
    </w:lvl>
    <w:lvl w:ilvl="8">
      <w:start w:val="1"/>
      <w:numFmt w:val="lowerRoman"/>
      <w:lvlText w:val="%8.%9"/>
      <w:lvlJc w:val="right"/>
      <w:pPr>
        <w:tabs>
          <w:tab w:val="num" w:pos="0"/>
        </w:tabs>
        <w:ind w:left="8100" w:hanging="180"/>
      </w:pPr>
    </w:lvl>
  </w:abstractNum>
  <w:abstractNum w:abstractNumId="10">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1">
    <w:lvl w:ilvl="0">
      <w:start w:val="1"/>
      <w:numFmt w:val="lowerLetter"/>
      <w:lvlText w:val="%1"/>
      <w:lvlJc w:val="left"/>
      <w:pPr>
        <w:tabs>
          <w:tab w:val="num" w:pos="0"/>
        </w:tabs>
        <w:ind w:left="1080" w:hanging="360"/>
      </w:pPr>
      <w:rPr>
        <w:b/>
      </w:rPr>
    </w:lvl>
    <w:lvl w:ilvl="1">
      <w:start w:val="1"/>
      <w:numFmt w:val="lowerLetter"/>
      <w:lvlText w:val="%1.%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3.%4"/>
      <w:lvlJc w:val="left"/>
      <w:pPr>
        <w:tabs>
          <w:tab w:val="num" w:pos="0"/>
        </w:tabs>
        <w:ind w:left="3240" w:hanging="360"/>
      </w:pPr>
    </w:lvl>
    <w:lvl w:ilvl="4">
      <w:start w:val="1"/>
      <w:numFmt w:val="lowerLetter"/>
      <w:lvlText w:val="%4.%5"/>
      <w:lvlJc w:val="left"/>
      <w:pPr>
        <w:tabs>
          <w:tab w:val="num" w:pos="0"/>
        </w:tabs>
        <w:ind w:left="3960" w:hanging="360"/>
      </w:pPr>
    </w:lvl>
    <w:lvl w:ilvl="5">
      <w:start w:val="1"/>
      <w:numFmt w:val="lowerRoman"/>
      <w:lvlText w:val="%5.%6"/>
      <w:lvlJc w:val="right"/>
      <w:pPr>
        <w:tabs>
          <w:tab w:val="num" w:pos="0"/>
        </w:tabs>
        <w:ind w:left="4680" w:hanging="180"/>
      </w:pPr>
    </w:lvl>
    <w:lvl w:ilvl="6">
      <w:start w:val="1"/>
      <w:numFmt w:val="decimal"/>
      <w:lvlText w:val="%6.%7"/>
      <w:lvlJc w:val="left"/>
      <w:pPr>
        <w:tabs>
          <w:tab w:val="num" w:pos="0"/>
        </w:tabs>
        <w:ind w:left="5400" w:hanging="360"/>
      </w:pPr>
    </w:lvl>
    <w:lvl w:ilvl="7">
      <w:start w:val="1"/>
      <w:numFmt w:val="lowerLetter"/>
      <w:lvlText w:val="%7.%8"/>
      <w:lvlJc w:val="left"/>
      <w:pPr>
        <w:tabs>
          <w:tab w:val="num" w:pos="0"/>
        </w:tabs>
        <w:ind w:left="6120" w:hanging="360"/>
      </w:pPr>
    </w:lvl>
    <w:lvl w:ilvl="8">
      <w:start w:val="1"/>
      <w:numFmt w:val="lowerRoman"/>
      <w:lvlText w:val="%8.%9"/>
      <w:lvlJc w:val="right"/>
      <w:pPr>
        <w:tabs>
          <w:tab w:val="num" w:pos="0"/>
        </w:tabs>
        <w:ind w:left="6840" w:hanging="180"/>
      </w:pPr>
    </w:lvl>
  </w:abstractNum>
  <w:abstractNum w:abstractNumId="12">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3">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4">
    <w:lvl w:ilvl="0">
      <w:start w:val="1"/>
      <w:numFmt w:val="lowerLetter"/>
      <w:lvlText w:val="%1"/>
      <w:lvlJc w:val="left"/>
      <w:pPr>
        <w:tabs>
          <w:tab w:val="num" w:pos="0"/>
        </w:tabs>
        <w:ind w:left="1500" w:hanging="360"/>
      </w:pPr>
      <w:rPr>
        <w:b/>
      </w:rPr>
    </w:lvl>
    <w:lvl w:ilvl="1">
      <w:start w:val="1"/>
      <w:numFmt w:val="upperRoman"/>
      <w:lvlText w:val="%1.%2"/>
      <w:lvlJc w:val="left"/>
      <w:pPr>
        <w:tabs>
          <w:tab w:val="num" w:pos="0"/>
        </w:tabs>
        <w:ind w:left="2580" w:hanging="720"/>
      </w:pPr>
    </w:lvl>
    <w:lvl w:ilvl="2">
      <w:start w:val="1"/>
      <w:numFmt w:val="lowerRoman"/>
      <w:lvlText w:val="%2.%3"/>
      <w:lvlJc w:val="right"/>
      <w:pPr>
        <w:tabs>
          <w:tab w:val="num" w:pos="0"/>
        </w:tabs>
        <w:ind w:left="2940" w:hanging="180"/>
      </w:pPr>
    </w:lvl>
    <w:lvl w:ilvl="3">
      <w:start w:val="1"/>
      <w:numFmt w:val="decimal"/>
      <w:lvlText w:val="%3.%4"/>
      <w:lvlJc w:val="left"/>
      <w:pPr>
        <w:tabs>
          <w:tab w:val="num" w:pos="0"/>
        </w:tabs>
        <w:ind w:left="3660" w:hanging="360"/>
      </w:pPr>
    </w:lvl>
    <w:lvl w:ilvl="4">
      <w:start w:val="1"/>
      <w:numFmt w:val="lowerLetter"/>
      <w:lvlText w:val="%4.%5"/>
      <w:lvlJc w:val="left"/>
      <w:pPr>
        <w:tabs>
          <w:tab w:val="num" w:pos="0"/>
        </w:tabs>
        <w:ind w:left="4380" w:hanging="360"/>
      </w:pPr>
    </w:lvl>
    <w:lvl w:ilvl="5">
      <w:start w:val="1"/>
      <w:numFmt w:val="lowerRoman"/>
      <w:lvlText w:val="%5.%6"/>
      <w:lvlJc w:val="right"/>
      <w:pPr>
        <w:tabs>
          <w:tab w:val="num" w:pos="0"/>
        </w:tabs>
        <w:ind w:left="5100" w:hanging="180"/>
      </w:pPr>
    </w:lvl>
    <w:lvl w:ilvl="6">
      <w:start w:val="1"/>
      <w:numFmt w:val="decimal"/>
      <w:lvlText w:val="%6.%7"/>
      <w:lvlJc w:val="left"/>
      <w:pPr>
        <w:tabs>
          <w:tab w:val="num" w:pos="0"/>
        </w:tabs>
        <w:ind w:left="5820" w:hanging="360"/>
      </w:pPr>
    </w:lvl>
    <w:lvl w:ilvl="7">
      <w:start w:val="1"/>
      <w:numFmt w:val="lowerLetter"/>
      <w:lvlText w:val="%7.%8"/>
      <w:lvlJc w:val="left"/>
      <w:pPr>
        <w:tabs>
          <w:tab w:val="num" w:pos="0"/>
        </w:tabs>
        <w:ind w:left="6540" w:hanging="360"/>
      </w:pPr>
    </w:lvl>
    <w:lvl w:ilvl="8">
      <w:start w:val="1"/>
      <w:numFmt w:val="lowerRoman"/>
      <w:lvlText w:val="%8.%9"/>
      <w:lvlJc w:val="right"/>
      <w:pPr>
        <w:tabs>
          <w:tab w:val="num" w:pos="0"/>
        </w:tabs>
        <w:ind w:left="7260" w:hanging="180"/>
      </w:pPr>
    </w:lvl>
  </w:abstractNum>
  <w:abstractNum w:abstractNumId="15">
    <w:lvl w:ilvl="0">
      <w:start w:val="1"/>
      <w:numFmt w:val="upperRoman"/>
      <w:lvlText w:val="%1"/>
      <w:lvlJc w:val="left"/>
      <w:pPr>
        <w:tabs>
          <w:tab w:val="num" w:pos="0"/>
        </w:tabs>
        <w:ind w:left="720" w:hanging="360"/>
      </w:pPr>
      <w:rPr>
        <w:b/>
        <w:color w:val="auto"/>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6">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7">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8">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9">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0">
    <w:lvl w:ilvl="0">
      <w:start w:val="1"/>
      <w:numFmt w:val="upperRoman"/>
      <w:lvlText w:val="%1"/>
      <w:lvlJc w:val="left"/>
      <w:pPr>
        <w:tabs>
          <w:tab w:val="num" w:pos="0"/>
        </w:tabs>
        <w:ind w:left="144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1">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2">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3">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4">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5">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6">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7">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8">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9">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0">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1">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2">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rPr>
        <w:b/>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3">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4">
    <w:lvl w:ilvl="0">
      <w:start w:val="1"/>
      <w:numFmt w:val="upperRoman"/>
      <w:lvlText w:val="%1"/>
      <w:lvlJc w:val="left"/>
      <w:pPr>
        <w:tabs>
          <w:tab w:val="num" w:pos="0"/>
        </w:tabs>
        <w:ind w:left="786" w:hanging="360"/>
      </w:pPr>
      <w:rPr>
        <w:b/>
      </w:rPr>
    </w:lvl>
    <w:lvl w:ilvl="1">
      <w:start w:val="1"/>
      <w:numFmt w:val="lowerLetter"/>
      <w:lvlText w:val="%1.%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3.%4"/>
      <w:lvlJc w:val="left"/>
      <w:pPr>
        <w:tabs>
          <w:tab w:val="num" w:pos="0"/>
        </w:tabs>
        <w:ind w:left="2946" w:hanging="360"/>
      </w:pPr>
    </w:lvl>
    <w:lvl w:ilvl="4">
      <w:start w:val="1"/>
      <w:numFmt w:val="lowerLetter"/>
      <w:lvlText w:val="%4.%5"/>
      <w:lvlJc w:val="left"/>
      <w:pPr>
        <w:tabs>
          <w:tab w:val="num" w:pos="0"/>
        </w:tabs>
        <w:ind w:left="3666" w:hanging="360"/>
      </w:pPr>
    </w:lvl>
    <w:lvl w:ilvl="5">
      <w:start w:val="1"/>
      <w:numFmt w:val="lowerRoman"/>
      <w:lvlText w:val="%5.%6"/>
      <w:lvlJc w:val="right"/>
      <w:pPr>
        <w:tabs>
          <w:tab w:val="num" w:pos="0"/>
        </w:tabs>
        <w:ind w:left="4386" w:hanging="180"/>
      </w:pPr>
    </w:lvl>
    <w:lvl w:ilvl="6">
      <w:start w:val="1"/>
      <w:numFmt w:val="decimal"/>
      <w:lvlText w:val="%6.%7"/>
      <w:lvlJc w:val="left"/>
      <w:pPr>
        <w:tabs>
          <w:tab w:val="num" w:pos="0"/>
        </w:tabs>
        <w:ind w:left="5106" w:hanging="360"/>
      </w:pPr>
    </w:lvl>
    <w:lvl w:ilvl="7">
      <w:start w:val="1"/>
      <w:numFmt w:val="lowerLetter"/>
      <w:lvlText w:val="%7.%8"/>
      <w:lvlJc w:val="left"/>
      <w:pPr>
        <w:tabs>
          <w:tab w:val="num" w:pos="0"/>
        </w:tabs>
        <w:ind w:left="5826" w:hanging="360"/>
      </w:pPr>
    </w:lvl>
    <w:lvl w:ilvl="8">
      <w:start w:val="1"/>
      <w:numFmt w:val="lowerRoman"/>
      <w:lvlText w:val="%8.%9"/>
      <w:lvlJc w:val="right"/>
      <w:pPr>
        <w:tabs>
          <w:tab w:val="num" w:pos="0"/>
        </w:tabs>
        <w:ind w:left="6546" w:hanging="180"/>
      </w:pPr>
    </w:lvl>
  </w:abstractNum>
  <w:abstractNum w:abstractNumId="35">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rPr>
        <w:b/>
      </w:rPr>
    </w:lvl>
    <w:lvl w:ilvl="2">
      <w:start w:val="1"/>
      <w:numFmt w:val="lowerRoman"/>
      <w:lvlText w:val="%2.%3"/>
      <w:lvlJc w:val="right"/>
      <w:pPr>
        <w:tabs>
          <w:tab w:val="num" w:pos="0"/>
        </w:tabs>
        <w:ind w:left="2160" w:hanging="180"/>
      </w:pPr>
      <w:rPr>
        <w:b/>
      </w:r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6">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7">
    <w:lvl w:ilvl="0">
      <w:start w:val="1"/>
      <w:numFmt w:val="upperRoman"/>
      <w:lvlText w:val="%1"/>
      <w:lvlJc w:val="left"/>
      <w:pPr>
        <w:tabs>
          <w:tab w:val="num" w:pos="0"/>
        </w:tabs>
        <w:ind w:left="1080" w:hanging="360"/>
      </w:pPr>
      <w:rPr>
        <w:b/>
      </w:rPr>
    </w:lvl>
    <w:lvl w:ilvl="1">
      <w:start w:val="1"/>
      <w:numFmt w:val="lowerLetter"/>
      <w:lvlText w:val="%1.%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3.%4"/>
      <w:lvlJc w:val="left"/>
      <w:pPr>
        <w:tabs>
          <w:tab w:val="num" w:pos="0"/>
        </w:tabs>
        <w:ind w:left="3240" w:hanging="360"/>
      </w:pPr>
    </w:lvl>
    <w:lvl w:ilvl="4">
      <w:start w:val="1"/>
      <w:numFmt w:val="lowerLetter"/>
      <w:lvlText w:val="%4.%5"/>
      <w:lvlJc w:val="left"/>
      <w:pPr>
        <w:tabs>
          <w:tab w:val="num" w:pos="0"/>
        </w:tabs>
        <w:ind w:left="3960" w:hanging="360"/>
      </w:pPr>
    </w:lvl>
    <w:lvl w:ilvl="5">
      <w:start w:val="1"/>
      <w:numFmt w:val="lowerRoman"/>
      <w:lvlText w:val="%5.%6"/>
      <w:lvlJc w:val="right"/>
      <w:pPr>
        <w:tabs>
          <w:tab w:val="num" w:pos="0"/>
        </w:tabs>
        <w:ind w:left="4680" w:hanging="180"/>
      </w:pPr>
    </w:lvl>
    <w:lvl w:ilvl="6">
      <w:start w:val="1"/>
      <w:numFmt w:val="decimal"/>
      <w:lvlText w:val="%6.%7"/>
      <w:lvlJc w:val="left"/>
      <w:pPr>
        <w:tabs>
          <w:tab w:val="num" w:pos="0"/>
        </w:tabs>
        <w:ind w:left="5400" w:hanging="360"/>
      </w:pPr>
    </w:lvl>
    <w:lvl w:ilvl="7">
      <w:start w:val="1"/>
      <w:numFmt w:val="lowerLetter"/>
      <w:lvlText w:val="%7.%8"/>
      <w:lvlJc w:val="left"/>
      <w:pPr>
        <w:tabs>
          <w:tab w:val="num" w:pos="0"/>
        </w:tabs>
        <w:ind w:left="6120" w:hanging="360"/>
      </w:pPr>
    </w:lvl>
    <w:lvl w:ilvl="8">
      <w:start w:val="1"/>
      <w:numFmt w:val="lowerRoman"/>
      <w:lvlText w:val="%8.%9"/>
      <w:lvlJc w:val="right"/>
      <w:pPr>
        <w:tabs>
          <w:tab w:val="num" w:pos="0"/>
        </w:tabs>
        <w:ind w:left="6840" w:hanging="180"/>
      </w:pPr>
    </w:lvl>
  </w:abstractNum>
  <w:abstractNum w:abstractNumId="38">
    <w:lvl w:ilvl="0">
      <w:start w:val="1"/>
      <w:numFmt w:val="upperRoman"/>
      <w:lvlText w:val="%1"/>
      <w:lvlJc w:val="left"/>
      <w:pPr>
        <w:tabs>
          <w:tab w:val="num" w:pos="0"/>
        </w:tabs>
        <w:ind w:left="780" w:hanging="360"/>
      </w:pPr>
      <w:rPr>
        <w:b/>
      </w:rPr>
    </w:lvl>
    <w:lvl w:ilvl="1">
      <w:start w:val="1"/>
      <w:numFmt w:val="lowerLetter"/>
      <w:lvlText w:val="%1.%2"/>
      <w:lvlJc w:val="left"/>
      <w:pPr>
        <w:tabs>
          <w:tab w:val="num" w:pos="0"/>
        </w:tabs>
        <w:ind w:left="1500" w:hanging="360"/>
      </w:pPr>
    </w:lvl>
    <w:lvl w:ilvl="2">
      <w:start w:val="1"/>
      <w:numFmt w:val="lowerRoman"/>
      <w:lvlText w:val="%2.%3"/>
      <w:lvlJc w:val="right"/>
      <w:pPr>
        <w:tabs>
          <w:tab w:val="num" w:pos="0"/>
        </w:tabs>
        <w:ind w:left="2220" w:hanging="180"/>
      </w:pPr>
    </w:lvl>
    <w:lvl w:ilvl="3">
      <w:start w:val="1"/>
      <w:numFmt w:val="decimal"/>
      <w:lvlText w:val="%3.%4"/>
      <w:lvlJc w:val="left"/>
      <w:pPr>
        <w:tabs>
          <w:tab w:val="num" w:pos="0"/>
        </w:tabs>
        <w:ind w:left="2940" w:hanging="360"/>
      </w:pPr>
    </w:lvl>
    <w:lvl w:ilvl="4">
      <w:start w:val="1"/>
      <w:numFmt w:val="lowerLetter"/>
      <w:lvlText w:val="%4.%5"/>
      <w:lvlJc w:val="left"/>
      <w:pPr>
        <w:tabs>
          <w:tab w:val="num" w:pos="0"/>
        </w:tabs>
        <w:ind w:left="3660" w:hanging="360"/>
      </w:pPr>
    </w:lvl>
    <w:lvl w:ilvl="5">
      <w:start w:val="1"/>
      <w:numFmt w:val="lowerRoman"/>
      <w:lvlText w:val="%5.%6"/>
      <w:lvlJc w:val="right"/>
      <w:pPr>
        <w:tabs>
          <w:tab w:val="num" w:pos="0"/>
        </w:tabs>
        <w:ind w:left="4380" w:hanging="180"/>
      </w:pPr>
    </w:lvl>
    <w:lvl w:ilvl="6">
      <w:start w:val="1"/>
      <w:numFmt w:val="decimal"/>
      <w:lvlText w:val="%6.%7"/>
      <w:lvlJc w:val="left"/>
      <w:pPr>
        <w:tabs>
          <w:tab w:val="num" w:pos="0"/>
        </w:tabs>
        <w:ind w:left="5100" w:hanging="360"/>
      </w:pPr>
    </w:lvl>
    <w:lvl w:ilvl="7">
      <w:start w:val="1"/>
      <w:numFmt w:val="lowerLetter"/>
      <w:lvlText w:val="%7.%8"/>
      <w:lvlJc w:val="left"/>
      <w:pPr>
        <w:tabs>
          <w:tab w:val="num" w:pos="0"/>
        </w:tabs>
        <w:ind w:left="5820" w:hanging="360"/>
      </w:pPr>
    </w:lvl>
    <w:lvl w:ilvl="8">
      <w:start w:val="1"/>
      <w:numFmt w:val="lowerRoman"/>
      <w:lvlText w:val="%8.%9"/>
      <w:lvlJc w:val="right"/>
      <w:pPr>
        <w:tabs>
          <w:tab w:val="num" w:pos="0"/>
        </w:tabs>
        <w:ind w:left="6540" w:hanging="180"/>
      </w:pPr>
    </w:lvl>
  </w:abstractNum>
  <w:abstractNum w:abstractNumId="39">
    <w:lvl w:ilvl="0">
      <w:start w:val="1"/>
      <w:numFmt w:val="lowerLetter"/>
      <w:lvlText w:val="%1"/>
      <w:lvlJc w:val="left"/>
      <w:pPr>
        <w:tabs>
          <w:tab w:val="num" w:pos="0"/>
        </w:tabs>
        <w:ind w:left="720" w:hanging="360"/>
      </w:pPr>
      <w:rPr>
        <w:b/>
      </w:rPr>
    </w:lvl>
    <w:lvl w:ilvl="1">
      <w:start w:val="1"/>
      <w:numFmt w:val="lowerRoman"/>
      <w:lvlText w:val="%1.%2"/>
      <w:lvlJc w:val="right"/>
      <w:pPr>
        <w:tabs>
          <w:tab w:val="num" w:pos="0"/>
        </w:tabs>
        <w:ind w:left="1440" w:hanging="360"/>
      </w:pPr>
      <w:rPr>
        <w:b/>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0">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1">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2">
    <w:lvl w:ilvl="0">
      <w:start w:val="1"/>
      <w:numFmt w:val="upperRoman"/>
      <w:lvlText w:val="%1"/>
      <w:lvlJc w:val="left"/>
      <w:pPr>
        <w:tabs>
          <w:tab w:val="num" w:pos="0"/>
        </w:tabs>
        <w:ind w:left="720" w:hanging="360"/>
      </w:pPr>
    </w:lvl>
    <w:lvl w:ilvl="1">
      <w:start w:val="1"/>
      <w:numFmt w:val="lowerLetter"/>
      <w:lvlText w:val="%1.%2"/>
      <w:lvlJc w:val="left"/>
      <w:pPr>
        <w:tabs>
          <w:tab w:val="num" w:pos="0"/>
        </w:tabs>
        <w:ind w:left="1440" w:hanging="360"/>
      </w:pPr>
      <w:rPr>
        <w:b/>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3">
    <w:lvl w:ilvl="0">
      <w:start w:val="1"/>
      <w:numFmt w:val="lowerLetter"/>
      <w:lvlText w:val="%1"/>
      <w:lvlJc w:val="left"/>
      <w:pPr>
        <w:tabs>
          <w:tab w:val="num" w:pos="0"/>
        </w:tabs>
        <w:ind w:left="1440" w:hanging="360"/>
      </w:pPr>
      <w:rPr>
        <w:b/>
        <w:rFonts w:ascii="Arial" w:hAnsi="Arial" w:cs="Arial"/>
      </w:r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44">
    <w:lvl w:ilvl="0">
      <w:start w:val="1"/>
      <w:numFmt w:val="upperRoman"/>
      <w:lvlText w:val="%1"/>
      <w:lvlJc w:val="left"/>
      <w:pPr>
        <w:tabs>
          <w:tab w:val="num" w:pos="0"/>
        </w:tabs>
        <w:ind w:left="766" w:hanging="360"/>
      </w:pPr>
      <w:rPr>
        <w:b/>
      </w:rPr>
    </w:lvl>
    <w:lvl w:ilvl="1">
      <w:start w:val="1"/>
      <w:numFmt w:val="lowerLetter"/>
      <w:lvlText w:val="%1.%2"/>
      <w:lvlJc w:val="left"/>
      <w:pPr>
        <w:tabs>
          <w:tab w:val="num" w:pos="0"/>
        </w:tabs>
        <w:ind w:left="1486" w:hanging="360"/>
      </w:pPr>
    </w:lvl>
    <w:lvl w:ilvl="2">
      <w:start w:val="1"/>
      <w:numFmt w:val="lowerRoman"/>
      <w:lvlText w:val="%2.%3"/>
      <w:lvlJc w:val="right"/>
      <w:pPr>
        <w:tabs>
          <w:tab w:val="num" w:pos="0"/>
        </w:tabs>
        <w:ind w:left="2206" w:hanging="180"/>
      </w:pPr>
    </w:lvl>
    <w:lvl w:ilvl="3">
      <w:start w:val="1"/>
      <w:numFmt w:val="decimal"/>
      <w:lvlText w:val="%3.%4"/>
      <w:lvlJc w:val="left"/>
      <w:pPr>
        <w:tabs>
          <w:tab w:val="num" w:pos="0"/>
        </w:tabs>
        <w:ind w:left="2926" w:hanging="360"/>
      </w:pPr>
    </w:lvl>
    <w:lvl w:ilvl="4">
      <w:start w:val="1"/>
      <w:numFmt w:val="lowerLetter"/>
      <w:lvlText w:val="%4.%5"/>
      <w:lvlJc w:val="left"/>
      <w:pPr>
        <w:tabs>
          <w:tab w:val="num" w:pos="0"/>
        </w:tabs>
        <w:ind w:left="3646" w:hanging="360"/>
      </w:pPr>
    </w:lvl>
    <w:lvl w:ilvl="5">
      <w:start w:val="1"/>
      <w:numFmt w:val="lowerRoman"/>
      <w:lvlText w:val="%5.%6"/>
      <w:lvlJc w:val="right"/>
      <w:pPr>
        <w:tabs>
          <w:tab w:val="num" w:pos="0"/>
        </w:tabs>
        <w:ind w:left="4366" w:hanging="180"/>
      </w:pPr>
    </w:lvl>
    <w:lvl w:ilvl="6">
      <w:start w:val="1"/>
      <w:numFmt w:val="decimal"/>
      <w:lvlText w:val="%6.%7"/>
      <w:lvlJc w:val="left"/>
      <w:pPr>
        <w:tabs>
          <w:tab w:val="num" w:pos="0"/>
        </w:tabs>
        <w:ind w:left="5086" w:hanging="360"/>
      </w:pPr>
    </w:lvl>
    <w:lvl w:ilvl="7">
      <w:start w:val="1"/>
      <w:numFmt w:val="lowerLetter"/>
      <w:lvlText w:val="%7.%8"/>
      <w:lvlJc w:val="left"/>
      <w:pPr>
        <w:tabs>
          <w:tab w:val="num" w:pos="0"/>
        </w:tabs>
        <w:ind w:left="5806" w:hanging="360"/>
      </w:pPr>
    </w:lvl>
    <w:lvl w:ilvl="8">
      <w:start w:val="1"/>
      <w:numFmt w:val="lowerRoman"/>
      <w:lvlText w:val="%8.%9"/>
      <w:lvlJc w:val="right"/>
      <w:pPr>
        <w:tabs>
          <w:tab w:val="num" w:pos="0"/>
        </w:tabs>
        <w:ind w:left="6526" w:hanging="180"/>
      </w:pPr>
    </w:lvl>
  </w:abstractNum>
  <w:abstractNum w:abstractNumId="45">
    <w:lvl w:ilvl="0">
      <w:start w:val="1"/>
      <w:numFmt w:val="upperRoman"/>
      <w:lvlText w:val="%1"/>
      <w:lvlJc w:val="left"/>
      <w:pPr>
        <w:tabs>
          <w:tab w:val="num" w:pos="0"/>
        </w:tabs>
        <w:ind w:left="766" w:hanging="360"/>
      </w:pPr>
      <w:rPr>
        <w:b/>
      </w:rPr>
    </w:lvl>
    <w:lvl w:ilvl="1">
      <w:start w:val="1"/>
      <w:numFmt w:val="lowerLetter"/>
      <w:lvlText w:val="%1.%2"/>
      <w:lvlJc w:val="left"/>
      <w:pPr>
        <w:tabs>
          <w:tab w:val="num" w:pos="0"/>
        </w:tabs>
        <w:ind w:left="1486" w:hanging="360"/>
      </w:pPr>
    </w:lvl>
    <w:lvl w:ilvl="2">
      <w:start w:val="1"/>
      <w:numFmt w:val="lowerRoman"/>
      <w:lvlText w:val="%2.%3"/>
      <w:lvlJc w:val="right"/>
      <w:pPr>
        <w:tabs>
          <w:tab w:val="num" w:pos="0"/>
        </w:tabs>
        <w:ind w:left="2206" w:hanging="180"/>
      </w:pPr>
    </w:lvl>
    <w:lvl w:ilvl="3">
      <w:start w:val="1"/>
      <w:numFmt w:val="decimal"/>
      <w:lvlText w:val="%3.%4"/>
      <w:lvlJc w:val="left"/>
      <w:pPr>
        <w:tabs>
          <w:tab w:val="num" w:pos="0"/>
        </w:tabs>
        <w:ind w:left="2926" w:hanging="360"/>
      </w:pPr>
    </w:lvl>
    <w:lvl w:ilvl="4">
      <w:start w:val="1"/>
      <w:numFmt w:val="lowerLetter"/>
      <w:lvlText w:val="%4.%5"/>
      <w:lvlJc w:val="left"/>
      <w:pPr>
        <w:tabs>
          <w:tab w:val="num" w:pos="0"/>
        </w:tabs>
        <w:ind w:left="3646" w:hanging="360"/>
      </w:pPr>
    </w:lvl>
    <w:lvl w:ilvl="5">
      <w:start w:val="1"/>
      <w:numFmt w:val="lowerRoman"/>
      <w:lvlText w:val="%5.%6"/>
      <w:lvlJc w:val="right"/>
      <w:pPr>
        <w:tabs>
          <w:tab w:val="num" w:pos="0"/>
        </w:tabs>
        <w:ind w:left="4366" w:hanging="180"/>
      </w:pPr>
    </w:lvl>
    <w:lvl w:ilvl="6">
      <w:start w:val="1"/>
      <w:numFmt w:val="decimal"/>
      <w:lvlText w:val="%6.%7"/>
      <w:lvlJc w:val="left"/>
      <w:pPr>
        <w:tabs>
          <w:tab w:val="num" w:pos="0"/>
        </w:tabs>
        <w:ind w:left="5086" w:hanging="360"/>
      </w:pPr>
    </w:lvl>
    <w:lvl w:ilvl="7">
      <w:start w:val="1"/>
      <w:numFmt w:val="lowerLetter"/>
      <w:lvlText w:val="%7.%8"/>
      <w:lvlJc w:val="left"/>
      <w:pPr>
        <w:tabs>
          <w:tab w:val="num" w:pos="0"/>
        </w:tabs>
        <w:ind w:left="5806" w:hanging="360"/>
      </w:pPr>
    </w:lvl>
    <w:lvl w:ilvl="8">
      <w:start w:val="1"/>
      <w:numFmt w:val="lowerRoman"/>
      <w:lvlText w:val="%8.%9"/>
      <w:lvlJc w:val="right"/>
      <w:pPr>
        <w:tabs>
          <w:tab w:val="num" w:pos="0"/>
        </w:tabs>
        <w:ind w:left="6526" w:hanging="180"/>
      </w:pPr>
    </w:lvl>
  </w:abstractNum>
  <w:abstractNum w:abstractNumId="46">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7">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8">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9">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0">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5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bering>
</file>

<file path=word/settings.xml><?xml version="1.0" encoding="utf-8"?>
<w:settings xmlns:w="http://schemas.openxmlformats.org/wordprocessingml/2006/main">
  <w:zoom w:percent="90"/>
  <w:defaultTabStop w:val="708"/>
  <w:autoHyphenation w:val="true"/>
  <w:footnotePr>
    <w:numFmt w:val="decimal"/>
    <w:footnote w:id="0"/>
    <w:footnote w:id="1"/>
  </w:foot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false"/>
      <w:bidi w:val="0"/>
      <w:spacing w:lineRule="auto" w:line="259" w:before="0" w:after="160"/>
      <w:jc w:val="left"/>
    </w:pPr>
    <w:rPr>
      <w:rFonts w:ascii="Calibri" w:hAnsi="Calibri" w:eastAsia="Calibri" w:cs="Tahoma"/>
      <w:color w:val="auto"/>
      <w:kern w:val="0"/>
      <w:sz w:val="22"/>
      <w:szCs w:val="22"/>
      <w:lang w:val="pt-BR" w:eastAsia="en-US" w:bidi="ar-SA"/>
    </w:rPr>
  </w:style>
  <w:style w:type="paragraph" w:styleId="Ttulo2">
    <w:name w:val="Heading 2"/>
    <w:basedOn w:val="Ttulododocumento"/>
    <w:next w:val="Corpodotexto"/>
    <w:uiPriority w:val="9"/>
    <w:semiHidden/>
    <w:unhideWhenUsed/>
    <w:qFormat/>
    <w:pPr>
      <w:numPr>
        <w:ilvl w:val="1"/>
        <w:numId w:val="1"/>
      </w:numPr>
      <w:spacing w:before="200" w:after="120"/>
      <w:outlineLvl w:val="1"/>
    </w:pPr>
    <w:rPr>
      <w:rFonts w:ascii="Liberation Serif" w:hAnsi="Liberation Serif" w:eastAsia="Segoe UI" w:cs="Tahoma"/>
      <w:b/>
      <w:bCs/>
      <w:sz w:val="36"/>
      <w:szCs w:val="36"/>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qFormat/>
    <w:rPr/>
  </w:style>
  <w:style w:type="character" w:styleId="Annotationreference">
    <w:name w:val="annotation reference"/>
    <w:basedOn w:val="DefaultParagraphFont"/>
    <w:qFormat/>
    <w:rPr>
      <w:sz w:val="16"/>
      <w:szCs w:val="16"/>
    </w:rPr>
  </w:style>
  <w:style w:type="character" w:styleId="TextodecomentrioChar" w:customStyle="1">
    <w:name w:val="Texto de comentário Char"/>
    <w:basedOn w:val="DefaultParagraphFont"/>
    <w:qFormat/>
    <w:rPr>
      <w:sz w:val="20"/>
      <w:szCs w:val="20"/>
    </w:rPr>
  </w:style>
  <w:style w:type="character" w:styleId="AssuntodocomentrioChar" w:customStyle="1">
    <w:name w:val="Assunto do comentário Char"/>
    <w:basedOn w:val="TextodecomentrioChar"/>
    <w:qFormat/>
    <w:rPr>
      <w:b/>
      <w:bCs/>
      <w:sz w:val="20"/>
      <w:szCs w:val="20"/>
    </w:rPr>
  </w:style>
  <w:style w:type="character" w:styleId="TextodebaloChar" w:customStyle="1">
    <w:name w:val="Texto de balão Char"/>
    <w:basedOn w:val="DefaultParagraphFont"/>
    <w:qFormat/>
    <w:rPr>
      <w:rFonts w:ascii="Segoe UI" w:hAnsi="Segoe UI" w:cs="Segoe UI"/>
      <w:sz w:val="18"/>
      <w:szCs w:val="18"/>
    </w:rPr>
  </w:style>
  <w:style w:type="character" w:styleId="LinkdaInternet" w:customStyle="1">
    <w:name w:val="Link da Internet"/>
    <w:basedOn w:val="DefaultParagraphFont"/>
    <w:rPr>
      <w:color w:val="0563C1"/>
      <w:u w:val="single"/>
    </w:rPr>
  </w:style>
  <w:style w:type="character" w:styleId="TextodenotaderodapChar" w:customStyle="1">
    <w:name w:val="Texto de nota de rodapé Char"/>
    <w:basedOn w:val="DefaultParagraphFont"/>
    <w:qFormat/>
    <w:rPr>
      <w:rFonts w:ascii="Times New Roman" w:hAnsi="Times New Roman" w:eastAsia="Times New Roman" w:cs="Times New Roman"/>
      <w:sz w:val="20"/>
      <w:szCs w:val="20"/>
      <w:lang w:eastAsia="pt-BR"/>
    </w:rPr>
  </w:style>
  <w:style w:type="character" w:styleId="Ncoradanotaderodap" w:customStyle="1">
    <w:name w:val="Âncora da nota de rodapé"/>
    <w:rPr>
      <w:vertAlign w:val="superscript"/>
    </w:rPr>
  </w:style>
  <w:style w:type="character" w:styleId="FootnoteCharacters" w:customStyle="1">
    <w:name w:val="Footnote Characters"/>
    <w:basedOn w:val="DefaultParagraphFont"/>
    <w:qFormat/>
    <w:rPr>
      <w:vertAlign w:val="superscript"/>
    </w:rPr>
  </w:style>
  <w:style w:type="character" w:styleId="Caracteresdenotaderodap" w:customStyle="1">
    <w:name w:val="Caracteres de nota de rodapé"/>
    <w:qFormat/>
    <w:rPr/>
  </w:style>
  <w:style w:type="character" w:styleId="Ncoradanotadefim" w:customStyle="1">
    <w:name w:val="Âncora da nota de fim"/>
    <w:rPr>
      <w:vertAlign w:val="superscript"/>
    </w:rPr>
  </w:style>
  <w:style w:type="character" w:styleId="Caracteresdenotadefim" w:customStyle="1">
    <w:name w:val="Caracteres de nota de fim"/>
    <w:qFormat/>
    <w:rPr/>
  </w:style>
  <w:style w:type="character" w:styleId="UnresolvedMention">
    <w:name w:val="Unresolved Mention"/>
    <w:basedOn w:val="DefaultParagraphFont"/>
    <w:qFormat/>
    <w:rPr>
      <w:color w:val="605E5C"/>
      <w:shd w:fill="E1DFDD" w:val="clear"/>
    </w:rPr>
  </w:style>
  <w:style w:type="character" w:styleId="Smbolosdenumerao" w:customStyle="1">
    <w:name w:val="Símbolos de numeração"/>
    <w:qFormat/>
    <w:rPr/>
  </w:style>
  <w:style w:type="character" w:styleId="Strong">
    <w:name w:val="Strong"/>
    <w:basedOn w:val="DefaultParagraphFont"/>
    <w:qFormat/>
    <w:rPr>
      <w:b/>
      <w:bCs/>
    </w:rPr>
  </w:style>
  <w:style w:type="character" w:styleId="Markedcontent" w:customStyle="1">
    <w:name w:val="markedcontent"/>
    <w:basedOn w:val="DefaultParagraphFont"/>
    <w:qFormat/>
    <w:rPr/>
  </w:style>
  <w:style w:type="character" w:styleId="Hgkelc" w:customStyle="1">
    <w:name w:val="hgkelc"/>
    <w:basedOn w:val="DefaultParagraphFont"/>
    <w:qFormat/>
    <w:rPr/>
  </w:style>
  <w:style w:type="character" w:styleId="Nfase">
    <w:name w:val="Ênfase"/>
    <w:basedOn w:val="DefaultParagraphFont"/>
    <w:qFormat/>
    <w:rPr>
      <w:i/>
      <w:iCs/>
    </w:rPr>
  </w:style>
  <w:style w:type="character" w:styleId="E24kjd" w:customStyle="1">
    <w:name w:val="e24kjd"/>
    <w:basedOn w:val="DefaultParagraphFont"/>
    <w:qFormat/>
    <w:rPr/>
  </w:style>
  <w:style w:type="character" w:styleId="Recuodecorpodetexto2Char" w:customStyle="1">
    <w:name w:val="Recuo de corpo de texto 2 Char"/>
    <w:basedOn w:val="DefaultParagraphFont"/>
    <w:uiPriority w:val="99"/>
    <w:semiHidden/>
    <w:qFormat/>
    <w:rsid w:val="005968fd"/>
    <w:rPr/>
  </w:style>
  <w:style w:type="character" w:styleId="Recuodecorpodetexto2Char1" w:customStyle="1">
    <w:name w:val="Recuo de corpo de texto 2 Char1"/>
    <w:link w:val="Recuodecorpodetexto2"/>
    <w:uiPriority w:val="99"/>
    <w:qFormat/>
    <w:rsid w:val="005968fd"/>
    <w:rPr>
      <w:rFonts w:ascii="Times New Roman" w:hAnsi="Times New Roman" w:eastAsia="Lucida Sans Unicode" w:cs="Calibri"/>
      <w:kern w:val="2"/>
      <w:sz w:val="24"/>
      <w:szCs w:val="24"/>
      <w:lang w:eastAsia="ar-SA"/>
    </w:rPr>
  </w:style>
  <w:style w:type="character" w:styleId="Recuodecorpodetexto2Char2" w:customStyle="1">
    <w:name w:val="Recuo de corpo de texto 2 Char2"/>
    <w:basedOn w:val="DefaultParagraphFont"/>
    <w:uiPriority w:val="99"/>
    <w:semiHidden/>
    <w:qFormat/>
    <w:rsid w:val="005968fd"/>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uiPriority w:val="10"/>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qFormat/>
    <w:pPr>
      <w:spacing w:before="0" w:after="160"/>
      <w:ind w:left="720" w:hanging="0"/>
      <w:contextualSpacing/>
    </w:pPr>
    <w:rPr/>
  </w:style>
  <w:style w:type="paragraph" w:styleId="CabealhoeRodap" w:customStyle="1">
    <w:name w:val="Cabeçalho e Rodapé"/>
    <w:basedOn w:val="Normal"/>
    <w:qFormat/>
    <w:pPr/>
    <w:rPr/>
  </w:style>
  <w:style w:type="paragraph" w:styleId="Cabealho">
    <w:name w:val="Header"/>
    <w:basedOn w:val="Normal"/>
    <w:pPr>
      <w:tabs>
        <w:tab w:val="clear" w:pos="708"/>
        <w:tab w:val="center" w:pos="4252" w:leader="none"/>
        <w:tab w:val="right" w:pos="8504" w:leader="none"/>
      </w:tabs>
      <w:spacing w:lineRule="auto" w:line="240" w:before="0" w:after="0"/>
    </w:pPr>
    <w:rPr/>
  </w:style>
  <w:style w:type="paragraph" w:styleId="Rodap">
    <w:name w:val="Footer"/>
    <w:basedOn w:val="Normal"/>
    <w:pPr>
      <w:tabs>
        <w:tab w:val="clear" w:pos="708"/>
        <w:tab w:val="center" w:pos="4252" w:leader="none"/>
        <w:tab w:val="right" w:pos="8504" w:leader="none"/>
      </w:tabs>
      <w:spacing w:lineRule="auto" w:line="240" w:before="0" w:after="0"/>
    </w:pPr>
    <w:rPr/>
  </w:style>
  <w:style w:type="paragraph" w:styleId="Annotationtext">
    <w:name w:val="annotation text"/>
    <w:basedOn w:val="Normal"/>
    <w:qFormat/>
    <w:pPr>
      <w:spacing w:lineRule="auto" w:line="240"/>
    </w:pPr>
    <w:rPr>
      <w:sz w:val="20"/>
      <w:szCs w:val="20"/>
    </w:rPr>
  </w:style>
  <w:style w:type="paragraph" w:styleId="Annotationsubject">
    <w:name w:val="annotation subject"/>
    <w:basedOn w:val="Annotationtext"/>
    <w:next w:val="Annotationtext"/>
    <w:qFormat/>
    <w:pPr/>
    <w:rPr>
      <w:b/>
      <w:bCs/>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NormalWeb">
    <w:name w:val="Normal (Web)"/>
    <w:basedOn w:val="Normal"/>
    <w:qFormat/>
    <w:pPr/>
    <w:rPr>
      <w:rFonts w:ascii="Times New Roman" w:hAnsi="Times New Roman" w:cs="Times New Roman"/>
      <w:sz w:val="24"/>
      <w:szCs w:val="24"/>
    </w:rPr>
  </w:style>
  <w:style w:type="paragraph" w:styleId="Notaderodap">
    <w:name w:val="Footnote Text"/>
    <w:basedOn w:val="Normal"/>
    <w:pPr>
      <w:widowControl w:val="false"/>
      <w:spacing w:lineRule="auto" w:line="240" w:before="0" w:after="0"/>
      <w:jc w:val="both"/>
      <w:textAlignment w:val="baseline"/>
    </w:pPr>
    <w:rPr>
      <w:rFonts w:ascii="Times New Roman" w:hAnsi="Times New Roman" w:eastAsia="Times New Roman" w:cs="Times New Roman"/>
      <w:sz w:val="20"/>
      <w:szCs w:val="20"/>
      <w:lang w:eastAsia="pt-BR"/>
    </w:rPr>
  </w:style>
  <w:style w:type="paragraph" w:styleId="Ttulo1" w:customStyle="1">
    <w:name w:val="Título1"/>
    <w:basedOn w:val="Normal"/>
    <w:next w:val="Corpodotexto"/>
    <w:qFormat/>
    <w:pPr>
      <w:widowControl w:val="false"/>
      <w:jc w:val="center"/>
    </w:pPr>
    <w:rPr>
      <w:rFonts w:ascii="Arial" w:hAnsi="Arial" w:cs="Arial"/>
      <w:b/>
      <w:sz w:val="32"/>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Default" w:customStyle="1">
    <w:name w:val="Default"/>
    <w:qFormat/>
    <w:pPr>
      <w:widowControl/>
      <w:suppressAutoHyphens w:val="true"/>
      <w:overflowPunct w:val="false"/>
      <w:bidi w:val="0"/>
      <w:spacing w:before="0" w:after="0"/>
      <w:jc w:val="left"/>
    </w:pPr>
    <w:rPr>
      <w:rFonts w:ascii="Times New Roman" w:hAnsi="Times New Roman" w:eastAsia="Calibri" w:cs="Tahoma"/>
      <w:color w:val="000000"/>
      <w:kern w:val="0"/>
      <w:sz w:val="24"/>
      <w:szCs w:val="22"/>
      <w:lang w:val="pt-BR" w:eastAsia="en-US" w:bidi="ar-SA"/>
    </w:rPr>
  </w:style>
  <w:style w:type="paragraph" w:styleId="TableParagraph" w:customStyle="1">
    <w:name w:val="Table Paragraph"/>
    <w:basedOn w:val="Normal"/>
    <w:qFormat/>
    <w:rsid w:val="005968fd"/>
    <w:pPr>
      <w:overflowPunct w:val="true"/>
      <w:spacing w:before="35" w:after="0"/>
      <w:ind w:left="42" w:hanging="0"/>
      <w:jc w:val="center"/>
    </w:pPr>
    <w:rPr/>
  </w:style>
  <w:style w:type="paragraph" w:styleId="BodyTextIndent2">
    <w:name w:val="Body Text Indent 2"/>
    <w:basedOn w:val="Normal"/>
    <w:link w:val="Recuodecorpodetexto2Char1"/>
    <w:uiPriority w:val="99"/>
    <w:unhideWhenUsed/>
    <w:qFormat/>
    <w:rsid w:val="005968fd"/>
    <w:pPr>
      <w:widowControl w:val="false"/>
      <w:overflowPunct w:val="true"/>
      <w:spacing w:lineRule="auto" w:line="480" w:before="0" w:after="120"/>
      <w:ind w:left="283" w:hanging="0"/>
    </w:pPr>
    <w:rPr>
      <w:rFonts w:ascii="Times New Roman" w:hAnsi="Times New Roman" w:eastAsia="Lucida Sans Unicode" w:cs="Calibri"/>
      <w:kern w:val="2"/>
      <w:sz w:val="24"/>
      <w:szCs w:val="24"/>
      <w:lang w:eastAsia="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www.comprasgovernamentais.gov.br/" TargetMode="External"/><Relationship Id="rId4" Type="http://schemas.openxmlformats.org/officeDocument/2006/relationships/hyperlink" Target="http://www.planalto.gov.br/ccivil_03/leis/L6404compilada.htm" TargetMode="External"/><Relationship Id="rId5" Type="http://schemas.openxmlformats.org/officeDocument/2006/relationships/hyperlink" Target="https://www.planalto.gov.br/ccivil_03/_ato2015-2018/2018/lei/L13709compilado.htm" TargetMode="External"/><Relationship Id="rId6" Type="http://schemas.openxmlformats.org/officeDocument/2006/relationships/hyperlink" Target="mailto:controleinterno@ita.sc.gov.br" TargetMode="External"/><Relationship Id="rId7" Type="http://schemas.openxmlformats.org/officeDocument/2006/relationships/hyperlink" Target="http://www.planalto.gov.br/ccivil_03/leis/lcp/lcp123.htm" TargetMode="External"/><Relationship Id="rId8" Type="http://schemas.openxmlformats.org/officeDocument/2006/relationships/hyperlink" Target="https://www.planalto.gov.br/ccivil_03/leis/2002/l10406compilada.htm" TargetMode="External"/><Relationship Id="rId9" Type="http://schemas.openxmlformats.org/officeDocument/2006/relationships/hyperlink" Target="https://www.planalto.gov.br/ccivil_03/leis/2002/l10406compilada.htm" TargetMode="External"/><Relationship Id="rId10" Type="http://schemas.openxmlformats.org/officeDocument/2006/relationships/hyperlink" Target="https://www.planalto.gov.br/ccivil_03/_ato2007-2010/2007/lei/l11488.htm" TargetMode="External"/><Relationship Id="rId11" Type="http://schemas.openxmlformats.org/officeDocument/2006/relationships/hyperlink" Target="http://www.planalto.gov.br/ccivil_03/leis/l5764.htm" TargetMode="External"/><Relationship Id="rId12" Type="http://schemas.openxmlformats.org/officeDocument/2006/relationships/hyperlink" Target="https://www.planalto.gov.br/ccivil_03/_ato2011-2014/2012/lei/l12690.htm" TargetMode="External"/><Relationship Id="rId13" Type="http://schemas.openxmlformats.org/officeDocument/2006/relationships/hyperlink" Target="http://www.planalto.gov.br/ccivil_03/leis/lcp/lcp130.htm" TargetMode="External"/><Relationship Id="rId14" Type="http://schemas.openxmlformats.org/officeDocument/2006/relationships/hyperlink" Target="https://www.planalto.gov.br/ccivil_03/_ato2011-2014/2012/lei/l12690.htm" TargetMode="External"/><Relationship Id="rId15" Type="http://schemas.openxmlformats.org/officeDocument/2006/relationships/hyperlink" Target="https://www.planalto.gov.br/ccivil_03/_ato2007-2010/2007/lei/l11488.htm" TargetMode="External"/><Relationship Id="rId16" Type="http://schemas.openxmlformats.org/officeDocument/2006/relationships/hyperlink" Target="https://www.planalto.gov.br/ccivil_03/decreto-lei/del2848compilado.htm" TargetMode="External"/><Relationship Id="rId17" Type="http://schemas.openxmlformats.org/officeDocument/2006/relationships/hyperlink" Target="https://portaldatransparencia.gov.br/sancoes/consulta" TargetMode="External"/><Relationship Id="rId18" Type="http://schemas.openxmlformats.org/officeDocument/2006/relationships/hyperlink" Target="https://www.planalto.gov.br/ccivil_03/leis/L8429compilada.htm" TargetMode="External"/><Relationship Id="rId19" Type="http://schemas.openxmlformats.org/officeDocument/2006/relationships/hyperlink" Target="https://www.planalto.gov.br/ccivil_03/decreto-lei/del2848compilado.htm" TargetMode="External"/><Relationship Id="rId20" Type="http://schemas.openxmlformats.org/officeDocument/2006/relationships/hyperlink" Target="https://www.planalto.gov.br/ccivil_03/LEIS/L4320compilado.htm" TargetMode="External"/><Relationship Id="rId21"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_ato2011-2014/2013/lei/l12846.htm" TargetMode="External"/><Relationship Id="rId23" Type="http://schemas.openxmlformats.org/officeDocument/2006/relationships/hyperlink" Target="http://www.planalto.gov.br/ccivil_03/leis/L6404compilada.htm" TargetMode="External"/><Relationship Id="rId24" Type="http://schemas.openxmlformats.org/officeDocument/2006/relationships/header" Target="header1.xml"/><Relationship Id="rId25" Type="http://schemas.openxmlformats.org/officeDocument/2006/relationships/footer" Target="footer1.xml"/><Relationship Id="rId26" Type="http://schemas.openxmlformats.org/officeDocument/2006/relationships/footnotes" Target="footnotes.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mailto:licitacao@ita.sc.gov.br" TargetMode="External"/><Relationship Id="rId3" Type="http://schemas.openxmlformats.org/officeDocument/2006/relationships/hyperlink" Target="http://www.ita.sc.gov.br/"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4711</TotalTime>
  <Application>LibreOffice/7.1.4.2$Windows_X86_64 LibreOffice_project/a529a4fab45b75fefc5b6226684193eb000654f6</Application>
  <AppVersion>15.0000</AppVersion>
  <Pages>52</Pages>
  <Words>18638</Words>
  <Characters>105664</Characters>
  <CharactersWithSpaces>123578</CharactersWithSpaces>
  <Paragraphs>855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2023-03-03T09:38:00Z</dcterms:created>
  <dc:creator>Usuario</dc:creator>
  <dc:description/>
  <dc:language>pt-BR</dc:language>
  <cp:lastModifiedBy/>
  <cp:lastPrinted>2023-10-03T13:01:00Z</cp:lastPrinted>
  <dcterms:modified xsi:type="dcterms:W3CDTF">2023-11-03T16:10:45Z</dcterms:modified>
  <cp:revision>782</cp:revision>
  <dc:subject/>
  <dc:title/>
</cp:coreProperties>
</file>

<file path=docProps/custom.xml><?xml version="1.0" encoding="utf-8"?>
<Properties xmlns="http://schemas.openxmlformats.org/officeDocument/2006/custom-properties" xmlns:vt="http://schemas.openxmlformats.org/officeDocument/2006/docPropsVTypes"/>
</file>