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hd w:fill="auto" w:val="clear"/>
        </w:rPr>
      </w:pPr>
      <w:r>
        <w:rPr>
          <w:rFonts w:ascii="Arial" w:hAnsi="Arial"/>
          <w:b/>
          <w:bCs/>
          <w:shd w:fill="auto" w:val="clear"/>
          <w:lang w:eastAsia="pt-BR"/>
        </w:rPr>
        <w:t xml:space="preserve">PROCESSO LICITATÓRIO Nº </w:t>
      </w:r>
      <w:r>
        <w:rPr>
          <w:rFonts w:eastAsia="Calibri" w:cs="" w:ascii="Arial" w:hAnsi="Arial"/>
          <w:b/>
          <w:bCs/>
          <w:color w:val="000000"/>
          <w:kern w:val="0"/>
          <w:sz w:val="22"/>
          <w:szCs w:val="22"/>
          <w:shd w:fill="auto" w:val="clear"/>
          <w:lang w:val="pt-BR" w:eastAsia="pt-BR" w:bidi="ar-SA"/>
        </w:rPr>
        <w:t>193</w:t>
      </w:r>
      <w:r>
        <w:rPr>
          <w:rFonts w:ascii="Arial" w:hAnsi="Arial"/>
          <w:b/>
          <w:bCs/>
          <w:shd w:fill="auto" w:val="clear"/>
          <w:lang w:eastAsia="pt-BR"/>
        </w:rPr>
        <w:t>/2023</w:t>
      </w:r>
    </w:p>
    <w:p>
      <w:pPr>
        <w:pStyle w:val="Normal"/>
        <w:jc w:val="center"/>
        <w:rPr>
          <w:shd w:fill="auto" w:val="clear"/>
        </w:rPr>
      </w:pPr>
      <w:r>
        <w:rPr>
          <w:rFonts w:ascii="Arial" w:hAnsi="Arial"/>
          <w:b/>
          <w:bCs/>
          <w:shd w:fill="auto" w:val="clear"/>
        </w:rPr>
        <w:t xml:space="preserve">EDITAL DE PREGÃO ELETRÔNICO Nº </w:t>
      </w:r>
      <w:r>
        <w:rPr>
          <w:rFonts w:eastAsia="Calibri" w:cs="" w:ascii="Arial" w:hAnsi="Arial"/>
          <w:b/>
          <w:bCs/>
          <w:color w:val="000000"/>
          <w:kern w:val="0"/>
          <w:sz w:val="22"/>
          <w:szCs w:val="22"/>
          <w:shd w:fill="auto" w:val="clear"/>
          <w:lang w:val="pt-BR" w:eastAsia="en-US" w:bidi="ar-SA"/>
        </w:rPr>
        <w:t>083</w:t>
      </w:r>
      <w:r>
        <w:rPr>
          <w:rFonts w:ascii="Arial" w:hAnsi="Arial"/>
          <w:b/>
          <w:bCs/>
          <w:shd w:fill="auto" w:val="clear"/>
        </w:rPr>
        <w:t>/2023</w:t>
      </w:r>
    </w:p>
    <w:p>
      <w:pPr>
        <w:pStyle w:val="Normal"/>
        <w:jc w:val="both"/>
        <w:rPr>
          <w:shd w:fill="auto" w:val="clear"/>
        </w:rPr>
      </w:pPr>
      <w:r>
        <w:rPr>
          <w:rFonts w:ascii="Arial" w:hAnsi="Arial"/>
          <w:sz w:val="20"/>
          <w:szCs w:val="20"/>
          <w:shd w:fill="auto" w:val="clear"/>
        </w:rPr>
        <w:t xml:space="preserve">Registrado no TCE/SC sob código n° </w:t>
      </w:r>
    </w:p>
    <w:p>
      <w:pPr>
        <w:pStyle w:val="Normal"/>
        <w:widowControl w:val="false"/>
        <w:shd w:val="clear" w:color="auto" w:fill="AEAAAA" w:themeFill="background2" w:themeFillShade="bf"/>
        <w:tabs>
          <w:tab w:val="clear" w:pos="720"/>
          <w:tab w:val="left" w:pos="1701" w:leader="none"/>
        </w:tabs>
        <w:spacing w:lineRule="auto" w:line="240"/>
        <w:jc w:val="both"/>
        <w:textAlignment w:val="baseline"/>
        <w:rPr>
          <w:rFonts w:ascii="Arial" w:hAnsi="Arial"/>
        </w:rPr>
      </w:pPr>
      <w:r>
        <w:rPr>
          <w:rFonts w:eastAsia="Times New Roman" w:cs="Times New Roman" w:ascii="Arial" w:hAnsi="Arial"/>
          <w:b/>
          <w:lang w:eastAsia="pt-BR"/>
        </w:rPr>
        <w:t>1. PREÂMBULO</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lang w:eastAsia="pt-BR"/>
        </w:rPr>
        <w:t>1.1.</w:t>
      </w:r>
      <w:r>
        <w:rPr>
          <w:rFonts w:eastAsia="Times New Roman" w:cs="Times New Roman" w:ascii="Arial" w:hAnsi="Arial"/>
          <w:lang w:eastAsia="pt-BR"/>
        </w:rPr>
        <w:t xml:space="preserve"> O Município de </w:t>
      </w:r>
      <w:r>
        <w:rPr>
          <w:rFonts w:eastAsia="Times New Roman" w:cs="Times New Roman" w:ascii="Arial" w:hAnsi="Arial"/>
          <w:color w:val="000000"/>
          <w:lang w:eastAsia="pt-BR"/>
        </w:rPr>
        <w:t>Itá,</w:t>
      </w:r>
      <w:r>
        <w:rPr>
          <w:rFonts w:eastAsia="Times New Roman" w:cs="Times New Roman" w:ascii="Arial" w:hAnsi="Arial"/>
          <w:lang w:eastAsia="pt-BR"/>
        </w:rPr>
        <w:t xml:space="preserve"> Estado de Santa Catarina, </w:t>
      </w:r>
      <w:r>
        <w:rPr>
          <w:rFonts w:eastAsia="Times New Roman" w:cs="Arial" w:ascii="Arial" w:hAnsi="Arial"/>
          <w:lang w:eastAsia="pt-BR"/>
        </w:rPr>
        <w:t>pessoa jurídica de direito público interno</w:t>
      </w:r>
      <w:r>
        <w:rPr>
          <w:rFonts w:eastAsia="Times New Roman" w:cs="Times New Roman" w:ascii="Arial" w:hAnsi="Arial"/>
          <w:lang w:eastAsia="pt-BR"/>
        </w:rPr>
        <w:t xml:space="preserve"> inscrito no CNPJ so</w:t>
      </w:r>
      <w:r>
        <w:rPr>
          <w:rFonts w:eastAsia="Times New Roman" w:cs="Times New Roman" w:ascii="Arial" w:hAnsi="Arial"/>
          <w:color w:val="000000"/>
          <w:lang w:eastAsia="pt-BR"/>
        </w:rPr>
        <w:t xml:space="preserve">b nº </w:t>
      </w:r>
      <w:r>
        <w:rPr>
          <w:rFonts w:eastAsia="Times New Roman" w:cs="Times New Roman" w:ascii="Arial" w:hAnsi="Arial"/>
          <w:color w:val="202124"/>
          <w:lang w:eastAsia="pt-BR"/>
        </w:rPr>
        <w:t>83.024.240/0001-53</w:t>
      </w:r>
      <w:r>
        <w:rPr>
          <w:rFonts w:eastAsia="Times New Roman" w:cs="Times New Roman" w:ascii="Arial" w:hAnsi="Arial"/>
          <w:lang w:eastAsia="pt-BR"/>
        </w:rPr>
        <w:t>, leva ao conhecimento dos interessados a realização do seguinte processo licitatório:</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pPr>
      <w:r>
        <w:rPr>
          <w:rFonts w:eastAsia="Times New Roman" w:cs="Times New Roman" w:ascii="Arial" w:hAnsi="Arial"/>
          <w:b/>
          <w:shd w:fill="auto" w:val="clear"/>
          <w:lang w:eastAsia="pt-BR"/>
        </w:rPr>
        <w:t>Regime legal:</w:t>
      </w:r>
      <w:r>
        <w:rPr>
          <w:rFonts w:eastAsia="Times New Roman" w:cs="Times New Roman" w:ascii="Arial" w:hAnsi="Arial"/>
          <w:shd w:fill="auto" w:val="clear"/>
          <w:lang w:eastAsia="pt-BR"/>
        </w:rPr>
        <w:t xml:space="preserve"> </w:t>
      </w:r>
      <w:hyperlink r:id="rId2">
        <w:r>
          <w:rPr>
            <w:rStyle w:val="LinkdaInternet"/>
            <w:rFonts w:eastAsia="Times New Roman" w:cs="Times New Roman" w:ascii="Arial" w:hAnsi="Arial"/>
            <w:shd w:fill="auto" w:val="clear"/>
            <w:lang w:eastAsia="pt-BR"/>
          </w:rPr>
          <w:t>Lei nº 14.133/2021</w:t>
        </w:r>
      </w:hyperlink>
      <w:r>
        <w:rPr>
          <w:rFonts w:eastAsia="Times New Roman" w:cs="Times New Roman" w:ascii="Arial" w:hAnsi="Arial"/>
          <w:shd w:fill="auto" w:val="clear"/>
          <w:lang w:eastAsia="pt-BR"/>
        </w:rPr>
        <w:t xml:space="preserve">, Lei Complementar nº 123/2006 (art. 4º) </w:t>
      </w:r>
      <w:r>
        <w:rPr>
          <w:rFonts w:eastAsia="Times New Roman" w:cs="Times New Roman" w:ascii="Arial" w:hAnsi="Arial"/>
          <w:color w:val="000000"/>
          <w:shd w:fill="auto" w:val="clear"/>
          <w:lang w:eastAsia="pt-BR"/>
        </w:rPr>
        <w:t>e o Decreto Municipal nº 0036/2023.</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shd w:fill="auto" w:val="clear"/>
        </w:rPr>
      </w:pPr>
      <w:r>
        <w:rPr>
          <w:rFonts w:eastAsia="Times New Roman" w:cs="Times New Roman" w:ascii="Arial" w:hAnsi="Arial"/>
          <w:b/>
          <w:shd w:fill="auto" w:val="clear"/>
          <w:lang w:eastAsia="pt-BR"/>
        </w:rPr>
        <w:t>Modalidade:</w:t>
      </w:r>
      <w:r>
        <w:rPr>
          <w:rFonts w:eastAsia="Times New Roman" w:cs="Times New Roman" w:ascii="Arial" w:hAnsi="Arial"/>
          <w:shd w:fill="auto" w:val="clear"/>
          <w:lang w:eastAsia="pt-BR"/>
        </w:rPr>
        <w:t xml:space="preserve"> Pregão (art. 6º, XLI)</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shd w:fill="auto" w:val="clear"/>
        </w:rPr>
      </w:pPr>
      <w:r>
        <w:rPr>
          <w:rFonts w:eastAsia="Times New Roman" w:cs="Times New Roman" w:ascii="Arial" w:hAnsi="Arial"/>
          <w:b/>
          <w:shd w:fill="auto" w:val="clear"/>
          <w:lang w:eastAsia="pt-BR"/>
        </w:rPr>
        <w:t xml:space="preserve">Critério de Julgamento: </w:t>
      </w:r>
      <w:r>
        <w:rPr>
          <w:rFonts w:eastAsia="Times New Roman" w:cs="Times New Roman" w:ascii="Arial" w:hAnsi="Arial"/>
          <w:color w:val="000000"/>
          <w:sz w:val="22"/>
          <w:szCs w:val="22"/>
          <w:u w:val="single"/>
          <w:shd w:fill="auto" w:val="clear"/>
          <w:lang w:eastAsia="pt-BR"/>
        </w:rPr>
        <w:t>Menor preço (art. 34) convertido em maior valor unit</w:t>
      </w:r>
      <w:r>
        <w:rPr>
          <w:rFonts w:ascii="Arial" w:hAnsi="Arial"/>
          <w:sz w:val="22"/>
          <w:szCs w:val="22"/>
          <w:u w:val="single"/>
          <w:shd w:fill="auto" w:val="clear"/>
        </w:rPr>
        <w:t>ári</w:t>
      </w:r>
      <w:r>
        <w:rPr>
          <w:rFonts w:eastAsia="Times New Roman" w:cs="Times New Roman" w:ascii="Arial" w:hAnsi="Arial"/>
          <w:color w:val="000000"/>
          <w:sz w:val="22"/>
          <w:szCs w:val="22"/>
          <w:u w:val="single"/>
          <w:shd w:fill="auto" w:val="clear"/>
          <w:lang w:eastAsia="pt-BR"/>
        </w:rPr>
        <w:t>o.</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shd w:fill="auto" w:val="clear"/>
        </w:rPr>
      </w:pPr>
      <w:r>
        <w:rPr>
          <w:rFonts w:eastAsia="Times New Roman" w:cs="Times New Roman" w:ascii="Arial" w:hAnsi="Arial"/>
          <w:b/>
          <w:shd w:fill="auto" w:val="clear"/>
          <w:lang w:eastAsia="pt-BR"/>
        </w:rPr>
        <w:t xml:space="preserve">Modo de disputa: </w:t>
      </w:r>
      <w:r>
        <w:rPr>
          <w:rFonts w:eastAsia="Times New Roman" w:cs="Times New Roman" w:ascii="Arial" w:hAnsi="Arial"/>
          <w:color w:val="000000"/>
          <w:shd w:fill="auto" w:val="clear"/>
          <w:lang w:eastAsia="pt-BR"/>
        </w:rPr>
        <w:t>Aberto (art. 56, I e § 2º)</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shd w:fill="auto" w:val="clear"/>
        </w:rPr>
      </w:pPr>
      <w:r>
        <w:rPr>
          <w:rFonts w:eastAsia="Times New Roman" w:cs="Times New Roman" w:ascii="Arial" w:hAnsi="Arial"/>
          <w:b/>
          <w:shd w:fill="auto" w:val="clear"/>
          <w:lang w:eastAsia="pt-BR"/>
        </w:rPr>
        <w:t>Forma:</w:t>
      </w:r>
      <w:r>
        <w:rPr>
          <w:rFonts w:eastAsia="Times New Roman" w:cs="Times New Roman" w:ascii="Arial" w:hAnsi="Arial"/>
          <w:shd w:fill="auto" w:val="clear"/>
          <w:lang w:eastAsia="pt-BR"/>
        </w:rPr>
        <w:t xml:space="preserve"> Eletrônica (art. 17, § 2º)</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pPr>
      <w:r>
        <w:rPr>
          <w:rFonts w:eastAsia="Times New Roman" w:cs="Times New Roman" w:ascii="Arial" w:hAnsi="Arial"/>
          <w:b/>
          <w:shd w:fill="auto" w:val="clear"/>
          <w:lang w:eastAsia="pt-BR"/>
        </w:rPr>
        <w:t xml:space="preserve">Plataforma: </w:t>
      </w:r>
      <w:r>
        <w:rPr>
          <w:rFonts w:eastAsia="Times New Roman" w:cs="Arial" w:ascii="Arial" w:hAnsi="Arial"/>
          <w:color w:val="000000"/>
          <w:shd w:fill="auto" w:val="clear"/>
          <w:lang w:eastAsia="pt-BR"/>
        </w:rPr>
        <w:t xml:space="preserve">Portal de Compras do Governo Federal – </w:t>
      </w:r>
      <w:r>
        <w:rPr>
          <w:rStyle w:val="LinkdaInternet"/>
          <w:rFonts w:eastAsia="Times New Roman" w:cs="Arial" w:ascii="Arial" w:hAnsi="Arial"/>
          <w:color w:val="000000"/>
          <w:shd w:fill="auto" w:val="clear"/>
          <w:lang w:eastAsia="pt-BR"/>
        </w:rPr>
        <w:t>compras</w:t>
      </w:r>
      <w:hyperlink r:id="rId3">
        <w:r>
          <w:rPr>
            <w:rStyle w:val="LinkdaInternet"/>
            <w:rFonts w:eastAsia="Times New Roman" w:cs="Arial" w:ascii="Arial" w:hAnsi="Arial"/>
            <w:color w:val="000000"/>
            <w:shd w:fill="auto" w:val="clear"/>
            <w:lang w:eastAsia="pt-BR"/>
          </w:rPr>
          <w:t>.gov.br</w:t>
        </w:r>
      </w:hyperlink>
      <w:r>
        <w:rPr>
          <w:rFonts w:eastAsia="Times New Roman" w:cs="Arial" w:ascii="Arial" w:hAnsi="Arial"/>
          <w:color w:val="000000"/>
          <w:shd w:fill="auto" w:val="clear"/>
          <w:lang w:eastAsia="pt-BR"/>
        </w:rPr>
        <w:t>. UASG 988157.</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shd w:fill="auto" w:val="clear"/>
        </w:rPr>
      </w:pPr>
      <w:r>
        <w:rPr>
          <w:rFonts w:eastAsia="Times New Roman" w:cs="Times New Roman" w:ascii="Arial" w:hAnsi="Arial"/>
          <w:b/>
          <w:shd w:fill="auto" w:val="clear"/>
          <w:lang w:eastAsia="pt-BR"/>
        </w:rPr>
        <w:t xml:space="preserve">Data da Sessão Pública: </w:t>
      </w:r>
      <w:r>
        <w:rPr>
          <w:rFonts w:eastAsia="Times New Roman" w:cs="Times New Roman" w:ascii="Arial" w:hAnsi="Arial"/>
          <w:b/>
          <w:color w:val="000000"/>
          <w:kern w:val="0"/>
          <w:sz w:val="22"/>
          <w:szCs w:val="22"/>
          <w:shd w:fill="auto" w:val="clear"/>
          <w:lang w:val="pt-BR" w:eastAsia="pt-BR" w:bidi="ar-SA"/>
        </w:rPr>
        <w:t>07</w:t>
      </w:r>
      <w:r>
        <w:rPr>
          <w:rFonts w:eastAsia="Times New Roman" w:cs="Times New Roman" w:ascii="Arial" w:hAnsi="Arial"/>
          <w:b/>
          <w:color w:val="000000"/>
          <w:kern w:val="0"/>
          <w:sz w:val="22"/>
          <w:szCs w:val="22"/>
          <w:shd w:fill="auto" w:val="clear"/>
          <w:lang w:val="pt-BR" w:eastAsia="pt-BR" w:bidi="ar-SA"/>
        </w:rPr>
        <w:t>/</w:t>
      </w:r>
      <w:r>
        <w:rPr>
          <w:rFonts w:eastAsia="Times New Roman" w:cs="Times New Roman" w:ascii="Arial" w:hAnsi="Arial"/>
          <w:b/>
          <w:color w:val="000000"/>
          <w:kern w:val="0"/>
          <w:sz w:val="22"/>
          <w:szCs w:val="22"/>
          <w:shd w:fill="auto" w:val="clear"/>
          <w:lang w:val="pt-BR" w:eastAsia="pt-BR" w:bidi="ar-SA"/>
        </w:rPr>
        <w:t>12</w:t>
      </w:r>
      <w:r>
        <w:rPr>
          <w:rFonts w:eastAsia="Times New Roman" w:cs="Times New Roman" w:ascii="Arial" w:hAnsi="Arial"/>
          <w:b/>
          <w:color w:val="000000"/>
          <w:kern w:val="0"/>
          <w:sz w:val="22"/>
          <w:szCs w:val="22"/>
          <w:shd w:fill="auto" w:val="clear"/>
          <w:lang w:val="pt-BR" w:eastAsia="pt-BR" w:bidi="ar-SA"/>
        </w:rPr>
        <w:t>/2023</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rFonts w:ascii="Arial" w:hAnsi="Arial"/>
        </w:rPr>
      </w:pPr>
      <w:r>
        <w:rPr>
          <w:rFonts w:eastAsia="Times New Roman" w:cs="Times New Roman" w:ascii="Arial" w:hAnsi="Arial"/>
          <w:b/>
          <w:lang w:eastAsia="pt-BR"/>
        </w:rPr>
        <w:t>Horário de início da Sessão Pública:</w:t>
      </w:r>
      <w:r>
        <w:rPr>
          <w:rFonts w:eastAsia="Times New Roman" w:cs="Times New Roman" w:ascii="Arial" w:hAnsi="Arial"/>
          <w:color w:val="000000"/>
          <w:lang w:eastAsia="pt-BR"/>
        </w:rPr>
        <w:t xml:space="preserve"> 08h30min (horário de Brasília/DF)</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rFonts w:ascii="Arial" w:hAnsi="Arial"/>
        </w:rPr>
      </w:pPr>
      <w:r>
        <w:rPr>
          <w:rFonts w:eastAsia="Times New Roman" w:cs="Times New Roman" w:ascii="Arial" w:hAnsi="Arial"/>
          <w:b/>
          <w:color w:val="000000"/>
          <w:lang w:eastAsia="pt-BR"/>
        </w:rPr>
        <w:t xml:space="preserve">Código do Município: </w:t>
      </w:r>
      <w:r>
        <w:rPr>
          <w:rFonts w:eastAsia="Times New Roman" w:cs="Arial" w:ascii="Arial" w:hAnsi="Arial"/>
          <w:color w:val="000000"/>
          <w:lang w:eastAsia="pt-BR"/>
        </w:rPr>
        <w:t>UASG 988157</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rFonts w:ascii="Arial" w:hAnsi="Arial"/>
        </w:rPr>
      </w:pPr>
      <w:r>
        <w:rPr>
          <w:rFonts w:eastAsia="Times New Roman" w:cs="Times New Roman" w:ascii="Arial" w:hAnsi="Arial"/>
          <w:b/>
          <w:lang w:eastAsia="pt-BR"/>
        </w:rPr>
        <w:t>Condução do processo licitatório:</w:t>
      </w:r>
      <w:r>
        <w:rPr>
          <w:rFonts w:eastAsia="Times New Roman" w:cs="Times New Roman" w:ascii="Arial" w:hAnsi="Arial"/>
          <w:lang w:eastAsia="pt-BR"/>
        </w:rPr>
        <w:t xml:space="preserve"> Pregoeiro Delso Minski e Equipe de Apoio – </w:t>
      </w:r>
      <w:r>
        <w:rPr>
          <w:rFonts w:eastAsia="Times New Roman" w:cs="Times New Roman" w:ascii="Arial" w:hAnsi="Arial"/>
          <w:color w:val="000000"/>
          <w:lang w:eastAsia="pt-BR"/>
        </w:rPr>
        <w:t>Servidores Designados pelo Decreto Municipal nº 078/2023.</w:t>
      </w:r>
    </w:p>
    <w:p>
      <w:pPr>
        <w:pStyle w:val="Normal"/>
        <w:widowControl w:val="false"/>
        <w:numPr>
          <w:ilvl w:val="0"/>
          <w:numId w:val="1"/>
        </w:numPr>
        <w:tabs>
          <w:tab w:val="clear" w:pos="720"/>
          <w:tab w:val="left" w:pos="1134" w:leader="none"/>
        </w:tabs>
        <w:spacing w:lineRule="auto" w:line="240" w:before="0" w:after="160"/>
        <w:ind w:left="567" w:hanging="0"/>
        <w:contextualSpacing/>
        <w:jc w:val="both"/>
        <w:textAlignment w:val="baseline"/>
        <w:rPr>
          <w:rFonts w:ascii="Arial" w:hAnsi="Arial"/>
        </w:rPr>
      </w:pPr>
      <w:r>
        <w:rPr>
          <w:rFonts w:eastAsia="Times New Roman" w:cs="Times New Roman" w:ascii="Arial" w:hAnsi="Arial"/>
          <w:b/>
          <w:bCs/>
          <w:color w:val="000000"/>
          <w:lang w:eastAsia="pt-BR"/>
        </w:rPr>
        <w:t>Especificações dos Itens:</w:t>
      </w:r>
      <w:r>
        <w:rPr>
          <w:rFonts w:eastAsia="Times New Roman" w:cs="Times New Roman" w:ascii="Arial" w:hAnsi="Arial"/>
          <w:color w:val="000000"/>
          <w:lang w:eastAsia="pt-BR"/>
        </w:rPr>
        <w:t xml:space="preserve"> </w:t>
      </w:r>
      <w:r>
        <w:rPr>
          <w:rFonts w:eastAsia="Times New Roman" w:cs="Times New Roman" w:ascii="Arial" w:hAnsi="Arial"/>
          <w:color w:val="000000"/>
          <w:u w:val="single"/>
          <w:lang w:eastAsia="pt-BR"/>
        </w:rPr>
        <w:t>a descrição dos itens e as unidades de medidas/fornecimento constantes no portal compras.gov.br, são apenas aproximações da descrição dos itens reais. Desta maneira, prevalecerão as descrições detalhadas constantes neste edital de processo licitatório.</w:t>
      </w:r>
    </w:p>
    <w:p>
      <w:pPr>
        <w:pStyle w:val="Normal"/>
        <w:widowControl w:val="false"/>
        <w:tabs>
          <w:tab w:val="clear" w:pos="720"/>
          <w:tab w:val="left" w:pos="1134" w:leader="none"/>
        </w:tabs>
        <w:spacing w:lineRule="auto" w:line="240" w:before="0" w:after="160"/>
        <w:contextualSpacing/>
        <w:jc w:val="both"/>
        <w:textAlignment w:val="baseline"/>
        <w:rPr>
          <w:rFonts w:ascii="Arial" w:hAnsi="Arial" w:eastAsia="Times New Roman" w:cs="Times New Roman"/>
          <w:color w:val="000000"/>
          <w:shd w:fill="FFFF00" w:val="clear"/>
          <w:lang w:eastAsia="pt-BR"/>
        </w:rPr>
      </w:pPr>
      <w:r>
        <w:rPr>
          <w:rFonts w:eastAsia="Times New Roman" w:cs="Times New Roman" w:ascii="Arial" w:hAnsi="Arial"/>
          <w:color w:val="000000"/>
          <w:shd w:fill="FFFF00" w:val="clear"/>
          <w:lang w:eastAsia="pt-BR"/>
        </w:rPr>
      </w:r>
    </w:p>
    <w:p>
      <w:pPr>
        <w:pStyle w:val="Normal"/>
        <w:widowControl w:val="false"/>
        <w:tabs>
          <w:tab w:val="clear" w:pos="720"/>
          <w:tab w:val="left" w:pos="1418" w:leader="none"/>
        </w:tabs>
        <w:spacing w:lineRule="auto" w:line="240" w:before="0" w:after="160"/>
        <w:contextualSpacing/>
        <w:jc w:val="both"/>
        <w:textAlignment w:val="baseline"/>
        <w:rPr>
          <w:rFonts w:ascii="Arial" w:hAnsi="Arial" w:eastAsia="Times New Roman" w:cs="Times New Roman"/>
          <w:lang w:eastAsia="pt-BR"/>
        </w:rPr>
      </w:pPr>
      <w:r>
        <w:rPr>
          <w:rFonts w:eastAsia="Times New Roman" w:cs="Times New Roman" w:ascii="Arial" w:hAnsi="Arial"/>
          <w:lang w:eastAsia="pt-BR"/>
        </w:rPr>
      </w:r>
    </w:p>
    <w:p>
      <w:pPr>
        <w:pStyle w:val="Normal"/>
        <w:widowControl w:val="false"/>
        <w:shd w:val="clear" w:color="auto" w:fill="AEAAAA" w:themeFill="background2" w:themeFillShade="bf"/>
        <w:tabs>
          <w:tab w:val="clear" w:pos="720"/>
          <w:tab w:val="left" w:pos="1701" w:leader="none"/>
        </w:tabs>
        <w:spacing w:lineRule="auto" w:line="240"/>
        <w:jc w:val="both"/>
        <w:textAlignment w:val="baseline"/>
        <w:rPr>
          <w:rFonts w:ascii="Arial" w:hAnsi="Arial"/>
        </w:rPr>
      </w:pPr>
      <w:r>
        <w:rPr>
          <w:rFonts w:eastAsia="Times New Roman" w:cs="Times New Roman" w:ascii="Arial" w:hAnsi="Arial"/>
          <w:b/>
          <w:lang w:eastAsia="pt-BR"/>
        </w:rPr>
        <w:t>2. OBJETO</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bCs/>
          <w:lang w:eastAsia="pt-BR"/>
        </w:rPr>
        <w:t>2.1.</w:t>
      </w:r>
      <w:r>
        <w:rPr>
          <w:rFonts w:eastAsia="Times New Roman" w:cs="Times New Roman" w:ascii="Arial" w:hAnsi="Arial"/>
          <w:lang w:eastAsia="pt-BR"/>
        </w:rPr>
        <w:t xml:space="preserve"> O objeto deste processo licitatório é </w:t>
      </w:r>
      <w:r>
        <w:rPr>
          <w:rFonts w:eastAsia="Times New Roman" w:cs="Times New Roman" w:ascii="Arial" w:hAnsi="Arial"/>
          <w:color w:val="000000"/>
          <w:lang w:eastAsia="pt-BR"/>
        </w:rPr>
        <w:t xml:space="preserve">a </w:t>
      </w:r>
      <w:bookmarkStart w:id="0" w:name="_Hlk140225316"/>
      <w:r>
        <w:rPr>
          <w:rFonts w:eastAsia="Times New Roman" w:cs="Arial" w:ascii="Arial" w:hAnsi="Arial"/>
          <w:color w:val="000000"/>
          <w:lang w:eastAsia="pt-BR"/>
        </w:rPr>
        <w:t>c</w:t>
      </w:r>
      <w:bookmarkEnd w:id="0"/>
      <w:r>
        <w:rPr>
          <w:rFonts w:eastAsia="Times New Roman" w:cs="Arial" w:ascii="Arial" w:hAnsi="Arial"/>
          <w:color w:val="000000"/>
          <w:lang w:eastAsia="pt-BR"/>
        </w:rPr>
        <w:t>ontratação de empresa especializada na prestação de serviço de promoção de evento, para responsabilizar-se pela organização, realização e exploração do evento “Réveillon 2023/2024”,</w:t>
      </w:r>
      <w:r>
        <w:rPr>
          <w:rFonts w:eastAsia="Times New Roman" w:cs="Times New Roman" w:ascii="Arial" w:hAnsi="Arial"/>
          <w:color w:val="000000"/>
          <w:lang w:eastAsia="pt-BR"/>
        </w:rPr>
        <w:t xml:space="preserve"> de acordo com as informações e descritivos constantes no presente edital e nos anexos.</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bCs/>
          <w:color w:val="000000"/>
          <w:lang w:eastAsia="pt-BR"/>
        </w:rPr>
        <w:t>2.1.1.</w:t>
      </w:r>
      <w:r>
        <w:rPr>
          <w:rFonts w:eastAsia="Times New Roman" w:cs="Times New Roman" w:ascii="Arial" w:hAnsi="Arial"/>
          <w:color w:val="000000"/>
          <w:lang w:eastAsia="pt-BR"/>
        </w:rPr>
        <w:t xml:space="preserve"> O objeto é composto pelos seguintes itens:</w:t>
      </w:r>
    </w:p>
    <w:tbl>
      <w:tblPr>
        <w:tblW w:w="9300" w:type="dxa"/>
        <w:jc w:val="left"/>
        <w:tblInd w:w="-393" w:type="dxa"/>
        <w:tblLayout w:type="fixed"/>
        <w:tblCellMar>
          <w:top w:w="0" w:type="dxa"/>
          <w:left w:w="108" w:type="dxa"/>
          <w:bottom w:w="0" w:type="dxa"/>
          <w:right w:w="108" w:type="dxa"/>
        </w:tblCellMar>
        <w:tblLook w:firstRow="1" w:noVBand="1" w:lastRow="0" w:firstColumn="1" w:lastColumn="0" w:noHBand="0" w:val="04a0"/>
      </w:tblPr>
      <w:tblGrid>
        <w:gridCol w:w="671"/>
        <w:gridCol w:w="4878"/>
        <w:gridCol w:w="1710"/>
        <w:gridCol w:w="2040"/>
      </w:tblGrid>
      <w:tr>
        <w:trPr>
          <w:trHeight w:val="475" w:hRule="atLeast"/>
        </w:trPr>
        <w:tc>
          <w:tcPr>
            <w:tcW w:w="67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ascii="Arial" w:hAnsi="Arial" w:cs="Arial"/>
                <w:b/>
                <w:b/>
                <w:sz w:val="20"/>
                <w:szCs w:val="20"/>
              </w:rPr>
            </w:pPr>
            <w:r>
              <w:rPr>
                <w:rFonts w:cs="Arial" w:ascii="Arial" w:hAnsi="Arial"/>
                <w:b/>
                <w:sz w:val="20"/>
                <w:szCs w:val="20"/>
              </w:rPr>
              <w:t>Item</w:t>
            </w:r>
          </w:p>
        </w:tc>
        <w:tc>
          <w:tcPr>
            <w:tcW w:w="4878"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ascii="Arial" w:hAnsi="Arial" w:cs="Arial"/>
                <w:b/>
                <w:b/>
                <w:sz w:val="20"/>
                <w:szCs w:val="20"/>
              </w:rPr>
            </w:pPr>
            <w:r>
              <w:rPr>
                <w:rFonts w:cs="Arial" w:ascii="Arial" w:hAnsi="Arial"/>
                <w:b/>
                <w:sz w:val="20"/>
                <w:szCs w:val="20"/>
              </w:rPr>
              <w:t>Especificação</w:t>
            </w:r>
          </w:p>
        </w:tc>
        <w:tc>
          <w:tcPr>
            <w:tcW w:w="1710"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ascii="Arial" w:hAnsi="Arial" w:cs="Arial"/>
                <w:b/>
                <w:b/>
                <w:sz w:val="20"/>
                <w:szCs w:val="20"/>
              </w:rPr>
            </w:pPr>
            <w:r>
              <w:rPr>
                <w:rFonts w:cs="Arial" w:ascii="Arial" w:hAnsi="Arial"/>
                <w:b/>
                <w:sz w:val="20"/>
                <w:szCs w:val="20"/>
              </w:rPr>
              <w:t>Quant.</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Arial" w:hAnsi="Arial" w:eastAsia="Calibri" w:cs="Arial" w:eastAsiaTheme="minorHAnsi"/>
                <w:b/>
                <w:b/>
                <w:color w:val="auto"/>
                <w:kern w:val="0"/>
                <w:sz w:val="20"/>
                <w:szCs w:val="20"/>
                <w:lang w:val="pt-BR" w:eastAsia="en-US" w:bidi="ar-SA"/>
              </w:rPr>
            </w:pPr>
            <w:r>
              <w:rPr>
                <w:rFonts w:eastAsia="Calibri" w:cs="Arial" w:ascii="Arial" w:hAnsi="Arial" w:eastAsiaTheme="minorHAnsi"/>
                <w:b/>
                <w:color w:val="auto"/>
                <w:kern w:val="0"/>
                <w:sz w:val="20"/>
                <w:szCs w:val="20"/>
                <w:lang w:val="pt-BR" w:eastAsia="en-US" w:bidi="ar-SA"/>
              </w:rPr>
              <w:t>Lance Mínimo</w:t>
            </w:r>
          </w:p>
        </w:tc>
      </w:tr>
      <w:tr>
        <w:trPr>
          <w:trHeight w:val="634" w:hRule="atLeast"/>
        </w:trPr>
        <w:tc>
          <w:tcPr>
            <w:tcW w:w="671"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Arial" w:hAnsi="Arial" w:cs="Arial"/>
                <w:b w:val="false"/>
                <w:b w:val="false"/>
                <w:bCs w:val="false"/>
                <w:sz w:val="20"/>
                <w:szCs w:val="20"/>
              </w:rPr>
            </w:pPr>
            <w:r>
              <w:rPr>
                <w:rFonts w:cs="Arial" w:ascii="Arial" w:hAnsi="Arial"/>
                <w:b w:val="false"/>
                <w:bCs w:val="false"/>
                <w:sz w:val="20"/>
                <w:szCs w:val="20"/>
              </w:rPr>
              <w:t>01</w:t>
            </w:r>
          </w:p>
        </w:tc>
        <w:tc>
          <w:tcPr>
            <w:tcW w:w="4878" w:type="dxa"/>
            <w:tcBorders>
              <w:left w:val="single" w:sz="4" w:space="0" w:color="000000"/>
              <w:bottom w:val="single" w:sz="4" w:space="0" w:color="000000"/>
              <w:right w:val="single" w:sz="4" w:space="0" w:color="000000"/>
            </w:tcBorders>
            <w:vAlign w:val="center"/>
          </w:tcPr>
          <w:p>
            <w:pPr>
              <w:pStyle w:val="Normal"/>
              <w:widowControl w:val="false"/>
              <w:suppressAutoHyphens w:val="false"/>
              <w:spacing w:lineRule="auto" w:line="240" w:before="0" w:after="160"/>
              <w:jc w:val="both"/>
              <w:rPr>
                <w:rFonts w:ascii="Arial" w:hAnsi="Arial" w:cs="Arial"/>
                <w:sz w:val="22"/>
                <w:szCs w:val="22"/>
              </w:rPr>
            </w:pPr>
            <w:r>
              <w:rPr>
                <w:rFonts w:cs="Arial" w:ascii="Arial" w:hAnsi="Arial"/>
                <w:bCs/>
                <w:color w:val="000000"/>
                <w:sz w:val="22"/>
                <w:szCs w:val="22"/>
              </w:rPr>
              <w:t>Contratação de empresa especializada na prestação de serviços de promoção de eventos para responsabilizar-se pela organização, realização e exploração do evento “Réveillon 2023/2024”, que acontecerá no dia 31/12/2023 na Praça Municipal Dr. Aldo Ivo Stumpf, com o fornecimento de shows, estruturas de sonorização/iluminação, tapumes, gradis, banheiros químicos e tudo o que for necessário para a realização do evento, inclusive com pessoal de serviço (seguranças, roadies, técnicos de operação e serviços gerais), além de taxas como ECAD.</w:t>
            </w:r>
          </w:p>
        </w:tc>
        <w:tc>
          <w:tcPr>
            <w:tcW w:w="1710"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Arial" w:hAnsi="Arial" w:eastAsia="Calibri" w:cs="Arial"/>
                <w:color w:val="000000"/>
                <w:sz w:val="20"/>
                <w:szCs w:val="20"/>
              </w:rPr>
            </w:pPr>
            <w:r>
              <w:rPr>
                <w:rFonts w:eastAsia="Calibri" w:cs="Arial" w:ascii="Arial" w:hAnsi="Arial"/>
                <w:color w:val="000000"/>
                <w:sz w:val="20"/>
                <w:szCs w:val="20"/>
              </w:rPr>
              <w:t>01 und</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sz w:val="20"/>
                <w:szCs w:val="20"/>
              </w:rPr>
            </w:pPr>
            <w:r>
              <w:rPr>
                <w:rFonts w:ascii="Arial" w:hAnsi="Arial"/>
                <w:sz w:val="20"/>
                <w:szCs w:val="20"/>
              </w:rPr>
            </w:r>
          </w:p>
          <w:p>
            <w:pPr>
              <w:pStyle w:val="Normal"/>
              <w:widowControl w:val="false"/>
              <w:bidi w:val="0"/>
              <w:spacing w:lineRule="auto" w:line="240" w:before="0" w:after="0"/>
              <w:jc w:val="center"/>
              <w:rPr>
                <w:rFonts w:ascii="Arial" w:hAnsi="Arial"/>
                <w:sz w:val="20"/>
                <w:szCs w:val="20"/>
              </w:rPr>
            </w:pPr>
            <w:r>
              <w:rPr>
                <w:rFonts w:ascii="Arial" w:hAnsi="Arial"/>
                <w:sz w:val="20"/>
                <w:szCs w:val="20"/>
              </w:rPr>
              <w:t xml:space="preserve">R$ </w:t>
            </w:r>
            <w:r>
              <w:rPr>
                <w:rFonts w:eastAsia="Calibri" w:cs="" w:ascii="Arial" w:hAnsi="Arial" w:cstheme="minorBidi" w:eastAsiaTheme="minorHAnsi"/>
                <w:color w:val="auto"/>
                <w:kern w:val="0"/>
                <w:sz w:val="20"/>
                <w:szCs w:val="20"/>
                <w:lang w:val="pt-BR" w:eastAsia="en-US" w:bidi="ar-SA"/>
              </w:rPr>
              <w:t>40.000,00</w:t>
            </w:r>
          </w:p>
          <w:p>
            <w:pPr>
              <w:pStyle w:val="Normal"/>
              <w:widowControl w:val="false"/>
              <w:spacing w:lineRule="auto" w:line="240" w:before="0" w:after="0"/>
              <w:jc w:val="center"/>
              <w:rPr>
                <w:rFonts w:ascii="Arial" w:hAnsi="Arial"/>
                <w:sz w:val="20"/>
                <w:szCs w:val="20"/>
              </w:rPr>
            </w:pPr>
            <w:r>
              <w:rPr>
                <w:rFonts w:ascii="Arial" w:hAnsi="Arial"/>
                <w:sz w:val="20"/>
                <w:szCs w:val="20"/>
              </w:rPr>
            </w:r>
          </w:p>
        </w:tc>
      </w:tr>
    </w:tbl>
    <w:p>
      <w:pPr>
        <w:pStyle w:val="Normal"/>
        <w:widowControl w:val="false"/>
        <w:tabs>
          <w:tab w:val="clear" w:pos="720"/>
          <w:tab w:val="left" w:pos="1701" w:leader="none"/>
        </w:tabs>
        <w:spacing w:lineRule="auto" w:line="240"/>
        <w:jc w:val="both"/>
        <w:textAlignment w:val="baseline"/>
        <w:rPr>
          <w:rFonts w:ascii="Arial" w:hAnsi="Arial"/>
          <w:b/>
          <w:b/>
          <w:bCs/>
          <w:sz w:val="22"/>
          <w:szCs w:val="22"/>
        </w:rPr>
      </w:pPr>
      <w:r>
        <w:rPr/>
      </w:r>
    </w:p>
    <w:p>
      <w:pPr>
        <w:pStyle w:val="Normal"/>
        <w:widowControl w:val="false"/>
        <w:tabs>
          <w:tab w:val="clear" w:pos="720"/>
          <w:tab w:val="left" w:pos="1701" w:leader="none"/>
        </w:tabs>
        <w:spacing w:lineRule="auto" w:line="240"/>
        <w:jc w:val="both"/>
        <w:textAlignment w:val="baseline"/>
        <w:rPr>
          <w:rFonts w:ascii="Arial" w:hAnsi="Arial"/>
          <w:b/>
          <w:b/>
          <w:bCs/>
          <w:sz w:val="22"/>
          <w:szCs w:val="22"/>
        </w:rPr>
      </w:pPr>
      <w:r>
        <w:rPr>
          <w:rFonts w:ascii="Arial" w:hAnsi="Arial"/>
          <w:b/>
          <w:bCs/>
          <w:sz w:val="22"/>
          <w:szCs w:val="22"/>
        </w:rPr>
        <w:t>2.1.1.1. A proponente poderá também explorar o espaço na data de 30/12, nos termos e horários definidos no presente edital e nos seus anexos.</w:t>
      </w:r>
    </w:p>
    <w:p>
      <w:pPr>
        <w:pStyle w:val="Normal"/>
        <w:widowControl w:val="false"/>
        <w:tabs>
          <w:tab w:val="clear" w:pos="720"/>
          <w:tab w:val="left" w:pos="1701" w:leader="none"/>
        </w:tabs>
        <w:spacing w:lineRule="auto" w:line="240"/>
        <w:jc w:val="both"/>
        <w:textAlignment w:val="baseline"/>
        <w:rPr>
          <w:rFonts w:ascii="Arial" w:hAnsi="Arial"/>
          <w:sz w:val="22"/>
          <w:szCs w:val="22"/>
        </w:rPr>
      </w:pPr>
      <w:r>
        <w:rPr>
          <w:rFonts w:eastAsia="Times New Roman" w:cs="Times New Roman" w:ascii="Arial" w:hAnsi="Arial"/>
          <w:b/>
          <w:sz w:val="22"/>
          <w:szCs w:val="22"/>
          <w:shd w:fill="auto" w:val="clear"/>
          <w:lang w:eastAsia="pt-BR"/>
        </w:rPr>
        <w:t xml:space="preserve">2.1.2. </w:t>
      </w:r>
      <w:r>
        <w:rPr>
          <w:rFonts w:eastAsia="Times New Roman" w:cs="Times New Roman" w:ascii="Arial" w:hAnsi="Arial"/>
          <w:b w:val="false"/>
          <w:bCs w:val="false"/>
          <w:sz w:val="22"/>
          <w:szCs w:val="22"/>
          <w:shd w:fill="auto" w:val="clear"/>
          <w:lang w:eastAsia="pt-BR"/>
        </w:rPr>
        <w:t xml:space="preserve">O valor de R$ 40.000,00 (quarenta mil reais) corresponde ao </w:t>
      </w:r>
      <w:r>
        <w:rPr>
          <w:rFonts w:eastAsia="Times New Roman" w:cs="Times New Roman" w:ascii="Arial" w:hAnsi="Arial"/>
          <w:b w:val="false"/>
          <w:bCs w:val="false"/>
          <w:color w:val="000000"/>
          <w:kern w:val="0"/>
          <w:sz w:val="22"/>
          <w:szCs w:val="22"/>
          <w:shd w:fill="auto" w:val="clear"/>
          <w:lang w:val="pt-BR" w:eastAsia="pt-BR" w:bidi="ar-SA"/>
        </w:rPr>
        <w:t>valor</w:t>
      </w:r>
      <w:r>
        <w:rPr>
          <w:rFonts w:eastAsia="Times New Roman" w:cs="Times New Roman" w:ascii="Arial" w:hAnsi="Arial"/>
          <w:b w:val="false"/>
          <w:bCs w:val="false"/>
          <w:sz w:val="22"/>
          <w:szCs w:val="22"/>
          <w:shd w:fill="auto" w:val="clear"/>
          <w:lang w:eastAsia="pt-BR"/>
        </w:rPr>
        <w:t xml:space="preserve"> mínimo que a empresa deverá repassar ao município em consequência da exploração do evento.</w:t>
      </w:r>
    </w:p>
    <w:p>
      <w:pPr>
        <w:pStyle w:val="Normal"/>
        <w:widowControl w:val="false"/>
        <w:tabs>
          <w:tab w:val="clear" w:pos="720"/>
          <w:tab w:val="left" w:pos="1701" w:leader="none"/>
        </w:tabs>
        <w:spacing w:lineRule="auto" w:line="240"/>
        <w:jc w:val="both"/>
        <w:textAlignment w:val="baseline"/>
        <w:rPr>
          <w:rFonts w:ascii="Arial" w:hAnsi="Arial"/>
          <w:sz w:val="22"/>
          <w:szCs w:val="22"/>
        </w:rPr>
      </w:pPr>
      <w:r>
        <w:rPr>
          <w:rFonts w:eastAsia="Times New Roman" w:cs="Times New Roman" w:ascii="Arial" w:hAnsi="Arial"/>
          <w:b/>
          <w:bCs/>
          <w:sz w:val="22"/>
          <w:szCs w:val="22"/>
          <w:shd w:fill="auto" w:val="clear"/>
          <w:lang w:eastAsia="pt-BR"/>
        </w:rPr>
        <w:t>2.1.3.</w:t>
      </w:r>
      <w:r>
        <w:rPr>
          <w:rFonts w:eastAsia="Times New Roman" w:cs="Times New Roman" w:ascii="Arial" w:hAnsi="Arial"/>
          <w:b w:val="false"/>
          <w:bCs w:val="false"/>
          <w:sz w:val="22"/>
          <w:szCs w:val="22"/>
          <w:shd w:fill="auto" w:val="clear"/>
          <w:lang w:eastAsia="pt-BR"/>
        </w:rPr>
        <w:t xml:space="preserve"> Para fins de disputa no sistema eletrônico (compras.gov.br), uma vez que o mesmo não aceita o registro de proposta de maior oferta, os cadastros das propostas e lances correrão conforme o indicado no item 12 do presente edital.</w:t>
      </w:r>
    </w:p>
    <w:p>
      <w:pPr>
        <w:pStyle w:val="Normal"/>
        <w:widowControl w:val="false"/>
        <w:tabs>
          <w:tab w:val="clear" w:pos="720"/>
          <w:tab w:val="left" w:pos="1701" w:leader="none"/>
        </w:tabs>
        <w:spacing w:lineRule="auto" w:line="240"/>
        <w:jc w:val="both"/>
        <w:textAlignment w:val="baseline"/>
        <w:rPr>
          <w:shd w:fill="auto" w:val="clear"/>
        </w:rPr>
      </w:pPr>
      <w:r>
        <w:rPr>
          <w:rFonts w:eastAsia="Times New Roman" w:cs="Times New Roman" w:ascii="Arial" w:hAnsi="Arial"/>
          <w:b/>
          <w:shd w:fill="auto" w:val="clear"/>
          <w:lang w:eastAsia="pt-BR"/>
        </w:rPr>
        <w:t xml:space="preserve">2.2. </w:t>
      </w:r>
      <w:r>
        <w:rPr>
          <w:rFonts w:eastAsia="Times New Roman" w:cs="Times New Roman" w:ascii="Arial" w:hAnsi="Arial"/>
          <w:shd w:fill="auto" w:val="clear"/>
          <w:lang w:eastAsia="pt-BR"/>
        </w:rPr>
        <w:t>O objeto está fundamentado no Estudo Técnico Preliminar – ETP (ANEXO I) e no Termo de Referência</w:t>
      </w:r>
      <w:r>
        <w:rPr>
          <w:rFonts w:eastAsia="Times New Roman" w:cs="Times New Roman" w:ascii="Arial" w:hAnsi="Arial"/>
          <w:color w:val="FF0000"/>
          <w:shd w:fill="auto" w:val="clear"/>
          <w:lang w:eastAsia="pt-BR"/>
        </w:rPr>
        <w:t xml:space="preserve"> </w:t>
      </w:r>
      <w:r>
        <w:rPr>
          <w:rFonts w:eastAsia="Times New Roman" w:cs="Times New Roman" w:ascii="Arial" w:hAnsi="Arial"/>
          <w:shd w:fill="auto" w:val="clear"/>
          <w:lang w:eastAsia="pt-BR"/>
        </w:rPr>
        <w:t>(ANEXO II).</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bCs/>
          <w:color w:val="000000"/>
          <w:lang w:eastAsia="pt-BR"/>
        </w:rPr>
        <w:t>2.3.</w:t>
      </w:r>
      <w:r>
        <w:rPr>
          <w:rFonts w:eastAsia="Times New Roman" w:cs="Times New Roman" w:ascii="Arial" w:hAnsi="Arial"/>
          <w:color w:val="000000"/>
          <w:lang w:eastAsia="pt-BR"/>
        </w:rPr>
        <w:t xml:space="preserve"> </w:t>
      </w:r>
      <w:r>
        <w:rPr>
          <w:rFonts w:eastAsia="Times New Roman" w:cs="Arial" w:ascii="Arial" w:hAnsi="Arial"/>
          <w:b/>
          <w:bCs/>
          <w:color w:val="000000"/>
          <w:lang w:eastAsia="pt-BR"/>
        </w:rPr>
        <w:t>Em caso de discordância existente entre as especificações deste objeto descritas no endereço eletrônico compras.gov.br e as especificações técnicas constantes deste edital, prevalecerão as constantes do Edital.</w:t>
      </w:r>
    </w:p>
    <w:p>
      <w:pPr>
        <w:pStyle w:val="Normal"/>
        <w:widowControl w:val="false"/>
        <w:shd w:val="clear" w:color="auto" w:fill="AEAAAA" w:themeFill="background2" w:themeFillShade="bf"/>
        <w:tabs>
          <w:tab w:val="clear" w:pos="720"/>
          <w:tab w:val="left" w:pos="1701" w:leader="none"/>
        </w:tabs>
        <w:spacing w:lineRule="auto" w:line="240"/>
        <w:jc w:val="both"/>
        <w:textAlignment w:val="baseline"/>
        <w:rPr>
          <w:shd w:fill="auto" w:val="clear"/>
        </w:rPr>
      </w:pPr>
      <w:r>
        <w:rPr>
          <w:rFonts w:eastAsia="Times New Roman" w:cs="Times New Roman" w:ascii="Arial" w:hAnsi="Arial"/>
          <w:b/>
          <w:shd w:fill="auto" w:val="clear"/>
          <w:lang w:eastAsia="pt-BR"/>
        </w:rPr>
        <w:t>3. PREVISÃO DE RECURSOS ORÇAMENTÁRIOS</w:t>
      </w:r>
    </w:p>
    <w:p>
      <w:pPr>
        <w:pStyle w:val="Normal"/>
        <w:widowControl w:val="false"/>
        <w:tabs>
          <w:tab w:val="clear" w:pos="720"/>
          <w:tab w:val="left" w:pos="1701" w:leader="none"/>
        </w:tabs>
        <w:spacing w:lineRule="auto" w:line="240"/>
        <w:jc w:val="both"/>
        <w:textAlignment w:val="baseline"/>
        <w:rPr>
          <w:shd w:fill="auto" w:val="clear"/>
        </w:rPr>
      </w:pPr>
      <w:r>
        <w:rPr>
          <w:rFonts w:eastAsia="Times New Roman" w:cs="Times New Roman" w:ascii="Arial" w:hAnsi="Arial"/>
          <w:b/>
          <w:shd w:fill="auto" w:val="clear"/>
          <w:lang w:eastAsia="pt-BR"/>
        </w:rPr>
        <w:t xml:space="preserve">3.1. </w:t>
      </w:r>
      <w:r>
        <w:rPr>
          <w:rFonts w:eastAsia="Times New Roman" w:cs="Times New Roman" w:ascii="Arial" w:hAnsi="Arial"/>
          <w:shd w:fill="auto" w:val="clear"/>
          <w:lang w:eastAsia="pt-BR"/>
        </w:rPr>
        <w:t xml:space="preserve">As despesas decorrentes deste processo licitatório correrão por conta das </w:t>
      </w:r>
      <w:r>
        <w:rPr>
          <w:rFonts w:eastAsia="Times New Roman" w:cs="Arial" w:ascii="Arial" w:hAnsi="Arial"/>
          <w:color w:val="000000"/>
          <w:shd w:fill="auto" w:val="clear"/>
          <w:lang w:eastAsia="pt-BR"/>
        </w:rPr>
        <w:t>dotações previstas na Lei Orçamentária do Exercício vigente (2023):</w:t>
      </w:r>
    </w:p>
    <w:p>
      <w:pPr>
        <w:pStyle w:val="Normal"/>
        <w:widowControl w:val="false"/>
        <w:spacing w:lineRule="auto" w:line="240" w:before="0" w:after="0"/>
        <w:jc w:val="both"/>
        <w:rPr>
          <w:shd w:fill="auto" w:val="clear"/>
        </w:rPr>
      </w:pPr>
      <w:r>
        <w:rPr>
          <w:rFonts w:cs="Arial" w:ascii="Arial" w:hAnsi="Arial"/>
          <w:color w:val="000000"/>
          <w:shd w:fill="auto" w:val="clear"/>
        </w:rPr>
        <w:t xml:space="preserve">08.00 – SECRETARIA MUNICIPAL DE </w:t>
      </w:r>
      <w:r>
        <w:rPr>
          <w:rFonts w:eastAsia="Calibri" w:cs="Arial" w:ascii="Arial" w:hAnsi="Arial"/>
          <w:color w:val="000000"/>
          <w:kern w:val="0"/>
          <w:sz w:val="22"/>
          <w:szCs w:val="22"/>
          <w:shd w:fill="auto" w:val="clear"/>
          <w:lang w:val="pt-BR" w:eastAsia="en-US" w:bidi="ar-SA"/>
        </w:rPr>
        <w:t>TURISMO E DESENVOLVIMENTO ECONÔMICO</w:t>
      </w:r>
    </w:p>
    <w:p>
      <w:pPr>
        <w:pStyle w:val="Normal"/>
        <w:widowControl w:val="false"/>
        <w:spacing w:lineRule="auto" w:line="240" w:before="0" w:after="0"/>
        <w:jc w:val="both"/>
        <w:rPr>
          <w:shd w:fill="auto" w:val="clear"/>
        </w:rPr>
      </w:pPr>
      <w:r>
        <w:rPr>
          <w:rFonts w:cs="Arial" w:ascii="Arial" w:hAnsi="Arial"/>
          <w:color w:val="000000"/>
          <w:shd w:fill="auto" w:val="clear"/>
        </w:rPr>
        <w:t xml:space="preserve">08.01 – </w:t>
      </w:r>
      <w:r>
        <w:rPr>
          <w:rFonts w:eastAsia="Calibri" w:cs="Arial" w:ascii="Arial" w:hAnsi="Arial"/>
          <w:color w:val="000000"/>
          <w:kern w:val="0"/>
          <w:sz w:val="22"/>
          <w:szCs w:val="22"/>
          <w:shd w:fill="auto" w:val="clear"/>
          <w:lang w:val="pt-BR" w:eastAsia="en-US" w:bidi="ar-SA"/>
        </w:rPr>
        <w:t>Departamento de Turismo</w:t>
      </w:r>
    </w:p>
    <w:p>
      <w:pPr>
        <w:pStyle w:val="Normal"/>
        <w:widowControl w:val="false"/>
        <w:spacing w:lineRule="auto" w:line="240" w:before="0" w:after="0"/>
        <w:jc w:val="both"/>
        <w:rPr>
          <w:shd w:fill="auto" w:val="clear"/>
        </w:rPr>
      </w:pPr>
      <w:r>
        <w:rPr>
          <w:rFonts w:cs="Arial" w:ascii="Arial" w:hAnsi="Arial"/>
          <w:color w:val="000000"/>
          <w:shd w:fill="auto" w:val="clear"/>
        </w:rPr>
        <w:t>2.</w:t>
      </w:r>
      <w:r>
        <w:rPr>
          <w:rFonts w:eastAsia="Calibri" w:cs="Arial" w:ascii="Arial" w:hAnsi="Arial"/>
          <w:color w:val="000000"/>
          <w:kern w:val="0"/>
          <w:sz w:val="22"/>
          <w:szCs w:val="22"/>
          <w:shd w:fill="auto" w:val="clear"/>
          <w:lang w:val="pt-BR" w:eastAsia="en-US" w:bidi="ar-SA"/>
        </w:rPr>
        <w:t>044</w:t>
      </w:r>
      <w:r>
        <w:rPr>
          <w:rFonts w:cs="Arial" w:ascii="Arial" w:hAnsi="Arial"/>
          <w:color w:val="000000"/>
          <w:shd w:fill="auto" w:val="clear"/>
        </w:rPr>
        <w:t xml:space="preserve"> – </w:t>
      </w:r>
      <w:r>
        <w:rPr>
          <w:rFonts w:eastAsia="Calibri" w:cs="Arial" w:ascii="Arial" w:hAnsi="Arial"/>
          <w:color w:val="000000"/>
          <w:kern w:val="0"/>
          <w:sz w:val="22"/>
          <w:szCs w:val="22"/>
          <w:shd w:fill="auto" w:val="clear"/>
          <w:lang w:val="pt-BR" w:eastAsia="en-US" w:bidi="ar-SA"/>
        </w:rPr>
        <w:t>Brilha Itá</w:t>
      </w:r>
    </w:p>
    <w:p>
      <w:pPr>
        <w:pStyle w:val="Normal"/>
        <w:widowControl w:val="false"/>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3.3.90</w:t>
      </w:r>
      <w:r>
        <w:rPr>
          <w:rFonts w:cs="Arial" w:ascii="Arial" w:hAnsi="Arial"/>
          <w:color w:val="000000"/>
          <w:shd w:fill="auto" w:val="clear"/>
        </w:rPr>
        <w:t xml:space="preserve"> – Aplicações Diretas</w:t>
      </w:r>
    </w:p>
    <w:p>
      <w:pPr>
        <w:pStyle w:val="Normal"/>
        <w:spacing w:lineRule="auto" w:line="240" w:before="0" w:after="0"/>
        <w:jc w:val="both"/>
        <w:rPr>
          <w:rFonts w:ascii="Arial" w:hAnsi="Arial" w:eastAsia="Times New Roman" w:cs="Arial"/>
          <w:shd w:fill="FFFF00" w:val="clear"/>
          <w:lang w:eastAsia="pt-BR"/>
        </w:rPr>
      </w:pPr>
      <w:r>
        <w:rPr>
          <w:rFonts w:eastAsia="Times New Roman" w:cs="Arial" w:ascii="Arial" w:hAnsi="Arial"/>
          <w:shd w:fill="FFFF00" w:val="clear"/>
          <w:lang w:eastAsia="pt-BR"/>
        </w:rPr>
      </w:r>
    </w:p>
    <w:p>
      <w:pPr>
        <w:pStyle w:val="Normal"/>
        <w:widowControl w:val="false"/>
        <w:tabs>
          <w:tab w:val="clear" w:pos="720"/>
          <w:tab w:val="left" w:pos="1701" w:leader="none"/>
        </w:tabs>
        <w:spacing w:lineRule="auto" w:line="240" w:before="0" w:after="0"/>
        <w:jc w:val="both"/>
        <w:textAlignment w:val="baseline"/>
        <w:rPr>
          <w:rFonts w:ascii="Arial" w:hAnsi="Arial"/>
        </w:rPr>
      </w:pPr>
      <w:r>
        <w:rPr>
          <w:rFonts w:eastAsia="Times New Roman" w:cs="Arial" w:ascii="Arial" w:hAnsi="Arial"/>
          <w:color w:val="000000"/>
          <w:lang w:eastAsia="pt-BR"/>
        </w:rPr>
        <w:t>3.2. As quantidades a serem contratadas estão fundamentadas de acordo com o estudo técnico preliminar (ANEXO I).</w:t>
      </w:r>
    </w:p>
    <w:p>
      <w:pPr>
        <w:pStyle w:val="Normal"/>
        <w:widowControl w:val="false"/>
        <w:tabs>
          <w:tab w:val="clear" w:pos="720"/>
          <w:tab w:val="left" w:pos="1701" w:leader="none"/>
        </w:tabs>
        <w:spacing w:lineRule="auto" w:line="240" w:before="0" w:after="0"/>
        <w:jc w:val="both"/>
        <w:textAlignment w:val="baseline"/>
        <w:rPr>
          <w:rFonts w:ascii="Arial" w:hAnsi="Arial"/>
        </w:rPr>
      </w:pPr>
      <w:r>
        <w:rPr>
          <w:rFonts w:ascii="Arial" w:hAnsi="Arial"/>
        </w:rPr>
      </w:r>
    </w:p>
    <w:p>
      <w:pPr>
        <w:pStyle w:val="Normal"/>
        <w:widowControl w:val="false"/>
        <w:shd w:val="clear" w:color="auto" w:fill="AEAAAA" w:themeFill="background2" w:themeFillShade="bf"/>
        <w:tabs>
          <w:tab w:val="clear" w:pos="720"/>
          <w:tab w:val="left" w:pos="1701" w:leader="none"/>
        </w:tabs>
        <w:spacing w:lineRule="auto" w:line="240"/>
        <w:jc w:val="both"/>
        <w:textAlignment w:val="baseline"/>
        <w:rPr>
          <w:rFonts w:ascii="Arial" w:hAnsi="Arial"/>
        </w:rPr>
      </w:pPr>
      <w:r>
        <w:rPr>
          <w:rFonts w:eastAsia="Times New Roman" w:cs="Times New Roman" w:ascii="Arial" w:hAnsi="Arial"/>
          <w:b/>
          <w:lang w:eastAsia="pt-BR"/>
        </w:rPr>
        <w:t>4. ESCLARECIMENTOS E IMPUGNAÇÃO AO EDITAL</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lang w:eastAsia="pt-BR"/>
        </w:rPr>
        <w:t>4.1.</w:t>
      </w:r>
      <w:r>
        <w:rPr>
          <w:rFonts w:eastAsia="Times New Roman" w:cs="Times New Roman" w:ascii="Arial" w:hAnsi="Arial"/>
          <w:lang w:eastAsia="pt-BR"/>
        </w:rPr>
        <w:t xml:space="preserve"> </w:t>
      </w:r>
      <w:r>
        <w:rPr>
          <w:rFonts w:eastAsia="Times New Roman" w:cs="Times New Roman" w:ascii="Arial" w:hAnsi="Arial"/>
          <w:b/>
          <w:lang w:eastAsia="pt-BR"/>
        </w:rPr>
        <w:t>Qualquer pessoa</w:t>
      </w:r>
      <w:r>
        <w:rPr>
          <w:rFonts w:eastAsia="Times New Roman" w:cs="Times New Roman" w:ascii="Arial" w:hAnsi="Arial"/>
          <w:lang w:eastAsia="pt-BR"/>
        </w:rPr>
        <w:t xml:space="preserve"> é parte legítima para </w:t>
      </w:r>
      <w:r>
        <w:rPr>
          <w:rFonts w:eastAsia="Times New Roman" w:cs="Times New Roman" w:ascii="Arial" w:hAnsi="Arial"/>
          <w:b/>
          <w:lang w:eastAsia="pt-BR"/>
        </w:rPr>
        <w:t>impugnar</w:t>
      </w:r>
      <w:r>
        <w:rPr>
          <w:rFonts w:eastAsia="Times New Roman" w:cs="Times New Roman" w:ascii="Arial" w:hAnsi="Arial"/>
          <w:lang w:eastAsia="pt-BR"/>
        </w:rPr>
        <w:t xml:space="preserve"> edital de licitação por irregularidade na aplicação da legislação vigente </w:t>
      </w:r>
      <w:r>
        <w:rPr>
          <w:rFonts w:eastAsia="Times New Roman" w:cs="Times New Roman" w:ascii="Arial" w:hAnsi="Arial"/>
          <w:b/>
          <w:lang w:eastAsia="pt-BR"/>
        </w:rPr>
        <w:t>ou para solicitar esclarecimento</w:t>
      </w:r>
      <w:r>
        <w:rPr>
          <w:rFonts w:eastAsia="Times New Roman" w:cs="Times New Roman" w:ascii="Arial" w:hAnsi="Arial"/>
          <w:lang w:eastAsia="pt-BR"/>
        </w:rPr>
        <w:t xml:space="preserve"> sobre os seus termos, devendo protocolar o pedido até 3 (três) dias úteis antes da data de abertura do certame.</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lang w:eastAsia="pt-BR"/>
        </w:rPr>
        <w:t>4.2.</w:t>
      </w:r>
      <w:r>
        <w:rPr>
          <w:rFonts w:eastAsia="Times New Roman" w:cs="Times New Roman" w:ascii="Arial" w:hAnsi="Arial"/>
          <w:lang w:eastAsia="pt-BR"/>
        </w:rPr>
        <w:t xml:space="preserve"> A resposta à impugnação ou ao pedido de esclarecimento será divulgada em sítio eletrônico oficial no prazo de até 3 (três) dias úteis, limitado ao último dia útil anterior à data da abertura do certame.</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lang w:eastAsia="pt-BR"/>
        </w:rPr>
        <w:t>4.3.</w:t>
      </w:r>
      <w:r>
        <w:rPr>
          <w:rFonts w:eastAsia="Times New Roman" w:cs="Times New Roman" w:ascii="Arial" w:hAnsi="Arial"/>
          <w:lang w:eastAsia="pt-BR"/>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bCs/>
          <w:lang w:eastAsia="pt-BR"/>
        </w:rPr>
        <w:t>4.4. DO CREDENCIAMENTO PARA PARTICIPAR DO CERTAME</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bCs/>
          <w:lang w:eastAsia="pt-BR"/>
        </w:rPr>
        <w:t xml:space="preserve">4.4.1. </w:t>
      </w:r>
      <w:r>
        <w:rPr>
          <w:rFonts w:eastAsia="Times New Roman" w:cs="Arial" w:ascii="Arial" w:hAnsi="Arial"/>
          <w:lang w:eastAsia="pt-BR"/>
        </w:rPr>
        <w:t xml:space="preserve">O credenciamento é o nível básico do registro cadastral no SICAF, que permite a participação dos interessados na modalidade licitatória Pregão, em sua forma eletrônica. </w:t>
      </w:r>
    </w:p>
    <w:p>
      <w:pPr>
        <w:pStyle w:val="Normal"/>
        <w:spacing w:lineRule="auto" w:line="240"/>
        <w:jc w:val="both"/>
        <w:rPr>
          <w:rFonts w:ascii="Arial" w:hAnsi="Arial"/>
        </w:rPr>
      </w:pPr>
      <w:r>
        <w:rPr>
          <w:rFonts w:cs="Arial" w:ascii="Arial" w:hAnsi="Arial"/>
          <w:b/>
          <w:bCs/>
        </w:rPr>
        <w:t>4.4.2.</w:t>
      </w:r>
      <w:r>
        <w:rPr>
          <w:rFonts w:cs="Arial" w:ascii="Arial" w:hAnsi="Arial"/>
        </w:rPr>
        <w:t xml:space="preserve"> O cadastro no SICAF deverá ser feito no Portal de Compras do Governo Federal, no sítio compras.gov.br, por meio de certificado digital conferido pela Infraestrutura de Chaves Públicas Brasileira – ICP – Brasil. </w:t>
      </w:r>
    </w:p>
    <w:p>
      <w:pPr>
        <w:pStyle w:val="Normal"/>
        <w:spacing w:lineRule="auto" w:line="240"/>
        <w:jc w:val="both"/>
        <w:rPr>
          <w:rFonts w:ascii="Arial" w:hAnsi="Arial"/>
        </w:rPr>
      </w:pPr>
      <w:r>
        <w:rPr>
          <w:rFonts w:cs="Arial" w:ascii="Arial" w:hAnsi="Arial"/>
          <w:b/>
          <w:bCs/>
        </w:rPr>
        <w:t>4.4.3.</w:t>
      </w:r>
      <w:r>
        <w:rPr>
          <w:rFonts w:cs="Arial" w:ascii="Arial" w:hAnsi="Arial"/>
        </w:rPr>
        <w:t xml:space="preserve"> O credenciamento junto ao provedor do sistema implica a responsabilidade do proponente ou de seu representante legal e a presunção de sua capacidade técnica para realização das transações inerentes a este Pregão. </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bCs/>
          <w:lang w:eastAsia="pt-BR"/>
        </w:rPr>
        <w:t>4.4.4.</w:t>
      </w:r>
      <w:r>
        <w:rPr>
          <w:rFonts w:eastAsia="Times New Roman" w:cs="Times New Roman" w:ascii="Arial" w:hAnsi="Arial"/>
          <w:lang w:eastAsia="pt-BR"/>
        </w:rPr>
        <w:t xml:space="preserve"> O proponente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240"/>
        <w:jc w:val="both"/>
        <w:rPr>
          <w:rFonts w:ascii="Arial" w:hAnsi="Arial"/>
        </w:rPr>
      </w:pPr>
      <w:r>
        <w:rPr>
          <w:rFonts w:cs="Arial" w:ascii="Arial" w:hAnsi="Arial"/>
          <w:b/>
          <w:bCs/>
        </w:rPr>
        <w:t>4.4.5.</w:t>
      </w:r>
      <w:r>
        <w:rPr>
          <w:rFonts w:cs="Arial" w:ascii="Arial" w:hAnsi="Arial"/>
        </w:rPr>
        <w:t xml:space="preserve"> É de responsabilidade do cadastrador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bCs/>
          <w:lang w:eastAsia="pt-BR"/>
        </w:rPr>
        <w:t>4.4.6.</w:t>
      </w:r>
      <w:r>
        <w:rPr>
          <w:rFonts w:eastAsia="Times New Roman" w:cs="Times New Roman" w:ascii="Arial" w:hAnsi="Arial"/>
          <w:lang w:eastAsia="pt-BR"/>
        </w:rPr>
        <w:t xml:space="preserve"> A não observância do disposto no subitem anterior poderá ensejar na inabilitação no momento do julgamento.</w:t>
      </w:r>
    </w:p>
    <w:p>
      <w:pPr>
        <w:pStyle w:val="Normal"/>
        <w:spacing w:lineRule="auto" w:line="240"/>
        <w:jc w:val="both"/>
        <w:rPr>
          <w:rFonts w:ascii="Arial" w:hAnsi="Arial"/>
        </w:rPr>
      </w:pPr>
      <w:r>
        <w:rPr>
          <w:rFonts w:cs="Arial" w:ascii="Arial" w:hAnsi="Arial"/>
          <w:b/>
          <w:bCs/>
        </w:rPr>
        <w:t>4.4.7.</w:t>
      </w:r>
      <w:r>
        <w:rPr>
          <w:rFonts w:cs="Arial" w:ascii="Arial" w:hAnsi="Arial"/>
        </w:rPr>
        <w:t xml:space="preserve"> </w:t>
      </w:r>
      <w:r>
        <w:rPr>
          <w:rFonts w:cs="Arial" w:ascii="Arial" w:hAnsi="Arial"/>
          <w:b/>
        </w:rPr>
        <w:t>Para participação no Pregão, o proponente deverá assinalar em campo próprio do sistema eletrônico, relativo às seguintes declarações, sob pena de inabilitação/desclassificação</w:t>
      </w:r>
      <w:r>
        <w:rPr>
          <w:rFonts w:cs="Arial" w:ascii="Arial" w:hAnsi="Arial"/>
        </w:rPr>
        <w:t xml:space="preserve">: </w:t>
      </w:r>
    </w:p>
    <w:p>
      <w:pPr>
        <w:pStyle w:val="Normal"/>
        <w:spacing w:lineRule="auto" w:line="240"/>
        <w:jc w:val="both"/>
        <w:rPr>
          <w:rFonts w:ascii="Arial" w:hAnsi="Arial"/>
        </w:rPr>
      </w:pPr>
      <w:r>
        <w:rPr>
          <w:rFonts w:cs="Arial" w:ascii="Arial" w:hAnsi="Arial"/>
          <w:b/>
          <w:bCs/>
        </w:rPr>
        <w:t xml:space="preserve">4.4.7. </w:t>
      </w:r>
      <w:r>
        <w:rPr>
          <w:rFonts w:cs="Arial" w:ascii="Arial" w:hAnsi="Arial"/>
        </w:rPr>
        <w:t xml:space="preserve">Que cumpre os requisitos estabelecidos no artigo 3° da Lei Complementar nº 123, de 2006, estando apto a usufruir do tratamento favorecido estabelecido em seus arts. 42 a 49, se for o caso; </w:t>
      </w:r>
    </w:p>
    <w:p>
      <w:pPr>
        <w:pStyle w:val="Normal"/>
        <w:spacing w:lineRule="auto" w:line="240"/>
        <w:jc w:val="both"/>
        <w:rPr>
          <w:rFonts w:ascii="Arial" w:hAnsi="Arial"/>
        </w:rPr>
      </w:pPr>
      <w:r>
        <w:rPr>
          <w:rFonts w:cs="Arial" w:ascii="Arial" w:hAnsi="Arial"/>
          <w:b/>
          <w:bCs/>
        </w:rPr>
        <w:t>4.4.8.</w:t>
      </w:r>
      <w:r>
        <w:rPr>
          <w:rFonts w:cs="Arial" w:ascii="Arial" w:hAnsi="Arial"/>
        </w:rPr>
        <w:t xml:space="preserve"> Que está ciente e concorda com as condições contidas no Edital e seus anexos; </w:t>
      </w:r>
    </w:p>
    <w:p>
      <w:pPr>
        <w:pStyle w:val="Normal"/>
        <w:spacing w:lineRule="auto" w:line="240"/>
        <w:jc w:val="both"/>
        <w:rPr>
          <w:rFonts w:ascii="Arial" w:hAnsi="Arial"/>
        </w:rPr>
      </w:pPr>
      <w:r>
        <w:rPr>
          <w:rFonts w:cs="Arial" w:ascii="Arial" w:hAnsi="Arial"/>
          <w:b/>
          <w:bCs/>
        </w:rPr>
        <w:t>4.4.9.</w:t>
      </w:r>
      <w:r>
        <w:rPr>
          <w:rFonts w:cs="Arial" w:ascii="Arial" w:hAnsi="Arial"/>
        </w:rPr>
        <w:t xml:space="preserve"> Que cumpre os requisitos para a habilitação definidos no Edital e que a proposta apresentada está em conformidade com as exigências editalícias; </w:t>
      </w:r>
    </w:p>
    <w:p>
      <w:pPr>
        <w:pStyle w:val="Normal"/>
        <w:spacing w:lineRule="auto" w:line="240"/>
        <w:jc w:val="both"/>
        <w:rPr>
          <w:rFonts w:ascii="Arial" w:hAnsi="Arial"/>
        </w:rPr>
      </w:pPr>
      <w:r>
        <w:rPr>
          <w:rFonts w:cs="Arial" w:ascii="Arial" w:hAnsi="Arial"/>
          <w:b/>
          <w:bCs/>
        </w:rPr>
        <w:t>4.</w:t>
      </w:r>
      <w:r>
        <w:rPr>
          <w:rFonts w:eastAsia="Calibri" w:cs="Arial" w:ascii="Arial" w:hAnsi="Arial"/>
          <w:b/>
          <w:bCs/>
        </w:rPr>
        <w:t>4.10.</w:t>
      </w:r>
      <w:r>
        <w:rPr>
          <w:rFonts w:eastAsia="Calibri" w:cs="Arial" w:ascii="Arial" w:hAnsi="Arial"/>
        </w:rPr>
        <w:t xml:space="preserve"> </w:t>
      </w:r>
      <w:r>
        <w:rPr>
          <w:rFonts w:cs="Arial" w:ascii="Arial" w:hAnsi="Arial"/>
        </w:rPr>
        <w:t xml:space="preserve">Que inexistem fatos impeditivos para sua habilitação no certame, ciente da obrigatoriedade de declarar ocorrências posteriores; </w:t>
      </w:r>
    </w:p>
    <w:p>
      <w:pPr>
        <w:pStyle w:val="Normal"/>
        <w:spacing w:lineRule="auto" w:line="240"/>
        <w:jc w:val="both"/>
        <w:rPr>
          <w:rFonts w:ascii="Arial" w:hAnsi="Arial"/>
        </w:rPr>
      </w:pPr>
      <w:r>
        <w:rPr>
          <w:rFonts w:cs="Arial" w:ascii="Arial" w:hAnsi="Arial"/>
          <w:b/>
          <w:bCs/>
        </w:rPr>
        <w:t>4.</w:t>
      </w:r>
      <w:r>
        <w:rPr>
          <w:rFonts w:eastAsia="Calibri" w:cs="Arial" w:ascii="Arial" w:hAnsi="Arial"/>
          <w:b/>
          <w:bCs/>
        </w:rPr>
        <w:t>4.11.</w:t>
      </w:r>
      <w:r>
        <w:rPr>
          <w:rFonts w:eastAsia="Calibri" w:cs="Arial" w:ascii="Arial" w:hAnsi="Arial"/>
        </w:rPr>
        <w:t xml:space="preserve"> </w:t>
      </w:r>
      <w:r>
        <w:rPr>
          <w:rFonts w:cs="Arial" w:ascii="Arial" w:hAnsi="Arial"/>
        </w:rPr>
        <w:t xml:space="preserve">Que não emprega menor de 18 anos em trabalho noturno, perigoso ou insalubre e não emprega menor de 16 anos, salvo menor, a partir de 14 anos, na condição de aprendiz, nos termos do artigo 7°, XXXIII, da Constituição; </w:t>
      </w:r>
    </w:p>
    <w:p>
      <w:pPr>
        <w:pStyle w:val="Normal"/>
        <w:spacing w:lineRule="auto" w:line="240"/>
        <w:jc w:val="both"/>
        <w:rPr>
          <w:rFonts w:ascii="Arial" w:hAnsi="Arial"/>
        </w:rPr>
      </w:pPr>
      <w:r>
        <w:rPr>
          <w:rFonts w:cs="Arial" w:ascii="Arial" w:hAnsi="Arial"/>
          <w:b/>
          <w:bCs/>
        </w:rPr>
        <w:t>4.</w:t>
      </w:r>
      <w:r>
        <w:rPr>
          <w:rFonts w:eastAsia="Calibri" w:cs="Arial" w:ascii="Arial" w:hAnsi="Arial"/>
          <w:b/>
          <w:bCs/>
        </w:rPr>
        <w:t>4.12.</w:t>
      </w:r>
      <w:r>
        <w:rPr>
          <w:rFonts w:eastAsia="Calibri" w:cs="Arial" w:ascii="Arial" w:hAnsi="Arial"/>
        </w:rPr>
        <w:t xml:space="preserve"> </w:t>
      </w:r>
      <w:r>
        <w:rPr>
          <w:rFonts w:cs="Arial" w:ascii="Arial" w:hAnsi="Arial"/>
        </w:rPr>
        <w:t xml:space="preserve">A declaração falsa relativa ao cumprimento de qualquer condição sujeitará o proponente às sanções previstas em lei e neste Edital. </w:t>
      </w:r>
    </w:p>
    <w:p>
      <w:pPr>
        <w:pStyle w:val="Normal"/>
        <w:widowControl w:val="false"/>
        <w:tabs>
          <w:tab w:val="clear" w:pos="720"/>
          <w:tab w:val="left" w:pos="1701" w:leader="none"/>
        </w:tabs>
        <w:spacing w:lineRule="auto" w:line="240"/>
        <w:jc w:val="both"/>
        <w:textAlignment w:val="baseline"/>
        <w:rPr>
          <w:rFonts w:ascii="Arial" w:hAnsi="Arial"/>
        </w:rPr>
      </w:pPr>
      <w:r>
        <w:rPr>
          <w:rFonts w:eastAsia="Times New Roman" w:cs="Times New Roman" w:ascii="Arial" w:hAnsi="Arial"/>
          <w:b/>
          <w:bCs/>
          <w:lang w:eastAsia="pt-BR"/>
        </w:rPr>
        <w:t>4.4.13.</w:t>
      </w:r>
      <w:r>
        <w:rPr>
          <w:rFonts w:eastAsia="Times New Roman" w:cs="Times New Roman" w:ascii="Arial" w:hAnsi="Arial"/>
          <w:lang w:eastAsia="pt-BR"/>
        </w:rPr>
        <w:t xml:space="preserve"> Nenhuma pessoa, ainda que munida de procuração, poderá representar mais de uma empresa no(s) mesmo(s) item(ns)/lote(s) deste processo, sob pena de exclusão sumária de ambos os proponentes representados.</w:t>
      </w:r>
    </w:p>
    <w:p>
      <w:pPr>
        <w:pStyle w:val="Normal"/>
        <w:shd w:val="clear" w:color="auto" w:fill="AEAAAA" w:themeFill="background2" w:themeFillShade="bf"/>
        <w:tabs>
          <w:tab w:val="clear" w:pos="720"/>
          <w:tab w:val="left" w:pos="1701" w:leader="none"/>
        </w:tabs>
        <w:spacing w:lineRule="auto" w:line="240"/>
        <w:jc w:val="both"/>
        <w:rPr>
          <w:rFonts w:ascii="Arial" w:hAnsi="Arial"/>
        </w:rPr>
      </w:pPr>
      <w:r>
        <w:rPr>
          <w:rFonts w:cs="Times New Roman" w:ascii="Arial" w:hAnsi="Arial"/>
          <w:b/>
        </w:rPr>
        <w:t>5. VEDAÇÕES PARA DISPUTAR O CERTAME E PARTICIPAR DA EXECUÇÃO DO CONTRATO</w:t>
      </w:r>
    </w:p>
    <w:p>
      <w:pPr>
        <w:pStyle w:val="Normal"/>
        <w:tabs>
          <w:tab w:val="clear" w:pos="720"/>
          <w:tab w:val="left" w:pos="1701" w:leader="none"/>
        </w:tabs>
        <w:spacing w:lineRule="auto" w:line="240"/>
        <w:jc w:val="both"/>
        <w:rPr>
          <w:rFonts w:ascii="Arial" w:hAnsi="Arial"/>
        </w:rPr>
      </w:pPr>
      <w:r>
        <w:rPr>
          <w:rFonts w:cs="Times New Roman" w:ascii="Arial" w:hAnsi="Arial"/>
          <w:b/>
        </w:rPr>
        <w:t>5.1.</w:t>
      </w:r>
      <w:r>
        <w:rPr>
          <w:rFonts w:cs="Times New Roman" w:ascii="Arial" w:hAnsi="Arial"/>
        </w:rPr>
        <w:t xml:space="preserve"> São vedações para disputar o certame e participar da execução do contrato, direta ou indiretamente:</w:t>
      </w:r>
    </w:p>
    <w:p>
      <w:pPr>
        <w:pStyle w:val="ListParagraph"/>
        <w:widowControl w:val="false"/>
        <w:numPr>
          <w:ilvl w:val="0"/>
          <w:numId w:val="2"/>
        </w:numPr>
        <w:tabs>
          <w:tab w:val="clear" w:pos="720"/>
          <w:tab w:val="left" w:pos="1134" w:leader="none"/>
          <w:tab w:val="left" w:pos="1701" w:leader="none"/>
        </w:tabs>
        <w:ind w:left="567" w:hanging="0"/>
        <w:jc w:val="both"/>
        <w:textAlignment w:val="baseline"/>
        <w:rPr>
          <w:rFonts w:ascii="Arial" w:hAnsi="Arial"/>
          <w:sz w:val="22"/>
          <w:szCs w:val="22"/>
        </w:rPr>
      </w:pPr>
      <w:r>
        <w:rPr>
          <w:rFonts w:ascii="Arial" w:hAnsi="Arial"/>
          <w:sz w:val="22"/>
          <w:szCs w:val="22"/>
        </w:rPr>
        <w:t>Agente público de órgão ou entidade licitante ou contratante, devendo ser observadas as situações que possam configurar conflito de interesses no exercício ou após o exercício do cargo ou emprego, nos termos da legislação que disciplina a matéria;</w:t>
      </w:r>
    </w:p>
    <w:p>
      <w:pPr>
        <w:pStyle w:val="ListParagraph"/>
        <w:tabs>
          <w:tab w:val="clear" w:pos="720"/>
          <w:tab w:val="left" w:pos="1701" w:leader="none"/>
        </w:tabs>
        <w:ind w:left="851" w:hanging="0"/>
        <w:jc w:val="both"/>
        <w:rPr>
          <w:rFonts w:ascii="Arial" w:hAnsi="Arial"/>
          <w:sz w:val="22"/>
          <w:szCs w:val="22"/>
        </w:rPr>
      </w:pPr>
      <w:r>
        <w:rPr>
          <w:rFonts w:ascii="Arial" w:hAnsi="Arial"/>
          <w:b/>
          <w:sz w:val="22"/>
          <w:szCs w:val="22"/>
        </w:rPr>
        <w:t>Obs. 1:</w:t>
      </w:r>
      <w:r>
        <w:rPr>
          <w:rFonts w:ascii="Arial" w:hAnsi="Arial"/>
          <w:sz w:val="22"/>
          <w:szCs w:val="22"/>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2"/>
        </w:numPr>
        <w:tabs>
          <w:tab w:val="clear" w:pos="720"/>
          <w:tab w:val="left" w:pos="1134" w:leader="none"/>
        </w:tabs>
        <w:ind w:left="567" w:hanging="0"/>
        <w:jc w:val="both"/>
        <w:textAlignment w:val="baseline"/>
        <w:rPr>
          <w:rFonts w:ascii="Arial" w:hAnsi="Arial"/>
          <w:sz w:val="22"/>
          <w:szCs w:val="22"/>
        </w:rPr>
      </w:pPr>
      <w:r>
        <w:rPr>
          <w:rFonts w:ascii="Arial" w:hAnsi="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Equiparam-se aos autores do projeto as empresas integrantes do mesmo grupo econômico.</w:t>
      </w:r>
    </w:p>
    <w:p>
      <w:pPr>
        <w:pStyle w:val="ListParagraph"/>
        <w:tabs>
          <w:tab w:val="clear" w:pos="720"/>
          <w:tab w:val="left" w:pos="1701" w:leader="none"/>
        </w:tabs>
        <w:ind w:left="851" w:hanging="0"/>
        <w:jc w:val="both"/>
        <w:rPr>
          <w:rFonts w:ascii="Arial" w:hAnsi="Arial"/>
          <w:sz w:val="22"/>
          <w:szCs w:val="22"/>
        </w:rPr>
      </w:pPr>
      <w:r>
        <w:rPr>
          <w:rFonts w:ascii="Arial" w:hAnsi="Arial"/>
          <w:b/>
          <w:sz w:val="22"/>
          <w:szCs w:val="22"/>
        </w:rPr>
        <w:t>Obs. 1:</w:t>
      </w:r>
      <w:r>
        <w:rPr>
          <w:rFonts w:ascii="Arial" w:hAnsi="Arial"/>
          <w:sz w:val="22"/>
          <w:szCs w:val="22"/>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2"/>
        </w:numPr>
        <w:tabs>
          <w:tab w:val="clear" w:pos="720"/>
          <w:tab w:val="left" w:pos="1134" w:leader="none"/>
        </w:tabs>
        <w:ind w:left="567" w:hanging="0"/>
        <w:jc w:val="both"/>
        <w:textAlignment w:val="baseline"/>
        <w:rPr>
          <w:rFonts w:ascii="Arial" w:hAnsi="Arial"/>
          <w:sz w:val="22"/>
          <w:szCs w:val="22"/>
        </w:rPr>
      </w:pPr>
      <w:r>
        <w:rPr>
          <w:rFonts w:ascii="Arial" w:hAnsi="Arial"/>
          <w:sz w:val="22"/>
          <w:szCs w:val="22"/>
        </w:rPr>
        <w:t>Pessoa física ou jurídica que se encontre, ao tempo da licitação, impossibilitada de participar da licitação em decorrência de sanção que lhe foi imposta.</w:t>
      </w:r>
    </w:p>
    <w:p>
      <w:pPr>
        <w:pStyle w:val="ListParagraph"/>
        <w:tabs>
          <w:tab w:val="clear" w:pos="720"/>
          <w:tab w:val="left" w:pos="1701" w:leader="none"/>
        </w:tabs>
        <w:ind w:left="851" w:hanging="0"/>
        <w:jc w:val="both"/>
        <w:rPr>
          <w:rFonts w:ascii="Arial" w:hAnsi="Arial"/>
          <w:sz w:val="22"/>
          <w:szCs w:val="22"/>
        </w:rPr>
      </w:pPr>
      <w:r>
        <w:rPr>
          <w:rFonts w:ascii="Arial" w:hAnsi="Arial"/>
          <w:b/>
          <w:sz w:val="22"/>
          <w:szCs w:val="22"/>
        </w:rPr>
        <w:t>Obs. 1:</w:t>
      </w:r>
      <w:r>
        <w:rPr>
          <w:rFonts w:ascii="Arial" w:hAnsi="Arial"/>
          <w:sz w:val="22"/>
          <w:szCs w:val="22"/>
        </w:rPr>
        <w:t xml:space="preserve">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widowControl w:val="false"/>
        <w:numPr>
          <w:ilvl w:val="0"/>
          <w:numId w:val="2"/>
        </w:numPr>
        <w:tabs>
          <w:tab w:val="clear" w:pos="720"/>
          <w:tab w:val="left" w:pos="1134" w:leader="none"/>
        </w:tabs>
        <w:ind w:left="567" w:hanging="0"/>
        <w:jc w:val="both"/>
        <w:textAlignment w:val="baseline"/>
        <w:rPr>
          <w:rFonts w:ascii="Arial" w:hAnsi="Arial"/>
          <w:sz w:val="22"/>
          <w:szCs w:val="22"/>
        </w:rPr>
      </w:pPr>
      <w:r>
        <w:rPr>
          <w:rFonts w:ascii="Arial" w:hAnsi="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pStyle w:val="ListParagraph"/>
        <w:widowControl w:val="false"/>
        <w:numPr>
          <w:ilvl w:val="0"/>
          <w:numId w:val="2"/>
        </w:numPr>
        <w:tabs>
          <w:tab w:val="clear" w:pos="720"/>
          <w:tab w:val="left" w:pos="1134" w:leader="none"/>
        </w:tabs>
        <w:ind w:left="567" w:hanging="0"/>
        <w:jc w:val="both"/>
        <w:textAlignment w:val="baseline"/>
        <w:rPr/>
      </w:pPr>
      <w:r>
        <w:rPr>
          <w:rFonts w:ascii="Arial" w:hAnsi="Arial"/>
          <w:sz w:val="22"/>
          <w:szCs w:val="22"/>
        </w:rPr>
        <w:t>Empresas controladoras, controladas ou coligadas, nos termos da </w:t>
      </w:r>
      <w:hyperlink r:id="rId4">
        <w:r>
          <w:rPr>
            <w:rStyle w:val="LinkdaInternet"/>
            <w:rFonts w:ascii="Arial" w:hAnsi="Arial"/>
            <w:sz w:val="22"/>
            <w:szCs w:val="22"/>
          </w:rPr>
          <w:t>Lei nº 6.404, de 15 de dezembro de 1976 – Dispõe sobre as Sociedades por Ações</w:t>
        </w:r>
      </w:hyperlink>
      <w:r>
        <w:rPr>
          <w:rFonts w:ascii="Arial" w:hAnsi="Arial"/>
          <w:sz w:val="22"/>
          <w:szCs w:val="22"/>
        </w:rPr>
        <w:t>, concorrendo entre si;</w:t>
      </w:r>
    </w:p>
    <w:p>
      <w:pPr>
        <w:pStyle w:val="ListParagraph"/>
        <w:widowControl w:val="false"/>
        <w:numPr>
          <w:ilvl w:val="0"/>
          <w:numId w:val="2"/>
        </w:numPr>
        <w:tabs>
          <w:tab w:val="clear" w:pos="720"/>
          <w:tab w:val="left" w:pos="1134" w:leader="none"/>
        </w:tabs>
        <w:ind w:left="567" w:hanging="0"/>
        <w:jc w:val="both"/>
        <w:textAlignment w:val="baseline"/>
        <w:rPr>
          <w:rFonts w:ascii="Arial" w:hAnsi="Arial"/>
          <w:sz w:val="22"/>
          <w:szCs w:val="22"/>
        </w:rPr>
      </w:pPr>
      <w:r>
        <w:rPr>
          <w:rFonts w:ascii="Arial" w:hAnsi="Arial"/>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widowControl w:val="false"/>
        <w:numPr>
          <w:ilvl w:val="0"/>
          <w:numId w:val="2"/>
        </w:numPr>
        <w:tabs>
          <w:tab w:val="clear" w:pos="720"/>
          <w:tab w:val="left" w:pos="1134" w:leader="none"/>
        </w:tabs>
        <w:ind w:left="567" w:hanging="0"/>
        <w:jc w:val="both"/>
        <w:textAlignment w:val="baseline"/>
        <w:rPr>
          <w:rFonts w:ascii="Arial" w:hAnsi="Arial"/>
          <w:sz w:val="22"/>
          <w:szCs w:val="22"/>
        </w:rPr>
      </w:pPr>
      <w:r>
        <w:rPr>
          <w:rFonts w:ascii="Arial" w:hAnsi="Arial"/>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widowControl w:val="false"/>
        <w:numPr>
          <w:ilvl w:val="0"/>
          <w:numId w:val="2"/>
        </w:numPr>
        <w:tabs>
          <w:tab w:val="clear" w:pos="720"/>
          <w:tab w:val="left" w:pos="1134" w:leader="none"/>
        </w:tabs>
        <w:ind w:left="567" w:hanging="0"/>
        <w:jc w:val="both"/>
        <w:textAlignment w:val="baseline"/>
        <w:rPr>
          <w:rFonts w:ascii="Arial" w:hAnsi="Arial"/>
          <w:sz w:val="22"/>
          <w:szCs w:val="22"/>
        </w:rPr>
      </w:pPr>
      <w:r>
        <w:rPr>
          <w:rFonts w:ascii="Arial" w:hAnsi="Arial"/>
          <w:sz w:val="22"/>
          <w:szCs w:val="22"/>
        </w:rPr>
        <w:t>É impedida a empresa consorciada participar, na mesma licitação, de mais de um consórcio ou de forma isolada;</w:t>
      </w:r>
    </w:p>
    <w:p>
      <w:pPr>
        <w:pStyle w:val="ListParagraph"/>
        <w:widowControl w:val="false"/>
        <w:numPr>
          <w:ilvl w:val="0"/>
          <w:numId w:val="2"/>
        </w:numPr>
        <w:tabs>
          <w:tab w:val="clear" w:pos="720"/>
          <w:tab w:val="left" w:pos="1134" w:leader="none"/>
        </w:tabs>
        <w:ind w:left="567" w:hanging="0"/>
        <w:jc w:val="both"/>
        <w:textAlignment w:val="baseline"/>
        <w:rPr>
          <w:rFonts w:ascii="Arial" w:hAnsi="Arial"/>
          <w:sz w:val="22"/>
          <w:szCs w:val="22"/>
        </w:rPr>
      </w:pPr>
      <w:r>
        <w:rPr>
          <w:rFonts w:ascii="Arial" w:hAnsi="Arial"/>
          <w:sz w:val="22"/>
          <w:szCs w:val="22"/>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pPr>
        <w:pStyle w:val="ListParagraph"/>
        <w:widowControl w:val="false"/>
        <w:numPr>
          <w:ilvl w:val="0"/>
          <w:numId w:val="2"/>
        </w:numPr>
        <w:tabs>
          <w:tab w:val="clear" w:pos="720"/>
          <w:tab w:val="left" w:pos="1134" w:leader="none"/>
        </w:tabs>
        <w:ind w:left="567" w:hanging="0"/>
        <w:jc w:val="both"/>
        <w:textAlignment w:val="baseline"/>
        <w:rPr>
          <w:rFonts w:ascii="Arial" w:hAnsi="Arial"/>
          <w:sz w:val="22"/>
          <w:szCs w:val="22"/>
        </w:rPr>
      </w:pPr>
      <w:r>
        <w:rPr>
          <w:rFonts w:ascii="Arial" w:hAnsi="Arial"/>
          <w:sz w:val="22"/>
          <w:szCs w:val="22"/>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Normal"/>
        <w:tabs>
          <w:tab w:val="clear" w:pos="720"/>
          <w:tab w:val="left" w:pos="1701" w:leader="none"/>
        </w:tabs>
        <w:spacing w:lineRule="auto" w:line="240"/>
        <w:jc w:val="both"/>
        <w:rPr>
          <w:rFonts w:ascii="Arial" w:hAnsi="Arial"/>
        </w:rPr>
      </w:pPr>
      <w:r>
        <w:rPr>
          <w:rFonts w:cs="Times New Roman" w:ascii="Arial" w:hAnsi="Arial"/>
          <w:b/>
        </w:rPr>
        <w:t>5.2.</w:t>
      </w:r>
      <w:r>
        <w:rPr>
          <w:rFonts w:cs="Times New Roman" w:ascii="Arial" w:hAnsi="Arial"/>
        </w:rPr>
        <w:t xml:space="preserve"> O licitante </w:t>
      </w:r>
      <w:r>
        <w:rPr>
          <w:rFonts w:cs="Times New Roman" w:ascii="Arial" w:hAnsi="Arial"/>
          <w:b/>
        </w:rPr>
        <w:t>deverá</w:t>
      </w:r>
      <w:r>
        <w:rPr>
          <w:rFonts w:cs="Times New Roman" w:ascii="Arial" w:hAnsi="Arial"/>
        </w:rPr>
        <w:t xml:space="preserve"> apresentar declaração que não incorre nos impedimentos (ANEXO III).</w:t>
      </w:r>
    </w:p>
    <w:p>
      <w:pPr>
        <w:pStyle w:val="Normal"/>
        <w:spacing w:lineRule="auto" w:line="240"/>
        <w:jc w:val="both"/>
        <w:rPr>
          <w:rFonts w:ascii="Arial" w:hAnsi="Arial"/>
        </w:rPr>
      </w:pPr>
      <w:r>
        <w:rPr>
          <w:rFonts w:cs="Arial" w:ascii="Arial" w:hAnsi="Arial"/>
          <w:b/>
          <w:bCs/>
        </w:rPr>
        <w:t>5.3.</w:t>
      </w:r>
      <w:r>
        <w:rPr>
          <w:rFonts w:cs="Arial" w:ascii="Arial" w:hAnsi="Arial"/>
        </w:rPr>
        <w:t xml:space="preserve"> A participação no certame se dará por meio da digitação da senha pessoal e intransferível do representante credenciado, e subsequente encaminhamento da proposta de preços e dos documentos de habilitação, exclusivamente, por meio do sistema eletrônico através do site compras.gov.br, observando a data e o horário limite estabelecido no item 1 deste Edital. </w:t>
      </w:r>
    </w:p>
    <w:p>
      <w:pPr>
        <w:pStyle w:val="Normal"/>
        <w:spacing w:lineRule="auto" w:line="240"/>
        <w:jc w:val="both"/>
        <w:rPr>
          <w:rFonts w:ascii="Arial" w:hAnsi="Arial"/>
        </w:rPr>
      </w:pPr>
      <w:r>
        <w:rPr>
          <w:rFonts w:cs="Arial" w:ascii="Arial" w:hAnsi="Arial"/>
          <w:b/>
          <w:bCs/>
        </w:rPr>
        <w:t>5.4.</w:t>
      </w:r>
      <w:r>
        <w:rPr>
          <w:rFonts w:cs="Arial" w:ascii="Arial" w:hAnsi="Arial"/>
        </w:rPr>
        <w:t xml:space="preserve"> Poderão participar deste Pregão proponente cujo ramo de atividade seja compatível com o objeto desta licitação, e que estejam com Credenciamento regular no Sistema de Cadastramento Unificado de Fornecedores – SICAF, conforme disposto no art. 9º da IN SEGES/MP nº 3, de 2018. </w:t>
      </w:r>
    </w:p>
    <w:p>
      <w:pPr>
        <w:pStyle w:val="Normal"/>
        <w:spacing w:lineRule="auto" w:line="240"/>
        <w:jc w:val="both"/>
        <w:rPr>
          <w:rFonts w:ascii="Arial" w:hAnsi="Arial"/>
        </w:rPr>
      </w:pPr>
      <w:r>
        <w:rPr>
          <w:rFonts w:cs="Arial" w:ascii="Arial" w:hAnsi="Arial"/>
          <w:b/>
          <w:bCs/>
        </w:rPr>
        <w:t>5.</w:t>
      </w:r>
      <w:r>
        <w:rPr>
          <w:rFonts w:eastAsia="Calibri" w:cs="Arial" w:ascii="Arial" w:hAnsi="Arial"/>
          <w:b/>
          <w:bCs/>
        </w:rPr>
        <w:t>5.</w:t>
      </w:r>
      <w:r>
        <w:rPr>
          <w:rFonts w:eastAsia="Calibri" w:cs="Arial" w:ascii="Arial" w:hAnsi="Arial"/>
        </w:rPr>
        <w:t xml:space="preserve"> </w:t>
      </w:r>
      <w:r>
        <w:rPr>
          <w:rFonts w:cs="Arial" w:ascii="Arial" w:hAnsi="Arial"/>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pPr>
        <w:pStyle w:val="Normal"/>
        <w:spacing w:lineRule="auto" w:line="240"/>
        <w:jc w:val="both"/>
        <w:rPr>
          <w:rFonts w:ascii="Arial" w:hAnsi="Arial"/>
        </w:rPr>
      </w:pPr>
      <w:r>
        <w:rPr>
          <w:rFonts w:cs="Arial" w:ascii="Arial" w:hAnsi="Arial"/>
          <w:b/>
          <w:bCs/>
        </w:rPr>
        <w:t>5.</w:t>
      </w:r>
      <w:r>
        <w:rPr>
          <w:rFonts w:eastAsia="Calibri" w:cs="Arial" w:ascii="Arial" w:hAnsi="Arial"/>
          <w:b/>
          <w:bCs/>
        </w:rPr>
        <w:t>6.</w:t>
      </w:r>
      <w:r>
        <w:rPr>
          <w:rFonts w:eastAsia="Calibri" w:cs="Arial" w:ascii="Arial" w:hAnsi="Arial"/>
        </w:rPr>
        <w:t xml:space="preserve"> </w:t>
      </w:r>
      <w:r>
        <w:rPr>
          <w:rFonts w:cs="Arial" w:ascii="Arial" w:hAnsi="Arial"/>
        </w:rPr>
        <w:t>No caso de desconexão com o Pregoeiro no decorrer da etapa competitiva do Pregão, o sistema eletrônico poderá permanecer acessível aos proponentes para a recepção dos lances, retornando o Pregoeiro, quando possível, sua atuação no certame, sem prejuízo dos atos realizados.</w:t>
      </w:r>
    </w:p>
    <w:p>
      <w:pPr>
        <w:pStyle w:val="Normal"/>
        <w:widowControl w:val="false"/>
        <w:shd w:val="clear" w:color="auto" w:fill="AEAAAA" w:themeFill="background2" w:themeFillShade="bf"/>
        <w:tabs>
          <w:tab w:val="clear" w:pos="720"/>
          <w:tab w:val="left" w:pos="1701" w:leader="none"/>
        </w:tabs>
        <w:spacing w:lineRule="auto" w:line="240"/>
        <w:jc w:val="both"/>
        <w:textAlignment w:val="baseline"/>
        <w:rPr/>
      </w:pPr>
      <w:r>
        <w:rPr>
          <w:rFonts w:eastAsia="Times New Roman" w:cs="Times New Roman" w:ascii="Arial" w:hAnsi="Arial"/>
          <w:b/>
          <w:lang w:eastAsia="pt-BR"/>
        </w:rPr>
        <w:t xml:space="preserve">6. CUMPRIMENTO DA </w:t>
      </w:r>
      <w:hyperlink r:id="rId5">
        <w:r>
          <w:rPr>
            <w:rFonts w:eastAsia="Times New Roman" w:cs="Times New Roman" w:ascii="Arial" w:hAnsi="Arial"/>
            <w:b/>
            <w:color w:val="0563C1" w:themeColor="hyperlink"/>
            <w:u w:val="single"/>
            <w:lang w:eastAsia="pt-BR"/>
          </w:rPr>
          <w:t>LEI GERAL DE PROTEÇÃO DE DADOS (LEI Nº 13.709/2018)</w:t>
        </w:r>
      </w:hyperlink>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6.1.</w:t>
      </w:r>
      <w:r>
        <w:rPr>
          <w:rFonts w:eastAsia="Times New Roman" w:cs="Times New Roman" w:ascii="Arial" w:hAnsi="Arial"/>
          <w:lang w:eastAsia="pt-BR"/>
        </w:rPr>
        <w:t xml:space="preserve"> Para finalidade da efetiva participação do LICITANTE no certame, o MUNICÍPIO fará tratamento dos dados pessoais definidos neste edital, dos representantes legais e outros, e, </w:t>
      </w:r>
      <w:r>
        <w:rPr>
          <w:rFonts w:eastAsia="Times New Roman" w:cs="Times New Roman" w:ascii="Arial" w:hAnsi="Arial"/>
          <w:iCs/>
          <w:lang w:eastAsia="pt-BR"/>
        </w:rPr>
        <w:t>zelará e responsabilizar-se-á pela proteção de dados e privacidade.</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6.2.</w:t>
      </w:r>
      <w:r>
        <w:rPr>
          <w:rFonts w:eastAsia="Times New Roman" w:cs="Times New Roman" w:ascii="Arial" w:hAnsi="Arial"/>
          <w:lang w:eastAsia="pt-BR"/>
        </w:rPr>
        <w:t xml:space="preserve"> </w:t>
      </w:r>
      <w:r>
        <w:rPr>
          <w:rFonts w:eastAsia="Times New Roman" w:cs="Times New Roman" w:ascii="Arial" w:hAnsi="Arial"/>
          <w:iCs/>
          <w:lang w:eastAsia="pt-BR"/>
        </w:rPr>
        <w:t xml:space="preserve">O </w:t>
      </w:r>
      <w:r>
        <w:rPr>
          <w:rFonts w:eastAsia="Times New Roman" w:cs="Times New Roman" w:ascii="Arial" w:hAnsi="Arial"/>
          <w:lang w:eastAsia="pt-BR"/>
        </w:rPr>
        <w:t>LICITANTE</w:t>
      </w:r>
      <w:r>
        <w:rPr>
          <w:rFonts w:eastAsia="Times New Roman" w:cs="Times New Roman" w:ascii="Arial" w:hAnsi="Arial"/>
          <w:iCs/>
          <w:lang w:eastAsia="pt-BR"/>
        </w:rPr>
        <w:t xml:space="preserve"> obriga-se durante a participação de todas as fases do certame, a atuar em conformidade com a legislação vigente sobre proteção de dados pessoais e dados pessoais sensíveis, em especial os regulamentos municipais e a Lei nº 13.709/2018 (LGPD), </w:t>
      </w:r>
      <w:r>
        <w:rPr>
          <w:rFonts w:eastAsia="Times New Roman" w:cs="Times New Roman" w:ascii="Arial" w:hAnsi="Arial"/>
          <w:lang w:eastAsia="pt-BR"/>
        </w:rPr>
        <w:t>empenhando-se em proceder a todo tratamento de dados pessoais que venha a mostrar-se necessário,</w:t>
      </w:r>
      <w:r>
        <w:rPr>
          <w:rFonts w:eastAsia="Times New Roman" w:cs="Times New Roman" w:ascii="Arial" w:hAnsi="Arial"/>
          <w:iCs/>
          <w:lang w:eastAsia="pt-BR"/>
        </w:rPr>
        <w:t xml:space="preserve"> em conformidade com este edital.</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6.3.</w:t>
      </w:r>
      <w:r>
        <w:rPr>
          <w:rFonts w:eastAsia="Times New Roman" w:cs="Times New Roman" w:ascii="Arial" w:hAnsi="Arial"/>
          <w:lang w:eastAsia="pt-BR"/>
        </w:rPr>
        <w:t xml:space="preserve"> </w:t>
      </w:r>
      <w:r>
        <w:rPr>
          <w:rFonts w:eastAsia="Times New Roman" w:cs="Times New Roman" w:ascii="Arial" w:hAnsi="Arial"/>
          <w:iCs/>
          <w:lang w:eastAsia="pt-BR"/>
        </w:rPr>
        <w:t>O MUNICÍPIO e o LICITANTE, quando do tratamento de dados pessoais, o fará de acordo com as bases legais previstas nas hipóteses dos arts. 7º, 11 e/ou 14 da Lei nº 13.709/2018 (LGPD), e para propósitos legítimos, específicos, explícitos e informados ao titular.</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6.4.</w:t>
      </w:r>
      <w:r>
        <w:rPr>
          <w:rFonts w:eastAsia="Times New Roman" w:cs="Times New Roman" w:ascii="Arial" w:hAnsi="Arial"/>
          <w:lang w:eastAsia="pt-BR"/>
        </w:rPr>
        <w:t xml:space="preserve"> </w:t>
      </w:r>
      <w:r>
        <w:rPr>
          <w:rFonts w:eastAsia="Times New Roman" w:cs="Times New Roman" w:ascii="Arial" w:hAnsi="Arial"/>
          <w:iCs/>
          <w:lang w:eastAsia="pt-BR"/>
        </w:rPr>
        <w:t>O LICITANTE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IV).</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6.5.</w:t>
      </w:r>
      <w:r>
        <w:rPr>
          <w:rFonts w:eastAsia="Times New Roman" w:cs="Times New Roman" w:ascii="Arial" w:hAnsi="Arial"/>
          <w:lang w:eastAsia="pt-BR"/>
        </w:rPr>
        <w:t xml:space="preserve"> É vedado ao LICITANTE a utilização de todo e qualquer dado pessoal repassado em decorrência do certame, para finalidade distinta da participação deste.</w:t>
      </w:r>
      <w:r>
        <w:rPr>
          <w:rFonts w:eastAsia="Times New Roman" w:cs="Times New Roman" w:ascii="Arial" w:hAnsi="Arial"/>
          <w:iCs/>
          <w:lang w:eastAsia="pt-BR"/>
        </w:rPr>
        <w:t xml:space="preserve"> As partes deverão, nos termos deste instrumento, cumprir com suas respectivas obrigações que lhes forem impostas de acordo com regulamentos e leis aplicáveis à proteção de dados pessoais.</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6.6.</w:t>
      </w:r>
      <w:r>
        <w:rPr>
          <w:rFonts w:eastAsia="Times New Roman" w:cs="Times New Roman" w:ascii="Arial" w:hAnsi="Arial"/>
          <w:lang w:eastAsia="pt-BR"/>
        </w:rPr>
        <w:t xml:space="preserve"> O LICITANTE fica obrigada a notificar o MUNICÍPIO, em até 24 (vinte e quatro) horas, </w:t>
      </w:r>
      <w:r>
        <w:rPr>
          <w:rFonts w:eastAsia="Times New Roman" w:cs="Times New Roman" w:ascii="Arial" w:hAnsi="Arial"/>
          <w:iCs/>
          <w:lang w:eastAsia="pt-BR"/>
        </w:rPr>
        <w:t>a respeito de</w:t>
      </w:r>
      <w:r>
        <w:rPr>
          <w:rFonts w:eastAsia="Times New Roman" w:cs="Times New Roman" w:ascii="Arial" w:hAnsi="Arial"/>
          <w:lang w:eastAsia="pt-BR"/>
        </w:rPr>
        <w:t xml:space="preserve"> qualquer incidente de acessos não autorizados aos dados pessoais, situações acidentais ou ilícitas de destruição, perda, alteração, comunicação, q</w:t>
      </w:r>
      <w:r>
        <w:rPr>
          <w:rFonts w:eastAsia="Times New Roman" w:cs="Times New Roman" w:ascii="Arial" w:hAnsi="Arial"/>
          <w:iCs/>
          <w:lang w:eastAsia="pt-BR"/>
        </w:rPr>
        <w:t xml:space="preserve">ualquer não cumprimento (ainda que suspeito) das disposições legais relativas à proteção de dados pessoais </w:t>
      </w:r>
      <w:r>
        <w:rPr>
          <w:rFonts w:eastAsia="Times New Roman" w:cs="Times New Roman" w:ascii="Arial" w:hAnsi="Arial"/>
          <w:lang w:eastAsia="pt-BR"/>
        </w:rPr>
        <w:t xml:space="preserve">ou qualquer forma de tratamento inadequado ou ilícito, bem como adotar as providências dispostas no art. 48 da </w:t>
      </w:r>
      <w:r>
        <w:rPr>
          <w:rFonts w:eastAsia="Times New Roman" w:cs="Times New Roman" w:ascii="Arial" w:hAnsi="Arial"/>
          <w:iCs/>
          <w:lang w:eastAsia="pt-BR"/>
        </w:rPr>
        <w:t>Lei nº 13.709/2018 (LGPD)</w:t>
      </w:r>
      <w:r>
        <w:rPr>
          <w:rFonts w:eastAsia="Times New Roman" w:cs="Times New Roman" w:ascii="Arial" w:hAnsi="Arial"/>
          <w:lang w:eastAsia="pt-BR"/>
        </w:rPr>
        <w:t xml:space="preserve">. </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6.7.</w:t>
      </w:r>
      <w:r>
        <w:rPr>
          <w:rFonts w:eastAsia="Times New Roman" w:cs="Times New Roman" w:ascii="Arial" w:hAnsi="Arial"/>
          <w:lang w:eastAsia="pt-BR"/>
        </w:rPr>
        <w:t xml:space="preserve"> </w:t>
      </w:r>
      <w:r>
        <w:rPr>
          <w:rFonts w:eastAsia="Times New Roman" w:cs="Times New Roman" w:ascii="Arial" w:hAnsi="Arial"/>
          <w:iCs/>
          <w:lang w:eastAsia="pt-BR"/>
        </w:rPr>
        <w:t>As partes, em razão das infrações cometidas às normas previstas, ficam sujeitas às sanções administrativas, cíveis e criminais aplicáveis, por qualquer ação ilícita, que causar danos patrimoniais, morais, individual ou coletivo, aos titulares de dados pessoais.</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6.8.</w:t>
      </w:r>
      <w:r>
        <w:rPr>
          <w:rFonts w:eastAsia="Times New Roman" w:cs="Times New Roman" w:ascii="Arial" w:hAnsi="Arial"/>
          <w:lang w:eastAsia="pt-BR"/>
        </w:rPr>
        <w:t xml:space="preserve"> </w:t>
      </w:r>
      <w:r>
        <w:rPr>
          <w:rFonts w:eastAsia="Times New Roman" w:cs="Times New Roman" w:ascii="Arial" w:hAnsi="Arial"/>
          <w:iCs/>
          <w:lang w:eastAsia="pt-BR"/>
        </w:rPr>
        <w:t>O LICITANTE será integralmente responsável pelo pagamento de perdas e danos de ordem moral e material, bem como pelo ressarcimento do pagamento de qualquer multa ou penalidade imposta ao MUNICÍPIO e/ou a terceiros, diretamente resultantes do descumprimento pelo LICITANTE</w:t>
      </w:r>
      <w:r>
        <w:rPr>
          <w:rFonts w:eastAsia="Times New Roman" w:cs="Times New Roman" w:ascii="Arial" w:hAnsi="Arial"/>
          <w:b/>
          <w:bCs/>
          <w:iCs/>
          <w:lang w:eastAsia="pt-BR"/>
        </w:rPr>
        <w:t xml:space="preserve"> </w:t>
      </w:r>
      <w:r>
        <w:rPr>
          <w:rFonts w:eastAsia="Times New Roman" w:cs="Times New Roman" w:ascii="Arial" w:hAnsi="Arial"/>
          <w:iCs/>
          <w:lang w:eastAsia="pt-BR"/>
        </w:rPr>
        <w:t>de qualquer das cláusulas previstas neste edital quanto a proteção e uso dos dados pessoais.</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6.9.</w:t>
      </w:r>
      <w:r>
        <w:rPr>
          <w:rFonts w:eastAsia="Times New Roman" w:cs="Times New Roman" w:ascii="Arial" w:hAnsi="Arial"/>
          <w:lang w:eastAsia="pt-BR"/>
        </w:rPr>
        <w:t xml:space="preserve"> As partes cooperarão entre si no cumprimento das obrigações referentes ao exercício dos direitos dos titulares previstos na </w:t>
      </w:r>
      <w:r>
        <w:rPr>
          <w:rFonts w:eastAsia="Times New Roman" w:cs="Times New Roman" w:ascii="Arial" w:hAnsi="Arial"/>
          <w:iCs/>
          <w:lang w:eastAsia="pt-BR"/>
        </w:rPr>
        <w:t>Lei nº 13.709/2018 (LGPD)</w:t>
      </w:r>
      <w:r>
        <w:rPr>
          <w:rFonts w:eastAsia="Times New Roman" w:cs="Times New Roman" w:ascii="Arial" w:hAnsi="Arial"/>
          <w:lang w:eastAsia="pt-BR"/>
        </w:rPr>
        <w:t xml:space="preserve"> e nas leis e regulamentos de proteção de dados em vigor e também no atendimento de requisições e determinações do Poder Judiciário, Ministério Público, Tribunal de Contas e Órgãos de controle administrativo.</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6.10.</w:t>
      </w:r>
      <w:r>
        <w:rPr>
          <w:rFonts w:eastAsia="Times New Roman" w:cs="Times New Roman" w:ascii="Arial" w:hAnsi="Arial"/>
          <w:lang w:eastAsia="pt-BR"/>
        </w:rPr>
        <w:t xml:space="preserve"> As cláusulas de proteção de dados deste edital, permanecem durante toda execução do objeto ora licitado,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6.11.</w:t>
      </w:r>
      <w:r>
        <w:rPr>
          <w:rFonts w:eastAsia="Times New Roman" w:cs="Times New Roman" w:ascii="Arial" w:hAnsi="Arial"/>
          <w:lang w:eastAsia="pt-BR"/>
        </w:rPr>
        <w:t xml:space="preserve"> Por ocasião da assinatura do contrato, o(s) LICITANTE(S) vencedor(es) do certame, deverão seguir um conjunto de premissas, políticas, especificações técnicas, devendo estar alinhadas com a legislação vigente e as melhores práticas de mercado, a fim de assegurarem adequado nível de segurança em relação aos possíveis riscos gerados pelo tratamento de dados pessoais, na sua estrutura organizacional.</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lang w:eastAsia="pt-BR"/>
        </w:rPr>
        <w:t>6.12.</w:t>
      </w:r>
      <w:r>
        <w:rPr>
          <w:rFonts w:eastAsia="Times New Roman" w:cs="Times New Roman" w:ascii="Arial" w:hAnsi="Arial"/>
          <w:lang w:eastAsia="pt-BR"/>
        </w:rPr>
        <w:t xml:space="preserve"> </w:t>
      </w:r>
      <w:r>
        <w:rPr>
          <w:rFonts w:eastAsia="Times New Roman" w:cs="Times New Roman" w:ascii="Arial" w:hAnsi="Arial"/>
          <w:u w:val="single"/>
          <w:lang w:eastAsia="pt-BR"/>
        </w:rPr>
        <w:t>Por ocasião da assinatura do contrato, o(s) LICITANTE(S) vencedora(s) do certame, informarão ao MUNICÍPIO, dos dados de contato do seu respectivo Encarregado de Dados, conforme exigido nos documentos de habilitação jurídica.</w:t>
      </w:r>
    </w:p>
    <w:p>
      <w:pPr>
        <w:pStyle w:val="Normal"/>
        <w:widowControl w:val="false"/>
        <w:tabs>
          <w:tab w:val="clear" w:pos="720"/>
          <w:tab w:val="left" w:pos="567" w:leader="none"/>
        </w:tabs>
        <w:spacing w:lineRule="auto" w:line="240"/>
        <w:jc w:val="both"/>
        <w:textAlignment w:val="baseline"/>
        <w:rPr/>
      </w:pPr>
      <w:r>
        <w:rPr>
          <w:rFonts w:eastAsia="Times New Roman" w:cs="Times New Roman" w:ascii="Arial" w:hAnsi="Arial"/>
          <w:b/>
          <w:lang w:eastAsia="pt-BR"/>
        </w:rPr>
        <w:t>6.13.</w:t>
      </w:r>
      <w:r>
        <w:rPr>
          <w:rFonts w:eastAsia="Times New Roman" w:cs="Times New Roman" w:ascii="Arial" w:hAnsi="Arial"/>
          <w:lang w:eastAsia="pt-BR"/>
        </w:rPr>
        <w:t xml:space="preserve"> </w:t>
      </w:r>
      <w:r>
        <w:rPr>
          <w:rFonts w:eastAsia="Times New Roman" w:cs="Times New Roman" w:ascii="Arial" w:hAnsi="Arial"/>
          <w:iCs/>
          <w:lang w:eastAsia="pt-BR"/>
        </w:rPr>
        <w:t>A LICITANTE para ter conhecimento da política de privacidade do MUNICÍPIO, deverá acessar o link: https://ita.atende.net/cidadao/pagina/lgpd</w:t>
      </w:r>
      <w:r>
        <w:rPr>
          <w:rFonts w:eastAsia="Times New Roman" w:cs="Times New Roman" w:ascii="Arial" w:hAnsi="Arial"/>
          <w:iCs/>
          <w:color w:val="FF0000"/>
          <w:lang w:eastAsia="pt-BR"/>
        </w:rPr>
        <w:t xml:space="preserve"> </w:t>
      </w:r>
      <w:r>
        <w:rPr>
          <w:rFonts w:eastAsia="Times New Roman" w:cs="Times New Roman" w:ascii="Arial" w:hAnsi="Arial"/>
          <w:iCs/>
          <w:lang w:eastAsia="pt-BR"/>
        </w:rPr>
        <w:t xml:space="preserve">e para mais informações, poderá contatar com o Encarregado de Dados, por meio do endereço eletrônico de e-mail </w:t>
      </w:r>
      <w:hyperlink r:id="rId6">
        <w:r>
          <w:rPr>
            <w:rStyle w:val="LinkdaInternet"/>
            <w:rFonts w:eastAsia="Times New Roman" w:cs="Times New Roman" w:ascii="Arial" w:hAnsi="Arial"/>
            <w:iCs/>
            <w:color w:val="0000FF"/>
            <w:shd w:fill="FFFFFF" w:val="clear"/>
            <w:lang w:eastAsia="pt-BR"/>
          </w:rPr>
          <w:t>controleinterno@ita.sc.gov.br</w:t>
        </w:r>
      </w:hyperlink>
      <w:r>
        <w:rPr>
          <w:rFonts w:eastAsia="Times New Roman" w:cs="Times New Roman" w:ascii="Arial" w:hAnsi="Arial"/>
          <w:iCs/>
          <w:lang w:eastAsia="pt-BR"/>
        </w:rPr>
        <w:t xml:space="preserve"> </w:t>
      </w:r>
    </w:p>
    <w:p>
      <w:pPr>
        <w:pStyle w:val="Normal"/>
        <w:shd w:val="clear" w:color="auto" w:fill="AEAAAA" w:themeFill="background2" w:themeFillShade="bf"/>
        <w:tabs>
          <w:tab w:val="clear" w:pos="720"/>
          <w:tab w:val="left" w:pos="1701" w:leader="none"/>
        </w:tabs>
        <w:spacing w:lineRule="auto" w:line="240"/>
        <w:jc w:val="both"/>
        <w:rPr/>
      </w:pPr>
      <w:r>
        <w:rPr>
          <w:rFonts w:cs="Times New Roman" w:ascii="Arial" w:hAnsi="Arial"/>
          <w:b/>
        </w:rPr>
        <w:t xml:space="preserve">7. </w:t>
      </w:r>
      <w:r>
        <w:rPr>
          <w:rFonts w:cs="Times New Roman" w:ascii="Arial" w:hAnsi="Arial"/>
          <w:b/>
          <w:iCs/>
        </w:rPr>
        <w:t xml:space="preserve">APLICAÇÃO DA </w:t>
      </w:r>
      <w:hyperlink r:id="rId7">
        <w:r>
          <w:rPr>
            <w:rStyle w:val="LinkdaInternet"/>
            <w:rFonts w:cs="Times New Roman" w:ascii="Arial" w:hAnsi="Arial"/>
            <w:b/>
            <w:iCs/>
          </w:rPr>
          <w:t>LEI COMPLEMENTAR Nº 123/2006</w:t>
        </w:r>
      </w:hyperlink>
    </w:p>
    <w:p>
      <w:pPr>
        <w:pStyle w:val="Normal"/>
        <w:tabs>
          <w:tab w:val="clear" w:pos="720"/>
          <w:tab w:val="left" w:pos="567" w:leader="none"/>
        </w:tabs>
        <w:spacing w:lineRule="auto" w:line="240"/>
        <w:jc w:val="both"/>
        <w:rPr>
          <w:rFonts w:ascii="Arial" w:hAnsi="Arial"/>
        </w:rPr>
      </w:pPr>
      <w:r>
        <w:rPr>
          <w:rFonts w:cs="Times New Roman" w:ascii="Arial" w:hAnsi="Arial"/>
          <w:b/>
          <w:iCs/>
        </w:rPr>
        <w:t>7.1.</w:t>
      </w:r>
      <w:r>
        <w:rPr>
          <w:rFonts w:cs="Times New Roman" w:ascii="Arial" w:hAnsi="Arial"/>
          <w:iCs/>
        </w:rPr>
        <w:t xml:space="preserve"> Conforme art. 4º da Lei nº 14.133/2021, aplicam-se as disposições constantes dos arts. 42 a 49 da Lei Complementar nº 123/2006, exceto:</w:t>
      </w:r>
    </w:p>
    <w:p>
      <w:pPr>
        <w:pStyle w:val="ListParagraph"/>
        <w:widowControl w:val="false"/>
        <w:numPr>
          <w:ilvl w:val="0"/>
          <w:numId w:val="4"/>
        </w:numPr>
        <w:tabs>
          <w:tab w:val="clear" w:pos="720"/>
          <w:tab w:val="left" w:pos="1134" w:leader="none"/>
        </w:tabs>
        <w:ind w:left="567" w:hanging="0"/>
        <w:jc w:val="both"/>
        <w:textAlignment w:val="baseline"/>
        <w:rPr>
          <w:rFonts w:ascii="Arial" w:hAnsi="Arial"/>
          <w:sz w:val="22"/>
          <w:szCs w:val="22"/>
        </w:rPr>
      </w:pPr>
      <w:r>
        <w:rPr>
          <w:rFonts w:ascii="Arial" w:hAnsi="Arial"/>
          <w:iCs/>
          <w:sz w:val="22"/>
          <w:szCs w:val="22"/>
        </w:rPr>
        <w:t xml:space="preserve">No caso de licitação para </w:t>
      </w:r>
      <w:r>
        <w:rPr>
          <w:rFonts w:ascii="Arial" w:hAnsi="Arial"/>
          <w:iCs/>
          <w:sz w:val="22"/>
          <w:szCs w:val="22"/>
          <w:u w:val="single"/>
        </w:rPr>
        <w:t>aquisição de bens ou contratação de serviços em geral</w:t>
      </w:r>
      <w:r>
        <w:rPr>
          <w:rFonts w:ascii="Arial" w:hAnsi="Arial"/>
          <w:iCs/>
          <w:sz w:val="22"/>
          <w:szCs w:val="22"/>
        </w:rPr>
        <w:t xml:space="preserve">, ao </w:t>
      </w:r>
      <w:r>
        <w:rPr>
          <w:rFonts w:ascii="Arial" w:hAnsi="Arial"/>
          <w:iCs/>
          <w:sz w:val="22"/>
          <w:szCs w:val="22"/>
          <w:u w:val="single"/>
        </w:rPr>
        <w:t>item</w:t>
      </w:r>
      <w:r>
        <w:rPr>
          <w:rFonts w:ascii="Arial" w:hAnsi="Arial"/>
          <w:iCs/>
          <w:sz w:val="22"/>
          <w:szCs w:val="22"/>
        </w:rPr>
        <w:t xml:space="preserve"> cujo valor estimado for superior à receita bruta máxima admitida para fins de enquadramento como empresa de pequeno porte, ou seja, superior a R$ 4.800.000,00 (quatro milhões e oitocentos mil reais).</w:t>
      </w:r>
    </w:p>
    <w:p>
      <w:pPr>
        <w:pStyle w:val="ListParagraph"/>
        <w:widowControl w:val="false"/>
        <w:numPr>
          <w:ilvl w:val="0"/>
          <w:numId w:val="4"/>
        </w:numPr>
        <w:tabs>
          <w:tab w:val="clear" w:pos="720"/>
          <w:tab w:val="left" w:pos="1134" w:leader="none"/>
        </w:tabs>
        <w:ind w:left="567" w:hanging="0"/>
        <w:jc w:val="both"/>
        <w:textAlignment w:val="baseline"/>
        <w:rPr>
          <w:rFonts w:ascii="Arial" w:hAnsi="Arial"/>
          <w:sz w:val="22"/>
          <w:szCs w:val="22"/>
        </w:rPr>
      </w:pPr>
      <w:r>
        <w:rPr>
          <w:rFonts w:ascii="Arial" w:hAnsi="Arial"/>
          <w:iCs/>
          <w:sz w:val="22"/>
          <w:szCs w:val="22"/>
        </w:rPr>
        <w:t xml:space="preserve">No caso de </w:t>
      </w:r>
      <w:r>
        <w:rPr>
          <w:rFonts w:ascii="Arial" w:hAnsi="Arial"/>
          <w:iCs/>
          <w:sz w:val="22"/>
          <w:szCs w:val="22"/>
          <w:u w:val="single"/>
        </w:rPr>
        <w:t>contratação de obras e serviços de engenharia</w:t>
      </w:r>
      <w:r>
        <w:rPr>
          <w:rFonts w:ascii="Arial" w:hAnsi="Arial"/>
          <w:iCs/>
          <w:sz w:val="22"/>
          <w:szCs w:val="22"/>
        </w:rPr>
        <w:t>, às licitações cujo valor estimado for superior à receita bruta máxima admitida para fins de enquadramento como empresa de pequeno porte, ou seja, superior a R$ 4.800.000,00 (quatro milhões e oitocentos mil reais).</w:t>
      </w:r>
    </w:p>
    <w:p>
      <w:pPr>
        <w:pStyle w:val="Normal"/>
        <w:tabs>
          <w:tab w:val="clear" w:pos="720"/>
          <w:tab w:val="left" w:pos="567" w:leader="none"/>
        </w:tabs>
        <w:spacing w:lineRule="auto" w:line="240"/>
        <w:jc w:val="both"/>
        <w:rPr>
          <w:rFonts w:ascii="Arial" w:hAnsi="Arial"/>
        </w:rPr>
      </w:pPr>
      <w:r>
        <w:rPr>
          <w:rFonts w:cs="Times New Roman" w:ascii="Arial" w:hAnsi="Arial"/>
          <w:b/>
          <w:iCs/>
        </w:rPr>
        <w:t>7.2.</w:t>
      </w:r>
      <w:r>
        <w:rPr>
          <w:rFonts w:cs="Times New Roman" w:ascii="Arial" w:hAnsi="Arial"/>
          <w:iCs/>
        </w:rPr>
        <w:t xml:space="preserve"> A Lei Complementar nº 123/2006, conforme art. 1º, estabelece normas gerais relativas ao tratamento diferenciado e favorecido a ser dispensado </w:t>
      </w:r>
      <w:r>
        <w:rPr>
          <w:rFonts w:cs="Times New Roman" w:ascii="Arial" w:hAnsi="Arial"/>
          <w:iCs/>
          <w:u w:val="single"/>
        </w:rPr>
        <w:t>às microempresas e empresas de pequeno porte</w:t>
      </w:r>
      <w:r>
        <w:rPr>
          <w:rFonts w:cs="Times New Roman" w:ascii="Arial" w:hAnsi="Arial"/>
          <w:iCs/>
        </w:rPr>
        <w:t xml:space="preserve"> no âmbito dos Poderes da União, dos Estados, do Distrito Federal e dos Municípios.</w:t>
      </w:r>
    </w:p>
    <w:p>
      <w:pPr>
        <w:pStyle w:val="Normal"/>
        <w:tabs>
          <w:tab w:val="clear" w:pos="720"/>
          <w:tab w:val="left" w:pos="567" w:leader="none"/>
        </w:tabs>
        <w:spacing w:lineRule="auto" w:line="240"/>
        <w:jc w:val="both"/>
        <w:rPr>
          <w:rFonts w:ascii="Arial" w:hAnsi="Arial"/>
        </w:rPr>
      </w:pPr>
      <w:r>
        <w:rPr>
          <w:rFonts w:cs="Times New Roman" w:ascii="Arial" w:hAnsi="Arial"/>
          <w:b/>
          <w:iCs/>
        </w:rPr>
        <w:t>7.2.</w:t>
      </w:r>
      <w:r>
        <w:rPr>
          <w:rFonts w:cs="Times New Roman" w:ascii="Arial" w:hAnsi="Arial"/>
          <w:iCs/>
        </w:rPr>
        <w:t xml:space="preserve"> Para os efeitos da Lei Complementar nº 123/2006, consideram-se </w:t>
      </w:r>
      <w:r>
        <w:rPr>
          <w:rFonts w:cs="Times New Roman" w:ascii="Arial" w:hAnsi="Arial"/>
          <w:iCs/>
          <w:u w:val="single"/>
        </w:rPr>
        <w:t>microempresas ou empresas de pequeno porte</w:t>
      </w:r>
      <w:r>
        <w:rPr>
          <w:rFonts w:cs="Times New Roman" w:ascii="Arial" w:hAnsi="Arial"/>
          <w:iCs/>
        </w:rPr>
        <w:t>:</w:t>
      </w:r>
    </w:p>
    <w:p>
      <w:pPr>
        <w:pStyle w:val="ListParagraph"/>
        <w:widowControl w:val="false"/>
        <w:numPr>
          <w:ilvl w:val="1"/>
          <w:numId w:val="5"/>
        </w:numPr>
        <w:tabs>
          <w:tab w:val="clear" w:pos="720"/>
          <w:tab w:val="left" w:pos="1134" w:leader="none"/>
        </w:tabs>
        <w:ind w:left="567" w:hanging="0"/>
        <w:jc w:val="both"/>
        <w:textAlignment w:val="baseline"/>
        <w:rPr>
          <w:rFonts w:ascii="Arial" w:hAnsi="Arial"/>
          <w:sz w:val="22"/>
          <w:szCs w:val="22"/>
        </w:rPr>
      </w:pPr>
      <w:r>
        <w:rPr>
          <w:rFonts w:ascii="Arial" w:hAnsi="Arial"/>
          <w:iCs/>
          <w:sz w:val="22"/>
          <w:szCs w:val="22"/>
        </w:rPr>
        <w:t>Sociedade empresária;</w:t>
      </w:r>
    </w:p>
    <w:p>
      <w:pPr>
        <w:pStyle w:val="ListParagraph"/>
        <w:widowControl w:val="false"/>
        <w:numPr>
          <w:ilvl w:val="1"/>
          <w:numId w:val="5"/>
        </w:numPr>
        <w:tabs>
          <w:tab w:val="clear" w:pos="720"/>
          <w:tab w:val="left" w:pos="1134" w:leader="none"/>
        </w:tabs>
        <w:ind w:left="567" w:hanging="0"/>
        <w:jc w:val="both"/>
        <w:textAlignment w:val="baseline"/>
        <w:rPr>
          <w:rFonts w:ascii="Arial" w:hAnsi="Arial"/>
          <w:sz w:val="22"/>
          <w:szCs w:val="22"/>
        </w:rPr>
      </w:pPr>
      <w:r>
        <w:rPr>
          <w:rFonts w:ascii="Arial" w:hAnsi="Arial"/>
          <w:iCs/>
          <w:sz w:val="22"/>
          <w:szCs w:val="22"/>
        </w:rPr>
        <w:t>Sociedade simples;</w:t>
      </w:r>
    </w:p>
    <w:p>
      <w:pPr>
        <w:pStyle w:val="ListParagraph"/>
        <w:widowControl w:val="false"/>
        <w:numPr>
          <w:ilvl w:val="1"/>
          <w:numId w:val="5"/>
        </w:numPr>
        <w:tabs>
          <w:tab w:val="clear" w:pos="720"/>
          <w:tab w:val="left" w:pos="1134" w:leader="none"/>
        </w:tabs>
        <w:ind w:left="567" w:hanging="0"/>
        <w:jc w:val="both"/>
        <w:textAlignment w:val="baseline"/>
        <w:rPr>
          <w:rFonts w:ascii="Arial" w:hAnsi="Arial"/>
          <w:sz w:val="22"/>
          <w:szCs w:val="22"/>
        </w:rPr>
      </w:pPr>
      <w:r>
        <w:rPr>
          <w:rFonts w:ascii="Arial" w:hAnsi="Arial"/>
          <w:iCs/>
          <w:sz w:val="22"/>
          <w:szCs w:val="22"/>
        </w:rPr>
        <w:t>Empresa individual de responsabilidade limitada – EIRELI;</w:t>
      </w:r>
    </w:p>
    <w:p>
      <w:pPr>
        <w:pStyle w:val="ListParagraph"/>
        <w:widowControl w:val="false"/>
        <w:numPr>
          <w:ilvl w:val="1"/>
          <w:numId w:val="5"/>
        </w:numPr>
        <w:tabs>
          <w:tab w:val="clear" w:pos="720"/>
          <w:tab w:val="left" w:pos="1134" w:leader="none"/>
        </w:tabs>
        <w:ind w:left="567" w:hanging="0"/>
        <w:jc w:val="both"/>
        <w:textAlignment w:val="baseline"/>
        <w:rPr/>
      </w:pPr>
      <w:r>
        <w:rPr>
          <w:rFonts w:ascii="Arial" w:hAnsi="Arial"/>
          <w:iCs/>
          <w:sz w:val="22"/>
          <w:szCs w:val="22"/>
        </w:rPr>
        <w:t xml:space="preserve">Empresário a que se refere o art. 966 do </w:t>
      </w:r>
      <w:hyperlink r:id="rId8">
        <w:r>
          <w:rPr>
            <w:rStyle w:val="LinkdaInternet"/>
            <w:rFonts w:ascii="Arial" w:hAnsi="Arial"/>
            <w:iCs/>
            <w:sz w:val="22"/>
            <w:szCs w:val="22"/>
          </w:rPr>
          <w:t>Código Civil</w:t>
        </w:r>
      </w:hyperlink>
      <w:r>
        <w:rPr>
          <w:rFonts w:ascii="Arial" w:hAnsi="Arial"/>
          <w:iCs/>
          <w:sz w:val="22"/>
          <w:szCs w:val="22"/>
        </w:rPr>
        <w:t>:</w:t>
      </w:r>
    </w:p>
    <w:p>
      <w:pPr>
        <w:pStyle w:val="ListParagraph"/>
        <w:widowControl w:val="false"/>
        <w:numPr>
          <w:ilvl w:val="2"/>
          <w:numId w:val="3"/>
        </w:numPr>
        <w:tabs>
          <w:tab w:val="clear" w:pos="720"/>
          <w:tab w:val="left" w:pos="1701" w:leader="none"/>
        </w:tabs>
        <w:ind w:left="1134" w:hanging="0"/>
        <w:jc w:val="both"/>
        <w:textAlignment w:val="baseline"/>
        <w:rPr>
          <w:rFonts w:ascii="Arial" w:hAnsi="Arial"/>
          <w:sz w:val="22"/>
          <w:szCs w:val="22"/>
        </w:rPr>
      </w:pPr>
      <w:r>
        <w:rPr>
          <w:rFonts w:ascii="Arial" w:hAnsi="Arial"/>
          <w:iCs/>
          <w:sz w:val="22"/>
          <w:szCs w:val="22"/>
        </w:rPr>
        <w:t>Quem exerce profissionalmente atividade econômica organizada para a produção ou a circulação de bens ou de serviços;</w:t>
      </w:r>
    </w:p>
    <w:p>
      <w:pPr>
        <w:pStyle w:val="ListParagraph"/>
        <w:widowControl w:val="false"/>
        <w:numPr>
          <w:ilvl w:val="2"/>
          <w:numId w:val="3"/>
        </w:numPr>
        <w:tabs>
          <w:tab w:val="clear" w:pos="720"/>
          <w:tab w:val="left" w:pos="1701" w:leader="none"/>
        </w:tabs>
        <w:ind w:left="1134" w:hanging="0"/>
        <w:jc w:val="both"/>
        <w:textAlignment w:val="baseline"/>
        <w:rPr>
          <w:rFonts w:ascii="Arial" w:hAnsi="Arial"/>
          <w:sz w:val="22"/>
          <w:szCs w:val="22"/>
        </w:rPr>
      </w:pPr>
      <w:r>
        <w:rPr>
          <w:rFonts w:ascii="Arial" w:hAnsi="Arial"/>
          <w:iCs/>
          <w:sz w:val="22"/>
          <w:szCs w:val="22"/>
        </w:rPr>
        <w:t>Não se considera empresário quem exerce profissão intelectual, de natureza científica, literária ou artística, ainda com o concurso de auxiliares ou colaboradores, salvo se o exercício da profissão constituir elemento de empresa.</w:t>
      </w:r>
    </w:p>
    <w:p>
      <w:pPr>
        <w:pStyle w:val="Normal"/>
        <w:tabs>
          <w:tab w:val="clear" w:pos="720"/>
          <w:tab w:val="left" w:pos="567" w:leader="none"/>
        </w:tabs>
        <w:spacing w:lineRule="auto" w:line="240"/>
        <w:jc w:val="both"/>
        <w:rPr>
          <w:rFonts w:ascii="Arial" w:hAnsi="Arial"/>
        </w:rPr>
      </w:pPr>
      <w:r>
        <w:rPr>
          <w:rFonts w:cs="Times New Roman" w:ascii="Arial" w:hAnsi="Arial"/>
          <w:b/>
          <w:iCs/>
        </w:rPr>
        <w:t>7.3.</w:t>
      </w:r>
      <w:r>
        <w:rPr>
          <w:rFonts w:cs="Times New Roman" w:ascii="Arial" w:hAnsi="Arial"/>
          <w:iCs/>
        </w:rPr>
        <w:t xml:space="preserve"> As </w:t>
      </w:r>
      <w:r>
        <w:rPr>
          <w:rFonts w:cs="Times New Roman" w:ascii="Arial" w:hAnsi="Arial"/>
          <w:iCs/>
          <w:u w:val="single"/>
        </w:rPr>
        <w:t>microempresas ou empresas de pequeno porte</w:t>
      </w:r>
      <w:r>
        <w:rPr>
          <w:rFonts w:cs="Times New Roman" w:ascii="Arial" w:hAnsi="Arial"/>
          <w:iCs/>
        </w:rPr>
        <w:t xml:space="preserve"> indicadas no art. 3º da Lei Complementar nº 123/2006 devem estar devidamente registradas no Registro de Empresas Mercantis ou no Registro Civil de Pessoas Jurídicas, conforme o caso, desde que:</w:t>
      </w:r>
    </w:p>
    <w:p>
      <w:pPr>
        <w:pStyle w:val="ListParagraph"/>
        <w:widowControl w:val="false"/>
        <w:numPr>
          <w:ilvl w:val="0"/>
          <w:numId w:val="6"/>
        </w:numPr>
        <w:tabs>
          <w:tab w:val="clear" w:pos="720"/>
          <w:tab w:val="left" w:pos="1134" w:leader="none"/>
        </w:tabs>
        <w:ind w:left="567" w:hanging="0"/>
        <w:jc w:val="both"/>
        <w:textAlignment w:val="baseline"/>
        <w:rPr>
          <w:rFonts w:ascii="Arial" w:hAnsi="Arial"/>
          <w:sz w:val="22"/>
          <w:szCs w:val="22"/>
        </w:rPr>
      </w:pPr>
      <w:bookmarkStart w:id="1" w:name="art3i"/>
      <w:bookmarkEnd w:id="1"/>
      <w:r>
        <w:rPr>
          <w:rFonts w:ascii="Arial" w:hAnsi="Arial"/>
          <w:iCs/>
          <w:sz w:val="22"/>
          <w:szCs w:val="22"/>
        </w:rPr>
        <w:t>No caso da microempresa, aufira, em cada ano-calendário, receita bruta igual ou inferior a R$ 360.000,00 (trezentos e sessenta mil reais);</w:t>
      </w:r>
    </w:p>
    <w:p>
      <w:pPr>
        <w:pStyle w:val="ListParagraph"/>
        <w:widowControl w:val="false"/>
        <w:numPr>
          <w:ilvl w:val="0"/>
          <w:numId w:val="6"/>
        </w:numPr>
        <w:tabs>
          <w:tab w:val="clear" w:pos="720"/>
          <w:tab w:val="left" w:pos="1134" w:leader="none"/>
        </w:tabs>
        <w:ind w:left="567" w:hanging="0"/>
        <w:jc w:val="both"/>
        <w:textAlignment w:val="baseline"/>
        <w:rPr>
          <w:rFonts w:ascii="Arial" w:hAnsi="Arial"/>
          <w:sz w:val="22"/>
          <w:szCs w:val="22"/>
        </w:rPr>
      </w:pPr>
      <w:bookmarkStart w:id="2" w:name="art3ii"/>
      <w:bookmarkEnd w:id="2"/>
      <w:r>
        <w:rPr>
          <w:rFonts w:ascii="Arial" w:hAnsi="Arial"/>
          <w:iCs/>
          <w:sz w:val="22"/>
          <w:szCs w:val="22"/>
        </w:rPr>
        <w:t>No caso da empresa de pequeno porte, aufira, em cada ano-calendário, receita bruta superior a R$ 360.000,00 (trezentos e sessenta mil reais) e igual ou inferior a R$ 3.600.000,00 (três milhões e seiscentos mil reais);</w:t>
      </w:r>
    </w:p>
    <w:p>
      <w:pPr>
        <w:pStyle w:val="ListParagraph"/>
        <w:widowControl w:val="false"/>
        <w:numPr>
          <w:ilvl w:val="0"/>
          <w:numId w:val="6"/>
        </w:numPr>
        <w:tabs>
          <w:tab w:val="clear" w:pos="720"/>
          <w:tab w:val="left" w:pos="1134" w:leader="none"/>
        </w:tabs>
        <w:ind w:left="567" w:hanging="0"/>
        <w:jc w:val="both"/>
        <w:textAlignment w:val="baseline"/>
        <w:rPr>
          <w:rFonts w:ascii="Arial" w:hAnsi="Arial"/>
          <w:sz w:val="22"/>
          <w:szCs w:val="22"/>
        </w:rPr>
      </w:pPr>
      <w:bookmarkStart w:id="3" w:name="art3ii."/>
      <w:bookmarkEnd w:id="3"/>
      <w:r>
        <w:rPr>
          <w:rFonts w:ascii="Arial" w:hAnsi="Arial"/>
          <w:iCs/>
          <w:sz w:val="22"/>
          <w:szCs w:val="22"/>
        </w:rPr>
        <w:t xml:space="preserve">No caso de empresa de pequeno porte, aufira, em cada ano-calendário, receita bruta superior a R$ 360.000,00 (trezentos e sessenta mil reais) e igual ou inferior a R$ 4.800.000,00 (quatro milhões e oitocentos mil reais). </w:t>
      </w:r>
    </w:p>
    <w:p>
      <w:pPr>
        <w:pStyle w:val="Normal"/>
        <w:tabs>
          <w:tab w:val="clear" w:pos="720"/>
          <w:tab w:val="left" w:pos="567" w:leader="none"/>
        </w:tabs>
        <w:spacing w:lineRule="auto" w:line="240"/>
        <w:jc w:val="both"/>
        <w:rPr>
          <w:rFonts w:ascii="Arial" w:hAnsi="Arial"/>
        </w:rPr>
      </w:pPr>
      <w:r>
        <w:rPr>
          <w:rFonts w:cs="Times New Roman" w:ascii="Arial" w:hAnsi="Arial"/>
          <w:b/>
          <w:iCs/>
        </w:rPr>
        <w:t>7.4.</w:t>
      </w:r>
      <w:r>
        <w:rPr>
          <w:rFonts w:cs="Times New Roman" w:ascii="Arial" w:hAnsi="Arial"/>
          <w:iCs/>
        </w:rPr>
        <w:t xml:space="preserve"> Os efeitos da Lei Complementar nº 123/2006 também se aplicam ao </w:t>
      </w:r>
      <w:r>
        <w:rPr>
          <w:rFonts w:cs="Times New Roman" w:ascii="Arial" w:hAnsi="Arial"/>
          <w:iCs/>
          <w:u w:val="single"/>
        </w:rPr>
        <w:t>Microempreendedor Individual – MEI</w:t>
      </w:r>
      <w:r>
        <w:rPr>
          <w:rFonts w:cs="Times New Roman" w:ascii="Arial" w:hAnsi="Arial"/>
          <w:iCs/>
        </w:rPr>
        <w:t xml:space="preserve"> que:</w:t>
      </w:r>
    </w:p>
    <w:p>
      <w:pPr>
        <w:pStyle w:val="ListParagraph"/>
        <w:widowControl w:val="false"/>
        <w:numPr>
          <w:ilvl w:val="0"/>
          <w:numId w:val="7"/>
        </w:numPr>
        <w:tabs>
          <w:tab w:val="clear" w:pos="720"/>
          <w:tab w:val="left" w:pos="1134" w:leader="none"/>
        </w:tabs>
        <w:ind w:left="567" w:hanging="0"/>
        <w:jc w:val="both"/>
        <w:textAlignment w:val="baseline"/>
        <w:rPr>
          <w:rFonts w:ascii="Arial" w:hAnsi="Arial"/>
          <w:sz w:val="22"/>
          <w:szCs w:val="22"/>
        </w:rPr>
      </w:pPr>
      <w:r>
        <w:rPr>
          <w:rFonts w:ascii="Arial" w:hAnsi="Arial"/>
          <w:iCs/>
          <w:sz w:val="22"/>
          <w:szCs w:val="22"/>
        </w:rPr>
        <w:t>Tenha auferido receita bruta, no ano-calendário anterior, de até R$ 81.000,00 (oitenta e um mil reais);</w:t>
      </w:r>
    </w:p>
    <w:p>
      <w:pPr>
        <w:pStyle w:val="ListParagraph"/>
        <w:widowControl w:val="false"/>
        <w:numPr>
          <w:ilvl w:val="0"/>
          <w:numId w:val="7"/>
        </w:numPr>
        <w:tabs>
          <w:tab w:val="clear" w:pos="720"/>
          <w:tab w:val="left" w:pos="1134" w:leader="none"/>
        </w:tabs>
        <w:ind w:left="567" w:hanging="0"/>
        <w:jc w:val="both"/>
        <w:textAlignment w:val="baseline"/>
        <w:rPr>
          <w:rFonts w:ascii="Arial" w:hAnsi="Arial"/>
          <w:sz w:val="22"/>
          <w:szCs w:val="22"/>
        </w:rPr>
      </w:pPr>
      <w:r>
        <w:rPr>
          <w:rFonts w:ascii="Arial" w:hAnsi="Arial"/>
          <w:iCs/>
          <w:sz w:val="22"/>
          <w:szCs w:val="22"/>
        </w:rPr>
        <w:t>Optante pelo Simples Nacional e que não esteja impedido de optar pela sistemática prevista no art. 18-A da LC 123/2006;</w:t>
      </w:r>
    </w:p>
    <w:p>
      <w:pPr>
        <w:pStyle w:val="ListParagraph"/>
        <w:widowControl w:val="false"/>
        <w:numPr>
          <w:ilvl w:val="0"/>
          <w:numId w:val="7"/>
        </w:numPr>
        <w:tabs>
          <w:tab w:val="clear" w:pos="720"/>
          <w:tab w:val="left" w:pos="1134" w:leader="none"/>
        </w:tabs>
        <w:ind w:left="567" w:hanging="0"/>
        <w:jc w:val="both"/>
        <w:textAlignment w:val="baseline"/>
        <w:rPr/>
      </w:pPr>
      <w:r>
        <w:rPr>
          <w:rFonts w:ascii="Arial" w:hAnsi="Arial"/>
          <w:iCs/>
          <w:sz w:val="22"/>
          <w:szCs w:val="22"/>
        </w:rPr>
        <w:t xml:space="preserve">Seja empresário individual que se enquadre na definição do art. 966 do </w:t>
      </w:r>
      <w:hyperlink r:id="rId9">
        <w:r>
          <w:rPr>
            <w:rStyle w:val="LinkdaInternet"/>
            <w:rFonts w:ascii="Arial" w:hAnsi="Arial"/>
            <w:iCs/>
            <w:sz w:val="22"/>
            <w:szCs w:val="22"/>
          </w:rPr>
          <w:t>Código Civil</w:t>
        </w:r>
      </w:hyperlink>
      <w:r>
        <w:rPr>
          <w:rFonts w:ascii="Arial" w:hAnsi="Arial"/>
          <w:iCs/>
          <w:sz w:val="22"/>
          <w:szCs w:val="22"/>
        </w:rPr>
        <w:t>.</w:t>
      </w:r>
    </w:p>
    <w:p>
      <w:pPr>
        <w:pStyle w:val="Normal"/>
        <w:tabs>
          <w:tab w:val="clear" w:pos="720"/>
          <w:tab w:val="left" w:pos="567" w:leader="none"/>
        </w:tabs>
        <w:spacing w:lineRule="auto" w:line="240"/>
        <w:jc w:val="both"/>
        <w:rPr>
          <w:rFonts w:ascii="Arial" w:hAnsi="Arial"/>
        </w:rPr>
      </w:pPr>
      <w:r>
        <w:rPr>
          <w:rFonts w:cs="Times New Roman" w:ascii="Arial" w:hAnsi="Arial"/>
          <w:b/>
          <w:iCs/>
        </w:rPr>
        <w:t>7.5.</w:t>
      </w:r>
      <w:r>
        <w:rPr>
          <w:rFonts w:cs="Times New Roman" w:ascii="Arial" w:hAnsi="Arial"/>
          <w:iCs/>
        </w:rPr>
        <w:t xml:space="preserve"> Também se considera </w:t>
      </w:r>
      <w:r>
        <w:rPr>
          <w:rFonts w:cs="Times New Roman" w:ascii="Arial" w:hAnsi="Arial"/>
          <w:iCs/>
          <w:u w:val="single"/>
        </w:rPr>
        <w:t>Microempreendedor Individual – MEI</w:t>
      </w:r>
      <w:r>
        <w:rPr>
          <w:rFonts w:cs="Times New Roman" w:ascii="Arial" w:hAnsi="Arial"/>
          <w:iCs/>
        </w:rPr>
        <w:t xml:space="preserve"> para a Lei Complementar nº 123/2006 o empreendedor que exerça:</w:t>
      </w:r>
    </w:p>
    <w:p>
      <w:pPr>
        <w:pStyle w:val="ListParagraph"/>
        <w:widowControl w:val="false"/>
        <w:numPr>
          <w:ilvl w:val="0"/>
          <w:numId w:val="8"/>
        </w:numPr>
        <w:tabs>
          <w:tab w:val="clear" w:pos="720"/>
          <w:tab w:val="left" w:pos="1134" w:leader="none"/>
        </w:tabs>
        <w:ind w:left="567" w:hanging="0"/>
        <w:jc w:val="both"/>
        <w:textAlignment w:val="baseline"/>
        <w:rPr>
          <w:rFonts w:ascii="Arial" w:hAnsi="Arial"/>
          <w:sz w:val="22"/>
          <w:szCs w:val="22"/>
        </w:rPr>
      </w:pPr>
      <w:r>
        <w:rPr>
          <w:rFonts w:ascii="Arial" w:hAnsi="Arial"/>
          <w:iCs/>
          <w:sz w:val="22"/>
          <w:szCs w:val="22"/>
        </w:rPr>
        <w:t>As atividades de que trata o § 4º-A do art. 18-A:</w:t>
      </w:r>
    </w:p>
    <w:p>
      <w:pPr>
        <w:pStyle w:val="Normal"/>
        <w:tabs>
          <w:tab w:val="clear" w:pos="720"/>
          <w:tab w:val="left" w:pos="1701" w:leader="none"/>
        </w:tabs>
        <w:spacing w:lineRule="auto" w:line="240"/>
        <w:ind w:left="1134" w:hanging="0"/>
        <w:jc w:val="both"/>
        <w:rPr>
          <w:rFonts w:ascii="Arial" w:hAnsi="Arial"/>
        </w:rPr>
      </w:pPr>
      <w:r>
        <w:rPr>
          <w:rFonts w:cs="Times New Roman" w:ascii="Arial" w:hAnsi="Arial"/>
          <w:i/>
          <w:iCs/>
        </w:rPr>
        <w:t xml:space="preserve">§ 4º-A Observadas as demais condições deste artigo, poderá optar pela sistemática de recolhimento prevista no </w:t>
      </w:r>
      <w:r>
        <w:rPr>
          <w:rFonts w:cs="Times New Roman" w:ascii="Arial" w:hAnsi="Arial"/>
          <w:bCs/>
          <w:i/>
          <w:iCs/>
        </w:rPr>
        <w:t xml:space="preserve">caput </w:t>
      </w:r>
      <w:r>
        <w:rPr>
          <w:rFonts w:cs="Times New Roman" w:ascii="Arial" w:hAnsi="Arial"/>
          <w:i/>
          <w:iCs/>
        </w:rPr>
        <w:t>o empresário individual que exerça atividade de comercialização e processamento de produtos de natureza extrativista.</w:t>
      </w:r>
    </w:p>
    <w:p>
      <w:pPr>
        <w:pStyle w:val="ListParagraph"/>
        <w:widowControl w:val="false"/>
        <w:numPr>
          <w:ilvl w:val="0"/>
          <w:numId w:val="8"/>
        </w:numPr>
        <w:tabs>
          <w:tab w:val="clear" w:pos="720"/>
          <w:tab w:val="left" w:pos="1134" w:leader="none"/>
        </w:tabs>
        <w:ind w:left="567" w:hanging="0"/>
        <w:jc w:val="both"/>
        <w:textAlignment w:val="baseline"/>
        <w:rPr>
          <w:rFonts w:ascii="Arial" w:hAnsi="Arial"/>
          <w:sz w:val="22"/>
          <w:szCs w:val="22"/>
        </w:rPr>
      </w:pPr>
      <w:r>
        <w:rPr>
          <w:rFonts w:ascii="Arial" w:hAnsi="Arial"/>
          <w:iCs/>
          <w:sz w:val="22"/>
          <w:szCs w:val="22"/>
        </w:rPr>
        <w:t>As atividades de que trata o § 4º-B do art. 18-A, estabelecidas pelo CGSN:</w:t>
      </w:r>
    </w:p>
    <w:p>
      <w:pPr>
        <w:pStyle w:val="Normal"/>
        <w:tabs>
          <w:tab w:val="clear" w:pos="720"/>
          <w:tab w:val="left" w:pos="1701" w:leader="none"/>
        </w:tabs>
        <w:spacing w:lineRule="auto" w:line="240"/>
        <w:ind w:left="1134" w:hanging="0"/>
        <w:jc w:val="both"/>
        <w:rPr>
          <w:rFonts w:ascii="Arial" w:hAnsi="Arial"/>
        </w:rPr>
      </w:pPr>
      <w:r>
        <w:rPr>
          <w:rFonts w:cs="Times New Roman" w:ascii="Arial" w:hAnsi="Arial"/>
          <w:i/>
          <w:iCs/>
        </w:rPr>
        <w:t>§ 4º-B O CGSN determinará as atividades autorizadas a optar pela sistemática de recolhimento de que trata este artigo, de forma a evitar a fragilização das relações de trabalho, bem como sobre a incidência do ICMS e do ISS.</w:t>
      </w:r>
    </w:p>
    <w:p>
      <w:pPr>
        <w:pStyle w:val="ListParagraph"/>
        <w:widowControl w:val="false"/>
        <w:numPr>
          <w:ilvl w:val="0"/>
          <w:numId w:val="8"/>
        </w:numPr>
        <w:tabs>
          <w:tab w:val="clear" w:pos="720"/>
          <w:tab w:val="left" w:pos="1134" w:leader="none"/>
        </w:tabs>
        <w:ind w:left="567" w:hanging="0"/>
        <w:jc w:val="both"/>
        <w:textAlignment w:val="baseline"/>
        <w:rPr>
          <w:rFonts w:ascii="Arial" w:hAnsi="Arial"/>
          <w:sz w:val="22"/>
          <w:szCs w:val="22"/>
        </w:rPr>
      </w:pPr>
      <w:r>
        <w:rPr>
          <w:rFonts w:ascii="Arial" w:hAnsi="Arial"/>
          <w:iCs/>
          <w:sz w:val="22"/>
          <w:szCs w:val="22"/>
        </w:rPr>
        <w:t>As atividades de industrialização, comercialização e prestação de serviços no âmbito rural.</w:t>
      </w:r>
    </w:p>
    <w:p>
      <w:pPr>
        <w:pStyle w:val="Normal"/>
        <w:tabs>
          <w:tab w:val="clear" w:pos="720"/>
          <w:tab w:val="left" w:pos="567" w:leader="none"/>
        </w:tabs>
        <w:spacing w:lineRule="auto" w:line="240"/>
        <w:jc w:val="both"/>
        <w:rPr/>
      </w:pPr>
      <w:r>
        <w:rPr>
          <w:rFonts w:cs="Times New Roman" w:ascii="Arial" w:hAnsi="Arial"/>
          <w:b/>
          <w:iCs/>
        </w:rPr>
        <w:t>7.6.</w:t>
      </w:r>
      <w:r>
        <w:rPr>
          <w:rFonts w:cs="Times New Roman" w:ascii="Arial" w:hAnsi="Arial"/>
          <w:iCs/>
        </w:rPr>
        <w:t xml:space="preserve"> As disposições constantes dos arts. 42 a 49 da Lei Complementar nº 123/2006 também se aplicam às </w:t>
      </w:r>
      <w:r>
        <w:rPr>
          <w:rFonts w:cs="Times New Roman" w:ascii="Arial" w:hAnsi="Arial"/>
          <w:iCs/>
          <w:u w:val="single"/>
        </w:rPr>
        <w:t>sociedades cooperativas</w:t>
      </w:r>
      <w:r>
        <w:rPr>
          <w:rFonts w:cs="Times New Roman" w:ascii="Arial" w:hAnsi="Arial"/>
          <w:iCs/>
        </w:rPr>
        <w:t xml:space="preserve"> que tenham auferido, no ano-calendário anterior, receita bruta até o limite definido no inciso II do </w:t>
      </w:r>
      <w:r>
        <w:rPr>
          <w:rFonts w:cs="Times New Roman" w:ascii="Arial" w:hAnsi="Arial"/>
          <w:i/>
          <w:iCs/>
        </w:rPr>
        <w:t xml:space="preserve">caput </w:t>
      </w:r>
      <w:r>
        <w:rPr>
          <w:rFonts w:cs="Times New Roman" w:ascii="Arial" w:hAnsi="Arial"/>
          <w:iCs/>
        </w:rPr>
        <w:t>do art. 3º da Lei Complementar n</w:t>
      </w:r>
      <w:r>
        <w:rPr>
          <w:rFonts w:cs="Times New Roman" w:ascii="Arial" w:hAnsi="Arial"/>
          <w:iCs/>
          <w:vertAlign w:val="superscript"/>
        </w:rPr>
        <w:t xml:space="preserve">o </w:t>
      </w:r>
      <w:r>
        <w:rPr>
          <w:rFonts w:cs="Times New Roman" w:ascii="Arial" w:hAnsi="Arial"/>
          <w:iCs/>
        </w:rPr>
        <w:t>123/2006 (</w:t>
      </w:r>
      <w:hyperlink r:id="rId10">
        <w:r>
          <w:rPr>
            <w:rStyle w:val="LinkdaInternet"/>
            <w:rFonts w:cs="Times New Roman" w:ascii="Arial" w:hAnsi="Arial"/>
            <w:iCs/>
          </w:rPr>
          <w:t>Lei nº 11.488/2007</w:t>
        </w:r>
      </w:hyperlink>
      <w:r>
        <w:rPr>
          <w:rFonts w:cs="Times New Roman" w:ascii="Arial" w:hAnsi="Arial"/>
          <w:iCs/>
        </w:rPr>
        <w:t>, art. 34).</w:t>
      </w:r>
    </w:p>
    <w:p>
      <w:pPr>
        <w:pStyle w:val="Normal"/>
        <w:tabs>
          <w:tab w:val="clear" w:pos="720"/>
          <w:tab w:val="left" w:pos="567" w:leader="none"/>
        </w:tabs>
        <w:spacing w:lineRule="auto" w:line="240"/>
        <w:jc w:val="both"/>
        <w:rPr>
          <w:rFonts w:ascii="Arial" w:hAnsi="Arial"/>
        </w:rPr>
      </w:pPr>
      <w:r>
        <w:rPr>
          <w:rFonts w:cs="Times New Roman" w:ascii="Arial" w:hAnsi="Arial"/>
          <w:b/>
          <w:iCs/>
        </w:rPr>
        <w:t>7.7.</w:t>
      </w:r>
      <w:r>
        <w:rPr>
          <w:rFonts w:cs="Times New Roman" w:ascii="Arial" w:hAnsi="Arial"/>
          <w:iCs/>
        </w:rPr>
        <w:t xml:space="preserve"> Para obtenção dos benefícios, conforme art. 4º, § 2º da Lei nº 14.133/2021, o licitante deverá apresentar declaração (ANEXO V) que, no ano-calendário de realização da licitação, ainda não celebrou contratos com a Administração Pública cujos valores somados extrapolem a receita bruta máxima admitida para fins de enquadramento como empresa de pequeno porte, ou seja, que ainda não celebrou contratos com a Administração Pública cujos valores somados </w:t>
      </w:r>
      <w:r>
        <w:rPr>
          <w:rFonts w:cs="Times New Roman" w:ascii="Arial" w:hAnsi="Arial"/>
          <w:iCs/>
          <w:color w:val="000000"/>
        </w:rPr>
        <w:t>extrapolem 4,8 milhões/ano (Lei Complementar nº 123/2006, art. 3º, II).</w:t>
      </w:r>
    </w:p>
    <w:p>
      <w:pPr>
        <w:pStyle w:val="Normal"/>
        <w:tabs>
          <w:tab w:val="clear" w:pos="720"/>
          <w:tab w:val="left" w:pos="567" w:leader="none"/>
        </w:tabs>
        <w:spacing w:lineRule="auto" w:line="240"/>
        <w:jc w:val="both"/>
        <w:rPr>
          <w:rFonts w:ascii="Arial" w:hAnsi="Arial"/>
        </w:rPr>
      </w:pPr>
      <w:r>
        <w:rPr>
          <w:rFonts w:eastAsia="Times New Roman" w:cs="Times New Roman" w:ascii="Arial" w:hAnsi="Arial"/>
          <w:b/>
          <w:iCs/>
          <w:color w:val="000000"/>
          <w:lang w:eastAsia="pt-BR"/>
        </w:rPr>
        <w:t>7.8.</w:t>
      </w:r>
      <w:r>
        <w:rPr>
          <w:rFonts w:eastAsia="Times New Roman" w:cs="Times New Roman" w:ascii="Arial" w:hAnsi="Arial"/>
          <w:iCs/>
          <w:color w:val="000000"/>
          <w:lang w:eastAsia="pt-BR"/>
        </w:rPr>
        <w:t xml:space="preserve"> Nas contratações com prazo de vigência superior a 1 (um) ano será considerado o valor anual do contrato na aplicação dos limites previstos no art. 4º, §§ 1º e 2º da Lei nº 14.133/2021.</w:t>
      </w:r>
    </w:p>
    <w:p>
      <w:pPr>
        <w:pStyle w:val="Normal"/>
        <w:shd w:val="clear" w:color="auto" w:fill="AEAAAA" w:themeFill="background2" w:themeFillShade="bf"/>
        <w:tabs>
          <w:tab w:val="clear" w:pos="720"/>
          <w:tab w:val="left" w:pos="1701" w:leader="none"/>
        </w:tabs>
        <w:spacing w:lineRule="auto" w:line="240"/>
        <w:jc w:val="both"/>
        <w:rPr>
          <w:rFonts w:ascii="Arial" w:hAnsi="Arial"/>
        </w:rPr>
      </w:pPr>
      <w:r>
        <w:rPr>
          <w:rFonts w:cs="Times New Roman" w:ascii="Arial" w:hAnsi="Arial"/>
          <w:b/>
        </w:rPr>
        <w:t xml:space="preserve">8. </w:t>
      </w:r>
      <w:r>
        <w:rPr>
          <w:rFonts w:cs="Times New Roman" w:ascii="Arial" w:hAnsi="Arial"/>
          <w:b/>
          <w:iCs/>
        </w:rPr>
        <w:t>PARTICIPAÇÃO DE CONSÓRCIOS</w:t>
      </w:r>
    </w:p>
    <w:p>
      <w:pPr>
        <w:pStyle w:val="Normal"/>
        <w:numPr>
          <w:ilvl w:val="0"/>
          <w:numId w:val="9"/>
        </w:numPr>
        <w:tabs>
          <w:tab w:val="clear" w:pos="720"/>
          <w:tab w:val="left" w:pos="567" w:leader="none"/>
        </w:tabs>
        <w:spacing w:lineRule="auto" w:line="240"/>
        <w:jc w:val="both"/>
        <w:rPr>
          <w:rFonts w:ascii="Arial" w:hAnsi="Arial"/>
        </w:rPr>
      </w:pPr>
      <w:r>
        <w:rPr>
          <w:rFonts w:cs="Times New Roman" w:ascii="Arial" w:hAnsi="Arial"/>
          <w:b/>
          <w:iCs/>
          <w:color w:val="000000"/>
        </w:rPr>
        <w:t>8.1.</w:t>
      </w:r>
      <w:r>
        <w:rPr>
          <w:rFonts w:cs="Times New Roman" w:ascii="Arial" w:hAnsi="Arial"/>
          <w:iCs/>
          <w:color w:val="000000"/>
        </w:rPr>
        <w:t xml:space="preserve"> É impedida a </w:t>
      </w:r>
      <w:r>
        <w:rPr>
          <w:rFonts w:cs="Times New Roman" w:ascii="Arial" w:hAnsi="Arial"/>
          <w:color w:val="000000"/>
        </w:rPr>
        <w:t>empresa consorciada participar, na mesma licitação, de mais de um consórcio ou de forma isolada.</w:t>
      </w:r>
    </w:p>
    <w:p>
      <w:pPr>
        <w:pStyle w:val="Normal"/>
        <w:numPr>
          <w:ilvl w:val="0"/>
          <w:numId w:val="9"/>
        </w:numPr>
        <w:tabs>
          <w:tab w:val="clear" w:pos="720"/>
          <w:tab w:val="left" w:pos="567" w:leader="none"/>
        </w:tabs>
        <w:spacing w:lineRule="auto" w:line="240"/>
        <w:jc w:val="both"/>
        <w:rPr>
          <w:rFonts w:ascii="Arial" w:hAnsi="Arial"/>
        </w:rPr>
      </w:pPr>
      <w:r>
        <w:rPr>
          <w:rFonts w:cs="Times New Roman" w:ascii="Arial" w:hAnsi="Arial"/>
          <w:b/>
          <w:iCs/>
          <w:color w:val="000000"/>
        </w:rPr>
        <w:t>8.2.</w:t>
      </w:r>
      <w:r>
        <w:rPr>
          <w:rFonts w:cs="Times New Roman" w:ascii="Arial" w:hAnsi="Arial"/>
          <w:iCs/>
          <w:color w:val="000000"/>
        </w:rPr>
        <w:t xml:space="preserve"> </w:t>
      </w:r>
      <w:r>
        <w:rPr>
          <w:rFonts w:cs="Times New Roman" w:ascii="Arial" w:hAnsi="Arial"/>
          <w:color w:val="000000"/>
        </w:rPr>
        <w:t>A responsabilidade dos integrantes é solidária pelos atos praticados em consórcio, tanto na fase de licitação quanto na de execução do contrato.</w:t>
      </w:r>
    </w:p>
    <w:p>
      <w:pPr>
        <w:pStyle w:val="Normal"/>
        <w:numPr>
          <w:ilvl w:val="0"/>
          <w:numId w:val="9"/>
        </w:numPr>
        <w:tabs>
          <w:tab w:val="clear" w:pos="720"/>
          <w:tab w:val="left" w:pos="567" w:leader="none"/>
        </w:tabs>
        <w:spacing w:lineRule="auto" w:line="240"/>
        <w:jc w:val="both"/>
        <w:rPr>
          <w:rFonts w:ascii="Arial" w:hAnsi="Arial"/>
        </w:rPr>
      </w:pPr>
      <w:r>
        <w:rPr>
          <w:rFonts w:cs="Times New Roman" w:ascii="Arial" w:hAnsi="Arial"/>
          <w:b/>
          <w:color w:val="000000"/>
        </w:rPr>
        <w:t>8.3.</w:t>
      </w:r>
      <w:r>
        <w:rPr>
          <w:rFonts w:cs="Times New Roman" w:ascii="Arial" w:hAnsi="Arial"/>
          <w:color w:val="000000"/>
        </w:rPr>
        <w:t xml:space="preserve"> A substituição de consorciado deverá ser expressamente autorizada pela Administração Pública Municipal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w:t>
      </w:r>
    </w:p>
    <w:p>
      <w:pPr>
        <w:pStyle w:val="Normal"/>
        <w:numPr>
          <w:ilvl w:val="0"/>
          <w:numId w:val="9"/>
        </w:numPr>
        <w:tabs>
          <w:tab w:val="clear" w:pos="720"/>
          <w:tab w:val="left" w:pos="567" w:leader="none"/>
        </w:tabs>
        <w:spacing w:lineRule="auto" w:line="240"/>
        <w:jc w:val="both"/>
        <w:rPr>
          <w:rFonts w:ascii="Arial" w:hAnsi="Arial"/>
        </w:rPr>
      </w:pPr>
      <w:r>
        <w:rPr>
          <w:rFonts w:cs="Times New Roman" w:ascii="Arial" w:hAnsi="Arial"/>
          <w:b/>
          <w:color w:val="000000"/>
        </w:rPr>
        <w:t>8.4.</w:t>
      </w:r>
      <w:r>
        <w:rPr>
          <w:rFonts w:cs="Times New Roman" w:ascii="Arial" w:hAnsi="Arial"/>
          <w:color w:val="000000"/>
        </w:rPr>
        <w:t xml:space="preserve"> Na fase de habilitação:</w:t>
      </w:r>
    </w:p>
    <w:p>
      <w:pPr>
        <w:pStyle w:val="ListParagraph"/>
        <w:widowControl w:val="false"/>
        <w:numPr>
          <w:ilvl w:val="0"/>
          <w:numId w:val="9"/>
        </w:numPr>
        <w:tabs>
          <w:tab w:val="clear" w:pos="720"/>
          <w:tab w:val="left" w:pos="1134" w:leader="none"/>
        </w:tabs>
        <w:ind w:left="567" w:hanging="0"/>
        <w:jc w:val="both"/>
        <w:textAlignment w:val="baseline"/>
        <w:rPr>
          <w:rFonts w:ascii="Arial" w:hAnsi="Arial"/>
          <w:sz w:val="22"/>
          <w:szCs w:val="22"/>
        </w:rPr>
      </w:pPr>
      <w:r>
        <w:rPr>
          <w:rFonts w:ascii="Arial" w:hAnsi="Arial"/>
          <w:color w:val="000000"/>
          <w:sz w:val="22"/>
          <w:szCs w:val="22"/>
        </w:rPr>
        <w:t>TÉCNICA: é admitido o somatório dos quantitativos de cada consorciado (art. 15, III – primeira parte);</w:t>
      </w:r>
    </w:p>
    <w:p>
      <w:pPr>
        <w:pStyle w:val="ListParagraph"/>
        <w:widowControl w:val="false"/>
        <w:numPr>
          <w:ilvl w:val="0"/>
          <w:numId w:val="9"/>
        </w:numPr>
        <w:tabs>
          <w:tab w:val="clear" w:pos="720"/>
          <w:tab w:val="left" w:pos="1134" w:leader="none"/>
        </w:tabs>
        <w:ind w:left="567" w:hanging="0"/>
        <w:jc w:val="both"/>
        <w:textAlignment w:val="baseline"/>
        <w:rPr>
          <w:rFonts w:ascii="Arial" w:hAnsi="Arial"/>
          <w:sz w:val="22"/>
          <w:szCs w:val="22"/>
        </w:rPr>
      </w:pPr>
      <w:r>
        <w:rPr>
          <w:rFonts w:ascii="Arial" w:hAnsi="Arial"/>
          <w:color w:val="000000"/>
          <w:sz w:val="22"/>
          <w:szCs w:val="22"/>
        </w:rPr>
        <w:t xml:space="preserve">ECONÔMICO-FINANCEIRA: </w:t>
      </w:r>
    </w:p>
    <w:p>
      <w:pPr>
        <w:pStyle w:val="ListParagraph"/>
        <w:widowControl w:val="false"/>
        <w:numPr>
          <w:ilvl w:val="0"/>
          <w:numId w:val="9"/>
        </w:numPr>
        <w:tabs>
          <w:tab w:val="clear" w:pos="720"/>
          <w:tab w:val="left" w:pos="1701" w:leader="none"/>
        </w:tabs>
        <w:ind w:left="1134" w:hanging="0"/>
        <w:jc w:val="both"/>
        <w:textAlignment w:val="baseline"/>
        <w:rPr>
          <w:rFonts w:ascii="Arial" w:hAnsi="Arial"/>
          <w:sz w:val="22"/>
          <w:szCs w:val="22"/>
        </w:rPr>
      </w:pPr>
      <w:r>
        <w:rPr>
          <w:rFonts w:ascii="Arial" w:hAnsi="Arial"/>
          <w:color w:val="000000"/>
          <w:sz w:val="22"/>
          <w:szCs w:val="22"/>
        </w:rPr>
        <w:t>Admissão do somatório dos valores de cada consorciado;</w:t>
      </w:r>
    </w:p>
    <w:p>
      <w:pPr>
        <w:pStyle w:val="ListParagraph"/>
        <w:widowControl w:val="false"/>
        <w:numPr>
          <w:ilvl w:val="0"/>
          <w:numId w:val="9"/>
        </w:numPr>
        <w:tabs>
          <w:tab w:val="clear" w:pos="720"/>
          <w:tab w:val="left" w:pos="1701" w:leader="none"/>
        </w:tabs>
        <w:ind w:left="1134" w:hanging="0"/>
        <w:jc w:val="both"/>
        <w:textAlignment w:val="baseline"/>
        <w:rPr>
          <w:rFonts w:ascii="Arial" w:hAnsi="Arial"/>
          <w:sz w:val="22"/>
          <w:szCs w:val="22"/>
        </w:rPr>
      </w:pPr>
      <w:r>
        <w:rPr>
          <w:rFonts w:ascii="Arial" w:hAnsi="Arial"/>
          <w:color w:val="000000"/>
          <w:sz w:val="22"/>
          <w:szCs w:val="22"/>
        </w:rPr>
        <w:t>Acréscimo de 10% (dez por cento) a 30% (trinta por cento) sobre o valor exigido de licitante individual para a habilitação econômico-financeira, salvo justificação; o referido acréscimo não se aplica aos consórcios compostos, em sua totalidade, de microempresas e pequenas empresas, assim definidas em lei.</w:t>
      </w:r>
    </w:p>
    <w:p>
      <w:pPr>
        <w:pStyle w:val="Normal"/>
        <w:numPr>
          <w:ilvl w:val="0"/>
          <w:numId w:val="9"/>
        </w:numPr>
        <w:tabs>
          <w:tab w:val="clear" w:pos="720"/>
          <w:tab w:val="left" w:pos="567" w:leader="none"/>
        </w:tabs>
        <w:spacing w:lineRule="auto" w:line="240"/>
        <w:jc w:val="both"/>
        <w:rPr>
          <w:rFonts w:ascii="Arial" w:hAnsi="Arial"/>
        </w:rPr>
      </w:pPr>
      <w:r>
        <w:rPr>
          <w:rFonts w:cs="Times New Roman" w:ascii="Arial" w:hAnsi="Arial"/>
          <w:b/>
          <w:iCs/>
          <w:color w:val="000000"/>
        </w:rPr>
        <w:t xml:space="preserve">8.6. </w:t>
      </w:r>
      <w:r>
        <w:rPr>
          <w:rFonts w:cs="Times New Roman" w:ascii="Arial" w:hAnsi="Arial"/>
          <w:iCs/>
          <w:color w:val="000000"/>
        </w:rPr>
        <w:t>A assinatura do contrato será condicionada à:</w:t>
      </w:r>
    </w:p>
    <w:p>
      <w:pPr>
        <w:pStyle w:val="ListParagraph"/>
        <w:widowControl w:val="false"/>
        <w:numPr>
          <w:ilvl w:val="0"/>
          <w:numId w:val="9"/>
        </w:numPr>
        <w:tabs>
          <w:tab w:val="clear" w:pos="720"/>
          <w:tab w:val="left" w:pos="1134" w:leader="none"/>
        </w:tabs>
        <w:ind w:left="567" w:hanging="0"/>
        <w:jc w:val="both"/>
        <w:textAlignment w:val="baseline"/>
        <w:rPr>
          <w:rFonts w:ascii="Arial" w:hAnsi="Arial"/>
          <w:sz w:val="22"/>
          <w:szCs w:val="22"/>
        </w:rPr>
      </w:pPr>
      <w:r>
        <w:rPr>
          <w:rFonts w:ascii="Arial" w:hAnsi="Arial"/>
          <w:color w:val="000000"/>
          <w:sz w:val="22"/>
          <w:szCs w:val="22"/>
        </w:rPr>
        <w:t>Comprovação de compromisso público ou particular de constituição de consórcio, subscrito pelos consorciados;</w:t>
      </w:r>
    </w:p>
    <w:p>
      <w:pPr>
        <w:pStyle w:val="ListParagraph"/>
        <w:widowControl w:val="false"/>
        <w:numPr>
          <w:ilvl w:val="0"/>
          <w:numId w:val="9"/>
        </w:numPr>
        <w:tabs>
          <w:tab w:val="clear" w:pos="720"/>
          <w:tab w:val="left" w:pos="1134" w:leader="none"/>
        </w:tabs>
        <w:ind w:left="567" w:hanging="0"/>
        <w:jc w:val="both"/>
        <w:textAlignment w:val="baseline"/>
        <w:rPr>
          <w:rFonts w:ascii="Arial" w:hAnsi="Arial"/>
          <w:sz w:val="22"/>
          <w:szCs w:val="22"/>
        </w:rPr>
      </w:pPr>
      <w:r>
        <w:rPr>
          <w:rFonts w:ascii="Arial" w:hAnsi="Arial"/>
          <w:iCs/>
          <w:color w:val="000000"/>
          <w:sz w:val="22"/>
          <w:szCs w:val="22"/>
        </w:rPr>
        <w:t>Indicação da empresa líder do consórcio, que será responsável por sua representação perante a Administração.</w:t>
      </w:r>
    </w:p>
    <w:p>
      <w:pPr>
        <w:pStyle w:val="Normal"/>
        <w:shd w:val="clear" w:color="auto" w:fill="AEAAAA" w:themeFill="background2" w:themeFillShade="bf"/>
        <w:tabs>
          <w:tab w:val="clear" w:pos="720"/>
          <w:tab w:val="left" w:pos="1701" w:leader="none"/>
        </w:tabs>
        <w:spacing w:lineRule="auto" w:line="240"/>
        <w:jc w:val="both"/>
        <w:rPr>
          <w:rFonts w:ascii="Arial" w:hAnsi="Arial"/>
        </w:rPr>
      </w:pPr>
      <w:r>
        <w:rPr>
          <w:rFonts w:cs="Times New Roman" w:ascii="Arial" w:hAnsi="Arial"/>
          <w:b/>
        </w:rPr>
        <w:t xml:space="preserve">9. </w:t>
      </w:r>
      <w:r>
        <w:rPr>
          <w:rFonts w:cs="Times New Roman" w:ascii="Arial" w:hAnsi="Arial"/>
          <w:b/>
          <w:iCs/>
        </w:rPr>
        <w:t>PARTICIPAÇÃO DE COOPERATIVAS</w:t>
      </w:r>
    </w:p>
    <w:p>
      <w:pPr>
        <w:pStyle w:val="Normal"/>
        <w:tabs>
          <w:tab w:val="clear" w:pos="720"/>
          <w:tab w:val="left" w:pos="567" w:leader="none"/>
        </w:tabs>
        <w:spacing w:lineRule="auto" w:line="240"/>
        <w:jc w:val="both"/>
        <w:rPr>
          <w:rFonts w:ascii="Arial" w:hAnsi="Arial"/>
        </w:rPr>
      </w:pPr>
      <w:r>
        <w:rPr>
          <w:rFonts w:cs="Times New Roman" w:ascii="Arial" w:hAnsi="Arial"/>
          <w:b/>
          <w:iCs/>
        </w:rPr>
        <w:t>9.1.</w:t>
      </w:r>
      <w:r>
        <w:rPr>
          <w:rFonts w:cs="Times New Roman" w:ascii="Arial" w:hAnsi="Arial"/>
          <w:iCs/>
        </w:rPr>
        <w:t xml:space="preserve"> Conforme art. 16 da Lei nº 14.133/2021, os profissionais organizados sob a forma de cooperativa poderão participar de licitação quando:</w:t>
      </w:r>
    </w:p>
    <w:p>
      <w:pPr>
        <w:pStyle w:val="ListParagraph"/>
        <w:widowControl w:val="false"/>
        <w:numPr>
          <w:ilvl w:val="0"/>
          <w:numId w:val="9"/>
        </w:numPr>
        <w:tabs>
          <w:tab w:val="clear" w:pos="720"/>
          <w:tab w:val="left" w:pos="1134" w:leader="none"/>
        </w:tabs>
        <w:ind w:left="567" w:hanging="0"/>
        <w:jc w:val="both"/>
        <w:textAlignment w:val="baseline"/>
        <w:rPr>
          <w:rFonts w:ascii="Arial" w:hAnsi="Arial"/>
          <w:sz w:val="22"/>
          <w:szCs w:val="22"/>
        </w:rPr>
      </w:pPr>
      <w:r>
        <w:rPr>
          <w:rFonts w:ascii="Arial" w:hAnsi="Arial"/>
          <w:sz w:val="22"/>
          <w:szCs w:val="22"/>
        </w:rPr>
        <w:t xml:space="preserve"> </w:t>
      </w:r>
      <w:r>
        <w:rPr>
          <w:rFonts w:ascii="Arial" w:hAnsi="Arial"/>
          <w:sz w:val="22"/>
          <w:szCs w:val="22"/>
        </w:rPr>
        <w:t>A constituição e o funcionamento da cooperativa observarem as regras estabelecidas na legislação aplicável, em especial:</w:t>
      </w:r>
    </w:p>
    <w:p>
      <w:pPr>
        <w:pStyle w:val="ListParagraph"/>
        <w:widowControl w:val="false"/>
        <w:numPr>
          <w:ilvl w:val="0"/>
          <w:numId w:val="10"/>
        </w:numPr>
        <w:tabs>
          <w:tab w:val="clear" w:pos="720"/>
          <w:tab w:val="left" w:pos="1701" w:leader="none"/>
        </w:tabs>
        <w:ind w:left="1134" w:hanging="0"/>
        <w:jc w:val="both"/>
        <w:textAlignment w:val="baseline"/>
        <w:rPr/>
      </w:pPr>
      <w:hyperlink r:id="rId11">
        <w:r>
          <w:rPr>
            <w:rStyle w:val="LinkdaInternet"/>
            <w:rFonts w:ascii="Arial" w:hAnsi="Arial"/>
            <w:sz w:val="22"/>
            <w:szCs w:val="22"/>
          </w:rPr>
          <w:t>Lei nº 5.764, de 16 de dezembro de 1971</w:t>
        </w:r>
      </w:hyperlink>
      <w:r>
        <w:rPr>
          <w:rFonts w:ascii="Arial" w:hAnsi="Arial"/>
          <w:sz w:val="22"/>
          <w:szCs w:val="22"/>
        </w:rPr>
        <w:t xml:space="preserve"> – Define a Política Nacional de Cooperativismo, institui o regime jurídico das sociedades cooperativas, e dá outras providências;</w:t>
      </w:r>
    </w:p>
    <w:p>
      <w:pPr>
        <w:pStyle w:val="ListParagraph"/>
        <w:widowControl w:val="false"/>
        <w:numPr>
          <w:ilvl w:val="0"/>
          <w:numId w:val="10"/>
        </w:numPr>
        <w:tabs>
          <w:tab w:val="clear" w:pos="720"/>
          <w:tab w:val="left" w:pos="1701" w:leader="none"/>
        </w:tabs>
        <w:ind w:left="1134" w:hanging="0"/>
        <w:jc w:val="both"/>
        <w:textAlignment w:val="baseline"/>
        <w:rPr/>
      </w:pPr>
      <w:hyperlink r:id="rId12">
        <w:r>
          <w:rPr>
            <w:rStyle w:val="LinkdaInternet"/>
            <w:rFonts w:ascii="Arial" w:hAnsi="Arial"/>
            <w:sz w:val="22"/>
            <w:szCs w:val="22"/>
          </w:rPr>
          <w:t>Lei nº 12.690, de 19 de julho de 2012</w:t>
        </w:r>
      </w:hyperlink>
      <w:r>
        <w:rPr>
          <w:rFonts w:ascii="Arial" w:hAnsi="Arial"/>
          <w:sz w:val="22"/>
          <w:szCs w:val="22"/>
        </w:rPr>
        <w:t xml:space="preserve"> – Dispõe sobre a organização e o funcionamento das Cooperativas de Trabalho; institui o Programa Nacional de Fomento às Cooperativas de Trabalho - PRONACOOP; e revoga o parágrafo único do art. 442 da Consolidação das Leis do Trabalho – CLT, aprovada pelo Decreto-Lei nº 5.452, de 1º de maio de 1943;</w:t>
      </w:r>
    </w:p>
    <w:p>
      <w:pPr>
        <w:pStyle w:val="ListParagraph"/>
        <w:widowControl w:val="false"/>
        <w:numPr>
          <w:ilvl w:val="0"/>
          <w:numId w:val="10"/>
        </w:numPr>
        <w:tabs>
          <w:tab w:val="clear" w:pos="720"/>
          <w:tab w:val="left" w:pos="1701" w:leader="none"/>
        </w:tabs>
        <w:ind w:left="1134" w:hanging="0"/>
        <w:jc w:val="both"/>
        <w:textAlignment w:val="baseline"/>
        <w:rPr/>
      </w:pPr>
      <w:hyperlink r:id="rId13">
        <w:r>
          <w:rPr>
            <w:rStyle w:val="LinkdaInternet"/>
            <w:rFonts w:ascii="Arial" w:hAnsi="Arial"/>
            <w:sz w:val="22"/>
            <w:szCs w:val="22"/>
          </w:rPr>
          <w:t>Lei Complementar nº 130, de 17 de abril de 2009</w:t>
        </w:r>
      </w:hyperlink>
      <w:r>
        <w:rPr>
          <w:rFonts w:ascii="Arial" w:hAnsi="Arial"/>
          <w:sz w:val="22"/>
          <w:szCs w:val="22"/>
        </w:rPr>
        <w:t xml:space="preserve"> – Dispõe sobre o Sistema Nacional de Crédito Cooperativo e revoga dispositivos das Leis n</w:t>
      </w:r>
      <w:r>
        <w:rPr>
          <w:rFonts w:ascii="Arial" w:hAnsi="Arial"/>
          <w:sz w:val="22"/>
          <w:szCs w:val="22"/>
          <w:u w:val="single"/>
          <w:vertAlign w:val="superscript"/>
        </w:rPr>
        <w:t xml:space="preserve">os </w:t>
      </w:r>
      <w:r>
        <w:rPr>
          <w:rFonts w:ascii="Arial" w:hAnsi="Arial"/>
          <w:sz w:val="22"/>
          <w:szCs w:val="22"/>
        </w:rPr>
        <w:t>4.595, de 31 de dezembro de 1964, e 5.764, de 16 de dezembro de 1971.</w:t>
      </w:r>
    </w:p>
    <w:p>
      <w:pPr>
        <w:pStyle w:val="ListParagraph"/>
        <w:widowControl w:val="false"/>
        <w:numPr>
          <w:ilvl w:val="0"/>
          <w:numId w:val="9"/>
        </w:numPr>
        <w:tabs>
          <w:tab w:val="clear" w:pos="720"/>
          <w:tab w:val="left" w:pos="1134" w:leader="none"/>
        </w:tabs>
        <w:ind w:left="567" w:hanging="0"/>
        <w:jc w:val="both"/>
        <w:textAlignment w:val="baseline"/>
        <w:rPr>
          <w:rFonts w:ascii="Arial" w:hAnsi="Arial"/>
          <w:sz w:val="22"/>
          <w:szCs w:val="22"/>
        </w:rPr>
      </w:pPr>
      <w:bookmarkStart w:id="4" w:name="art16ii"/>
      <w:bookmarkEnd w:id="4"/>
      <w:r>
        <w:rPr>
          <w:rFonts w:ascii="Arial" w:hAnsi="Arial"/>
          <w:sz w:val="22"/>
          <w:szCs w:val="22"/>
        </w:rPr>
        <w:t>A cooperativa apresentar demonstrativo de atuação em regime cooperado, com repartição de receitas e despesas entre os cooperados;</w:t>
      </w:r>
    </w:p>
    <w:p>
      <w:pPr>
        <w:pStyle w:val="ListParagraph"/>
        <w:widowControl w:val="false"/>
        <w:numPr>
          <w:ilvl w:val="0"/>
          <w:numId w:val="9"/>
        </w:numPr>
        <w:tabs>
          <w:tab w:val="clear" w:pos="720"/>
          <w:tab w:val="left" w:pos="1134" w:leader="none"/>
        </w:tabs>
        <w:ind w:left="567" w:hanging="0"/>
        <w:jc w:val="both"/>
        <w:textAlignment w:val="baseline"/>
        <w:rPr>
          <w:rFonts w:ascii="Arial" w:hAnsi="Arial"/>
          <w:sz w:val="22"/>
          <w:szCs w:val="22"/>
        </w:rPr>
      </w:pPr>
      <w:bookmarkStart w:id="5" w:name="art16iii"/>
      <w:bookmarkEnd w:id="5"/>
      <w:r>
        <w:rPr>
          <w:rFonts w:ascii="Arial" w:hAnsi="Arial"/>
          <w:sz w:val="22"/>
          <w:szCs w:val="22"/>
        </w:rPr>
        <w:t>Qualquer cooperado, com igual qualificação, for capaz de executar o objeto contratado, vedado à Administração indicar nominalmente pessoas;</w:t>
      </w:r>
    </w:p>
    <w:p>
      <w:pPr>
        <w:pStyle w:val="ListParagraph"/>
        <w:widowControl w:val="false"/>
        <w:numPr>
          <w:ilvl w:val="0"/>
          <w:numId w:val="9"/>
        </w:numPr>
        <w:tabs>
          <w:tab w:val="clear" w:pos="720"/>
          <w:tab w:val="left" w:pos="1134" w:leader="none"/>
        </w:tabs>
        <w:ind w:left="567" w:hanging="0"/>
        <w:jc w:val="both"/>
        <w:textAlignment w:val="baseline"/>
        <w:rPr/>
      </w:pPr>
      <w:bookmarkStart w:id="6" w:name="art16iv"/>
      <w:bookmarkEnd w:id="6"/>
      <w:r>
        <w:rPr>
          <w:rFonts w:ascii="Arial" w:hAnsi="Arial"/>
          <w:sz w:val="22"/>
          <w:szCs w:val="22"/>
        </w:rPr>
        <w:t xml:space="preserve">O objeto da licitação referir-se, em se tratando de cooperativas enquadradas na </w:t>
      </w:r>
      <w:hyperlink r:id="rId14">
        <w:r>
          <w:rPr>
            <w:rStyle w:val="LinkdaInternet"/>
            <w:rFonts w:ascii="Arial" w:hAnsi="Arial"/>
            <w:sz w:val="22"/>
            <w:szCs w:val="22"/>
          </w:rPr>
          <w:t>Lei nº 12.690, de 19 de julho de 2012</w:t>
        </w:r>
      </w:hyperlink>
      <w:r>
        <w:rPr>
          <w:rFonts w:ascii="Arial" w:hAnsi="Arial"/>
          <w:sz w:val="22"/>
          <w:szCs w:val="22"/>
        </w:rPr>
        <w:t>, a serviços especializados constantes do objeto social da cooperativa, a serem executados de forma complementar à sua atuação.</w:t>
      </w:r>
    </w:p>
    <w:p>
      <w:pPr>
        <w:pStyle w:val="Normal"/>
        <w:tabs>
          <w:tab w:val="clear" w:pos="720"/>
          <w:tab w:val="left" w:pos="567" w:leader="none"/>
        </w:tabs>
        <w:spacing w:lineRule="auto" w:line="240"/>
        <w:jc w:val="both"/>
        <w:rPr/>
      </w:pPr>
      <w:r>
        <w:rPr>
          <w:rFonts w:cs="Times New Roman" w:ascii="Arial" w:hAnsi="Arial"/>
          <w:b/>
          <w:iCs/>
        </w:rPr>
        <w:t>9.2.</w:t>
      </w:r>
      <w:r>
        <w:rPr>
          <w:rFonts w:cs="Times New Roman" w:ascii="Arial" w:hAnsi="Arial"/>
          <w:iCs/>
        </w:rPr>
        <w:t xml:space="preserve"> Conforme art. 34 da </w:t>
      </w:r>
      <w:hyperlink r:id="rId15">
        <w:r>
          <w:rPr>
            <w:rStyle w:val="LinkdaInternet"/>
            <w:rFonts w:cs="Times New Roman" w:ascii="Arial" w:hAnsi="Arial"/>
            <w:iCs/>
          </w:rPr>
          <w:t>Lei nº 11.488/2007</w:t>
        </w:r>
      </w:hyperlink>
      <w:r>
        <w:rPr>
          <w:rFonts w:cs="Times New Roman" w:ascii="Arial" w:hAnsi="Arial"/>
          <w:iCs/>
        </w:rPr>
        <w:t xml:space="preserve">, aplica-se às sociedades cooperativas que tenham auferido, no ano-calendário anterior, receita bruta até o limite definido no inciso II do </w:t>
      </w:r>
      <w:r>
        <w:rPr>
          <w:rFonts w:cs="Times New Roman" w:ascii="Arial" w:hAnsi="Arial"/>
          <w:i/>
          <w:iCs/>
        </w:rPr>
        <w:t xml:space="preserve">caput </w:t>
      </w:r>
      <w:r>
        <w:rPr>
          <w:rFonts w:cs="Times New Roman" w:ascii="Arial" w:hAnsi="Arial"/>
          <w:iCs/>
        </w:rPr>
        <w:t>do art. 3º da Lei Complementar n</w:t>
      </w:r>
      <w:r>
        <w:rPr>
          <w:rFonts w:cs="Times New Roman" w:ascii="Arial" w:hAnsi="Arial"/>
          <w:iCs/>
          <w:vertAlign w:val="superscript"/>
        </w:rPr>
        <w:t xml:space="preserve">o </w:t>
      </w:r>
      <w:r>
        <w:rPr>
          <w:rFonts w:cs="Times New Roman" w:ascii="Arial" w:hAnsi="Arial"/>
          <w:iCs/>
        </w:rPr>
        <w:t>123/2006, nela incluídos os atos cooperados e não-cooperados, o disposto nos Capítulos V a X, na Seção IV do Capítulo XI, e no Capítulo XII da referida Lei Complementar.</w:t>
      </w:r>
    </w:p>
    <w:p>
      <w:pPr>
        <w:pStyle w:val="Normal"/>
        <w:shd w:val="clear" w:color="auto" w:fill="AEAAAA" w:themeFill="background2" w:themeFillShade="bf"/>
        <w:tabs>
          <w:tab w:val="clear" w:pos="720"/>
          <w:tab w:val="left" w:pos="1701" w:leader="none"/>
        </w:tabs>
        <w:spacing w:lineRule="auto" w:line="240"/>
        <w:jc w:val="both"/>
        <w:rPr>
          <w:rFonts w:ascii="Arial" w:hAnsi="Arial"/>
        </w:rPr>
      </w:pPr>
      <w:r>
        <w:rPr>
          <w:rFonts w:cs="Times New Roman" w:ascii="Arial" w:hAnsi="Arial"/>
          <w:b/>
        </w:rPr>
        <w:t xml:space="preserve">10. </w:t>
      </w:r>
      <w:r>
        <w:rPr>
          <w:rFonts w:cs="Times New Roman" w:ascii="Arial" w:hAnsi="Arial"/>
          <w:b/>
          <w:iCs/>
        </w:rPr>
        <w:t>REGRAS GERAIS PARA DOCUMENTAÇÃO</w:t>
      </w:r>
    </w:p>
    <w:p>
      <w:pPr>
        <w:pStyle w:val="Normal"/>
        <w:tabs>
          <w:tab w:val="clear" w:pos="720"/>
          <w:tab w:val="left" w:pos="567" w:leader="none"/>
        </w:tabs>
        <w:spacing w:lineRule="auto" w:line="240"/>
        <w:jc w:val="both"/>
        <w:rPr>
          <w:rFonts w:ascii="Arial" w:hAnsi="Arial"/>
        </w:rPr>
      </w:pPr>
      <w:r>
        <w:rPr>
          <w:rFonts w:cs="Times New Roman" w:ascii="Arial" w:hAnsi="Arial"/>
          <w:b/>
          <w:iCs/>
        </w:rPr>
        <w:t>10.1.</w:t>
      </w:r>
      <w:r>
        <w:rPr>
          <w:rFonts w:cs="Times New Roman" w:ascii="Arial" w:hAnsi="Arial"/>
          <w:iCs/>
        </w:rPr>
        <w:t xml:space="preserve"> Conforme art. 12 da Lei nº 14.133/2021:</w:t>
      </w:r>
    </w:p>
    <w:p>
      <w:pPr>
        <w:pStyle w:val="ListParagraph"/>
        <w:widowControl w:val="false"/>
        <w:tabs>
          <w:tab w:val="clear" w:pos="720"/>
          <w:tab w:val="left" w:pos="1134" w:leader="none"/>
        </w:tabs>
        <w:ind w:left="1287" w:hanging="0"/>
        <w:jc w:val="both"/>
        <w:textAlignment w:val="baseline"/>
        <w:rPr>
          <w:rFonts w:ascii="Arial" w:hAnsi="Arial"/>
          <w:sz w:val="22"/>
          <w:szCs w:val="22"/>
        </w:rPr>
      </w:pPr>
      <w:r>
        <w:rPr>
          <w:rFonts w:ascii="Arial" w:hAnsi="Arial"/>
          <w:b/>
          <w:bCs/>
          <w:iCs/>
          <w:sz w:val="22"/>
          <w:szCs w:val="22"/>
        </w:rPr>
        <w:t>I</w:t>
      </w:r>
      <w:r>
        <w:rPr>
          <w:rFonts w:ascii="Arial" w:hAnsi="Arial"/>
          <w:iCs/>
          <w:sz w:val="22"/>
          <w:szCs w:val="22"/>
        </w:rPr>
        <w:t xml:space="preserve"> – Os documentos serão produzidos por escrito, com data e local de sua realização e assinatura dos responsáveis;</w:t>
      </w:r>
    </w:p>
    <w:p>
      <w:pPr>
        <w:pStyle w:val="ListParagraph"/>
        <w:widowControl w:val="false"/>
        <w:tabs>
          <w:tab w:val="clear" w:pos="720"/>
          <w:tab w:val="left" w:pos="1134" w:leader="none"/>
        </w:tabs>
        <w:ind w:left="1287" w:hanging="0"/>
        <w:jc w:val="both"/>
        <w:textAlignment w:val="baseline"/>
        <w:rPr>
          <w:rFonts w:ascii="Arial" w:hAnsi="Arial"/>
          <w:sz w:val="22"/>
          <w:szCs w:val="22"/>
        </w:rPr>
      </w:pPr>
      <w:r>
        <w:rPr>
          <w:rFonts w:ascii="Arial" w:hAnsi="Arial"/>
          <w:b/>
          <w:bCs/>
          <w:iCs/>
          <w:sz w:val="22"/>
          <w:szCs w:val="22"/>
        </w:rPr>
        <w:t>II</w:t>
      </w:r>
      <w:r>
        <w:rPr>
          <w:rFonts w:ascii="Arial" w:hAnsi="Arial"/>
          <w:iCs/>
          <w:sz w:val="22"/>
          <w:szCs w:val="22"/>
        </w:rPr>
        <w:t xml:space="preserve"> – Os valores, os preços e os custos utilizados terão como expressão monetária a moeda corrente nacional, ressalvado o disposto no art. 52 da Lei nº 14.133/2021 (licitações internacionais);</w:t>
      </w:r>
    </w:p>
    <w:p>
      <w:pPr>
        <w:pStyle w:val="ListParagraph"/>
        <w:widowControl w:val="false"/>
        <w:tabs>
          <w:tab w:val="clear" w:pos="720"/>
          <w:tab w:val="left" w:pos="1134" w:leader="none"/>
        </w:tabs>
        <w:ind w:left="1287" w:hanging="0"/>
        <w:jc w:val="both"/>
        <w:textAlignment w:val="baseline"/>
        <w:rPr>
          <w:rFonts w:ascii="Arial" w:hAnsi="Arial"/>
          <w:sz w:val="22"/>
          <w:szCs w:val="22"/>
        </w:rPr>
      </w:pPr>
      <w:r>
        <w:rPr>
          <w:rFonts w:ascii="Arial" w:hAnsi="Arial"/>
          <w:b/>
          <w:bCs/>
          <w:iCs/>
          <w:color w:val="000000"/>
          <w:sz w:val="22"/>
          <w:szCs w:val="22"/>
        </w:rPr>
        <w:t>III</w:t>
      </w:r>
      <w:r>
        <w:rPr>
          <w:rFonts w:ascii="Arial" w:hAnsi="Arial"/>
          <w:iCs/>
          <w:color w:val="000000"/>
          <w:sz w:val="22"/>
          <w:szCs w:val="22"/>
        </w:rPr>
        <w:t xml:space="preserve"> – O desatendimento de exigências meramente formais que não comprometam a aferição da qualificação do licitante ou a compreensão do conteúdo de sua proposta não importará seu afastamento da licitação ou a invalidação do processo, sendo que a decisão sobre tal desatendimento poderá ser precedida de parecer jurídico;</w:t>
      </w:r>
    </w:p>
    <w:p>
      <w:pPr>
        <w:pStyle w:val="ListParagraph"/>
        <w:widowControl w:val="false"/>
        <w:tabs>
          <w:tab w:val="clear" w:pos="720"/>
          <w:tab w:val="left" w:pos="1134" w:leader="none"/>
        </w:tabs>
        <w:ind w:left="1287" w:hanging="0"/>
        <w:jc w:val="both"/>
        <w:textAlignment w:val="baseline"/>
        <w:rPr>
          <w:rFonts w:ascii="Arial" w:hAnsi="Arial"/>
          <w:sz w:val="22"/>
          <w:szCs w:val="22"/>
        </w:rPr>
      </w:pPr>
      <w:r>
        <w:rPr>
          <w:rFonts w:ascii="Arial" w:hAnsi="Arial"/>
          <w:b/>
          <w:bCs/>
          <w:sz w:val="22"/>
          <w:szCs w:val="22"/>
        </w:rPr>
        <w:t>IV</w:t>
      </w:r>
      <w:r>
        <w:rPr>
          <w:rFonts w:ascii="Arial" w:hAnsi="Arial"/>
          <w:sz w:val="22"/>
          <w:szCs w:val="22"/>
        </w:rPr>
        <w:t xml:space="preserve"> – A prova de autenticidade de cópia de documento público ou particular poderá ser feita perante agente da Administração Pública Municipal, mediante apresentação de original ou de declaração de autenticidade por advogado, sob sua responsabilidade pessoal;</w:t>
      </w:r>
    </w:p>
    <w:p>
      <w:pPr>
        <w:pStyle w:val="ListParagraph"/>
        <w:widowControl w:val="false"/>
        <w:tabs>
          <w:tab w:val="clear" w:pos="720"/>
          <w:tab w:val="left" w:pos="1134" w:leader="none"/>
        </w:tabs>
        <w:ind w:left="1287" w:hanging="0"/>
        <w:jc w:val="both"/>
        <w:textAlignment w:val="baseline"/>
        <w:rPr>
          <w:rFonts w:ascii="Arial" w:hAnsi="Arial"/>
          <w:sz w:val="22"/>
          <w:szCs w:val="22"/>
        </w:rPr>
      </w:pPr>
      <w:r>
        <w:rPr>
          <w:rFonts w:ascii="Arial" w:hAnsi="Arial"/>
          <w:b/>
          <w:bCs/>
          <w:sz w:val="22"/>
          <w:szCs w:val="22"/>
        </w:rPr>
        <w:t>V</w:t>
      </w:r>
      <w:r>
        <w:rPr>
          <w:rFonts w:ascii="Arial" w:hAnsi="Arial"/>
          <w:sz w:val="22"/>
          <w:szCs w:val="22"/>
        </w:rPr>
        <w:t xml:space="preserve"> – O reconhecimento de firma somente será exigido quando houver dúvida de autenticidade, salvo imposição legal;</w:t>
      </w:r>
    </w:p>
    <w:p>
      <w:pPr>
        <w:pStyle w:val="ListParagraph"/>
        <w:widowControl w:val="false"/>
        <w:tabs>
          <w:tab w:val="clear" w:pos="720"/>
          <w:tab w:val="left" w:pos="1134" w:leader="none"/>
        </w:tabs>
        <w:ind w:left="1287" w:hanging="0"/>
        <w:jc w:val="both"/>
        <w:textAlignment w:val="baseline"/>
        <w:rPr>
          <w:rFonts w:ascii="Arial" w:hAnsi="Arial"/>
          <w:sz w:val="22"/>
          <w:szCs w:val="22"/>
        </w:rPr>
      </w:pPr>
      <w:r>
        <w:rPr>
          <w:rFonts w:ascii="Arial" w:hAnsi="Arial"/>
          <w:b/>
          <w:bCs/>
          <w:sz w:val="22"/>
          <w:szCs w:val="22"/>
        </w:rPr>
        <w:t>VI</w:t>
      </w:r>
      <w:r>
        <w:rPr>
          <w:rFonts w:ascii="Arial" w:hAnsi="Arial"/>
          <w:sz w:val="22"/>
          <w:szCs w:val="22"/>
        </w:rPr>
        <w:t xml:space="preserve"> – Os atos serão preferencialmente digitais, de forma a permitir que sejam produzidos, comunicados, armazenados e validados por meio eletrônico;</w:t>
      </w:r>
    </w:p>
    <w:p>
      <w:pPr>
        <w:pStyle w:val="ListParagraph"/>
        <w:widowControl w:val="false"/>
        <w:tabs>
          <w:tab w:val="clear" w:pos="720"/>
          <w:tab w:val="left" w:pos="1134" w:leader="none"/>
        </w:tabs>
        <w:ind w:left="1287" w:hanging="0"/>
        <w:jc w:val="both"/>
        <w:textAlignment w:val="baseline"/>
        <w:rPr>
          <w:rFonts w:ascii="Arial" w:hAnsi="Arial"/>
          <w:sz w:val="22"/>
          <w:szCs w:val="22"/>
        </w:rPr>
      </w:pPr>
      <w:r>
        <w:rPr>
          <w:rFonts w:ascii="Arial" w:hAnsi="Arial"/>
          <w:b/>
          <w:bCs/>
          <w:iCs/>
          <w:color w:val="000000"/>
          <w:sz w:val="22"/>
          <w:szCs w:val="22"/>
          <w:lang w:eastAsia="pt-BR"/>
        </w:rPr>
        <w:t>VII</w:t>
      </w:r>
      <w:r>
        <w:rPr>
          <w:rFonts w:ascii="Arial" w:hAnsi="Arial"/>
          <w:iCs/>
          <w:color w:val="000000"/>
          <w:sz w:val="22"/>
          <w:szCs w:val="22"/>
          <w:lang w:eastAsia="pt-BR"/>
        </w:rPr>
        <w:t xml:space="preserve"> – É permitida a identificação e assinatura digital por pessoa física ou jurídica em meio eletrônico, mediante certificado digital emitido em âmbito </w:t>
      </w:r>
      <w:r>
        <w:rPr>
          <w:rFonts w:ascii="Arial" w:hAnsi="Arial"/>
          <w:iCs/>
          <w:color w:val="000000"/>
          <w:sz w:val="22"/>
          <w:szCs w:val="22"/>
          <w:shd w:fill="auto" w:val="clear"/>
          <w:lang w:eastAsia="pt-BR"/>
        </w:rPr>
        <w:t>da Infraestrutura de Chaves Públicas Brasileira (ICP-Brasil).</w:t>
      </w:r>
    </w:p>
    <w:p>
      <w:pPr>
        <w:pStyle w:val="Normal"/>
        <w:shd w:val="clear" w:color="auto" w:fill="AEAAAA" w:themeFill="background2" w:themeFillShade="bf"/>
        <w:tabs>
          <w:tab w:val="clear" w:pos="720"/>
          <w:tab w:val="left" w:pos="1701" w:leader="none"/>
        </w:tabs>
        <w:spacing w:lineRule="auto" w:line="240"/>
        <w:jc w:val="both"/>
        <w:rPr>
          <w:shd w:fill="auto" w:val="clear"/>
        </w:rPr>
      </w:pPr>
      <w:r>
        <w:rPr>
          <w:rFonts w:cs="Times New Roman" w:ascii="Arial" w:hAnsi="Arial"/>
          <w:b/>
          <w:shd w:fill="auto" w:val="clear"/>
        </w:rPr>
        <w:t xml:space="preserve">11. </w:t>
      </w:r>
      <w:r>
        <w:rPr>
          <w:rFonts w:cs="Times New Roman" w:ascii="Arial" w:hAnsi="Arial"/>
          <w:b/>
          <w:iCs/>
          <w:shd w:fill="auto" w:val="clear"/>
        </w:rPr>
        <w:t>FASES DE PROPOSTA E HABILITAÇÃO</w:t>
      </w:r>
    </w:p>
    <w:p>
      <w:pPr>
        <w:pStyle w:val="Normal"/>
        <w:tabs>
          <w:tab w:val="clear" w:pos="720"/>
          <w:tab w:val="left" w:pos="567" w:leader="none"/>
        </w:tabs>
        <w:spacing w:lineRule="auto" w:line="240"/>
        <w:jc w:val="both"/>
        <w:rPr>
          <w:shd w:fill="auto" w:val="clear"/>
        </w:rPr>
      </w:pPr>
      <w:r>
        <w:rPr>
          <w:rFonts w:cs="Times New Roman" w:ascii="Arial" w:hAnsi="Arial"/>
          <w:b/>
          <w:iCs/>
          <w:shd w:fill="auto" w:val="clear"/>
        </w:rPr>
        <w:t>11.1.</w:t>
      </w:r>
      <w:r>
        <w:rPr>
          <w:rFonts w:cs="Times New Roman" w:ascii="Arial" w:hAnsi="Arial"/>
          <w:iCs/>
          <w:shd w:fill="auto" w:val="clear"/>
        </w:rPr>
        <w:t xml:space="preserve"> Para este certame, a fase de PROPOSTA será anterior à fase de HABILITAÇÃO.</w:t>
      </w:r>
    </w:p>
    <w:p>
      <w:pPr>
        <w:pStyle w:val="Normal"/>
        <w:tabs>
          <w:tab w:val="clear" w:pos="720"/>
          <w:tab w:val="left" w:pos="567" w:leader="none"/>
        </w:tabs>
        <w:spacing w:lineRule="auto" w:line="240"/>
        <w:jc w:val="both"/>
        <w:rPr>
          <w:shd w:fill="auto" w:val="clear"/>
        </w:rPr>
      </w:pPr>
      <w:r>
        <w:rPr>
          <w:rFonts w:eastAsia="Times New Roman" w:cs="Times New Roman" w:ascii="Arial" w:hAnsi="Arial"/>
          <w:b/>
          <w:iCs/>
          <w:color w:val="000000"/>
          <w:shd w:fill="auto" w:val="clear"/>
          <w:lang w:eastAsia="pt-BR"/>
        </w:rPr>
        <w:t>11.2.</w:t>
      </w:r>
      <w:r>
        <w:rPr>
          <w:rFonts w:eastAsia="Times New Roman" w:cs="Times New Roman" w:ascii="Arial" w:hAnsi="Arial"/>
          <w:iCs/>
          <w:color w:val="000000"/>
          <w:shd w:fill="auto" w:val="clear"/>
          <w:lang w:eastAsia="pt-BR"/>
        </w:rPr>
        <w:t xml:space="preserve"> A fase RECURSAL será única.</w:t>
      </w:r>
    </w:p>
    <w:p>
      <w:pPr>
        <w:pStyle w:val="Normal"/>
        <w:shd w:val="clear" w:color="auto" w:fill="AEAAAA" w:themeFill="background2" w:themeFillShade="bf"/>
        <w:tabs>
          <w:tab w:val="clear" w:pos="720"/>
          <w:tab w:val="left" w:pos="1701" w:leader="none"/>
        </w:tabs>
        <w:spacing w:lineRule="auto" w:line="240"/>
        <w:jc w:val="both"/>
        <w:rPr>
          <w:shd w:fill="auto" w:val="clear"/>
        </w:rPr>
      </w:pPr>
      <w:r>
        <w:rPr>
          <w:rFonts w:cs="Times New Roman" w:ascii="Arial" w:hAnsi="Arial"/>
          <w:b/>
          <w:color w:val="000000"/>
          <w:shd w:fill="auto" w:val="clear"/>
        </w:rPr>
        <w:t xml:space="preserve">12. </w:t>
      </w:r>
      <w:r>
        <w:rPr>
          <w:rFonts w:cs="Times New Roman" w:ascii="Arial" w:hAnsi="Arial"/>
          <w:b/>
          <w:iCs/>
          <w:color w:val="000000"/>
          <w:shd w:fill="auto" w:val="clear"/>
        </w:rPr>
        <w:t>DAS PROPOSTAS</w:t>
      </w:r>
    </w:p>
    <w:p>
      <w:pPr>
        <w:pStyle w:val="Normal"/>
        <w:spacing w:lineRule="auto" w:line="240" w:before="0" w:after="0"/>
        <w:ind w:left="720" w:hanging="0"/>
        <w:jc w:val="both"/>
        <w:rPr>
          <w:rFonts w:ascii="Arial" w:hAnsi="Arial"/>
          <w:sz w:val="22"/>
          <w:szCs w:val="22"/>
        </w:rPr>
      </w:pPr>
      <w:r>
        <w:rPr>
          <w:rFonts w:ascii="Arial" w:hAnsi="Arial"/>
          <w:color w:val="000000"/>
          <w:sz w:val="22"/>
          <w:szCs w:val="22"/>
          <w:shd w:fill="auto" w:val="clear"/>
        </w:rPr>
        <w:t xml:space="preserve">12.1. A licitante interessada </w:t>
      </w:r>
      <w:r>
        <w:rPr>
          <w:rFonts w:ascii="Arial" w:hAnsi="Arial"/>
          <w:b/>
          <w:sz w:val="22"/>
          <w:szCs w:val="22"/>
        </w:rPr>
        <w:t xml:space="preserve">deverá </w:t>
      </w:r>
      <w:r>
        <w:rPr>
          <w:rFonts w:ascii="Arial" w:hAnsi="Arial"/>
          <w:sz w:val="22"/>
          <w:szCs w:val="22"/>
        </w:rPr>
        <w:t>cadastrar sua proposta exclusivamente por meio do sistema eletrônico até a data e o horário marcados para abertura da sessão, quando então se encerrará automaticamente a etapa de cadastro da proposta.</w:t>
      </w:r>
    </w:p>
    <w:p>
      <w:pPr>
        <w:pStyle w:val="Normal"/>
        <w:spacing w:lineRule="auto" w:line="240" w:before="0" w:after="0"/>
        <w:ind w:left="720" w:hanging="0"/>
        <w:jc w:val="both"/>
        <w:rPr>
          <w:rFonts w:ascii="Arial" w:hAnsi="Arial"/>
          <w:sz w:val="22"/>
          <w:szCs w:val="22"/>
        </w:rPr>
      </w:pPr>
      <w:r>
        <w:rPr>
          <w:rFonts w:ascii="Arial" w:hAnsi="Arial"/>
          <w:sz w:val="22"/>
          <w:szCs w:val="22"/>
        </w:rPr>
      </w:r>
    </w:p>
    <w:p>
      <w:pPr>
        <w:pStyle w:val="Normal"/>
        <w:spacing w:lineRule="auto" w:line="240" w:before="0" w:after="0"/>
        <w:ind w:left="720" w:hanging="0"/>
        <w:jc w:val="both"/>
        <w:rPr>
          <w:rFonts w:ascii="Arial" w:hAnsi="Arial"/>
          <w:sz w:val="22"/>
          <w:szCs w:val="22"/>
        </w:rPr>
      </w:pPr>
      <w:r>
        <w:rPr>
          <w:rFonts w:ascii="Arial" w:hAnsi="Arial"/>
          <w:sz w:val="22"/>
          <w:szCs w:val="22"/>
        </w:rPr>
        <w:t xml:space="preserve">12.1.1. Tendo em vista que o sistema eletrônico não aceita o registro de proposta de maior oferta, fica estipulado que, para fins de cadastramento da proposta no sistema compras.gov.br, deverá haver o lançamento do resultado da seguinte </w:t>
      </w:r>
      <w:r>
        <w:rPr>
          <w:rFonts w:ascii="Arial" w:hAnsi="Arial"/>
          <w:b/>
          <w:sz w:val="22"/>
          <w:szCs w:val="22"/>
        </w:rPr>
        <w:t>fórmula:</w:t>
      </w:r>
    </w:p>
    <w:p>
      <w:pPr>
        <w:pStyle w:val="Normal"/>
        <w:spacing w:lineRule="auto" w:line="240" w:before="0" w:after="0"/>
        <w:ind w:left="720" w:hanging="0"/>
        <w:jc w:val="both"/>
        <w:rPr>
          <w:b/>
          <w:b/>
        </w:rPr>
      </w:pPr>
      <w:r>
        <w:rPr>
          <w:b/>
        </w:rPr>
      </w:r>
    </w:p>
    <w:tbl>
      <w:tblPr>
        <w:tblW w:w="8504" w:type="dxa"/>
        <w:jc w:val="left"/>
        <w:tblInd w:w="28" w:type="dxa"/>
        <w:tblLayout w:type="fixed"/>
        <w:tblCellMar>
          <w:top w:w="28" w:type="dxa"/>
          <w:left w:w="28" w:type="dxa"/>
          <w:bottom w:w="28" w:type="dxa"/>
          <w:right w:w="28" w:type="dxa"/>
        </w:tblCellMar>
      </w:tblPr>
      <w:tblGrid>
        <w:gridCol w:w="8504"/>
      </w:tblGrid>
      <w:tr>
        <w:trPr/>
        <w:tc>
          <w:tcPr>
            <w:tcW w:w="8504"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before="0" w:after="160"/>
              <w:rPr>
                <w:rFonts w:ascii="Arial" w:hAnsi="Arial"/>
                <w:sz w:val="20"/>
                <w:szCs w:val="20"/>
              </w:rPr>
            </w:pPr>
            <w:r>
              <w:rPr>
                <w:rFonts w:ascii="Arial" w:hAnsi="Arial"/>
                <w:sz w:val="20"/>
                <w:szCs w:val="20"/>
              </w:rPr>
              <w:t xml:space="preserve">Valor </w:t>
            </w:r>
            <w:r>
              <w:rPr>
                <w:rFonts w:eastAsia="Calibri" w:cs="" w:ascii="Arial" w:hAnsi="Arial" w:cstheme="minorBidi" w:eastAsiaTheme="minorHAnsi"/>
                <w:color w:val="auto"/>
                <w:kern w:val="0"/>
                <w:sz w:val="20"/>
                <w:szCs w:val="20"/>
                <w:lang w:val="pt-BR" w:eastAsia="en-US" w:bidi="ar-SA"/>
              </w:rPr>
              <w:t>Compras Gov</w:t>
            </w:r>
            <w:r>
              <w:rPr>
                <w:rFonts w:ascii="Arial" w:hAnsi="Arial"/>
                <w:sz w:val="20"/>
                <w:szCs w:val="20"/>
              </w:rPr>
              <w:t xml:space="preserve"> = 200.000 – Valor da Proposta</w:t>
            </w:r>
          </w:p>
        </w:tc>
      </w:tr>
      <w:tr>
        <w:trPr/>
        <w:tc>
          <w:tcPr>
            <w:tcW w:w="8504" w:type="dxa"/>
            <w:tcBorders>
              <w:left w:val="single" w:sz="2" w:space="0" w:color="000000"/>
              <w:bottom w:val="single" w:sz="2" w:space="0" w:color="000000"/>
              <w:right w:val="single" w:sz="2" w:space="0" w:color="000000"/>
            </w:tcBorders>
          </w:tcPr>
          <w:p>
            <w:pPr>
              <w:pStyle w:val="Contedodatabela"/>
              <w:widowControl w:val="false"/>
              <w:spacing w:before="0" w:after="160"/>
              <w:rPr>
                <w:rFonts w:ascii="Arial" w:hAnsi="Arial"/>
                <w:sz w:val="20"/>
                <w:szCs w:val="20"/>
                <w:u w:val="single"/>
              </w:rPr>
            </w:pPr>
            <w:r>
              <w:rPr>
                <w:rFonts w:ascii="Arial" w:hAnsi="Arial"/>
                <w:sz w:val="20"/>
                <w:szCs w:val="20"/>
                <w:u w:val="single"/>
              </w:rPr>
              <w:t>Onde:</w:t>
            </w:r>
          </w:p>
        </w:tc>
      </w:tr>
      <w:tr>
        <w:trPr/>
        <w:tc>
          <w:tcPr>
            <w:tcW w:w="8504" w:type="dxa"/>
            <w:tcBorders>
              <w:left w:val="single" w:sz="2" w:space="0" w:color="000000"/>
              <w:bottom w:val="single" w:sz="2" w:space="0" w:color="000000"/>
              <w:right w:val="single" w:sz="2" w:space="0" w:color="000000"/>
            </w:tcBorders>
          </w:tcPr>
          <w:p>
            <w:pPr>
              <w:pStyle w:val="Contedodatabela"/>
              <w:widowControl w:val="false"/>
              <w:spacing w:before="0" w:after="160"/>
              <w:rPr>
                <w:rFonts w:ascii="Arial" w:hAnsi="Arial"/>
                <w:b/>
                <w:b/>
                <w:bCs/>
                <w:sz w:val="20"/>
                <w:szCs w:val="20"/>
              </w:rPr>
            </w:pPr>
            <w:r>
              <w:rPr>
                <w:rFonts w:ascii="Arial" w:hAnsi="Arial"/>
                <w:b/>
                <w:bCs/>
                <w:sz w:val="20"/>
                <w:szCs w:val="20"/>
              </w:rPr>
              <w:t xml:space="preserve">Valor </w:t>
            </w:r>
            <w:r>
              <w:rPr>
                <w:rFonts w:eastAsia="Calibri" w:cs="" w:ascii="Arial" w:hAnsi="Arial" w:cstheme="minorBidi" w:eastAsiaTheme="minorHAnsi"/>
                <w:b/>
                <w:bCs/>
                <w:color w:val="auto"/>
                <w:kern w:val="0"/>
                <w:sz w:val="20"/>
                <w:szCs w:val="20"/>
                <w:lang w:val="pt-BR" w:eastAsia="en-US" w:bidi="ar-SA"/>
              </w:rPr>
              <w:t xml:space="preserve">Compras Gov: </w:t>
            </w:r>
            <w:r>
              <w:rPr>
                <w:rFonts w:eastAsia="Calibri" w:cs="" w:ascii="Arial" w:hAnsi="Arial" w:cstheme="minorBidi" w:eastAsiaTheme="minorHAnsi"/>
                <w:b w:val="false"/>
                <w:bCs w:val="false"/>
                <w:color w:val="auto"/>
                <w:kern w:val="0"/>
                <w:sz w:val="20"/>
                <w:szCs w:val="20"/>
                <w:lang w:val="pt-BR" w:eastAsia="en-US" w:bidi="ar-SA"/>
              </w:rPr>
              <w:t>valor que deverá ser registrado no sistema compras.gov para fins de adequação</w:t>
            </w:r>
          </w:p>
        </w:tc>
      </w:tr>
      <w:tr>
        <w:trPr/>
        <w:tc>
          <w:tcPr>
            <w:tcW w:w="8504" w:type="dxa"/>
            <w:tcBorders>
              <w:left w:val="single" w:sz="2" w:space="0" w:color="000000"/>
              <w:bottom w:val="single" w:sz="2" w:space="0" w:color="000000"/>
              <w:right w:val="single" w:sz="2" w:space="0" w:color="000000"/>
            </w:tcBorders>
          </w:tcPr>
          <w:p>
            <w:pPr>
              <w:pStyle w:val="Contedodatabela"/>
              <w:widowControl w:val="false"/>
              <w:spacing w:before="0" w:after="160"/>
              <w:rPr>
                <w:rFonts w:ascii="Arial" w:hAnsi="Arial"/>
                <w:sz w:val="20"/>
                <w:szCs w:val="20"/>
              </w:rPr>
            </w:pPr>
            <w:r>
              <w:rPr>
                <w:rFonts w:ascii="Arial" w:hAnsi="Arial"/>
                <w:b/>
                <w:bCs/>
                <w:sz w:val="20"/>
                <w:szCs w:val="20"/>
              </w:rPr>
              <w:t>200.000:</w:t>
            </w:r>
            <w:r>
              <w:rPr>
                <w:rFonts w:ascii="Arial" w:hAnsi="Arial"/>
                <w:sz w:val="20"/>
                <w:szCs w:val="20"/>
              </w:rPr>
              <w:t xml:space="preserve"> corresponde a um valor ficto arbitrado para fins de cadastramento de proposta e oferta de lances;</w:t>
            </w:r>
          </w:p>
        </w:tc>
      </w:tr>
      <w:tr>
        <w:trPr/>
        <w:tc>
          <w:tcPr>
            <w:tcW w:w="8504" w:type="dxa"/>
            <w:tcBorders>
              <w:left w:val="single" w:sz="2" w:space="0" w:color="000000"/>
              <w:bottom w:val="single" w:sz="2" w:space="0" w:color="000000"/>
              <w:right w:val="single" w:sz="2" w:space="0" w:color="000000"/>
            </w:tcBorders>
          </w:tcPr>
          <w:p>
            <w:pPr>
              <w:pStyle w:val="Contedodatabela"/>
              <w:widowControl w:val="false"/>
              <w:spacing w:before="0" w:after="160"/>
              <w:rPr>
                <w:rFonts w:ascii="Arial" w:hAnsi="Arial"/>
                <w:sz w:val="20"/>
                <w:szCs w:val="20"/>
              </w:rPr>
            </w:pPr>
            <w:r>
              <w:rPr>
                <w:rFonts w:ascii="Arial" w:hAnsi="Arial"/>
                <w:b/>
                <w:bCs/>
                <w:sz w:val="20"/>
                <w:szCs w:val="20"/>
              </w:rPr>
              <w:t>Valor da Proposta:</w:t>
            </w:r>
            <w:r>
              <w:rPr>
                <w:rFonts w:ascii="Arial" w:hAnsi="Arial"/>
                <w:sz w:val="20"/>
                <w:szCs w:val="20"/>
              </w:rPr>
              <w:t xml:space="preserve"> Corresponde ao valor a ser pago pela exploração do evento</w:t>
            </w:r>
          </w:p>
        </w:tc>
      </w:tr>
    </w:tbl>
    <w:p>
      <w:pPr>
        <w:pStyle w:val="Normal"/>
        <w:spacing w:lineRule="auto" w:line="240" w:before="0" w:after="0"/>
        <w:ind w:left="720" w:hanging="0"/>
        <w:jc w:val="both"/>
        <w:rPr>
          <w:rFonts w:ascii="Arial" w:hAnsi="Arial"/>
          <w:b w:val="false"/>
          <w:b w:val="false"/>
          <w:bCs w:val="false"/>
          <w:sz w:val="22"/>
          <w:szCs w:val="22"/>
        </w:rPr>
      </w:pPr>
      <w:r>
        <w:rPr>
          <w:rFonts w:ascii="Arial" w:hAnsi="Arial"/>
          <w:b w:val="false"/>
          <w:bCs w:val="false"/>
          <w:sz w:val="22"/>
          <w:szCs w:val="22"/>
        </w:rPr>
      </w:r>
    </w:p>
    <w:p>
      <w:pPr>
        <w:pStyle w:val="Normal"/>
        <w:spacing w:lineRule="auto" w:line="240" w:before="0" w:after="0"/>
        <w:ind w:left="720" w:hanging="0"/>
        <w:jc w:val="both"/>
        <w:rPr>
          <w:rFonts w:ascii="Arial" w:hAnsi="Arial"/>
          <w:b w:val="false"/>
          <w:b w:val="false"/>
          <w:bCs w:val="false"/>
          <w:sz w:val="22"/>
          <w:szCs w:val="22"/>
        </w:rPr>
      </w:pPr>
      <w:r>
        <w:rPr>
          <w:rFonts w:ascii="Arial" w:hAnsi="Arial"/>
          <w:b w:val="false"/>
          <w:bCs w:val="false"/>
          <w:sz w:val="22"/>
          <w:szCs w:val="22"/>
        </w:rPr>
        <w:t>12.1.2. Exemplo de cadastramento de proposta com valores hipotéticos:</w:t>
      </w:r>
    </w:p>
    <w:p>
      <w:pPr>
        <w:pStyle w:val="Normal"/>
        <w:spacing w:lineRule="auto" w:line="240" w:before="0" w:after="0"/>
        <w:ind w:left="720" w:hanging="0"/>
        <w:jc w:val="both"/>
        <w:rPr>
          <w:b/>
          <w:b/>
        </w:rPr>
      </w:pPr>
      <w:r>
        <w:rPr>
          <w:b/>
        </w:rPr>
      </w:r>
    </w:p>
    <w:tbl>
      <w:tblPr>
        <w:tblW w:w="8565" w:type="dxa"/>
        <w:jc w:val="left"/>
        <w:tblInd w:w="-29" w:type="dxa"/>
        <w:tblLayout w:type="fixed"/>
        <w:tblCellMar>
          <w:top w:w="28" w:type="dxa"/>
          <w:left w:w="28" w:type="dxa"/>
          <w:bottom w:w="28" w:type="dxa"/>
          <w:right w:w="28" w:type="dxa"/>
        </w:tblCellMar>
      </w:tblPr>
      <w:tblGrid>
        <w:gridCol w:w="3849"/>
        <w:gridCol w:w="2161"/>
        <w:gridCol w:w="2555"/>
      </w:tblGrid>
      <w:tr>
        <w:trPr/>
        <w:tc>
          <w:tcPr>
            <w:tcW w:w="3849"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Arial" w:hAnsi="Arial"/>
                <w:sz w:val="20"/>
                <w:szCs w:val="20"/>
              </w:rPr>
            </w:pPr>
            <w:r>
              <w:rPr>
                <w:rFonts w:ascii="Arial" w:hAnsi="Arial"/>
                <w:b/>
                <w:bCs/>
                <w:sz w:val="20"/>
                <w:szCs w:val="20"/>
              </w:rPr>
              <w:t xml:space="preserve">Valor da Proposta </w:t>
            </w:r>
            <w:r>
              <w:rPr>
                <w:rFonts w:ascii="Arial" w:hAnsi="Arial"/>
                <w:sz w:val="20"/>
                <w:szCs w:val="20"/>
              </w:rPr>
              <w:t xml:space="preserve">(valor a ser </w:t>
            </w:r>
            <w:r>
              <w:rPr>
                <w:rFonts w:eastAsia="Calibri" w:cs="" w:ascii="Arial" w:hAnsi="Arial" w:cstheme="minorBidi" w:eastAsiaTheme="minorHAnsi"/>
                <w:color w:val="auto"/>
                <w:kern w:val="0"/>
                <w:sz w:val="20"/>
                <w:szCs w:val="20"/>
                <w:lang w:val="pt-BR" w:eastAsia="en-US" w:bidi="ar-SA"/>
              </w:rPr>
              <w:t>repassado</w:t>
            </w:r>
            <w:r>
              <w:rPr>
                <w:rFonts w:ascii="Arial" w:hAnsi="Arial"/>
                <w:sz w:val="20"/>
                <w:szCs w:val="20"/>
              </w:rPr>
              <w:t xml:space="preserve"> ao Município de Itá por conta da exploração do evento)</w:t>
            </w:r>
          </w:p>
        </w:tc>
        <w:tc>
          <w:tcPr>
            <w:tcW w:w="2161" w:type="dxa"/>
            <w:tcBorders>
              <w:top w:val="single" w:sz="2" w:space="0" w:color="000000"/>
              <w:left w:val="single" w:sz="2" w:space="0" w:color="000000"/>
              <w:bottom w:val="single" w:sz="2" w:space="0" w:color="000000"/>
            </w:tcBorders>
          </w:tcPr>
          <w:p>
            <w:pPr>
              <w:pStyle w:val="Contedodatabela"/>
              <w:widowControl w:val="false"/>
              <w:spacing w:before="0" w:after="160"/>
              <w:jc w:val="center"/>
              <w:rPr>
                <w:rFonts w:ascii="Arial" w:hAnsi="Arial"/>
                <w:b/>
                <w:b/>
                <w:bCs/>
                <w:sz w:val="20"/>
                <w:szCs w:val="20"/>
              </w:rPr>
            </w:pPr>
            <w:r>
              <w:rPr>
                <w:rFonts w:ascii="Arial" w:hAnsi="Arial"/>
                <w:b/>
                <w:bCs/>
                <w:sz w:val="20"/>
                <w:szCs w:val="20"/>
              </w:rPr>
              <w:t>Fórmula</w:t>
            </w:r>
          </w:p>
        </w:tc>
        <w:tc>
          <w:tcPr>
            <w:tcW w:w="2555"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before="0" w:after="160"/>
              <w:jc w:val="center"/>
              <w:rPr>
                <w:rFonts w:ascii="Arial" w:hAnsi="Arial"/>
                <w:b/>
                <w:b/>
                <w:bCs/>
                <w:sz w:val="20"/>
                <w:szCs w:val="20"/>
              </w:rPr>
            </w:pPr>
            <w:r>
              <w:rPr>
                <w:rFonts w:ascii="Arial" w:hAnsi="Arial"/>
                <w:b w:val="false"/>
                <w:bCs w:val="false"/>
                <w:sz w:val="20"/>
                <w:szCs w:val="20"/>
              </w:rPr>
              <w:t>Valor a ser registrado no sistema</w:t>
            </w:r>
            <w:r>
              <w:rPr>
                <w:rFonts w:ascii="Arial" w:hAnsi="Arial"/>
                <w:b/>
                <w:bCs/>
                <w:sz w:val="20"/>
                <w:szCs w:val="20"/>
              </w:rPr>
              <w:t xml:space="preserve"> compras.gov.br</w:t>
            </w:r>
          </w:p>
        </w:tc>
      </w:tr>
      <w:tr>
        <w:trPr/>
        <w:tc>
          <w:tcPr>
            <w:tcW w:w="3849" w:type="dxa"/>
            <w:tcBorders>
              <w:left w:val="single" w:sz="2" w:space="0" w:color="000000"/>
              <w:bottom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R$ 40.000,00 (lance mínimo)</w:t>
            </w:r>
          </w:p>
        </w:tc>
        <w:tc>
          <w:tcPr>
            <w:tcW w:w="2161" w:type="dxa"/>
            <w:tcBorders>
              <w:left w:val="single" w:sz="2" w:space="0" w:color="000000"/>
              <w:bottom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200.000 – 40.000</w:t>
            </w:r>
          </w:p>
        </w:tc>
        <w:tc>
          <w:tcPr>
            <w:tcW w:w="2555" w:type="dxa"/>
            <w:tcBorders>
              <w:left w:val="single" w:sz="2" w:space="0" w:color="000000"/>
              <w:bottom w:val="single" w:sz="2" w:space="0" w:color="000000"/>
              <w:right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R$ 160.000,00</w:t>
            </w:r>
          </w:p>
        </w:tc>
      </w:tr>
      <w:tr>
        <w:trPr/>
        <w:tc>
          <w:tcPr>
            <w:tcW w:w="3849" w:type="dxa"/>
            <w:tcBorders>
              <w:left w:val="single" w:sz="2" w:space="0" w:color="000000"/>
              <w:bottom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R$ 45.000,00</w:t>
            </w:r>
          </w:p>
        </w:tc>
        <w:tc>
          <w:tcPr>
            <w:tcW w:w="2161" w:type="dxa"/>
            <w:tcBorders>
              <w:left w:val="single" w:sz="2" w:space="0" w:color="000000"/>
              <w:bottom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200.000 – 45.000</w:t>
            </w:r>
          </w:p>
        </w:tc>
        <w:tc>
          <w:tcPr>
            <w:tcW w:w="2555" w:type="dxa"/>
            <w:tcBorders>
              <w:left w:val="single" w:sz="2" w:space="0" w:color="000000"/>
              <w:bottom w:val="single" w:sz="2" w:space="0" w:color="000000"/>
              <w:right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R$ 155.000,00</w:t>
            </w:r>
          </w:p>
        </w:tc>
      </w:tr>
      <w:tr>
        <w:trPr/>
        <w:tc>
          <w:tcPr>
            <w:tcW w:w="3849" w:type="dxa"/>
            <w:tcBorders>
              <w:left w:val="single" w:sz="2" w:space="0" w:color="000000"/>
              <w:bottom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R$ 50.000,00</w:t>
            </w:r>
          </w:p>
        </w:tc>
        <w:tc>
          <w:tcPr>
            <w:tcW w:w="2161" w:type="dxa"/>
            <w:tcBorders>
              <w:left w:val="single" w:sz="2" w:space="0" w:color="000000"/>
              <w:bottom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200.000 – 50.000</w:t>
            </w:r>
          </w:p>
        </w:tc>
        <w:tc>
          <w:tcPr>
            <w:tcW w:w="2555" w:type="dxa"/>
            <w:tcBorders>
              <w:left w:val="single" w:sz="2" w:space="0" w:color="000000"/>
              <w:bottom w:val="single" w:sz="2" w:space="0" w:color="000000"/>
              <w:right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R$ 150.000,00</w:t>
            </w:r>
          </w:p>
        </w:tc>
      </w:tr>
      <w:tr>
        <w:trPr/>
        <w:tc>
          <w:tcPr>
            <w:tcW w:w="3849" w:type="dxa"/>
            <w:tcBorders>
              <w:left w:val="single" w:sz="2" w:space="0" w:color="000000"/>
              <w:bottom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R$ 75.000,00</w:t>
            </w:r>
          </w:p>
        </w:tc>
        <w:tc>
          <w:tcPr>
            <w:tcW w:w="2161" w:type="dxa"/>
            <w:tcBorders>
              <w:left w:val="single" w:sz="2" w:space="0" w:color="000000"/>
              <w:bottom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200.000 – 75.000</w:t>
            </w:r>
          </w:p>
        </w:tc>
        <w:tc>
          <w:tcPr>
            <w:tcW w:w="2555" w:type="dxa"/>
            <w:tcBorders>
              <w:left w:val="single" w:sz="2" w:space="0" w:color="000000"/>
              <w:bottom w:val="single" w:sz="2" w:space="0" w:color="000000"/>
              <w:right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R$ 125.000,00</w:t>
            </w:r>
          </w:p>
        </w:tc>
      </w:tr>
      <w:tr>
        <w:trPr/>
        <w:tc>
          <w:tcPr>
            <w:tcW w:w="3849" w:type="dxa"/>
            <w:tcBorders>
              <w:left w:val="single" w:sz="2" w:space="0" w:color="000000"/>
              <w:bottom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R$ 100.000,00</w:t>
            </w:r>
          </w:p>
        </w:tc>
        <w:tc>
          <w:tcPr>
            <w:tcW w:w="2161" w:type="dxa"/>
            <w:tcBorders>
              <w:left w:val="single" w:sz="2" w:space="0" w:color="000000"/>
              <w:bottom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200.000 – 100.000</w:t>
            </w:r>
          </w:p>
        </w:tc>
        <w:tc>
          <w:tcPr>
            <w:tcW w:w="2555" w:type="dxa"/>
            <w:tcBorders>
              <w:left w:val="single" w:sz="2" w:space="0" w:color="000000"/>
              <w:bottom w:val="single" w:sz="2" w:space="0" w:color="000000"/>
              <w:right w:val="single" w:sz="2" w:space="0" w:color="000000"/>
            </w:tcBorders>
          </w:tcPr>
          <w:p>
            <w:pPr>
              <w:pStyle w:val="Contedodatabela"/>
              <w:widowControl w:val="false"/>
              <w:spacing w:before="0" w:after="160"/>
              <w:jc w:val="center"/>
              <w:rPr>
                <w:rFonts w:ascii="Arial" w:hAnsi="Arial"/>
                <w:sz w:val="20"/>
                <w:szCs w:val="20"/>
              </w:rPr>
            </w:pPr>
            <w:r>
              <w:rPr>
                <w:rFonts w:ascii="Arial" w:hAnsi="Arial"/>
                <w:sz w:val="20"/>
                <w:szCs w:val="20"/>
              </w:rPr>
              <w:t>R$ 100.000,00</w:t>
            </w:r>
          </w:p>
        </w:tc>
      </w:tr>
    </w:tbl>
    <w:p>
      <w:pPr>
        <w:pStyle w:val="Normal"/>
        <w:spacing w:lineRule="auto" w:line="240" w:before="0" w:after="0"/>
        <w:ind w:hanging="0"/>
        <w:jc w:val="both"/>
        <w:rPr>
          <w:b/>
          <w:b/>
        </w:rPr>
      </w:pPr>
      <w:r>
        <w:rPr>
          <w:b/>
        </w:rPr>
      </w:r>
    </w:p>
    <w:p>
      <w:pPr>
        <w:pStyle w:val="Normal"/>
        <w:spacing w:lineRule="auto" w:line="240" w:before="0" w:after="0"/>
        <w:ind w:left="720" w:right="0" w:hanging="0"/>
        <w:jc w:val="both"/>
        <w:rPr/>
      </w:pPr>
      <w:r>
        <w:rPr>
          <w:rFonts w:ascii="Arial" w:hAnsi="Arial"/>
          <w:color w:val="000000"/>
          <w:shd w:fill="auto" w:val="clear"/>
        </w:rPr>
        <w:t>12.2. O envio da proposta, acompanhada dos documentos de habilitação exigidos neste Edital, ocorrerá por meio de chave de acesso e senha.</w:t>
      </w:r>
    </w:p>
    <w:p>
      <w:pPr>
        <w:pStyle w:val="Normal"/>
        <w:spacing w:lineRule="auto" w:line="240" w:before="0" w:after="0"/>
        <w:ind w:left="720" w:hanging="0"/>
        <w:jc w:val="both"/>
        <w:rPr>
          <w:rFonts w:ascii="Arial" w:hAnsi="Arial"/>
          <w:shd w:fill="auto" w:val="clear"/>
        </w:rPr>
      </w:pPr>
      <w:r>
        <w:rPr>
          <w:rFonts w:ascii="Arial" w:hAnsi="Arial"/>
          <w:shd w:fill="auto" w:val="clear"/>
        </w:rPr>
      </w:r>
    </w:p>
    <w:p>
      <w:pPr>
        <w:pStyle w:val="Normal"/>
        <w:spacing w:lineRule="auto" w:line="240" w:before="0" w:after="0"/>
        <w:ind w:left="720" w:hanging="0"/>
        <w:jc w:val="both"/>
        <w:rPr>
          <w:shd w:fill="auto" w:val="clear"/>
        </w:rPr>
      </w:pPr>
      <w:r>
        <w:rPr>
          <w:rFonts w:ascii="Arial" w:hAnsi="Arial"/>
          <w:color w:val="000000"/>
          <w:shd w:fill="auto" w:val="clear"/>
        </w:rPr>
        <w:t>12.3. Incumbirá ao proponente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40" w:before="0" w:after="0"/>
        <w:ind w:left="720" w:hanging="0"/>
        <w:jc w:val="both"/>
        <w:rPr>
          <w:rFonts w:ascii="Arial" w:hAnsi="Arial"/>
          <w:shd w:fill="auto" w:val="clear"/>
        </w:rPr>
      </w:pPr>
      <w:r>
        <w:rPr>
          <w:rFonts w:ascii="Arial" w:hAnsi="Arial"/>
          <w:shd w:fill="auto" w:val="clear"/>
        </w:rPr>
      </w:r>
    </w:p>
    <w:p>
      <w:pPr>
        <w:pStyle w:val="Normal"/>
        <w:spacing w:lineRule="auto" w:line="240" w:before="0" w:after="0"/>
        <w:ind w:left="720" w:hanging="0"/>
        <w:jc w:val="both"/>
        <w:rPr>
          <w:shd w:fill="auto" w:val="clear"/>
        </w:rPr>
      </w:pPr>
      <w:r>
        <w:rPr>
          <w:rFonts w:cs="Arial" w:ascii="Arial" w:hAnsi="Arial"/>
          <w:iCs/>
          <w:color w:val="000000"/>
          <w:shd w:fill="auto" w:val="clear"/>
        </w:rPr>
        <w:t>12.4. Os documentos que compõem a proposta e a habilitação do proponente melhor classificado somente serão disponibilizados para avaliação do pregoeiro e para acesso público após o encerramento do envio de lances.</w:t>
      </w:r>
    </w:p>
    <w:p>
      <w:pPr>
        <w:pStyle w:val="Normal"/>
        <w:spacing w:lineRule="auto" w:line="240" w:before="0" w:after="0"/>
        <w:ind w:left="720" w:hanging="0"/>
        <w:jc w:val="both"/>
        <w:rPr>
          <w:b/>
          <w:b/>
          <w:bCs/>
          <w:shd w:fill="auto" w:val="clear"/>
        </w:rPr>
      </w:pPr>
      <w:r>
        <w:rPr>
          <w:b/>
          <w:bCs/>
          <w:shd w:fill="auto" w:val="clear"/>
        </w:rPr>
      </w:r>
    </w:p>
    <w:p>
      <w:pPr>
        <w:pStyle w:val="Normal"/>
        <w:shd w:val="clear" w:color="auto" w:fill="E7E6E6" w:themeFill="background2"/>
        <w:tabs>
          <w:tab w:val="clear" w:pos="720"/>
          <w:tab w:val="left" w:pos="567" w:leader="none"/>
        </w:tabs>
        <w:spacing w:lineRule="auto" w:line="240"/>
        <w:jc w:val="both"/>
        <w:rPr>
          <w:shd w:fill="auto" w:val="clear"/>
        </w:rPr>
      </w:pPr>
      <w:r>
        <w:rPr>
          <w:rFonts w:cs="Times New Roman" w:ascii="Arial" w:hAnsi="Arial"/>
          <w:b/>
          <w:iCs/>
          <w:color w:val="000000"/>
          <w:shd w:fill="auto" w:val="clear"/>
        </w:rPr>
        <w:t>12.5.</w:t>
      </w:r>
      <w:r>
        <w:rPr>
          <w:rFonts w:cs="Times New Roman" w:ascii="Arial" w:hAnsi="Arial"/>
          <w:iCs/>
          <w:color w:val="000000"/>
          <w:shd w:fill="auto" w:val="clear"/>
        </w:rPr>
        <w:t xml:space="preserve"> CRITÉRIO DE JULGAMENTO: </w:t>
      </w:r>
      <w:r>
        <w:rPr>
          <w:rFonts w:eastAsia="Calibri" w:cs="Times New Roman" w:ascii="Arial" w:hAnsi="Arial"/>
          <w:iCs/>
          <w:color w:val="000000"/>
          <w:kern w:val="0"/>
          <w:sz w:val="22"/>
          <w:szCs w:val="22"/>
          <w:shd w:fill="auto" w:val="clear"/>
          <w:lang w:val="pt-BR" w:eastAsia="en-US" w:bidi="ar-SA"/>
        </w:rPr>
        <w:t>MENOR PREÇO POR ITEM, CONVERTIDO EM MAIOR VALOR UNITÁRIO – DE ACORDO COM AS REGRAS DEFINIDAS NO ITEM 12 DO PRESENTE EDITAL</w:t>
      </w:r>
      <w:r>
        <w:rPr>
          <w:rFonts w:cs="Times New Roman" w:ascii="Arial" w:hAnsi="Arial"/>
          <w:iCs/>
          <w:color w:val="000000"/>
          <w:shd w:fill="auto" w:val="clear"/>
        </w:rPr>
        <w:t>.</w:t>
      </w:r>
    </w:p>
    <w:p>
      <w:pPr>
        <w:pStyle w:val="Normal"/>
        <w:tabs>
          <w:tab w:val="clear" w:pos="720"/>
          <w:tab w:val="left" w:pos="567" w:leader="none"/>
        </w:tabs>
        <w:spacing w:lineRule="auto" w:line="240"/>
        <w:jc w:val="both"/>
        <w:rPr>
          <w:rFonts w:ascii="Arial" w:hAnsi="Arial"/>
        </w:rPr>
      </w:pPr>
      <w:r>
        <w:rPr>
          <w:rFonts w:cs="Times New Roman" w:ascii="Arial" w:hAnsi="Arial"/>
          <w:b/>
          <w:iCs/>
          <w:color w:val="000000"/>
        </w:rPr>
        <w:t xml:space="preserve">12.5.1. </w:t>
      </w:r>
      <w:r>
        <w:rPr>
          <w:rFonts w:cs="Times New Roman" w:ascii="Arial" w:hAnsi="Arial"/>
          <w:iCs/>
          <w:color w:val="000000"/>
        </w:rPr>
        <w:t>Para elaboração das propostas o licitante deve:</w:t>
      </w:r>
    </w:p>
    <w:p>
      <w:pPr>
        <w:pStyle w:val="ListParagraph"/>
        <w:widowControl w:val="false"/>
        <w:numPr>
          <w:ilvl w:val="0"/>
          <w:numId w:val="30"/>
        </w:numPr>
        <w:tabs>
          <w:tab w:val="clear" w:pos="720"/>
          <w:tab w:val="left" w:pos="1134" w:leader="none"/>
        </w:tabs>
        <w:ind w:left="567" w:hanging="0"/>
        <w:jc w:val="both"/>
        <w:textAlignment w:val="baseline"/>
        <w:rPr>
          <w:rFonts w:ascii="Arial" w:hAnsi="Arial"/>
          <w:sz w:val="22"/>
          <w:szCs w:val="22"/>
        </w:rPr>
      </w:pPr>
      <w:r>
        <w:rPr>
          <w:rFonts w:ascii="Arial" w:hAnsi="Arial"/>
          <w:iCs/>
          <w:color w:val="000000"/>
          <w:sz w:val="22"/>
          <w:szCs w:val="22"/>
        </w:rPr>
        <w:t>Apresentar sua proposta com considerando o repasse mínimo de R$ 40.000,00 (quarenta mil reais) ao município;</w:t>
      </w:r>
    </w:p>
    <w:p>
      <w:pPr>
        <w:pStyle w:val="ListParagraph"/>
        <w:widowControl w:val="false"/>
        <w:numPr>
          <w:ilvl w:val="0"/>
          <w:numId w:val="30"/>
        </w:numPr>
        <w:tabs>
          <w:tab w:val="clear" w:pos="720"/>
          <w:tab w:val="left" w:pos="1134" w:leader="none"/>
        </w:tabs>
        <w:ind w:left="567" w:hanging="0"/>
        <w:jc w:val="both"/>
        <w:textAlignment w:val="baseline"/>
        <w:rPr>
          <w:rFonts w:ascii="Arial" w:hAnsi="Arial"/>
          <w:sz w:val="22"/>
          <w:szCs w:val="22"/>
        </w:rPr>
      </w:pPr>
      <w:r>
        <w:rPr>
          <w:rFonts w:ascii="Arial" w:hAnsi="Arial"/>
          <w:iCs/>
          <w:color w:val="000000"/>
          <w:sz w:val="22"/>
          <w:szCs w:val="22"/>
        </w:rPr>
        <w:t>Elaborar sua proposta levando em consideração a utilização de mão de obra, materiais, tecnologias e matérias-primas existentes no local da execução, conservação e operação do bem ou serviço.</w:t>
      </w:r>
    </w:p>
    <w:p>
      <w:pPr>
        <w:pStyle w:val="Normal"/>
        <w:tabs>
          <w:tab w:val="clear" w:pos="720"/>
          <w:tab w:val="left" w:pos="567" w:leader="none"/>
        </w:tabs>
        <w:spacing w:lineRule="auto" w:line="240"/>
        <w:jc w:val="both"/>
        <w:rPr/>
      </w:pPr>
      <w:r>
        <w:rPr>
          <w:rFonts w:cs="Times New Roman" w:ascii="Arial" w:hAnsi="Arial"/>
          <w:b/>
          <w:iCs/>
          <w:color w:val="000000"/>
        </w:rPr>
        <w:t>12.5.2.</w:t>
      </w:r>
      <w:r>
        <w:rPr>
          <w:rFonts w:cs="Times New Roman" w:ascii="Arial" w:hAnsi="Arial"/>
          <w:iCs/>
          <w:color w:val="000000"/>
        </w:rPr>
        <w:t xml:space="preserve"> O conteúdo das propostas é sigiloso até a abertura da sessão pública (art. 13, I da Lei nº 14.133/2021), sob pena de incursão no art. 337-J do </w:t>
      </w:r>
      <w:hyperlink r:id="rId16">
        <w:r>
          <w:rPr>
            <w:rStyle w:val="LinkdaInternet"/>
            <w:rFonts w:cs="Times New Roman" w:ascii="Arial" w:hAnsi="Arial"/>
            <w:iCs/>
            <w:color w:val="000000"/>
          </w:rPr>
          <w:t>Código Penal</w:t>
        </w:r>
        <w:r>
          <w:rPr>
            <w:rStyle w:val="LinkdaInternet"/>
            <w:rStyle w:val="Ncoradanotaderodap"/>
            <w:rFonts w:cs="Times New Roman" w:ascii="Arial" w:hAnsi="Arial"/>
            <w:iCs/>
            <w:color w:val="000000"/>
          </w:rPr>
          <w:footnoteReference w:id="2"/>
        </w:r>
      </w:hyperlink>
      <w:r>
        <w:rPr>
          <w:rFonts w:cs="Times New Roman" w:ascii="Arial" w:hAnsi="Arial"/>
          <w:iCs/>
          <w:color w:val="000000"/>
        </w:rPr>
        <w:t>.</w:t>
      </w:r>
    </w:p>
    <w:p>
      <w:pPr>
        <w:pStyle w:val="Normal"/>
        <w:tabs>
          <w:tab w:val="clear" w:pos="720"/>
          <w:tab w:val="left" w:pos="567" w:leader="none"/>
        </w:tabs>
        <w:spacing w:lineRule="auto" w:line="240"/>
        <w:jc w:val="both"/>
        <w:rPr>
          <w:rFonts w:ascii="Arial" w:hAnsi="Arial"/>
        </w:rPr>
      </w:pPr>
      <w:r>
        <w:rPr>
          <w:rFonts w:cs="Times New Roman" w:ascii="Arial" w:hAnsi="Arial"/>
          <w:b/>
          <w:iCs/>
          <w:color w:val="000000"/>
        </w:rPr>
        <w:t>12.5.3.</w:t>
      </w:r>
      <w:r>
        <w:rPr>
          <w:rFonts w:cs="Times New Roman" w:ascii="Arial" w:hAnsi="Arial"/>
          <w:iCs/>
          <w:color w:val="000000"/>
        </w:rPr>
        <w:t xml:space="preserve"> O licitante deverá encaminhar proposta exclusivamente por meio do sistema eletrônico até a data e o horário marcados para abertura da sessão, quando então se encerrará automaticamente a etapa de envio da proposta.</w:t>
      </w:r>
    </w:p>
    <w:p>
      <w:pPr>
        <w:pStyle w:val="Normal"/>
        <w:spacing w:lineRule="auto" w:line="240"/>
        <w:jc w:val="both"/>
        <w:rPr>
          <w:rFonts w:ascii="Arial" w:hAnsi="Arial"/>
        </w:rPr>
      </w:pPr>
      <w:r>
        <w:rPr>
          <w:rFonts w:eastAsia="Calibri" w:cs="Arial" w:ascii="Arial" w:hAnsi="Arial"/>
          <w:b/>
          <w:bCs/>
          <w:color w:val="000000"/>
        </w:rPr>
        <w:t>12.5.3.1.</w:t>
      </w:r>
      <w:r>
        <w:rPr>
          <w:rFonts w:eastAsia="Calibri" w:cs="Arial" w:ascii="Arial" w:hAnsi="Arial"/>
          <w:color w:val="000000"/>
        </w:rPr>
        <w:t xml:space="preserve"> </w:t>
      </w:r>
      <w:r>
        <w:rPr>
          <w:rFonts w:cs="Arial" w:ascii="Arial" w:hAnsi="Arial"/>
          <w:color w:val="000000"/>
        </w:rPr>
        <w:t xml:space="preserve">A proposta de preços deverá ser enviada exclusivamente via sistema, redigida em idioma nacional, sem cotações alternativas, emendas, rasuras ou entrelinhas, devendo ser datada e assinada pelo representante legal do proponente devidamente identificado, contendo identificação do proponente, endereço, telefone e e-mail. </w:t>
      </w:r>
    </w:p>
    <w:p>
      <w:pPr>
        <w:pStyle w:val="Normal"/>
        <w:spacing w:lineRule="auto" w:line="240"/>
        <w:jc w:val="both"/>
        <w:rPr>
          <w:rFonts w:ascii="Arial" w:hAnsi="Arial"/>
        </w:rPr>
      </w:pPr>
      <w:r>
        <w:rPr>
          <w:rFonts w:eastAsia="Calibri" w:cs="Arial" w:ascii="Arial" w:hAnsi="Arial"/>
          <w:b/>
          <w:bCs/>
          <w:color w:val="000000"/>
        </w:rPr>
        <w:t>12.5.3.2.</w:t>
      </w:r>
      <w:r>
        <w:rPr>
          <w:rFonts w:eastAsia="Calibri" w:cs="Arial" w:ascii="Arial" w:hAnsi="Arial"/>
          <w:color w:val="000000"/>
        </w:rPr>
        <w:t xml:space="preserve"> </w:t>
      </w:r>
      <w:r>
        <w:rPr>
          <w:rFonts w:cs="Arial" w:ascii="Arial" w:hAnsi="Arial"/>
          <w:color w:val="000000"/>
        </w:rPr>
        <w:t xml:space="preserve">Após a fase de lances, a proposta atualizada deverá ser enviada no prazo máximo </w:t>
      </w:r>
      <w:r>
        <w:rPr>
          <w:rFonts w:eastAsia="Calibri" w:cs="Arial" w:ascii="Arial" w:hAnsi="Arial"/>
          <w:color w:val="000000"/>
          <w:kern w:val="0"/>
          <w:sz w:val="22"/>
          <w:szCs w:val="22"/>
          <w:lang w:val="pt-BR" w:eastAsia="en-US" w:bidi="ar-SA"/>
        </w:rPr>
        <w:t>definido</w:t>
      </w:r>
      <w:r>
        <w:rPr>
          <w:rFonts w:cs="Arial" w:ascii="Arial" w:hAnsi="Arial"/>
          <w:color w:val="000000"/>
        </w:rPr>
        <w:t xml:space="preserve"> após a convocação do pregoeiro. </w:t>
      </w:r>
    </w:p>
    <w:p>
      <w:pPr>
        <w:pStyle w:val="Normal"/>
        <w:spacing w:lineRule="auto" w:line="240"/>
        <w:jc w:val="both"/>
        <w:rPr>
          <w:shd w:fill="auto" w:val="clear"/>
        </w:rPr>
      </w:pPr>
      <w:r>
        <w:rPr>
          <w:rFonts w:eastAsia="Calibri" w:cs="Arial" w:ascii="Arial" w:hAnsi="Arial"/>
          <w:b/>
          <w:bCs/>
          <w:color w:val="000000"/>
          <w:shd w:fill="auto" w:val="clear"/>
        </w:rPr>
        <w:t>12.5.3.3.</w:t>
      </w:r>
      <w:r>
        <w:rPr>
          <w:rFonts w:eastAsia="Calibri" w:cs="Arial" w:ascii="Arial" w:hAnsi="Arial"/>
          <w:color w:val="000000"/>
          <w:shd w:fill="auto" w:val="clear"/>
        </w:rPr>
        <w:t xml:space="preserve"> </w:t>
      </w:r>
      <w:r>
        <w:rPr>
          <w:rFonts w:cs="Arial" w:ascii="Arial" w:hAnsi="Arial"/>
          <w:color w:val="000000"/>
          <w:shd w:fill="auto" w:val="clear"/>
        </w:rPr>
        <w:t xml:space="preserve">Não serão aceitas propostas sem a assinatura do representante legal do proponente devidamente identificado. </w:t>
      </w:r>
    </w:p>
    <w:p>
      <w:pPr>
        <w:pStyle w:val="Normal"/>
        <w:spacing w:lineRule="auto" w:line="240"/>
        <w:jc w:val="both"/>
        <w:rPr>
          <w:shd w:fill="auto" w:val="clear"/>
        </w:rPr>
      </w:pPr>
      <w:r>
        <w:rPr>
          <w:rFonts w:eastAsia="Calibri" w:cs="Arial" w:ascii="Arial" w:hAnsi="Arial"/>
          <w:b/>
          <w:bCs/>
          <w:color w:val="000000"/>
          <w:shd w:fill="auto" w:val="clear"/>
        </w:rPr>
        <w:t>12.5.3.4.</w:t>
      </w:r>
      <w:r>
        <w:rPr>
          <w:rFonts w:eastAsia="Calibri" w:cs="Arial" w:ascii="Arial" w:hAnsi="Arial"/>
          <w:color w:val="000000"/>
          <w:shd w:fill="auto" w:val="clear"/>
        </w:rPr>
        <w:t xml:space="preserve"> </w:t>
      </w:r>
      <w:r>
        <w:rPr>
          <w:rFonts w:cs="Arial" w:ascii="Arial" w:hAnsi="Arial"/>
          <w:color w:val="000000"/>
          <w:shd w:fill="auto" w:val="clear"/>
        </w:rPr>
        <w:t xml:space="preserve">A proposta deverá ser apresentada de acordo com o modelo constante do Anexo </w:t>
      </w:r>
      <w:r>
        <w:rPr>
          <w:rFonts w:eastAsia="Calibri" w:cs="Arial" w:ascii="Arial" w:hAnsi="Arial"/>
          <w:color w:val="000000"/>
          <w:shd w:fill="auto" w:val="clear"/>
        </w:rPr>
        <w:t>VI</w:t>
      </w:r>
      <w:r>
        <w:rPr>
          <w:rFonts w:cs="Arial" w:ascii="Arial" w:hAnsi="Arial"/>
          <w:color w:val="000000"/>
          <w:shd w:fill="auto" w:val="clear"/>
        </w:rPr>
        <w:t xml:space="preserve"> deste Edital e deverá conter, sob pena de desclassificação: </w:t>
      </w:r>
    </w:p>
    <w:p>
      <w:pPr>
        <w:pStyle w:val="Normal"/>
        <w:spacing w:lineRule="auto" w:line="240"/>
        <w:jc w:val="both"/>
        <w:rPr>
          <w:rFonts w:ascii="Arial" w:hAnsi="Arial"/>
        </w:rPr>
      </w:pPr>
      <w:r>
        <w:rPr>
          <w:rFonts w:eastAsia="Calibri" w:cs="Arial" w:ascii="Arial" w:hAnsi="Arial"/>
          <w:b/>
          <w:bCs/>
          <w:color w:val="000000"/>
        </w:rPr>
        <w:t>12.5.3.5.</w:t>
      </w:r>
      <w:r>
        <w:rPr>
          <w:rFonts w:eastAsia="Calibri" w:cs="Arial" w:ascii="Arial" w:hAnsi="Arial"/>
          <w:color w:val="000000"/>
        </w:rPr>
        <w:t xml:space="preserve"> </w:t>
      </w:r>
      <w:r>
        <w:rPr>
          <w:rFonts w:cs="Arial" w:ascii="Arial" w:hAnsi="Arial"/>
          <w:color w:val="000000"/>
        </w:rPr>
        <w:t xml:space="preserve">A identificação/descrição do objeto ofertado, de forma a permitir que o Pregoeiro possa facilmente constatar que as especificações no presente Pregão foram ou não atendidas, observadas as especificações constantes nos Anexos do presente Edital; </w:t>
      </w:r>
    </w:p>
    <w:p>
      <w:pPr>
        <w:pStyle w:val="Normal"/>
        <w:spacing w:lineRule="auto" w:line="240"/>
        <w:jc w:val="both"/>
        <w:rPr>
          <w:rFonts w:ascii="Arial" w:hAnsi="Arial"/>
        </w:rPr>
      </w:pPr>
      <w:r>
        <w:rPr>
          <w:rFonts w:eastAsia="Calibri" w:cs="Arial" w:ascii="Arial" w:hAnsi="Arial"/>
          <w:b/>
          <w:bCs/>
          <w:color w:val="000000"/>
        </w:rPr>
        <w:t>12.5.3.6.</w:t>
      </w:r>
      <w:r>
        <w:rPr>
          <w:rFonts w:eastAsia="Calibri" w:cs="Arial" w:ascii="Arial" w:hAnsi="Arial"/>
          <w:color w:val="000000"/>
        </w:rPr>
        <w:t xml:space="preserve"> </w:t>
      </w:r>
      <w:r>
        <w:rPr>
          <w:rFonts w:cs="Arial" w:ascii="Arial" w:hAnsi="Arial"/>
          <w:color w:val="000000"/>
        </w:rPr>
        <w:t xml:space="preserve">O preço unitário e os preços totais cotados em reais, com no máximo 02 (dois) algarismos decimais após a vírgula; </w:t>
      </w:r>
    </w:p>
    <w:p>
      <w:pPr>
        <w:pStyle w:val="Normal"/>
        <w:spacing w:lineRule="auto" w:line="240"/>
        <w:jc w:val="both"/>
        <w:rPr>
          <w:rFonts w:ascii="Arial" w:hAnsi="Arial"/>
        </w:rPr>
      </w:pPr>
      <w:r>
        <w:rPr>
          <w:rFonts w:eastAsia="Calibri" w:cs="Arial" w:ascii="Arial" w:hAnsi="Arial"/>
          <w:b/>
          <w:bCs/>
          <w:color w:val="000000"/>
        </w:rPr>
        <w:t xml:space="preserve">12.5.3.7. </w:t>
      </w:r>
      <w:r>
        <w:rPr>
          <w:rFonts w:eastAsia="Calibri" w:cs="Arial" w:ascii="Arial" w:hAnsi="Arial"/>
          <w:color w:val="000000"/>
        </w:rPr>
        <w:t>A</w:t>
      </w:r>
      <w:r>
        <w:rPr>
          <w:rFonts w:cs="Arial" w:ascii="Arial" w:hAnsi="Arial"/>
          <w:color w:val="000000"/>
        </w:rPr>
        <w:t xml:space="preserve"> identificação da marca e do modelo do objeto ofertado; </w:t>
      </w:r>
    </w:p>
    <w:p>
      <w:pPr>
        <w:pStyle w:val="Normal"/>
        <w:spacing w:lineRule="auto" w:line="240"/>
        <w:jc w:val="both"/>
        <w:rPr>
          <w:rFonts w:ascii="Arial" w:hAnsi="Arial"/>
        </w:rPr>
      </w:pPr>
      <w:r>
        <w:rPr>
          <w:rFonts w:eastAsia="Calibri" w:cs="Arial" w:ascii="Arial" w:hAnsi="Arial"/>
          <w:b/>
          <w:bCs/>
          <w:color w:val="000000"/>
        </w:rPr>
        <w:t>12.5.3.8.</w:t>
      </w:r>
      <w:r>
        <w:rPr>
          <w:rFonts w:eastAsia="Calibri" w:cs="Arial" w:ascii="Arial" w:hAnsi="Arial"/>
          <w:color w:val="000000"/>
        </w:rPr>
        <w:t xml:space="preserve"> </w:t>
      </w:r>
      <w:r>
        <w:rPr>
          <w:rFonts w:cs="Arial" w:ascii="Arial" w:hAnsi="Arial"/>
          <w:color w:val="000000"/>
        </w:rPr>
        <w:t xml:space="preserve">Havendo divergência entre o valor unitário e total, prevalecerá o valor unitário. </w:t>
      </w:r>
    </w:p>
    <w:p>
      <w:pPr>
        <w:pStyle w:val="Normal"/>
        <w:spacing w:lineRule="auto" w:line="240"/>
        <w:jc w:val="both"/>
        <w:rPr>
          <w:rFonts w:ascii="Arial" w:hAnsi="Arial"/>
        </w:rPr>
      </w:pPr>
      <w:r>
        <w:rPr>
          <w:rFonts w:eastAsia="Calibri" w:cs="Arial" w:ascii="Arial" w:hAnsi="Arial"/>
          <w:b/>
          <w:bCs/>
          <w:color w:val="000000"/>
        </w:rPr>
        <w:t>12.5.3.9.</w:t>
      </w:r>
      <w:r>
        <w:rPr>
          <w:rFonts w:eastAsia="Calibri" w:cs="Arial" w:ascii="Arial" w:hAnsi="Arial"/>
          <w:color w:val="000000"/>
        </w:rPr>
        <w:t xml:space="preserve"> </w:t>
      </w:r>
      <w:r>
        <w:rPr>
          <w:rFonts w:cs="Arial" w:ascii="Arial" w:hAnsi="Arial"/>
          <w:color w:val="000000"/>
        </w:rPr>
        <w:t xml:space="preserve">Serão desconsideradas as propostas que apresentarem alternativas de preços ou qualquer outra condição não prevista neste Edital. </w:t>
      </w:r>
    </w:p>
    <w:p>
      <w:pPr>
        <w:pStyle w:val="Normal"/>
        <w:tabs>
          <w:tab w:val="clear" w:pos="720"/>
          <w:tab w:val="left" w:pos="567" w:leader="none"/>
        </w:tabs>
        <w:spacing w:lineRule="auto" w:line="240"/>
        <w:jc w:val="both"/>
        <w:rPr>
          <w:rFonts w:ascii="Arial" w:hAnsi="Arial"/>
        </w:rPr>
      </w:pPr>
      <w:r>
        <w:rPr>
          <w:rFonts w:eastAsia="Calibri" w:cs="Times New Roman" w:ascii="Arial" w:hAnsi="Arial"/>
          <w:b/>
          <w:bCs/>
          <w:iCs/>
          <w:color w:val="000000"/>
        </w:rPr>
        <w:t>12.5.3.10.</w:t>
      </w:r>
      <w:r>
        <w:rPr>
          <w:rFonts w:cs="Times New Roman" w:ascii="Arial" w:hAnsi="Arial"/>
          <w:iCs/>
          <w:color w:val="000000"/>
        </w:rPr>
        <w:t xml:space="preserve"> Se a adjudicação não puder ocorrer dentro do período de validade da proposta, ou seja, 60 (sessenta) dias, e caso persista o interesse do Município, este poderá solicitar a prorrogação da validade da proposta por igual prazo. </w:t>
      </w:r>
    </w:p>
    <w:p>
      <w:pPr>
        <w:pStyle w:val="Normal"/>
        <w:tabs>
          <w:tab w:val="clear" w:pos="720"/>
          <w:tab w:val="left" w:pos="567" w:leader="none"/>
        </w:tabs>
        <w:spacing w:lineRule="auto" w:line="240"/>
        <w:jc w:val="both"/>
        <w:rPr>
          <w:rFonts w:ascii="Arial" w:hAnsi="Arial"/>
        </w:rPr>
      </w:pPr>
      <w:r>
        <w:rPr>
          <w:rFonts w:cs="Times New Roman" w:ascii="Arial" w:hAnsi="Arial"/>
          <w:b/>
          <w:iCs/>
          <w:color w:val="000000"/>
        </w:rPr>
        <w:t>12.5.4.</w:t>
      </w:r>
      <w:r>
        <w:rPr>
          <w:rFonts w:cs="Times New Roman" w:ascii="Arial" w:hAnsi="Arial"/>
          <w:iCs/>
          <w:color w:val="000000"/>
        </w:rPr>
        <w:t xml:space="preserve"> Qualquer elemento que possa identificar o licitante importará desclassificação da proposta, sem prejuízo das sanções previstas neste edital.</w:t>
      </w:r>
    </w:p>
    <w:p>
      <w:pPr>
        <w:pStyle w:val="Normal"/>
        <w:tabs>
          <w:tab w:val="clear" w:pos="720"/>
          <w:tab w:val="left" w:pos="567" w:leader="none"/>
        </w:tabs>
        <w:spacing w:lineRule="auto" w:line="240"/>
        <w:jc w:val="both"/>
        <w:rPr>
          <w:rFonts w:ascii="Arial" w:hAnsi="Arial"/>
        </w:rPr>
      </w:pPr>
      <w:r>
        <w:rPr>
          <w:rFonts w:cs="Times New Roman" w:ascii="Arial" w:hAnsi="Arial"/>
          <w:b/>
          <w:iCs/>
          <w:color w:val="000000"/>
        </w:rPr>
        <w:t>12.5.5.</w:t>
      </w:r>
      <w:r>
        <w:rPr>
          <w:rFonts w:cs="Times New Roman" w:ascii="Arial" w:hAnsi="Arial"/>
          <w:iCs/>
          <w:color w:val="000000"/>
        </w:rPr>
        <w:t xml:space="preserve"> Até a abertura da sessão, o licitante poderá retirar ou substituir a proposta anteriormente encaminhada.</w:t>
      </w:r>
    </w:p>
    <w:p>
      <w:pPr>
        <w:pStyle w:val="Normal"/>
        <w:tabs>
          <w:tab w:val="clear" w:pos="720"/>
          <w:tab w:val="left" w:pos="567" w:leader="none"/>
        </w:tabs>
        <w:spacing w:lineRule="auto" w:line="240"/>
        <w:jc w:val="both"/>
        <w:rPr>
          <w:rFonts w:ascii="Arial" w:hAnsi="Arial"/>
        </w:rPr>
      </w:pPr>
      <w:r>
        <w:rPr>
          <w:rFonts w:cs="Times New Roman" w:ascii="Arial" w:hAnsi="Arial"/>
          <w:b/>
          <w:iCs/>
          <w:color w:val="000000"/>
        </w:rPr>
        <w:t>12.5.6.</w:t>
      </w:r>
      <w:r>
        <w:rPr>
          <w:rFonts w:cs="Times New Roman" w:ascii="Arial" w:hAnsi="Arial"/>
          <w:iCs/>
          <w:color w:val="000000"/>
        </w:rPr>
        <w:t xml:space="preserve"> O prazo de validade da proposta n</w:t>
      </w:r>
      <w:r>
        <w:rPr>
          <w:rFonts w:ascii="Arial" w:hAnsi="Arial"/>
          <w:color w:val="000000"/>
        </w:rPr>
        <w:t>ão será inferior a 60 (sessenta) dias, a contar da data de sua apresentação.</w:t>
      </w:r>
    </w:p>
    <w:p>
      <w:pPr>
        <w:pStyle w:val="Normal"/>
        <w:tabs>
          <w:tab w:val="clear" w:pos="720"/>
          <w:tab w:val="left" w:pos="567" w:leader="none"/>
        </w:tabs>
        <w:spacing w:lineRule="auto" w:line="240"/>
        <w:jc w:val="both"/>
        <w:rPr>
          <w:rFonts w:ascii="Arial" w:hAnsi="Arial"/>
        </w:rPr>
      </w:pPr>
      <w:r>
        <w:rPr>
          <w:rFonts w:cs="Times New Roman" w:ascii="Arial" w:hAnsi="Arial"/>
          <w:b/>
          <w:iCs/>
          <w:color w:val="000000"/>
        </w:rPr>
        <w:t>12.5.7.</w:t>
      </w:r>
      <w:r>
        <w:rPr>
          <w:rFonts w:cs="Times New Roman" w:ascii="Arial" w:hAnsi="Arial"/>
          <w:iCs/>
          <w:color w:val="000000"/>
        </w:rPr>
        <w:t xml:space="preserve"> Decorrido o prazo de validade das propostas sem convocação para contratação, ficam os licitantes liberados dos compromissos assumidos.</w:t>
      </w:r>
    </w:p>
    <w:p>
      <w:pPr>
        <w:pStyle w:val="Normal"/>
        <w:tabs>
          <w:tab w:val="clear" w:pos="720"/>
          <w:tab w:val="left" w:pos="567" w:leader="none"/>
        </w:tabs>
        <w:spacing w:lineRule="auto" w:line="240"/>
        <w:jc w:val="both"/>
        <w:rPr>
          <w:rFonts w:ascii="Arial" w:hAnsi="Arial"/>
        </w:rPr>
      </w:pPr>
      <w:r>
        <w:rPr>
          <w:rFonts w:cs="Times New Roman" w:ascii="Arial" w:hAnsi="Arial"/>
          <w:b/>
          <w:iCs/>
          <w:color w:val="000000"/>
        </w:rPr>
        <w:t>12.5.8.</w:t>
      </w:r>
      <w:r>
        <w:rPr>
          <w:rFonts w:cs="Times New Roman" w:ascii="Arial" w:hAnsi="Arial"/>
          <w:iCs/>
          <w:color w:val="000000"/>
        </w:rPr>
        <w:t xml:space="preserve"> A abertura da sessão pública ocorrerá na data e na hora indicados no preâmbulo deste edital, no Portal de Compras do Governo Federal </w:t>
      </w:r>
      <w:r>
        <w:rPr>
          <w:rFonts w:ascii="Arial" w:hAnsi="Arial"/>
          <w:color w:val="000000"/>
        </w:rPr>
        <w:t xml:space="preserve">– </w:t>
      </w:r>
      <w:r>
        <w:rPr>
          <w:rFonts w:eastAsia="Calibri" w:ascii="Arial" w:hAnsi="Arial"/>
          <w:color w:val="000000"/>
        </w:rPr>
        <w:t>compras</w:t>
      </w:r>
      <w:r>
        <w:rPr>
          <w:rFonts w:ascii="Arial" w:hAnsi="Arial"/>
          <w:color w:val="000000"/>
        </w:rPr>
        <w:t>.gov.br. UASG 988157</w:t>
      </w:r>
    </w:p>
    <w:p>
      <w:pPr>
        <w:pStyle w:val="Normal"/>
        <w:tabs>
          <w:tab w:val="clear" w:pos="720"/>
          <w:tab w:val="left" w:pos="567" w:leader="none"/>
        </w:tabs>
        <w:spacing w:lineRule="auto" w:line="240"/>
        <w:jc w:val="both"/>
        <w:rPr>
          <w:rFonts w:ascii="Arial" w:hAnsi="Arial"/>
        </w:rPr>
      </w:pPr>
      <w:r>
        <w:rPr>
          <w:rFonts w:cs="Times New Roman" w:ascii="Arial" w:hAnsi="Arial"/>
          <w:b/>
          <w:color w:val="000000"/>
        </w:rPr>
        <w:t>12.5.9.</w:t>
      </w:r>
      <w:r>
        <w:rPr>
          <w:rFonts w:cs="Times New Roman" w:ascii="Arial" w:hAnsi="Arial"/>
          <w:color w:val="000000"/>
        </w:rPr>
        <w:t xml:space="preserve"> Durante a sessão pública, a comunicação entre o </w:t>
      </w:r>
      <w:r>
        <w:rPr>
          <w:rFonts w:cs="Times New Roman" w:ascii="Arial" w:hAnsi="Arial"/>
          <w:b/>
          <w:color w:val="000000"/>
        </w:rPr>
        <w:t>pregoeiro</w:t>
      </w:r>
      <w:r>
        <w:rPr>
          <w:rFonts w:cs="Times New Roman" w:ascii="Arial" w:hAnsi="Arial"/>
          <w:color w:val="000000"/>
        </w:rPr>
        <w:t xml:space="preserve"> e os licitantes ocorrerá </w:t>
      </w:r>
      <w:r>
        <w:rPr>
          <w:rFonts w:cs="Times New Roman" w:ascii="Arial" w:hAnsi="Arial"/>
          <w:b/>
          <w:color w:val="000000"/>
        </w:rPr>
        <w:t>exclusivamente</w:t>
      </w:r>
      <w:r>
        <w:rPr>
          <w:rFonts w:cs="Times New Roman" w:ascii="Arial" w:hAnsi="Arial"/>
          <w:color w:val="000000"/>
        </w:rPr>
        <w:t xml:space="preserve"> mediante troca de mensagens, em campo próprio do sistema eletrônico. </w:t>
      </w:r>
    </w:p>
    <w:p>
      <w:pPr>
        <w:pStyle w:val="Normal"/>
        <w:tabs>
          <w:tab w:val="clear" w:pos="720"/>
          <w:tab w:val="left" w:pos="567" w:leader="none"/>
        </w:tabs>
        <w:spacing w:lineRule="auto" w:line="240"/>
        <w:jc w:val="both"/>
        <w:rPr>
          <w:rFonts w:ascii="Arial" w:hAnsi="Arial"/>
        </w:rPr>
      </w:pPr>
      <w:r>
        <w:rPr>
          <w:rFonts w:cs="Times New Roman" w:ascii="Arial" w:hAnsi="Arial"/>
          <w:b/>
          <w:color w:val="000000"/>
        </w:rPr>
        <w:t>12.5.10.</w:t>
      </w:r>
      <w:r>
        <w:rPr>
          <w:rFonts w:cs="Times New Roman" w:ascii="Arial" w:hAnsi="Arial"/>
          <w:color w:val="000000"/>
        </w:rPr>
        <w:t xml:space="preserve"> Cabe ao licitante acompanhar as operações no sistema eletrônico durante a sessão pública, ficando responsável pelo ônus decorrente da perda de negócios diante da inobservância de qualquer mensagem emitida pelo sistema ou por estar desconectado do sistema, inclusive quanto ao não encaminhamento de documento afeto à proposta.</w:t>
      </w:r>
    </w:p>
    <w:p>
      <w:pPr>
        <w:pStyle w:val="Normal"/>
        <w:tabs>
          <w:tab w:val="clear" w:pos="720"/>
          <w:tab w:val="left" w:pos="567" w:leader="none"/>
        </w:tabs>
        <w:spacing w:lineRule="auto" w:line="240"/>
        <w:jc w:val="both"/>
        <w:rPr>
          <w:rFonts w:ascii="Arial" w:hAnsi="Arial"/>
        </w:rPr>
      </w:pPr>
      <w:r>
        <w:rPr>
          <w:rFonts w:cs="Times New Roman" w:ascii="Arial" w:hAnsi="Arial"/>
          <w:b/>
          <w:iCs/>
          <w:color w:val="000000"/>
        </w:rPr>
        <w:t>12.5.11.</w:t>
      </w:r>
      <w:r>
        <w:rPr>
          <w:rFonts w:cs="Times New Roman" w:ascii="Arial" w:hAnsi="Arial"/>
          <w:iCs/>
          <w:color w:val="000000"/>
        </w:rPr>
        <w:t xml:space="preserve"> Aberta a etapa de lances, os licitantes poderão encaminhar lances sucessivos exclusivamente por meio do sistema eletrônico, sendo que os lances deverão ser </w:t>
      </w:r>
      <w:r>
        <w:rPr>
          <w:rFonts w:cs="Times New Roman" w:ascii="Arial" w:hAnsi="Arial"/>
          <w:color w:val="000000"/>
        </w:rPr>
        <w:t>inferiores ao último ofertado por ele próprio e registrado no sistema eletrônico, respeitado o intervalo mínimo de diferença de valores entre os lances, que incidirá tanto em relação aos lances intermediários quanto em relação à proposta que cobrir a melhor oferta.</w:t>
      </w:r>
    </w:p>
    <w:p>
      <w:pPr>
        <w:pStyle w:val="Normal"/>
        <w:tabs>
          <w:tab w:val="clear" w:pos="720"/>
          <w:tab w:val="left" w:pos="567" w:leader="none"/>
        </w:tabs>
        <w:spacing w:lineRule="auto" w:line="240"/>
        <w:jc w:val="both"/>
        <w:rPr>
          <w:rFonts w:ascii="Arial" w:hAnsi="Arial"/>
        </w:rPr>
      </w:pPr>
      <w:r>
        <w:rPr>
          <w:rFonts w:cs="Times New Roman" w:ascii="Arial" w:hAnsi="Arial"/>
          <w:b/>
          <w:color w:val="000000"/>
        </w:rPr>
        <w:t>12.5.12.</w:t>
      </w:r>
      <w:r>
        <w:rPr>
          <w:rFonts w:cs="Times New Roman" w:ascii="Arial" w:hAnsi="Arial"/>
          <w:color w:val="000000"/>
        </w:rPr>
        <w:t xml:space="preserve"> Será adotado para o envio de lances o modo de disputa </w:t>
      </w:r>
    </w:p>
    <w:p>
      <w:pPr>
        <w:pStyle w:val="ListParagraph"/>
        <w:numPr>
          <w:ilvl w:val="0"/>
          <w:numId w:val="28"/>
        </w:numPr>
        <w:tabs>
          <w:tab w:val="clear" w:pos="720"/>
          <w:tab w:val="left" w:pos="1134" w:leader="none"/>
        </w:tabs>
        <w:ind w:left="567" w:hanging="0"/>
        <w:jc w:val="both"/>
        <w:rPr>
          <w:rFonts w:ascii="Arial" w:hAnsi="Arial"/>
          <w:sz w:val="22"/>
          <w:szCs w:val="22"/>
        </w:rPr>
      </w:pPr>
      <w:r>
        <w:rPr>
          <w:rFonts w:ascii="Arial" w:hAnsi="Arial"/>
          <w:b/>
          <w:color w:val="000000"/>
          <w:sz w:val="22"/>
          <w:szCs w:val="22"/>
        </w:rPr>
        <w:t>ABERTO:</w:t>
      </w:r>
    </w:p>
    <w:p>
      <w:pPr>
        <w:pStyle w:val="ListParagraph"/>
        <w:numPr>
          <w:ilvl w:val="0"/>
          <w:numId w:val="29"/>
        </w:numPr>
        <w:tabs>
          <w:tab w:val="clear" w:pos="720"/>
          <w:tab w:val="left" w:pos="1701" w:leader="none"/>
        </w:tabs>
        <w:ind w:left="1134" w:hanging="0"/>
        <w:jc w:val="both"/>
        <w:rPr>
          <w:rFonts w:ascii="Arial" w:hAnsi="Arial"/>
          <w:sz w:val="22"/>
          <w:szCs w:val="22"/>
        </w:rPr>
      </w:pPr>
      <w:r>
        <w:rPr>
          <w:rFonts w:ascii="Arial" w:hAnsi="Arial"/>
          <w:color w:val="000000"/>
          <w:sz w:val="22"/>
          <w:szCs w:val="22"/>
        </w:rPr>
        <w:t>10 (dez) minutos de lances sucessivos e, após isso, será prorrogada automaticamente pelo sistema quando houver lance ofertado nos últimos 2 (dois) minutos;</w:t>
      </w:r>
    </w:p>
    <w:p>
      <w:pPr>
        <w:pStyle w:val="ListParagraph"/>
        <w:numPr>
          <w:ilvl w:val="0"/>
          <w:numId w:val="29"/>
        </w:numPr>
        <w:tabs>
          <w:tab w:val="clear" w:pos="720"/>
          <w:tab w:val="left" w:pos="1701" w:leader="none"/>
        </w:tabs>
        <w:ind w:left="1134" w:hanging="0"/>
        <w:jc w:val="both"/>
        <w:rPr>
          <w:rFonts w:ascii="Arial" w:hAnsi="Arial"/>
          <w:sz w:val="22"/>
          <w:szCs w:val="22"/>
        </w:rPr>
      </w:pPr>
      <w:r>
        <w:rPr>
          <w:rFonts w:ascii="Arial" w:hAnsi="Arial"/>
          <w:color w:val="000000"/>
          <w:sz w:val="22"/>
          <w:szCs w:val="22"/>
        </w:rPr>
        <w:t>A prorrogação automática será de 2 (dois) minutos e ocorrerá sucessivamente sempre que houver lances enviados nesse período de prorrogação;</w:t>
      </w:r>
    </w:p>
    <w:p>
      <w:pPr>
        <w:pStyle w:val="ListParagraph"/>
        <w:numPr>
          <w:ilvl w:val="0"/>
          <w:numId w:val="29"/>
        </w:numPr>
        <w:tabs>
          <w:tab w:val="clear" w:pos="720"/>
          <w:tab w:val="left" w:pos="1701" w:leader="none"/>
        </w:tabs>
        <w:ind w:left="1134" w:hanging="0"/>
        <w:jc w:val="both"/>
        <w:rPr>
          <w:rFonts w:ascii="Arial" w:hAnsi="Arial"/>
          <w:sz w:val="22"/>
          <w:szCs w:val="22"/>
        </w:rPr>
      </w:pPr>
      <w:r>
        <w:rPr>
          <w:rFonts w:ascii="Arial" w:hAnsi="Arial"/>
          <w:color w:val="000000"/>
          <w:sz w:val="22"/>
          <w:szCs w:val="22"/>
        </w:rPr>
        <w:t>Não havendo novos lances nos últimos 2 (dois) minutos, a sessão pública será encerrada automaticamente;</w:t>
      </w:r>
    </w:p>
    <w:p>
      <w:pPr>
        <w:pStyle w:val="ListParagraph"/>
        <w:numPr>
          <w:ilvl w:val="0"/>
          <w:numId w:val="29"/>
        </w:numPr>
        <w:tabs>
          <w:tab w:val="clear" w:pos="720"/>
          <w:tab w:val="left" w:pos="1701" w:leader="none"/>
        </w:tabs>
        <w:ind w:left="1134" w:hanging="0"/>
        <w:jc w:val="both"/>
        <w:rPr>
          <w:rFonts w:ascii="Arial" w:hAnsi="Arial"/>
          <w:sz w:val="22"/>
          <w:szCs w:val="22"/>
        </w:rPr>
      </w:pPr>
      <w:r>
        <w:rPr>
          <w:rFonts w:ascii="Arial" w:hAnsi="Arial"/>
          <w:color w:val="000000"/>
          <w:sz w:val="22"/>
          <w:szCs w:val="22"/>
        </w:rPr>
        <w:t xml:space="preserve">Encerrada a etapa de lances, com ou sem prorrogação automática pelo sistema, poderá o </w:t>
      </w:r>
      <w:r>
        <w:rPr>
          <w:rFonts w:ascii="Arial" w:hAnsi="Arial"/>
          <w:b/>
          <w:color w:val="000000"/>
          <w:sz w:val="22"/>
          <w:szCs w:val="22"/>
        </w:rPr>
        <w:t>pregoeiro</w:t>
      </w:r>
      <w:r>
        <w:rPr>
          <w:rFonts w:ascii="Arial" w:hAnsi="Arial"/>
          <w:color w:val="000000"/>
          <w:sz w:val="22"/>
          <w:szCs w:val="22"/>
        </w:rPr>
        <w:t>, assessorado pela equipe de apoio, justificadamente, admitir o reinício do envio de lances, em prol da consecução do melhor preço;</w:t>
      </w:r>
    </w:p>
    <w:p>
      <w:pPr>
        <w:pStyle w:val="ListParagraph"/>
        <w:numPr>
          <w:ilvl w:val="0"/>
          <w:numId w:val="29"/>
        </w:numPr>
        <w:tabs>
          <w:tab w:val="clear" w:pos="720"/>
          <w:tab w:val="left" w:pos="1701" w:leader="none"/>
        </w:tabs>
        <w:ind w:left="1134" w:hanging="0"/>
        <w:jc w:val="both"/>
        <w:rPr>
          <w:rFonts w:ascii="Arial" w:hAnsi="Arial"/>
          <w:sz w:val="22"/>
          <w:szCs w:val="22"/>
        </w:rPr>
      </w:pPr>
      <w:r>
        <w:rPr>
          <w:rFonts w:ascii="Arial" w:hAnsi="Arial"/>
          <w:color w:val="000000"/>
          <w:sz w:val="22"/>
          <w:szCs w:val="22"/>
        </w:rPr>
        <w:t>Os lances apresentados e levados em consideração para efeito de julgamento serão de exclusiva e total responsabilidade do licitante, não lhe cabendo o direito de pleitear qualquer alteração;</w:t>
      </w:r>
    </w:p>
    <w:p>
      <w:pPr>
        <w:pStyle w:val="ListParagraph"/>
        <w:numPr>
          <w:ilvl w:val="0"/>
          <w:numId w:val="29"/>
        </w:numPr>
        <w:tabs>
          <w:tab w:val="clear" w:pos="720"/>
          <w:tab w:val="left" w:pos="1701" w:leader="none"/>
        </w:tabs>
        <w:ind w:left="1134" w:hanging="0"/>
        <w:jc w:val="both"/>
        <w:rPr>
          <w:rFonts w:ascii="Arial" w:hAnsi="Arial"/>
          <w:sz w:val="22"/>
          <w:szCs w:val="22"/>
        </w:rPr>
      </w:pPr>
      <w:r>
        <w:rPr>
          <w:rFonts w:ascii="Arial" w:hAnsi="Arial"/>
          <w:color w:val="000000"/>
          <w:sz w:val="22"/>
          <w:szCs w:val="22"/>
        </w:rPr>
        <w:t xml:space="preserve">Durante o envio de lances, o </w:t>
      </w:r>
      <w:r>
        <w:rPr>
          <w:rFonts w:ascii="Arial" w:hAnsi="Arial"/>
          <w:b/>
          <w:color w:val="000000"/>
          <w:sz w:val="22"/>
          <w:szCs w:val="22"/>
        </w:rPr>
        <w:t>pregoeiro</w:t>
      </w:r>
      <w:r>
        <w:rPr>
          <w:rFonts w:ascii="Arial" w:hAnsi="Arial"/>
          <w:color w:val="000000"/>
          <w:sz w:val="22"/>
          <w:szCs w:val="22"/>
        </w:rPr>
        <w:t xml:space="preserve"> poderá excluir, justificadamente, lance cujo valor seja manifestamente inexequível;</w:t>
      </w:r>
    </w:p>
    <w:p>
      <w:pPr>
        <w:pStyle w:val="ListParagraph"/>
        <w:numPr>
          <w:ilvl w:val="0"/>
          <w:numId w:val="29"/>
        </w:numPr>
        <w:tabs>
          <w:tab w:val="clear" w:pos="720"/>
          <w:tab w:val="left" w:pos="1701" w:leader="none"/>
        </w:tabs>
        <w:ind w:left="1134" w:hanging="0"/>
        <w:jc w:val="both"/>
        <w:rPr>
          <w:rFonts w:ascii="Arial" w:hAnsi="Arial"/>
          <w:sz w:val="22"/>
          <w:szCs w:val="22"/>
        </w:rPr>
      </w:pPr>
      <w:r>
        <w:rPr>
          <w:rFonts w:ascii="Arial" w:hAnsi="Arial"/>
          <w:color w:val="000000"/>
          <w:sz w:val="22"/>
          <w:szCs w:val="22"/>
        </w:rPr>
        <w:t xml:space="preserve">Se ocorrer a desconexão do </w:t>
      </w:r>
      <w:r>
        <w:rPr>
          <w:rFonts w:ascii="Arial" w:hAnsi="Arial"/>
          <w:b/>
          <w:color w:val="000000"/>
          <w:sz w:val="22"/>
          <w:szCs w:val="22"/>
        </w:rPr>
        <w:t>pregoeiro</w:t>
      </w:r>
      <w:r>
        <w:rPr>
          <w:rFonts w:ascii="Arial" w:hAnsi="Arial"/>
          <w:color w:val="000000"/>
          <w:sz w:val="22"/>
          <w:szCs w:val="22"/>
        </w:rPr>
        <w:t xml:space="preserve"> no decorrer do envio de lances, mas o sistema eletrônico permanecer acessível aos licitantes, os lances continuarão sendo recebidos, sem prejuízo dos atos realizados.</w:t>
      </w:r>
    </w:p>
    <w:p>
      <w:pPr>
        <w:pStyle w:val="Normal"/>
        <w:spacing w:lineRule="auto" w:line="240"/>
        <w:jc w:val="both"/>
        <w:rPr/>
      </w:pPr>
      <w:r>
        <w:rPr>
          <w:rFonts w:ascii="Arial" w:hAnsi="Arial"/>
          <w:b/>
          <w:bCs/>
          <w:lang w:eastAsia="pt-BR"/>
        </w:rPr>
        <w:t>12.5.13.</w:t>
      </w:r>
      <w:r>
        <w:rPr>
          <w:rFonts w:ascii="Arial" w:hAnsi="Arial"/>
          <w:lang w:eastAsia="pt-BR"/>
        </w:rPr>
        <w:t xml:space="preserve"> No caso de a desconexão do pregoeiro persistir por tempo superior a 10 (dez) minutos, a sessão será suspensa automaticamente e terá reinício somente após comunicação expressa aos participantes no sítio compras.gov.br.</w:t>
      </w:r>
    </w:p>
    <w:p>
      <w:pPr>
        <w:pStyle w:val="Normal"/>
        <w:shd w:val="clear" w:color="auto" w:fill="AEAAAA" w:themeFill="background2" w:themeFillShade="bf"/>
        <w:tabs>
          <w:tab w:val="clear" w:pos="720"/>
          <w:tab w:val="left" w:pos="567" w:leader="none"/>
        </w:tabs>
        <w:spacing w:lineRule="auto" w:line="240"/>
        <w:jc w:val="both"/>
        <w:rPr>
          <w:rFonts w:ascii="Arial" w:hAnsi="Arial"/>
        </w:rPr>
      </w:pPr>
      <w:r>
        <w:rPr>
          <w:rFonts w:cs="Times New Roman" w:ascii="Arial" w:hAnsi="Arial"/>
          <w:b/>
          <w:iCs/>
        </w:rPr>
        <w:t>13. VERIFICAÇÃO DE IMPEDIMENTOS NO CEIS E CNEP</w:t>
      </w:r>
    </w:p>
    <w:p>
      <w:pPr>
        <w:pStyle w:val="Normal"/>
        <w:tabs>
          <w:tab w:val="clear" w:pos="720"/>
          <w:tab w:val="left" w:pos="567" w:leader="none"/>
        </w:tabs>
        <w:spacing w:lineRule="auto" w:line="240"/>
        <w:jc w:val="both"/>
        <w:rPr>
          <w:rFonts w:ascii="Arial" w:hAnsi="Arial"/>
        </w:rPr>
      </w:pPr>
      <w:r>
        <w:rPr>
          <w:rFonts w:cs="Times New Roman" w:ascii="Arial" w:hAnsi="Arial"/>
          <w:b/>
          <w:iCs/>
        </w:rPr>
        <w:t>13.1.</w:t>
      </w:r>
      <w:r>
        <w:rPr>
          <w:rFonts w:cs="Times New Roman" w:ascii="Arial" w:hAnsi="Arial"/>
          <w:iCs/>
        </w:rPr>
        <w:t xml:space="preserve"> Encerrada a etapa de lances, o pregoeiro verificará eventual descumprimento das condições de participação, especialmente quanto à existência de sanção que impeça a participação dos licitantes no certame ou futura contratação, mediante consulta aos seguintes cadastros:</w:t>
      </w:r>
    </w:p>
    <w:p>
      <w:pPr>
        <w:pStyle w:val="ListParagraph"/>
        <w:widowControl w:val="false"/>
        <w:numPr>
          <w:ilvl w:val="0"/>
          <w:numId w:val="11"/>
        </w:numPr>
        <w:tabs>
          <w:tab w:val="clear" w:pos="720"/>
          <w:tab w:val="left" w:pos="1134" w:leader="none"/>
        </w:tabs>
        <w:ind w:left="567" w:hanging="0"/>
        <w:jc w:val="both"/>
        <w:textAlignment w:val="baseline"/>
        <w:rPr>
          <w:rFonts w:ascii="Arial" w:hAnsi="Arial"/>
          <w:sz w:val="22"/>
          <w:szCs w:val="22"/>
        </w:rPr>
      </w:pPr>
      <w:r>
        <w:rPr>
          <w:rFonts w:ascii="Arial" w:hAnsi="Arial"/>
          <w:b/>
          <w:iCs/>
          <w:sz w:val="22"/>
          <w:szCs w:val="22"/>
        </w:rPr>
        <w:t>Cadastro Nacional de Empresas Inidôneas e Suspensas – CEIS</w:t>
      </w:r>
      <w:r>
        <w:rPr>
          <w:rFonts w:ascii="Arial" w:hAnsi="Arial"/>
          <w:iCs/>
          <w:sz w:val="22"/>
          <w:szCs w:val="22"/>
        </w:rPr>
        <w:t>, mantido pela Controladoria-Geral da União (https://portaldatransparencia.gov.br/sancoes/consulta).</w:t>
      </w:r>
    </w:p>
    <w:p>
      <w:pPr>
        <w:pStyle w:val="ListParagraph"/>
        <w:widowControl w:val="false"/>
        <w:numPr>
          <w:ilvl w:val="0"/>
          <w:numId w:val="11"/>
        </w:numPr>
        <w:tabs>
          <w:tab w:val="clear" w:pos="720"/>
          <w:tab w:val="left" w:pos="1134" w:leader="none"/>
        </w:tabs>
        <w:ind w:left="567" w:hanging="0"/>
        <w:jc w:val="both"/>
        <w:textAlignment w:val="baseline"/>
        <w:rPr>
          <w:rFonts w:ascii="Arial" w:hAnsi="Arial"/>
          <w:sz w:val="22"/>
          <w:szCs w:val="22"/>
        </w:rPr>
      </w:pPr>
      <w:r>
        <w:rPr>
          <w:rFonts w:ascii="Arial" w:hAnsi="Arial"/>
          <w:b/>
          <w:iCs/>
          <w:sz w:val="22"/>
          <w:szCs w:val="22"/>
        </w:rPr>
        <w:t>Cadastro Nacional de Empresas Punidas – CNEP</w:t>
      </w:r>
      <w:r>
        <w:rPr>
          <w:rFonts w:ascii="Arial" w:hAnsi="Arial"/>
          <w:iCs/>
          <w:sz w:val="22"/>
          <w:szCs w:val="22"/>
        </w:rPr>
        <w:t>, mantido pela Controladoria-Geral da União (https://portaldatransparencia.gov.br/sancoes/consulta).</w:t>
      </w:r>
    </w:p>
    <w:p>
      <w:pPr>
        <w:pStyle w:val="Normal"/>
        <w:tabs>
          <w:tab w:val="clear" w:pos="720"/>
          <w:tab w:val="left" w:pos="567" w:leader="none"/>
        </w:tabs>
        <w:spacing w:lineRule="auto" w:line="240"/>
        <w:jc w:val="both"/>
        <w:rPr/>
      </w:pPr>
      <w:r>
        <w:rPr>
          <w:rFonts w:cs="Times New Roman" w:ascii="Arial" w:hAnsi="Arial"/>
          <w:b/>
        </w:rPr>
        <w:t xml:space="preserve">13.2. </w:t>
      </w:r>
      <w:r>
        <w:rPr>
          <w:rFonts w:cs="Times New Roman" w:ascii="Arial" w:hAnsi="Arial"/>
        </w:rPr>
        <w:t xml:space="preserve">A consulta aos cadastros acima referidos </w:t>
      </w:r>
      <w:r>
        <w:rPr>
          <w:rFonts w:cs="Times New Roman" w:ascii="Arial" w:hAnsi="Arial"/>
          <w:b/>
        </w:rPr>
        <w:t>será</w:t>
      </w:r>
      <w:r>
        <w:rPr>
          <w:rFonts w:cs="Times New Roman" w:ascii="Arial" w:hAnsi="Arial"/>
        </w:rPr>
        <w:t xml:space="preserve"> realizada </w:t>
      </w:r>
      <w:r>
        <w:rPr>
          <w:rFonts w:cs="Times New Roman" w:ascii="Arial" w:hAnsi="Arial"/>
          <w:b/>
        </w:rPr>
        <w:t xml:space="preserve">em nome do licitante </w:t>
      </w:r>
      <w:r>
        <w:rPr>
          <w:rFonts w:cs="Times New Roman" w:ascii="Arial" w:hAnsi="Arial"/>
          <w:b/>
          <w:u w:val="single"/>
        </w:rPr>
        <w:t>e</w:t>
      </w:r>
      <w:r>
        <w:rPr>
          <w:rFonts w:cs="Times New Roman" w:ascii="Arial" w:hAnsi="Arial"/>
          <w:b/>
        </w:rPr>
        <w:t xml:space="preserve"> também de seu sócio majoritário</w:t>
      </w:r>
      <w:r>
        <w:rPr>
          <w:rFonts w:cs="Times New Roman" w:ascii="Arial" w:hAnsi="Arial"/>
        </w:rPr>
        <w:t xml:space="preserve">, por força do art. 12 da </w:t>
      </w:r>
      <w:hyperlink r:id="rId17">
        <w:r>
          <w:rPr>
            <w:rStyle w:val="LinkdaInternet"/>
            <w:rFonts w:cs="Times New Roman" w:ascii="Arial" w:hAnsi="Arial"/>
          </w:rPr>
          <w:t>Lei nº 8.429/1992</w:t>
        </w:r>
      </w:hyperlink>
      <w:r>
        <w:rPr>
          <w:rFonts w:cs="Times New Roman" w:ascii="Arial" w:hAnsi="Arial"/>
        </w:rPr>
        <w:t xml:space="preserve"> (Dispõe sobre as sanções aplicáveis em virtude da prática de atos de improbidade administrativa, de que trata o § 4º do art. 37 da Constituição Federal; e dá outras providências).</w:t>
      </w:r>
    </w:p>
    <w:p>
      <w:pPr>
        <w:pStyle w:val="Normal"/>
        <w:tabs>
          <w:tab w:val="clear" w:pos="720"/>
          <w:tab w:val="left" w:pos="567" w:leader="none"/>
        </w:tabs>
        <w:spacing w:lineRule="auto" w:line="240"/>
        <w:jc w:val="both"/>
        <w:rPr/>
      </w:pPr>
      <w:r>
        <w:rPr>
          <w:rFonts w:cs="Times New Roman" w:ascii="Arial" w:hAnsi="Arial"/>
          <w:b/>
          <w:iCs/>
        </w:rPr>
        <w:t>13.3.</w:t>
      </w:r>
      <w:r>
        <w:rPr>
          <w:rFonts w:cs="Times New Roman" w:ascii="Arial" w:hAnsi="Arial"/>
          <w:iCs/>
        </w:rPr>
        <w:t xml:space="preserve"> A verificação visa coibir o disposto no art. 337-M do </w:t>
      </w:r>
      <w:hyperlink r:id="rId18">
        <w:r>
          <w:rPr>
            <w:rStyle w:val="LinkdaInternet"/>
            <w:rFonts w:cs="Times New Roman" w:ascii="Arial" w:hAnsi="Arial"/>
            <w:iCs/>
          </w:rPr>
          <w:t>Código Penal</w:t>
        </w:r>
        <w:r>
          <w:rPr>
            <w:rStyle w:val="LinkdaInternet"/>
            <w:rStyle w:val="Ncoradanotaderodap"/>
            <w:rFonts w:cs="Times New Roman" w:ascii="Arial" w:hAnsi="Arial"/>
            <w:iCs/>
          </w:rPr>
          <w:footnoteReference w:id="3"/>
        </w:r>
      </w:hyperlink>
      <w:r>
        <w:rPr>
          <w:rFonts w:cs="Times New Roman" w:ascii="Arial" w:hAnsi="Arial"/>
          <w:iCs/>
        </w:rPr>
        <w:t>.</w:t>
      </w:r>
    </w:p>
    <w:p>
      <w:pPr>
        <w:pStyle w:val="Normal"/>
        <w:shd w:val="clear" w:color="auto" w:fill="AEAAAA" w:themeFill="background2" w:themeFillShade="bf"/>
        <w:tabs>
          <w:tab w:val="clear" w:pos="720"/>
          <w:tab w:val="left" w:pos="567" w:leader="none"/>
        </w:tabs>
        <w:spacing w:lineRule="auto" w:line="240"/>
        <w:jc w:val="both"/>
        <w:rPr>
          <w:shd w:fill="auto" w:val="clear"/>
        </w:rPr>
      </w:pPr>
      <w:r>
        <w:rPr>
          <w:rFonts w:cs="Times New Roman" w:ascii="Arial" w:hAnsi="Arial"/>
          <w:b/>
          <w:iCs/>
          <w:shd w:fill="auto" w:val="clear"/>
        </w:rPr>
        <w:t>14. DO JULGAMENTO DAS PROPOSTAS</w:t>
      </w:r>
    </w:p>
    <w:p>
      <w:pPr>
        <w:pStyle w:val="Normal"/>
        <w:tabs>
          <w:tab w:val="clear" w:pos="720"/>
          <w:tab w:val="left" w:pos="567" w:leader="none"/>
        </w:tabs>
        <w:spacing w:lineRule="auto" w:line="240"/>
        <w:jc w:val="both"/>
        <w:rPr>
          <w:shd w:fill="auto" w:val="clear"/>
        </w:rPr>
      </w:pPr>
      <w:r>
        <w:rPr>
          <w:rFonts w:cs="Times New Roman" w:ascii="Arial" w:hAnsi="Arial"/>
          <w:b/>
          <w:iCs/>
          <w:shd w:fill="auto" w:val="clear"/>
        </w:rPr>
        <w:t>14.1.</w:t>
      </w:r>
      <w:r>
        <w:rPr>
          <w:rFonts w:cs="Times New Roman" w:ascii="Arial" w:hAnsi="Arial"/>
          <w:iCs/>
          <w:shd w:fill="auto" w:val="clear"/>
        </w:rPr>
        <w:t xml:space="preserve"> Serão desclassificadas as propostas que:</w:t>
      </w:r>
    </w:p>
    <w:p>
      <w:pPr>
        <w:pStyle w:val="ListParagraph"/>
        <w:widowControl w:val="false"/>
        <w:numPr>
          <w:ilvl w:val="0"/>
          <w:numId w:val="12"/>
        </w:numPr>
        <w:tabs>
          <w:tab w:val="clear" w:pos="720"/>
          <w:tab w:val="left" w:pos="1134" w:leader="none"/>
        </w:tabs>
        <w:ind w:left="567" w:hanging="0"/>
        <w:jc w:val="both"/>
        <w:textAlignment w:val="baseline"/>
        <w:rPr>
          <w:shd w:fill="auto" w:val="clear"/>
        </w:rPr>
      </w:pPr>
      <w:bookmarkStart w:id="7" w:name="art59i"/>
      <w:bookmarkEnd w:id="7"/>
      <w:r>
        <w:rPr>
          <w:rFonts w:ascii="Arial" w:hAnsi="Arial"/>
          <w:iCs/>
          <w:sz w:val="22"/>
          <w:szCs w:val="22"/>
          <w:shd w:fill="auto" w:val="clear"/>
        </w:rPr>
        <w:t>Contiverem vícios insanáveis;</w:t>
      </w:r>
    </w:p>
    <w:p>
      <w:pPr>
        <w:pStyle w:val="ListParagraph"/>
        <w:widowControl w:val="false"/>
        <w:numPr>
          <w:ilvl w:val="0"/>
          <w:numId w:val="12"/>
        </w:numPr>
        <w:tabs>
          <w:tab w:val="clear" w:pos="720"/>
          <w:tab w:val="left" w:pos="1134" w:leader="none"/>
        </w:tabs>
        <w:ind w:left="567" w:hanging="0"/>
        <w:jc w:val="both"/>
        <w:textAlignment w:val="baseline"/>
        <w:rPr>
          <w:shd w:fill="auto" w:val="clear"/>
        </w:rPr>
      </w:pPr>
      <w:bookmarkStart w:id="8" w:name="art59ii"/>
      <w:bookmarkEnd w:id="8"/>
      <w:r>
        <w:rPr>
          <w:rFonts w:ascii="Arial" w:hAnsi="Arial"/>
          <w:iCs/>
          <w:sz w:val="22"/>
          <w:szCs w:val="22"/>
          <w:shd w:fill="auto" w:val="clear"/>
        </w:rPr>
        <w:t>Não obedecerem às especificações técnicas pormenorizadas no edital;</w:t>
      </w:r>
    </w:p>
    <w:p>
      <w:pPr>
        <w:pStyle w:val="ListParagraph"/>
        <w:widowControl w:val="false"/>
        <w:numPr>
          <w:ilvl w:val="0"/>
          <w:numId w:val="12"/>
        </w:numPr>
        <w:tabs>
          <w:tab w:val="clear" w:pos="720"/>
          <w:tab w:val="left" w:pos="1134" w:leader="none"/>
        </w:tabs>
        <w:ind w:left="567" w:hanging="0"/>
        <w:jc w:val="both"/>
        <w:textAlignment w:val="baseline"/>
        <w:rPr>
          <w:shd w:fill="auto" w:val="clear"/>
        </w:rPr>
      </w:pPr>
      <w:bookmarkStart w:id="9" w:name="art59iii"/>
      <w:bookmarkEnd w:id="9"/>
      <w:r>
        <w:rPr>
          <w:rFonts w:ascii="Arial" w:hAnsi="Arial"/>
          <w:iCs/>
          <w:sz w:val="22"/>
          <w:szCs w:val="22"/>
          <w:shd w:fill="auto" w:val="clear"/>
        </w:rPr>
        <w:t>Apresentarem preços inexequíveis ou permanecerem acima do orçamento estimado para a contratação;</w:t>
      </w:r>
    </w:p>
    <w:p>
      <w:pPr>
        <w:pStyle w:val="ListParagraph"/>
        <w:widowControl w:val="false"/>
        <w:numPr>
          <w:ilvl w:val="0"/>
          <w:numId w:val="12"/>
        </w:numPr>
        <w:tabs>
          <w:tab w:val="clear" w:pos="720"/>
          <w:tab w:val="left" w:pos="1134" w:leader="none"/>
        </w:tabs>
        <w:ind w:left="567" w:hanging="0"/>
        <w:jc w:val="both"/>
        <w:textAlignment w:val="baseline"/>
        <w:rPr>
          <w:shd w:fill="auto" w:val="clear"/>
        </w:rPr>
      </w:pPr>
      <w:bookmarkStart w:id="10" w:name="art59iv"/>
      <w:bookmarkEnd w:id="10"/>
      <w:r>
        <w:rPr>
          <w:rFonts w:ascii="Arial" w:hAnsi="Arial"/>
          <w:iCs/>
          <w:sz w:val="22"/>
          <w:szCs w:val="22"/>
          <w:shd w:fill="auto" w:val="clear"/>
        </w:rPr>
        <w:t>Não tiverem sua exequibilidade demonstrada, quando exigido pela Administração Pública Municipal;</w:t>
      </w:r>
    </w:p>
    <w:p>
      <w:pPr>
        <w:pStyle w:val="ListParagraph"/>
        <w:widowControl w:val="false"/>
        <w:numPr>
          <w:ilvl w:val="0"/>
          <w:numId w:val="12"/>
        </w:numPr>
        <w:tabs>
          <w:tab w:val="clear" w:pos="720"/>
          <w:tab w:val="left" w:pos="1134" w:leader="none"/>
        </w:tabs>
        <w:ind w:left="567" w:hanging="0"/>
        <w:jc w:val="both"/>
        <w:textAlignment w:val="baseline"/>
        <w:rPr>
          <w:shd w:fill="auto" w:val="clear"/>
        </w:rPr>
      </w:pPr>
      <w:bookmarkStart w:id="11" w:name="art59v"/>
      <w:bookmarkEnd w:id="11"/>
      <w:r>
        <w:rPr>
          <w:rFonts w:ascii="Arial" w:hAnsi="Arial"/>
          <w:iCs/>
          <w:sz w:val="22"/>
          <w:szCs w:val="22"/>
          <w:shd w:fill="auto" w:val="clear"/>
        </w:rPr>
        <w:t>Apresentarem desconformidade com quaisquer outras exigências do edital, desde que insanável;</w:t>
      </w:r>
    </w:p>
    <w:p>
      <w:pPr>
        <w:pStyle w:val="ListParagraph"/>
        <w:widowControl w:val="false"/>
        <w:numPr>
          <w:ilvl w:val="0"/>
          <w:numId w:val="12"/>
        </w:numPr>
        <w:tabs>
          <w:tab w:val="clear" w:pos="720"/>
          <w:tab w:val="left" w:pos="1134" w:leader="none"/>
        </w:tabs>
        <w:ind w:left="567" w:hanging="0"/>
        <w:jc w:val="both"/>
        <w:textAlignment w:val="baseline"/>
        <w:rPr>
          <w:shd w:fill="auto" w:val="clear"/>
        </w:rPr>
      </w:pPr>
      <w:r>
        <w:rPr>
          <w:rFonts w:ascii="Arial" w:hAnsi="Arial"/>
          <w:iCs/>
          <w:sz w:val="22"/>
          <w:szCs w:val="22"/>
          <w:shd w:fill="auto" w:val="clear"/>
        </w:rPr>
        <w:t>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tabs>
          <w:tab w:val="clear" w:pos="720"/>
          <w:tab w:val="left" w:pos="567" w:leader="none"/>
        </w:tabs>
        <w:spacing w:lineRule="auto" w:line="240"/>
        <w:jc w:val="both"/>
        <w:rPr>
          <w:shd w:fill="auto" w:val="clear"/>
        </w:rPr>
      </w:pPr>
      <w:bookmarkStart w:id="12" w:name="art59§1"/>
      <w:bookmarkEnd w:id="12"/>
      <w:r>
        <w:rPr>
          <w:rFonts w:cs="Times New Roman" w:ascii="Arial" w:hAnsi="Arial"/>
          <w:b/>
          <w:iCs/>
          <w:shd w:fill="auto" w:val="clear"/>
        </w:rPr>
        <w:t>14.2.</w:t>
      </w:r>
      <w:r>
        <w:rPr>
          <w:rFonts w:cs="Times New Roman" w:ascii="Arial" w:hAnsi="Arial"/>
          <w:iCs/>
          <w:shd w:fill="auto" w:val="clear"/>
        </w:rPr>
        <w:t xml:space="preserve"> A verificação da conformidade das propostas </w:t>
      </w:r>
      <w:r>
        <w:rPr>
          <w:rFonts w:eastAsia="Calibri" w:cs="Times New Roman" w:ascii="Arial" w:hAnsi="Arial"/>
          <w:iCs/>
          <w:color w:val="000000"/>
          <w:shd w:fill="auto" w:val="clear"/>
        </w:rPr>
        <w:t>será</w:t>
      </w:r>
      <w:r>
        <w:rPr>
          <w:rFonts w:cs="Times New Roman" w:ascii="Arial" w:hAnsi="Arial"/>
          <w:iCs/>
          <w:shd w:fill="auto" w:val="clear"/>
        </w:rPr>
        <w:t xml:space="preserve"> feita exclusivamente em relação à proposta mais bem classificada. </w:t>
      </w:r>
    </w:p>
    <w:p>
      <w:pPr>
        <w:pStyle w:val="Normal"/>
        <w:tabs>
          <w:tab w:val="clear" w:pos="720"/>
          <w:tab w:val="left" w:pos="567" w:leader="none"/>
        </w:tabs>
        <w:spacing w:lineRule="auto" w:line="240"/>
        <w:jc w:val="both"/>
        <w:rPr>
          <w:shd w:fill="auto" w:val="clear"/>
        </w:rPr>
      </w:pPr>
      <w:bookmarkStart w:id="13" w:name="art60"/>
      <w:bookmarkStart w:id="14" w:name="art59§5"/>
      <w:bookmarkStart w:id="15" w:name="art59§2"/>
      <w:bookmarkEnd w:id="13"/>
      <w:bookmarkEnd w:id="14"/>
      <w:bookmarkEnd w:id="15"/>
      <w:r>
        <w:rPr>
          <w:rFonts w:cs="Times New Roman" w:ascii="Arial" w:hAnsi="Arial"/>
          <w:b/>
          <w:iCs/>
          <w:shd w:fill="auto" w:val="clear"/>
        </w:rPr>
        <w:t>14.3.</w:t>
      </w:r>
      <w:r>
        <w:rPr>
          <w:rFonts w:cs="Times New Roman" w:ascii="Arial" w:hAnsi="Arial"/>
          <w:iCs/>
          <w:shd w:fill="auto" w:val="clear"/>
        </w:rPr>
        <w:t xml:space="preserve"> </w:t>
      </w:r>
      <w:r>
        <w:rPr>
          <w:rFonts w:cs="Times New Roman" w:ascii="Arial" w:hAnsi="Arial"/>
          <w:iCs/>
          <w:u w:val="single"/>
          <w:shd w:fill="auto" w:val="clear"/>
        </w:rPr>
        <w:t>EXEQUIBILIDADE:</w:t>
      </w:r>
    </w:p>
    <w:p>
      <w:pPr>
        <w:pStyle w:val="Normal"/>
        <w:tabs>
          <w:tab w:val="clear" w:pos="720"/>
          <w:tab w:val="left" w:pos="567" w:leader="none"/>
        </w:tabs>
        <w:spacing w:lineRule="auto" w:line="240"/>
        <w:jc w:val="both"/>
        <w:rPr>
          <w:shd w:fill="auto" w:val="clear"/>
        </w:rPr>
      </w:pPr>
      <w:r>
        <w:rPr>
          <w:rFonts w:cs="Times New Roman" w:ascii="Arial" w:hAnsi="Arial"/>
          <w:b/>
          <w:iCs/>
          <w:shd w:fill="auto" w:val="clear"/>
        </w:rPr>
        <w:t>14.3.1.</w:t>
      </w:r>
      <w:r>
        <w:rPr>
          <w:rFonts w:cs="Times New Roman" w:ascii="Arial" w:hAnsi="Arial"/>
          <w:iCs/>
          <w:shd w:fill="auto" w:val="clear"/>
        </w:rPr>
        <w:t xml:space="preserve"> A Administração Pública Municipal </w:t>
      </w:r>
      <w:r>
        <w:rPr>
          <w:rFonts w:cs="Times New Roman" w:ascii="Arial" w:hAnsi="Arial"/>
          <w:iCs/>
          <w:u w:val="single"/>
          <w:shd w:fill="auto" w:val="clear"/>
        </w:rPr>
        <w:t>poderá</w:t>
      </w:r>
      <w:r>
        <w:rPr>
          <w:rFonts w:cs="Times New Roman" w:ascii="Arial" w:hAnsi="Arial"/>
          <w:iCs/>
          <w:shd w:fill="auto" w:val="clear"/>
        </w:rPr>
        <w:t xml:space="preserve"> realizar diligências para aferir a exequibilidade das propostas ou exigir dos licitantes que ela seja demonstrada, conforme disposto em IV do tópico 14.1.</w:t>
      </w:r>
    </w:p>
    <w:p>
      <w:pPr>
        <w:pStyle w:val="Normal"/>
        <w:tabs>
          <w:tab w:val="clear" w:pos="720"/>
          <w:tab w:val="left" w:pos="567" w:leader="none"/>
        </w:tabs>
        <w:spacing w:lineRule="auto" w:line="240"/>
        <w:jc w:val="both"/>
        <w:rPr>
          <w:shd w:fill="auto" w:val="clear"/>
        </w:rPr>
      </w:pPr>
      <w:bookmarkStart w:id="16" w:name="art60§2"/>
      <w:bookmarkEnd w:id="16"/>
      <w:r>
        <w:rPr>
          <w:rFonts w:cs="Times New Roman" w:ascii="Arial" w:hAnsi="Arial"/>
          <w:b/>
          <w:iCs/>
          <w:shd w:fill="auto" w:val="clear"/>
        </w:rPr>
        <w:t>14.5.2.</w:t>
      </w:r>
      <w:r>
        <w:rPr>
          <w:rFonts w:cs="Times New Roman" w:ascii="Arial" w:hAnsi="Arial"/>
          <w:iCs/>
          <w:shd w:fill="auto" w:val="clear"/>
        </w:rPr>
        <w:t xml:space="preserve"> Ainda, devem ser aplicadas as regras dos arts. 44 e 45 da Lei Complementar nº 123/2006 (art. 60, § 2º da Lei nº 14.133/2021): se a proposta mais bem classificada não tiver sido apresentada por licitante apto a usufruir dos benefícios da Lei Complementar nº 123/2006 (ver tópico 7) e se houver proposta igual ou até 5% (cinco por cento) superior à proposta mais bem classificada, apresentada por licitante que possa usufruir dos benefícios da Lei Complementar nº 123/2006 (ver tópico 7), se procederá da seguinte forma: </w:t>
      </w:r>
    </w:p>
    <w:p>
      <w:pPr>
        <w:pStyle w:val="ListParagraph"/>
        <w:widowControl w:val="false"/>
        <w:numPr>
          <w:ilvl w:val="0"/>
          <w:numId w:val="13"/>
        </w:numPr>
        <w:tabs>
          <w:tab w:val="clear" w:pos="720"/>
          <w:tab w:val="left" w:pos="1134" w:leader="none"/>
        </w:tabs>
        <w:ind w:left="567" w:hanging="0"/>
        <w:jc w:val="both"/>
        <w:textAlignment w:val="baseline"/>
        <w:rPr>
          <w:shd w:fill="auto" w:val="clear"/>
        </w:rPr>
      </w:pPr>
      <w:r>
        <w:rPr>
          <w:rFonts w:ascii="Arial" w:hAnsi="Arial"/>
          <w:iCs/>
          <w:sz w:val="22"/>
          <w:szCs w:val="22"/>
          <w:shd w:fill="auto" w:val="clear"/>
        </w:rPr>
        <w:t xml:space="preserve">O licitante coberto pelos arts. 42 ao 49 da Lei Complementar nº 123/2006 (ver tópico 7) mais bem classificado poderá, no prazo máximo de 5 (cinco) minutos, apresentar proposta de preço inferior à do licitante mais bem classificado e, se atendidas as exigências deste edital, ser adjudicatário; </w:t>
      </w:r>
    </w:p>
    <w:p>
      <w:pPr>
        <w:pStyle w:val="ListParagraph"/>
        <w:widowControl w:val="false"/>
        <w:numPr>
          <w:ilvl w:val="0"/>
          <w:numId w:val="13"/>
        </w:numPr>
        <w:tabs>
          <w:tab w:val="clear" w:pos="720"/>
          <w:tab w:val="left" w:pos="1134" w:leader="none"/>
        </w:tabs>
        <w:ind w:left="567" w:hanging="0"/>
        <w:jc w:val="both"/>
        <w:textAlignment w:val="baseline"/>
        <w:rPr>
          <w:shd w:fill="auto" w:val="clear"/>
        </w:rPr>
      </w:pPr>
      <w:r>
        <w:rPr>
          <w:rFonts w:ascii="Arial" w:hAnsi="Arial"/>
          <w:iCs/>
          <w:sz w:val="22"/>
          <w:szCs w:val="22"/>
          <w:shd w:fill="auto" w:val="clear"/>
        </w:rPr>
        <w:t>Não sendo adjudicatário na forma do subitem anterior, e havendo outros licitantes que se enquadrem na condição prevista no caput deste item, estes serão convocados, na ordem classificatória, para o exercício do mesmo direito;</w:t>
      </w:r>
    </w:p>
    <w:p>
      <w:pPr>
        <w:pStyle w:val="ListParagraph"/>
        <w:widowControl w:val="false"/>
        <w:numPr>
          <w:ilvl w:val="0"/>
          <w:numId w:val="13"/>
        </w:numPr>
        <w:tabs>
          <w:tab w:val="clear" w:pos="720"/>
          <w:tab w:val="left" w:pos="993" w:leader="none"/>
          <w:tab w:val="left" w:pos="1134" w:leader="none"/>
        </w:tabs>
        <w:ind w:left="567" w:hanging="0"/>
        <w:jc w:val="both"/>
        <w:textAlignment w:val="baseline"/>
        <w:rPr>
          <w:shd w:fill="auto" w:val="clear"/>
        </w:rPr>
      </w:pPr>
      <w:r>
        <w:rPr>
          <w:rFonts w:ascii="Arial" w:hAnsi="Arial"/>
          <w:iCs/>
          <w:sz w:val="22"/>
          <w:szCs w:val="22"/>
          <w:shd w:fill="auto" w:val="clear"/>
        </w:rPr>
        <w:t xml:space="preserve">O convocado que não apresentar proposta dentro do prazo de 5 (cinco) minutos, controlado pelo sistema eletrônico, decairá do direito previsto nos arts. 44 e 45 da Lei Complementar nº 123/2006. </w:t>
      </w:r>
    </w:p>
    <w:p>
      <w:pPr>
        <w:pStyle w:val="Normal"/>
        <w:tabs>
          <w:tab w:val="clear" w:pos="720"/>
          <w:tab w:val="left" w:pos="567" w:leader="none"/>
        </w:tabs>
        <w:spacing w:lineRule="auto" w:line="240"/>
        <w:jc w:val="both"/>
        <w:rPr>
          <w:shd w:fill="auto" w:val="clear"/>
        </w:rPr>
      </w:pPr>
      <w:bookmarkStart w:id="17" w:name="art61"/>
      <w:bookmarkEnd w:id="17"/>
      <w:r>
        <w:rPr>
          <w:rFonts w:cs="Times New Roman" w:ascii="Arial" w:hAnsi="Arial"/>
          <w:b/>
          <w:iCs/>
          <w:shd w:fill="auto" w:val="clear"/>
        </w:rPr>
        <w:t>14.6.</w:t>
      </w:r>
      <w:r>
        <w:rPr>
          <w:rFonts w:cs="Times New Roman" w:ascii="Arial" w:hAnsi="Arial"/>
          <w:iCs/>
          <w:shd w:fill="auto" w:val="clear"/>
        </w:rPr>
        <w:t xml:space="preserve"> </w:t>
      </w:r>
      <w:r>
        <w:rPr>
          <w:rFonts w:cs="Times New Roman" w:ascii="Arial" w:hAnsi="Arial"/>
          <w:iCs/>
          <w:u w:val="single"/>
          <w:shd w:fill="auto" w:val="clear"/>
        </w:rPr>
        <w:t>NEGOCIAÇÃO:</w:t>
      </w:r>
    </w:p>
    <w:p>
      <w:pPr>
        <w:pStyle w:val="Normal"/>
        <w:tabs>
          <w:tab w:val="clear" w:pos="720"/>
          <w:tab w:val="left" w:pos="567" w:leader="none"/>
        </w:tabs>
        <w:spacing w:lineRule="auto" w:line="240"/>
        <w:jc w:val="both"/>
        <w:rPr>
          <w:shd w:fill="auto" w:val="clear"/>
        </w:rPr>
      </w:pPr>
      <w:r>
        <w:rPr>
          <w:rFonts w:cs="Times New Roman" w:ascii="Arial" w:hAnsi="Arial"/>
          <w:b/>
          <w:iCs/>
          <w:shd w:fill="auto" w:val="clear"/>
        </w:rPr>
        <w:t xml:space="preserve">14.6.1. </w:t>
      </w:r>
      <w:r>
        <w:rPr>
          <w:rFonts w:cs="Times New Roman" w:ascii="Arial" w:hAnsi="Arial"/>
          <w:iCs/>
          <w:shd w:fill="auto" w:val="clear"/>
        </w:rPr>
        <w:t>Definido o resultado do julgamento, a Administração Pública Municipal poderá negociar condições mais vantajosas com o primeiro colocado.</w:t>
      </w:r>
    </w:p>
    <w:p>
      <w:pPr>
        <w:pStyle w:val="Normal"/>
        <w:tabs>
          <w:tab w:val="clear" w:pos="720"/>
          <w:tab w:val="left" w:pos="567" w:leader="none"/>
        </w:tabs>
        <w:spacing w:lineRule="auto" w:line="240"/>
        <w:jc w:val="both"/>
        <w:rPr>
          <w:shd w:fill="auto" w:val="clear"/>
        </w:rPr>
      </w:pPr>
      <w:bookmarkStart w:id="18" w:name="art61§1"/>
      <w:bookmarkEnd w:id="18"/>
      <w:r>
        <w:rPr>
          <w:rFonts w:cs="Times New Roman" w:ascii="Arial" w:hAnsi="Arial"/>
          <w:b/>
          <w:iCs/>
          <w:shd w:fill="auto" w:val="clear"/>
        </w:rPr>
        <w:t>14.6.2.</w:t>
      </w:r>
      <w:r>
        <w:rPr>
          <w:rFonts w:cs="Times New Roman" w:ascii="Arial" w:hAnsi="Arial"/>
          <w:iCs/>
          <w:shd w:fill="auto" w:val="clear"/>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ormal"/>
        <w:tabs>
          <w:tab w:val="clear" w:pos="720"/>
          <w:tab w:val="left" w:pos="567" w:leader="none"/>
        </w:tabs>
        <w:spacing w:lineRule="auto" w:line="240"/>
        <w:jc w:val="both"/>
        <w:rPr>
          <w:shd w:fill="auto" w:val="clear"/>
        </w:rPr>
      </w:pPr>
      <w:bookmarkStart w:id="19" w:name="art61§2"/>
      <w:bookmarkEnd w:id="19"/>
      <w:r>
        <w:rPr>
          <w:rFonts w:cs="Times New Roman" w:ascii="Arial" w:hAnsi="Arial"/>
          <w:b/>
          <w:iCs/>
          <w:color w:val="000000"/>
          <w:shd w:fill="auto" w:val="clear"/>
        </w:rPr>
        <w:t>14.6.3.</w:t>
      </w:r>
      <w:r>
        <w:rPr>
          <w:rFonts w:cs="Times New Roman" w:ascii="Arial" w:hAnsi="Arial"/>
          <w:iCs/>
          <w:color w:val="000000"/>
          <w:shd w:fill="auto" w:val="clear"/>
        </w:rPr>
        <w:t xml:space="preserve"> A negociação será conduzida pelo </w:t>
      </w:r>
      <w:r>
        <w:rPr>
          <w:rFonts w:cs="Times New Roman" w:ascii="Arial" w:hAnsi="Arial"/>
          <w:b/>
          <w:iCs/>
          <w:color w:val="000000"/>
          <w:shd w:fill="auto" w:val="clear"/>
        </w:rPr>
        <w:t>pregoeiro</w:t>
      </w:r>
      <w:r>
        <w:rPr>
          <w:rFonts w:cs="Times New Roman" w:ascii="Arial" w:hAnsi="Arial"/>
          <w:iCs/>
          <w:color w:val="000000"/>
          <w:shd w:fill="auto" w:val="clear"/>
        </w:rPr>
        <w:t xml:space="preserve">, conforme </w:t>
      </w:r>
      <w:r>
        <w:rPr>
          <w:rFonts w:eastAsia="Calibri" w:cs="Times New Roman" w:ascii="Arial" w:hAnsi="Arial"/>
          <w:iCs/>
          <w:color w:val="000000"/>
          <w:shd w:fill="auto" w:val="clear"/>
        </w:rPr>
        <w:t>Decreto nº 0043/2023</w:t>
      </w:r>
      <w:r>
        <w:rPr>
          <w:rFonts w:cs="Times New Roman" w:ascii="Arial" w:hAnsi="Arial"/>
          <w:iCs/>
          <w:color w:val="000000"/>
          <w:shd w:fill="auto" w:val="clear"/>
        </w:rPr>
        <w:t xml:space="preserve">, </w:t>
      </w:r>
      <w:r>
        <w:rPr>
          <w:rFonts w:cs="Times New Roman" w:ascii="Arial" w:hAnsi="Arial"/>
          <w:color w:val="000000"/>
          <w:shd w:fill="auto" w:val="clear"/>
        </w:rPr>
        <w:t>realizada por meio do sistema eletrônico e poderá ser acompanhada pelos demais licitantes</w:t>
      </w:r>
      <w:r>
        <w:rPr>
          <w:rFonts w:cs="Times New Roman" w:ascii="Arial" w:hAnsi="Arial"/>
          <w:iCs/>
          <w:color w:val="000000"/>
          <w:shd w:fill="auto" w:val="clear"/>
        </w:rPr>
        <w:t>.</w:t>
      </w:r>
    </w:p>
    <w:p>
      <w:pPr>
        <w:pStyle w:val="Normal"/>
        <w:tabs>
          <w:tab w:val="clear" w:pos="720"/>
          <w:tab w:val="left" w:pos="567" w:leader="none"/>
        </w:tabs>
        <w:spacing w:lineRule="auto" w:line="240"/>
        <w:jc w:val="both"/>
        <w:rPr>
          <w:shd w:fill="auto" w:val="clear"/>
        </w:rPr>
      </w:pPr>
      <w:r>
        <w:rPr>
          <w:rFonts w:cs="Times New Roman" w:ascii="Arial" w:hAnsi="Arial"/>
          <w:b/>
          <w:iCs/>
          <w:shd w:fill="auto" w:val="clear"/>
        </w:rPr>
        <w:t>14.7.</w:t>
      </w:r>
      <w:r>
        <w:rPr>
          <w:rFonts w:cs="Times New Roman" w:ascii="Arial" w:hAnsi="Arial"/>
          <w:iCs/>
          <w:shd w:fill="auto" w:val="clear"/>
        </w:rPr>
        <w:t xml:space="preserve"> Se a proposta for desclassificada o </w:t>
      </w:r>
      <w:r>
        <w:rPr>
          <w:rFonts w:cs="Times New Roman" w:ascii="Arial" w:hAnsi="Arial"/>
          <w:b/>
          <w:iCs/>
          <w:shd w:fill="auto" w:val="clear"/>
        </w:rPr>
        <w:t>pregoeiro</w:t>
      </w:r>
      <w:r>
        <w:rPr>
          <w:rFonts w:cs="Times New Roman" w:ascii="Arial" w:hAnsi="Arial"/>
          <w:iCs/>
          <w:shd w:fill="auto" w:val="clear"/>
        </w:rPr>
        <w:t xml:space="preserve"> examinará a proposta subsequente e assim sucessivamente, na ordem de classificação, até a seleção da proposta que melhor atenda a este edital. </w:t>
      </w:r>
    </w:p>
    <w:p>
      <w:pPr>
        <w:pStyle w:val="Normal"/>
        <w:shd w:val="clear" w:color="auto" w:fill="AEAAAA" w:themeFill="background2" w:themeFillShade="bf"/>
        <w:tabs>
          <w:tab w:val="clear" w:pos="720"/>
          <w:tab w:val="left" w:pos="567" w:leader="none"/>
        </w:tabs>
        <w:spacing w:lineRule="auto" w:line="240"/>
        <w:jc w:val="both"/>
        <w:rPr>
          <w:rFonts w:ascii="Arial" w:hAnsi="Arial"/>
        </w:rPr>
      </w:pPr>
      <w:r>
        <w:rPr>
          <w:rFonts w:cs="Times New Roman" w:ascii="Arial" w:hAnsi="Arial"/>
          <w:b/>
          <w:iCs/>
        </w:rPr>
        <w:t>15. DA HABILITAÇÃO</w:t>
      </w:r>
    </w:p>
    <w:p>
      <w:pPr>
        <w:pStyle w:val="Normal"/>
        <w:tabs>
          <w:tab w:val="clear" w:pos="720"/>
          <w:tab w:val="left" w:pos="567" w:leader="none"/>
        </w:tabs>
        <w:spacing w:lineRule="auto" w:line="240"/>
        <w:jc w:val="both"/>
        <w:rPr>
          <w:rFonts w:ascii="Arial" w:hAnsi="Arial"/>
        </w:rPr>
      </w:pPr>
      <w:r>
        <w:rPr>
          <w:rFonts w:cs="Times New Roman" w:ascii="Arial" w:hAnsi="Arial"/>
          <w:b/>
          <w:iCs/>
          <w:color w:val="000000"/>
        </w:rPr>
        <w:t>15.1.</w:t>
      </w:r>
      <w:r>
        <w:rPr>
          <w:rFonts w:cs="Times New Roman" w:ascii="Arial" w:hAnsi="Arial"/>
          <w:iCs/>
          <w:color w:val="000000"/>
        </w:rPr>
        <w:t xml:space="preserve"> Encerrado o julgamento das propostas, será exigido do licitante com a melhor proposta os documentos de habilitação, o qual terá o tempo máximo de </w:t>
      </w:r>
      <w:r>
        <w:rPr>
          <w:rFonts w:eastAsia="Calibri" w:cs="Times New Roman" w:ascii="Arial" w:hAnsi="Arial"/>
          <w:iCs/>
          <w:color w:val="000000"/>
        </w:rPr>
        <w:t xml:space="preserve">01 </w:t>
      </w:r>
      <w:r>
        <w:rPr>
          <w:rFonts w:cs="Times New Roman" w:ascii="Arial" w:hAnsi="Arial"/>
          <w:iCs/>
          <w:color w:val="000000"/>
        </w:rPr>
        <w:t>(</w:t>
      </w:r>
      <w:r>
        <w:rPr>
          <w:rFonts w:eastAsia="Calibri" w:cs="Times New Roman" w:ascii="Arial" w:hAnsi="Arial"/>
          <w:iCs/>
          <w:color w:val="000000"/>
        </w:rPr>
        <w:t>uma</w:t>
      </w:r>
      <w:r>
        <w:rPr>
          <w:rFonts w:cs="Times New Roman" w:ascii="Arial" w:hAnsi="Arial"/>
          <w:iCs/>
          <w:color w:val="000000"/>
        </w:rPr>
        <w:t>) hora para anexar no sistema.</w:t>
      </w:r>
    </w:p>
    <w:p>
      <w:pPr>
        <w:pStyle w:val="Normal"/>
        <w:tabs>
          <w:tab w:val="clear" w:pos="720"/>
          <w:tab w:val="left" w:pos="567" w:leader="none"/>
        </w:tabs>
        <w:spacing w:lineRule="auto" w:line="240" w:before="0" w:after="0"/>
        <w:jc w:val="both"/>
        <w:rPr>
          <w:rFonts w:ascii="Arial" w:hAnsi="Arial"/>
        </w:rPr>
      </w:pPr>
      <w:r>
        <w:rPr>
          <w:rFonts w:cs="Arial" w:ascii="Arial" w:hAnsi="Arial"/>
          <w:b/>
          <w:bCs/>
          <w:iCs/>
          <w:color w:val="000000"/>
        </w:rPr>
        <w:t>15.1.1.</w:t>
      </w:r>
      <w:r>
        <w:rPr>
          <w:rFonts w:cs="Arial" w:ascii="Arial" w:hAnsi="Arial"/>
          <w:iCs/>
          <w:color w:val="000000"/>
        </w:rPr>
        <w:t xml:space="preserve"> </w:t>
      </w:r>
      <w:r>
        <w:rPr>
          <w:rFonts w:eastAsia="Calibri" w:cs="Arial" w:ascii="Arial" w:hAnsi="Arial"/>
          <w:iCs/>
          <w:color w:val="000000"/>
        </w:rPr>
        <w:t>O pregoeiro poderá convocar o licitante para enviar documento digital complementar, no prazo de 04 (quatro) horas, sob pena de não aceitação da proposta.</w:t>
      </w:r>
    </w:p>
    <w:p>
      <w:pPr>
        <w:pStyle w:val="Normal"/>
        <w:tabs>
          <w:tab w:val="clear" w:pos="720"/>
          <w:tab w:val="left" w:pos="567" w:leader="none"/>
        </w:tabs>
        <w:spacing w:lineRule="auto" w:line="240" w:before="0" w:after="0"/>
        <w:jc w:val="both"/>
        <w:rPr>
          <w:rFonts w:ascii="Arial" w:hAnsi="Arial" w:eastAsia="Calibri" w:cs="Arial"/>
          <w:iCs/>
          <w:color w:val="000000"/>
        </w:rPr>
      </w:pPr>
      <w:r>
        <w:rPr>
          <w:rFonts w:eastAsia="Calibri" w:cs="Arial" w:ascii="Arial" w:hAnsi="Arial"/>
          <w:iCs/>
          <w:color w:val="000000"/>
        </w:rPr>
      </w:r>
    </w:p>
    <w:p>
      <w:pPr>
        <w:pStyle w:val="Normal"/>
        <w:tabs>
          <w:tab w:val="clear" w:pos="720"/>
          <w:tab w:val="left" w:pos="567" w:leader="none"/>
        </w:tabs>
        <w:spacing w:lineRule="auto" w:line="240" w:before="0" w:after="0"/>
        <w:jc w:val="both"/>
        <w:rPr>
          <w:rFonts w:ascii="Arial" w:hAnsi="Arial"/>
        </w:rPr>
      </w:pPr>
      <w:r>
        <w:rPr>
          <w:rFonts w:eastAsia="Calibri" w:cs="Arial" w:ascii="Arial" w:hAnsi="Arial"/>
          <w:b/>
          <w:bCs/>
          <w:iCs/>
          <w:color w:val="000000"/>
        </w:rPr>
        <w:t>15.1.1.1.</w:t>
      </w:r>
      <w:r>
        <w:rPr>
          <w:rFonts w:eastAsia="Calibri" w:cs="Arial" w:ascii="Arial" w:hAnsi="Arial"/>
          <w:iCs/>
          <w:color w:val="000000"/>
        </w:rPr>
        <w:t xml:space="preserve"> O prazo estabelecido poderá ser prorrogado pelo Pregoeiro por solicitação escrita e justificada do licitante, formulada antes de findo o prazo, e formalmente aceita pelo Pregoeiro.</w:t>
      </w:r>
    </w:p>
    <w:p>
      <w:pPr>
        <w:pStyle w:val="Normal"/>
        <w:tabs>
          <w:tab w:val="clear" w:pos="720"/>
          <w:tab w:val="left" w:pos="567" w:leader="none"/>
        </w:tabs>
        <w:spacing w:lineRule="auto" w:line="240" w:before="0" w:after="0"/>
        <w:jc w:val="both"/>
        <w:rPr>
          <w:rFonts w:ascii="Arial" w:hAnsi="Arial"/>
        </w:rPr>
      </w:pPr>
      <w:r>
        <w:rPr>
          <w:rFonts w:ascii="Arial" w:hAnsi="Arial"/>
        </w:rPr>
      </w:r>
    </w:p>
    <w:p>
      <w:pPr>
        <w:pStyle w:val="Normal"/>
        <w:tabs>
          <w:tab w:val="clear" w:pos="720"/>
          <w:tab w:val="left" w:pos="567" w:leader="none"/>
        </w:tabs>
        <w:spacing w:lineRule="auto" w:line="240"/>
        <w:jc w:val="both"/>
        <w:rPr>
          <w:rFonts w:ascii="Arial" w:hAnsi="Arial"/>
        </w:rPr>
      </w:pPr>
      <w:r>
        <w:rPr>
          <w:rFonts w:cs="Times New Roman" w:ascii="Arial" w:hAnsi="Arial"/>
          <w:b/>
          <w:iCs/>
        </w:rPr>
        <w:t>15.2.</w:t>
      </w:r>
      <w:r>
        <w:rPr>
          <w:rFonts w:cs="Times New Roman" w:ascii="Arial" w:hAnsi="Arial"/>
          <w:iCs/>
        </w:rPr>
        <w:t xml:space="preserve"> O </w:t>
      </w:r>
      <w:r>
        <w:rPr>
          <w:rFonts w:cs="Times New Roman" w:ascii="Arial" w:hAnsi="Arial"/>
          <w:b/>
          <w:iCs/>
        </w:rPr>
        <w:t>pregoeiro</w:t>
      </w:r>
      <w:r>
        <w:rPr>
          <w:rFonts w:cs="Times New Roman" w:ascii="Arial" w:hAnsi="Arial"/>
          <w:iCs/>
        </w:rPr>
        <w:t xml:space="preserve"> poderá consultar sítios oficiais de órgãos e entidades emissores de certidões para verificar as condições de habilitação dos licitantes. </w:t>
      </w:r>
    </w:p>
    <w:p>
      <w:pPr>
        <w:pStyle w:val="Normal"/>
        <w:tabs>
          <w:tab w:val="clear" w:pos="720"/>
          <w:tab w:val="left" w:pos="567" w:leader="none"/>
        </w:tabs>
        <w:spacing w:lineRule="auto" w:line="240"/>
        <w:jc w:val="both"/>
        <w:rPr>
          <w:rFonts w:ascii="Arial" w:hAnsi="Arial"/>
        </w:rPr>
      </w:pPr>
      <w:r>
        <w:rPr>
          <w:rFonts w:cs="Times New Roman" w:ascii="Arial" w:hAnsi="Arial"/>
          <w:b/>
          <w:iCs/>
          <w:color w:val="000000"/>
        </w:rPr>
        <w:t>15.3.</w:t>
      </w:r>
      <w:r>
        <w:rPr>
          <w:rFonts w:cs="Times New Roman" w:ascii="Arial" w:hAnsi="Arial"/>
          <w:iCs/>
          <w:color w:val="000000"/>
        </w:rPr>
        <w:t xml:space="preserve"> Havendo a necessidade de envio de documentos para a confirmação daqueles exigidos neste edital e já apresentados, ou, ainda, de envio de documentos não juntados mas que comprovem que na data da apresentação da proposta o licitante atendia às condições de aceitabilidade da proposta e de habilitação, o licitante será convocado a encaminhá-los, via sistema eletrônico, no prazo fixado pelo pregoeiro, sob pena inabilitação, prazo durante o qual a sessão não será suspensa. </w:t>
      </w:r>
    </w:p>
    <w:p>
      <w:pPr>
        <w:pStyle w:val="Normal"/>
        <w:tabs>
          <w:tab w:val="clear" w:pos="720"/>
          <w:tab w:val="left" w:pos="567" w:leader="none"/>
        </w:tabs>
        <w:spacing w:lineRule="auto" w:line="240"/>
        <w:jc w:val="both"/>
        <w:rPr>
          <w:rFonts w:ascii="Arial" w:hAnsi="Arial"/>
        </w:rPr>
      </w:pPr>
      <w:r>
        <w:rPr>
          <w:rFonts w:cs="Times New Roman" w:ascii="Arial" w:hAnsi="Arial"/>
          <w:b/>
          <w:iCs/>
        </w:rPr>
        <w:t>15.4.</w:t>
      </w:r>
      <w:r>
        <w:rPr>
          <w:rFonts w:cs="Times New Roman" w:ascii="Arial" w:hAnsi="Arial"/>
          <w:iCs/>
        </w:rPr>
        <w:t xml:space="preserve"> Sob pena de inabilitação, os documentos encaminhados deverão estar em nome do licitante, com indicação precisa de dados capazes de qualificar inequivocamente o licitante. </w:t>
      </w:r>
    </w:p>
    <w:p>
      <w:pPr>
        <w:pStyle w:val="Normal"/>
        <w:tabs>
          <w:tab w:val="clear" w:pos="720"/>
          <w:tab w:val="left" w:pos="567" w:leader="none"/>
        </w:tabs>
        <w:spacing w:lineRule="auto" w:line="240"/>
        <w:jc w:val="both"/>
        <w:rPr>
          <w:rFonts w:ascii="Arial" w:hAnsi="Arial"/>
        </w:rPr>
      </w:pPr>
      <w:r>
        <w:rPr>
          <w:rFonts w:cs="Times New Roman" w:ascii="Arial" w:hAnsi="Arial"/>
          <w:b/>
          <w:iCs/>
        </w:rPr>
        <w:t>15.5.</w:t>
      </w:r>
      <w:r>
        <w:rPr>
          <w:rFonts w:cs="Times New Roman" w:ascii="Arial" w:hAnsi="Arial"/>
          <w:iCs/>
        </w:rPr>
        <w:t xml:space="preserve"> Em se tratando de filial, os documentos de habilitação jurídica e regularidade fiscal deverão estar em nome da filial, exceto aqueles que, pela própria natureza, são emitidos somente em nome da matriz. </w:t>
      </w:r>
    </w:p>
    <w:p>
      <w:pPr>
        <w:pStyle w:val="Normal"/>
        <w:tabs>
          <w:tab w:val="clear" w:pos="720"/>
          <w:tab w:val="left" w:pos="567" w:leader="none"/>
        </w:tabs>
        <w:spacing w:lineRule="auto" w:line="240"/>
        <w:jc w:val="both"/>
        <w:rPr>
          <w:rFonts w:ascii="Arial" w:hAnsi="Arial"/>
        </w:rPr>
      </w:pPr>
      <w:r>
        <w:rPr>
          <w:rFonts w:cs="Times New Roman" w:ascii="Arial" w:hAnsi="Arial"/>
          <w:b/>
          <w:iCs/>
        </w:rPr>
        <w:t>15.6.</w:t>
      </w:r>
      <w:r>
        <w:rPr>
          <w:rFonts w:cs="Times New Roman" w:ascii="Arial" w:hAnsi="Arial"/>
          <w:iCs/>
        </w:rPr>
        <w:t xml:space="preserve"> Em se tratando de licitante indicado no tópico 7, 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Municipal. </w:t>
      </w:r>
    </w:p>
    <w:p>
      <w:pPr>
        <w:pStyle w:val="Normal"/>
        <w:tabs>
          <w:tab w:val="clear" w:pos="720"/>
          <w:tab w:val="left" w:pos="567" w:leader="none"/>
        </w:tabs>
        <w:spacing w:lineRule="auto" w:line="240"/>
        <w:jc w:val="both"/>
        <w:rPr>
          <w:rFonts w:ascii="Arial" w:hAnsi="Arial"/>
        </w:rPr>
      </w:pPr>
      <w:r>
        <w:rPr>
          <w:rFonts w:cs="Times New Roman" w:ascii="Arial" w:hAnsi="Arial"/>
          <w:b/>
          <w:iCs/>
        </w:rPr>
        <w:t>15.7.</w:t>
      </w:r>
      <w:r>
        <w:rPr>
          <w:rFonts w:cs="Times New Roman" w:ascii="Arial" w:hAnsi="Arial"/>
          <w:iCs/>
        </w:rPr>
        <w:t xml:space="preserve"> A não regularização da documentação no prazo previsto anteriormente implicará decadência do direito à contratação, sem prejuízo das sanções previstas neste edital, e facultará ao pregoeiro convocar os licitantes remanescentes, na ordem de classificação.</w:t>
      </w:r>
    </w:p>
    <w:p>
      <w:pPr>
        <w:pStyle w:val="Normal"/>
        <w:jc w:val="both"/>
        <w:rPr>
          <w:rFonts w:ascii="Arial" w:hAnsi="Arial"/>
        </w:rPr>
      </w:pPr>
      <w:r>
        <w:rPr>
          <w:rFonts w:ascii="Arial" w:hAnsi="Arial"/>
          <w:b/>
          <w:bCs/>
        </w:rPr>
        <w:t>15.8. PESSOA JURÍDICA:</w:t>
      </w:r>
    </w:p>
    <w:p>
      <w:pPr>
        <w:pStyle w:val="ListParagraph"/>
        <w:spacing w:before="0" w:after="0"/>
        <w:contextualSpacing/>
        <w:jc w:val="both"/>
        <w:rPr>
          <w:rFonts w:ascii="Arial" w:hAnsi="Arial"/>
          <w:sz w:val="22"/>
          <w:szCs w:val="22"/>
        </w:rPr>
      </w:pPr>
      <w:r>
        <w:rPr>
          <w:rFonts w:cs="Arial" w:ascii="Arial" w:hAnsi="Arial"/>
          <w:sz w:val="22"/>
          <w:szCs w:val="22"/>
        </w:rPr>
        <w:t xml:space="preserve">15.8.1. </w:t>
      </w:r>
      <w:r>
        <w:rPr>
          <w:rFonts w:cs="Arial" w:ascii="Arial" w:hAnsi="Arial"/>
          <w:b/>
          <w:bCs/>
          <w:sz w:val="22"/>
          <w:szCs w:val="22"/>
          <w:u w:val="single"/>
        </w:rPr>
        <w:t>Declaração</w:t>
      </w:r>
      <w:r>
        <w:rPr>
          <w:rFonts w:cs="Arial" w:ascii="Arial" w:hAnsi="Arial"/>
          <w:sz w:val="22"/>
          <w:szCs w:val="22"/>
        </w:rPr>
        <w:t xml:space="preserve"> de que atende aos requisitos de habilitação, que responderá pela veracidade das informações prestadas, na forma da lei, que tomou conhecimento de todas as informações e das condições locais para o cumprimento das obrigações objeto da licitação e de que os documentos apresentados de origem não eletrônica conferem com os seus respectivos originais, – ANEXO VII; Em caso de declaração falsa, o proponente ficará sujeito às sanções administrativas, civis e penais aplicáveis, nos termos do que dispõe o art. 3°, § 2° da Lei Federal n° 13.726/2018. </w:t>
      </w:r>
    </w:p>
    <w:p>
      <w:pPr>
        <w:pStyle w:val="ListParagraph"/>
        <w:spacing w:before="0" w:after="0"/>
        <w:contextualSpacing/>
        <w:jc w:val="both"/>
        <w:rPr>
          <w:rFonts w:ascii="Arial" w:hAnsi="Arial" w:cs="Arial"/>
          <w:sz w:val="22"/>
          <w:szCs w:val="22"/>
        </w:rPr>
      </w:pPr>
      <w:r>
        <w:rPr>
          <w:rFonts w:cs="Arial" w:ascii="Arial" w:hAnsi="Arial"/>
          <w:sz w:val="22"/>
          <w:szCs w:val="22"/>
        </w:rPr>
      </w:r>
    </w:p>
    <w:p>
      <w:pPr>
        <w:pStyle w:val="ListParagraph"/>
        <w:spacing w:before="0" w:after="0"/>
        <w:contextualSpacing/>
        <w:jc w:val="both"/>
        <w:rPr>
          <w:rFonts w:ascii="Arial" w:hAnsi="Arial"/>
          <w:sz w:val="22"/>
          <w:szCs w:val="22"/>
        </w:rPr>
      </w:pPr>
      <w:r>
        <w:rPr>
          <w:rFonts w:cs="Arial" w:ascii="Arial" w:hAnsi="Arial"/>
          <w:sz w:val="22"/>
          <w:szCs w:val="22"/>
        </w:rPr>
        <w:t xml:space="preserve">15.8.2. </w:t>
      </w:r>
      <w:r>
        <w:rPr>
          <w:rFonts w:cs="Arial" w:ascii="Arial" w:hAnsi="Arial"/>
          <w:b/>
          <w:bCs/>
          <w:sz w:val="22"/>
          <w:szCs w:val="22"/>
          <w:u w:val="single"/>
        </w:rPr>
        <w:t>Declaração</w:t>
      </w:r>
      <w:r>
        <w:rPr>
          <w:rFonts w:cs="Arial" w:ascii="Arial" w:hAnsi="Arial"/>
          <w:sz w:val="22"/>
          <w:szCs w:val="22"/>
        </w:rPr>
        <w:t xml:space="preserve"> de que cumpre as exigências de reserva de cargos para pessoa com deficiência e para reabilitado da Previdência Social, previstas em lei e em outras normas específicas – ANEXO VIII;</w:t>
      </w:r>
    </w:p>
    <w:p>
      <w:pPr>
        <w:pStyle w:val="ListParagraph"/>
        <w:spacing w:before="0" w:after="0"/>
        <w:contextualSpacing/>
        <w:jc w:val="both"/>
        <w:rPr>
          <w:rFonts w:ascii="Arial" w:hAnsi="Arial" w:cs="Arial"/>
          <w:sz w:val="22"/>
          <w:szCs w:val="22"/>
        </w:rPr>
      </w:pPr>
      <w:r>
        <w:rPr>
          <w:rFonts w:cs="Arial" w:ascii="Arial" w:hAnsi="Arial"/>
          <w:sz w:val="22"/>
          <w:szCs w:val="22"/>
        </w:rPr>
      </w:r>
    </w:p>
    <w:p>
      <w:pPr>
        <w:pStyle w:val="ListParagraph"/>
        <w:spacing w:before="0" w:after="0"/>
        <w:contextualSpacing/>
        <w:jc w:val="both"/>
        <w:rPr>
          <w:rFonts w:ascii="Arial" w:hAnsi="Arial"/>
          <w:sz w:val="22"/>
          <w:szCs w:val="22"/>
        </w:rPr>
      </w:pPr>
      <w:r>
        <w:rPr>
          <w:rFonts w:cs="Arial" w:ascii="Arial" w:hAnsi="Arial"/>
          <w:sz w:val="22"/>
          <w:szCs w:val="22"/>
        </w:rPr>
        <w:t xml:space="preserve">15.8.3. </w:t>
      </w:r>
      <w:r>
        <w:rPr>
          <w:rFonts w:cs="Arial" w:ascii="Arial" w:hAnsi="Arial"/>
          <w:b/>
          <w:bCs/>
          <w:sz w:val="22"/>
          <w:szCs w:val="22"/>
          <w:u w:val="single"/>
        </w:rPr>
        <w:t>Declaração</w:t>
      </w:r>
      <w:r>
        <w:rPr>
          <w:rFonts w:cs="Arial" w:ascii="Arial" w:hAnsi="Arial"/>
          <w:sz w:val="22"/>
          <w:szCs w:val="22"/>
        </w:rPr>
        <w:t xml:space="preserve"> que não incorre nos impedimentos - (ANEXO III).</w:t>
      </w:r>
    </w:p>
    <w:p>
      <w:pPr>
        <w:pStyle w:val="ListParagraph"/>
        <w:spacing w:before="0" w:after="0"/>
        <w:contextualSpacing/>
        <w:jc w:val="both"/>
        <w:rPr>
          <w:rFonts w:ascii="Arial" w:hAnsi="Arial" w:cs="Arial"/>
          <w:sz w:val="22"/>
          <w:szCs w:val="22"/>
        </w:rPr>
      </w:pPr>
      <w:r>
        <w:rPr>
          <w:rFonts w:cs="Arial" w:ascii="Arial" w:hAnsi="Arial"/>
          <w:sz w:val="22"/>
          <w:szCs w:val="22"/>
        </w:rPr>
      </w:r>
    </w:p>
    <w:p>
      <w:pPr>
        <w:pStyle w:val="Normal"/>
        <w:widowControl w:val="false"/>
        <w:tabs>
          <w:tab w:val="clear" w:pos="720"/>
          <w:tab w:val="left" w:pos="567" w:leader="none"/>
        </w:tabs>
        <w:spacing w:lineRule="auto" w:line="240" w:before="0" w:after="0"/>
        <w:ind w:left="720" w:hanging="0"/>
        <w:jc w:val="both"/>
        <w:textAlignment w:val="baseline"/>
        <w:rPr>
          <w:rFonts w:ascii="Arial" w:hAnsi="Arial"/>
        </w:rPr>
      </w:pPr>
      <w:r>
        <w:rPr>
          <w:rFonts w:eastAsia="Times New Roman" w:cs="Arial" w:ascii="Arial" w:hAnsi="Arial"/>
          <w:iCs/>
          <w:lang w:eastAsia="pt-BR"/>
        </w:rPr>
        <w:t xml:space="preserve">15.8.4. </w:t>
      </w:r>
      <w:r>
        <w:rPr>
          <w:rFonts w:eastAsia="Times New Roman" w:cs="Arial" w:ascii="Arial" w:hAnsi="Arial"/>
          <w:b/>
          <w:bCs/>
          <w:iCs/>
          <w:u w:val="single"/>
          <w:lang w:eastAsia="pt-BR"/>
        </w:rPr>
        <w:t>Declaração</w:t>
      </w:r>
      <w:r>
        <w:rPr>
          <w:rFonts w:eastAsia="Times New Roman" w:cs="Arial" w:ascii="Arial" w:hAnsi="Arial"/>
          <w:iCs/>
          <w:lang w:eastAsia="pt-BR"/>
        </w:rPr>
        <w:t xml:space="preserve">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IV).</w:t>
      </w:r>
    </w:p>
    <w:p>
      <w:pPr>
        <w:pStyle w:val="Normal"/>
        <w:widowControl w:val="false"/>
        <w:tabs>
          <w:tab w:val="clear" w:pos="720"/>
          <w:tab w:val="left" w:pos="567" w:leader="none"/>
        </w:tabs>
        <w:spacing w:lineRule="auto" w:line="240" w:before="0" w:after="0"/>
        <w:ind w:left="720" w:hanging="0"/>
        <w:jc w:val="both"/>
        <w:textAlignment w:val="baseline"/>
        <w:rPr>
          <w:rFonts w:ascii="Arial" w:hAnsi="Arial" w:eastAsia="Times New Roman" w:cs="Arial"/>
          <w:iCs/>
          <w:lang w:eastAsia="pt-BR"/>
        </w:rPr>
      </w:pPr>
      <w:r>
        <w:rPr>
          <w:rFonts w:eastAsia="Times New Roman" w:cs="Arial" w:ascii="Arial" w:hAnsi="Arial"/>
          <w:iCs/>
          <w:lang w:eastAsia="pt-BR"/>
        </w:rPr>
      </w:r>
    </w:p>
    <w:p>
      <w:pPr>
        <w:pStyle w:val="Normal"/>
        <w:widowControl w:val="false"/>
        <w:tabs>
          <w:tab w:val="clear" w:pos="720"/>
          <w:tab w:val="left" w:pos="567" w:leader="none"/>
        </w:tabs>
        <w:spacing w:lineRule="auto" w:line="240" w:before="0" w:after="0"/>
        <w:ind w:left="720" w:hanging="0"/>
        <w:jc w:val="both"/>
        <w:textAlignment w:val="baseline"/>
        <w:rPr>
          <w:rFonts w:ascii="Arial" w:hAnsi="Arial"/>
        </w:rPr>
      </w:pPr>
      <w:r>
        <w:rPr>
          <w:rFonts w:eastAsia="Times New Roman" w:cs="Arial" w:ascii="Arial" w:hAnsi="Arial"/>
          <w:iCs/>
          <w:lang w:eastAsia="pt-BR"/>
        </w:rPr>
        <w:t>15.8.5. Para obtenção dos benefícios, conforme art. 4º, § 2º da Lei nº 14.133/2021, o licitante</w:t>
      </w:r>
      <w:r>
        <w:rPr>
          <w:rFonts w:eastAsia="Times New Roman" w:cs="Arial" w:ascii="Arial" w:hAnsi="Arial"/>
          <w:iCs/>
          <w:u w:val="single"/>
          <w:lang w:eastAsia="pt-BR"/>
        </w:rPr>
        <w:t xml:space="preserve"> </w:t>
      </w:r>
      <w:r>
        <w:rPr>
          <w:rFonts w:eastAsia="Times New Roman" w:cs="Arial" w:ascii="Arial" w:hAnsi="Arial"/>
          <w:b/>
          <w:bCs/>
          <w:iCs/>
          <w:u w:val="single"/>
          <w:lang w:eastAsia="pt-BR"/>
        </w:rPr>
        <w:t>deverá apresentar declaração</w:t>
      </w:r>
      <w:r>
        <w:rPr>
          <w:rFonts w:eastAsia="Times New Roman" w:cs="Arial" w:ascii="Arial" w:hAnsi="Arial"/>
          <w:iCs/>
          <w:u w:val="single"/>
          <w:lang w:eastAsia="pt-BR"/>
        </w:rPr>
        <w:t xml:space="preserve"> </w:t>
      </w:r>
      <w:r>
        <w:rPr>
          <w:rFonts w:eastAsia="Times New Roman" w:cs="Arial" w:ascii="Arial" w:hAnsi="Arial"/>
          <w:iCs/>
          <w:lang w:eastAsia="pt-BR"/>
        </w:rPr>
        <w:t xml:space="preserve">(ANEXO V) que, no ano-calendário de realização da licitação, ainda não celebrou contratos com a Administração Pública cujos valores somados extrapolem a receita bruta máxima admitida para fins de enquadramento como empresa de pequeno </w:t>
      </w:r>
      <w:r>
        <w:rPr>
          <w:rFonts w:eastAsia="Times New Roman" w:cs="Arial" w:ascii="Arial" w:hAnsi="Arial"/>
          <w:iCs/>
          <w:shd w:fill="auto" w:val="clear"/>
          <w:lang w:eastAsia="pt-BR"/>
        </w:rPr>
        <w:t>porte, ou seja, que ainda não celebrou contratos com a Administração Pública cujos valores somados extrapolem 4,8 milhões/ano (Lei Complementar nº 123/2006, art. 3º, II).</w:t>
      </w:r>
    </w:p>
    <w:p>
      <w:pPr>
        <w:pStyle w:val="Normal"/>
        <w:widowControl w:val="false"/>
        <w:tabs>
          <w:tab w:val="clear" w:pos="720"/>
          <w:tab w:val="left" w:pos="567" w:leader="none"/>
        </w:tabs>
        <w:spacing w:lineRule="auto" w:line="240" w:before="0" w:after="0"/>
        <w:ind w:left="720" w:hanging="0"/>
        <w:jc w:val="both"/>
        <w:textAlignment w:val="baseline"/>
        <w:rPr>
          <w:rFonts w:ascii="Arial" w:hAnsi="Arial"/>
        </w:rPr>
      </w:pPr>
      <w:r>
        <w:rPr>
          <w:rFonts w:ascii="Arial" w:hAnsi="Arial"/>
        </w:rPr>
      </w:r>
    </w:p>
    <w:p>
      <w:pPr>
        <w:pStyle w:val="Normal"/>
        <w:widowControl w:val="false"/>
        <w:tabs>
          <w:tab w:val="clear" w:pos="720"/>
          <w:tab w:val="left" w:pos="567" w:leader="none"/>
        </w:tabs>
        <w:spacing w:lineRule="auto" w:line="240" w:before="0" w:after="0"/>
        <w:ind w:left="720" w:hanging="0"/>
        <w:jc w:val="both"/>
        <w:textAlignment w:val="baseline"/>
        <w:rPr>
          <w:rFonts w:ascii="Arial" w:hAnsi="Arial"/>
        </w:rPr>
      </w:pPr>
      <w:r>
        <w:rPr>
          <w:rFonts w:eastAsia="Times New Roman" w:cs="Arial" w:ascii="Arial" w:hAnsi="Arial"/>
          <w:iCs/>
          <w:shd w:fill="auto" w:val="clear"/>
          <w:lang w:eastAsia="pt-BR"/>
        </w:rPr>
        <w:t xml:space="preserve">15.8.5.1. Declaração de que apresentará, para assinatura do contrato, os documentos exigidos no item </w:t>
      </w:r>
      <w:r>
        <w:rPr>
          <w:rFonts w:eastAsia="Times New Roman" w:cs="Arial" w:ascii="Arial" w:hAnsi="Arial"/>
          <w:b/>
          <w:bCs/>
          <w:iCs/>
          <w:shd w:fill="auto" w:val="clear"/>
          <w:lang w:eastAsia="pt-BR"/>
        </w:rPr>
        <w:t>18.1.1.1</w:t>
      </w:r>
      <w:r>
        <w:rPr>
          <w:rFonts w:eastAsia="Times New Roman" w:cs="Arial" w:ascii="Arial" w:hAnsi="Arial"/>
          <w:iCs/>
          <w:shd w:fill="auto" w:val="clear"/>
          <w:lang w:eastAsia="pt-BR"/>
        </w:rPr>
        <w:t>. do presente edital.</w:t>
      </w:r>
    </w:p>
    <w:p>
      <w:pPr>
        <w:pStyle w:val="ListParagraph"/>
        <w:spacing w:before="0" w:after="0"/>
        <w:ind w:left="1440" w:hanging="0"/>
        <w:contextualSpacing/>
        <w:jc w:val="both"/>
        <w:rPr>
          <w:rFonts w:ascii="Arial" w:hAnsi="Arial" w:cs="Arial"/>
          <w:sz w:val="22"/>
          <w:szCs w:val="22"/>
          <w:shd w:fill="FFFF00" w:val="clear"/>
        </w:rPr>
      </w:pPr>
      <w:r>
        <w:rPr>
          <w:rFonts w:cs="Arial" w:ascii="Arial" w:hAnsi="Arial"/>
          <w:sz w:val="22"/>
          <w:szCs w:val="22"/>
          <w:shd w:fill="FFFF00" w:val="clear"/>
        </w:rPr>
      </w:r>
    </w:p>
    <w:p>
      <w:pPr>
        <w:pStyle w:val="ListParagraph"/>
        <w:spacing w:before="0" w:after="0"/>
        <w:ind w:left="0" w:hanging="0"/>
        <w:contextualSpacing/>
        <w:jc w:val="both"/>
        <w:rPr>
          <w:rFonts w:ascii="Arial" w:hAnsi="Arial"/>
          <w:sz w:val="22"/>
          <w:szCs w:val="22"/>
        </w:rPr>
      </w:pPr>
      <w:r>
        <w:rPr>
          <w:rFonts w:cs="Arial" w:ascii="Arial" w:hAnsi="Arial"/>
          <w:b/>
          <w:bCs/>
          <w:sz w:val="22"/>
          <w:szCs w:val="22"/>
        </w:rPr>
        <w:t>15.8.6. HABILITAÇÃO JURÍDICA:</w:t>
      </w:r>
    </w:p>
    <w:p>
      <w:pPr>
        <w:pStyle w:val="ListParagraph"/>
        <w:spacing w:before="0" w:after="0"/>
        <w:contextualSpacing/>
        <w:jc w:val="both"/>
        <w:rPr>
          <w:rFonts w:ascii="Arial" w:hAnsi="Arial" w:cs="Arial"/>
          <w:sz w:val="22"/>
          <w:szCs w:val="22"/>
        </w:rPr>
      </w:pPr>
      <w:r>
        <w:rPr>
          <w:rFonts w:cs="Arial" w:ascii="Arial" w:hAnsi="Arial"/>
          <w:sz w:val="22"/>
          <w:szCs w:val="22"/>
        </w:rPr>
      </w:r>
    </w:p>
    <w:p>
      <w:pPr>
        <w:pStyle w:val="ListParagraph"/>
        <w:spacing w:before="0" w:after="0"/>
        <w:ind w:left="709" w:hanging="0"/>
        <w:contextualSpacing/>
        <w:jc w:val="both"/>
        <w:rPr>
          <w:rFonts w:ascii="Arial" w:hAnsi="Arial"/>
          <w:sz w:val="22"/>
          <w:szCs w:val="22"/>
        </w:rPr>
      </w:pPr>
      <w:r>
        <w:rPr>
          <w:rFonts w:cs="Arial" w:ascii="Arial" w:hAnsi="Arial"/>
          <w:sz w:val="22"/>
          <w:szCs w:val="22"/>
        </w:rPr>
        <w:t>15.8.6.1. Comprovação de existência jurídica da pessoa, através de 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pPr>
        <w:pStyle w:val="ListParagraph"/>
        <w:spacing w:before="0" w:after="0"/>
        <w:ind w:left="709" w:hanging="0"/>
        <w:contextualSpacing/>
        <w:jc w:val="both"/>
        <w:rPr>
          <w:rFonts w:ascii="Arial" w:hAnsi="Arial" w:cs="Arial"/>
          <w:sz w:val="22"/>
          <w:szCs w:val="22"/>
        </w:rPr>
      </w:pPr>
      <w:r>
        <w:rPr>
          <w:rFonts w:cs="Arial" w:ascii="Arial" w:hAnsi="Arial"/>
          <w:sz w:val="22"/>
          <w:szCs w:val="22"/>
        </w:rPr>
      </w:r>
    </w:p>
    <w:p>
      <w:pPr>
        <w:pStyle w:val="ListParagraph"/>
        <w:spacing w:before="0" w:after="0"/>
        <w:ind w:left="709" w:hanging="0"/>
        <w:contextualSpacing/>
        <w:jc w:val="both"/>
        <w:rPr>
          <w:rFonts w:ascii="Arial" w:hAnsi="Arial" w:cs="Arial"/>
          <w:sz w:val="22"/>
          <w:szCs w:val="22"/>
        </w:rPr>
      </w:pPr>
      <w:r>
        <w:rPr>
          <w:rFonts w:cs="Arial" w:ascii="Arial" w:hAnsi="Arial"/>
          <w:sz w:val="22"/>
          <w:szCs w:val="22"/>
        </w:rPr>
        <w:t>15.8.6.2. Quando cabível, de autorização para o exercício da atividade a ser contratada;</w:t>
      </w:r>
    </w:p>
    <w:p>
      <w:pPr>
        <w:pStyle w:val="ListParagraph"/>
        <w:spacing w:before="0" w:after="0"/>
        <w:ind w:left="709" w:hanging="0"/>
        <w:contextualSpacing/>
        <w:jc w:val="both"/>
        <w:rPr>
          <w:rFonts w:ascii="Arial" w:hAnsi="Arial" w:cs="Arial"/>
          <w:sz w:val="22"/>
          <w:szCs w:val="22"/>
        </w:rPr>
      </w:pPr>
      <w:r>
        <w:rPr>
          <w:rFonts w:cs="Arial" w:ascii="Arial" w:hAnsi="Arial"/>
          <w:sz w:val="22"/>
          <w:szCs w:val="22"/>
        </w:rPr>
      </w:r>
    </w:p>
    <w:p>
      <w:pPr>
        <w:pStyle w:val="ListParagraph"/>
        <w:spacing w:before="0" w:after="0"/>
        <w:ind w:left="709" w:hanging="0"/>
        <w:contextualSpacing/>
        <w:jc w:val="both"/>
        <w:rPr>
          <w:rFonts w:ascii="Arial" w:hAnsi="Arial"/>
          <w:sz w:val="22"/>
          <w:szCs w:val="22"/>
        </w:rPr>
      </w:pPr>
      <w:r>
        <w:rPr>
          <w:rFonts w:cs="Arial" w:ascii="Arial" w:hAnsi="Arial"/>
          <w:sz w:val="22"/>
          <w:szCs w:val="22"/>
        </w:rPr>
        <w:t>15.8.6.3. Documento com foto do representante legal.</w:t>
      </w:r>
    </w:p>
    <w:p>
      <w:pPr>
        <w:pStyle w:val="ListParagraph"/>
        <w:spacing w:before="0" w:after="0"/>
        <w:ind w:left="851" w:hanging="0"/>
        <w:contextualSpacing/>
        <w:jc w:val="both"/>
        <w:rPr>
          <w:rFonts w:ascii="Arial" w:hAnsi="Arial" w:cs="Arial"/>
          <w:sz w:val="22"/>
          <w:szCs w:val="22"/>
        </w:rPr>
      </w:pPr>
      <w:r>
        <w:rPr>
          <w:rFonts w:cs="Arial" w:ascii="Arial" w:hAnsi="Arial"/>
          <w:sz w:val="22"/>
          <w:szCs w:val="22"/>
        </w:rPr>
      </w:r>
    </w:p>
    <w:p>
      <w:pPr>
        <w:pStyle w:val="ListParagraph"/>
        <w:spacing w:before="0" w:after="0"/>
        <w:ind w:left="0" w:hanging="0"/>
        <w:contextualSpacing/>
        <w:jc w:val="both"/>
        <w:rPr>
          <w:rFonts w:ascii="Arial" w:hAnsi="Arial"/>
          <w:sz w:val="22"/>
          <w:szCs w:val="22"/>
        </w:rPr>
      </w:pPr>
      <w:r>
        <w:rPr>
          <w:rFonts w:cs="Arial" w:ascii="Arial" w:hAnsi="Arial"/>
          <w:b/>
          <w:bCs/>
          <w:sz w:val="22"/>
          <w:szCs w:val="22"/>
        </w:rPr>
        <w:t>15.8.7. HABILITAÇÃO FISCAL, SOCIAL E TRABALHISTA:</w:t>
      </w:r>
    </w:p>
    <w:p>
      <w:pPr>
        <w:pStyle w:val="ListParagraph"/>
        <w:spacing w:before="0" w:after="0"/>
        <w:ind w:left="2160" w:hanging="0"/>
        <w:contextualSpacing/>
        <w:jc w:val="both"/>
        <w:rPr>
          <w:rFonts w:ascii="Arial" w:hAnsi="Arial" w:cs="Arial"/>
          <w:sz w:val="22"/>
          <w:szCs w:val="22"/>
        </w:rPr>
      </w:pPr>
      <w:r>
        <w:rPr>
          <w:rFonts w:cs="Arial" w:ascii="Arial" w:hAnsi="Arial"/>
          <w:sz w:val="22"/>
          <w:szCs w:val="22"/>
        </w:rPr>
      </w:r>
    </w:p>
    <w:p>
      <w:pPr>
        <w:pStyle w:val="ListParagraph"/>
        <w:spacing w:before="0" w:after="0"/>
        <w:ind w:left="851" w:hanging="0"/>
        <w:contextualSpacing/>
        <w:jc w:val="both"/>
        <w:rPr>
          <w:rFonts w:ascii="Arial" w:hAnsi="Arial"/>
          <w:sz w:val="22"/>
          <w:szCs w:val="22"/>
        </w:rPr>
      </w:pPr>
      <w:r>
        <w:rPr>
          <w:rFonts w:cs="Arial" w:ascii="Arial" w:hAnsi="Arial"/>
          <w:sz w:val="22"/>
          <w:szCs w:val="22"/>
        </w:rPr>
        <w:t>15.8.7.1. Inscrição no Cadastro Nacional da Pessoa Jurídica (CNPJ);</w:t>
      </w:r>
    </w:p>
    <w:p>
      <w:pPr>
        <w:pStyle w:val="ListParagraph"/>
        <w:spacing w:before="0" w:after="0"/>
        <w:ind w:left="851" w:hanging="0"/>
        <w:contextualSpacing/>
        <w:jc w:val="both"/>
        <w:rPr>
          <w:rFonts w:ascii="Arial" w:hAnsi="Arial" w:cs="Arial"/>
          <w:sz w:val="22"/>
          <w:szCs w:val="22"/>
        </w:rPr>
      </w:pPr>
      <w:r>
        <w:rPr>
          <w:rFonts w:cs="Arial" w:ascii="Arial" w:hAnsi="Arial"/>
          <w:sz w:val="22"/>
          <w:szCs w:val="22"/>
        </w:rPr>
      </w:r>
    </w:p>
    <w:p>
      <w:pPr>
        <w:pStyle w:val="ListParagraph"/>
        <w:spacing w:before="0" w:after="0"/>
        <w:ind w:left="851" w:hanging="0"/>
        <w:contextualSpacing/>
        <w:jc w:val="both"/>
        <w:rPr>
          <w:rFonts w:ascii="Arial" w:hAnsi="Arial"/>
          <w:sz w:val="22"/>
          <w:szCs w:val="22"/>
        </w:rPr>
      </w:pPr>
      <w:r>
        <w:rPr>
          <w:rFonts w:cs="Arial" w:ascii="Arial" w:hAnsi="Arial"/>
          <w:sz w:val="22"/>
          <w:szCs w:val="22"/>
        </w:rPr>
        <w:t xml:space="preserve">15.8.7.2. Inscrição no cadastro de contribuintes estadual e/ou municipal, </w:t>
      </w:r>
      <w:r>
        <w:rPr>
          <w:rFonts w:cs="Arial" w:ascii="Arial" w:hAnsi="Arial"/>
          <w:sz w:val="22"/>
          <w:szCs w:val="22"/>
          <w:u w:val="single"/>
        </w:rPr>
        <w:t>se houver</w:t>
      </w:r>
      <w:r>
        <w:rPr>
          <w:rFonts w:cs="Arial" w:ascii="Arial" w:hAnsi="Arial"/>
          <w:sz w:val="22"/>
          <w:szCs w:val="22"/>
        </w:rPr>
        <w:t>, relativo ao domicílio ou sede do licitante, pertinente ao seu ramo de atividade e compatível com o objeto contratual;</w:t>
      </w:r>
    </w:p>
    <w:p>
      <w:pPr>
        <w:pStyle w:val="ListParagraph"/>
        <w:spacing w:before="0" w:after="0"/>
        <w:ind w:left="851" w:hanging="0"/>
        <w:contextualSpacing/>
        <w:jc w:val="both"/>
        <w:rPr>
          <w:rFonts w:ascii="Arial" w:hAnsi="Arial"/>
          <w:sz w:val="22"/>
          <w:szCs w:val="22"/>
        </w:rPr>
      </w:pPr>
      <w:r>
        <w:rPr>
          <w:rFonts w:ascii="Arial" w:hAnsi="Arial"/>
          <w:sz w:val="22"/>
          <w:szCs w:val="22"/>
        </w:rPr>
      </w:r>
    </w:p>
    <w:p>
      <w:pPr>
        <w:pStyle w:val="ListParagraph"/>
        <w:spacing w:before="0" w:after="0"/>
        <w:ind w:left="851" w:hanging="0"/>
        <w:contextualSpacing/>
        <w:jc w:val="both"/>
        <w:rPr>
          <w:rFonts w:ascii="Arial" w:hAnsi="Arial"/>
          <w:sz w:val="22"/>
          <w:szCs w:val="22"/>
        </w:rPr>
      </w:pPr>
      <w:r>
        <w:rPr>
          <w:rFonts w:cs="Arial" w:ascii="Arial" w:hAnsi="Arial"/>
          <w:sz w:val="22"/>
          <w:szCs w:val="22"/>
        </w:rPr>
        <w:t xml:space="preserve">15.8.7.3. Regularidade perante a Fazenda </w:t>
      </w:r>
      <w:r>
        <w:rPr>
          <w:rFonts w:cs="Arial" w:ascii="Arial" w:hAnsi="Arial"/>
          <w:sz w:val="22"/>
          <w:szCs w:val="22"/>
          <w:u w:val="single"/>
        </w:rPr>
        <w:t>Federal;</w:t>
      </w:r>
    </w:p>
    <w:p>
      <w:pPr>
        <w:pStyle w:val="ListParagraph"/>
        <w:spacing w:before="0" w:after="0"/>
        <w:ind w:left="851" w:hanging="0"/>
        <w:contextualSpacing/>
        <w:jc w:val="both"/>
        <w:rPr>
          <w:rFonts w:ascii="Arial" w:hAnsi="Arial" w:cs="Arial"/>
          <w:sz w:val="22"/>
          <w:szCs w:val="22"/>
        </w:rPr>
      </w:pPr>
      <w:r>
        <w:rPr>
          <w:rFonts w:cs="Arial" w:ascii="Arial" w:hAnsi="Arial"/>
          <w:sz w:val="22"/>
          <w:szCs w:val="22"/>
        </w:rPr>
      </w:r>
    </w:p>
    <w:p>
      <w:pPr>
        <w:pStyle w:val="ListParagraph"/>
        <w:spacing w:before="0" w:after="0"/>
        <w:ind w:left="851" w:hanging="0"/>
        <w:contextualSpacing/>
        <w:jc w:val="both"/>
        <w:rPr>
          <w:rFonts w:ascii="Arial" w:hAnsi="Arial"/>
          <w:sz w:val="22"/>
          <w:szCs w:val="22"/>
        </w:rPr>
      </w:pPr>
      <w:r>
        <w:rPr>
          <w:rFonts w:cs="Arial" w:ascii="Arial" w:hAnsi="Arial"/>
          <w:sz w:val="22"/>
          <w:szCs w:val="22"/>
        </w:rPr>
        <w:t xml:space="preserve">15.8.7.3.1. Regularidade perante a Fazenda </w:t>
      </w:r>
      <w:r>
        <w:rPr>
          <w:rFonts w:cs="Arial" w:ascii="Arial" w:hAnsi="Arial"/>
          <w:sz w:val="22"/>
          <w:szCs w:val="22"/>
          <w:u w:val="single"/>
        </w:rPr>
        <w:t>Estadual</w:t>
      </w:r>
      <w:r>
        <w:rPr>
          <w:rFonts w:cs="Arial" w:ascii="Arial" w:hAnsi="Arial"/>
          <w:sz w:val="22"/>
          <w:szCs w:val="22"/>
        </w:rPr>
        <w:t>;</w:t>
      </w:r>
    </w:p>
    <w:p>
      <w:pPr>
        <w:pStyle w:val="ListParagraph"/>
        <w:spacing w:before="0" w:after="0"/>
        <w:ind w:left="851" w:hanging="0"/>
        <w:contextualSpacing/>
        <w:jc w:val="both"/>
        <w:rPr>
          <w:rFonts w:ascii="Arial" w:hAnsi="Arial" w:cs="Arial"/>
          <w:sz w:val="22"/>
          <w:szCs w:val="22"/>
        </w:rPr>
      </w:pPr>
      <w:r>
        <w:rPr>
          <w:rFonts w:cs="Arial" w:ascii="Arial" w:hAnsi="Arial"/>
          <w:sz w:val="22"/>
          <w:szCs w:val="22"/>
        </w:rPr>
      </w:r>
    </w:p>
    <w:p>
      <w:pPr>
        <w:pStyle w:val="ListParagraph"/>
        <w:spacing w:before="0" w:after="0"/>
        <w:ind w:left="851" w:hanging="0"/>
        <w:contextualSpacing/>
        <w:jc w:val="both"/>
        <w:rPr>
          <w:rFonts w:ascii="Arial" w:hAnsi="Arial"/>
          <w:sz w:val="22"/>
          <w:szCs w:val="22"/>
        </w:rPr>
      </w:pPr>
      <w:r>
        <w:rPr>
          <w:rFonts w:cs="Arial" w:ascii="Arial" w:hAnsi="Arial"/>
          <w:sz w:val="22"/>
          <w:szCs w:val="22"/>
        </w:rPr>
        <w:t xml:space="preserve">15.8.7.3.2. Regularidade perante a Fazenda </w:t>
      </w:r>
      <w:r>
        <w:rPr>
          <w:rFonts w:cs="Arial" w:ascii="Arial" w:hAnsi="Arial"/>
          <w:sz w:val="22"/>
          <w:szCs w:val="22"/>
          <w:u w:val="single"/>
        </w:rPr>
        <w:t>Municipal</w:t>
      </w:r>
      <w:r>
        <w:rPr>
          <w:rFonts w:cs="Arial" w:ascii="Arial" w:hAnsi="Arial"/>
          <w:sz w:val="22"/>
          <w:szCs w:val="22"/>
        </w:rPr>
        <w:t>, relativa ao Munic</w:t>
      </w:r>
      <w:r>
        <w:rPr>
          <w:rFonts w:ascii="Arial" w:hAnsi="Arial"/>
          <w:sz w:val="22"/>
          <w:szCs w:val="22"/>
        </w:rPr>
        <w:t>ípio da sede do licitante</w:t>
      </w:r>
      <w:r>
        <w:rPr>
          <w:rFonts w:cs="Arial" w:ascii="Arial" w:hAnsi="Arial"/>
          <w:sz w:val="22"/>
          <w:szCs w:val="22"/>
        </w:rPr>
        <w:t>;</w:t>
      </w:r>
    </w:p>
    <w:p>
      <w:pPr>
        <w:pStyle w:val="ListParagraph"/>
        <w:spacing w:before="0" w:after="0"/>
        <w:ind w:left="851" w:hanging="0"/>
        <w:contextualSpacing/>
        <w:jc w:val="both"/>
        <w:rPr>
          <w:rFonts w:ascii="Arial" w:hAnsi="Arial" w:cs="Arial"/>
          <w:sz w:val="22"/>
          <w:szCs w:val="22"/>
        </w:rPr>
      </w:pPr>
      <w:r>
        <w:rPr>
          <w:rFonts w:cs="Arial" w:ascii="Arial" w:hAnsi="Arial"/>
          <w:sz w:val="22"/>
          <w:szCs w:val="22"/>
        </w:rPr>
      </w:r>
    </w:p>
    <w:p>
      <w:pPr>
        <w:pStyle w:val="ListParagraph"/>
        <w:spacing w:before="0" w:after="0"/>
        <w:ind w:left="851" w:hanging="0"/>
        <w:contextualSpacing/>
        <w:jc w:val="both"/>
        <w:rPr>
          <w:rFonts w:ascii="Arial" w:hAnsi="Arial"/>
          <w:sz w:val="22"/>
          <w:szCs w:val="22"/>
        </w:rPr>
      </w:pPr>
      <w:r>
        <w:rPr>
          <w:rFonts w:cs="Arial" w:ascii="Arial" w:hAnsi="Arial"/>
          <w:sz w:val="22"/>
          <w:szCs w:val="22"/>
        </w:rPr>
        <w:t>15.8.7.4. Regularidade relativa à Seguridade Social e ao FGTS, que demonstre cumprimento dos encargos sociais instituídos por lei;</w:t>
      </w:r>
    </w:p>
    <w:p>
      <w:pPr>
        <w:pStyle w:val="ListParagraph"/>
        <w:spacing w:before="0" w:after="0"/>
        <w:ind w:left="851" w:hanging="0"/>
        <w:contextualSpacing/>
        <w:jc w:val="both"/>
        <w:rPr>
          <w:rFonts w:ascii="Arial" w:hAnsi="Arial" w:cs="Arial"/>
          <w:sz w:val="22"/>
          <w:szCs w:val="22"/>
        </w:rPr>
      </w:pPr>
      <w:r>
        <w:rPr>
          <w:rFonts w:cs="Arial" w:ascii="Arial" w:hAnsi="Arial"/>
          <w:sz w:val="22"/>
          <w:szCs w:val="22"/>
        </w:rPr>
      </w:r>
    </w:p>
    <w:p>
      <w:pPr>
        <w:pStyle w:val="ListParagraph"/>
        <w:spacing w:before="0" w:after="0"/>
        <w:ind w:left="851" w:hanging="0"/>
        <w:contextualSpacing/>
        <w:jc w:val="both"/>
        <w:rPr>
          <w:rFonts w:ascii="Arial" w:hAnsi="Arial"/>
          <w:sz w:val="22"/>
          <w:szCs w:val="22"/>
        </w:rPr>
      </w:pPr>
      <w:r>
        <w:rPr>
          <w:rFonts w:cs="Arial" w:ascii="Arial" w:hAnsi="Arial"/>
          <w:sz w:val="22"/>
          <w:szCs w:val="22"/>
        </w:rPr>
        <w:t>15.8.7.5. Regularidade perante a Justiça do Trabalho (certidão negativa de débitos trabalhistas);</w:t>
      </w:r>
    </w:p>
    <w:p>
      <w:pPr>
        <w:pStyle w:val="ListParagraph"/>
        <w:spacing w:before="0" w:after="0"/>
        <w:ind w:left="1440" w:hanging="0"/>
        <w:contextualSpacing/>
        <w:jc w:val="both"/>
        <w:rPr>
          <w:rFonts w:ascii="Arial" w:hAnsi="Arial" w:cs="Arial"/>
          <w:sz w:val="22"/>
          <w:szCs w:val="22"/>
        </w:rPr>
      </w:pPr>
      <w:r>
        <w:rPr>
          <w:rFonts w:cs="Arial" w:ascii="Arial" w:hAnsi="Arial"/>
          <w:sz w:val="22"/>
          <w:szCs w:val="22"/>
        </w:rPr>
      </w:r>
    </w:p>
    <w:p>
      <w:pPr>
        <w:pStyle w:val="ListParagraph"/>
        <w:spacing w:before="0" w:after="0"/>
        <w:ind w:left="851" w:hanging="0"/>
        <w:contextualSpacing/>
        <w:jc w:val="both"/>
        <w:rPr>
          <w:rFonts w:ascii="Arial" w:hAnsi="Arial"/>
          <w:sz w:val="22"/>
          <w:szCs w:val="22"/>
        </w:rPr>
      </w:pPr>
      <w:r>
        <w:rPr>
          <w:rFonts w:cs="Arial" w:ascii="Arial" w:hAnsi="Arial"/>
          <w:sz w:val="22"/>
          <w:szCs w:val="22"/>
        </w:rPr>
        <w:t xml:space="preserve">15.8.7.6. </w:t>
      </w:r>
      <w:r>
        <w:rPr>
          <w:rFonts w:cs="Arial" w:ascii="Arial" w:hAnsi="Arial"/>
          <w:b/>
          <w:bCs/>
          <w:sz w:val="22"/>
          <w:szCs w:val="22"/>
          <w:u w:val="single"/>
        </w:rPr>
        <w:t>Declaração</w:t>
      </w:r>
      <w:r>
        <w:rPr>
          <w:rFonts w:cs="Arial" w:ascii="Arial" w:hAnsi="Arial"/>
          <w:sz w:val="22"/>
          <w:szCs w:val="22"/>
        </w:rPr>
        <w:t xml:space="preserve"> de cumprimento do disposto no inciso XXXIII do art. 7º da Constituição Federal.</w:t>
      </w:r>
    </w:p>
    <w:p>
      <w:pPr>
        <w:pStyle w:val="ListParagraph"/>
        <w:spacing w:before="0" w:after="0"/>
        <w:contextualSpacing/>
        <w:jc w:val="both"/>
        <w:rPr>
          <w:rFonts w:ascii="Arial" w:hAnsi="Arial" w:cs="Arial"/>
          <w:sz w:val="22"/>
          <w:szCs w:val="22"/>
        </w:rPr>
      </w:pPr>
      <w:r>
        <w:rPr>
          <w:rFonts w:cs="Arial" w:ascii="Arial" w:hAnsi="Arial"/>
          <w:sz w:val="22"/>
          <w:szCs w:val="22"/>
        </w:rPr>
      </w:r>
    </w:p>
    <w:p>
      <w:pPr>
        <w:pStyle w:val="ListParagraph"/>
        <w:spacing w:before="0" w:after="0"/>
        <w:contextualSpacing/>
        <w:jc w:val="both"/>
        <w:rPr>
          <w:rFonts w:ascii="Arial" w:hAnsi="Arial"/>
          <w:sz w:val="22"/>
          <w:szCs w:val="22"/>
        </w:rPr>
      </w:pPr>
      <w:r>
        <w:rPr>
          <w:rFonts w:cs="Arial" w:ascii="Arial" w:hAnsi="Arial"/>
          <w:b/>
          <w:bCs/>
          <w:sz w:val="22"/>
          <w:szCs w:val="22"/>
        </w:rPr>
        <w:t>Observação:</w:t>
      </w:r>
      <w:r>
        <w:rPr>
          <w:rFonts w:cs="Arial" w:ascii="Arial" w:hAnsi="Arial"/>
          <w:sz w:val="22"/>
          <w:szCs w:val="22"/>
        </w:rPr>
        <w:t xml:space="preserve"> Os documentos poderão ser substituídos ou supridos, no todo ou em parte, por outros meios hábeis a comprovar a regularidade do licitante, inclusive por meio eletrônico.</w:t>
      </w:r>
    </w:p>
    <w:p>
      <w:pPr>
        <w:pStyle w:val="ListParagraph"/>
        <w:spacing w:before="0" w:after="0"/>
        <w:ind w:left="2160" w:hanging="0"/>
        <w:contextualSpacing/>
        <w:jc w:val="both"/>
        <w:rPr>
          <w:rFonts w:ascii="Arial" w:hAnsi="Arial" w:cs="Arial"/>
          <w:sz w:val="22"/>
          <w:szCs w:val="22"/>
          <w:shd w:fill="auto" w:val="clear"/>
        </w:rPr>
      </w:pPr>
      <w:r>
        <w:rPr>
          <w:rFonts w:cs="Arial" w:ascii="Arial" w:hAnsi="Arial"/>
          <w:sz w:val="22"/>
          <w:szCs w:val="22"/>
          <w:shd w:fill="auto" w:val="clear"/>
        </w:rPr>
      </w:r>
    </w:p>
    <w:p>
      <w:pPr>
        <w:pStyle w:val="ListParagraph"/>
        <w:spacing w:before="0" w:after="0"/>
        <w:ind w:left="0" w:hanging="0"/>
        <w:contextualSpacing/>
        <w:jc w:val="both"/>
        <w:rPr>
          <w:shd w:fill="auto" w:val="clear"/>
        </w:rPr>
      </w:pPr>
      <w:r>
        <w:rPr>
          <w:rFonts w:cs="Arial" w:ascii="Arial" w:hAnsi="Arial"/>
          <w:b/>
          <w:bCs/>
          <w:sz w:val="22"/>
          <w:szCs w:val="22"/>
          <w:shd w:fill="auto" w:val="clear"/>
        </w:rPr>
        <w:t>15.8.8. HABILITAÇÃO ECONÔMICO-FINANCEIRA:</w:t>
      </w:r>
    </w:p>
    <w:p>
      <w:pPr>
        <w:pStyle w:val="ListParagraph"/>
        <w:spacing w:before="0" w:after="0"/>
        <w:contextualSpacing/>
        <w:jc w:val="both"/>
        <w:rPr>
          <w:rFonts w:ascii="Arial" w:hAnsi="Arial" w:cs="Arial"/>
          <w:sz w:val="22"/>
          <w:szCs w:val="22"/>
          <w:shd w:fill="auto" w:val="clear"/>
        </w:rPr>
      </w:pPr>
      <w:r>
        <w:rPr>
          <w:rFonts w:cs="Arial" w:ascii="Arial" w:hAnsi="Arial"/>
          <w:sz w:val="22"/>
          <w:szCs w:val="22"/>
          <w:shd w:fill="auto" w:val="clear"/>
        </w:rPr>
      </w:r>
    </w:p>
    <w:p>
      <w:pPr>
        <w:pStyle w:val="ListParagraph"/>
        <w:spacing w:before="0" w:after="0"/>
        <w:ind w:left="851" w:hanging="0"/>
        <w:contextualSpacing/>
        <w:jc w:val="both"/>
        <w:rPr>
          <w:shd w:fill="auto" w:val="clear"/>
        </w:rPr>
      </w:pPr>
      <w:r>
        <w:rPr>
          <w:rFonts w:cs="Arial" w:ascii="Arial" w:hAnsi="Arial"/>
          <w:sz w:val="22"/>
          <w:szCs w:val="22"/>
          <w:shd w:fill="auto" w:val="clear"/>
        </w:rPr>
        <w:t xml:space="preserve">15.8.8.1. </w:t>
      </w:r>
      <w:r>
        <w:rPr>
          <w:rFonts w:cs="Arial" w:ascii="Arial" w:hAnsi="Arial"/>
          <w:sz w:val="22"/>
          <w:szCs w:val="22"/>
          <w:u w:val="single"/>
          <w:shd w:fill="auto" w:val="clear"/>
        </w:rPr>
        <w:t>Certidão negativa</w:t>
      </w:r>
      <w:r>
        <w:rPr>
          <w:rFonts w:cs="Arial" w:ascii="Arial" w:hAnsi="Arial"/>
          <w:sz w:val="22"/>
          <w:szCs w:val="22"/>
          <w:shd w:fill="auto" w:val="clear"/>
        </w:rPr>
        <w:t xml:space="preserve"> de feitos sobre falência expedida pelo distribuidor da sede do licitante;</w:t>
      </w:r>
    </w:p>
    <w:p>
      <w:pPr>
        <w:pStyle w:val="ListParagraph"/>
        <w:spacing w:before="0" w:after="0"/>
        <w:ind w:left="851" w:hanging="0"/>
        <w:contextualSpacing/>
        <w:jc w:val="both"/>
        <w:rPr>
          <w:rFonts w:ascii="Arial" w:hAnsi="Arial"/>
          <w:sz w:val="22"/>
          <w:szCs w:val="22"/>
          <w:shd w:fill="auto" w:val="clear"/>
        </w:rPr>
      </w:pPr>
      <w:r>
        <w:rPr>
          <w:rFonts w:ascii="Arial" w:hAnsi="Arial"/>
          <w:sz w:val="22"/>
          <w:szCs w:val="22"/>
          <w:shd w:fill="auto" w:val="clear"/>
        </w:rPr>
      </w:r>
    </w:p>
    <w:p>
      <w:pPr>
        <w:pStyle w:val="ListParagraph"/>
        <w:spacing w:before="0" w:after="0"/>
        <w:ind w:left="0" w:hanging="0"/>
        <w:contextualSpacing/>
        <w:jc w:val="both"/>
        <w:rPr>
          <w:shd w:fill="auto" w:val="clear"/>
        </w:rPr>
      </w:pPr>
      <w:r>
        <w:rPr>
          <w:rFonts w:cs="Arial" w:ascii="Arial" w:hAnsi="Arial"/>
          <w:b/>
          <w:bCs/>
          <w:sz w:val="22"/>
          <w:szCs w:val="22"/>
          <w:shd w:fill="auto" w:val="clear"/>
        </w:rPr>
        <w:t xml:space="preserve">15.8.9. HABILITAÇÃO </w:t>
      </w:r>
      <w:r>
        <w:rPr>
          <w:rFonts w:eastAsia="Calibri" w:cs="Arial" w:ascii="Arial" w:hAnsi="Arial" w:eastAsiaTheme="minorHAnsi"/>
          <w:b/>
          <w:bCs/>
          <w:sz w:val="22"/>
          <w:szCs w:val="22"/>
          <w:shd w:fill="auto" w:val="clear"/>
        </w:rPr>
        <w:t>TÉCNICA</w:t>
      </w:r>
    </w:p>
    <w:p>
      <w:pPr>
        <w:pStyle w:val="ListParagraph"/>
        <w:spacing w:before="0" w:after="0"/>
        <w:ind w:left="0" w:hanging="0"/>
        <w:contextualSpacing/>
        <w:jc w:val="both"/>
        <w:rPr>
          <w:rFonts w:ascii="Arial" w:hAnsi="Arial" w:eastAsia="Calibri" w:cs="Arial" w:eastAsiaTheme="minorHAnsi"/>
          <w:b/>
          <w:b/>
          <w:bCs/>
          <w:sz w:val="22"/>
          <w:szCs w:val="22"/>
        </w:rPr>
      </w:pPr>
      <w:r>
        <w:rPr>
          <w:rFonts w:eastAsia="Calibri" w:cs="Arial" w:eastAsiaTheme="minorHAnsi" w:ascii="Arial" w:hAnsi="Arial"/>
          <w:b/>
          <w:bCs/>
          <w:sz w:val="22"/>
          <w:szCs w:val="22"/>
        </w:rPr>
      </w:r>
    </w:p>
    <w:p>
      <w:pPr>
        <w:pStyle w:val="ListParagraph"/>
        <w:spacing w:before="0" w:after="0"/>
        <w:ind w:left="850" w:right="0" w:hanging="0"/>
        <w:contextualSpacing/>
        <w:jc w:val="both"/>
        <w:rPr>
          <w:rFonts w:eastAsia="Calibri" w:eastAsiaTheme="minorHAnsi"/>
          <w:shd w:fill="auto" w:val="clear"/>
        </w:rPr>
      </w:pPr>
      <w:r>
        <w:rPr>
          <w:rFonts w:eastAsia="Calibri" w:cs="Arial" w:ascii="Arial" w:hAnsi="Arial" w:eastAsiaTheme="minorHAnsi"/>
          <w:b w:val="false"/>
          <w:bCs w:val="false"/>
          <w:sz w:val="22"/>
          <w:szCs w:val="22"/>
          <w:shd w:fill="auto" w:val="clear"/>
        </w:rPr>
        <w:t xml:space="preserve">15.8.9.1. Atestado de capacidade técnica, por realização de evento de características semelhantes ao objeto desta licitação, fornecido por </w:t>
      </w:r>
      <w:r>
        <w:rPr>
          <w:rFonts w:eastAsia="Calibri" w:cs="Arial" w:ascii="Arial" w:hAnsi="Arial" w:eastAsiaTheme="minorHAnsi"/>
          <w:b w:val="false"/>
          <w:bCs w:val="false"/>
          <w:color w:val="000000"/>
          <w:sz w:val="22"/>
          <w:szCs w:val="22"/>
          <w:shd w:fill="auto" w:val="clear"/>
        </w:rPr>
        <w:t>pessoa jurídica de direito público ou privado, que comprove a execução de objeto similar/compatível ao especificado neste edital e seus anexos. Na descrição deverão conter informações que permitam o entendimento dos trabalhos realizados, bem como aferir a semelhança ou afinidade com o objeto licitado.</w:t>
      </w:r>
    </w:p>
    <w:p>
      <w:pPr>
        <w:pStyle w:val="ListParagraph"/>
        <w:spacing w:before="0" w:after="0"/>
        <w:ind w:left="850" w:right="0" w:hanging="0"/>
        <w:contextualSpacing/>
        <w:jc w:val="both"/>
        <w:rPr>
          <w:rFonts w:ascii="Arial" w:hAnsi="Arial" w:eastAsia="Calibri" w:cs="Arial"/>
          <w:b w:val="false"/>
          <w:b w:val="false"/>
          <w:bCs w:val="false"/>
          <w:color w:val="000000"/>
          <w:sz w:val="22"/>
          <w:szCs w:val="22"/>
        </w:rPr>
      </w:pPr>
      <w:r>
        <w:rPr>
          <w:rFonts w:eastAsia="Calibri" w:cs="Arial" w:ascii="Arial" w:hAnsi="Arial"/>
          <w:b w:val="false"/>
          <w:bCs w:val="false"/>
          <w:color w:val="000000"/>
          <w:sz w:val="22"/>
          <w:szCs w:val="22"/>
        </w:rPr>
      </w:r>
    </w:p>
    <w:p>
      <w:pPr>
        <w:pStyle w:val="ListParagraph"/>
        <w:spacing w:before="0" w:after="0"/>
        <w:ind w:left="850" w:right="0" w:hanging="0"/>
        <w:contextualSpacing/>
        <w:jc w:val="both"/>
        <w:rPr>
          <w:rFonts w:eastAsia="Calibri" w:eastAsiaTheme="minorHAnsi"/>
          <w:shd w:fill="auto" w:val="clear"/>
        </w:rPr>
      </w:pPr>
      <w:r>
        <w:rPr>
          <w:rFonts w:eastAsia="Calibri" w:cs="Arial" w:ascii="Arial" w:hAnsi="Arial" w:eastAsiaTheme="minorHAnsi"/>
          <w:b w:val="false"/>
          <w:bCs w:val="false"/>
          <w:color w:val="000000"/>
          <w:sz w:val="22"/>
          <w:szCs w:val="22"/>
          <w:shd w:fill="auto" w:val="clear"/>
        </w:rPr>
        <w:t>15.8.9.2. Apresentar certificado de registro no Ministério do Turismo, como empresa organizadora de eventos.</w:t>
      </w:r>
    </w:p>
    <w:p>
      <w:pPr>
        <w:pStyle w:val="ListParagraph"/>
        <w:spacing w:before="0" w:after="0"/>
        <w:ind w:left="709" w:right="0" w:hanging="0"/>
        <w:contextualSpacing/>
        <w:jc w:val="both"/>
        <w:rPr>
          <w:rFonts w:ascii="Arial" w:hAnsi="Arial" w:cs="Arial"/>
          <w:sz w:val="22"/>
          <w:szCs w:val="22"/>
          <w:shd w:fill="FFFF00" w:val="clear"/>
        </w:rPr>
      </w:pPr>
      <w:r>
        <w:rPr>
          <w:rFonts w:cs="Arial" w:ascii="Arial" w:hAnsi="Arial"/>
          <w:sz w:val="22"/>
          <w:szCs w:val="22"/>
          <w:shd w:fill="FFFF00" w:val="clear"/>
        </w:rPr>
      </w:r>
    </w:p>
    <w:p>
      <w:pPr>
        <w:pStyle w:val="Normal"/>
        <w:tabs>
          <w:tab w:val="clear" w:pos="720"/>
          <w:tab w:val="left" w:pos="567" w:leader="none"/>
        </w:tabs>
        <w:spacing w:lineRule="auto" w:line="240"/>
        <w:jc w:val="both"/>
        <w:rPr>
          <w:rFonts w:ascii="Arial" w:hAnsi="Arial"/>
        </w:rPr>
      </w:pPr>
      <w:r>
        <w:rPr>
          <w:rFonts w:cs="Times New Roman" w:ascii="Arial" w:hAnsi="Arial"/>
          <w:b/>
          <w:iCs/>
        </w:rPr>
        <w:t>15.9.</w:t>
      </w:r>
      <w:r>
        <w:rPr>
          <w:rFonts w:cs="Times New Roman" w:ascii="Arial" w:hAnsi="Arial"/>
          <w:iCs/>
        </w:rPr>
        <w:t xml:space="preserve"> Se o licitante não atender às exigências de habilitação, o pregoeiro examinará a proposta subsequente e assim sucessivamente, na ordem de classificação, até a seleção da proposta que melhor atenda a este edital. </w:t>
      </w:r>
    </w:p>
    <w:p>
      <w:pPr>
        <w:pStyle w:val="Normal"/>
        <w:widowControl w:val="false"/>
        <w:tabs>
          <w:tab w:val="clear" w:pos="720"/>
          <w:tab w:val="left" w:pos="567" w:leader="none"/>
        </w:tabs>
        <w:spacing w:lineRule="auto" w:line="240"/>
        <w:jc w:val="both"/>
        <w:textAlignment w:val="baseline"/>
        <w:rPr>
          <w:rFonts w:ascii="Arial" w:hAnsi="Arial"/>
        </w:rPr>
      </w:pPr>
      <w:r>
        <w:rPr>
          <w:rFonts w:eastAsia="Times New Roman" w:cs="Times New Roman" w:ascii="Arial" w:hAnsi="Arial"/>
          <w:b/>
          <w:iCs/>
          <w:color w:val="000000"/>
          <w:lang w:eastAsia="pt-BR"/>
        </w:rPr>
        <w:t>15.10.</w:t>
      </w:r>
      <w:r>
        <w:rPr>
          <w:rFonts w:eastAsia="Times New Roman" w:cs="Times New Roman" w:ascii="Arial" w:hAnsi="Arial"/>
          <w:iCs/>
          <w:color w:val="000000"/>
          <w:lang w:eastAsia="pt-BR"/>
        </w:rPr>
        <w:t xml:space="preserve"> Constatado o atendimento às exigências fixadas neste edital, o licitante será declarado o vencedor.</w:t>
      </w:r>
    </w:p>
    <w:p>
      <w:pPr>
        <w:pStyle w:val="Normal"/>
        <w:shd w:val="clear" w:color="auto" w:fill="AEAAAA" w:themeFill="background2" w:themeFillShade="bf"/>
        <w:tabs>
          <w:tab w:val="clear" w:pos="720"/>
          <w:tab w:val="left" w:pos="567" w:leader="none"/>
        </w:tabs>
        <w:spacing w:lineRule="auto" w:line="240"/>
        <w:jc w:val="both"/>
        <w:rPr>
          <w:rFonts w:ascii="Arial" w:hAnsi="Arial"/>
        </w:rPr>
      </w:pPr>
      <w:r>
        <w:rPr>
          <w:rFonts w:cs="Times New Roman" w:ascii="Arial" w:hAnsi="Arial"/>
          <w:b/>
          <w:iCs/>
        </w:rPr>
        <w:t>16. DOS RECURSOS E PEDIDOS DE RECONSIDERAÇÃO</w:t>
      </w:r>
    </w:p>
    <w:p>
      <w:pPr>
        <w:pStyle w:val="Normal"/>
        <w:tabs>
          <w:tab w:val="clear" w:pos="720"/>
          <w:tab w:val="left" w:pos="1134" w:leader="none"/>
        </w:tabs>
        <w:spacing w:lineRule="auto" w:line="240"/>
        <w:jc w:val="both"/>
        <w:rPr>
          <w:rFonts w:ascii="Arial" w:hAnsi="Arial"/>
        </w:rPr>
      </w:pPr>
      <w:r>
        <w:rPr>
          <w:rFonts w:cs="Times New Roman" w:ascii="Arial" w:hAnsi="Arial"/>
          <w:b/>
          <w:iCs/>
        </w:rPr>
        <w:t>16.1.</w:t>
      </w:r>
      <w:r>
        <w:rPr>
          <w:rFonts w:cs="Times New Roman" w:ascii="Arial" w:hAnsi="Arial"/>
          <w:iCs/>
        </w:rPr>
        <w:t xml:space="preserve"> </w:t>
      </w:r>
      <w:r>
        <w:rPr>
          <w:rFonts w:cs="Times New Roman" w:ascii="Arial" w:hAnsi="Arial"/>
        </w:rPr>
        <w:t>Cabe</w:t>
      </w:r>
      <w:bookmarkStart w:id="20" w:name="art165i"/>
      <w:bookmarkEnd w:id="20"/>
      <w:r>
        <w:rPr>
          <w:rFonts w:cs="Times New Roman" w:ascii="Arial" w:hAnsi="Arial"/>
        </w:rPr>
        <w:t xml:space="preserve"> recurso, no prazo de 3 (três) dias úteis, contado da data de intimação ou de lavratura da ata, em face de:</w:t>
      </w:r>
    </w:p>
    <w:p>
      <w:pPr>
        <w:pStyle w:val="ListParagraph"/>
        <w:numPr>
          <w:ilvl w:val="0"/>
          <w:numId w:val="14"/>
        </w:numPr>
        <w:tabs>
          <w:tab w:val="clear" w:pos="720"/>
          <w:tab w:val="left" w:pos="1134" w:leader="none"/>
        </w:tabs>
        <w:ind w:left="567" w:hanging="0"/>
        <w:jc w:val="both"/>
        <w:rPr>
          <w:rFonts w:ascii="Arial" w:hAnsi="Arial"/>
          <w:sz w:val="22"/>
          <w:szCs w:val="22"/>
        </w:rPr>
      </w:pPr>
      <w:bookmarkStart w:id="21" w:name="art165ib"/>
      <w:bookmarkStart w:id="22" w:name="art165ia"/>
      <w:bookmarkEnd w:id="21"/>
      <w:bookmarkEnd w:id="22"/>
      <w:r>
        <w:rPr>
          <w:rFonts w:ascii="Arial" w:hAnsi="Arial"/>
          <w:sz w:val="22"/>
          <w:szCs w:val="22"/>
        </w:rPr>
        <w:t>Julgamento das propostas;</w:t>
      </w:r>
    </w:p>
    <w:p>
      <w:pPr>
        <w:pStyle w:val="ListParagraph"/>
        <w:numPr>
          <w:ilvl w:val="0"/>
          <w:numId w:val="14"/>
        </w:numPr>
        <w:tabs>
          <w:tab w:val="clear" w:pos="720"/>
          <w:tab w:val="left" w:pos="1134" w:leader="none"/>
        </w:tabs>
        <w:ind w:left="567" w:hanging="0"/>
        <w:jc w:val="both"/>
        <w:rPr>
          <w:rFonts w:ascii="Arial" w:hAnsi="Arial"/>
          <w:sz w:val="22"/>
          <w:szCs w:val="22"/>
        </w:rPr>
      </w:pPr>
      <w:bookmarkStart w:id="23" w:name="art165ic"/>
      <w:bookmarkEnd w:id="23"/>
      <w:r>
        <w:rPr>
          <w:rFonts w:ascii="Arial" w:hAnsi="Arial"/>
          <w:sz w:val="22"/>
          <w:szCs w:val="22"/>
        </w:rPr>
        <w:t>Ato de habilitação ou inabilitação de licitante;</w:t>
      </w:r>
    </w:p>
    <w:p>
      <w:pPr>
        <w:pStyle w:val="ListParagraph"/>
        <w:numPr>
          <w:ilvl w:val="0"/>
          <w:numId w:val="14"/>
        </w:numPr>
        <w:tabs>
          <w:tab w:val="clear" w:pos="720"/>
          <w:tab w:val="left" w:pos="1134" w:leader="none"/>
        </w:tabs>
        <w:ind w:left="567" w:hanging="0"/>
        <w:jc w:val="both"/>
        <w:rPr>
          <w:rFonts w:ascii="Arial" w:hAnsi="Arial"/>
          <w:sz w:val="22"/>
          <w:szCs w:val="22"/>
        </w:rPr>
      </w:pPr>
      <w:bookmarkStart w:id="24" w:name="art165id"/>
      <w:bookmarkEnd w:id="24"/>
      <w:r>
        <w:rPr>
          <w:rFonts w:ascii="Arial" w:hAnsi="Arial"/>
          <w:sz w:val="22"/>
          <w:szCs w:val="22"/>
        </w:rPr>
        <w:t>Anulação ou revogação da licitação;</w:t>
      </w:r>
    </w:p>
    <w:p>
      <w:pPr>
        <w:pStyle w:val="ListParagraph"/>
        <w:numPr>
          <w:ilvl w:val="0"/>
          <w:numId w:val="14"/>
        </w:numPr>
        <w:tabs>
          <w:tab w:val="clear" w:pos="720"/>
          <w:tab w:val="left" w:pos="1134" w:leader="none"/>
        </w:tabs>
        <w:ind w:left="567" w:hanging="0"/>
        <w:jc w:val="both"/>
        <w:rPr>
          <w:rFonts w:ascii="Arial" w:hAnsi="Arial"/>
          <w:sz w:val="22"/>
          <w:szCs w:val="22"/>
        </w:rPr>
      </w:pPr>
      <w:bookmarkStart w:id="25" w:name="art165ie"/>
      <w:bookmarkEnd w:id="25"/>
      <w:r>
        <w:rPr>
          <w:rFonts w:ascii="Arial" w:hAnsi="Arial"/>
          <w:sz w:val="22"/>
          <w:szCs w:val="22"/>
        </w:rPr>
        <w:t>Extinção do contrato, quando determinada por ato unilateral e escrito da Administração.</w:t>
      </w:r>
    </w:p>
    <w:p>
      <w:pPr>
        <w:pStyle w:val="Normal"/>
        <w:spacing w:lineRule="auto" w:line="240"/>
        <w:jc w:val="both"/>
        <w:rPr>
          <w:rFonts w:ascii="Arial" w:hAnsi="Arial"/>
        </w:rPr>
      </w:pPr>
      <w:r>
        <w:rPr>
          <w:rFonts w:cs="Times New Roman" w:ascii="Arial" w:hAnsi="Arial"/>
          <w:b/>
        </w:rPr>
        <w:t>16.2.</w:t>
      </w:r>
      <w:r>
        <w:rPr>
          <w:rFonts w:cs="Times New Roman" w:ascii="Arial" w:hAnsi="Arial"/>
        </w:rPr>
        <w:t xml:space="preserve"> Se apresentado recurso em virtude do disposto nas letras “a” e “b” do item anterior, serão observadas as seguintes disposições:</w:t>
      </w:r>
    </w:p>
    <w:p>
      <w:pPr>
        <w:pStyle w:val="ListParagraph"/>
        <w:numPr>
          <w:ilvl w:val="0"/>
          <w:numId w:val="15"/>
        </w:numPr>
        <w:tabs>
          <w:tab w:val="clear" w:pos="720"/>
          <w:tab w:val="left" w:pos="1134" w:leader="none"/>
        </w:tabs>
        <w:ind w:left="567" w:hanging="0"/>
        <w:jc w:val="both"/>
        <w:rPr>
          <w:rFonts w:ascii="Arial" w:hAnsi="Arial"/>
          <w:sz w:val="22"/>
          <w:szCs w:val="22"/>
        </w:rPr>
      </w:pPr>
      <w:r>
        <w:rPr>
          <w:rFonts w:ascii="Arial" w:hAnsi="Arial"/>
          <w:sz w:val="22"/>
          <w:szCs w:val="22"/>
        </w:rPr>
        <w:t>A intenção de recorrer deverá ser manifestada imediatamente, sob pena de preclusão, e o prazo para apresentação das razões recursais será iniciado na data de intimação ou de lavratura da ata de habilitação ou inabilitação ou, na hipótese de adoção da inversão de fases prevista no § 1º do art. 17 da Lei nº 14.133/2021, da ata de julgamento;</w:t>
      </w:r>
    </w:p>
    <w:p>
      <w:pPr>
        <w:pStyle w:val="ListParagraph"/>
        <w:numPr>
          <w:ilvl w:val="0"/>
          <w:numId w:val="15"/>
        </w:numPr>
        <w:tabs>
          <w:tab w:val="clear" w:pos="720"/>
          <w:tab w:val="left" w:pos="1134" w:leader="none"/>
        </w:tabs>
        <w:ind w:left="567" w:hanging="0"/>
        <w:jc w:val="both"/>
        <w:rPr>
          <w:rFonts w:ascii="Arial" w:hAnsi="Arial"/>
          <w:sz w:val="22"/>
          <w:szCs w:val="22"/>
        </w:rPr>
      </w:pPr>
      <w:r>
        <w:rPr>
          <w:rFonts w:ascii="Arial" w:hAnsi="Arial"/>
          <w:sz w:val="22"/>
          <w:szCs w:val="22"/>
        </w:rPr>
        <w:t>A apreciação dar-se-á em fase única.</w:t>
      </w:r>
      <w:bookmarkStart w:id="26" w:name="art165ii"/>
      <w:bookmarkEnd w:id="26"/>
    </w:p>
    <w:p>
      <w:pPr>
        <w:pStyle w:val="Normal"/>
        <w:spacing w:lineRule="auto" w:line="240"/>
        <w:jc w:val="both"/>
        <w:rPr>
          <w:rFonts w:ascii="Arial" w:hAnsi="Arial"/>
        </w:rPr>
      </w:pPr>
      <w:r>
        <w:rPr>
          <w:rFonts w:cs="Times New Roman" w:ascii="Arial" w:hAnsi="Arial"/>
          <w:b/>
        </w:rPr>
        <w:t>16.3.</w:t>
      </w:r>
      <w:r>
        <w:rPr>
          <w:rFonts w:cs="Times New Roman" w:ascii="Arial" w:hAnsi="Arial"/>
        </w:rPr>
        <w:t xml:space="preserve"> O recurso será dirigido à autoridade que tiver editado o ato ou proferido a decisão recorrida.</w:t>
      </w:r>
    </w:p>
    <w:p>
      <w:pPr>
        <w:pStyle w:val="Normal"/>
        <w:spacing w:lineRule="auto" w:line="240"/>
        <w:jc w:val="both"/>
        <w:rPr>
          <w:rFonts w:ascii="Arial" w:hAnsi="Arial"/>
        </w:rPr>
      </w:pPr>
      <w:r>
        <w:rPr>
          <w:rFonts w:cs="Times New Roman" w:ascii="Arial" w:hAnsi="Arial"/>
          <w:b/>
        </w:rPr>
        <w:t>16.4.</w:t>
      </w:r>
      <w:r>
        <w:rPr>
          <w:rFonts w:cs="Times New Roman" w:ascii="Arial" w:hAnsi="Arial"/>
        </w:rPr>
        <w:t xml:space="preserve"> Apresentado recurso, será aberto prazo para apresentação de contrarrazões, será o mesmo do recurso – 3 (três) dias úteis – e terá início na data de intimação pessoal ou de divulgação da interposição do recurso.</w:t>
      </w:r>
    </w:p>
    <w:p>
      <w:pPr>
        <w:pStyle w:val="Normal"/>
        <w:spacing w:lineRule="auto" w:line="240"/>
        <w:jc w:val="both"/>
        <w:rPr>
          <w:rFonts w:ascii="Arial" w:hAnsi="Arial"/>
        </w:rPr>
      </w:pPr>
      <w:r>
        <w:rPr>
          <w:rFonts w:cs="Times New Roman" w:ascii="Arial" w:hAnsi="Arial"/>
          <w:b/>
        </w:rPr>
        <w:t>16.5.</w:t>
      </w:r>
      <w:r>
        <w:rPr>
          <w:rFonts w:cs="Times New Roman" w:ascii="Arial" w:hAnsi="Arial"/>
        </w:rPr>
        <w:t xml:space="preserve"> Será assegurado ao licitante vista dos elementos indispensáveis à defesa de seus interesses.</w:t>
      </w:r>
    </w:p>
    <w:p>
      <w:pPr>
        <w:pStyle w:val="Normal"/>
        <w:spacing w:lineRule="auto" w:line="240"/>
        <w:jc w:val="both"/>
        <w:rPr>
          <w:rFonts w:ascii="Arial" w:hAnsi="Arial"/>
        </w:rPr>
      </w:pPr>
      <w:r>
        <w:rPr>
          <w:rFonts w:cs="Times New Roman" w:ascii="Arial" w:hAnsi="Arial"/>
          <w:b/>
        </w:rPr>
        <w:t>16.6.</w:t>
      </w:r>
      <w:r>
        <w:rPr>
          <w:rFonts w:cs="Times New Roman" w:ascii="Arial" w:hAnsi="Arial"/>
        </w:rPr>
        <w:t xml:space="preserve"> Apresentadas as contrarrazões ou findo o prazo para apresentação destas, a autoridade que tiver editado o ato ou proferido a decisão recorrida terá prazo de 3 (três) dias úteis para apreciar o recurso e as contrarrazões. </w:t>
      </w:r>
    </w:p>
    <w:p>
      <w:pPr>
        <w:pStyle w:val="Normal"/>
        <w:spacing w:lineRule="auto" w:line="240"/>
        <w:jc w:val="both"/>
        <w:rPr>
          <w:rFonts w:ascii="Arial" w:hAnsi="Arial"/>
        </w:rPr>
      </w:pPr>
      <w:r>
        <w:rPr>
          <w:rFonts w:cs="Times New Roman" w:ascii="Arial" w:hAnsi="Arial"/>
          <w:b/>
        </w:rPr>
        <w:t>16.6.1.</w:t>
      </w:r>
      <w:r>
        <w:rPr>
          <w:rFonts w:cs="Times New Roman" w:ascii="Arial" w:hAnsi="Arial"/>
        </w:rPr>
        <w:t xml:space="preserve"> Se não reconsiderar o ato ou a decisão, encaminhará o recurso com a sua motivação à autoridade superior, a qual deverá proferir sua decisão no prazo máximo de 10 (dez) dias úteis, contado do recebimento dos autos.</w:t>
      </w:r>
    </w:p>
    <w:p>
      <w:pPr>
        <w:pStyle w:val="Normal"/>
        <w:spacing w:lineRule="auto" w:line="240"/>
        <w:jc w:val="both"/>
        <w:rPr>
          <w:rFonts w:ascii="Arial" w:hAnsi="Arial"/>
        </w:rPr>
      </w:pPr>
      <w:r>
        <w:rPr>
          <w:rFonts w:cs="Times New Roman" w:ascii="Arial" w:hAnsi="Arial"/>
          <w:b/>
        </w:rPr>
        <w:t xml:space="preserve">16.7. </w:t>
      </w:r>
      <w:r>
        <w:rPr>
          <w:rFonts w:cs="Times New Roman" w:ascii="Arial" w:hAnsi="Arial"/>
        </w:rPr>
        <w:t>O acolhimento do recurso implicará invalidação apenas de ato insuscetível de aproveitamento.</w:t>
      </w:r>
    </w:p>
    <w:p>
      <w:pPr>
        <w:pStyle w:val="Normal"/>
        <w:spacing w:lineRule="auto" w:line="240"/>
        <w:jc w:val="both"/>
        <w:rPr>
          <w:rFonts w:ascii="Arial" w:hAnsi="Arial"/>
        </w:rPr>
      </w:pPr>
      <w:r>
        <w:rPr>
          <w:rFonts w:cs="Times New Roman" w:ascii="Arial" w:hAnsi="Arial"/>
          <w:b/>
        </w:rPr>
        <w:t>16.8.</w:t>
      </w:r>
      <w:r>
        <w:rPr>
          <w:rFonts w:cs="Times New Roman" w:ascii="Arial" w:hAnsi="Arial"/>
        </w:rPr>
        <w:t xml:space="preserve"> Cabe pedido de reconsideração, no prazo de 3 (três) dias úteis, contado da data de intimação, relativamente a ato do qual não caiba recurso hierárquico.</w:t>
      </w:r>
      <w:bookmarkStart w:id="27" w:name="art166"/>
      <w:bookmarkStart w:id="28" w:name="art165§5"/>
      <w:bookmarkStart w:id="29" w:name="art165§4"/>
      <w:bookmarkStart w:id="30" w:name="art165§3"/>
      <w:bookmarkStart w:id="31" w:name="art165§2"/>
      <w:bookmarkStart w:id="32" w:name="art165§1"/>
      <w:bookmarkEnd w:id="27"/>
      <w:bookmarkEnd w:id="28"/>
      <w:bookmarkEnd w:id="29"/>
      <w:bookmarkEnd w:id="30"/>
      <w:bookmarkEnd w:id="31"/>
      <w:bookmarkEnd w:id="32"/>
    </w:p>
    <w:p>
      <w:pPr>
        <w:pStyle w:val="Normal"/>
        <w:spacing w:lineRule="auto" w:line="240"/>
        <w:jc w:val="both"/>
        <w:rPr/>
      </w:pPr>
      <w:r>
        <w:rPr>
          <w:rFonts w:cs="Times New Roman" w:ascii="Arial" w:hAnsi="Arial"/>
          <w:b/>
        </w:rPr>
        <w:t>16.9.</w:t>
      </w:r>
      <w:r>
        <w:rPr>
          <w:rFonts w:cs="Times New Roman" w:ascii="Arial" w:hAnsi="Arial"/>
        </w:rPr>
        <w:t xml:space="preserve"> Da aplicação das sanções previstas nos incisos I, II e III do </w:t>
      </w:r>
      <w:r>
        <w:rPr>
          <w:rFonts w:cs="Times New Roman" w:ascii="Arial" w:hAnsi="Arial"/>
          <w:bCs/>
          <w:i/>
        </w:rPr>
        <w:t xml:space="preserve">caput </w:t>
      </w:r>
      <w:r>
        <w:rPr>
          <w:rFonts w:cs="Times New Roman" w:ascii="Arial" w:hAnsi="Arial"/>
        </w:rPr>
        <w:t>do art. 156 da Lei nº 14.133/2021</w:t>
      </w:r>
      <w:r>
        <w:rPr>
          <w:rStyle w:val="LinkdaInternet"/>
          <w:rFonts w:cs="Times New Roman" w:ascii="Arial" w:hAnsi="Arial"/>
        </w:rPr>
        <w:t xml:space="preserve"> </w:t>
      </w:r>
      <w:r>
        <w:rPr>
          <w:rFonts w:cs="Times New Roman" w:ascii="Arial" w:hAnsi="Arial"/>
        </w:rPr>
        <w:t>caberá recurso no prazo de 15 (quinze) dias úteis, contado da data da intimação.</w:t>
      </w:r>
    </w:p>
    <w:p>
      <w:pPr>
        <w:pStyle w:val="Normal"/>
        <w:spacing w:lineRule="auto" w:line="240"/>
        <w:jc w:val="both"/>
        <w:rPr>
          <w:rFonts w:ascii="Arial" w:hAnsi="Arial"/>
        </w:rPr>
      </w:pPr>
      <w:r>
        <w:rPr>
          <w:rFonts w:cs="Times New Roman" w:ascii="Arial" w:hAnsi="Arial"/>
          <w:b/>
        </w:rPr>
        <w:t>16.9.1.</w:t>
      </w:r>
      <w:r>
        <w:rPr>
          <w:rFonts w:cs="Times New Roman" w:ascii="Arial" w:hAnsi="Arial"/>
        </w:rPr>
        <w:t xml:space="preserve">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bookmarkStart w:id="33" w:name="art167"/>
      <w:bookmarkEnd w:id="33"/>
    </w:p>
    <w:p>
      <w:pPr>
        <w:pStyle w:val="Normal"/>
        <w:spacing w:lineRule="auto" w:line="240"/>
        <w:jc w:val="both"/>
        <w:rPr>
          <w:rFonts w:ascii="Arial" w:hAnsi="Arial"/>
        </w:rPr>
      </w:pPr>
      <w:r>
        <w:rPr>
          <w:rFonts w:cs="Times New Roman" w:ascii="Arial" w:hAnsi="Arial"/>
          <w:b/>
        </w:rPr>
        <w:t>16.10.</w:t>
      </w:r>
      <w:r>
        <w:rPr>
          <w:rFonts w:cs="Times New Roman" w:ascii="Arial" w:hAnsi="Arial"/>
        </w:rPr>
        <w:t xml:space="preserve"> Da aplicação da sanção prevista no inciso IV do </w:t>
      </w:r>
      <w:r>
        <w:rPr>
          <w:rFonts w:cs="Times New Roman" w:ascii="Arial" w:hAnsi="Arial"/>
          <w:bCs/>
          <w:i/>
        </w:rPr>
        <w:t xml:space="preserve">caput </w:t>
      </w:r>
      <w:r>
        <w:rPr>
          <w:rFonts w:cs="Times New Roman" w:ascii="Arial" w:hAnsi="Arial"/>
        </w:rPr>
        <w:t>do art. 156 da Lei nº 14.133/2021 caberá apenas pedido de reconsideração, que deverá ser apresentado no prazo de 15 (quinze) dias úteis, contado da data da intimação, e decidido no prazo máximo de 20 (vinte) dias úteis, contado do seu recebimento.</w:t>
      </w:r>
      <w:bookmarkStart w:id="34" w:name="art168"/>
      <w:bookmarkEnd w:id="34"/>
    </w:p>
    <w:p>
      <w:pPr>
        <w:pStyle w:val="Normal"/>
        <w:spacing w:lineRule="auto" w:line="240"/>
        <w:jc w:val="both"/>
        <w:rPr>
          <w:rFonts w:ascii="Arial" w:hAnsi="Arial"/>
        </w:rPr>
      </w:pPr>
      <w:r>
        <w:rPr>
          <w:rFonts w:cs="Times New Roman" w:ascii="Arial" w:hAnsi="Arial"/>
          <w:b/>
        </w:rPr>
        <w:t>16.11.</w:t>
      </w:r>
      <w:r>
        <w:rPr>
          <w:rFonts w:cs="Times New Roman" w:ascii="Arial" w:hAnsi="Arial"/>
        </w:rPr>
        <w:t xml:space="preserve"> O recurso e o pedido de reconsideração terão efeito suspensivo do ato ou da decisão recorrida até que sobrevenha decisão final da autoridade competente.</w:t>
      </w:r>
      <w:bookmarkStart w:id="35" w:name="art168p"/>
      <w:bookmarkEnd w:id="35"/>
    </w:p>
    <w:p>
      <w:pPr>
        <w:pStyle w:val="Normal"/>
        <w:tabs>
          <w:tab w:val="clear" w:pos="720"/>
          <w:tab w:val="left" w:pos="1134" w:leader="none"/>
        </w:tabs>
        <w:spacing w:lineRule="auto" w:line="240"/>
        <w:jc w:val="both"/>
        <w:rPr>
          <w:rFonts w:ascii="Arial" w:hAnsi="Arial"/>
        </w:rPr>
      </w:pPr>
      <w:r>
        <w:rPr>
          <w:rFonts w:cs="Times New Roman" w:ascii="Arial" w:hAnsi="Arial"/>
          <w:b/>
          <w:iCs/>
        </w:rPr>
        <w:t>16.12.</w:t>
      </w:r>
      <w:r>
        <w:rPr>
          <w:rFonts w:cs="Times New Roman" w:ascii="Arial" w:hAnsi="Arial"/>
          <w:iCs/>
        </w:rPr>
        <w:t xml:space="preserve"> Na elaboração de suas decisões, a autoridade competente será auxiliada pelo órgão de assessoramento jurídico, que deverá dirimir dúvidas e subsidiá-la com as informações necessárias.</w:t>
      </w:r>
    </w:p>
    <w:p>
      <w:pPr>
        <w:pStyle w:val="Normal"/>
        <w:shd w:val="clear" w:color="auto" w:fill="AEAAAA" w:themeFill="background2" w:themeFillShade="bf"/>
        <w:tabs>
          <w:tab w:val="clear" w:pos="720"/>
          <w:tab w:val="left" w:pos="567" w:leader="none"/>
        </w:tabs>
        <w:spacing w:lineRule="auto" w:line="240"/>
        <w:jc w:val="both"/>
        <w:rPr>
          <w:rFonts w:ascii="Arial" w:hAnsi="Arial"/>
        </w:rPr>
      </w:pPr>
      <w:r>
        <w:rPr>
          <w:rFonts w:cs="Times New Roman" w:ascii="Arial" w:hAnsi="Arial"/>
          <w:b/>
          <w:iCs/>
        </w:rPr>
        <w:t>17. DA ADJUDICAÇÃO E HOMOLOGAÇÃO</w:t>
      </w:r>
    </w:p>
    <w:p>
      <w:pPr>
        <w:pStyle w:val="Normal"/>
        <w:tabs>
          <w:tab w:val="clear" w:pos="720"/>
          <w:tab w:val="left" w:pos="1134" w:leader="none"/>
        </w:tabs>
        <w:spacing w:lineRule="auto" w:line="240"/>
        <w:jc w:val="both"/>
        <w:rPr>
          <w:rFonts w:ascii="Arial" w:hAnsi="Arial"/>
        </w:rPr>
      </w:pPr>
      <w:r>
        <w:rPr>
          <w:rFonts w:cs="Times New Roman" w:ascii="Arial" w:hAnsi="Arial"/>
          <w:b/>
          <w:iCs/>
        </w:rPr>
        <w:t>17.1.</w:t>
      </w:r>
      <w:r>
        <w:rPr>
          <w:rFonts w:cs="Times New Roman" w:ascii="Arial" w:hAnsi="Arial"/>
          <w:iCs/>
        </w:rPr>
        <w:t xml:space="preserve"> </w:t>
      </w:r>
      <w:r>
        <w:rPr>
          <w:rFonts w:cs="Times New Roman" w:ascii="Arial" w:hAnsi="Arial"/>
        </w:rPr>
        <w:t>Conforme art. 71 da Lei nº 14.133/2021, encerradas as fases de julgamento e habilitação, e exauridos os recursos administrativos, o processo licitatório será encaminhado à autoridade superior, que poderá:</w:t>
      </w:r>
    </w:p>
    <w:p>
      <w:pPr>
        <w:pStyle w:val="ListParagraph"/>
        <w:widowControl w:val="false"/>
        <w:numPr>
          <w:ilvl w:val="0"/>
          <w:numId w:val="16"/>
        </w:numPr>
        <w:tabs>
          <w:tab w:val="clear" w:pos="720"/>
          <w:tab w:val="left" w:pos="1134" w:leader="none"/>
        </w:tabs>
        <w:ind w:left="567" w:hanging="0"/>
        <w:jc w:val="both"/>
        <w:textAlignment w:val="baseline"/>
        <w:rPr>
          <w:rFonts w:ascii="Arial" w:hAnsi="Arial"/>
          <w:sz w:val="22"/>
          <w:szCs w:val="22"/>
        </w:rPr>
      </w:pPr>
      <w:bookmarkStart w:id="36" w:name="art71i"/>
      <w:bookmarkEnd w:id="36"/>
      <w:r>
        <w:rPr>
          <w:rFonts w:ascii="Arial" w:hAnsi="Arial"/>
          <w:sz w:val="22"/>
          <w:szCs w:val="22"/>
        </w:rPr>
        <w:t>Determinar o retorno dos autos para saneamento de irregularidades;</w:t>
      </w:r>
    </w:p>
    <w:p>
      <w:pPr>
        <w:pStyle w:val="ListParagraph"/>
        <w:widowControl w:val="false"/>
        <w:numPr>
          <w:ilvl w:val="0"/>
          <w:numId w:val="16"/>
        </w:numPr>
        <w:tabs>
          <w:tab w:val="clear" w:pos="720"/>
          <w:tab w:val="left" w:pos="1134" w:leader="none"/>
        </w:tabs>
        <w:ind w:left="567" w:hanging="0"/>
        <w:jc w:val="both"/>
        <w:textAlignment w:val="baseline"/>
        <w:rPr>
          <w:rFonts w:ascii="Arial" w:hAnsi="Arial"/>
          <w:sz w:val="22"/>
          <w:szCs w:val="22"/>
        </w:rPr>
      </w:pPr>
      <w:bookmarkStart w:id="37" w:name="art71ii"/>
      <w:bookmarkEnd w:id="37"/>
      <w:r>
        <w:rPr>
          <w:rFonts w:ascii="Arial" w:hAnsi="Arial"/>
          <w:sz w:val="22"/>
          <w:szCs w:val="22"/>
        </w:rPr>
        <w:t>Revogar a licitação por motivo de conveniência e oportunidade;</w:t>
      </w:r>
    </w:p>
    <w:p>
      <w:pPr>
        <w:pStyle w:val="ListParagraph"/>
        <w:widowControl w:val="false"/>
        <w:numPr>
          <w:ilvl w:val="0"/>
          <w:numId w:val="16"/>
        </w:numPr>
        <w:tabs>
          <w:tab w:val="clear" w:pos="720"/>
          <w:tab w:val="left" w:pos="1134" w:leader="none"/>
        </w:tabs>
        <w:ind w:left="567" w:hanging="0"/>
        <w:jc w:val="both"/>
        <w:textAlignment w:val="baseline"/>
        <w:rPr>
          <w:rFonts w:ascii="Arial" w:hAnsi="Arial"/>
          <w:sz w:val="22"/>
          <w:szCs w:val="22"/>
        </w:rPr>
      </w:pPr>
      <w:bookmarkStart w:id="38" w:name="art71iii"/>
      <w:bookmarkEnd w:id="38"/>
      <w:r>
        <w:rPr>
          <w:rFonts w:ascii="Arial" w:hAnsi="Arial"/>
          <w:sz w:val="22"/>
          <w:szCs w:val="22"/>
        </w:rPr>
        <w:t>Proceder à anulação da licitação, de ofício ou mediante provocação de terceiros, sempre que presente ilegalidade insanável;</w:t>
      </w:r>
    </w:p>
    <w:p>
      <w:pPr>
        <w:pStyle w:val="ListParagraph"/>
        <w:widowControl w:val="false"/>
        <w:numPr>
          <w:ilvl w:val="0"/>
          <w:numId w:val="16"/>
        </w:numPr>
        <w:tabs>
          <w:tab w:val="clear" w:pos="720"/>
          <w:tab w:val="left" w:pos="1134" w:leader="none"/>
        </w:tabs>
        <w:ind w:left="567" w:hanging="0"/>
        <w:jc w:val="both"/>
        <w:textAlignment w:val="baseline"/>
        <w:rPr>
          <w:rFonts w:ascii="Arial" w:hAnsi="Arial"/>
          <w:sz w:val="22"/>
          <w:szCs w:val="22"/>
        </w:rPr>
      </w:pPr>
      <w:bookmarkStart w:id="39" w:name="art71iv"/>
      <w:bookmarkEnd w:id="39"/>
      <w:r>
        <w:rPr>
          <w:rFonts w:ascii="Arial" w:hAnsi="Arial"/>
          <w:sz w:val="22"/>
          <w:szCs w:val="22"/>
        </w:rPr>
        <w:t>Adjudicar o objeto e homologar a licitação.</w:t>
      </w:r>
    </w:p>
    <w:p>
      <w:pPr>
        <w:pStyle w:val="Normal"/>
        <w:tabs>
          <w:tab w:val="clear" w:pos="720"/>
          <w:tab w:val="left" w:pos="1134" w:leader="none"/>
        </w:tabs>
        <w:spacing w:lineRule="auto" w:line="240"/>
        <w:jc w:val="both"/>
        <w:rPr>
          <w:rFonts w:ascii="Arial" w:hAnsi="Arial"/>
        </w:rPr>
      </w:pPr>
      <w:bookmarkStart w:id="40" w:name="art71§1"/>
      <w:bookmarkEnd w:id="40"/>
      <w:r>
        <w:rPr>
          <w:rFonts w:cs="Times New Roman" w:ascii="Arial" w:hAnsi="Arial"/>
          <w:b/>
        </w:rPr>
        <w:t>17.2.</w:t>
      </w:r>
      <w:r>
        <w:rPr>
          <w:rFonts w:cs="Times New Roman" w:ascii="Arial" w:hAnsi="Arial"/>
        </w:rPr>
        <w:t xml:space="preserve"> Ao pronunciar a nulidade, a autoridade indicará expressamente os atos com vícios insanáveis, tornando sem efeito todos os subsequentes que deles dependam, e dará ensejo à apuração de responsabilidade de quem lhes tenha dado causa.</w:t>
      </w:r>
    </w:p>
    <w:p>
      <w:pPr>
        <w:pStyle w:val="Normal"/>
        <w:tabs>
          <w:tab w:val="clear" w:pos="720"/>
          <w:tab w:val="left" w:pos="1134" w:leader="none"/>
        </w:tabs>
        <w:spacing w:lineRule="auto" w:line="240"/>
        <w:jc w:val="both"/>
        <w:rPr>
          <w:rFonts w:ascii="Arial" w:hAnsi="Arial"/>
        </w:rPr>
      </w:pPr>
      <w:bookmarkStart w:id="41" w:name="art71§2"/>
      <w:bookmarkEnd w:id="41"/>
      <w:r>
        <w:rPr>
          <w:rFonts w:cs="Times New Roman" w:ascii="Arial" w:hAnsi="Arial"/>
          <w:b/>
        </w:rPr>
        <w:t>17.3.</w:t>
      </w:r>
      <w:r>
        <w:rPr>
          <w:rFonts w:cs="Times New Roman" w:ascii="Arial" w:hAnsi="Arial"/>
        </w:rPr>
        <w:t xml:space="preserve"> O motivo determinante para a revogação do processo licitatório deverá ser resultante de fato superveniente devidamente comprovado.</w:t>
      </w:r>
    </w:p>
    <w:p>
      <w:pPr>
        <w:pStyle w:val="Normal"/>
        <w:tabs>
          <w:tab w:val="clear" w:pos="720"/>
          <w:tab w:val="left" w:pos="1134" w:leader="none"/>
        </w:tabs>
        <w:spacing w:lineRule="auto" w:line="240"/>
        <w:jc w:val="both"/>
        <w:rPr>
          <w:rFonts w:ascii="Arial" w:hAnsi="Arial"/>
        </w:rPr>
      </w:pPr>
      <w:bookmarkStart w:id="42" w:name="art71§3"/>
      <w:bookmarkEnd w:id="42"/>
      <w:r>
        <w:rPr>
          <w:rFonts w:cs="Times New Roman" w:ascii="Arial" w:hAnsi="Arial"/>
          <w:b/>
        </w:rPr>
        <w:t>17.4.</w:t>
      </w:r>
      <w:r>
        <w:rPr>
          <w:rFonts w:cs="Times New Roman" w:ascii="Arial" w:hAnsi="Arial"/>
        </w:rPr>
        <w:t xml:space="preserve"> Nos casos de anulação e revogação, será assegurada a prévia manifestação dos interessados.</w:t>
      </w:r>
      <w:bookmarkStart w:id="43" w:name="art71§4"/>
      <w:bookmarkEnd w:id="43"/>
    </w:p>
    <w:p>
      <w:pPr>
        <w:pStyle w:val="Normal"/>
        <w:tabs>
          <w:tab w:val="clear" w:pos="720"/>
          <w:tab w:val="left" w:pos="1134" w:leader="none"/>
        </w:tabs>
        <w:spacing w:lineRule="auto" w:line="240"/>
        <w:jc w:val="both"/>
        <w:rPr>
          <w:rFonts w:ascii="Arial" w:hAnsi="Arial"/>
        </w:rPr>
      </w:pPr>
      <w:r>
        <w:rPr>
          <w:rFonts w:cs="Times New Roman" w:ascii="Arial" w:hAnsi="Arial"/>
          <w:b/>
        </w:rPr>
        <w:t xml:space="preserve">17.5. </w:t>
      </w:r>
      <w:r>
        <w:rPr>
          <w:rFonts w:cs="Times New Roman" w:ascii="Arial" w:hAnsi="Arial"/>
        </w:rPr>
        <w:t>A anulação do processo licitatório induz à da ata de registro de preços (caso houver) e do contrato.</w:t>
      </w:r>
    </w:p>
    <w:p>
      <w:pPr>
        <w:pStyle w:val="Normal"/>
        <w:tabs>
          <w:tab w:val="clear" w:pos="720"/>
          <w:tab w:val="left" w:pos="1134" w:leader="none"/>
        </w:tabs>
        <w:spacing w:lineRule="auto" w:line="240"/>
        <w:jc w:val="both"/>
        <w:rPr>
          <w:rFonts w:ascii="Arial" w:hAnsi="Arial"/>
        </w:rPr>
      </w:pPr>
      <w:r>
        <w:rPr>
          <w:rFonts w:cs="Times New Roman" w:ascii="Arial" w:hAnsi="Arial"/>
          <w:b/>
        </w:rPr>
        <w:t xml:space="preserve">17.6. </w:t>
      </w:r>
      <w:r>
        <w:rPr>
          <w:rFonts w:cs="Times New Roman" w:ascii="Arial" w:hAnsi="Arial"/>
        </w:rPr>
        <w:t>Os licitantes não terão direito a indenização em decorrência da anulação do processo licitatório, ressalvado o direito do contratado de boa-fé de ser ressarcido pelos encargos que tiver suportado no cumprimento do contrato.</w:t>
      </w:r>
    </w:p>
    <w:p>
      <w:pPr>
        <w:pStyle w:val="Normal"/>
        <w:shd w:val="clear" w:color="auto" w:fill="AEAAAA" w:themeFill="background2" w:themeFillShade="bf"/>
        <w:tabs>
          <w:tab w:val="clear" w:pos="720"/>
          <w:tab w:val="left" w:pos="567" w:leader="none"/>
        </w:tabs>
        <w:spacing w:lineRule="auto" w:line="240"/>
        <w:jc w:val="both"/>
        <w:rPr>
          <w:rFonts w:ascii="Arial" w:hAnsi="Arial"/>
        </w:rPr>
      </w:pPr>
      <w:r>
        <w:rPr>
          <w:rFonts w:cs="Times New Roman" w:ascii="Arial" w:hAnsi="Arial"/>
          <w:b/>
          <w:iCs/>
        </w:rPr>
        <w:t>18. CONTRATO ADMINISTRATIVO</w:t>
      </w:r>
    </w:p>
    <w:p>
      <w:pPr>
        <w:pStyle w:val="Normal"/>
        <w:tabs>
          <w:tab w:val="clear" w:pos="720"/>
          <w:tab w:val="left" w:pos="1134" w:leader="none"/>
        </w:tabs>
        <w:spacing w:lineRule="auto" w:line="240"/>
        <w:jc w:val="both"/>
        <w:rPr>
          <w:rFonts w:ascii="Arial" w:hAnsi="Arial"/>
        </w:rPr>
      </w:pPr>
      <w:r>
        <w:rPr>
          <w:rFonts w:cs="Times New Roman" w:ascii="Arial" w:hAnsi="Arial"/>
          <w:b/>
          <w:iCs/>
          <w:highlight w:val="lightGray"/>
        </w:rPr>
        <w:t xml:space="preserve">18.1. REGRAS GERAIS </w:t>
      </w:r>
    </w:p>
    <w:p>
      <w:pPr>
        <w:pStyle w:val="Normal"/>
        <w:spacing w:lineRule="auto" w:line="240"/>
        <w:jc w:val="both"/>
        <w:rPr>
          <w:rFonts w:ascii="Arial" w:hAnsi="Arial"/>
        </w:rPr>
      </w:pPr>
      <w:r>
        <w:rPr>
          <w:rFonts w:cs="Times New Roman" w:ascii="Arial" w:hAnsi="Arial"/>
          <w:b/>
          <w:iCs/>
        </w:rPr>
        <w:t>18.1.1.</w:t>
      </w:r>
      <w:r>
        <w:rPr>
          <w:rFonts w:cs="Times New Roman" w:ascii="Arial" w:hAnsi="Arial"/>
          <w:iCs/>
        </w:rPr>
        <w:t xml:space="preserve"> O contrato regular-se-á pelas suas cláusulas e pelos preceitos de direito público, e a ele será aplicado, supletivamente, os princípios da teoria geral dos contratos e as disposições de direito privado.</w:t>
      </w:r>
    </w:p>
    <w:p>
      <w:pPr>
        <w:pStyle w:val="Normal"/>
        <w:spacing w:lineRule="auto" w:line="240"/>
        <w:jc w:val="both"/>
        <w:rPr>
          <w:b/>
          <w:b/>
          <w:bCs/>
        </w:rPr>
      </w:pPr>
      <w:r>
        <w:rPr>
          <w:rFonts w:cs="Times New Roman" w:ascii="Arial" w:hAnsi="Arial"/>
          <w:b/>
          <w:bCs/>
          <w:iCs/>
        </w:rPr>
        <w:t>18.1.1.1. Para fins de assinatura do contrato, a empresa licitante deverá apresentar os seguintes documentos:</w:t>
      </w:r>
    </w:p>
    <w:p>
      <w:pPr>
        <w:pStyle w:val="Normal"/>
        <w:spacing w:lineRule="auto" w:line="240"/>
        <w:jc w:val="both"/>
        <w:rPr>
          <w:b/>
          <w:b/>
          <w:bCs/>
        </w:rPr>
      </w:pPr>
      <w:r>
        <w:rPr>
          <w:rFonts w:cs="Times New Roman" w:ascii="Arial" w:hAnsi="Arial"/>
          <w:b/>
          <w:bCs/>
          <w:iCs/>
        </w:rPr>
        <w:tab/>
        <w:t>a) P</w:t>
      </w:r>
      <w:r>
        <w:rPr>
          <w:rFonts w:cs="Arial" w:ascii="Arial" w:hAnsi="Arial"/>
          <w:b/>
          <w:bCs/>
          <w:iCs/>
          <w:sz w:val="22"/>
          <w:szCs w:val="22"/>
          <w:shd w:fill="auto" w:val="clear"/>
        </w:rPr>
        <w:t xml:space="preserve">lano de trabalho para o dia do evento, com informações exatas a respeito dos artistas e </w:t>
      </w:r>
      <w:r>
        <w:rPr>
          <w:rFonts w:eastAsia="Calibri" w:cs="Arial" w:ascii="Arial" w:hAnsi="Arial"/>
          <w:b/>
          <w:bCs/>
          <w:iCs/>
          <w:color w:val="000000"/>
          <w:kern w:val="0"/>
          <w:sz w:val="22"/>
          <w:szCs w:val="22"/>
          <w:shd w:fill="auto" w:val="clear"/>
          <w:lang w:val="pt-BR" w:eastAsia="en-US" w:bidi="ar-SA"/>
        </w:rPr>
        <w:t>horários</w:t>
      </w:r>
      <w:r>
        <w:rPr>
          <w:rFonts w:cs="Arial" w:ascii="Arial" w:hAnsi="Arial"/>
          <w:b/>
          <w:bCs/>
          <w:iCs/>
          <w:sz w:val="22"/>
          <w:szCs w:val="22"/>
          <w:shd w:fill="auto" w:val="clear"/>
        </w:rPr>
        <w:t xml:space="preserve"> dos shows, marcas e preços dos produtos que serão comercializados, além de outras informações que vierem a ser necessários para o correto funcionamento do evento.</w:t>
      </w:r>
    </w:p>
    <w:p>
      <w:pPr>
        <w:pStyle w:val="Normal"/>
        <w:spacing w:lineRule="auto" w:line="240"/>
        <w:jc w:val="both"/>
        <w:rPr>
          <w:b/>
          <w:b/>
          <w:bCs/>
        </w:rPr>
      </w:pPr>
      <w:r>
        <w:rPr>
          <w:rFonts w:cs="Arial" w:ascii="Arial" w:hAnsi="Arial"/>
          <w:b/>
          <w:bCs/>
          <w:iCs/>
          <w:sz w:val="22"/>
          <w:szCs w:val="22"/>
          <w:shd w:fill="auto" w:val="clear"/>
        </w:rPr>
        <w:tab/>
        <w:t>b) Documento que comprove o renome nacional do(s) artista(s), além de documento que comprove a disponibilidade do(s) artista(s) que se apresentará(ão) no dia do evento.</w:t>
      </w:r>
    </w:p>
    <w:p>
      <w:pPr>
        <w:pStyle w:val="Normal"/>
        <w:spacing w:lineRule="auto" w:line="240"/>
        <w:jc w:val="both"/>
        <w:rPr>
          <w:b/>
          <w:b/>
          <w:bCs/>
        </w:rPr>
      </w:pPr>
      <w:r>
        <w:rPr>
          <w:rFonts w:cs="Arial" w:ascii="Arial" w:hAnsi="Arial"/>
          <w:b/>
          <w:bCs/>
          <w:iCs/>
          <w:sz w:val="22"/>
          <w:szCs w:val="22"/>
          <w:shd w:fill="auto" w:val="clear"/>
        </w:rPr>
        <w:tab/>
        <w:t>c) A empresa deve também realizar o pagamento, em parcela única, do valor homologado no processo licitatório, em conta a ser informada pela administração.</w:t>
      </w:r>
    </w:p>
    <w:p>
      <w:pPr>
        <w:pStyle w:val="Normal"/>
        <w:spacing w:lineRule="auto" w:line="240"/>
        <w:jc w:val="both"/>
        <w:rPr>
          <w:rFonts w:ascii="Arial" w:hAnsi="Arial"/>
        </w:rPr>
      </w:pPr>
      <w:r>
        <w:rPr>
          <w:rFonts w:cs="Times New Roman" w:ascii="Arial" w:hAnsi="Arial"/>
          <w:b/>
          <w:bCs/>
          <w:iCs/>
        </w:rPr>
        <w:t>18.1.1.2.</w:t>
      </w:r>
      <w:r>
        <w:rPr>
          <w:rFonts w:cs="Times New Roman" w:ascii="Arial" w:hAnsi="Arial"/>
          <w:iCs/>
        </w:rPr>
        <w:t xml:space="preserve"> O contrato administrativo vinculado ao presente edital poderá sofrer alterações, com base nos artigos nº 124 ao nº 136 da Lei nº 14.133/2021.</w:t>
      </w:r>
    </w:p>
    <w:p>
      <w:pPr>
        <w:pStyle w:val="Normal"/>
        <w:spacing w:lineRule="auto" w:line="240"/>
        <w:jc w:val="both"/>
        <w:rPr>
          <w:rFonts w:ascii="Arial" w:hAnsi="Arial"/>
        </w:rPr>
      </w:pPr>
      <w:r>
        <w:rPr>
          <w:rFonts w:cs="Times New Roman" w:ascii="Arial" w:hAnsi="Arial"/>
          <w:b/>
          <w:iCs/>
          <w:color w:val="000000"/>
        </w:rPr>
        <w:t>18.1.2.</w:t>
      </w:r>
      <w:r>
        <w:rPr>
          <w:rFonts w:cs="Times New Roman" w:ascii="Arial" w:hAnsi="Arial"/>
          <w:iCs/>
          <w:color w:val="000000"/>
        </w:rPr>
        <w:t xml:space="preserve"> A Administração Pública Municipal convocará o licitante vencedor para assinar o termo de contrato ou para aceitar ou retirar o instrumento equivalente, dentro do prazo máximo de </w:t>
      </w:r>
      <w:r>
        <w:rPr>
          <w:rFonts w:eastAsia="Calibri" w:cs="Times New Roman" w:ascii="Arial" w:hAnsi="Arial"/>
          <w:iCs/>
          <w:color w:val="000000"/>
        </w:rPr>
        <w:t>03</w:t>
      </w:r>
      <w:r>
        <w:rPr>
          <w:rFonts w:cs="Times New Roman" w:ascii="Arial" w:hAnsi="Arial"/>
          <w:iCs/>
          <w:color w:val="000000"/>
        </w:rPr>
        <w:t xml:space="preserve"> (</w:t>
      </w:r>
      <w:r>
        <w:rPr>
          <w:rFonts w:eastAsia="Calibri" w:cs="Times New Roman" w:ascii="Arial" w:hAnsi="Arial"/>
          <w:iCs/>
          <w:color w:val="000000"/>
        </w:rPr>
        <w:t>três</w:t>
      </w:r>
      <w:r>
        <w:rPr>
          <w:rFonts w:cs="Times New Roman" w:ascii="Arial" w:hAnsi="Arial"/>
          <w:iCs/>
          <w:color w:val="000000"/>
        </w:rPr>
        <w:t xml:space="preserve">) dias úteis, sob pena de decair o direito à contratação, sem prejuízo das sanções previstas na Lei nº 14.133/2021. </w:t>
      </w:r>
    </w:p>
    <w:p>
      <w:pPr>
        <w:pStyle w:val="Normal"/>
        <w:spacing w:lineRule="auto" w:line="240"/>
        <w:jc w:val="both"/>
        <w:rPr>
          <w:rFonts w:ascii="Arial" w:hAnsi="Arial"/>
        </w:rPr>
      </w:pPr>
      <w:r>
        <w:rPr>
          <w:rFonts w:cs="Times New Roman" w:ascii="Arial" w:hAnsi="Arial"/>
          <w:b/>
          <w:iCs/>
        </w:rPr>
        <w:t>18.1.2.1.</w:t>
      </w:r>
      <w:r>
        <w:rPr>
          <w:rFonts w:cs="Times New Roman" w:ascii="Arial" w:hAnsi="Arial"/>
          <w:iCs/>
        </w:rPr>
        <w:t xml:space="preserve"> O prazo de convocação poderá ser prorrogado 1 (uma) vez, por igual período, mediante solicitação da parte durante seu transcurso, devidamente justificada, e desde que o motivo apresentado seja aceito pela Administração.</w:t>
      </w:r>
    </w:p>
    <w:p>
      <w:pPr>
        <w:pStyle w:val="Normal"/>
        <w:spacing w:lineRule="auto" w:line="240"/>
        <w:jc w:val="both"/>
        <w:rPr>
          <w:rFonts w:ascii="Arial" w:hAnsi="Arial"/>
        </w:rPr>
      </w:pPr>
      <w:r>
        <w:rPr>
          <w:rFonts w:cs="Times New Roman" w:ascii="Arial" w:hAnsi="Arial"/>
          <w:b/>
          <w:iCs/>
        </w:rPr>
        <w:t>18.1.2.2.</w:t>
      </w:r>
      <w:r>
        <w:rPr>
          <w:rFonts w:cs="Times New Roman" w:ascii="Arial" w:hAnsi="Arial"/>
          <w:iCs/>
        </w:rPr>
        <w:t xml:space="preserve"> Poderá a Administração Pública Municipal,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pStyle w:val="Normal"/>
        <w:spacing w:lineRule="auto" w:line="240"/>
        <w:jc w:val="both"/>
        <w:rPr>
          <w:rFonts w:ascii="Arial" w:hAnsi="Arial"/>
        </w:rPr>
      </w:pPr>
      <w:r>
        <w:rPr>
          <w:rFonts w:cs="Times New Roman" w:ascii="Arial" w:hAnsi="Arial"/>
          <w:b/>
          <w:iCs/>
        </w:rPr>
        <w:t>18.1.2.3.</w:t>
      </w:r>
      <w:r>
        <w:rPr>
          <w:rFonts w:cs="Times New Roman" w:ascii="Arial" w:hAnsi="Arial"/>
          <w:iCs/>
        </w:rPr>
        <w:t xml:space="preserve"> Decorrido o prazo de validade da proposta indicado no edital sem convocação para a contratação, ficarão os licitantes liberados dos compromissos assumidos.</w:t>
      </w:r>
    </w:p>
    <w:p>
      <w:pPr>
        <w:pStyle w:val="Normal"/>
        <w:spacing w:lineRule="auto" w:line="240"/>
        <w:jc w:val="both"/>
        <w:rPr>
          <w:rFonts w:ascii="Arial" w:hAnsi="Arial"/>
        </w:rPr>
      </w:pPr>
      <w:r>
        <w:rPr>
          <w:rFonts w:cs="Times New Roman" w:ascii="Arial" w:hAnsi="Arial"/>
          <w:b/>
          <w:iCs/>
        </w:rPr>
        <w:t>18.1.2.4.</w:t>
      </w:r>
      <w:r>
        <w:rPr>
          <w:rFonts w:cs="Times New Roman" w:ascii="Arial" w:hAnsi="Arial"/>
          <w:iCs/>
        </w:rPr>
        <w:t xml:space="preserve"> Na hipótese de nenhum dos licitantes aceitar a, a Administração, observados o valor estimado e sua eventual atualização nos termos do edital, poderá (a) convocar os licitantes remanescentes para negociação, na ordem de classificação, com vistas à obtenção de preço melhor, mesmo que acima do preço do adjudicatário; (b) adjudicar e celebrar o contrato nas condições ofertadas pelos licitantes remanescentes, atendida a ordem classificatória, quando frustrada a negociação de melhor condição.</w:t>
      </w:r>
    </w:p>
    <w:p>
      <w:pPr>
        <w:pStyle w:val="Normal"/>
        <w:spacing w:lineRule="auto" w:line="240"/>
        <w:jc w:val="both"/>
        <w:rPr>
          <w:rFonts w:ascii="Arial" w:hAnsi="Arial"/>
        </w:rPr>
      </w:pPr>
      <w:r>
        <w:rPr>
          <w:rFonts w:cs="Times New Roman" w:ascii="Arial" w:hAnsi="Arial"/>
          <w:b/>
          <w:iCs/>
        </w:rPr>
        <w:t>18.1.2.5.</w:t>
      </w:r>
      <w:r>
        <w:rPr>
          <w:rFonts w:cs="Times New Roman" w:ascii="Arial" w:hAnsi="Arial"/>
          <w:iCs/>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w:t>
      </w:r>
    </w:p>
    <w:p>
      <w:pPr>
        <w:pStyle w:val="Normal"/>
        <w:spacing w:lineRule="auto" w:line="240"/>
        <w:jc w:val="both"/>
        <w:rPr>
          <w:rFonts w:ascii="Arial" w:hAnsi="Arial"/>
        </w:rPr>
      </w:pPr>
      <w:r>
        <w:rPr>
          <w:rFonts w:cs="Times New Roman" w:ascii="Arial" w:hAnsi="Arial"/>
          <w:b/>
          <w:iCs/>
        </w:rPr>
        <w:t>18.1.2.6.</w:t>
      </w:r>
      <w:r>
        <w:rPr>
          <w:rFonts w:cs="Times New Roman" w:ascii="Arial" w:hAnsi="Arial"/>
          <w:iCs/>
        </w:rPr>
        <w:t xml:space="preserve"> É possível que a Administração convoque os demais licitantes classificados para a contratação de remanescente de obra, de serviço ou de fornecimento em consequência de rescisão contratual, observados os mesmos critérios estabelecidos nos §§ 2º e 4º do art. 90 da Lei nº 14.133/2021.</w:t>
      </w:r>
    </w:p>
    <w:p>
      <w:pPr>
        <w:pStyle w:val="Normal"/>
        <w:spacing w:lineRule="auto" w:line="240"/>
        <w:jc w:val="both"/>
        <w:rPr>
          <w:rFonts w:ascii="Arial" w:hAnsi="Arial"/>
        </w:rPr>
      </w:pPr>
      <w:r>
        <w:rPr>
          <w:rFonts w:cs="Times New Roman" w:ascii="Arial" w:hAnsi="Arial"/>
          <w:b/>
          <w:iCs/>
        </w:rPr>
        <w:t>18.1.3.</w:t>
      </w:r>
      <w:r>
        <w:rPr>
          <w:rFonts w:cs="Times New Roman" w:ascii="Arial" w:hAnsi="Arial"/>
          <w:iCs/>
        </w:rPr>
        <w:t xml:space="preserve"> Os contratos e seus aditamentos terão forma escrita e serão juntados ao processo que tiver dado origem à contratação, divulgados e mantidos à disposição do público em sítio eletrônico oficial</w:t>
      </w:r>
      <w:r>
        <w:rPr>
          <w:rFonts w:cs="Times New Roman" w:ascii="Arial" w:hAnsi="Arial"/>
          <w:b/>
          <w:iCs/>
        </w:rPr>
        <w:t>.</w:t>
      </w:r>
    </w:p>
    <w:p>
      <w:pPr>
        <w:pStyle w:val="Normal"/>
        <w:spacing w:lineRule="auto" w:line="240"/>
        <w:jc w:val="both"/>
        <w:rPr>
          <w:rFonts w:ascii="Arial" w:hAnsi="Arial"/>
        </w:rPr>
      </w:pPr>
      <w:r>
        <w:rPr>
          <w:rFonts w:cs="Times New Roman" w:ascii="Arial" w:hAnsi="Arial"/>
          <w:b/>
          <w:iCs/>
        </w:rPr>
        <w:t>18.1.3.1.</w:t>
      </w:r>
      <w:r>
        <w:rPr>
          <w:rFonts w:cs="Times New Roman" w:ascii="Arial" w:hAnsi="Arial"/>
          <w:iCs/>
        </w:rPr>
        <w:t xml:space="preserve"> Será admitida a forma eletrônica na celebração de contratos e de termos aditivos, atendidas as exigências previstas em regulamento.</w:t>
      </w:r>
    </w:p>
    <w:p>
      <w:pPr>
        <w:pStyle w:val="Normal"/>
        <w:spacing w:lineRule="auto" w:line="240"/>
        <w:jc w:val="both"/>
        <w:rPr>
          <w:rFonts w:ascii="Arial" w:hAnsi="Arial"/>
        </w:rPr>
      </w:pPr>
      <w:r>
        <w:rPr>
          <w:rFonts w:cs="Times New Roman" w:ascii="Arial" w:hAnsi="Arial"/>
          <w:b/>
          <w:iCs/>
        </w:rPr>
        <w:t xml:space="preserve">18.1.3.2. </w:t>
      </w:r>
      <w:r>
        <w:rPr>
          <w:rFonts w:cs="Times New Roman" w:ascii="Arial" w:hAnsi="Arial"/>
          <w:iCs/>
        </w:rPr>
        <w:t>Antes de formalizar ou prorrogar o prazo de vigência do contrato, a Administração verificará a regularidade fiscal do contratado, consultar o Cadastro Nacional de Empresas Inidôneas e Suspensas (CEIS) e o Cadastro Nacional de Empresas Punidas (CNEP), emitir as certidões negativas de inidoneidade, de impedimento e de débitos trabalhistas e para serem juntadas ao respectivo processo.</w:t>
      </w:r>
    </w:p>
    <w:p>
      <w:pPr>
        <w:pStyle w:val="Normal"/>
        <w:spacing w:lineRule="auto" w:line="240"/>
        <w:jc w:val="both"/>
        <w:rPr>
          <w:rFonts w:ascii="Arial" w:hAnsi="Arial"/>
        </w:rPr>
      </w:pPr>
      <w:r>
        <w:rPr>
          <w:rFonts w:cs="Times New Roman" w:ascii="Arial" w:hAnsi="Arial"/>
          <w:b/>
          <w:iCs/>
        </w:rPr>
        <w:t>18.1.4.</w:t>
      </w:r>
      <w:r>
        <w:rPr>
          <w:rFonts w:cs="Times New Roman" w:ascii="Arial" w:hAnsi="Arial"/>
          <w:iCs/>
        </w:rPr>
        <w:t xml:space="preserve"> Os contratos administrativos obedecerão irrestritamente o disposto no art. 92 da Lei nº 14.133/2021.</w:t>
      </w:r>
    </w:p>
    <w:p>
      <w:pPr>
        <w:pStyle w:val="Normal"/>
        <w:spacing w:lineRule="auto" w:line="240"/>
        <w:jc w:val="both"/>
        <w:rPr>
          <w:rFonts w:ascii="Arial" w:hAnsi="Arial"/>
        </w:rPr>
      </w:pPr>
      <w:r>
        <w:rPr>
          <w:rFonts w:cs="Times New Roman" w:ascii="Arial" w:hAnsi="Arial"/>
          <w:b/>
          <w:iCs/>
        </w:rPr>
        <w:t>18.1.4.1.</w:t>
      </w:r>
      <w:r>
        <w:rPr>
          <w:rFonts w:cs="Times New Roman" w:ascii="Arial" w:hAnsi="Arial"/>
          <w:iCs/>
        </w:rPr>
        <w:t xml:space="preserve"> O contrato administrativo poderá ser substituído por outro instrumento hábil, como carta-contrato,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 (art. 95, II), aplicando no que couber o disposto no art. 92 da Lei nº 14.133/2021.</w:t>
      </w:r>
    </w:p>
    <w:p>
      <w:pPr>
        <w:pStyle w:val="Normal"/>
        <w:spacing w:lineRule="auto" w:line="240"/>
        <w:jc w:val="both"/>
        <w:rPr>
          <w:rFonts w:ascii="Arial" w:hAnsi="Arial"/>
        </w:rPr>
      </w:pPr>
      <w:r>
        <w:rPr>
          <w:rFonts w:cs="Times New Roman" w:ascii="Arial" w:hAnsi="Arial"/>
          <w:b/>
          <w:bCs/>
          <w:iCs/>
        </w:rPr>
        <w:t>18.1.4.2.</w:t>
      </w:r>
      <w:r>
        <w:rPr>
          <w:rFonts w:cs="Times New Roman" w:ascii="Arial" w:hAnsi="Arial"/>
          <w:iCs/>
        </w:rPr>
        <w:t xml:space="preserve"> </w:t>
      </w:r>
      <w:r>
        <w:rPr>
          <w:rFonts w:cs="Times New Roman" w:ascii="Arial" w:hAnsi="Arial"/>
          <w:iCs/>
          <w:color w:val="000000"/>
        </w:rPr>
        <w:t xml:space="preserve">O contrato que previr a operação continuada de sistemas estruturantes de tecnologia da informação </w:t>
      </w:r>
      <w:r>
        <w:rPr>
          <w:rFonts w:cs="Times New Roman" w:ascii="Arial" w:hAnsi="Arial"/>
          <w:b/>
          <w:bCs/>
          <w:iCs/>
          <w:color w:val="000000"/>
          <w:u w:val="single"/>
        </w:rPr>
        <w:t>poderá</w:t>
      </w:r>
      <w:r>
        <w:rPr>
          <w:rFonts w:cs="Times New Roman" w:ascii="Arial" w:hAnsi="Arial"/>
          <w:iCs/>
          <w:color w:val="000000"/>
        </w:rPr>
        <w:t xml:space="preserve"> ter vigência máxima de 15 (quinze) anos.</w:t>
      </w:r>
      <w:r>
        <w:rPr>
          <w:rFonts w:cs="Times New Roman" w:ascii="Arial" w:hAnsi="Arial"/>
          <w:iCs/>
        </w:rPr>
        <w:t xml:space="preserve"> </w:t>
      </w:r>
    </w:p>
    <w:p>
      <w:pPr>
        <w:pStyle w:val="Normal"/>
        <w:spacing w:lineRule="auto" w:line="240"/>
        <w:jc w:val="both"/>
        <w:rPr>
          <w:rFonts w:ascii="Arial" w:hAnsi="Arial"/>
        </w:rPr>
      </w:pPr>
      <w:r>
        <w:rPr>
          <w:rFonts w:cs="Times New Roman" w:ascii="Arial" w:hAnsi="Arial"/>
          <w:b/>
          <w:iCs/>
        </w:rPr>
        <w:t>18.1.4.3.</w:t>
      </w:r>
      <w:r>
        <w:rPr>
          <w:rFonts w:cs="Times New Roman" w:ascii="Arial" w:hAnsi="Arial"/>
          <w:iCs/>
        </w:rPr>
        <w:t xml:space="preserve"> O contrato terá seu preço reajustado pelo índice </w:t>
      </w:r>
      <w:r>
        <w:rPr>
          <w:rFonts w:eastAsia="Calibri" w:cs="Times New Roman" w:ascii="Arial" w:hAnsi="Arial"/>
          <w:iCs/>
          <w:color w:val="000000"/>
        </w:rPr>
        <w:t>INPC</w:t>
      </w:r>
      <w:r>
        <w:rPr>
          <w:rFonts w:cs="Times New Roman" w:ascii="Arial" w:hAnsi="Arial"/>
          <w:iCs/>
        </w:rPr>
        <w:t xml:space="preserve"> com data-base vinculada à data do orçamento estimado.</w:t>
      </w:r>
    </w:p>
    <w:p>
      <w:pPr>
        <w:pStyle w:val="Normal"/>
        <w:spacing w:lineRule="auto" w:line="240"/>
        <w:jc w:val="both"/>
        <w:rPr>
          <w:rFonts w:ascii="Arial" w:hAnsi="Arial"/>
        </w:rPr>
      </w:pPr>
      <w:r>
        <w:rPr>
          <w:rFonts w:cs="Times New Roman" w:ascii="Arial" w:hAnsi="Arial"/>
          <w:b/>
          <w:iCs/>
        </w:rPr>
        <w:t>18.1.4.3.1.</w:t>
      </w:r>
      <w:r>
        <w:rPr>
          <w:rFonts w:cs="Times New Roman" w:ascii="Arial" w:hAnsi="Arial"/>
          <w:iCs/>
        </w:rPr>
        <w:t xml:space="preserve"> Poderá ser estabelecido mais de um índice específico ou setorial, em conformidade com a realidade de mercado dos respectivos insumos.</w:t>
      </w:r>
    </w:p>
    <w:p>
      <w:pPr>
        <w:pStyle w:val="Normal"/>
        <w:spacing w:lineRule="auto" w:line="240"/>
        <w:jc w:val="both"/>
        <w:rPr>
          <w:rFonts w:ascii="Arial" w:hAnsi="Arial"/>
        </w:rPr>
      </w:pPr>
      <w:r>
        <w:rPr>
          <w:rFonts w:cs="Times New Roman" w:ascii="Arial" w:hAnsi="Arial"/>
          <w:b/>
        </w:rPr>
        <w:t xml:space="preserve">18.1.5. </w:t>
      </w:r>
      <w:r>
        <w:rPr>
          <w:rFonts w:cs="Times New Roman" w:ascii="Arial" w:hAnsi="Arial"/>
        </w:rPr>
        <w:t>O contrato administrativo será publicado no prazo de 20 (vinte) dias úteis, contados da data de sua assinatura.</w:t>
      </w:r>
    </w:p>
    <w:p>
      <w:pPr>
        <w:pStyle w:val="Normal"/>
        <w:spacing w:lineRule="auto" w:line="240"/>
        <w:jc w:val="both"/>
        <w:rPr>
          <w:rFonts w:ascii="Arial" w:hAnsi="Arial"/>
        </w:rPr>
      </w:pPr>
      <w:r>
        <w:rPr>
          <w:rFonts w:cs="Times New Roman" w:ascii="Arial" w:hAnsi="Arial"/>
          <w:b/>
        </w:rPr>
        <w:t>18.1.6.</w:t>
      </w:r>
      <w:r>
        <w:rPr>
          <w:rFonts w:cs="Times New Roman" w:ascii="Arial" w:hAnsi="Arial"/>
        </w:rPr>
        <w:t xml:space="preserve"> No caso de consórcio: fica condicionada a assinatura do contrato a:</w:t>
      </w:r>
    </w:p>
    <w:p>
      <w:pPr>
        <w:pStyle w:val="Normal"/>
        <w:numPr>
          <w:ilvl w:val="0"/>
          <w:numId w:val="17"/>
        </w:numPr>
        <w:tabs>
          <w:tab w:val="clear" w:pos="720"/>
          <w:tab w:val="left" w:pos="1134" w:leader="none"/>
        </w:tabs>
        <w:spacing w:lineRule="auto" w:line="240" w:before="0" w:after="160"/>
        <w:ind w:left="567" w:hanging="0"/>
        <w:contextualSpacing/>
        <w:jc w:val="both"/>
        <w:rPr>
          <w:rFonts w:ascii="Arial" w:hAnsi="Arial"/>
        </w:rPr>
      </w:pPr>
      <w:r>
        <w:rPr>
          <w:rFonts w:cs="Times New Roman" w:ascii="Arial" w:hAnsi="Arial"/>
        </w:rPr>
        <w:t>Comprovação de compromisso público ou particular de constituição de consórcio, subscrito pelos consorciados;</w:t>
      </w:r>
    </w:p>
    <w:p>
      <w:pPr>
        <w:pStyle w:val="Normal"/>
        <w:numPr>
          <w:ilvl w:val="0"/>
          <w:numId w:val="17"/>
        </w:numPr>
        <w:tabs>
          <w:tab w:val="clear" w:pos="720"/>
          <w:tab w:val="left" w:pos="1134" w:leader="none"/>
        </w:tabs>
        <w:spacing w:lineRule="auto" w:line="240" w:before="0" w:after="160"/>
        <w:ind w:left="567" w:hanging="0"/>
        <w:contextualSpacing/>
        <w:jc w:val="both"/>
        <w:rPr>
          <w:rFonts w:ascii="Arial" w:hAnsi="Arial"/>
        </w:rPr>
      </w:pPr>
      <w:r>
        <w:rPr>
          <w:rFonts w:cs="Times New Roman" w:ascii="Arial" w:hAnsi="Arial"/>
        </w:rPr>
        <w:t>Indicação da empresa líder do consórcio, que será responsável por sua representação perante a Administração.</w:t>
      </w:r>
    </w:p>
    <w:p>
      <w:pPr>
        <w:pStyle w:val="Normal"/>
        <w:tabs>
          <w:tab w:val="clear" w:pos="720"/>
          <w:tab w:val="left" w:pos="567" w:leader="none"/>
        </w:tabs>
        <w:spacing w:lineRule="auto" w:line="240" w:before="0" w:after="160"/>
        <w:contextualSpacing/>
        <w:jc w:val="both"/>
        <w:rPr>
          <w:rFonts w:ascii="Arial" w:hAnsi="Arial" w:cs="Times New Roman"/>
        </w:rPr>
      </w:pPr>
      <w:r>
        <w:rPr>
          <w:rFonts w:cs="Times New Roman" w:ascii="Arial" w:hAnsi="Arial"/>
        </w:rPr>
      </w:r>
    </w:p>
    <w:p>
      <w:pPr>
        <w:pStyle w:val="Normal"/>
        <w:tabs>
          <w:tab w:val="clear" w:pos="720"/>
          <w:tab w:val="left" w:pos="567" w:leader="none"/>
        </w:tabs>
        <w:spacing w:lineRule="auto" w:line="240" w:before="0" w:after="160"/>
        <w:contextualSpacing/>
        <w:jc w:val="both"/>
        <w:rPr>
          <w:shd w:fill="auto" w:val="clear"/>
        </w:rPr>
      </w:pPr>
      <w:r>
        <w:rPr>
          <w:rFonts w:cs="Times New Roman" w:ascii="Arial" w:hAnsi="Arial"/>
          <w:b/>
          <w:bCs/>
          <w:iCs/>
          <w:u w:val="single"/>
          <w:shd w:fill="auto" w:val="clear"/>
        </w:rPr>
        <w:t>18.1.7. Obrigações do CONTRATADO:</w:t>
      </w:r>
    </w:p>
    <w:p>
      <w:pPr>
        <w:pStyle w:val="Normal"/>
        <w:tabs>
          <w:tab w:val="clear" w:pos="720"/>
          <w:tab w:val="left" w:pos="567" w:leader="none"/>
        </w:tabs>
        <w:spacing w:lineRule="auto" w:line="240" w:before="0" w:after="160"/>
        <w:contextualSpacing/>
        <w:jc w:val="both"/>
        <w:rPr>
          <w:rFonts w:ascii="Arial" w:hAnsi="Arial" w:cs="Times New Roman"/>
          <w:color w:val="000000"/>
          <w:shd w:fill="auto" w:val="clear"/>
        </w:rPr>
      </w:pPr>
      <w:r>
        <w:rPr>
          <w:rFonts w:cs="Times New Roman" w:ascii="Arial" w:hAnsi="Arial"/>
          <w:color w:val="000000"/>
          <w:shd w:fill="auto" w:val="clear"/>
        </w:rPr>
      </w:r>
    </w:p>
    <w:p>
      <w:pPr>
        <w:pStyle w:val="Normal"/>
        <w:tabs>
          <w:tab w:val="clear" w:pos="720"/>
          <w:tab w:val="left" w:pos="1134" w:leader="none"/>
        </w:tabs>
        <w:spacing w:lineRule="auto" w:line="240"/>
        <w:jc w:val="both"/>
        <w:rPr>
          <w:shd w:fill="auto" w:val="clear"/>
        </w:rPr>
      </w:pPr>
      <w:r>
        <w:rPr>
          <w:rFonts w:cs="Times New Roman" w:ascii="Arial" w:hAnsi="Arial"/>
          <w:color w:val="000000"/>
          <w:shd w:fill="auto" w:val="clear"/>
        </w:rPr>
        <w:t xml:space="preserve">18.1.7.1. </w:t>
      </w:r>
      <w:r>
        <w:rPr>
          <w:rFonts w:eastAsia="Calibri" w:cs="Times New Roman" w:ascii="Arial" w:hAnsi="Arial"/>
          <w:color w:val="000000"/>
          <w:kern w:val="0"/>
          <w:sz w:val="22"/>
          <w:szCs w:val="22"/>
          <w:shd w:fill="auto" w:val="clear"/>
          <w:lang w:val="pt-BR" w:eastAsia="en-US" w:bidi="ar-SA"/>
        </w:rPr>
        <w:t>O Contratado</w:t>
      </w:r>
      <w:r>
        <w:rPr>
          <w:rFonts w:cs="Times New Roman" w:ascii="Arial" w:hAnsi="Arial"/>
          <w:shd w:fill="auto" w:val="clear"/>
        </w:rPr>
        <w:t xml:space="preserve"> deve cumprir todas as obrigações constantes no Edital, seus anexos e sua proposta, assumindo como exclusivamente seus os riscos e as despesas decorrentes da boa e perfeita execução do objeto e, ainda:</w:t>
      </w:r>
    </w:p>
    <w:p>
      <w:pPr>
        <w:pStyle w:val="Normal"/>
        <w:tabs>
          <w:tab w:val="clear" w:pos="720"/>
          <w:tab w:val="left" w:pos="1134" w:leader="none"/>
        </w:tabs>
        <w:spacing w:lineRule="auto" w:line="240"/>
        <w:jc w:val="both"/>
        <w:rPr>
          <w:shd w:fill="auto" w:val="clear"/>
        </w:rPr>
      </w:pPr>
      <w:r>
        <w:rPr>
          <w:rFonts w:cs="Times New Roman" w:ascii="Arial" w:hAnsi="Arial"/>
          <w:shd w:fill="auto" w:val="clear"/>
        </w:rPr>
        <w:t xml:space="preserve">18.1.7.2. Serão de </w:t>
      </w:r>
      <w:r>
        <w:rPr>
          <w:rFonts w:cs="Times New Roman" w:ascii="Arial" w:hAnsi="Arial"/>
          <w:b/>
          <w:bCs/>
          <w:shd w:fill="auto" w:val="clear"/>
        </w:rPr>
        <w:t>inteira responsabilidade da proponente vencedora</w:t>
      </w:r>
      <w:r>
        <w:rPr>
          <w:rFonts w:cs="Times New Roman" w:ascii="Arial" w:hAnsi="Arial"/>
          <w:shd w:fill="auto" w:val="clear"/>
        </w:rPr>
        <w:t>, as despesas diretas ou indiretas tais como: transporte, encargos sociais, fiscais, trabalhistas, previdenciários ou de classe, indenizações civis e qualquer outra que for devido a empregados no desempenho dos serviços de entrega, manutenção e reparo do objeto deste Contrato, ficando ainda o Contratante, isento de qualquer vínculo empregatício com os mesmos.</w:t>
      </w:r>
    </w:p>
    <w:p>
      <w:pPr>
        <w:pStyle w:val="Normal"/>
        <w:tabs>
          <w:tab w:val="clear" w:pos="720"/>
          <w:tab w:val="left" w:pos="1134" w:leader="none"/>
        </w:tabs>
        <w:spacing w:lineRule="auto" w:line="240"/>
        <w:jc w:val="both"/>
        <w:rPr>
          <w:shd w:fill="auto" w:val="clear"/>
        </w:rPr>
      </w:pPr>
      <w:r>
        <w:rPr>
          <w:rFonts w:cs="Times New Roman" w:ascii="Arial" w:hAnsi="Arial"/>
          <w:shd w:fill="auto" w:val="clear"/>
        </w:rPr>
        <w:t xml:space="preserve">18.1.7.3. </w:t>
      </w:r>
      <w:r>
        <w:rPr>
          <w:rFonts w:eastAsia="Calibri" w:cs="Times New Roman" w:ascii="Arial" w:hAnsi="Arial"/>
          <w:color w:val="000000"/>
          <w:kern w:val="0"/>
          <w:sz w:val="22"/>
          <w:szCs w:val="22"/>
          <w:shd w:fill="auto" w:val="clear"/>
          <w:lang w:val="pt-BR" w:eastAsia="en-US" w:bidi="ar-SA"/>
        </w:rPr>
        <w:t>O Contratado</w:t>
      </w:r>
      <w:r>
        <w:rPr>
          <w:rFonts w:cs="Times New Roman" w:ascii="Arial" w:hAnsi="Arial"/>
          <w:shd w:fill="auto" w:val="clear"/>
        </w:rPr>
        <w:t xml:space="preserve"> fica obrigada a reparar, corrigir, remover, reconstruir ou substituir, às suas expensas, no total ou em parte, o objeto do contrato em que verificarem vícios, defeitos ou incorreções resultantes da execução ou de materiais empregados.</w:t>
      </w:r>
    </w:p>
    <w:p>
      <w:pPr>
        <w:pStyle w:val="Normal"/>
        <w:spacing w:lineRule="auto" w:line="240"/>
        <w:ind w:right="-1" w:hanging="0"/>
        <w:jc w:val="both"/>
        <w:rPr>
          <w:shd w:fill="auto" w:val="clear"/>
        </w:rPr>
      </w:pPr>
      <w:r>
        <w:rPr>
          <w:rFonts w:cs="Arial" w:ascii="Arial" w:hAnsi="Arial"/>
          <w:shd w:fill="auto" w:val="clear"/>
        </w:rPr>
        <w:t xml:space="preserve">18.1.7.4. </w:t>
      </w:r>
      <w:r>
        <w:rPr>
          <w:rFonts w:eastAsia="Calibri" w:cs="Arial" w:ascii="Arial" w:hAnsi="Arial"/>
          <w:color w:val="000000"/>
          <w:shd w:fill="auto" w:val="clear"/>
        </w:rPr>
        <w:t>Executar/prestar o(s) serviço(s)</w:t>
      </w:r>
      <w:r>
        <w:rPr>
          <w:rFonts w:cs="Arial" w:ascii="Arial" w:hAnsi="Arial"/>
          <w:shd w:fill="auto" w:val="clear"/>
        </w:rPr>
        <w:t xml:space="preserve"> em perfeitas condições, no prazo, quantidade e local indicado pela Secretaria Requisitante, em estrita observância das especificações do Edital e da proposta, acompanhado da respectiva nota fiscal constando detalhadamente.</w:t>
      </w:r>
    </w:p>
    <w:p>
      <w:pPr>
        <w:pStyle w:val="Normal"/>
        <w:spacing w:lineRule="auto" w:line="240"/>
        <w:ind w:right="-1" w:hanging="0"/>
        <w:jc w:val="both"/>
        <w:rPr>
          <w:shd w:fill="auto" w:val="clear"/>
        </w:rPr>
      </w:pPr>
      <w:r>
        <w:rPr>
          <w:rFonts w:cs="Arial" w:ascii="Arial" w:hAnsi="Arial"/>
          <w:color w:val="000000"/>
          <w:shd w:fill="auto" w:val="clear"/>
        </w:rPr>
        <w:t xml:space="preserve">18.1.7.5. Acatar e atender as reclamações quanto às especificações e qualidade dos </w:t>
      </w:r>
      <w:r>
        <w:rPr>
          <w:rFonts w:eastAsia="Calibri" w:cs="Arial" w:ascii="Arial" w:hAnsi="Arial"/>
          <w:color w:val="000000"/>
          <w:kern w:val="0"/>
          <w:sz w:val="22"/>
          <w:szCs w:val="22"/>
          <w:shd w:fill="auto" w:val="clear"/>
          <w:lang w:val="pt-BR" w:eastAsia="en-US" w:bidi="ar-SA"/>
        </w:rPr>
        <w:t>serviços</w:t>
      </w:r>
      <w:r>
        <w:rPr>
          <w:rFonts w:cs="Arial" w:ascii="Arial" w:hAnsi="Arial"/>
          <w:color w:val="000000"/>
          <w:shd w:fill="auto" w:val="clear"/>
        </w:rPr>
        <w:t xml:space="preserve"> fornecidos, sanando eventuais deficiências nos prazos </w:t>
      </w:r>
      <w:r>
        <w:rPr>
          <w:rFonts w:eastAsia="Calibri" w:cs="Arial" w:ascii="Arial" w:hAnsi="Arial"/>
          <w:color w:val="000000"/>
          <w:kern w:val="0"/>
          <w:sz w:val="22"/>
          <w:szCs w:val="22"/>
          <w:shd w:fill="auto" w:val="clear"/>
          <w:lang w:val="pt-BR" w:eastAsia="en-US" w:bidi="ar-SA"/>
        </w:rPr>
        <w:t>definidos pelo contratante</w:t>
      </w:r>
      <w:r>
        <w:rPr>
          <w:rFonts w:cs="Arial" w:ascii="Arial" w:hAnsi="Arial"/>
          <w:color w:val="000000"/>
          <w:shd w:fill="auto" w:val="clear"/>
        </w:rPr>
        <w:t>, às suas custas, sem prejuízo da aplicação das penalidades, o que não atenda às especificações do contrato e cumprimento dos prazos previamente estabelecidos;</w:t>
      </w:r>
    </w:p>
    <w:p>
      <w:pPr>
        <w:pStyle w:val="Normal"/>
        <w:widowControl w:val="false"/>
        <w:tabs>
          <w:tab w:val="clear" w:pos="720"/>
          <w:tab w:val="left" w:pos="1134" w:leader="none"/>
        </w:tabs>
        <w:spacing w:lineRule="auto" w:line="240" w:before="0" w:after="0"/>
        <w:jc w:val="both"/>
        <w:rPr>
          <w:shd w:fill="auto" w:val="clear"/>
        </w:rPr>
      </w:pPr>
      <w:r>
        <w:rPr>
          <w:rFonts w:eastAsia="Arial" w:cs="Arial" w:ascii="Arial" w:hAnsi="Arial"/>
          <w:iCs/>
          <w:color w:val="000000"/>
          <w:shd w:fill="auto" w:val="clear"/>
          <w:lang w:eastAsia="pt-BR"/>
        </w:rPr>
        <w:t>18.1.7.6. Entregar os itens e p</w:t>
      </w:r>
      <w:r>
        <w:rPr>
          <w:rFonts w:eastAsia="Calibri" w:cs="Arial" w:ascii="Arial" w:hAnsi="Arial"/>
          <w:iCs/>
          <w:color w:val="000000"/>
          <w:shd w:fill="auto" w:val="clear"/>
          <w:lang w:eastAsia="pt-BR"/>
        </w:rPr>
        <w:t>restar os serviços</w:t>
      </w:r>
      <w:r>
        <w:rPr>
          <w:rFonts w:eastAsia="Arial" w:cs="Arial" w:ascii="Arial" w:hAnsi="Arial"/>
          <w:iCs/>
          <w:color w:val="000000"/>
          <w:shd w:fill="auto" w:val="clear"/>
          <w:lang w:eastAsia="pt-BR"/>
        </w:rPr>
        <w:t xml:space="preserve">, objetos desta licitação, nos locais, datas e horários determinados pela Secretaria Municipal de </w:t>
      </w:r>
      <w:r>
        <w:rPr>
          <w:rFonts w:eastAsia="Calibri" w:cs="Arial" w:ascii="Arial" w:hAnsi="Arial"/>
          <w:iCs/>
          <w:color w:val="000000"/>
          <w:kern w:val="0"/>
          <w:sz w:val="22"/>
          <w:szCs w:val="22"/>
          <w:shd w:fill="auto" w:val="clear"/>
          <w:lang w:val="pt-BR" w:eastAsia="pt-BR" w:bidi="ar-SA"/>
        </w:rPr>
        <w:t>Turismo e Desenvolvimento Econômico</w:t>
      </w:r>
      <w:r>
        <w:rPr>
          <w:rFonts w:eastAsia="Calibri" w:cs="Arial" w:ascii="Arial" w:hAnsi="Arial"/>
          <w:iCs/>
          <w:color w:val="000000"/>
          <w:shd w:fill="auto" w:val="clear"/>
          <w:lang w:eastAsia="pt-BR"/>
        </w:rPr>
        <w:t xml:space="preserve">. </w:t>
      </w:r>
      <w:r>
        <w:rPr>
          <w:rFonts w:eastAsia="Calibri" w:cs="Times New Roman" w:ascii="Arial" w:hAnsi="Arial"/>
          <w:iCs/>
          <w:color w:val="000000"/>
          <w:kern w:val="0"/>
          <w:sz w:val="22"/>
          <w:szCs w:val="22"/>
          <w:shd w:fill="auto" w:val="clear"/>
          <w:lang w:val="pt-BR" w:eastAsia="en-US" w:bidi="ar-SA"/>
        </w:rPr>
        <w:t>O Contratado</w:t>
      </w:r>
      <w:r>
        <w:rPr>
          <w:rFonts w:eastAsia="Calibri" w:cs="Arial" w:ascii="Arial" w:hAnsi="Arial"/>
          <w:iCs/>
          <w:color w:val="000000"/>
          <w:shd w:fill="auto" w:val="clear"/>
          <w:lang w:eastAsia="pt-BR"/>
        </w:rPr>
        <w:t xml:space="preserve"> deverá prestar os serviços, nas datas, horários e locais designados pela administração. </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hd w:fill="auto" w:val="clear"/>
          <w:lang w:eastAsia="pt-BR"/>
        </w:rPr>
      </w:pPr>
      <w:r>
        <w:rPr>
          <w:rFonts w:eastAsia="Calibri" w:cs="Arial" w:ascii="Arial" w:hAnsi="Arial"/>
          <w:iCs/>
          <w:color w:val="000000"/>
          <w:shd w:fill="auto" w:val="clear"/>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shd w:fill="auto" w:val="clear"/>
          <w:lang w:eastAsia="pt-BR"/>
        </w:rPr>
        <w:t>18.1.7.6.1. Os prazos para concluir o fornecimento dos materiais, a instalação dos mesmos e a prestação dos serviços necessários são aqueles previamente definidos no Estudo Técnico Preliminar e Termo de Referência, anexos deste edital.</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hd w:fill="auto" w:val="clear"/>
          <w:lang w:eastAsia="pt-BR"/>
        </w:rPr>
      </w:pPr>
      <w:r>
        <w:rPr>
          <w:rFonts w:eastAsia="Calibri" w:cs="Arial" w:ascii="Arial" w:hAnsi="Arial"/>
          <w:iCs/>
          <w:color w:val="000000"/>
          <w:shd w:fill="auto" w:val="clear"/>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shd w:fill="auto" w:val="clear"/>
          <w:lang w:eastAsia="pt-BR"/>
        </w:rPr>
        <w:t>18.1.7.7. A empresa deverá providenciar e fornecer as Anotações de Responsabilidade Técnicas (ART’S) necessárias para a correta prestação dos serviços, em tempo hábil para a realização do evento.</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hd w:fill="auto" w:val="clear"/>
          <w:lang w:eastAsia="pt-BR"/>
        </w:rPr>
      </w:pPr>
      <w:r>
        <w:rPr>
          <w:rFonts w:eastAsia="Calibri" w:cs="Arial" w:ascii="Arial" w:hAnsi="Arial"/>
          <w:iCs/>
          <w:color w:val="000000"/>
          <w:shd w:fill="auto" w:val="clear"/>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shd w:fill="auto" w:val="clear"/>
          <w:lang w:eastAsia="pt-BR"/>
        </w:rPr>
        <w:t xml:space="preserve">18.1.7.8. A empresa vencedora se responsabilizará, na sua totalidade, pelo </w:t>
      </w:r>
      <w:r>
        <w:rPr>
          <w:rFonts w:eastAsia="Calibri" w:cs="Arial" w:ascii="Arial" w:hAnsi="Arial"/>
          <w:iCs/>
          <w:color w:val="000000"/>
          <w:sz w:val="22"/>
          <w:szCs w:val="22"/>
          <w:shd w:fill="auto" w:val="clear"/>
          <w:lang w:eastAsia="pt-BR"/>
        </w:rPr>
        <w:t>fornecimento de shows, estruturas de sonorização/iluminação, tapumes, gradis, banheiros químicos e tudo o que for necessário para a realização do evento, inclusive com pessoal de serviço (seguranças, roadies, técnicos de operação e serviços gerais), além de taxas como ECAD. A estrutura deverá estar de acordo com as exigências do artista que irá se apresentar, obedecendo todas as normas de segurança exigidas pelos bombeiros e polícia.</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z w:val="22"/>
          <w:szCs w:val="22"/>
          <w:lang w:eastAsia="pt-BR"/>
        </w:rPr>
      </w:pPr>
      <w:r>
        <w:rPr>
          <w:rFonts w:eastAsia="Calibri" w:cs="Arial" w:ascii="Arial" w:hAnsi="Arial"/>
          <w:iCs/>
          <w:color w:val="000000"/>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sz w:val="22"/>
          <w:szCs w:val="22"/>
          <w:shd w:fill="auto" w:val="clear"/>
          <w:lang w:eastAsia="pt-BR"/>
        </w:rPr>
        <w:t>18.1.7.9. O proponente poderá explorar o serviço de copa – bebidas e lanches, desde que permita que o Quiosque (que possui concessão junto à praça) possa continuar operando suas atividades de maneira normal;</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z w:val="22"/>
          <w:szCs w:val="22"/>
          <w:lang w:eastAsia="pt-BR"/>
        </w:rPr>
      </w:pPr>
      <w:r>
        <w:rPr>
          <w:rFonts w:eastAsia="Calibri" w:cs="Arial" w:ascii="Arial" w:hAnsi="Arial"/>
          <w:iCs/>
          <w:color w:val="000000"/>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sz w:val="22"/>
          <w:szCs w:val="22"/>
          <w:shd w:fill="auto" w:val="clear"/>
          <w:lang w:eastAsia="pt-BR"/>
        </w:rPr>
        <w:t>18.1.7.10. A empresa poderá explorar a cobrança de ingresso do público, obedecendo aos seguintes limites: valor máximo para os habitantes do município de Itá no valor de R$ 35,00 para venda antecipada até o dia 15/12/2023; após está data e até o dia do show o valor máximo passa a ser de R$ 50,00 para todo o público (tanto munícipes como visitantes) – Para o evento do dia 31/12.</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z w:val="22"/>
          <w:szCs w:val="22"/>
          <w:lang w:eastAsia="pt-BR"/>
        </w:rPr>
      </w:pPr>
      <w:r>
        <w:rPr>
          <w:rFonts w:eastAsia="Calibri" w:cs="Arial" w:ascii="Arial" w:hAnsi="Arial"/>
          <w:iCs/>
          <w:color w:val="000000"/>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sz w:val="22"/>
          <w:szCs w:val="22"/>
          <w:shd w:fill="auto" w:val="clear"/>
          <w:lang w:eastAsia="pt-BR"/>
        </w:rPr>
        <w:t>18.1.7.11. O proponente deverá disponibilizar no mínimo dois Shows Nacionais, no gênero musical Sertanejo Universitário e/ou Música Popular Brasileira, com duração mínima de 01 h cada show nacional – Para o evento do dia 31/12.</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z w:val="22"/>
          <w:szCs w:val="22"/>
          <w:lang w:eastAsia="pt-BR"/>
        </w:rPr>
      </w:pPr>
      <w:r>
        <w:rPr>
          <w:rFonts w:eastAsia="Calibri" w:cs="Arial" w:ascii="Arial" w:hAnsi="Arial"/>
          <w:iCs/>
          <w:color w:val="000000"/>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sz w:val="22"/>
          <w:szCs w:val="22"/>
          <w:shd w:fill="auto" w:val="clear"/>
          <w:lang w:eastAsia="pt-BR"/>
        </w:rPr>
        <w:t xml:space="preserve">18.1.7.12. </w:t>
      </w:r>
      <w:r>
        <w:rPr>
          <w:rFonts w:eastAsia="Calibri" w:cs="Arial" w:ascii="Arial" w:hAnsi="Arial"/>
          <w:iCs/>
          <w:color w:val="111111"/>
          <w:sz w:val="22"/>
          <w:szCs w:val="22"/>
          <w:shd w:fill="auto" w:val="clear"/>
          <w:lang w:eastAsia="pt-BR"/>
        </w:rPr>
        <w:t>As estruturas deverão estar devidamente instaladas com prazo legal para que todas as vistorias e aprovações necessárias sejam realizadas.</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z w:val="22"/>
          <w:szCs w:val="22"/>
          <w:lang w:eastAsia="pt-BR"/>
        </w:rPr>
      </w:pPr>
      <w:r>
        <w:rPr>
          <w:rFonts w:eastAsia="Calibri" w:cs="Arial" w:ascii="Arial" w:hAnsi="Arial"/>
          <w:iCs/>
          <w:color w:val="000000"/>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sz w:val="22"/>
          <w:szCs w:val="22"/>
          <w:shd w:fill="auto" w:val="clear"/>
          <w:lang w:eastAsia="pt-BR"/>
        </w:rPr>
        <w:t xml:space="preserve">18.1.7.13. </w:t>
      </w:r>
      <w:r>
        <w:rPr>
          <w:rFonts w:eastAsia="Calibri" w:cs="Arial" w:ascii="Arial" w:hAnsi="Arial"/>
          <w:iCs/>
          <w:color w:val="111111"/>
          <w:sz w:val="22"/>
          <w:szCs w:val="22"/>
          <w:shd w:fill="auto" w:val="clear"/>
          <w:lang w:eastAsia="pt-BR"/>
        </w:rPr>
        <w:t>O local deverá ser entregue limpo, sendo de responsabilidade da licitante a limpeza do local após o evento.</w:t>
      </w:r>
    </w:p>
    <w:p>
      <w:pPr>
        <w:pStyle w:val="Normal"/>
        <w:widowControl w:val="false"/>
        <w:tabs>
          <w:tab w:val="clear" w:pos="720"/>
          <w:tab w:val="left" w:pos="1134" w:leader="none"/>
        </w:tabs>
        <w:spacing w:lineRule="auto" w:line="240" w:before="0" w:after="0"/>
        <w:jc w:val="both"/>
        <w:rPr>
          <w:rFonts w:ascii="Arial" w:hAnsi="Arial" w:eastAsia="Calibri" w:cs="Arial"/>
          <w:iCs/>
          <w:color w:val="111111"/>
          <w:sz w:val="22"/>
          <w:szCs w:val="22"/>
          <w:lang w:eastAsia="pt-BR"/>
        </w:rPr>
      </w:pPr>
      <w:r>
        <w:rPr>
          <w:rFonts w:eastAsia="Calibri" w:cs="Arial" w:ascii="Arial" w:hAnsi="Arial"/>
          <w:iCs/>
          <w:color w:val="111111"/>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111111"/>
          <w:sz w:val="22"/>
          <w:szCs w:val="22"/>
          <w:shd w:fill="auto" w:val="clear"/>
          <w:lang w:eastAsia="pt-BR"/>
        </w:rPr>
        <w:t xml:space="preserve">18.1.7.14. </w:t>
      </w:r>
      <w:r>
        <w:rPr>
          <w:rFonts w:eastAsia="Times New Roman" w:cs="Arial" w:ascii="Arial" w:hAnsi="Arial"/>
          <w:b w:val="false"/>
          <w:bCs w:val="false"/>
          <w:iCs/>
          <w:color w:val="000000"/>
          <w:kern w:val="0"/>
          <w:sz w:val="22"/>
          <w:szCs w:val="22"/>
          <w:shd w:fill="auto" w:val="clear"/>
          <w:lang w:val="pt-BR" w:eastAsia="pt-BR" w:bidi="ar-SA"/>
        </w:rPr>
        <w:t xml:space="preserve">Os pontos de vendas na praça devem oferecer no mínimo 3 (três) marcas populares de cerveja e de refrigerante gaseificado e no mínimo 2 (duas) marcas populares de energético e de água mineral; </w:t>
      </w:r>
    </w:p>
    <w:p>
      <w:pPr>
        <w:pStyle w:val="Normal"/>
        <w:widowControl w:val="false"/>
        <w:tabs>
          <w:tab w:val="clear" w:pos="720"/>
          <w:tab w:val="left" w:pos="1134" w:leader="none"/>
        </w:tabs>
        <w:spacing w:lineRule="auto" w:line="240" w:before="0" w:after="0"/>
        <w:jc w:val="both"/>
        <w:rPr>
          <w:rFonts w:ascii="Arial" w:hAnsi="Arial" w:eastAsia="Calibri" w:cs="Arial"/>
          <w:iCs/>
          <w:color w:val="111111"/>
          <w:sz w:val="22"/>
          <w:szCs w:val="22"/>
          <w:lang w:eastAsia="pt-BR"/>
        </w:rPr>
      </w:pPr>
      <w:r>
        <w:rPr>
          <w:rFonts w:eastAsia="Calibri" w:cs="Arial" w:ascii="Arial" w:hAnsi="Arial"/>
          <w:iCs/>
          <w:color w:val="111111"/>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111111"/>
          <w:sz w:val="22"/>
          <w:szCs w:val="22"/>
          <w:shd w:fill="auto" w:val="clear"/>
          <w:lang w:eastAsia="pt-BR"/>
        </w:rPr>
        <w:t xml:space="preserve">18.1.7.15. A estrutura </w:t>
      </w:r>
      <w:r>
        <w:rPr>
          <w:rFonts w:eastAsia="Calibri" w:cs="Arial" w:ascii="Arial" w:hAnsi="Arial"/>
          <w:iCs/>
          <w:color w:val="000000"/>
          <w:kern w:val="0"/>
          <w:sz w:val="22"/>
          <w:szCs w:val="22"/>
          <w:shd w:fill="auto" w:val="clear"/>
          <w:lang w:val="pt-BR" w:eastAsia="en-US" w:bidi="ar-SA"/>
        </w:rPr>
        <w:t>que será montada para o dia do evento deverá estar corretamente instalada até a data de 29/12/2023, com as devidas e necessárias liberações pelo órgãos fiscalizadores. A mesma estrutura deverá estar desmontada até a data de 02/01/2023.</w:t>
      </w:r>
    </w:p>
    <w:p>
      <w:pPr>
        <w:pStyle w:val="Normal"/>
        <w:widowControl w:val="false"/>
        <w:tabs>
          <w:tab w:val="clear" w:pos="720"/>
          <w:tab w:val="left" w:pos="1134" w:leader="none"/>
        </w:tabs>
        <w:spacing w:lineRule="auto" w:line="240" w:before="0" w:after="0"/>
        <w:jc w:val="both"/>
        <w:rPr>
          <w:rFonts w:ascii="Arial" w:hAnsi="Arial" w:eastAsia="Calibri" w:cs="Arial"/>
          <w:iCs/>
          <w:color w:val="111111"/>
          <w:sz w:val="22"/>
          <w:szCs w:val="22"/>
          <w:lang w:eastAsia="pt-BR"/>
        </w:rPr>
      </w:pPr>
      <w:r>
        <w:rPr>
          <w:rFonts w:eastAsia="Calibri" w:cs="Arial" w:ascii="Arial" w:hAnsi="Arial"/>
          <w:iCs/>
          <w:color w:val="111111"/>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111111"/>
          <w:sz w:val="22"/>
          <w:szCs w:val="22"/>
          <w:shd w:fill="auto" w:val="clear"/>
          <w:lang w:eastAsia="pt-BR"/>
        </w:rPr>
        <w:t xml:space="preserve">18.1.7.16. </w:t>
      </w:r>
      <w:r>
        <w:rPr>
          <w:rFonts w:eastAsia="Calibri" w:cs="Times New Roman" w:ascii="Arial" w:hAnsi="Arial"/>
          <w:iCs/>
          <w:color w:val="000000"/>
          <w:kern w:val="0"/>
          <w:sz w:val="22"/>
          <w:szCs w:val="22"/>
          <w:shd w:fill="auto" w:val="clear"/>
          <w:lang w:val="pt-BR" w:eastAsia="en-US" w:bidi="ar-SA"/>
        </w:rPr>
        <w:t>O Contratado</w:t>
      </w:r>
      <w:r>
        <w:rPr>
          <w:rFonts w:eastAsia="Calibri" w:cs="Arial" w:ascii="Arial" w:hAnsi="Arial"/>
          <w:iCs/>
          <w:color w:val="000000"/>
          <w:kern w:val="0"/>
          <w:sz w:val="22"/>
          <w:szCs w:val="22"/>
          <w:shd w:fill="auto" w:val="clear"/>
          <w:lang w:val="pt-BR" w:eastAsia="en-US" w:bidi="ar-SA"/>
        </w:rPr>
        <w:t xml:space="preserve"> se responsabilizará por toda a limpeza necessário do espaço público utilizado para o evento. Deve ainda se responsabilizar por eventuais prejuízos causados ao patrimônio público no espaço que foi concedido.</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lang w:val="pt-BR" w:eastAsia="en-US" w:bidi="ar-SA"/>
        </w:rPr>
      </w:pPr>
      <w:r>
        <w:rPr>
          <w:rFonts w:eastAsia="Calibri" w:cs="Arial" w:ascii="Arial" w:hAnsi="Arial"/>
          <w:iCs/>
          <w:color w:val="000000"/>
          <w:kern w:val="0"/>
          <w:sz w:val="22"/>
          <w:szCs w:val="22"/>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 xml:space="preserve">18.1.7.17. </w:t>
      </w:r>
      <w:r>
        <w:rPr>
          <w:rFonts w:eastAsia="Calibri" w:cs="Times New Roman" w:ascii="Arial" w:hAnsi="Arial"/>
          <w:iCs/>
          <w:color w:val="000000"/>
          <w:kern w:val="0"/>
          <w:sz w:val="22"/>
          <w:szCs w:val="22"/>
          <w:shd w:fill="auto" w:val="clear"/>
          <w:lang w:val="pt-BR" w:eastAsia="en-US" w:bidi="ar-SA"/>
        </w:rPr>
        <w:t>O Contratado</w:t>
      </w:r>
      <w:r>
        <w:rPr>
          <w:rFonts w:eastAsia="Calibri" w:cs="Arial" w:ascii="Arial" w:hAnsi="Arial"/>
          <w:iCs/>
          <w:color w:val="000000"/>
          <w:kern w:val="0"/>
          <w:sz w:val="22"/>
          <w:szCs w:val="22"/>
          <w:shd w:fill="auto" w:val="clear"/>
          <w:lang w:val="pt-BR" w:eastAsia="en-US" w:bidi="ar-SA"/>
        </w:rPr>
        <w:t xml:space="preserve"> deverá se responsabilizar ainda por:</w:t>
      </w:r>
    </w:p>
    <w:p>
      <w:pPr>
        <w:pStyle w:val="Normal"/>
        <w:widowControl w:val="false"/>
        <w:spacing w:lineRule="auto" w:line="240" w:before="0" w:after="0"/>
        <w:ind w:left="0" w:hanging="0"/>
        <w:contextualSpacing/>
        <w:jc w:val="both"/>
        <w:rPr>
          <w:rFonts w:eastAsia="Calibri"/>
          <w:color w:val="auto"/>
          <w:kern w:val="0"/>
          <w:shd w:fill="auto" w:val="clear"/>
          <w:lang w:val="pt-BR" w:eastAsia="en-US" w:bidi="ar-SA"/>
        </w:rPr>
      </w:pPr>
      <w:r>
        <w:rPr>
          <w:rFonts w:eastAsia="Calibri"/>
          <w:color w:val="000000"/>
          <w:kern w:val="0"/>
          <w:shd w:fill="auto" w:val="clear"/>
          <w:lang w:val="pt-BR" w:eastAsia="en-US" w:bidi="ar-SA"/>
        </w:rPr>
      </w:r>
    </w:p>
    <w:p>
      <w:pPr>
        <w:pStyle w:val="Normal"/>
        <w:spacing w:lineRule="auto" w:line="240"/>
        <w:jc w:val="both"/>
        <w:rPr>
          <w:shd w:fill="auto" w:val="clear"/>
        </w:rPr>
      </w:pPr>
      <w:r>
        <w:rPr>
          <w:rFonts w:cs="Arial" w:ascii="Arial" w:hAnsi="Arial"/>
          <w:sz w:val="22"/>
          <w:szCs w:val="22"/>
          <w:shd w:fill="auto" w:val="clear"/>
        </w:rPr>
        <w:t>- Disponibilizar, montar e desmontar as estruturas de barracas onde será feita a comercialização dos produtos.</w:t>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 Pela estrutura de pessoal habilitado para os atendimentos e devidamente identificados.</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lang w:val="pt-BR" w:eastAsia="en-US" w:bidi="ar-SA"/>
        </w:rPr>
      </w:pPr>
      <w:r>
        <w:rPr>
          <w:rFonts w:eastAsia="Calibri" w:cs="Arial" w:ascii="Arial" w:hAnsi="Arial"/>
          <w:iCs/>
          <w:color w:val="000000"/>
          <w:kern w:val="0"/>
          <w:sz w:val="22"/>
          <w:szCs w:val="22"/>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18.1.7.18. Disponibilizar alvarás, licenças, estrutura elétrica e demais documentações necessárias para a realização das atividades.</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lang w:val="pt-BR" w:eastAsia="en-US" w:bidi="ar-SA"/>
        </w:rPr>
      </w:pPr>
      <w:r>
        <w:rPr>
          <w:rFonts w:eastAsia="Calibri" w:cs="Arial" w:ascii="Arial" w:hAnsi="Arial"/>
          <w:iCs/>
          <w:color w:val="000000"/>
          <w:kern w:val="0"/>
          <w:sz w:val="22"/>
          <w:szCs w:val="22"/>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18.1.7.19. Disponibilizar a estrutura de acordo com as exigências do artista que irá se apresentar, obedecendo todas as normas de segurança exigidas pelos bombeiros e órgãos de segurança, laudos técnicos, ART.</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lang w:val="pt-BR" w:eastAsia="en-US" w:bidi="ar-SA"/>
        </w:rPr>
      </w:pPr>
      <w:r>
        <w:rPr>
          <w:rFonts w:eastAsia="Calibri" w:cs="Arial" w:ascii="Arial" w:hAnsi="Arial"/>
          <w:iCs/>
          <w:color w:val="000000"/>
          <w:kern w:val="0"/>
          <w:sz w:val="22"/>
          <w:szCs w:val="22"/>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18.1.7.20. Fica proibida a venda de bebidas e outros produtos em embalagens de vidros em função da segurança.</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lang w:val="pt-BR" w:eastAsia="en-US" w:bidi="ar-SA"/>
        </w:rPr>
      </w:pPr>
      <w:r>
        <w:rPr>
          <w:rFonts w:eastAsia="Calibri" w:cs="Arial" w:ascii="Arial" w:hAnsi="Arial"/>
          <w:iCs/>
          <w:color w:val="000000"/>
          <w:kern w:val="0"/>
          <w:sz w:val="22"/>
          <w:szCs w:val="22"/>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 xml:space="preserve">18.1.7.21. </w:t>
      </w:r>
      <w:r>
        <w:rPr>
          <w:rFonts w:eastAsia="Times New Roman" w:cs="Arial" w:ascii="Arial" w:hAnsi="Arial"/>
          <w:iCs/>
          <w:color w:val="000000"/>
          <w:kern w:val="0"/>
          <w:sz w:val="22"/>
          <w:szCs w:val="22"/>
          <w:shd w:fill="auto" w:val="clear"/>
          <w:lang w:val="pt-BR" w:eastAsia="zh-CN" w:bidi="ar-SA"/>
        </w:rPr>
        <w:t>Manter o funcionamento do evento das 19h00min do dia 31 de dezembro de 2023 até as 03h00min do dia 01 de janeiro de 2024.</w:t>
      </w:r>
    </w:p>
    <w:p>
      <w:pPr>
        <w:pStyle w:val="Normal"/>
        <w:widowControl w:val="false"/>
        <w:tabs>
          <w:tab w:val="clear" w:pos="720"/>
          <w:tab w:val="left" w:pos="1134" w:leader="none"/>
        </w:tabs>
        <w:spacing w:lineRule="auto" w:line="240" w:before="0" w:after="0"/>
        <w:jc w:val="both"/>
        <w:rPr>
          <w:shd w:fill="auto" w:val="clear"/>
        </w:rPr>
      </w:pPr>
      <w:r>
        <w:rPr>
          <w:shd w:fill="auto" w:val="clear"/>
        </w:rPr>
      </w:r>
    </w:p>
    <w:p>
      <w:pPr>
        <w:pStyle w:val="Normal"/>
        <w:widowControl w:val="false"/>
        <w:tabs>
          <w:tab w:val="clear" w:pos="720"/>
          <w:tab w:val="left" w:pos="1134" w:leader="none"/>
        </w:tabs>
        <w:spacing w:lineRule="auto" w:line="240" w:before="0" w:after="0"/>
        <w:jc w:val="both"/>
        <w:rPr>
          <w:shd w:fill="auto" w:val="clear"/>
        </w:rPr>
      </w:pPr>
      <w:r>
        <w:rPr>
          <w:rFonts w:eastAsia="Times New Roman" w:cs="Arial" w:ascii="Arial" w:hAnsi="Arial"/>
          <w:iCs/>
          <w:color w:val="000000"/>
          <w:kern w:val="0"/>
          <w:sz w:val="22"/>
          <w:szCs w:val="22"/>
          <w:shd w:fill="auto" w:val="clear"/>
          <w:lang w:val="pt-BR" w:eastAsia="zh-CN" w:bidi="ar-SA"/>
        </w:rPr>
        <w:t>18.1.7.21.1. Manter o funcionamento do evento das 19h00min do dia 30 de dezembro de 2023 até as 03h00min do dia 31 de dezembro de 2023, se assim desejar, respeitando as obrigações mínimas, inclusive quanto a cobrança de valores dos produtos que comercializar, como definido nos termos do presente edital e dos seus anexos.</w:t>
      </w:r>
    </w:p>
    <w:p>
      <w:pPr>
        <w:pStyle w:val="Normal"/>
        <w:widowControl w:val="false"/>
        <w:tabs>
          <w:tab w:val="clear" w:pos="720"/>
          <w:tab w:val="left" w:pos="1134" w:leader="none"/>
        </w:tabs>
        <w:spacing w:lineRule="auto" w:line="240" w:before="0" w:after="0"/>
        <w:jc w:val="both"/>
        <w:rPr>
          <w:rFonts w:ascii="Arial" w:hAnsi="Arial" w:eastAsia="Times New Roman" w:cs="Arial"/>
          <w:iCs/>
          <w:color w:val="000000"/>
          <w:kern w:val="0"/>
          <w:sz w:val="22"/>
          <w:szCs w:val="22"/>
          <w:lang w:val="pt-BR" w:eastAsia="zh-CN" w:bidi="ar-SA"/>
        </w:rPr>
      </w:pPr>
      <w:r>
        <w:rPr>
          <w:rFonts w:eastAsia="Times New Roman" w:cs="Arial" w:ascii="Arial" w:hAnsi="Arial"/>
          <w:iCs/>
          <w:color w:val="000000"/>
          <w:kern w:val="0"/>
          <w:sz w:val="22"/>
          <w:szCs w:val="22"/>
          <w:lang w:val="pt-BR" w:eastAsia="zh-CN" w:bidi="ar-SA"/>
        </w:rPr>
      </w:r>
    </w:p>
    <w:p>
      <w:pPr>
        <w:pStyle w:val="Normal"/>
        <w:widowControl w:val="false"/>
        <w:tabs>
          <w:tab w:val="clear" w:pos="720"/>
          <w:tab w:val="left" w:pos="1134" w:leader="none"/>
        </w:tabs>
        <w:spacing w:lineRule="auto" w:line="240" w:before="0" w:after="0"/>
        <w:jc w:val="both"/>
        <w:rPr>
          <w:shd w:fill="auto" w:val="clear"/>
        </w:rPr>
      </w:pPr>
      <w:r>
        <w:rPr>
          <w:rFonts w:eastAsia="Times New Roman" w:cs="Arial" w:ascii="Arial" w:hAnsi="Arial"/>
          <w:iCs/>
          <w:color w:val="000000"/>
          <w:kern w:val="0"/>
          <w:sz w:val="22"/>
          <w:szCs w:val="22"/>
          <w:shd w:fill="auto" w:val="clear"/>
          <w:lang w:val="pt-BR" w:eastAsia="zh-CN" w:bidi="ar-SA"/>
        </w:rPr>
        <w:t xml:space="preserve">18.1.7.22. </w:t>
      </w:r>
      <w:r>
        <w:rPr>
          <w:rFonts w:eastAsia="Calibri" w:cs="Times New Roman" w:ascii="Arial" w:hAnsi="Arial"/>
          <w:iCs/>
          <w:color w:val="000000"/>
          <w:kern w:val="0"/>
          <w:sz w:val="22"/>
          <w:szCs w:val="22"/>
          <w:shd w:fill="auto" w:val="clear"/>
          <w:lang w:val="pt-BR" w:eastAsia="en-US" w:bidi="ar-SA"/>
        </w:rPr>
        <w:t>O Contratado</w:t>
      </w:r>
      <w:r>
        <w:rPr>
          <w:rFonts w:eastAsia="Times New Roman" w:cs="Arial" w:ascii="Arial" w:hAnsi="Arial"/>
          <w:iCs/>
          <w:color w:val="000000"/>
          <w:kern w:val="0"/>
          <w:sz w:val="22"/>
          <w:szCs w:val="22"/>
          <w:shd w:fill="auto" w:val="clear"/>
          <w:lang w:val="pt-BR" w:eastAsia="zh-CN" w:bidi="ar-SA"/>
        </w:rPr>
        <w:t xml:space="preserve"> deverá entregar o local destinado ao evento nas mesmas condições em que recebeu, sendo que qualquer dano causado à estrutura física, quadro de eletricidade e demais instalações hidráulicas e elétricas, deverão ser consertados e/ou indenizados ao município, em valor que será apurado pela fiscalização.</w:t>
      </w:r>
    </w:p>
    <w:p>
      <w:pPr>
        <w:pStyle w:val="Normal"/>
        <w:widowControl w:val="false"/>
        <w:tabs>
          <w:tab w:val="clear" w:pos="720"/>
          <w:tab w:val="left" w:pos="1134" w:leader="none"/>
        </w:tabs>
        <w:spacing w:lineRule="auto" w:line="240" w:before="0" w:after="0"/>
        <w:jc w:val="both"/>
        <w:rPr>
          <w:rFonts w:ascii="Arial" w:hAnsi="Arial" w:eastAsia="Times New Roman" w:cs="Arial"/>
          <w:iCs/>
          <w:color w:val="000000"/>
          <w:kern w:val="0"/>
          <w:sz w:val="22"/>
          <w:szCs w:val="22"/>
          <w:lang w:val="pt-BR" w:eastAsia="zh-CN" w:bidi="ar-SA"/>
        </w:rPr>
      </w:pPr>
      <w:r>
        <w:rPr>
          <w:rFonts w:eastAsia="Times New Roman" w:cs="Arial" w:ascii="Arial" w:hAnsi="Arial"/>
          <w:iCs/>
          <w:color w:val="000000"/>
          <w:kern w:val="0"/>
          <w:sz w:val="22"/>
          <w:szCs w:val="22"/>
          <w:lang w:val="pt-BR" w:eastAsia="zh-CN" w:bidi="ar-SA"/>
        </w:rPr>
      </w:r>
    </w:p>
    <w:p>
      <w:pPr>
        <w:pStyle w:val="Normal"/>
        <w:widowControl w:val="false"/>
        <w:tabs>
          <w:tab w:val="clear" w:pos="720"/>
          <w:tab w:val="left" w:pos="1134" w:leader="none"/>
        </w:tabs>
        <w:spacing w:lineRule="auto" w:line="240" w:before="0" w:after="0"/>
        <w:jc w:val="both"/>
        <w:rPr>
          <w:shd w:fill="auto" w:val="clear"/>
        </w:rPr>
      </w:pPr>
      <w:r>
        <w:rPr>
          <w:rFonts w:eastAsia="Times New Roman" w:cs="Arial" w:ascii="Arial" w:hAnsi="Arial"/>
          <w:iCs/>
          <w:color w:val="000000"/>
          <w:kern w:val="0"/>
          <w:sz w:val="22"/>
          <w:szCs w:val="22"/>
          <w:shd w:fill="auto" w:val="clear"/>
          <w:lang w:val="pt-BR" w:eastAsia="zh-CN" w:bidi="ar-SA"/>
        </w:rPr>
        <w:t xml:space="preserve">18.1.7.23. </w:t>
      </w:r>
      <w:r>
        <w:rPr>
          <w:rFonts w:eastAsia="Calibri" w:cs="Times New Roman" w:ascii="Arial" w:hAnsi="Arial"/>
          <w:iCs/>
          <w:color w:val="000000"/>
          <w:kern w:val="0"/>
          <w:sz w:val="22"/>
          <w:szCs w:val="22"/>
          <w:shd w:fill="auto" w:val="clear"/>
          <w:lang w:val="pt-BR" w:eastAsia="en-US" w:bidi="ar-SA"/>
        </w:rPr>
        <w:t>O Contratado</w:t>
      </w:r>
      <w:r>
        <w:rPr>
          <w:rFonts w:eastAsia="Calibri" w:cs="Arial" w:ascii="Arial" w:hAnsi="Arial"/>
          <w:iCs/>
          <w:color w:val="000000"/>
          <w:kern w:val="0"/>
          <w:sz w:val="22"/>
          <w:szCs w:val="22"/>
          <w:shd w:fill="auto" w:val="clear"/>
          <w:lang w:val="pt-BR" w:eastAsia="en-US" w:bidi="ar-SA"/>
        </w:rPr>
        <w:t xml:space="preserve"> deverá cumprir com todas as determinações estabelecidas pelo Ministério do Trabalho, relativas à segurança e medicina do trabalho.</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lang w:val="pt-BR" w:eastAsia="en-US" w:bidi="ar-SA"/>
        </w:rPr>
      </w:pPr>
      <w:r>
        <w:rPr>
          <w:rFonts w:eastAsia="Calibri" w:cs="Arial" w:ascii="Arial" w:hAnsi="Arial"/>
          <w:iCs/>
          <w:color w:val="000000"/>
          <w:kern w:val="0"/>
          <w:sz w:val="22"/>
          <w:szCs w:val="22"/>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 xml:space="preserve">18.1.7.24. </w:t>
      </w:r>
      <w:r>
        <w:rPr>
          <w:rFonts w:eastAsia="Times New Roman" w:cs="Times New Roman" w:ascii="Arial" w:hAnsi="Arial"/>
          <w:iCs/>
          <w:color w:val="000000"/>
          <w:kern w:val="0"/>
          <w:sz w:val="22"/>
          <w:szCs w:val="22"/>
          <w:shd w:fill="auto" w:val="clear"/>
          <w:lang w:val="pt-BR" w:eastAsia="pt-BR" w:bidi="ar-SA"/>
        </w:rPr>
        <w:t>Deverá efetuar o pagamento do valor homologado em conta a ser informada pela administração, para fins de assinatura do contrato.</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hd w:fill="FFFF00" w:val="clear"/>
          <w:lang w:eastAsia="pt-BR"/>
        </w:rPr>
      </w:pPr>
      <w:r>
        <w:rPr>
          <w:rFonts w:eastAsia="Calibri" w:cs="Arial" w:ascii="Arial" w:hAnsi="Arial"/>
          <w:iCs/>
          <w:color w:val="000000"/>
          <w:shd w:fill="FFFF00" w:val="clear"/>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shd w:fill="auto" w:val="clear"/>
          <w:lang w:eastAsia="pt-BR"/>
        </w:rPr>
        <w:t xml:space="preserve">18.1.7.25. </w:t>
      </w:r>
      <w:r>
        <w:rPr>
          <w:rFonts w:eastAsia="Calibri" w:cs="Arial" w:ascii="Arial" w:hAnsi="Arial"/>
          <w:iCs/>
          <w:color w:val="000000"/>
          <w:u w:val="single"/>
          <w:shd w:fill="auto" w:val="clear"/>
          <w:lang w:eastAsia="pt-BR"/>
        </w:rPr>
        <w:t>Cumprir com TODAS as demais obrigações</w:t>
      </w:r>
      <w:r>
        <w:rPr>
          <w:rFonts w:eastAsia="Calibri" w:cs="Arial" w:ascii="Arial" w:hAnsi="Arial"/>
          <w:iCs/>
          <w:color w:val="000000"/>
          <w:shd w:fill="auto" w:val="clear"/>
          <w:lang w:eastAsia="pt-BR"/>
        </w:rPr>
        <w:t xml:space="preserve">, requisitos, características e prazos para entrega e execução dos materiais e serviços, objetos desta licitação, de acordo com as </w:t>
      </w:r>
      <w:r>
        <w:rPr>
          <w:rFonts w:eastAsia="Calibri" w:cs="Arial" w:ascii="Arial" w:hAnsi="Arial"/>
          <w:iCs/>
          <w:color w:val="000000"/>
          <w:u w:val="single"/>
          <w:shd w:fill="auto" w:val="clear"/>
          <w:lang w:eastAsia="pt-BR"/>
        </w:rPr>
        <w:t>regras e definições do presente edital, do Estudo Técnico Preliminar e do Termo de Referência.</w:t>
      </w:r>
    </w:p>
    <w:p>
      <w:pPr>
        <w:pStyle w:val="Normal"/>
        <w:widowControl w:val="false"/>
        <w:tabs>
          <w:tab w:val="clear" w:pos="720"/>
          <w:tab w:val="left" w:pos="1134" w:leader="none"/>
        </w:tabs>
        <w:spacing w:lineRule="auto" w:line="240" w:before="0" w:after="0"/>
        <w:ind w:firstLine="709"/>
        <w:jc w:val="both"/>
        <w:rPr>
          <w:rFonts w:ascii="Arial" w:hAnsi="Arial" w:eastAsia="Arial" w:cs="Arial"/>
          <w:iCs/>
          <w:color w:val="000000"/>
          <w:lang w:eastAsia="pt-BR"/>
        </w:rPr>
      </w:pPr>
      <w:r>
        <w:rPr>
          <w:rFonts w:eastAsia="Arial" w:cs="Arial" w:ascii="Arial" w:hAnsi="Arial"/>
          <w:iCs/>
          <w:color w:val="000000"/>
          <w:lang w:eastAsia="pt-BR"/>
        </w:rPr>
      </w:r>
    </w:p>
    <w:p>
      <w:pPr>
        <w:pStyle w:val="Normal"/>
        <w:tabs>
          <w:tab w:val="clear" w:pos="720"/>
          <w:tab w:val="left" w:pos="1134" w:leader="none"/>
        </w:tabs>
        <w:spacing w:lineRule="auto" w:line="240"/>
        <w:jc w:val="both"/>
        <w:rPr>
          <w:shd w:fill="auto" w:val="clear"/>
        </w:rPr>
      </w:pPr>
      <w:r>
        <w:rPr>
          <w:rFonts w:cs="Times New Roman" w:ascii="Arial" w:hAnsi="Arial"/>
          <w:b/>
          <w:iCs/>
          <w:shd w:fill="auto" w:val="clear"/>
        </w:rPr>
        <w:t xml:space="preserve">18.1.8. </w:t>
      </w:r>
      <w:r>
        <w:rPr>
          <w:rFonts w:cs="Times New Roman" w:ascii="Arial" w:hAnsi="Arial"/>
          <w:iCs/>
          <w:shd w:fill="auto" w:val="clear"/>
        </w:rPr>
        <w:t>Obrigações do CONTRATANTE:</w:t>
      </w:r>
    </w:p>
    <w:p>
      <w:pPr>
        <w:pStyle w:val="Normal"/>
        <w:tabs>
          <w:tab w:val="clear" w:pos="720"/>
          <w:tab w:val="left" w:pos="1134" w:leader="none"/>
        </w:tabs>
        <w:spacing w:lineRule="auto" w:line="240"/>
        <w:jc w:val="both"/>
        <w:rPr>
          <w:shd w:fill="auto" w:val="clear"/>
        </w:rPr>
      </w:pPr>
      <w:r>
        <w:rPr>
          <w:rFonts w:eastAsia="Calibri" w:cs="Times New Roman" w:ascii="Arial" w:hAnsi="Arial"/>
          <w:iCs/>
          <w:color w:val="000000"/>
          <w:shd w:fill="auto" w:val="clear"/>
        </w:rPr>
        <w:t>18.1.8.1</w:t>
      </w:r>
      <w:r>
        <w:rPr>
          <w:rFonts w:cs="Times New Roman" w:ascii="Arial" w:hAnsi="Arial"/>
          <w:iCs/>
          <w:color w:val="000000"/>
          <w:shd w:fill="auto" w:val="clear"/>
        </w:rPr>
        <w:t xml:space="preserve">. Acompanhar e fiscalizar o cumprimento das obrigações </w:t>
      </w:r>
      <w:r>
        <w:rPr>
          <w:rFonts w:eastAsia="Calibri" w:cs="Times New Roman" w:ascii="Arial" w:hAnsi="Arial"/>
          <w:iCs/>
          <w:color w:val="000000"/>
          <w:kern w:val="0"/>
          <w:sz w:val="22"/>
          <w:szCs w:val="22"/>
          <w:shd w:fill="auto" w:val="clear"/>
          <w:lang w:val="pt-BR" w:eastAsia="en-US" w:bidi="ar-SA"/>
        </w:rPr>
        <w:t>do Contratado</w:t>
      </w:r>
      <w:r>
        <w:rPr>
          <w:rFonts w:cs="Times New Roman" w:ascii="Arial" w:hAnsi="Arial"/>
          <w:iCs/>
          <w:color w:val="000000"/>
          <w:shd w:fill="auto" w:val="clear"/>
        </w:rPr>
        <w:t>, através de comissão/servidor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Normal"/>
        <w:tabs>
          <w:tab w:val="clear" w:pos="720"/>
          <w:tab w:val="left" w:pos="1134" w:leader="none"/>
        </w:tabs>
        <w:spacing w:lineRule="auto" w:line="240"/>
        <w:jc w:val="both"/>
        <w:rPr>
          <w:shd w:fill="auto" w:val="clear"/>
        </w:rPr>
      </w:pPr>
      <w:r>
        <w:rPr>
          <w:rFonts w:eastAsia="Calibri" w:cs="Times New Roman" w:ascii="Arial" w:hAnsi="Arial"/>
          <w:iCs/>
          <w:color w:val="000000"/>
          <w:shd w:fill="auto" w:val="clear"/>
        </w:rPr>
        <w:t>18.1.8.2</w:t>
      </w:r>
      <w:r>
        <w:rPr>
          <w:rFonts w:cs="Times New Roman" w:ascii="Arial" w:hAnsi="Arial"/>
          <w:iCs/>
          <w:color w:val="000000"/>
          <w:shd w:fill="auto" w:val="clear"/>
        </w:rPr>
        <w:t xml:space="preserve">. Permitir o livre acesso dos empregados, encarregados e/ou prepostos do </w:t>
      </w:r>
      <w:r>
        <w:rPr>
          <w:rFonts w:eastAsia="Calibri" w:cs="Times New Roman" w:ascii="Arial" w:hAnsi="Arial"/>
          <w:iCs/>
          <w:color w:val="000000"/>
          <w:kern w:val="0"/>
          <w:sz w:val="22"/>
          <w:szCs w:val="22"/>
          <w:shd w:fill="auto" w:val="clear"/>
          <w:lang w:val="pt-BR" w:eastAsia="en-US" w:bidi="ar-SA"/>
        </w:rPr>
        <w:t xml:space="preserve">Contratado </w:t>
      </w:r>
      <w:r>
        <w:rPr>
          <w:rFonts w:cs="Times New Roman" w:ascii="Arial" w:hAnsi="Arial"/>
          <w:iCs/>
          <w:color w:val="000000"/>
          <w:shd w:fill="auto" w:val="clear"/>
        </w:rPr>
        <w:t>para a execução do contrato;</w:t>
      </w:r>
    </w:p>
    <w:p>
      <w:pPr>
        <w:pStyle w:val="Normal"/>
        <w:tabs>
          <w:tab w:val="clear" w:pos="720"/>
          <w:tab w:val="left" w:pos="1134" w:leader="none"/>
        </w:tabs>
        <w:spacing w:lineRule="auto" w:line="240"/>
        <w:jc w:val="both"/>
        <w:rPr>
          <w:shd w:fill="auto" w:val="clear"/>
        </w:rPr>
      </w:pPr>
      <w:r>
        <w:rPr>
          <w:rFonts w:eastAsia="Calibri" w:cs="Times New Roman" w:ascii="Arial" w:hAnsi="Arial"/>
          <w:iCs/>
          <w:color w:val="000000"/>
          <w:shd w:fill="auto" w:val="clear"/>
        </w:rPr>
        <w:t>18.1.8.3</w:t>
      </w:r>
      <w:r>
        <w:rPr>
          <w:rFonts w:cs="Times New Roman" w:ascii="Arial" w:hAnsi="Arial"/>
          <w:iCs/>
          <w:color w:val="000000"/>
          <w:shd w:fill="auto" w:val="clear"/>
        </w:rPr>
        <w:t xml:space="preserve">. Prestar as informações e os esclarecimentos que venham a ser solicitados pelos empregados, encarregados e/ou prepostos do </w:t>
      </w:r>
      <w:r>
        <w:rPr>
          <w:rFonts w:eastAsia="Calibri" w:cs="Times New Roman" w:ascii="Arial" w:hAnsi="Arial"/>
          <w:iCs/>
          <w:color w:val="000000"/>
          <w:kern w:val="0"/>
          <w:sz w:val="22"/>
          <w:szCs w:val="22"/>
          <w:shd w:fill="auto" w:val="clear"/>
          <w:lang w:val="pt-BR" w:eastAsia="en-US" w:bidi="ar-SA"/>
        </w:rPr>
        <w:t>Contratado</w:t>
      </w:r>
      <w:r>
        <w:rPr>
          <w:rFonts w:cs="Times New Roman" w:ascii="Arial" w:hAnsi="Arial"/>
          <w:iCs/>
          <w:color w:val="000000"/>
          <w:shd w:fill="auto" w:val="clear"/>
        </w:rPr>
        <w:t xml:space="preserve">, desde que inerentes ao objeto do Contrato; </w:t>
      </w:r>
    </w:p>
    <w:p>
      <w:pPr>
        <w:pStyle w:val="Normal"/>
        <w:spacing w:lineRule="auto" w:line="240"/>
        <w:jc w:val="both"/>
        <w:rPr>
          <w:rFonts w:ascii="Arial" w:hAnsi="Arial"/>
        </w:rPr>
      </w:pPr>
      <w:r>
        <w:rPr>
          <w:rFonts w:cs="Times New Roman" w:ascii="Arial" w:hAnsi="Arial"/>
          <w:b/>
        </w:rPr>
        <w:t>18.1.9.</w:t>
      </w:r>
      <w:r>
        <w:rPr>
          <w:rFonts w:cs="Times New Roman" w:ascii="Arial" w:hAnsi="Arial"/>
        </w:rPr>
        <w:t xml:space="preserve"> EXTINÇÃO CONTRATUAL: Constituirão motivos para extinção do contrato, devendo ser formalmente motivada nos autos do processo, assegurados o contraditório e a ampla defesa, as seguintes situações:</w:t>
      </w:r>
    </w:p>
    <w:p>
      <w:pPr>
        <w:pStyle w:val="ListParagraph"/>
        <w:numPr>
          <w:ilvl w:val="0"/>
          <w:numId w:val="31"/>
        </w:numPr>
        <w:tabs>
          <w:tab w:val="clear" w:pos="720"/>
          <w:tab w:val="left" w:pos="1134" w:leader="none"/>
        </w:tabs>
        <w:ind w:left="567" w:hanging="0"/>
        <w:jc w:val="both"/>
        <w:rPr>
          <w:rFonts w:ascii="Arial" w:hAnsi="Arial"/>
          <w:sz w:val="22"/>
          <w:szCs w:val="22"/>
        </w:rPr>
      </w:pPr>
      <w:r>
        <w:rPr>
          <w:rFonts w:ascii="Arial" w:hAnsi="Arial"/>
          <w:sz w:val="22"/>
          <w:szCs w:val="22"/>
        </w:rPr>
        <w:t>Não cumprimento ou cumprimento irregular de normas editalícias ou de cláusulas contratuais, de especificações, de projetos ou de prazos;</w:t>
      </w:r>
    </w:p>
    <w:p>
      <w:pPr>
        <w:pStyle w:val="ListParagraph"/>
        <w:numPr>
          <w:ilvl w:val="0"/>
          <w:numId w:val="31"/>
        </w:numPr>
        <w:tabs>
          <w:tab w:val="clear" w:pos="720"/>
          <w:tab w:val="left" w:pos="1134" w:leader="none"/>
        </w:tabs>
        <w:ind w:left="567" w:hanging="0"/>
        <w:jc w:val="both"/>
        <w:rPr>
          <w:rFonts w:ascii="Arial" w:hAnsi="Arial"/>
          <w:sz w:val="22"/>
          <w:szCs w:val="22"/>
        </w:rPr>
      </w:pPr>
      <w:r>
        <w:rPr>
          <w:rFonts w:ascii="Arial" w:hAnsi="Arial"/>
          <w:sz w:val="22"/>
          <w:szCs w:val="22"/>
        </w:rPr>
        <w:t>Desatendimento das determinações regulares emitidas pela autoridade designada para acompanhar e fiscalizar sua execução ou por autoridade superior;</w:t>
      </w:r>
    </w:p>
    <w:p>
      <w:pPr>
        <w:pStyle w:val="ListParagraph"/>
        <w:numPr>
          <w:ilvl w:val="0"/>
          <w:numId w:val="31"/>
        </w:numPr>
        <w:tabs>
          <w:tab w:val="clear" w:pos="720"/>
          <w:tab w:val="left" w:pos="1134" w:leader="none"/>
        </w:tabs>
        <w:ind w:left="567" w:hanging="0"/>
        <w:jc w:val="both"/>
        <w:rPr>
          <w:rFonts w:ascii="Arial" w:hAnsi="Arial"/>
          <w:sz w:val="22"/>
          <w:szCs w:val="22"/>
        </w:rPr>
      </w:pPr>
      <w:r>
        <w:rPr>
          <w:rFonts w:ascii="Arial" w:hAnsi="Arial"/>
          <w:sz w:val="22"/>
          <w:szCs w:val="22"/>
        </w:rPr>
        <w:t>Alteração social ou modificação da finalidade ou da estrutura da empresa que restrinja sua capacidade de concluir o contrato;</w:t>
      </w:r>
    </w:p>
    <w:p>
      <w:pPr>
        <w:pStyle w:val="ListParagraph"/>
        <w:numPr>
          <w:ilvl w:val="0"/>
          <w:numId w:val="31"/>
        </w:numPr>
        <w:tabs>
          <w:tab w:val="clear" w:pos="720"/>
          <w:tab w:val="left" w:pos="1134" w:leader="none"/>
        </w:tabs>
        <w:ind w:left="567" w:hanging="0"/>
        <w:jc w:val="both"/>
        <w:rPr>
          <w:rFonts w:ascii="Arial" w:hAnsi="Arial"/>
          <w:sz w:val="22"/>
          <w:szCs w:val="22"/>
        </w:rPr>
      </w:pPr>
      <w:r>
        <w:rPr>
          <w:rFonts w:ascii="Arial" w:hAnsi="Arial"/>
          <w:sz w:val="22"/>
          <w:szCs w:val="22"/>
        </w:rPr>
        <w:t xml:space="preserve">Decretação de falência ou de insolvência civil, dissolução da sociedade ou falecimento do </w:t>
      </w:r>
      <w:r>
        <w:rPr>
          <w:rFonts w:ascii="Arial" w:hAnsi="Arial"/>
          <w:b/>
          <w:sz w:val="22"/>
          <w:szCs w:val="22"/>
        </w:rPr>
        <w:t>CONTRATADO</w:t>
      </w:r>
      <w:r>
        <w:rPr>
          <w:rFonts w:ascii="Arial" w:hAnsi="Arial"/>
          <w:sz w:val="22"/>
          <w:szCs w:val="22"/>
        </w:rPr>
        <w:t>;</w:t>
      </w:r>
    </w:p>
    <w:p>
      <w:pPr>
        <w:pStyle w:val="ListParagraph"/>
        <w:numPr>
          <w:ilvl w:val="0"/>
          <w:numId w:val="31"/>
        </w:numPr>
        <w:tabs>
          <w:tab w:val="clear" w:pos="720"/>
          <w:tab w:val="left" w:pos="1134" w:leader="none"/>
        </w:tabs>
        <w:ind w:left="567" w:hanging="0"/>
        <w:jc w:val="both"/>
        <w:rPr>
          <w:rFonts w:ascii="Arial" w:hAnsi="Arial"/>
          <w:sz w:val="22"/>
          <w:szCs w:val="22"/>
        </w:rPr>
      </w:pPr>
      <w:r>
        <w:rPr>
          <w:rFonts w:ascii="Arial" w:hAnsi="Arial"/>
          <w:sz w:val="22"/>
          <w:szCs w:val="22"/>
        </w:rPr>
        <w:t>Caso fortuito ou força maior, regularmente comprovados, impeditivos da execução do contrato;</w:t>
      </w:r>
    </w:p>
    <w:p>
      <w:pPr>
        <w:pStyle w:val="ListParagraph"/>
        <w:numPr>
          <w:ilvl w:val="0"/>
          <w:numId w:val="31"/>
        </w:numPr>
        <w:tabs>
          <w:tab w:val="clear" w:pos="720"/>
          <w:tab w:val="left" w:pos="1134" w:leader="none"/>
        </w:tabs>
        <w:ind w:left="567" w:hanging="0"/>
        <w:jc w:val="both"/>
        <w:rPr>
          <w:rFonts w:ascii="Arial" w:hAnsi="Arial"/>
          <w:sz w:val="22"/>
          <w:szCs w:val="22"/>
        </w:rPr>
      </w:pPr>
      <w:r>
        <w:rPr>
          <w:rFonts w:ascii="Arial" w:hAnsi="Arial"/>
          <w:sz w:val="22"/>
          <w:szCs w:val="22"/>
        </w:rPr>
        <w:t>Atraso na obtenção da licença ambiental, ou impossibilidade de obtê-la, ou alteração substancial do anteprojeto que dela resultar, ainda que obtida no prazo previsto;</w:t>
      </w:r>
    </w:p>
    <w:p>
      <w:pPr>
        <w:pStyle w:val="ListParagraph"/>
        <w:numPr>
          <w:ilvl w:val="0"/>
          <w:numId w:val="31"/>
        </w:numPr>
        <w:tabs>
          <w:tab w:val="clear" w:pos="720"/>
          <w:tab w:val="left" w:pos="1134" w:leader="none"/>
        </w:tabs>
        <w:ind w:left="567" w:hanging="0"/>
        <w:jc w:val="both"/>
        <w:rPr>
          <w:rFonts w:ascii="Arial" w:hAnsi="Arial"/>
          <w:sz w:val="22"/>
          <w:szCs w:val="22"/>
        </w:rPr>
      </w:pPr>
      <w:r>
        <w:rPr>
          <w:rFonts w:ascii="Arial" w:hAnsi="Arial"/>
          <w:sz w:val="22"/>
          <w:szCs w:val="22"/>
        </w:rPr>
        <w:t>Atraso na liberação das áreas sujeitas a desapropriação, a desocupação ou a servidão administrativa, ou impossibilidade de liberação dessas áreas;</w:t>
      </w:r>
    </w:p>
    <w:p>
      <w:pPr>
        <w:pStyle w:val="ListParagraph"/>
        <w:numPr>
          <w:ilvl w:val="0"/>
          <w:numId w:val="31"/>
        </w:numPr>
        <w:tabs>
          <w:tab w:val="clear" w:pos="720"/>
          <w:tab w:val="left" w:pos="1134" w:leader="none"/>
        </w:tabs>
        <w:ind w:left="567" w:hanging="0"/>
        <w:jc w:val="both"/>
        <w:rPr>
          <w:rFonts w:ascii="Arial" w:hAnsi="Arial"/>
          <w:sz w:val="22"/>
          <w:szCs w:val="22"/>
        </w:rPr>
      </w:pPr>
      <w:r>
        <w:rPr>
          <w:rFonts w:ascii="Arial" w:hAnsi="Arial"/>
          <w:sz w:val="22"/>
          <w:szCs w:val="22"/>
        </w:rPr>
        <w:t>Razões de interesse público, justificadas pela autoridade máxima do órgão;</w:t>
      </w:r>
    </w:p>
    <w:p>
      <w:pPr>
        <w:pStyle w:val="ListParagraph"/>
        <w:numPr>
          <w:ilvl w:val="0"/>
          <w:numId w:val="31"/>
        </w:numPr>
        <w:tabs>
          <w:tab w:val="clear" w:pos="720"/>
          <w:tab w:val="left" w:pos="1134" w:leader="none"/>
        </w:tabs>
        <w:ind w:left="567" w:hanging="0"/>
        <w:jc w:val="both"/>
        <w:rPr>
          <w:rFonts w:ascii="Arial" w:hAnsi="Arial"/>
          <w:sz w:val="22"/>
          <w:szCs w:val="22"/>
        </w:rPr>
      </w:pPr>
      <w:r>
        <w:rPr>
          <w:rFonts w:ascii="Arial" w:hAnsi="Arial"/>
          <w:sz w:val="22"/>
          <w:szCs w:val="22"/>
        </w:rPr>
        <w:t>Não cumprimento das obrigações relativas à reserva de cargos prevista em lei, bem como em outras normas específicas, para pessoa com deficiência, para reabilitado da Previdência Social ou para aprendiz.</w:t>
      </w:r>
    </w:p>
    <w:p>
      <w:pPr>
        <w:pStyle w:val="Normal"/>
        <w:spacing w:lineRule="auto" w:line="240"/>
        <w:jc w:val="both"/>
        <w:rPr>
          <w:rFonts w:ascii="Arial" w:hAnsi="Arial"/>
        </w:rPr>
      </w:pPr>
      <w:r>
        <w:rPr>
          <w:rFonts w:cs="Times New Roman" w:ascii="Arial" w:hAnsi="Arial"/>
          <w:b/>
        </w:rPr>
        <w:t xml:space="preserve">18.1.9.1. </w:t>
      </w:r>
      <w:r>
        <w:rPr>
          <w:rFonts w:cs="Times New Roman" w:ascii="Arial" w:hAnsi="Arial"/>
        </w:rPr>
        <w:t>As hipóteses de extinção a que se referem os incisos II, III e IV observarão as seguintes disposições:</w:t>
      </w:r>
    </w:p>
    <w:p>
      <w:pPr>
        <w:pStyle w:val="ListParagraph"/>
        <w:numPr>
          <w:ilvl w:val="0"/>
          <w:numId w:val="33"/>
        </w:numPr>
        <w:tabs>
          <w:tab w:val="clear" w:pos="720"/>
          <w:tab w:val="left" w:pos="1134" w:leader="none"/>
        </w:tabs>
        <w:ind w:left="567" w:hanging="0"/>
        <w:jc w:val="both"/>
        <w:rPr>
          <w:rFonts w:ascii="Arial" w:hAnsi="Arial"/>
          <w:sz w:val="22"/>
          <w:szCs w:val="22"/>
        </w:rPr>
      </w:pPr>
      <w:r>
        <w:rPr>
          <w:rFonts w:ascii="Arial" w:hAnsi="Arial"/>
          <w:sz w:val="22"/>
          <w:szCs w:val="22"/>
        </w:rPr>
        <w:t xml:space="preserve">Não serão admitidas em caso de calamidade pública, de grave perturbação da ordem interna ou de guerra, bem como quando decorrerem de ato ou fato que o </w:t>
      </w:r>
      <w:r>
        <w:rPr>
          <w:rFonts w:ascii="Arial" w:hAnsi="Arial"/>
          <w:b/>
          <w:sz w:val="22"/>
          <w:szCs w:val="22"/>
        </w:rPr>
        <w:t>CONTRATADO</w:t>
      </w:r>
      <w:r>
        <w:rPr>
          <w:rFonts w:ascii="Arial" w:hAnsi="Arial"/>
          <w:sz w:val="22"/>
          <w:szCs w:val="22"/>
        </w:rPr>
        <w:t xml:space="preserve"> tenha praticado, do qual tenha participado ou para o qual tenha contribuído;</w:t>
      </w:r>
    </w:p>
    <w:p>
      <w:pPr>
        <w:pStyle w:val="ListParagraph"/>
        <w:numPr>
          <w:ilvl w:val="0"/>
          <w:numId w:val="33"/>
        </w:numPr>
        <w:tabs>
          <w:tab w:val="clear" w:pos="720"/>
          <w:tab w:val="left" w:pos="1134" w:leader="none"/>
        </w:tabs>
        <w:ind w:left="567" w:hanging="0"/>
        <w:jc w:val="both"/>
        <w:rPr>
          <w:rFonts w:ascii="Arial" w:hAnsi="Arial"/>
          <w:sz w:val="22"/>
          <w:szCs w:val="22"/>
        </w:rPr>
      </w:pPr>
      <w:r>
        <w:rPr>
          <w:rFonts w:ascii="Arial" w:hAnsi="Arial"/>
          <w:sz w:val="22"/>
          <w:szCs w:val="22"/>
        </w:rPr>
        <w:t xml:space="preserve">Assegurarão ao </w:t>
      </w:r>
      <w:r>
        <w:rPr>
          <w:rFonts w:ascii="Arial" w:hAnsi="Arial"/>
          <w:b/>
          <w:sz w:val="22"/>
          <w:szCs w:val="22"/>
        </w:rPr>
        <w:t>CONTRATADO</w:t>
      </w:r>
      <w:r>
        <w:rPr>
          <w:rFonts w:ascii="Arial" w:hAnsi="Arial"/>
          <w:sz w:val="22"/>
          <w:szCs w:val="22"/>
        </w:rPr>
        <w:t xml:space="preserve"> o direito de optar pela suspensão do cumprimento das obrigações assumidas até a normalização da situação, admitido o restabelecimento do equilíbrio econômico-financeiro do contrato, na forma da alínea “d” do inciso II do </w:t>
      </w:r>
      <w:r>
        <w:rPr>
          <w:rFonts w:ascii="Arial" w:hAnsi="Arial"/>
          <w:i/>
          <w:sz w:val="22"/>
          <w:szCs w:val="22"/>
        </w:rPr>
        <w:t>caput</w:t>
      </w:r>
      <w:r>
        <w:rPr>
          <w:rFonts w:ascii="Arial" w:hAnsi="Arial"/>
          <w:sz w:val="22"/>
          <w:szCs w:val="22"/>
        </w:rPr>
        <w:t xml:space="preserve"> do art. 124 da Lei nº 14.133/2021.</w:t>
      </w:r>
    </w:p>
    <w:p>
      <w:pPr>
        <w:pStyle w:val="Normal"/>
        <w:spacing w:lineRule="auto" w:line="240"/>
        <w:jc w:val="both"/>
        <w:rPr>
          <w:rFonts w:ascii="Arial" w:hAnsi="Arial"/>
        </w:rPr>
      </w:pPr>
      <w:r>
        <w:rPr>
          <w:rFonts w:cs="Times New Roman" w:ascii="Arial" w:hAnsi="Arial"/>
          <w:b/>
        </w:rPr>
        <w:t>18.1.9.2.</w:t>
      </w:r>
      <w:r>
        <w:rPr>
          <w:rFonts w:cs="Times New Roman" w:ascii="Arial" w:hAnsi="Arial"/>
        </w:rPr>
        <w:t xml:space="preserve"> O </w:t>
      </w:r>
      <w:r>
        <w:rPr>
          <w:rFonts w:cs="Times New Roman" w:ascii="Arial" w:hAnsi="Arial"/>
          <w:b/>
        </w:rPr>
        <w:t>CONTRATADO</w:t>
      </w:r>
      <w:r>
        <w:rPr>
          <w:rFonts w:cs="Times New Roman" w:ascii="Arial" w:hAnsi="Arial"/>
        </w:rPr>
        <w:t xml:space="preserve"> terá direito à extinção do contrato nas seguintes hipóteses (art. 136, § 2º da Lei nº 14.133/2021):</w:t>
      </w:r>
    </w:p>
    <w:p>
      <w:pPr>
        <w:pStyle w:val="ListParagraph"/>
        <w:numPr>
          <w:ilvl w:val="0"/>
          <w:numId w:val="32"/>
        </w:numPr>
        <w:tabs>
          <w:tab w:val="clear" w:pos="720"/>
          <w:tab w:val="left" w:pos="1134" w:leader="none"/>
        </w:tabs>
        <w:ind w:left="567" w:hanging="0"/>
        <w:jc w:val="both"/>
        <w:rPr>
          <w:rFonts w:ascii="Arial" w:hAnsi="Arial"/>
          <w:sz w:val="22"/>
          <w:szCs w:val="22"/>
        </w:rPr>
      </w:pPr>
      <w:r>
        <w:rPr>
          <w:rFonts w:ascii="Arial" w:hAnsi="Arial"/>
          <w:sz w:val="22"/>
          <w:szCs w:val="22"/>
        </w:rPr>
        <w:t>Supressão, por parte da Administração, de obras, serviços ou compras que acarrete modificação do valor inicial do contrato além do limite permitido no art. 125 da Lei nº 14.133/2021;</w:t>
      </w:r>
    </w:p>
    <w:p>
      <w:pPr>
        <w:pStyle w:val="ListParagraph"/>
        <w:numPr>
          <w:ilvl w:val="0"/>
          <w:numId w:val="32"/>
        </w:numPr>
        <w:tabs>
          <w:tab w:val="clear" w:pos="720"/>
          <w:tab w:val="left" w:pos="1134" w:leader="none"/>
        </w:tabs>
        <w:ind w:left="567" w:hanging="0"/>
        <w:jc w:val="both"/>
        <w:rPr>
          <w:rFonts w:ascii="Arial" w:hAnsi="Arial"/>
          <w:sz w:val="22"/>
          <w:szCs w:val="22"/>
        </w:rPr>
      </w:pPr>
      <w:r>
        <w:rPr>
          <w:rFonts w:ascii="Arial" w:hAnsi="Arial"/>
          <w:sz w:val="22"/>
          <w:szCs w:val="22"/>
        </w:rPr>
        <w:t>Suspensão de execução do contrato, por ordem escrita da Administração, por prazo superior a 3 (três) meses;</w:t>
      </w:r>
    </w:p>
    <w:p>
      <w:pPr>
        <w:pStyle w:val="ListParagraph"/>
        <w:numPr>
          <w:ilvl w:val="0"/>
          <w:numId w:val="32"/>
        </w:numPr>
        <w:tabs>
          <w:tab w:val="clear" w:pos="720"/>
          <w:tab w:val="left" w:pos="1134" w:leader="none"/>
        </w:tabs>
        <w:ind w:left="567" w:hanging="0"/>
        <w:jc w:val="both"/>
        <w:rPr>
          <w:rFonts w:ascii="Arial" w:hAnsi="Arial"/>
          <w:sz w:val="22"/>
          <w:szCs w:val="22"/>
        </w:rPr>
      </w:pPr>
      <w:r>
        <w:rPr>
          <w:rFonts w:ascii="Arial" w:hAnsi="Arial"/>
          <w:sz w:val="22"/>
          <w:szCs w:val="22"/>
        </w:rPr>
        <w:t>Repetidas suspensões que totalizem 90 (noventa) dias úteis, independentemente do pagamento obrigatório de indenização pelas sucessivas e contratualmente imprevistas desmobilizações e mobilizações e outras previstas;</w:t>
      </w:r>
    </w:p>
    <w:p>
      <w:pPr>
        <w:pStyle w:val="ListParagraph"/>
        <w:numPr>
          <w:ilvl w:val="0"/>
          <w:numId w:val="32"/>
        </w:numPr>
        <w:tabs>
          <w:tab w:val="clear" w:pos="720"/>
          <w:tab w:val="left" w:pos="1134" w:leader="none"/>
        </w:tabs>
        <w:ind w:left="567" w:hanging="0"/>
        <w:jc w:val="both"/>
        <w:rPr>
          <w:rFonts w:ascii="Arial" w:hAnsi="Arial"/>
          <w:sz w:val="22"/>
          <w:szCs w:val="22"/>
        </w:rPr>
      </w:pPr>
      <w:r>
        <w:rPr>
          <w:rFonts w:ascii="Arial" w:hAnsi="Arial"/>
          <w:sz w:val="22"/>
          <w:szCs w:val="22"/>
        </w:rPr>
        <w:t>Atraso superior a 2 (dois) meses, contado da emissão da nota fiscal, dos pagamentos ou de parcelas de pagamentos devidos pela Administração por despesas de obras, serviços ou fornecimentos;</w:t>
      </w:r>
    </w:p>
    <w:p>
      <w:pPr>
        <w:pStyle w:val="ListParagraph"/>
        <w:numPr>
          <w:ilvl w:val="0"/>
          <w:numId w:val="32"/>
        </w:numPr>
        <w:tabs>
          <w:tab w:val="clear" w:pos="720"/>
          <w:tab w:val="left" w:pos="1134" w:leader="none"/>
        </w:tabs>
        <w:ind w:left="567" w:hanging="0"/>
        <w:jc w:val="both"/>
        <w:rPr>
          <w:rFonts w:ascii="Arial" w:hAnsi="Arial"/>
          <w:sz w:val="22"/>
          <w:szCs w:val="22"/>
        </w:rPr>
      </w:pPr>
      <w:r>
        <w:rPr>
          <w:rFonts w:ascii="Arial" w:hAnsi="Arial"/>
          <w:sz w:val="22"/>
          <w:szCs w:val="22"/>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pStyle w:val="Normal"/>
        <w:spacing w:lineRule="auto" w:line="240"/>
        <w:jc w:val="both"/>
        <w:rPr>
          <w:rFonts w:ascii="Arial" w:hAnsi="Arial"/>
        </w:rPr>
      </w:pPr>
      <w:r>
        <w:rPr>
          <w:rFonts w:cs="Times New Roman" w:ascii="Arial" w:hAnsi="Arial"/>
          <w:b/>
        </w:rPr>
        <w:t>18.1.9.3.</w:t>
      </w:r>
      <w:r>
        <w:rPr>
          <w:rFonts w:cs="Times New Roman" w:ascii="Arial" w:hAnsi="Arial"/>
        </w:rPr>
        <w:t xml:space="preserve"> A extinção do contrato poderá ser:</w:t>
      </w:r>
    </w:p>
    <w:p>
      <w:pPr>
        <w:pStyle w:val="ListParagraph"/>
        <w:numPr>
          <w:ilvl w:val="0"/>
          <w:numId w:val="34"/>
        </w:numPr>
        <w:tabs>
          <w:tab w:val="clear" w:pos="720"/>
          <w:tab w:val="left" w:pos="1134" w:leader="none"/>
        </w:tabs>
        <w:ind w:left="567" w:hanging="0"/>
        <w:jc w:val="both"/>
        <w:rPr>
          <w:rFonts w:ascii="Arial" w:hAnsi="Arial"/>
          <w:sz w:val="22"/>
          <w:szCs w:val="22"/>
        </w:rPr>
      </w:pPr>
      <w:r>
        <w:rPr>
          <w:rFonts w:ascii="Arial" w:hAnsi="Arial"/>
          <w:sz w:val="22"/>
          <w:szCs w:val="22"/>
        </w:rPr>
        <w:t>Determinada por ato unilateral e escrito da Administração, exceto no caso de descumprimento decorrente de sua própria conduta;</w:t>
      </w:r>
    </w:p>
    <w:p>
      <w:pPr>
        <w:pStyle w:val="ListParagraph"/>
        <w:numPr>
          <w:ilvl w:val="0"/>
          <w:numId w:val="34"/>
        </w:numPr>
        <w:tabs>
          <w:tab w:val="clear" w:pos="720"/>
          <w:tab w:val="left" w:pos="1134" w:leader="none"/>
        </w:tabs>
        <w:ind w:left="567" w:hanging="0"/>
        <w:jc w:val="both"/>
        <w:rPr>
          <w:rFonts w:ascii="Arial" w:hAnsi="Arial"/>
          <w:sz w:val="22"/>
          <w:szCs w:val="22"/>
        </w:rPr>
      </w:pPr>
      <w:r>
        <w:rPr>
          <w:rFonts w:ascii="Arial" w:hAnsi="Arial"/>
          <w:sz w:val="22"/>
          <w:szCs w:val="22"/>
        </w:rPr>
        <w:t>Consensual, por acordo entre as partes, por conciliação, por mediação ou por comitê de resolução de disputas, desde que haja interesse da Administração;</w:t>
      </w:r>
    </w:p>
    <w:p>
      <w:pPr>
        <w:pStyle w:val="ListParagraph"/>
        <w:numPr>
          <w:ilvl w:val="0"/>
          <w:numId w:val="34"/>
        </w:numPr>
        <w:tabs>
          <w:tab w:val="clear" w:pos="720"/>
          <w:tab w:val="left" w:pos="1134" w:leader="none"/>
        </w:tabs>
        <w:ind w:left="567" w:hanging="0"/>
        <w:jc w:val="both"/>
        <w:rPr>
          <w:rFonts w:ascii="Arial" w:hAnsi="Arial"/>
          <w:sz w:val="22"/>
          <w:szCs w:val="22"/>
        </w:rPr>
      </w:pPr>
      <w:r>
        <w:rPr>
          <w:rFonts w:ascii="Arial" w:hAnsi="Arial"/>
          <w:sz w:val="22"/>
          <w:szCs w:val="22"/>
        </w:rPr>
        <w:t>Determinada por decisão arbitral, em decorrência de cláusula compromissória ou compromisso arbitral, ou por decisão judicial.</w:t>
      </w:r>
    </w:p>
    <w:p>
      <w:pPr>
        <w:pStyle w:val="Normal"/>
        <w:spacing w:lineRule="auto" w:line="240"/>
        <w:jc w:val="both"/>
        <w:rPr>
          <w:rFonts w:ascii="Arial" w:hAnsi="Arial"/>
        </w:rPr>
      </w:pPr>
      <w:r>
        <w:rPr>
          <w:rFonts w:cs="Times New Roman" w:ascii="Arial" w:hAnsi="Arial"/>
          <w:b/>
        </w:rPr>
        <w:t>18.1.9.3.1.</w:t>
      </w:r>
      <w:r>
        <w:rPr>
          <w:rFonts w:cs="Times New Roman" w:ascii="Arial" w:hAnsi="Arial"/>
        </w:rPr>
        <w:t xml:space="preserve"> A extinção determinada por ato unilateral da Administração e a extinção consensual serão precedidas de autorização escrita e fundamentada da autoridade competente e reduzidas a termo no respectivo processo.</w:t>
      </w:r>
    </w:p>
    <w:p>
      <w:pPr>
        <w:pStyle w:val="Normal"/>
        <w:spacing w:lineRule="auto" w:line="240"/>
        <w:jc w:val="both"/>
        <w:rPr>
          <w:rFonts w:ascii="Arial" w:hAnsi="Arial"/>
        </w:rPr>
      </w:pPr>
      <w:r>
        <w:rPr>
          <w:rFonts w:cs="Times New Roman" w:ascii="Arial" w:hAnsi="Arial"/>
          <w:b/>
        </w:rPr>
        <w:t>18.1.9.3.2.</w:t>
      </w:r>
      <w:r>
        <w:rPr>
          <w:rFonts w:cs="Times New Roman" w:ascii="Arial" w:hAnsi="Arial"/>
        </w:rPr>
        <w:t xml:space="preserve"> Quando a extinção decorrer de culpa exclusiva da Administração, o </w:t>
      </w:r>
      <w:r>
        <w:rPr>
          <w:rFonts w:cs="Times New Roman" w:ascii="Arial" w:hAnsi="Arial"/>
          <w:b/>
        </w:rPr>
        <w:t>CONTRATADO</w:t>
      </w:r>
      <w:r>
        <w:rPr>
          <w:rFonts w:cs="Times New Roman" w:ascii="Arial" w:hAnsi="Arial"/>
        </w:rPr>
        <w:t xml:space="preserve"> será ressarcido pelos prejuízos regularmente comprovados que houver sofrido e terá direito a:</w:t>
      </w:r>
    </w:p>
    <w:p>
      <w:pPr>
        <w:pStyle w:val="ListParagraph"/>
        <w:numPr>
          <w:ilvl w:val="0"/>
          <w:numId w:val="35"/>
        </w:numPr>
        <w:tabs>
          <w:tab w:val="clear" w:pos="720"/>
          <w:tab w:val="left" w:pos="1134" w:leader="none"/>
        </w:tabs>
        <w:ind w:left="567" w:hanging="0"/>
        <w:jc w:val="both"/>
        <w:rPr>
          <w:rFonts w:ascii="Arial" w:hAnsi="Arial"/>
          <w:sz w:val="22"/>
          <w:szCs w:val="22"/>
        </w:rPr>
      </w:pPr>
      <w:r>
        <w:rPr>
          <w:rFonts w:ascii="Arial" w:hAnsi="Arial"/>
          <w:sz w:val="22"/>
          <w:szCs w:val="22"/>
        </w:rPr>
        <w:t>Devolução da garantia;</w:t>
      </w:r>
    </w:p>
    <w:p>
      <w:pPr>
        <w:pStyle w:val="ListParagraph"/>
        <w:numPr>
          <w:ilvl w:val="0"/>
          <w:numId w:val="35"/>
        </w:numPr>
        <w:tabs>
          <w:tab w:val="clear" w:pos="720"/>
          <w:tab w:val="left" w:pos="1134" w:leader="none"/>
        </w:tabs>
        <w:ind w:left="567" w:hanging="0"/>
        <w:jc w:val="both"/>
        <w:rPr>
          <w:rFonts w:ascii="Arial" w:hAnsi="Arial"/>
          <w:sz w:val="22"/>
          <w:szCs w:val="22"/>
        </w:rPr>
      </w:pPr>
      <w:r>
        <w:rPr>
          <w:rFonts w:ascii="Arial" w:hAnsi="Arial"/>
          <w:sz w:val="22"/>
          <w:szCs w:val="22"/>
        </w:rPr>
        <w:t>Pagamentos devidos pela execução do contrato até a data de extinção;</w:t>
      </w:r>
    </w:p>
    <w:p>
      <w:pPr>
        <w:pStyle w:val="ListParagraph"/>
        <w:numPr>
          <w:ilvl w:val="0"/>
          <w:numId w:val="35"/>
        </w:numPr>
        <w:tabs>
          <w:tab w:val="clear" w:pos="720"/>
          <w:tab w:val="left" w:pos="1134" w:leader="none"/>
        </w:tabs>
        <w:ind w:left="567" w:hanging="0"/>
        <w:jc w:val="both"/>
        <w:rPr>
          <w:rFonts w:ascii="Arial" w:hAnsi="Arial"/>
          <w:sz w:val="22"/>
          <w:szCs w:val="22"/>
        </w:rPr>
      </w:pPr>
      <w:r>
        <w:rPr>
          <w:rFonts w:ascii="Arial" w:hAnsi="Arial"/>
          <w:sz w:val="22"/>
          <w:szCs w:val="22"/>
        </w:rPr>
        <w:t>Pagamento do custo da desmobilização.</w:t>
      </w:r>
    </w:p>
    <w:p>
      <w:pPr>
        <w:pStyle w:val="Normal"/>
        <w:spacing w:lineRule="auto" w:line="240"/>
        <w:jc w:val="both"/>
        <w:rPr>
          <w:rFonts w:ascii="Arial" w:hAnsi="Arial"/>
        </w:rPr>
      </w:pPr>
      <w:r>
        <w:rPr>
          <w:rFonts w:cs="Times New Roman" w:ascii="Arial" w:hAnsi="Arial"/>
          <w:b/>
        </w:rPr>
        <w:t>18.1.9.4.</w:t>
      </w:r>
      <w:r>
        <w:rPr>
          <w:rFonts w:cs="Times New Roman" w:ascii="Arial" w:hAnsi="Arial"/>
        </w:rPr>
        <w:t xml:space="preserve"> A extinção determinada por ato unilateral da Administração poderá acarretar, sem prejuízo das sanções previstas na Lei nº 14.133/2021, as seguintes consequências:</w:t>
      </w:r>
    </w:p>
    <w:p>
      <w:pPr>
        <w:pStyle w:val="ListParagraph"/>
        <w:numPr>
          <w:ilvl w:val="0"/>
          <w:numId w:val="36"/>
        </w:numPr>
        <w:tabs>
          <w:tab w:val="clear" w:pos="720"/>
          <w:tab w:val="left" w:pos="1134" w:leader="none"/>
        </w:tabs>
        <w:ind w:left="567" w:hanging="0"/>
        <w:jc w:val="both"/>
        <w:rPr>
          <w:rFonts w:ascii="Arial" w:hAnsi="Arial"/>
          <w:sz w:val="22"/>
          <w:szCs w:val="22"/>
        </w:rPr>
      </w:pPr>
      <w:r>
        <w:rPr>
          <w:rFonts w:ascii="Arial" w:hAnsi="Arial"/>
          <w:sz w:val="22"/>
          <w:szCs w:val="22"/>
        </w:rPr>
        <w:t>Assunção imediata do objeto do contrato, no estado e local em que se encontrar, por ato próprio da Administração;</w:t>
      </w:r>
    </w:p>
    <w:p>
      <w:pPr>
        <w:pStyle w:val="ListParagraph"/>
        <w:numPr>
          <w:ilvl w:val="0"/>
          <w:numId w:val="36"/>
        </w:numPr>
        <w:tabs>
          <w:tab w:val="clear" w:pos="720"/>
          <w:tab w:val="left" w:pos="1134" w:leader="none"/>
        </w:tabs>
        <w:ind w:left="567" w:hanging="0"/>
        <w:jc w:val="both"/>
        <w:rPr>
          <w:rFonts w:ascii="Arial" w:hAnsi="Arial"/>
          <w:sz w:val="22"/>
          <w:szCs w:val="22"/>
        </w:rPr>
      </w:pPr>
      <w:r>
        <w:rPr>
          <w:rFonts w:ascii="Arial" w:hAnsi="Arial"/>
          <w:sz w:val="22"/>
          <w:szCs w:val="22"/>
        </w:rPr>
        <w:t>Ocupação e utilização do local, das instalações, dos equipamentos, do material e do pessoal empregados na execução do contrato e necessários à sua continuidade;</w:t>
      </w:r>
    </w:p>
    <w:p>
      <w:pPr>
        <w:pStyle w:val="ListParagraph"/>
        <w:numPr>
          <w:ilvl w:val="0"/>
          <w:numId w:val="36"/>
        </w:numPr>
        <w:tabs>
          <w:tab w:val="clear" w:pos="720"/>
          <w:tab w:val="left" w:pos="1134" w:leader="none"/>
        </w:tabs>
        <w:ind w:left="567" w:hanging="0"/>
        <w:jc w:val="both"/>
        <w:rPr>
          <w:rFonts w:ascii="Arial" w:hAnsi="Arial"/>
          <w:sz w:val="22"/>
          <w:szCs w:val="22"/>
        </w:rPr>
      </w:pPr>
      <w:r>
        <w:rPr>
          <w:rFonts w:ascii="Arial" w:hAnsi="Arial"/>
          <w:sz w:val="22"/>
          <w:szCs w:val="22"/>
        </w:rPr>
        <w:t>Execução da garantia contratual para:</w:t>
      </w:r>
    </w:p>
    <w:p>
      <w:pPr>
        <w:pStyle w:val="ListParagraph"/>
        <w:tabs>
          <w:tab w:val="clear" w:pos="720"/>
          <w:tab w:val="left" w:pos="1701" w:leader="none"/>
        </w:tabs>
        <w:ind w:left="851" w:hanging="0"/>
        <w:jc w:val="both"/>
        <w:rPr>
          <w:rFonts w:ascii="Arial" w:hAnsi="Arial"/>
          <w:sz w:val="22"/>
          <w:szCs w:val="22"/>
        </w:rPr>
      </w:pPr>
      <w:r>
        <w:rPr>
          <w:rFonts w:ascii="Arial" w:hAnsi="Arial"/>
          <w:b/>
          <w:bCs/>
          <w:sz w:val="22"/>
          <w:szCs w:val="22"/>
        </w:rPr>
        <w:t>i)</w:t>
      </w:r>
      <w:r>
        <w:rPr>
          <w:rFonts w:ascii="Arial" w:hAnsi="Arial"/>
          <w:sz w:val="22"/>
          <w:szCs w:val="22"/>
        </w:rPr>
        <w:tab/>
        <w:t>Ressarcimento da Administração Pública por prejuízos decorrentes da não execução;</w:t>
      </w:r>
    </w:p>
    <w:p>
      <w:pPr>
        <w:pStyle w:val="ListParagraph"/>
        <w:tabs>
          <w:tab w:val="clear" w:pos="720"/>
          <w:tab w:val="left" w:pos="1701" w:leader="none"/>
        </w:tabs>
        <w:ind w:left="851" w:hanging="0"/>
        <w:jc w:val="both"/>
        <w:rPr>
          <w:rFonts w:ascii="Arial" w:hAnsi="Arial"/>
          <w:sz w:val="22"/>
          <w:szCs w:val="22"/>
        </w:rPr>
      </w:pPr>
      <w:r>
        <w:rPr>
          <w:rFonts w:ascii="Arial" w:hAnsi="Arial"/>
          <w:b/>
          <w:bCs/>
          <w:sz w:val="22"/>
          <w:szCs w:val="22"/>
        </w:rPr>
        <w:t>ii)</w:t>
      </w:r>
      <w:r>
        <w:rPr>
          <w:rFonts w:ascii="Arial" w:hAnsi="Arial"/>
          <w:sz w:val="22"/>
          <w:szCs w:val="22"/>
        </w:rPr>
        <w:tab/>
        <w:t>Pagamento de verbas trabalhistas, fundiárias e previdenciárias, quando cabível;</w:t>
      </w:r>
    </w:p>
    <w:p>
      <w:pPr>
        <w:pStyle w:val="ListParagraph"/>
        <w:tabs>
          <w:tab w:val="clear" w:pos="720"/>
          <w:tab w:val="left" w:pos="1701" w:leader="none"/>
        </w:tabs>
        <w:ind w:left="851" w:hanging="0"/>
        <w:jc w:val="both"/>
        <w:rPr>
          <w:rFonts w:ascii="Arial" w:hAnsi="Arial"/>
          <w:sz w:val="22"/>
          <w:szCs w:val="22"/>
        </w:rPr>
      </w:pPr>
      <w:r>
        <w:rPr>
          <w:rFonts w:ascii="Arial" w:hAnsi="Arial"/>
          <w:b/>
          <w:bCs/>
          <w:sz w:val="22"/>
          <w:szCs w:val="22"/>
        </w:rPr>
        <w:t>iii)</w:t>
      </w:r>
      <w:r>
        <w:rPr>
          <w:rFonts w:ascii="Arial" w:hAnsi="Arial"/>
          <w:sz w:val="22"/>
          <w:szCs w:val="22"/>
        </w:rPr>
        <w:tab/>
        <w:t>Pagamento das multas devidas à Administração Pública;</w:t>
      </w:r>
    </w:p>
    <w:p>
      <w:pPr>
        <w:pStyle w:val="ListParagraph"/>
        <w:tabs>
          <w:tab w:val="clear" w:pos="720"/>
          <w:tab w:val="left" w:pos="1701" w:leader="none"/>
        </w:tabs>
        <w:ind w:left="851" w:hanging="0"/>
        <w:jc w:val="both"/>
        <w:rPr>
          <w:rFonts w:ascii="Arial" w:hAnsi="Arial"/>
          <w:sz w:val="22"/>
          <w:szCs w:val="22"/>
        </w:rPr>
      </w:pPr>
      <w:r>
        <w:rPr>
          <w:rFonts w:ascii="Arial" w:hAnsi="Arial"/>
          <w:b/>
          <w:bCs/>
          <w:sz w:val="22"/>
          <w:szCs w:val="22"/>
        </w:rPr>
        <w:t>iv)</w:t>
      </w:r>
      <w:r>
        <w:rPr>
          <w:rFonts w:ascii="Arial" w:hAnsi="Arial"/>
          <w:sz w:val="22"/>
          <w:szCs w:val="22"/>
        </w:rPr>
        <w:tab/>
        <w:t>Exigência da assunção da execução e da conclusão do objeto do contrato pela seguradora, quando cabível;</w:t>
      </w:r>
    </w:p>
    <w:p>
      <w:pPr>
        <w:pStyle w:val="ListParagraph"/>
        <w:tabs>
          <w:tab w:val="clear" w:pos="720"/>
          <w:tab w:val="left" w:pos="851" w:leader="none"/>
        </w:tabs>
        <w:ind w:left="850" w:right="0" w:hanging="0"/>
        <w:jc w:val="both"/>
        <w:rPr>
          <w:rFonts w:ascii="Arial" w:hAnsi="Arial"/>
          <w:sz w:val="22"/>
          <w:szCs w:val="22"/>
        </w:rPr>
      </w:pPr>
      <w:r>
        <w:rPr>
          <w:rFonts w:ascii="Arial" w:hAnsi="Arial"/>
          <w:sz w:val="22"/>
          <w:szCs w:val="22"/>
        </w:rPr>
        <w:tab/>
        <w:t xml:space="preserve"> </w:t>
      </w:r>
      <w:r>
        <w:rPr>
          <w:rFonts w:ascii="Arial" w:hAnsi="Arial"/>
          <w:b/>
          <w:bCs/>
          <w:sz w:val="22"/>
          <w:szCs w:val="22"/>
        </w:rPr>
        <w:t>v)</w:t>
      </w:r>
      <w:r>
        <w:rPr>
          <w:rFonts w:ascii="Arial" w:hAnsi="Arial"/>
          <w:sz w:val="22"/>
          <w:szCs w:val="22"/>
        </w:rPr>
        <w:tab/>
        <w:t>Retenção dos créditos decorrentes do contrato até o limite dos prejuízos causados à Administração Pública e das multas aplicadas.</w:t>
      </w:r>
    </w:p>
    <w:p>
      <w:pPr>
        <w:pStyle w:val="Normal"/>
        <w:spacing w:lineRule="auto" w:line="240"/>
        <w:jc w:val="both"/>
        <w:rPr>
          <w:rFonts w:ascii="Arial" w:hAnsi="Arial"/>
        </w:rPr>
      </w:pPr>
      <w:r>
        <w:rPr>
          <w:rFonts w:cs="Times New Roman" w:ascii="Arial" w:hAnsi="Arial"/>
          <w:b/>
        </w:rPr>
        <w:t>18.1.9.4.1.</w:t>
      </w:r>
      <w:r>
        <w:rPr>
          <w:rFonts w:cs="Times New Roman" w:ascii="Arial" w:hAnsi="Arial"/>
        </w:rPr>
        <w:t xml:space="preserve"> A aplicação das medidas previstas nos incisos I e II ficará a critério da Administração, que poderá dar continuidade à obra ou ao serviço por execução direta ou indireta.</w:t>
      </w:r>
    </w:p>
    <w:p>
      <w:pPr>
        <w:pStyle w:val="Normal"/>
        <w:spacing w:lineRule="auto" w:line="240"/>
        <w:jc w:val="both"/>
        <w:rPr>
          <w:rFonts w:ascii="Arial" w:hAnsi="Arial"/>
        </w:rPr>
      </w:pPr>
      <w:r>
        <w:rPr>
          <w:rFonts w:cs="Times New Roman" w:ascii="Arial" w:hAnsi="Arial"/>
          <w:b/>
        </w:rPr>
        <w:t>18.1.9.4.2.</w:t>
      </w:r>
      <w:r>
        <w:rPr>
          <w:rFonts w:cs="Times New Roman" w:ascii="Arial" w:hAnsi="Arial"/>
        </w:rPr>
        <w:t xml:space="preserve"> Na hipótese do inciso II o ato deverá ser precedido de autorização expressa do secretário municipal competente.</w:t>
      </w:r>
    </w:p>
    <w:p>
      <w:pPr>
        <w:pStyle w:val="Normal"/>
        <w:spacing w:lineRule="auto" w:line="240"/>
        <w:jc w:val="both"/>
        <w:rPr>
          <w:rFonts w:ascii="Arial" w:hAnsi="Arial"/>
        </w:rPr>
      </w:pPr>
      <w:r>
        <w:rPr>
          <w:rFonts w:cs="Times New Roman" w:ascii="Arial" w:hAnsi="Arial"/>
          <w:b/>
        </w:rPr>
        <w:t>18.1.9.5.</w:t>
      </w:r>
      <w:r>
        <w:rPr>
          <w:rFonts w:cs="Times New Roman" w:ascii="Arial" w:hAnsi="Arial"/>
        </w:rPr>
        <w:t xml:space="preserve"> Os emitentes das garantias previstas no art. 96 da Lei nº 14.133/2021 serão notificados pelo </w:t>
      </w:r>
      <w:r>
        <w:rPr>
          <w:rFonts w:cs="Times New Roman" w:ascii="Arial" w:hAnsi="Arial"/>
          <w:b/>
        </w:rPr>
        <w:t>CONTRATANTE</w:t>
      </w:r>
      <w:r>
        <w:rPr>
          <w:rFonts w:cs="Times New Roman" w:ascii="Arial" w:hAnsi="Arial"/>
        </w:rPr>
        <w:t xml:space="preserve"> quanto ao início de processo administrativo para apuração de descumprimento de cláusulas contratuais.</w:t>
      </w:r>
    </w:p>
    <w:p>
      <w:pPr>
        <w:pStyle w:val="Normal"/>
        <w:tabs>
          <w:tab w:val="clear" w:pos="720"/>
          <w:tab w:val="left" w:pos="1134" w:leader="none"/>
        </w:tabs>
        <w:spacing w:lineRule="auto" w:line="240"/>
        <w:jc w:val="both"/>
        <w:rPr>
          <w:rFonts w:ascii="Arial" w:hAnsi="Arial"/>
        </w:rPr>
      </w:pPr>
      <w:r>
        <w:rPr>
          <w:rFonts w:cs="Times New Roman" w:ascii="Arial" w:hAnsi="Arial"/>
          <w:b/>
          <w:iCs/>
        </w:rPr>
        <w:t>18.2. GESTÃO E FISCALIZAÇÃO DO CONTRATO</w:t>
      </w:r>
    </w:p>
    <w:p>
      <w:pPr>
        <w:pStyle w:val="Normal"/>
        <w:tabs>
          <w:tab w:val="clear" w:pos="720"/>
          <w:tab w:val="left" w:pos="1134" w:leader="none"/>
        </w:tabs>
        <w:spacing w:lineRule="auto" w:line="240"/>
        <w:jc w:val="both"/>
        <w:rPr>
          <w:rFonts w:ascii="Arial" w:hAnsi="Arial"/>
        </w:rPr>
      </w:pPr>
      <w:r>
        <w:rPr>
          <w:rFonts w:cs="Times New Roman" w:ascii="Arial" w:hAnsi="Arial"/>
          <w:iCs/>
          <w:color w:val="000000"/>
        </w:rPr>
        <w:t>18.2.1. A fiscalização e gestão do contrato ocorre através de comissão responsável, formada por servidores do Município, os quais realizam a conferência do recebimento do produto ou serviço.</w:t>
      </w:r>
    </w:p>
    <w:p>
      <w:pPr>
        <w:pStyle w:val="Normal"/>
        <w:widowControl w:val="false"/>
        <w:shd w:val="clear" w:color="auto" w:fill="AEAAAA" w:themeFill="background2" w:themeFillShade="bf"/>
        <w:tabs>
          <w:tab w:val="clear" w:pos="720"/>
          <w:tab w:val="left" w:pos="567" w:leader="none"/>
        </w:tabs>
        <w:spacing w:lineRule="auto" w:line="240"/>
        <w:jc w:val="both"/>
        <w:textAlignment w:val="baseline"/>
        <w:rPr>
          <w:rFonts w:ascii="Arial" w:hAnsi="Arial"/>
        </w:rPr>
      </w:pPr>
      <w:r>
        <w:rPr>
          <w:rFonts w:eastAsia="Times New Roman" w:cs="Times New Roman" w:ascii="Arial" w:hAnsi="Arial"/>
          <w:b/>
          <w:iCs/>
          <w:lang w:eastAsia="pt-BR"/>
        </w:rPr>
        <w:t>19. RECEBIMENTO DO OBJETO</w:t>
      </w:r>
    </w:p>
    <w:p>
      <w:pPr>
        <w:pStyle w:val="Normal"/>
        <w:spacing w:lineRule="auto" w:line="240"/>
        <w:jc w:val="both"/>
        <w:rPr>
          <w:rFonts w:ascii="Arial" w:hAnsi="Arial"/>
        </w:rPr>
      </w:pPr>
      <w:r>
        <w:rPr>
          <w:rFonts w:eastAsia="Times New Roman" w:cs="Times New Roman" w:ascii="Arial" w:hAnsi="Arial"/>
          <w:b/>
          <w:iCs/>
          <w:lang w:eastAsia="pt-BR"/>
        </w:rPr>
        <w:t>19.1.</w:t>
      </w:r>
      <w:r>
        <w:rPr>
          <w:rFonts w:eastAsia="Times New Roman" w:cs="Times New Roman" w:ascii="Arial" w:hAnsi="Arial"/>
          <w:iCs/>
          <w:lang w:eastAsia="pt-BR"/>
        </w:rPr>
        <w:t xml:space="preserve"> O objeto será recebido:</w:t>
      </w:r>
    </w:p>
    <w:p>
      <w:pPr>
        <w:pStyle w:val="ListParagraph"/>
        <w:widowControl w:val="false"/>
        <w:numPr>
          <w:ilvl w:val="0"/>
          <w:numId w:val="37"/>
        </w:numPr>
        <w:tabs>
          <w:tab w:val="clear" w:pos="720"/>
          <w:tab w:val="left" w:pos="1134" w:leader="none"/>
        </w:tabs>
        <w:ind w:left="567" w:hanging="0"/>
        <w:jc w:val="both"/>
        <w:textAlignment w:val="baseline"/>
        <w:rPr>
          <w:rFonts w:ascii="Arial" w:hAnsi="Arial"/>
          <w:sz w:val="22"/>
          <w:szCs w:val="22"/>
        </w:rPr>
      </w:pPr>
      <w:r>
        <w:rPr>
          <w:rFonts w:ascii="Arial" w:hAnsi="Arial"/>
          <w:iCs/>
          <w:sz w:val="22"/>
          <w:szCs w:val="22"/>
          <w:lang w:eastAsia="pt-BR"/>
        </w:rPr>
        <w:t>Em se tratando de compras:</w:t>
      </w:r>
    </w:p>
    <w:p>
      <w:pPr>
        <w:pStyle w:val="ListParagraph"/>
        <w:widowControl w:val="false"/>
        <w:numPr>
          <w:ilvl w:val="1"/>
          <w:numId w:val="37"/>
        </w:numPr>
        <w:tabs>
          <w:tab w:val="clear" w:pos="720"/>
          <w:tab w:val="left" w:pos="1701" w:leader="none"/>
        </w:tabs>
        <w:ind w:left="1134" w:hanging="0"/>
        <w:jc w:val="both"/>
        <w:textAlignment w:val="baseline"/>
        <w:rPr>
          <w:rFonts w:ascii="Arial" w:hAnsi="Arial"/>
          <w:sz w:val="22"/>
          <w:szCs w:val="22"/>
        </w:rPr>
      </w:pPr>
      <w:r>
        <w:rPr>
          <w:rFonts w:ascii="Arial" w:hAnsi="Arial"/>
          <w:iCs/>
          <w:sz w:val="22"/>
          <w:szCs w:val="22"/>
          <w:lang w:eastAsia="pt-BR"/>
        </w:rPr>
        <w:t>Provisoriamente, de forma sumária, pelo responsável por seu acompanhamento e fiscalização, com verificação posterior da conformidade do material com as exigências contratuais;</w:t>
      </w:r>
    </w:p>
    <w:p>
      <w:pPr>
        <w:pStyle w:val="ListParagraph"/>
        <w:widowControl w:val="false"/>
        <w:numPr>
          <w:ilvl w:val="1"/>
          <w:numId w:val="37"/>
        </w:numPr>
        <w:tabs>
          <w:tab w:val="clear" w:pos="720"/>
          <w:tab w:val="left" w:pos="1701" w:leader="none"/>
        </w:tabs>
        <w:ind w:left="1134" w:hanging="0"/>
        <w:jc w:val="both"/>
        <w:textAlignment w:val="baseline"/>
        <w:rPr>
          <w:rFonts w:ascii="Arial" w:hAnsi="Arial"/>
          <w:sz w:val="22"/>
          <w:szCs w:val="22"/>
        </w:rPr>
      </w:pPr>
      <w:r>
        <w:rPr>
          <w:rFonts w:ascii="Arial" w:hAnsi="Arial"/>
          <w:iCs/>
          <w:sz w:val="22"/>
          <w:szCs w:val="22"/>
          <w:lang w:eastAsia="pt-BR"/>
        </w:rPr>
        <w:t>Definitivamente, por servidor ou comissão designada pela autoridade competente, mediante termo detalhado que comprove o atendimento das exigências contratuais.</w:t>
      </w:r>
    </w:p>
    <w:p>
      <w:pPr>
        <w:pStyle w:val="Normal"/>
        <w:widowControl w:val="false"/>
        <w:tabs>
          <w:tab w:val="clear" w:pos="720"/>
          <w:tab w:val="left" w:pos="567" w:leader="none"/>
        </w:tabs>
        <w:spacing w:lineRule="auto" w:line="240" w:before="0" w:after="160"/>
        <w:contextualSpacing/>
        <w:jc w:val="both"/>
        <w:textAlignment w:val="baseline"/>
        <w:rPr>
          <w:rFonts w:ascii="Arial" w:hAnsi="Arial"/>
        </w:rPr>
      </w:pPr>
      <w:r>
        <w:rPr>
          <w:rFonts w:eastAsia="Times New Roman" w:cs="Times New Roman" w:ascii="Arial" w:hAnsi="Arial"/>
          <w:b/>
          <w:iCs/>
          <w:lang w:eastAsia="pt-BR"/>
        </w:rPr>
        <w:t>19.2.</w:t>
      </w:r>
      <w:r>
        <w:rPr>
          <w:rFonts w:eastAsia="Times New Roman" w:cs="Times New Roman" w:ascii="Arial" w:hAnsi="Arial"/>
          <w:iCs/>
          <w:lang w:eastAsia="pt-BR"/>
        </w:rPr>
        <w:t xml:space="preserve"> O objeto do contrato poderá ser rejeitado, no todo ou em parte, quando estiver em desacordo com o contrato.</w:t>
      </w:r>
    </w:p>
    <w:p>
      <w:pPr>
        <w:pStyle w:val="Normal"/>
        <w:widowControl w:val="false"/>
        <w:tabs>
          <w:tab w:val="clear" w:pos="720"/>
          <w:tab w:val="left" w:pos="567" w:leader="none"/>
        </w:tabs>
        <w:spacing w:lineRule="auto" w:line="240" w:before="0" w:after="160"/>
        <w:contextualSpacing/>
        <w:jc w:val="both"/>
        <w:textAlignment w:val="baseline"/>
        <w:rPr>
          <w:rFonts w:ascii="Arial" w:hAnsi="Arial" w:eastAsia="Times New Roman" w:cs="Times New Roman"/>
          <w:iCs/>
          <w:lang w:eastAsia="pt-BR"/>
        </w:rPr>
      </w:pPr>
      <w:r>
        <w:rPr>
          <w:rFonts w:eastAsia="Times New Roman" w:cs="Times New Roman" w:ascii="Arial" w:hAnsi="Arial"/>
          <w:iCs/>
          <w:lang w:eastAsia="pt-BR"/>
        </w:rPr>
      </w:r>
    </w:p>
    <w:p>
      <w:pPr>
        <w:pStyle w:val="Normal"/>
        <w:widowControl w:val="false"/>
        <w:tabs>
          <w:tab w:val="clear" w:pos="720"/>
          <w:tab w:val="left" w:pos="567" w:leader="none"/>
        </w:tabs>
        <w:spacing w:lineRule="auto" w:line="240" w:before="0" w:after="160"/>
        <w:contextualSpacing/>
        <w:jc w:val="both"/>
        <w:textAlignment w:val="baseline"/>
        <w:rPr>
          <w:rFonts w:ascii="Arial" w:hAnsi="Arial"/>
        </w:rPr>
      </w:pPr>
      <w:r>
        <w:rPr>
          <w:rFonts w:eastAsia="Times New Roman" w:cs="Times New Roman" w:ascii="Arial" w:hAnsi="Arial"/>
          <w:b/>
          <w:iCs/>
          <w:lang w:eastAsia="pt-BR"/>
        </w:rPr>
        <w:t>19.3.</w:t>
      </w:r>
      <w:r>
        <w:rPr>
          <w:rFonts w:eastAsia="Times New Roman" w:cs="Times New Roman" w:ascii="Arial" w:hAnsi="Arial"/>
          <w:iCs/>
          <w:lang w:eastAsia="pt-BR"/>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pPr>
        <w:pStyle w:val="Normal"/>
        <w:widowControl w:val="false"/>
        <w:tabs>
          <w:tab w:val="clear" w:pos="720"/>
          <w:tab w:val="left" w:pos="567" w:leader="none"/>
        </w:tabs>
        <w:spacing w:lineRule="auto" w:line="240" w:before="0" w:after="160"/>
        <w:contextualSpacing/>
        <w:jc w:val="both"/>
        <w:textAlignment w:val="baseline"/>
        <w:rPr>
          <w:rFonts w:ascii="Arial" w:hAnsi="Arial" w:eastAsia="Times New Roman" w:cs="Times New Roman"/>
          <w:iCs/>
          <w:lang w:eastAsia="pt-BR"/>
        </w:rPr>
      </w:pPr>
      <w:r>
        <w:rPr>
          <w:rFonts w:eastAsia="Times New Roman" w:cs="Times New Roman" w:ascii="Arial" w:hAnsi="Arial"/>
          <w:iCs/>
          <w:lang w:eastAsia="pt-BR"/>
        </w:rPr>
      </w:r>
    </w:p>
    <w:p>
      <w:pPr>
        <w:pStyle w:val="Normal"/>
        <w:widowControl w:val="false"/>
        <w:tabs>
          <w:tab w:val="clear" w:pos="720"/>
          <w:tab w:val="left" w:pos="567" w:leader="none"/>
        </w:tabs>
        <w:spacing w:lineRule="auto" w:line="240" w:before="0" w:after="160"/>
        <w:contextualSpacing/>
        <w:jc w:val="both"/>
        <w:textAlignment w:val="baseline"/>
        <w:rPr>
          <w:rFonts w:ascii="Arial" w:hAnsi="Arial"/>
        </w:rPr>
      </w:pPr>
      <w:r>
        <w:rPr>
          <w:rFonts w:eastAsia="Times New Roman" w:cs="Times New Roman" w:ascii="Arial" w:hAnsi="Arial"/>
          <w:b/>
          <w:iCs/>
          <w:color w:val="000000"/>
          <w:lang w:eastAsia="pt-BR"/>
        </w:rPr>
        <w:t>19.4.</w:t>
      </w:r>
      <w:r>
        <w:rPr>
          <w:rFonts w:eastAsia="Times New Roman" w:cs="Times New Roman" w:ascii="Arial" w:hAnsi="Arial"/>
          <w:iCs/>
          <w:color w:val="000000"/>
          <w:lang w:eastAsia="pt-BR"/>
        </w:rPr>
        <w:t xml:space="preserve"> Os prazos e os métodos para a realização dos recebimentos provisório e definitivo serão, conforme regulamento municipal 0041/2023:</w:t>
      </w:r>
    </w:p>
    <w:p>
      <w:pPr>
        <w:pStyle w:val="Normal"/>
        <w:widowControl w:val="false"/>
        <w:tabs>
          <w:tab w:val="clear" w:pos="720"/>
          <w:tab w:val="left" w:pos="567" w:leader="none"/>
        </w:tabs>
        <w:spacing w:lineRule="auto" w:line="240" w:before="0" w:after="160"/>
        <w:contextualSpacing/>
        <w:jc w:val="both"/>
        <w:textAlignment w:val="baseline"/>
        <w:rPr>
          <w:rFonts w:ascii="Arial" w:hAnsi="Arial" w:eastAsia="Times New Roman" w:cs="Times New Roman"/>
          <w:iCs/>
          <w:color w:val="FF0000"/>
          <w:lang w:eastAsia="pt-BR"/>
        </w:rPr>
      </w:pPr>
      <w:r>
        <w:rPr>
          <w:rFonts w:eastAsia="Times New Roman" w:cs="Times New Roman" w:ascii="Arial" w:hAnsi="Arial"/>
          <w:iCs/>
          <w:color w:val="FF0000"/>
          <w:lang w:eastAsia="pt-BR"/>
        </w:rPr>
      </w:r>
    </w:p>
    <w:p>
      <w:pPr>
        <w:pStyle w:val="Normal"/>
        <w:spacing w:lineRule="auto" w:line="240"/>
        <w:jc w:val="both"/>
        <w:rPr>
          <w:rFonts w:ascii="Arial" w:hAnsi="Arial"/>
        </w:rPr>
      </w:pPr>
      <w:r>
        <w:rPr>
          <w:rFonts w:eastAsia="Times New Roman" w:cs="Times New Roman" w:ascii="Arial" w:hAnsi="Arial"/>
          <w:b/>
          <w:iCs/>
          <w:lang w:eastAsia="pt-BR"/>
        </w:rPr>
        <w:t>19.5.</w:t>
      </w:r>
      <w:r>
        <w:rPr>
          <w:rFonts w:eastAsia="Times New Roman" w:cs="Times New Roman" w:ascii="Arial" w:hAnsi="Arial"/>
          <w:iCs/>
          <w:lang w:eastAsia="pt-BR"/>
        </w:rPr>
        <w:t xml:space="preserve"> Os ensaios, os testes e as demais provas para aferição da boa execução do objeto do contrato exigidos por normas técnicas oficiais correrão por conta do contratado.</w:t>
      </w:r>
    </w:p>
    <w:p>
      <w:pPr>
        <w:pStyle w:val="Normal"/>
        <w:shd w:val="clear" w:color="auto" w:fill="AEAAAA" w:themeFill="background2" w:themeFillShade="bf"/>
        <w:tabs>
          <w:tab w:val="clear" w:pos="720"/>
          <w:tab w:val="left" w:pos="567" w:leader="none"/>
        </w:tabs>
        <w:spacing w:lineRule="auto" w:line="240"/>
        <w:jc w:val="both"/>
        <w:rPr>
          <w:rFonts w:ascii="Arial" w:hAnsi="Arial"/>
        </w:rPr>
      </w:pPr>
      <w:r>
        <w:rPr>
          <w:rFonts w:cs="Times New Roman" w:ascii="Arial" w:hAnsi="Arial"/>
          <w:b/>
          <w:iCs/>
        </w:rPr>
        <w:t>20. PAGAMENTO DO OBJETO</w:t>
      </w:r>
    </w:p>
    <w:p>
      <w:pPr>
        <w:pStyle w:val="Normal"/>
        <w:tabs>
          <w:tab w:val="clear" w:pos="720"/>
          <w:tab w:val="left" w:pos="1134" w:leader="none"/>
        </w:tabs>
        <w:spacing w:lineRule="auto" w:line="240"/>
        <w:jc w:val="both"/>
        <w:rPr>
          <w:rFonts w:ascii="Arial" w:hAnsi="Arial"/>
        </w:rPr>
      </w:pPr>
      <w:r>
        <w:rPr>
          <w:rFonts w:cs="Times New Roman" w:ascii="Arial" w:hAnsi="Arial"/>
          <w:b/>
        </w:rPr>
        <w:t>20.1.</w:t>
      </w:r>
      <w:r>
        <w:rPr>
          <w:rFonts w:cs="Times New Roman" w:ascii="Arial" w:hAnsi="Arial"/>
        </w:rPr>
        <w:t xml:space="preserve"> No dever de pagamento pela Administração Pública Municipal, nos casos em que o município deve repassar recursos financeiros para o Contratado por conta dos serviços/obras/materiais executados/entregados, será observada a ordem cronológica para cada fonte diferenciada de recursos, subdividida nas seguintes categorias de contratos:</w:t>
      </w:r>
    </w:p>
    <w:p>
      <w:pPr>
        <w:pStyle w:val="ListParagraph"/>
        <w:numPr>
          <w:ilvl w:val="0"/>
          <w:numId w:val="18"/>
        </w:numPr>
        <w:tabs>
          <w:tab w:val="clear" w:pos="720"/>
          <w:tab w:val="left" w:pos="1134" w:leader="none"/>
        </w:tabs>
        <w:ind w:left="567" w:hanging="0"/>
        <w:jc w:val="both"/>
        <w:rPr>
          <w:rFonts w:ascii="Arial" w:hAnsi="Arial"/>
          <w:sz w:val="22"/>
          <w:szCs w:val="22"/>
        </w:rPr>
      </w:pPr>
      <w:r>
        <w:rPr>
          <w:rFonts w:ascii="Arial" w:hAnsi="Arial"/>
          <w:sz w:val="22"/>
          <w:szCs w:val="22"/>
        </w:rPr>
        <w:t>Fornecimento de bens;</w:t>
      </w:r>
    </w:p>
    <w:p>
      <w:pPr>
        <w:pStyle w:val="ListParagraph"/>
        <w:numPr>
          <w:ilvl w:val="0"/>
          <w:numId w:val="18"/>
        </w:numPr>
        <w:tabs>
          <w:tab w:val="clear" w:pos="720"/>
          <w:tab w:val="left" w:pos="1134" w:leader="none"/>
        </w:tabs>
        <w:ind w:left="567" w:hanging="0"/>
        <w:jc w:val="both"/>
        <w:rPr>
          <w:rFonts w:ascii="Arial" w:hAnsi="Arial"/>
          <w:sz w:val="22"/>
          <w:szCs w:val="22"/>
        </w:rPr>
      </w:pPr>
      <w:r>
        <w:rPr>
          <w:rFonts w:ascii="Arial" w:hAnsi="Arial"/>
          <w:sz w:val="22"/>
          <w:szCs w:val="22"/>
        </w:rPr>
        <w:t>Locações;</w:t>
      </w:r>
    </w:p>
    <w:p>
      <w:pPr>
        <w:pStyle w:val="ListParagraph"/>
        <w:numPr>
          <w:ilvl w:val="0"/>
          <w:numId w:val="18"/>
        </w:numPr>
        <w:tabs>
          <w:tab w:val="clear" w:pos="720"/>
          <w:tab w:val="left" w:pos="1134" w:leader="none"/>
        </w:tabs>
        <w:ind w:left="567" w:hanging="0"/>
        <w:jc w:val="both"/>
        <w:rPr>
          <w:rFonts w:ascii="Arial" w:hAnsi="Arial"/>
          <w:sz w:val="22"/>
          <w:szCs w:val="22"/>
        </w:rPr>
      </w:pPr>
      <w:r>
        <w:rPr>
          <w:rFonts w:ascii="Arial" w:hAnsi="Arial"/>
          <w:sz w:val="22"/>
          <w:szCs w:val="22"/>
        </w:rPr>
        <w:t>Prestação de serviços;</w:t>
      </w:r>
    </w:p>
    <w:p>
      <w:pPr>
        <w:pStyle w:val="ListParagraph"/>
        <w:numPr>
          <w:ilvl w:val="0"/>
          <w:numId w:val="18"/>
        </w:numPr>
        <w:tabs>
          <w:tab w:val="clear" w:pos="720"/>
          <w:tab w:val="left" w:pos="1134" w:leader="none"/>
        </w:tabs>
        <w:ind w:left="567" w:hanging="0"/>
        <w:jc w:val="both"/>
        <w:rPr>
          <w:rFonts w:ascii="Arial" w:hAnsi="Arial"/>
          <w:sz w:val="22"/>
          <w:szCs w:val="22"/>
        </w:rPr>
      </w:pPr>
      <w:r>
        <w:rPr>
          <w:rFonts w:ascii="Arial" w:hAnsi="Arial"/>
          <w:sz w:val="22"/>
          <w:szCs w:val="22"/>
        </w:rPr>
        <w:t>Realização de obras.</w:t>
      </w:r>
    </w:p>
    <w:p>
      <w:pPr>
        <w:pStyle w:val="Normal"/>
        <w:tabs>
          <w:tab w:val="clear" w:pos="720"/>
          <w:tab w:val="left" w:pos="1134" w:leader="none"/>
        </w:tabs>
        <w:spacing w:lineRule="auto" w:line="240"/>
        <w:jc w:val="both"/>
        <w:rPr>
          <w:rFonts w:ascii="Arial" w:hAnsi="Arial"/>
        </w:rPr>
      </w:pPr>
      <w:r>
        <w:rPr>
          <w:rFonts w:cs="Times New Roman" w:ascii="Arial" w:hAnsi="Arial"/>
          <w:b/>
        </w:rPr>
        <w:t>20.2.</w:t>
      </w:r>
      <w:r>
        <w:rPr>
          <w:rFonts w:cs="Times New Roman" w:ascii="Arial" w:hAnsi="Arial"/>
        </w:rPr>
        <w:t xml:space="preserve"> A ordem cronológica poderá ser alterada, mediante prévia justificativa da autoridade competente e posterior comunicação ao órgão de controle interno da Administração Pública Municipal e ao Tribunal de Contas de Santa Catarina – TCE/SC, exclusivamente nas seguintes situações:</w:t>
      </w:r>
    </w:p>
    <w:p>
      <w:pPr>
        <w:pStyle w:val="ListParagraph"/>
        <w:numPr>
          <w:ilvl w:val="0"/>
          <w:numId w:val="19"/>
        </w:numPr>
        <w:tabs>
          <w:tab w:val="clear" w:pos="720"/>
          <w:tab w:val="left" w:pos="1134" w:leader="none"/>
        </w:tabs>
        <w:ind w:left="567" w:hanging="0"/>
        <w:jc w:val="both"/>
        <w:rPr>
          <w:rFonts w:ascii="Arial" w:hAnsi="Arial"/>
          <w:sz w:val="22"/>
          <w:szCs w:val="22"/>
        </w:rPr>
      </w:pPr>
      <w:r>
        <w:rPr>
          <w:rFonts w:ascii="Arial" w:hAnsi="Arial"/>
          <w:sz w:val="22"/>
          <w:szCs w:val="22"/>
        </w:rPr>
        <w:t>Grave perturbação da ordem, situação de emergência ou calamidade pública;</w:t>
      </w:r>
    </w:p>
    <w:p>
      <w:pPr>
        <w:pStyle w:val="ListParagraph"/>
        <w:numPr>
          <w:ilvl w:val="0"/>
          <w:numId w:val="19"/>
        </w:numPr>
        <w:tabs>
          <w:tab w:val="clear" w:pos="720"/>
          <w:tab w:val="left" w:pos="1134" w:leader="none"/>
        </w:tabs>
        <w:ind w:left="567" w:hanging="0"/>
        <w:jc w:val="both"/>
        <w:rPr>
          <w:rFonts w:ascii="Arial" w:hAnsi="Arial"/>
          <w:sz w:val="22"/>
          <w:szCs w:val="22"/>
        </w:rPr>
      </w:pPr>
      <w:r>
        <w:rPr>
          <w:rFonts w:ascii="Arial" w:hAnsi="Arial"/>
          <w:sz w:val="22"/>
          <w:szCs w:val="22"/>
        </w:rPr>
        <w:t>Pagamento a microempresa, empresa de pequeno porte, agricultor familiar, produtor rural pessoa física, microempreendedor individual e sociedade cooperativa, desde que demonstrado o risco de descontinuidade do cumprimento do objeto do contrato;</w:t>
      </w:r>
    </w:p>
    <w:p>
      <w:pPr>
        <w:pStyle w:val="ListParagraph"/>
        <w:numPr>
          <w:ilvl w:val="0"/>
          <w:numId w:val="19"/>
        </w:numPr>
        <w:tabs>
          <w:tab w:val="clear" w:pos="720"/>
          <w:tab w:val="left" w:pos="1134" w:leader="none"/>
        </w:tabs>
        <w:ind w:left="567" w:hanging="0"/>
        <w:jc w:val="both"/>
        <w:rPr>
          <w:rFonts w:ascii="Arial" w:hAnsi="Arial"/>
          <w:sz w:val="22"/>
          <w:szCs w:val="22"/>
        </w:rPr>
      </w:pPr>
      <w:r>
        <w:rPr>
          <w:rFonts w:ascii="Arial" w:hAnsi="Arial"/>
          <w:sz w:val="22"/>
          <w:szCs w:val="22"/>
        </w:rPr>
        <w:t>Pagamento de serviços necessários ao funcionamento dos sistemas estruturantes, desde que demonstrado o risco de descontinuidade do cumprimento do objeto do contrato;</w:t>
      </w:r>
    </w:p>
    <w:p>
      <w:pPr>
        <w:pStyle w:val="ListParagraph"/>
        <w:numPr>
          <w:ilvl w:val="0"/>
          <w:numId w:val="19"/>
        </w:numPr>
        <w:tabs>
          <w:tab w:val="clear" w:pos="720"/>
          <w:tab w:val="left" w:pos="1134" w:leader="none"/>
        </w:tabs>
        <w:ind w:left="567" w:hanging="0"/>
        <w:jc w:val="both"/>
        <w:rPr>
          <w:rFonts w:ascii="Arial" w:hAnsi="Arial"/>
          <w:sz w:val="22"/>
          <w:szCs w:val="22"/>
        </w:rPr>
      </w:pPr>
      <w:r>
        <w:rPr>
          <w:rFonts w:ascii="Arial" w:hAnsi="Arial"/>
          <w:sz w:val="22"/>
          <w:szCs w:val="22"/>
        </w:rPr>
        <w:t>Pagamento de direitos oriundos de contratos em caso de falência, recuperação judicial ou dissolução da empresa contratada;</w:t>
      </w:r>
    </w:p>
    <w:p>
      <w:pPr>
        <w:pStyle w:val="ListParagraph"/>
        <w:numPr>
          <w:ilvl w:val="0"/>
          <w:numId w:val="19"/>
        </w:numPr>
        <w:tabs>
          <w:tab w:val="clear" w:pos="720"/>
          <w:tab w:val="left" w:pos="1134" w:leader="none"/>
        </w:tabs>
        <w:ind w:left="567" w:hanging="0"/>
        <w:jc w:val="both"/>
        <w:rPr>
          <w:rFonts w:ascii="Arial" w:hAnsi="Arial"/>
          <w:sz w:val="22"/>
          <w:szCs w:val="22"/>
        </w:rPr>
      </w:pPr>
      <w:r>
        <w:rPr>
          <w:rFonts w:ascii="Arial" w:hAnsi="Arial"/>
          <w:sz w:val="22"/>
          <w:szCs w:val="22"/>
        </w:rPr>
        <w:t>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pPr>
        <w:pStyle w:val="Normal"/>
        <w:tabs>
          <w:tab w:val="clear" w:pos="720"/>
          <w:tab w:val="left" w:pos="1134" w:leader="none"/>
        </w:tabs>
        <w:spacing w:lineRule="auto" w:line="240"/>
        <w:jc w:val="both"/>
        <w:rPr>
          <w:rFonts w:ascii="Arial" w:hAnsi="Arial"/>
        </w:rPr>
      </w:pPr>
      <w:r>
        <w:rPr>
          <w:rFonts w:cs="Times New Roman" w:ascii="Arial" w:hAnsi="Arial"/>
          <w:b/>
        </w:rPr>
        <w:t>20.3.</w:t>
      </w:r>
      <w:r>
        <w:rPr>
          <w:rFonts w:cs="Times New Roman" w:ascii="Arial" w:hAnsi="Arial"/>
        </w:rPr>
        <w:t xml:space="preserve"> A inobservância imotivada da ordem cronológica ensejará a apuração de responsabilidade do agente responsável, cabendo aos órgãos de controle a sua fiscalização.</w:t>
      </w:r>
    </w:p>
    <w:p>
      <w:pPr>
        <w:pStyle w:val="Normal"/>
        <w:tabs>
          <w:tab w:val="clear" w:pos="720"/>
          <w:tab w:val="left" w:pos="1134" w:leader="none"/>
        </w:tabs>
        <w:spacing w:lineRule="auto" w:line="240"/>
        <w:jc w:val="both"/>
        <w:rPr>
          <w:rFonts w:ascii="Arial" w:hAnsi="Arial"/>
        </w:rPr>
      </w:pPr>
      <w:r>
        <w:rPr>
          <w:rFonts w:cs="Times New Roman" w:ascii="Arial" w:hAnsi="Arial"/>
          <w:b/>
        </w:rPr>
        <w:t>20.4.</w:t>
      </w:r>
      <w:r>
        <w:rPr>
          <w:rFonts w:cs="Times New Roman" w:ascii="Arial" w:hAnsi="Arial"/>
        </w:rPr>
        <w:t xml:space="preserve"> A Administração Pública Municipal deverá disponibilizar, mensalmente, em seção específica de acesso à informação em seu sítio na internet, a ordem cronológica de seus pagamentos, bem como as justificativas que fundamentarem a eventual alteração dessa ordem.</w:t>
      </w:r>
    </w:p>
    <w:p>
      <w:pPr>
        <w:pStyle w:val="Normal"/>
        <w:tabs>
          <w:tab w:val="clear" w:pos="720"/>
          <w:tab w:val="left" w:pos="1134" w:leader="none"/>
        </w:tabs>
        <w:spacing w:lineRule="auto" w:line="240"/>
        <w:jc w:val="both"/>
        <w:rPr>
          <w:rFonts w:ascii="Arial" w:hAnsi="Arial"/>
        </w:rPr>
      </w:pPr>
      <w:r>
        <w:rPr>
          <w:rFonts w:cs="Times New Roman" w:ascii="Arial" w:hAnsi="Arial"/>
          <w:b/>
        </w:rPr>
        <w:t xml:space="preserve">20.5. </w:t>
      </w:r>
      <w:r>
        <w:rPr>
          <w:rFonts w:cs="Times New Roman" w:ascii="Arial" w:hAnsi="Arial"/>
        </w:rPr>
        <w:t>No caso de controvérsia sobre a execução do objeto, quanto a dimensão, qualidade e quantidade, a parcela incontroversa deverá ser liberada no prazo previsto para pagamento.</w:t>
      </w:r>
    </w:p>
    <w:p>
      <w:pPr>
        <w:pStyle w:val="Normal"/>
        <w:tabs>
          <w:tab w:val="clear" w:pos="720"/>
          <w:tab w:val="left" w:pos="1134" w:leader="none"/>
        </w:tabs>
        <w:spacing w:lineRule="auto" w:line="240"/>
        <w:jc w:val="both"/>
        <w:rPr>
          <w:rFonts w:ascii="Arial" w:hAnsi="Arial"/>
        </w:rPr>
      </w:pPr>
      <w:r>
        <w:rPr>
          <w:rFonts w:cs="Times New Roman" w:ascii="Arial" w:hAnsi="Arial"/>
          <w:b/>
        </w:rPr>
        <w:t>20.6.</w:t>
      </w:r>
      <w:r>
        <w:rPr>
          <w:rFonts w:cs="Times New Roman" w:ascii="Arial" w:hAnsi="Arial"/>
        </w:rPr>
        <w:t xml:space="preserve"> Não será permitido pagamento antecipado, parcial ou total, relativo a parcelas contratuais vinculadas ao fornecimento de bens, à execução de obras ou à prestação de serviços.</w:t>
      </w:r>
    </w:p>
    <w:p>
      <w:pPr>
        <w:pStyle w:val="Normal"/>
        <w:tabs>
          <w:tab w:val="clear" w:pos="720"/>
          <w:tab w:val="left" w:pos="1134" w:leader="none"/>
        </w:tabs>
        <w:spacing w:lineRule="auto" w:line="240"/>
        <w:jc w:val="both"/>
        <w:rPr>
          <w:rFonts w:ascii="Arial" w:hAnsi="Arial"/>
        </w:rPr>
      </w:pPr>
      <w:r>
        <w:rPr>
          <w:rFonts w:cs="Times New Roman" w:ascii="Arial" w:hAnsi="Arial"/>
          <w:b/>
        </w:rPr>
        <w:t>20.6.1.</w:t>
      </w:r>
      <w:r>
        <w:rPr>
          <w:rFonts w:cs="Times New Roman" w:ascii="Arial" w:hAnsi="Arial"/>
        </w:rPr>
        <w:t xml:space="preserve"> A antecipação de pagamento somente será permitida se propiciar sensível economia de recursos ou se representar condição indispensável para a obtenção do bem ou para a prestação do serviço, hipótese que deverá ser </w:t>
      </w:r>
      <w:r>
        <w:rPr>
          <w:rFonts w:cs="Times New Roman" w:ascii="Arial" w:hAnsi="Arial"/>
          <w:b/>
          <w:u w:val="single"/>
        </w:rPr>
        <w:t>previamente justificada</w:t>
      </w:r>
      <w:r>
        <w:rPr>
          <w:rFonts w:cs="Times New Roman" w:ascii="Arial" w:hAnsi="Arial"/>
        </w:rPr>
        <w:t xml:space="preserve"> no processo licitatório.</w:t>
      </w:r>
    </w:p>
    <w:p>
      <w:pPr>
        <w:pStyle w:val="Normal"/>
        <w:tabs>
          <w:tab w:val="clear" w:pos="720"/>
          <w:tab w:val="left" w:pos="1134" w:leader="none"/>
        </w:tabs>
        <w:spacing w:lineRule="auto" w:line="240"/>
        <w:jc w:val="both"/>
        <w:rPr>
          <w:rFonts w:ascii="Arial" w:hAnsi="Arial"/>
        </w:rPr>
      </w:pPr>
      <w:r>
        <w:rPr>
          <w:rFonts w:cs="Times New Roman" w:ascii="Arial" w:hAnsi="Arial"/>
          <w:b/>
        </w:rPr>
        <w:t>20.6.2.</w:t>
      </w:r>
      <w:r>
        <w:rPr>
          <w:rFonts w:cs="Times New Roman" w:ascii="Arial" w:hAnsi="Arial"/>
        </w:rPr>
        <w:t xml:space="preserve"> Caso o objeto não seja executado no prazo contratual, o valor antecipado </w:t>
      </w:r>
      <w:r>
        <w:rPr>
          <w:rFonts w:cs="Times New Roman" w:ascii="Arial" w:hAnsi="Arial"/>
          <w:shd w:fill="auto" w:val="clear"/>
        </w:rPr>
        <w:t>deverá ser devolvido.</w:t>
      </w:r>
    </w:p>
    <w:p>
      <w:pPr>
        <w:pStyle w:val="Normal"/>
        <w:tabs>
          <w:tab w:val="clear" w:pos="720"/>
          <w:tab w:val="left" w:pos="1134" w:leader="none"/>
        </w:tabs>
        <w:spacing w:lineRule="auto" w:line="240"/>
        <w:jc w:val="both"/>
        <w:rPr/>
      </w:pPr>
      <w:r>
        <w:rPr>
          <w:rFonts w:cs="Times New Roman" w:ascii="Arial" w:hAnsi="Arial"/>
          <w:b/>
          <w:shd w:fill="auto" w:val="clear"/>
        </w:rPr>
        <w:t>20.7.</w:t>
      </w:r>
      <w:r>
        <w:rPr>
          <w:rFonts w:cs="Times New Roman" w:ascii="Arial" w:hAnsi="Arial"/>
          <w:shd w:fill="auto" w:val="clear"/>
        </w:rPr>
        <w:t xml:space="preserve"> No ato de liquidação da despesa, os serviços de contabilidade comunicarão aos órgãos da administração tributária as características da despesa e os valores pagos, conforme o disposto no art. 63 da </w:t>
      </w:r>
      <w:hyperlink r:id="rId19">
        <w:r>
          <w:rPr>
            <w:rStyle w:val="LinkdaInternet"/>
            <w:rFonts w:cs="Times New Roman" w:ascii="Arial" w:hAnsi="Arial"/>
            <w:shd w:fill="auto" w:val="clear"/>
          </w:rPr>
          <w:t>Lei nº 4.320, de 17 de março de 1964</w:t>
        </w:r>
      </w:hyperlink>
      <w:r>
        <w:rPr>
          <w:rFonts w:cs="Times New Roman" w:ascii="Arial" w:hAnsi="Arial"/>
          <w:shd w:fill="auto" w:val="clear"/>
        </w:rPr>
        <w:t xml:space="preserve"> – Estatui Normas Gerais de Direito Financeiro para elaboração e controle dos orçamentos e balanços da União, dos Estados, dos Municípios e do Distrito Federal.</w:t>
      </w:r>
    </w:p>
    <w:p>
      <w:pPr>
        <w:pStyle w:val="Normal"/>
        <w:widowControl w:val="false"/>
        <w:tabs>
          <w:tab w:val="clear" w:pos="720"/>
          <w:tab w:val="left" w:pos="1701" w:leader="none"/>
        </w:tabs>
        <w:spacing w:lineRule="auto" w:line="240"/>
        <w:jc w:val="both"/>
        <w:textAlignment w:val="baseline"/>
        <w:rPr>
          <w:b/>
          <w:b/>
          <w:bCs/>
        </w:rPr>
      </w:pPr>
      <w:r>
        <w:rPr>
          <w:rFonts w:eastAsia="Times New Roman" w:cs="Times New Roman" w:ascii="Arial" w:hAnsi="Arial"/>
          <w:b/>
          <w:bCs/>
          <w:iCs/>
          <w:color w:val="000000"/>
          <w:shd w:fill="auto" w:val="clear"/>
          <w:lang w:eastAsia="pt-BR"/>
        </w:rPr>
        <w:t>20.8. A empresa vencedora deverá efetuar o pagamento do valor homologado</w:t>
      </w:r>
      <w:r>
        <w:rPr>
          <w:rFonts w:eastAsia="Times New Roman" w:cs="Times New Roman" w:ascii="Arial" w:hAnsi="Arial"/>
          <w:b/>
          <w:bCs/>
          <w:iCs/>
          <w:color w:val="000000"/>
          <w:kern w:val="0"/>
          <w:sz w:val="22"/>
          <w:szCs w:val="22"/>
          <w:shd w:fill="auto" w:val="clear"/>
          <w:lang w:val="pt-BR" w:eastAsia="pt-BR" w:bidi="ar-SA"/>
        </w:rPr>
        <w:t xml:space="preserve"> ao município em conta a ser informada, em parcela única, para fins de assinatura do contrato.</w:t>
      </w:r>
    </w:p>
    <w:p>
      <w:pPr>
        <w:pStyle w:val="Normal"/>
        <w:shd w:val="clear" w:color="auto" w:fill="AEAAAA" w:themeFill="background2" w:themeFillShade="bf"/>
        <w:tabs>
          <w:tab w:val="clear" w:pos="720"/>
          <w:tab w:val="left" w:pos="567" w:leader="none"/>
        </w:tabs>
        <w:spacing w:lineRule="auto" w:line="240"/>
        <w:jc w:val="both"/>
        <w:rPr>
          <w:rFonts w:ascii="Arial" w:hAnsi="Arial"/>
        </w:rPr>
      </w:pPr>
      <w:r>
        <w:rPr>
          <w:rFonts w:cs="Times New Roman" w:ascii="Arial" w:hAnsi="Arial"/>
          <w:b/>
          <w:iCs/>
        </w:rPr>
        <w:t>21. PENALIDADES</w:t>
      </w:r>
    </w:p>
    <w:p>
      <w:pPr>
        <w:pStyle w:val="Normal"/>
        <w:tabs>
          <w:tab w:val="clear" w:pos="720"/>
          <w:tab w:val="left" w:pos="1134" w:leader="none"/>
        </w:tabs>
        <w:spacing w:lineRule="auto" w:line="240"/>
        <w:jc w:val="both"/>
        <w:rPr>
          <w:rFonts w:ascii="Arial" w:hAnsi="Arial"/>
        </w:rPr>
      </w:pPr>
      <w:r>
        <w:rPr>
          <w:rFonts w:cs="Times New Roman" w:ascii="Arial" w:hAnsi="Arial"/>
          <w:b/>
        </w:rPr>
        <w:t>21.1.</w:t>
      </w:r>
      <w:r>
        <w:rPr>
          <w:rFonts w:cs="Times New Roman" w:ascii="Arial" w:hAnsi="Arial"/>
          <w:b/>
          <w:bCs/>
        </w:rPr>
        <w:t xml:space="preserve"> </w:t>
      </w:r>
      <w:r>
        <w:rPr>
          <w:rFonts w:cs="Times New Roman" w:ascii="Arial" w:hAnsi="Arial"/>
        </w:rPr>
        <w:t>O licitante ou o contratado será responsabilizado administrativamente pelas seguintes infrações, com aplicação das seguintes sanções:</w:t>
      </w:r>
    </w:p>
    <w:p>
      <w:pPr>
        <w:pStyle w:val="ListParagraph"/>
        <w:numPr>
          <w:ilvl w:val="0"/>
          <w:numId w:val="20"/>
        </w:numPr>
        <w:tabs>
          <w:tab w:val="clear" w:pos="720"/>
          <w:tab w:val="left" w:pos="1134" w:leader="none"/>
        </w:tabs>
        <w:ind w:left="567" w:hanging="0"/>
        <w:jc w:val="both"/>
        <w:rPr>
          <w:rFonts w:ascii="Arial" w:hAnsi="Arial"/>
          <w:sz w:val="22"/>
          <w:szCs w:val="22"/>
        </w:rPr>
      </w:pPr>
      <w:bookmarkStart w:id="44" w:name="art155i"/>
      <w:bookmarkEnd w:id="44"/>
      <w:r>
        <w:rPr>
          <w:rFonts w:ascii="Arial" w:hAnsi="Arial"/>
          <w:sz w:val="22"/>
          <w:szCs w:val="22"/>
        </w:rPr>
        <w:t>Dar causa à inexecução parcial do contrato:</w:t>
      </w:r>
    </w:p>
    <w:p>
      <w:pPr>
        <w:pStyle w:val="ListParagraph"/>
        <w:numPr>
          <w:ilvl w:val="0"/>
          <w:numId w:val="20"/>
        </w:numPr>
        <w:tabs>
          <w:tab w:val="clear" w:pos="720"/>
          <w:tab w:val="left" w:pos="1134" w:leader="none"/>
        </w:tabs>
        <w:ind w:left="567" w:hanging="0"/>
        <w:jc w:val="both"/>
        <w:rPr>
          <w:rFonts w:ascii="Arial" w:hAnsi="Arial"/>
          <w:sz w:val="22"/>
          <w:szCs w:val="22"/>
        </w:rPr>
      </w:pPr>
      <w:bookmarkStart w:id="45" w:name="art155ii"/>
      <w:bookmarkEnd w:id="45"/>
      <w:r>
        <w:rPr>
          <w:rFonts w:ascii="Arial" w:hAnsi="Arial"/>
          <w:sz w:val="22"/>
          <w:szCs w:val="22"/>
        </w:rPr>
        <w:t>Dar causa à inexecução parcial do contrato que cause grave dano à Administração, ao funcionamento dos serviços públicos ou ao interesse coletivo;</w:t>
      </w:r>
    </w:p>
    <w:p>
      <w:pPr>
        <w:pStyle w:val="ListParagraph"/>
        <w:numPr>
          <w:ilvl w:val="0"/>
          <w:numId w:val="20"/>
        </w:numPr>
        <w:tabs>
          <w:tab w:val="clear" w:pos="720"/>
          <w:tab w:val="left" w:pos="1134" w:leader="none"/>
        </w:tabs>
        <w:ind w:left="567" w:hanging="0"/>
        <w:jc w:val="both"/>
        <w:rPr>
          <w:rFonts w:ascii="Arial" w:hAnsi="Arial"/>
          <w:sz w:val="22"/>
          <w:szCs w:val="22"/>
        </w:rPr>
      </w:pPr>
      <w:bookmarkStart w:id="46" w:name="art155iii"/>
      <w:bookmarkEnd w:id="46"/>
      <w:r>
        <w:rPr>
          <w:rFonts w:ascii="Arial" w:hAnsi="Arial"/>
          <w:sz w:val="22"/>
          <w:szCs w:val="22"/>
        </w:rPr>
        <w:t>Dar causa à inexecução total do contrato;</w:t>
      </w:r>
    </w:p>
    <w:p>
      <w:pPr>
        <w:pStyle w:val="ListParagraph"/>
        <w:numPr>
          <w:ilvl w:val="0"/>
          <w:numId w:val="20"/>
        </w:numPr>
        <w:tabs>
          <w:tab w:val="clear" w:pos="720"/>
          <w:tab w:val="left" w:pos="1134" w:leader="none"/>
        </w:tabs>
        <w:ind w:left="567" w:hanging="0"/>
        <w:jc w:val="both"/>
        <w:rPr>
          <w:rFonts w:ascii="Arial" w:hAnsi="Arial"/>
          <w:sz w:val="22"/>
          <w:szCs w:val="22"/>
        </w:rPr>
      </w:pPr>
      <w:bookmarkStart w:id="47" w:name="art155iv"/>
      <w:bookmarkEnd w:id="47"/>
      <w:r>
        <w:rPr>
          <w:rFonts w:ascii="Arial" w:hAnsi="Arial"/>
          <w:sz w:val="22"/>
          <w:szCs w:val="22"/>
        </w:rPr>
        <w:t>Deixar de entregar a documentação exigida para o certame;</w:t>
      </w:r>
    </w:p>
    <w:p>
      <w:pPr>
        <w:pStyle w:val="ListParagraph"/>
        <w:numPr>
          <w:ilvl w:val="0"/>
          <w:numId w:val="20"/>
        </w:numPr>
        <w:tabs>
          <w:tab w:val="clear" w:pos="720"/>
          <w:tab w:val="left" w:pos="1134" w:leader="none"/>
        </w:tabs>
        <w:ind w:left="567" w:hanging="0"/>
        <w:jc w:val="both"/>
        <w:rPr>
          <w:rFonts w:ascii="Arial" w:hAnsi="Arial"/>
          <w:sz w:val="22"/>
          <w:szCs w:val="22"/>
        </w:rPr>
      </w:pPr>
      <w:bookmarkStart w:id="48" w:name="art155v"/>
      <w:bookmarkEnd w:id="48"/>
      <w:r>
        <w:rPr>
          <w:rFonts w:ascii="Arial" w:hAnsi="Arial"/>
          <w:sz w:val="22"/>
          <w:szCs w:val="22"/>
        </w:rPr>
        <w:t>Não manter a proposta, salvo em decorrência de fato superveniente devidamente justificado;</w:t>
      </w:r>
    </w:p>
    <w:p>
      <w:pPr>
        <w:pStyle w:val="ListParagraph"/>
        <w:numPr>
          <w:ilvl w:val="0"/>
          <w:numId w:val="20"/>
        </w:numPr>
        <w:tabs>
          <w:tab w:val="clear" w:pos="720"/>
          <w:tab w:val="left" w:pos="1134" w:leader="none"/>
        </w:tabs>
        <w:ind w:left="567" w:hanging="0"/>
        <w:jc w:val="both"/>
        <w:rPr>
          <w:rFonts w:ascii="Arial" w:hAnsi="Arial"/>
          <w:sz w:val="22"/>
          <w:szCs w:val="22"/>
        </w:rPr>
      </w:pPr>
      <w:bookmarkStart w:id="49" w:name="art155vi"/>
      <w:bookmarkEnd w:id="49"/>
      <w:r>
        <w:rPr>
          <w:rFonts w:ascii="Arial" w:hAnsi="Arial"/>
          <w:sz w:val="22"/>
          <w:szCs w:val="22"/>
        </w:rPr>
        <w:t>Não celebrar o contrato ou não entregar a documentação exigida para a contratação, quando convocado dentro do prazo de validade de sua proposta;</w:t>
      </w:r>
    </w:p>
    <w:p>
      <w:pPr>
        <w:pStyle w:val="ListParagraph"/>
        <w:numPr>
          <w:ilvl w:val="0"/>
          <w:numId w:val="20"/>
        </w:numPr>
        <w:tabs>
          <w:tab w:val="clear" w:pos="720"/>
          <w:tab w:val="left" w:pos="1134" w:leader="none"/>
        </w:tabs>
        <w:ind w:left="567" w:hanging="0"/>
        <w:jc w:val="both"/>
        <w:rPr>
          <w:rFonts w:ascii="Arial" w:hAnsi="Arial"/>
          <w:sz w:val="22"/>
          <w:szCs w:val="22"/>
        </w:rPr>
      </w:pPr>
      <w:bookmarkStart w:id="50" w:name="art155vii"/>
      <w:bookmarkEnd w:id="50"/>
      <w:r>
        <w:rPr>
          <w:rFonts w:ascii="Arial" w:hAnsi="Arial"/>
          <w:sz w:val="22"/>
          <w:szCs w:val="22"/>
        </w:rPr>
        <w:t>Ensejar o retardamento da execução ou da entrega do objeto da licitação sem motivo justificado;</w:t>
      </w:r>
    </w:p>
    <w:p>
      <w:pPr>
        <w:pStyle w:val="ListParagraph"/>
        <w:numPr>
          <w:ilvl w:val="0"/>
          <w:numId w:val="20"/>
        </w:numPr>
        <w:tabs>
          <w:tab w:val="clear" w:pos="720"/>
          <w:tab w:val="left" w:pos="1134" w:leader="none"/>
        </w:tabs>
        <w:ind w:left="567" w:hanging="0"/>
        <w:jc w:val="both"/>
        <w:rPr>
          <w:rFonts w:ascii="Arial" w:hAnsi="Arial"/>
          <w:sz w:val="22"/>
          <w:szCs w:val="22"/>
        </w:rPr>
      </w:pPr>
      <w:bookmarkStart w:id="51" w:name="art155viii"/>
      <w:bookmarkEnd w:id="51"/>
      <w:r>
        <w:rPr>
          <w:rFonts w:ascii="Arial" w:hAnsi="Arial"/>
          <w:sz w:val="22"/>
          <w:szCs w:val="22"/>
        </w:rPr>
        <w:t>Apresentar declaração ou documentação falsa exigida para o certame ou prestar declaração falsa durante a licitação ou a execução do contrato;</w:t>
      </w:r>
    </w:p>
    <w:p>
      <w:pPr>
        <w:pStyle w:val="ListParagraph"/>
        <w:numPr>
          <w:ilvl w:val="0"/>
          <w:numId w:val="20"/>
        </w:numPr>
        <w:tabs>
          <w:tab w:val="clear" w:pos="720"/>
          <w:tab w:val="left" w:pos="1134" w:leader="none"/>
        </w:tabs>
        <w:ind w:left="567" w:hanging="0"/>
        <w:jc w:val="both"/>
        <w:rPr>
          <w:rFonts w:ascii="Arial" w:hAnsi="Arial"/>
          <w:sz w:val="22"/>
          <w:szCs w:val="22"/>
        </w:rPr>
      </w:pPr>
      <w:bookmarkStart w:id="52" w:name="art155ix"/>
      <w:bookmarkEnd w:id="52"/>
      <w:r>
        <w:rPr>
          <w:rFonts w:ascii="Arial" w:hAnsi="Arial"/>
          <w:sz w:val="22"/>
          <w:szCs w:val="22"/>
        </w:rPr>
        <w:t>Fraudar a licitação ou praticar ato fraudulento na execução do contrato;</w:t>
      </w:r>
    </w:p>
    <w:p>
      <w:pPr>
        <w:pStyle w:val="ListParagraph"/>
        <w:numPr>
          <w:ilvl w:val="0"/>
          <w:numId w:val="20"/>
        </w:numPr>
        <w:tabs>
          <w:tab w:val="clear" w:pos="720"/>
          <w:tab w:val="left" w:pos="1134" w:leader="none"/>
        </w:tabs>
        <w:ind w:left="567" w:hanging="0"/>
        <w:jc w:val="both"/>
        <w:rPr>
          <w:rFonts w:ascii="Arial" w:hAnsi="Arial"/>
          <w:sz w:val="22"/>
          <w:szCs w:val="22"/>
        </w:rPr>
      </w:pPr>
      <w:bookmarkStart w:id="53" w:name="art155x"/>
      <w:bookmarkEnd w:id="53"/>
      <w:r>
        <w:rPr>
          <w:rFonts w:ascii="Arial" w:hAnsi="Arial"/>
          <w:sz w:val="22"/>
          <w:szCs w:val="22"/>
        </w:rPr>
        <w:t>Comportar-se de modo inidôneo ou cometer fraude de qualquer natureza;</w:t>
      </w:r>
    </w:p>
    <w:p>
      <w:pPr>
        <w:pStyle w:val="ListParagraph"/>
        <w:numPr>
          <w:ilvl w:val="0"/>
          <w:numId w:val="20"/>
        </w:numPr>
        <w:tabs>
          <w:tab w:val="clear" w:pos="720"/>
          <w:tab w:val="left" w:pos="1134" w:leader="none"/>
        </w:tabs>
        <w:ind w:left="567" w:hanging="0"/>
        <w:jc w:val="both"/>
        <w:rPr>
          <w:rFonts w:ascii="Arial" w:hAnsi="Arial"/>
          <w:sz w:val="22"/>
          <w:szCs w:val="22"/>
        </w:rPr>
      </w:pPr>
      <w:bookmarkStart w:id="54" w:name="art155xi"/>
      <w:bookmarkEnd w:id="54"/>
      <w:r>
        <w:rPr>
          <w:rFonts w:ascii="Arial" w:hAnsi="Arial"/>
          <w:sz w:val="22"/>
          <w:szCs w:val="22"/>
        </w:rPr>
        <w:t>Praticar atos ilícitos com vistas a frustrar os objetivos da licitação;</w:t>
      </w:r>
    </w:p>
    <w:p>
      <w:pPr>
        <w:pStyle w:val="ListParagraph"/>
        <w:numPr>
          <w:ilvl w:val="0"/>
          <w:numId w:val="20"/>
        </w:numPr>
        <w:tabs>
          <w:tab w:val="clear" w:pos="720"/>
          <w:tab w:val="left" w:pos="1134" w:leader="none"/>
        </w:tabs>
        <w:ind w:left="567" w:hanging="0"/>
        <w:jc w:val="both"/>
        <w:rPr/>
      </w:pPr>
      <w:bookmarkStart w:id="55" w:name="art155xii"/>
      <w:bookmarkEnd w:id="55"/>
      <w:r>
        <w:rPr>
          <w:rFonts w:ascii="Arial" w:hAnsi="Arial"/>
          <w:sz w:val="22"/>
          <w:szCs w:val="22"/>
        </w:rPr>
        <w:t xml:space="preserve">Praticar ato lesivo previsto no art. 5º da </w:t>
      </w:r>
      <w:hyperlink r:id="rId20">
        <w:r>
          <w:rPr>
            <w:rStyle w:val="LinkdaInternet"/>
            <w:rFonts w:ascii="Arial" w:hAnsi="Arial"/>
            <w:sz w:val="22"/>
            <w:szCs w:val="22"/>
          </w:rPr>
          <w:t>Lei nº 12.846, de 1º de agosto de 2013</w:t>
        </w:r>
      </w:hyperlink>
      <w:r>
        <w:rPr>
          <w:rFonts w:ascii="Arial" w:hAnsi="Arial"/>
          <w:sz w:val="22"/>
          <w:szCs w:val="22"/>
        </w:rPr>
        <w:t xml:space="preserve"> – Dispõe sobre a responsabilização administrativa e civil de pessoas jurídicas pela prática de atos contra a administração pública, nacional ou estrangeira, e dá outras providências.</w:t>
      </w:r>
    </w:p>
    <w:p>
      <w:pPr>
        <w:pStyle w:val="Normal"/>
        <w:tabs>
          <w:tab w:val="clear" w:pos="720"/>
          <w:tab w:val="left" w:pos="1134" w:leader="none"/>
        </w:tabs>
        <w:spacing w:lineRule="auto" w:line="240"/>
        <w:jc w:val="both"/>
        <w:rPr>
          <w:rFonts w:ascii="Arial" w:hAnsi="Arial"/>
        </w:rPr>
      </w:pPr>
      <w:bookmarkStart w:id="56" w:name="art156"/>
      <w:bookmarkEnd w:id="56"/>
      <w:r>
        <w:rPr>
          <w:rFonts w:cs="Times New Roman" w:ascii="Arial" w:hAnsi="Arial"/>
          <w:b/>
        </w:rPr>
        <w:t>21.2.</w:t>
      </w:r>
      <w:r>
        <w:rPr>
          <w:rFonts w:cs="Times New Roman" w:ascii="Arial" w:hAnsi="Arial"/>
        </w:rPr>
        <w:t xml:space="preserve"> Serão aplicadas as seguintes sanções às penalidades acima indicadas:</w:t>
      </w:r>
    </w:p>
    <w:tbl>
      <w:tblPr>
        <w:tblStyle w:val="Tabelacomgrade"/>
        <w:tblW w:w="8500"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561"/>
        <w:gridCol w:w="3687"/>
        <w:gridCol w:w="4252"/>
      </w:tblGrid>
      <w:tr>
        <w:trPr/>
        <w:tc>
          <w:tcPr>
            <w:tcW w:w="561" w:type="dxa"/>
            <w:tcBorders/>
          </w:tcPr>
          <w:p>
            <w:pPr>
              <w:pStyle w:val="ListParagraph"/>
              <w:widowControl w:val="false"/>
              <w:numPr>
                <w:ilvl w:val="0"/>
                <w:numId w:val="22"/>
              </w:numPr>
              <w:suppressAutoHyphens w:val="true"/>
              <w:spacing w:before="0" w:after="0"/>
              <w:ind w:left="299" w:hanging="345"/>
              <w:contextualSpacing/>
              <w:jc w:val="both"/>
              <w:rPr>
                <w:rFonts w:ascii="Arial" w:hAnsi="Arial"/>
                <w:sz w:val="22"/>
                <w:szCs w:val="22"/>
              </w:rPr>
            </w:pPr>
            <w:r>
              <w:rPr>
                <w:rFonts w:ascii="Arial" w:hAnsi="Arial"/>
                <w:sz w:val="22"/>
                <w:szCs w:val="22"/>
              </w:rPr>
            </w:r>
          </w:p>
        </w:tc>
        <w:tc>
          <w:tcPr>
            <w:tcW w:w="3687" w:type="dxa"/>
            <w:tcBorders/>
          </w:tcPr>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Advertência (art. 156, § 2º).</w:t>
            </w:r>
          </w:p>
        </w:tc>
        <w:tc>
          <w:tcPr>
            <w:tcW w:w="4252" w:type="dxa"/>
            <w:tcBorders/>
          </w:tcPr>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I</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cs="Times New Roman" w:ascii="Arial" w:hAnsi="Arial"/>
                <w:sz w:val="22"/>
              </w:rPr>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Obs. 1: Quando não se justificar a imposição de penalidade mais grave</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Obs. 2: Pode ser aplicada cumulativamente com multa (art. 156, § 7º).</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cs="Times New Roman" w:ascii="Arial" w:hAnsi="Arial"/>
                <w:sz w:val="22"/>
              </w:rPr>
            </w:r>
          </w:p>
        </w:tc>
      </w:tr>
      <w:tr>
        <w:trPr/>
        <w:tc>
          <w:tcPr>
            <w:tcW w:w="561" w:type="dxa"/>
            <w:tcBorders/>
          </w:tcPr>
          <w:p>
            <w:pPr>
              <w:pStyle w:val="ListParagraph"/>
              <w:widowControl w:val="false"/>
              <w:numPr>
                <w:ilvl w:val="0"/>
                <w:numId w:val="22"/>
              </w:numPr>
              <w:suppressAutoHyphens w:val="true"/>
              <w:spacing w:before="0" w:after="0"/>
              <w:ind w:left="299" w:hanging="345"/>
              <w:contextualSpacing/>
              <w:jc w:val="both"/>
              <w:rPr>
                <w:rFonts w:ascii="Arial" w:hAnsi="Arial"/>
                <w:sz w:val="22"/>
                <w:szCs w:val="22"/>
              </w:rPr>
            </w:pPr>
            <w:r>
              <w:rPr>
                <w:rFonts w:ascii="Arial" w:hAnsi="Arial"/>
                <w:sz w:val="22"/>
                <w:szCs w:val="22"/>
              </w:rPr>
            </w:r>
          </w:p>
        </w:tc>
        <w:tc>
          <w:tcPr>
            <w:tcW w:w="3687" w:type="dxa"/>
            <w:tcBorders/>
          </w:tcPr>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 xml:space="preserve">Multa de </w:t>
            </w:r>
            <w:r>
              <w:rPr>
                <w:rFonts w:eastAsia="Calibri" w:cs="Times New Roman" w:ascii="Arial" w:hAnsi="Arial"/>
                <w:color w:val="000000"/>
                <w:kern w:val="0"/>
                <w:sz w:val="22"/>
                <w:szCs w:val="22"/>
                <w:lang w:val="pt-BR" w:eastAsia="en-US" w:bidi="ar-SA"/>
              </w:rPr>
              <w:t>10%.</w:t>
            </w:r>
          </w:p>
        </w:tc>
        <w:tc>
          <w:tcPr>
            <w:tcW w:w="4252" w:type="dxa"/>
            <w:tcBorders/>
          </w:tcPr>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Qualquer infração (art. 156, § 3º).</w:t>
            </w:r>
          </w:p>
        </w:tc>
      </w:tr>
      <w:tr>
        <w:trPr/>
        <w:tc>
          <w:tcPr>
            <w:tcW w:w="561" w:type="dxa"/>
            <w:tcBorders/>
          </w:tcPr>
          <w:p>
            <w:pPr>
              <w:pStyle w:val="ListParagraph"/>
              <w:widowControl w:val="false"/>
              <w:numPr>
                <w:ilvl w:val="0"/>
                <w:numId w:val="22"/>
              </w:numPr>
              <w:suppressAutoHyphens w:val="true"/>
              <w:spacing w:before="0" w:after="0"/>
              <w:ind w:left="299" w:hanging="345"/>
              <w:contextualSpacing/>
              <w:jc w:val="both"/>
              <w:rPr>
                <w:rFonts w:ascii="Arial" w:hAnsi="Arial"/>
                <w:sz w:val="22"/>
                <w:szCs w:val="22"/>
              </w:rPr>
            </w:pPr>
            <w:r>
              <w:rPr>
                <w:rFonts w:ascii="Arial" w:hAnsi="Arial"/>
                <w:sz w:val="22"/>
                <w:szCs w:val="22"/>
              </w:rPr>
            </w:r>
          </w:p>
        </w:tc>
        <w:tc>
          <w:tcPr>
            <w:tcW w:w="3687" w:type="dxa"/>
            <w:tcBorders/>
          </w:tcPr>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 xml:space="preserve">Impedimento de licitar e contratar no âmbito da Administração Pública direta e indireta do Município de </w:t>
            </w:r>
            <w:r>
              <w:rPr>
                <w:rFonts w:eastAsia="Calibri" w:cs="Times New Roman" w:ascii="Arial" w:hAnsi="Arial"/>
                <w:color w:val="000000"/>
                <w:kern w:val="0"/>
                <w:sz w:val="22"/>
                <w:szCs w:val="22"/>
                <w:lang w:val="pt-BR" w:eastAsia="en-US" w:bidi="ar-SA"/>
              </w:rPr>
              <w:t>Itá-SC</w:t>
            </w:r>
            <w:r>
              <w:rPr>
                <w:rFonts w:eastAsia="Calibri" w:cs="Times New Roman" w:ascii="Arial" w:hAnsi="Arial"/>
                <w:kern w:val="0"/>
                <w:sz w:val="22"/>
                <w:szCs w:val="22"/>
                <w:lang w:val="pt-BR" w:eastAsia="en-US" w:bidi="ar-SA"/>
              </w:rPr>
              <w:t>, pelo prazo máximo de 3 (três) anos (art. 156, § 4º).</w:t>
            </w:r>
          </w:p>
        </w:tc>
        <w:tc>
          <w:tcPr>
            <w:tcW w:w="4252" w:type="dxa"/>
            <w:tcBorders/>
          </w:tcPr>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II</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III</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IV</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V</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VI</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VII</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cs="Times New Roman" w:ascii="Arial" w:hAnsi="Arial"/>
                <w:sz w:val="22"/>
              </w:rPr>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Obs. 1: Quando não se justificar a imposição de penalidade mais grave.</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Obs. 2: Pode ser aplicada cumulativamente com multa (art. 156, § 7º).</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cs="Times New Roman" w:ascii="Arial" w:hAnsi="Arial"/>
                <w:sz w:val="22"/>
              </w:rPr>
            </w:r>
          </w:p>
        </w:tc>
      </w:tr>
      <w:tr>
        <w:trPr>
          <w:trHeight w:val="2100" w:hRule="atLeast"/>
        </w:trPr>
        <w:tc>
          <w:tcPr>
            <w:tcW w:w="561" w:type="dxa"/>
            <w:tcBorders/>
          </w:tcPr>
          <w:p>
            <w:pPr>
              <w:pStyle w:val="ListParagraph"/>
              <w:widowControl w:val="false"/>
              <w:numPr>
                <w:ilvl w:val="0"/>
                <w:numId w:val="22"/>
              </w:numPr>
              <w:suppressAutoHyphens w:val="true"/>
              <w:spacing w:before="0" w:after="0"/>
              <w:ind w:left="299" w:hanging="345"/>
              <w:contextualSpacing/>
              <w:jc w:val="both"/>
              <w:rPr>
                <w:rFonts w:ascii="Arial" w:hAnsi="Arial"/>
                <w:sz w:val="22"/>
                <w:szCs w:val="22"/>
              </w:rPr>
            </w:pPr>
            <w:r>
              <w:rPr>
                <w:rFonts w:ascii="Arial" w:hAnsi="Arial"/>
                <w:sz w:val="22"/>
                <w:szCs w:val="22"/>
              </w:rPr>
            </w:r>
          </w:p>
        </w:tc>
        <w:tc>
          <w:tcPr>
            <w:tcW w:w="3687" w:type="dxa"/>
            <w:tcBorders/>
          </w:tcPr>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Declaração de inidoneidade para licitar ou contratar no âmbito da Administração Pública direta e indireta de todos os entes federativos, pelo prazo mínimo de 3 (três) anos e máximo de 6 (seis) anos (art. 156, § 5º).</w:t>
            </w:r>
          </w:p>
        </w:tc>
        <w:tc>
          <w:tcPr>
            <w:tcW w:w="4252" w:type="dxa"/>
            <w:tcBorders/>
          </w:tcPr>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VIII</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IX</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X</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XI</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XII</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cs="Times New Roman" w:ascii="Arial" w:hAnsi="Arial"/>
                <w:sz w:val="22"/>
              </w:rPr>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Obs. 1: Pode ser aplicada cumulativamente com multa (art. 156, § 7º).</w:t>
            </w:r>
          </w:p>
          <w:p>
            <w:pPr>
              <w:pStyle w:val="Normal"/>
              <w:widowControl w:val="false"/>
              <w:tabs>
                <w:tab w:val="clear" w:pos="720"/>
                <w:tab w:val="left" w:pos="1134" w:leader="none"/>
              </w:tabs>
              <w:suppressAutoHyphens w:val="true"/>
              <w:spacing w:lineRule="auto" w:line="240" w:before="0" w:after="0"/>
              <w:jc w:val="both"/>
              <w:rPr>
                <w:rFonts w:ascii="Arial" w:hAnsi="Arial" w:cs="Times New Roman"/>
              </w:rPr>
            </w:pPr>
            <w:r>
              <w:rPr>
                <w:rFonts w:cs="Times New Roman" w:ascii="Arial" w:hAnsi="Arial"/>
                <w:sz w:val="22"/>
              </w:rPr>
            </w:r>
          </w:p>
        </w:tc>
      </w:tr>
    </w:tbl>
    <w:p>
      <w:pPr>
        <w:pStyle w:val="Normal"/>
        <w:tabs>
          <w:tab w:val="clear" w:pos="720"/>
          <w:tab w:val="left" w:pos="1134" w:leader="none"/>
        </w:tabs>
        <w:spacing w:lineRule="auto" w:line="240"/>
        <w:jc w:val="both"/>
        <w:rPr>
          <w:rFonts w:ascii="Arial" w:hAnsi="Arial"/>
        </w:rPr>
      </w:pPr>
      <w:r>
        <w:rPr>
          <w:rFonts w:cs="Times New Roman" w:ascii="Arial" w:hAnsi="Arial"/>
          <w:b/>
        </w:rPr>
        <w:t>21.3.</w:t>
      </w:r>
      <w:r>
        <w:rPr>
          <w:rFonts w:cs="Times New Roman" w:ascii="Arial" w:hAnsi="Arial"/>
        </w:rPr>
        <w:t xml:space="preserve"> Na aplicação das sanções serão considerados:</w:t>
      </w:r>
    </w:p>
    <w:p>
      <w:pPr>
        <w:pStyle w:val="ListParagraph"/>
        <w:numPr>
          <w:ilvl w:val="0"/>
          <w:numId w:val="21"/>
        </w:numPr>
        <w:tabs>
          <w:tab w:val="clear" w:pos="720"/>
          <w:tab w:val="left" w:pos="1134" w:leader="none"/>
        </w:tabs>
        <w:spacing w:before="0" w:after="0"/>
        <w:ind w:left="567" w:hanging="0"/>
        <w:jc w:val="both"/>
        <w:rPr/>
      </w:pPr>
      <w:r>
        <w:rPr>
          <w:rFonts w:ascii="Arial" w:hAnsi="Arial"/>
          <w:sz w:val="22"/>
          <w:szCs w:val="22"/>
        </w:rPr>
        <w:t>A natureza e a gravidade da infração cometida;</w:t>
      </w:r>
    </w:p>
    <w:p>
      <w:pPr>
        <w:pStyle w:val="ListParagraph"/>
        <w:numPr>
          <w:ilvl w:val="0"/>
          <w:numId w:val="21"/>
        </w:numPr>
        <w:tabs>
          <w:tab w:val="clear" w:pos="720"/>
          <w:tab w:val="left" w:pos="1134" w:leader="none"/>
        </w:tabs>
        <w:spacing w:before="0" w:after="0"/>
        <w:ind w:left="567" w:hanging="0"/>
        <w:jc w:val="both"/>
        <w:rPr/>
      </w:pPr>
      <w:r>
        <w:rPr>
          <w:rFonts w:ascii="Arial" w:hAnsi="Arial"/>
          <w:sz w:val="22"/>
          <w:szCs w:val="22"/>
        </w:rPr>
        <w:t>As peculiaridades do caso concreto;</w:t>
      </w:r>
    </w:p>
    <w:p>
      <w:pPr>
        <w:pStyle w:val="ListParagraph"/>
        <w:numPr>
          <w:ilvl w:val="0"/>
          <w:numId w:val="21"/>
        </w:numPr>
        <w:tabs>
          <w:tab w:val="clear" w:pos="720"/>
          <w:tab w:val="left" w:pos="1134" w:leader="none"/>
        </w:tabs>
        <w:spacing w:before="0" w:after="0"/>
        <w:ind w:left="567" w:hanging="0"/>
        <w:jc w:val="both"/>
        <w:rPr/>
      </w:pPr>
      <w:r>
        <w:rPr>
          <w:rFonts w:ascii="Arial" w:hAnsi="Arial"/>
          <w:sz w:val="22"/>
          <w:szCs w:val="22"/>
        </w:rPr>
        <w:t>As circunstâncias agravantes ou atenuantes;</w:t>
      </w:r>
    </w:p>
    <w:p>
      <w:pPr>
        <w:pStyle w:val="ListParagraph"/>
        <w:numPr>
          <w:ilvl w:val="0"/>
          <w:numId w:val="21"/>
        </w:numPr>
        <w:tabs>
          <w:tab w:val="clear" w:pos="720"/>
          <w:tab w:val="left" w:pos="1134" w:leader="none"/>
        </w:tabs>
        <w:spacing w:before="0" w:after="0"/>
        <w:ind w:left="567" w:hanging="0"/>
        <w:jc w:val="both"/>
        <w:rPr/>
      </w:pPr>
      <w:r>
        <w:rPr>
          <w:rFonts w:ascii="Arial" w:hAnsi="Arial"/>
          <w:sz w:val="22"/>
          <w:szCs w:val="22"/>
        </w:rPr>
        <w:t>Os danos que dela provierem para a Administração Pública;</w:t>
      </w:r>
    </w:p>
    <w:p>
      <w:pPr>
        <w:pStyle w:val="ListParagraph"/>
        <w:numPr>
          <w:ilvl w:val="0"/>
          <w:numId w:val="21"/>
        </w:numPr>
        <w:tabs>
          <w:tab w:val="clear" w:pos="720"/>
          <w:tab w:val="left" w:pos="1134" w:leader="none"/>
        </w:tabs>
        <w:spacing w:before="0" w:after="0"/>
        <w:ind w:left="567" w:hanging="0"/>
        <w:jc w:val="both"/>
        <w:rPr/>
      </w:pPr>
      <w:r>
        <w:rPr>
          <w:rFonts w:ascii="Arial" w:hAnsi="Arial"/>
          <w:sz w:val="22"/>
          <w:szCs w:val="22"/>
        </w:rPr>
        <w:t>A implantação ou o aperfeiçoamento de programa de integridade, conforme normas e orientações dos órgãos de controle.</w:t>
      </w:r>
    </w:p>
    <w:p>
      <w:pPr>
        <w:pStyle w:val="Normal"/>
        <w:tabs>
          <w:tab w:val="clear" w:pos="720"/>
          <w:tab w:val="left" w:pos="1134" w:leader="none"/>
        </w:tabs>
        <w:spacing w:lineRule="auto" w:line="240"/>
        <w:jc w:val="both"/>
        <w:rPr>
          <w:rFonts w:ascii="Arial" w:hAnsi="Arial"/>
        </w:rPr>
      </w:pPr>
      <w:r>
        <w:rPr>
          <w:rFonts w:cs="Times New Roman" w:ascii="Arial" w:hAnsi="Arial"/>
          <w:b/>
        </w:rPr>
        <w:t>21.4.</w:t>
      </w:r>
      <w:r>
        <w:rPr>
          <w:rFonts w:cs="Times New Roman" w:ascii="Arial" w:hAnsi="Arial"/>
        </w:rPr>
        <w:t xml:space="preserve"> Para aplicação das sanções:</w:t>
      </w:r>
    </w:p>
    <w:p>
      <w:pPr>
        <w:pStyle w:val="ListParagraph"/>
        <w:numPr>
          <w:ilvl w:val="0"/>
          <w:numId w:val="23"/>
        </w:numPr>
        <w:tabs>
          <w:tab w:val="clear" w:pos="720"/>
          <w:tab w:val="left" w:pos="1134" w:leader="none"/>
        </w:tabs>
        <w:ind w:left="567" w:hanging="0"/>
        <w:jc w:val="both"/>
        <w:rPr>
          <w:rFonts w:ascii="Arial" w:hAnsi="Arial"/>
          <w:sz w:val="22"/>
          <w:szCs w:val="22"/>
        </w:rPr>
      </w:pPr>
      <w:r>
        <w:rPr>
          <w:rFonts w:ascii="Arial" w:hAnsi="Arial"/>
          <w:sz w:val="22"/>
          <w:szCs w:val="22"/>
        </w:rPr>
        <w:t>Inciso II do item 22.1: será facultada a defesa do interessado no prazo de 15 (quinze) dias úteis, contado da data de sua intimação;</w:t>
      </w:r>
    </w:p>
    <w:p>
      <w:pPr>
        <w:pStyle w:val="ListParagraph"/>
        <w:numPr>
          <w:ilvl w:val="0"/>
          <w:numId w:val="23"/>
        </w:numPr>
        <w:tabs>
          <w:tab w:val="clear" w:pos="720"/>
          <w:tab w:val="left" w:pos="1134" w:leader="none"/>
        </w:tabs>
        <w:ind w:left="567" w:hanging="0"/>
        <w:jc w:val="both"/>
        <w:rPr>
          <w:rFonts w:ascii="Arial" w:hAnsi="Arial"/>
          <w:sz w:val="22"/>
          <w:szCs w:val="22"/>
        </w:rPr>
      </w:pPr>
      <w:r>
        <w:rPr>
          <w:rFonts w:ascii="Arial" w:hAnsi="Arial"/>
          <w:sz w:val="22"/>
          <w:szCs w:val="22"/>
        </w:rPr>
        <w:t xml:space="preserve">Incisos III e IV do item 22.1: </w:t>
      </w:r>
    </w:p>
    <w:p>
      <w:pPr>
        <w:pStyle w:val="ListParagraph"/>
        <w:numPr>
          <w:ilvl w:val="1"/>
          <w:numId w:val="23"/>
        </w:numPr>
        <w:tabs>
          <w:tab w:val="clear" w:pos="720"/>
          <w:tab w:val="left" w:pos="1701" w:leader="none"/>
        </w:tabs>
        <w:ind w:left="1134" w:hanging="0"/>
        <w:jc w:val="both"/>
        <w:rPr>
          <w:rFonts w:ascii="Arial" w:hAnsi="Arial"/>
          <w:sz w:val="22"/>
          <w:szCs w:val="22"/>
        </w:rPr>
      </w:pPr>
      <w:r>
        <w:rPr>
          <w:rFonts w:ascii="Arial" w:hAnsi="Arial"/>
          <w:sz w:val="22"/>
          <w:szCs w:val="22"/>
        </w:rPr>
        <w:t>Instauração de processo de responsabilização, a ser conduzido por comissão composta de 2 (dois) ou mais servidores estáveis, que avaliará fatos e circunstâncias conhecidos;</w:t>
      </w:r>
    </w:p>
    <w:p>
      <w:pPr>
        <w:pStyle w:val="ListParagraph"/>
        <w:numPr>
          <w:ilvl w:val="1"/>
          <w:numId w:val="23"/>
        </w:numPr>
        <w:tabs>
          <w:tab w:val="clear" w:pos="720"/>
          <w:tab w:val="left" w:pos="1701" w:leader="none"/>
        </w:tabs>
        <w:ind w:left="1134" w:hanging="0"/>
        <w:jc w:val="both"/>
        <w:rPr>
          <w:rFonts w:ascii="Arial" w:hAnsi="Arial"/>
          <w:sz w:val="22"/>
          <w:szCs w:val="22"/>
        </w:rPr>
      </w:pPr>
      <w:r>
        <w:rPr>
          <w:rFonts w:ascii="Arial" w:hAnsi="Arial"/>
          <w:sz w:val="22"/>
          <w:szCs w:val="22"/>
        </w:rPr>
        <w:t>O licitante ou o contratado será intimada para, no prazo de 15 (quinze) dias úteis, contado da data de intimação, apresentar defesa escrita e especificar as provas que pretenda produzir;</w:t>
      </w:r>
    </w:p>
    <w:p>
      <w:pPr>
        <w:pStyle w:val="ListParagraph"/>
        <w:numPr>
          <w:ilvl w:val="1"/>
          <w:numId w:val="23"/>
        </w:numPr>
        <w:tabs>
          <w:tab w:val="clear" w:pos="720"/>
          <w:tab w:val="left" w:pos="1701" w:leader="none"/>
        </w:tabs>
        <w:ind w:left="1134" w:hanging="0"/>
        <w:jc w:val="both"/>
        <w:rPr>
          <w:rFonts w:ascii="Arial" w:hAnsi="Arial"/>
          <w:sz w:val="22"/>
          <w:szCs w:val="22"/>
        </w:rPr>
      </w:pPr>
      <w:r>
        <w:rPr>
          <w:rFonts w:ascii="Arial" w:hAnsi="Arial"/>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pStyle w:val="ListParagraph"/>
        <w:numPr>
          <w:ilvl w:val="1"/>
          <w:numId w:val="23"/>
        </w:numPr>
        <w:tabs>
          <w:tab w:val="clear" w:pos="720"/>
          <w:tab w:val="left" w:pos="1701" w:leader="none"/>
        </w:tabs>
        <w:ind w:left="1134" w:hanging="0"/>
        <w:jc w:val="both"/>
        <w:rPr>
          <w:rFonts w:ascii="Arial" w:hAnsi="Arial"/>
          <w:sz w:val="22"/>
          <w:szCs w:val="22"/>
        </w:rPr>
      </w:pPr>
      <w:r>
        <w:rPr>
          <w:rFonts w:ascii="Arial" w:hAnsi="Arial"/>
          <w:sz w:val="22"/>
          <w:szCs w:val="22"/>
        </w:rPr>
        <w:t>Serão indeferidas pela comissão, mediante decisão fundamentada, provas ilícitas, impertinentes, desnecessárias, protelatórias ou intempestivas;</w:t>
      </w:r>
    </w:p>
    <w:p>
      <w:pPr>
        <w:pStyle w:val="ListParagraph"/>
        <w:numPr>
          <w:ilvl w:val="1"/>
          <w:numId w:val="23"/>
        </w:numPr>
        <w:tabs>
          <w:tab w:val="clear" w:pos="720"/>
          <w:tab w:val="left" w:pos="1701" w:leader="none"/>
        </w:tabs>
        <w:ind w:left="1134" w:hanging="0"/>
        <w:jc w:val="both"/>
        <w:rPr>
          <w:rFonts w:ascii="Arial" w:hAnsi="Arial"/>
          <w:sz w:val="22"/>
          <w:szCs w:val="22"/>
        </w:rPr>
      </w:pPr>
      <w:r>
        <w:rPr>
          <w:rFonts w:ascii="Arial" w:hAnsi="Arial"/>
          <w:sz w:val="22"/>
          <w:szCs w:val="22"/>
        </w:rPr>
        <w:t>A sanção prevista no inciso IV do item 23.1 será precedida de análise jurídica e será de competência exclusiva de secretário municipal (art. 156, § 6º, I da Lei nº 14.133/2021);</w:t>
      </w:r>
    </w:p>
    <w:p>
      <w:pPr>
        <w:pStyle w:val="ListParagraph"/>
        <w:numPr>
          <w:ilvl w:val="1"/>
          <w:numId w:val="23"/>
        </w:numPr>
        <w:tabs>
          <w:tab w:val="clear" w:pos="720"/>
          <w:tab w:val="left" w:pos="1701" w:leader="none"/>
        </w:tabs>
        <w:ind w:left="1134" w:hanging="0"/>
        <w:jc w:val="both"/>
        <w:rPr>
          <w:rFonts w:ascii="Arial" w:hAnsi="Arial"/>
          <w:sz w:val="22"/>
          <w:szCs w:val="22"/>
        </w:rPr>
      </w:pPr>
      <w:r>
        <w:rPr>
          <w:rFonts w:ascii="Arial" w:hAnsi="Arial"/>
          <w:sz w:val="22"/>
          <w:szCs w:val="22"/>
        </w:rPr>
        <w:t>A prescrição ocorrerá em 5 (cinco) anos, contados da ciência da infração pela Administração Pública Municipal, e será:</w:t>
      </w:r>
    </w:p>
    <w:p>
      <w:pPr>
        <w:pStyle w:val="ListParagraph"/>
        <w:numPr>
          <w:ilvl w:val="2"/>
          <w:numId w:val="23"/>
        </w:numPr>
        <w:tabs>
          <w:tab w:val="clear" w:pos="720"/>
          <w:tab w:val="left" w:pos="2268" w:leader="none"/>
        </w:tabs>
        <w:ind w:left="1418" w:firstLine="284"/>
        <w:jc w:val="both"/>
        <w:rPr>
          <w:rFonts w:ascii="Arial" w:hAnsi="Arial"/>
          <w:sz w:val="22"/>
          <w:szCs w:val="22"/>
        </w:rPr>
      </w:pPr>
      <w:r>
        <w:rPr>
          <w:rFonts w:ascii="Arial" w:hAnsi="Arial"/>
          <w:sz w:val="22"/>
          <w:szCs w:val="22"/>
        </w:rPr>
        <w:t>Interrompida pela instauração do processo de responsabilização a que se refere este item;</w:t>
      </w:r>
    </w:p>
    <w:p>
      <w:pPr>
        <w:pStyle w:val="ListParagraph"/>
        <w:numPr>
          <w:ilvl w:val="2"/>
          <w:numId w:val="23"/>
        </w:numPr>
        <w:tabs>
          <w:tab w:val="clear" w:pos="720"/>
          <w:tab w:val="left" w:pos="2268" w:leader="none"/>
        </w:tabs>
        <w:ind w:left="1418" w:firstLine="284"/>
        <w:jc w:val="both"/>
        <w:rPr/>
      </w:pPr>
      <w:r>
        <w:rPr>
          <w:rFonts w:ascii="Arial" w:hAnsi="Arial"/>
          <w:sz w:val="22"/>
          <w:szCs w:val="22"/>
        </w:rPr>
        <w:t xml:space="preserve">Suspensa pela celebração de acordo de leniência previsto na </w:t>
      </w:r>
      <w:hyperlink r:id="rId21">
        <w:r>
          <w:rPr>
            <w:rStyle w:val="LinkdaInternet"/>
            <w:rFonts w:ascii="Arial" w:hAnsi="Arial"/>
            <w:sz w:val="22"/>
            <w:szCs w:val="22"/>
          </w:rPr>
          <w:t>Lei nº 12.846, de 1º de agosto de 2013</w:t>
        </w:r>
      </w:hyperlink>
      <w:r>
        <w:rPr>
          <w:rFonts w:ascii="Arial" w:hAnsi="Arial"/>
          <w:sz w:val="22"/>
          <w:szCs w:val="22"/>
        </w:rPr>
        <w:t xml:space="preserve"> – Dispõe sobre a responsabilização administrativa e civil de pessoas jurídicas pela prática de atos contra a administração pública, nacional ou estrangeira, e dá outras providências; </w:t>
      </w:r>
    </w:p>
    <w:p>
      <w:pPr>
        <w:pStyle w:val="ListParagraph"/>
        <w:numPr>
          <w:ilvl w:val="2"/>
          <w:numId w:val="23"/>
        </w:numPr>
        <w:tabs>
          <w:tab w:val="clear" w:pos="720"/>
          <w:tab w:val="left" w:pos="2268" w:leader="none"/>
        </w:tabs>
        <w:ind w:left="1418" w:firstLine="284"/>
        <w:jc w:val="both"/>
        <w:rPr>
          <w:rFonts w:ascii="Arial" w:hAnsi="Arial"/>
          <w:sz w:val="22"/>
          <w:szCs w:val="22"/>
        </w:rPr>
      </w:pPr>
      <w:r>
        <w:rPr>
          <w:rFonts w:ascii="Arial" w:hAnsi="Arial"/>
          <w:sz w:val="22"/>
          <w:szCs w:val="22"/>
        </w:rPr>
        <w:t>Suspensa por decisão judicial que inviabilize a conclusão da apuração administrativa.</w:t>
      </w:r>
    </w:p>
    <w:p>
      <w:pPr>
        <w:pStyle w:val="Normal"/>
        <w:tabs>
          <w:tab w:val="clear" w:pos="720"/>
          <w:tab w:val="left" w:pos="1134" w:leader="none"/>
        </w:tabs>
        <w:spacing w:lineRule="auto" w:line="240"/>
        <w:jc w:val="both"/>
        <w:rPr>
          <w:rFonts w:ascii="Arial" w:hAnsi="Arial"/>
        </w:rPr>
      </w:pPr>
      <w:r>
        <w:rPr>
          <w:rFonts w:cs="Times New Roman" w:ascii="Arial" w:hAnsi="Arial"/>
          <w:b/>
        </w:rPr>
        <w:t>21.5.</w:t>
      </w:r>
      <w:r>
        <w:rPr>
          <w:rFonts w:cs="Times New Roman" w:ascii="Arial" w:hAnsi="Arial"/>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w:t>
      </w:r>
    </w:p>
    <w:p>
      <w:pPr>
        <w:pStyle w:val="Normal"/>
        <w:tabs>
          <w:tab w:val="clear" w:pos="720"/>
          <w:tab w:val="left" w:pos="1134" w:leader="none"/>
        </w:tabs>
        <w:spacing w:lineRule="auto" w:line="240"/>
        <w:jc w:val="both"/>
        <w:rPr>
          <w:rFonts w:ascii="Arial" w:hAnsi="Arial"/>
        </w:rPr>
      </w:pPr>
      <w:r>
        <w:rPr>
          <w:rFonts w:cs="Times New Roman" w:ascii="Arial" w:hAnsi="Arial"/>
          <w:b/>
        </w:rPr>
        <w:t>21.6.</w:t>
      </w:r>
      <w:r>
        <w:rPr>
          <w:rFonts w:cs="Times New Roman" w:ascii="Arial" w:hAnsi="Arial"/>
        </w:rPr>
        <w:t xml:space="preserve"> A aplicação das sanções não exclui, em hipótese alguma, a obrigação de reparação integral do dano causado à Administração Pública Municipal.</w:t>
      </w:r>
    </w:p>
    <w:p>
      <w:pPr>
        <w:pStyle w:val="Normal"/>
        <w:tabs>
          <w:tab w:val="clear" w:pos="720"/>
          <w:tab w:val="left" w:pos="1134" w:leader="none"/>
        </w:tabs>
        <w:spacing w:lineRule="auto" w:line="240"/>
        <w:jc w:val="both"/>
        <w:rPr>
          <w:rFonts w:ascii="Arial" w:hAnsi="Arial"/>
        </w:rPr>
      </w:pPr>
      <w:bookmarkStart w:id="57" w:name="art157"/>
      <w:bookmarkEnd w:id="57"/>
      <w:r>
        <w:rPr>
          <w:rFonts w:cs="Times New Roman" w:ascii="Arial" w:hAnsi="Arial"/>
          <w:b/>
        </w:rPr>
        <w:t xml:space="preserve">21.7. </w:t>
      </w:r>
      <w:bookmarkStart w:id="58" w:name="art159"/>
      <w:bookmarkStart w:id="59" w:name="art158§4"/>
      <w:bookmarkStart w:id="60" w:name="art158§3"/>
      <w:bookmarkStart w:id="61" w:name="art158§2"/>
      <w:bookmarkStart w:id="62" w:name="art158§1"/>
      <w:bookmarkStart w:id="63" w:name="art158"/>
      <w:bookmarkEnd w:id="58"/>
      <w:bookmarkEnd w:id="59"/>
      <w:bookmarkEnd w:id="60"/>
      <w:bookmarkEnd w:id="61"/>
      <w:bookmarkEnd w:id="62"/>
      <w:bookmarkEnd w:id="63"/>
      <w:r>
        <w:rPr>
          <w:rFonts w:cs="Times New Roman" w:ascii="Arial" w:hAnsi="Arial"/>
        </w:rPr>
        <w:t>Os atos previstos como infrações administrativas na Lei nº 14.133/2021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pPr>
        <w:pStyle w:val="Normal"/>
        <w:tabs>
          <w:tab w:val="clear" w:pos="720"/>
          <w:tab w:val="left" w:pos="1134" w:leader="none"/>
        </w:tabs>
        <w:spacing w:lineRule="auto" w:line="240"/>
        <w:jc w:val="both"/>
        <w:rPr>
          <w:rFonts w:ascii="Arial" w:hAnsi="Arial"/>
        </w:rPr>
      </w:pPr>
      <w:bookmarkStart w:id="64" w:name="art160"/>
      <w:bookmarkStart w:id="65" w:name="art159p"/>
      <w:bookmarkEnd w:id="64"/>
      <w:bookmarkEnd w:id="65"/>
      <w:r>
        <w:rPr>
          <w:rFonts w:cs="Times New Roman" w:ascii="Arial" w:hAnsi="Arial"/>
          <w:b/>
        </w:rPr>
        <w:t xml:space="preserve">21.8. </w:t>
      </w:r>
      <w:r>
        <w:rPr>
          <w:rFonts w:cs="Times New Roman" w:ascii="Arial" w:hAnsi="Arial"/>
        </w:rPr>
        <w:t>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tabs>
          <w:tab w:val="clear" w:pos="720"/>
          <w:tab w:val="left" w:pos="1134" w:leader="none"/>
        </w:tabs>
        <w:spacing w:lineRule="auto" w:line="240"/>
        <w:jc w:val="both"/>
        <w:rPr>
          <w:rFonts w:ascii="Arial" w:hAnsi="Arial"/>
        </w:rPr>
      </w:pPr>
      <w:bookmarkStart w:id="66" w:name="art161"/>
      <w:bookmarkEnd w:id="66"/>
      <w:r>
        <w:rPr>
          <w:rFonts w:cs="Times New Roman" w:ascii="Arial" w:hAnsi="Arial"/>
          <w:b/>
        </w:rPr>
        <w:t>22.9.</w:t>
      </w:r>
      <w:r>
        <w:rPr>
          <w:rFonts w:cs="Times New Roman" w:ascii="Arial" w:hAnsi="Arial"/>
        </w:rPr>
        <w:t xml:space="preserve"> A Administração Pública Municipal, no prazo máximo 15 (quinze) dias úteis, contado da data de aplicação da sanção, informará e manterá atualizados os dados relativos às sanções por ela aplicadas, para fins de publicidade no Cadastro Nacional de Empresas Inidôneas e Suspensas (Ceis) e no Cadastro Nacional de Empresas Punidas (Cnep), instituídos no âmbito do Poder Executivo federal.</w:t>
      </w:r>
    </w:p>
    <w:p>
      <w:pPr>
        <w:pStyle w:val="Normal"/>
        <w:tabs>
          <w:tab w:val="clear" w:pos="720"/>
          <w:tab w:val="left" w:pos="1134" w:leader="none"/>
        </w:tabs>
        <w:spacing w:lineRule="auto" w:line="240"/>
        <w:jc w:val="both"/>
        <w:rPr>
          <w:rFonts w:ascii="Arial" w:hAnsi="Arial"/>
        </w:rPr>
      </w:pPr>
      <w:r>
        <w:rPr>
          <w:rFonts w:cs="Times New Roman" w:ascii="Arial" w:hAnsi="Arial"/>
          <w:b/>
          <w:color w:val="000000"/>
        </w:rPr>
        <w:t>21.10.</w:t>
      </w:r>
      <w:r>
        <w:rPr>
          <w:rFonts w:cs="Times New Roman" w:ascii="Arial" w:hAnsi="Arial"/>
          <w:color w:val="000000"/>
        </w:rPr>
        <w:t xml:space="preserve"> O atraso injustificado na execução do contrato sujeitará o contratado a multa de mora, na forma prevista no inciso II do item 21.2.</w:t>
      </w:r>
    </w:p>
    <w:p>
      <w:pPr>
        <w:pStyle w:val="Normal"/>
        <w:tabs>
          <w:tab w:val="clear" w:pos="720"/>
          <w:tab w:val="left" w:pos="1134" w:leader="none"/>
        </w:tabs>
        <w:spacing w:lineRule="auto" w:line="240"/>
        <w:jc w:val="both"/>
        <w:rPr>
          <w:rFonts w:ascii="Arial" w:hAnsi="Arial"/>
        </w:rPr>
      </w:pPr>
      <w:bookmarkStart w:id="67" w:name="art162p"/>
      <w:bookmarkEnd w:id="67"/>
      <w:r>
        <w:rPr>
          <w:rFonts w:cs="Times New Roman" w:ascii="Arial" w:hAnsi="Arial"/>
          <w:b/>
        </w:rPr>
        <w:t>21.11.</w:t>
      </w:r>
      <w:r>
        <w:rPr>
          <w:rFonts w:cs="Times New Roman" w:ascii="Arial" w:hAnsi="Arial"/>
        </w:rPr>
        <w:t xml:space="preserve"> A aplicação de multa de mora não impedirá que a Administração a converta em compensatória e promova a extinção unilateral do contrato com a aplicação cumulada de outras sanções previstas na Lei nº 14.133/2021.</w:t>
      </w:r>
    </w:p>
    <w:p>
      <w:pPr>
        <w:pStyle w:val="Normal"/>
        <w:tabs>
          <w:tab w:val="clear" w:pos="720"/>
          <w:tab w:val="left" w:pos="1134" w:leader="none"/>
        </w:tabs>
        <w:spacing w:lineRule="auto" w:line="240"/>
        <w:jc w:val="both"/>
        <w:rPr>
          <w:rFonts w:ascii="Arial" w:hAnsi="Arial"/>
        </w:rPr>
      </w:pPr>
      <w:bookmarkStart w:id="68" w:name="art163"/>
      <w:bookmarkEnd w:id="68"/>
      <w:r>
        <w:rPr>
          <w:rFonts w:cs="Times New Roman" w:ascii="Arial" w:hAnsi="Arial"/>
          <w:b/>
        </w:rPr>
        <w:t>21.12.</w:t>
      </w:r>
      <w:r>
        <w:rPr>
          <w:rFonts w:cs="Times New Roman" w:ascii="Arial" w:hAnsi="Arial"/>
        </w:rPr>
        <w:t xml:space="preserve"> É admitida a reabilitação do licitante ou contratado perante o Município de </w:t>
      </w:r>
      <w:r>
        <w:rPr>
          <w:rFonts w:eastAsia="Calibri" w:cs="Times New Roman" w:ascii="Arial" w:hAnsi="Arial"/>
          <w:color w:val="000000"/>
        </w:rPr>
        <w:t>Itá-SC</w:t>
      </w:r>
      <w:r>
        <w:rPr>
          <w:rFonts w:cs="Times New Roman" w:ascii="Arial" w:hAnsi="Arial"/>
        </w:rPr>
        <w:t>, exigidos, cumulativamente.</w:t>
      </w:r>
    </w:p>
    <w:p>
      <w:pPr>
        <w:pStyle w:val="ListParagraph"/>
        <w:numPr>
          <w:ilvl w:val="0"/>
          <w:numId w:val="24"/>
        </w:numPr>
        <w:tabs>
          <w:tab w:val="clear" w:pos="720"/>
          <w:tab w:val="left" w:pos="1134" w:leader="none"/>
        </w:tabs>
        <w:ind w:left="567" w:hanging="0"/>
        <w:jc w:val="both"/>
        <w:rPr>
          <w:rFonts w:ascii="Arial" w:hAnsi="Arial"/>
          <w:sz w:val="22"/>
          <w:szCs w:val="22"/>
        </w:rPr>
      </w:pPr>
      <w:bookmarkStart w:id="69" w:name="art163i"/>
      <w:bookmarkEnd w:id="69"/>
      <w:r>
        <w:rPr>
          <w:rFonts w:ascii="Arial" w:hAnsi="Arial"/>
          <w:sz w:val="22"/>
          <w:szCs w:val="22"/>
        </w:rPr>
        <w:t>Reparação integral do dano causado à Administração Pública Municipal;</w:t>
      </w:r>
    </w:p>
    <w:p>
      <w:pPr>
        <w:pStyle w:val="ListParagraph"/>
        <w:numPr>
          <w:ilvl w:val="0"/>
          <w:numId w:val="24"/>
        </w:numPr>
        <w:tabs>
          <w:tab w:val="clear" w:pos="720"/>
          <w:tab w:val="left" w:pos="1134" w:leader="none"/>
        </w:tabs>
        <w:ind w:left="567" w:hanging="0"/>
        <w:jc w:val="both"/>
        <w:rPr>
          <w:rFonts w:ascii="Arial" w:hAnsi="Arial"/>
          <w:sz w:val="22"/>
          <w:szCs w:val="22"/>
        </w:rPr>
      </w:pPr>
      <w:bookmarkStart w:id="70" w:name="art163ii"/>
      <w:bookmarkEnd w:id="70"/>
      <w:r>
        <w:rPr>
          <w:rFonts w:ascii="Arial" w:hAnsi="Arial"/>
          <w:sz w:val="22"/>
          <w:szCs w:val="22"/>
        </w:rPr>
        <w:t>Pagamento da multa;</w:t>
      </w:r>
    </w:p>
    <w:p>
      <w:pPr>
        <w:pStyle w:val="ListParagraph"/>
        <w:numPr>
          <w:ilvl w:val="0"/>
          <w:numId w:val="24"/>
        </w:numPr>
        <w:tabs>
          <w:tab w:val="clear" w:pos="720"/>
          <w:tab w:val="left" w:pos="1134" w:leader="none"/>
        </w:tabs>
        <w:ind w:left="567" w:hanging="0"/>
        <w:jc w:val="both"/>
        <w:rPr>
          <w:rFonts w:ascii="Arial" w:hAnsi="Arial"/>
          <w:sz w:val="22"/>
          <w:szCs w:val="22"/>
        </w:rPr>
      </w:pPr>
      <w:bookmarkStart w:id="71" w:name="art163iii"/>
      <w:bookmarkEnd w:id="71"/>
      <w:r>
        <w:rPr>
          <w:rFonts w:ascii="Arial" w:hAnsi="Arial"/>
          <w:sz w:val="22"/>
          <w:szCs w:val="22"/>
        </w:rPr>
        <w:t>Transcurso do prazo mínimo de 1 (um) ano da aplicação da penalidade, no caso de impedimento de licitar e contratar, ou de 3 (três) anos da aplicação da penalidade, no caso de declaração de inidoneidade;</w:t>
      </w:r>
    </w:p>
    <w:p>
      <w:pPr>
        <w:pStyle w:val="ListParagraph"/>
        <w:numPr>
          <w:ilvl w:val="0"/>
          <w:numId w:val="24"/>
        </w:numPr>
        <w:tabs>
          <w:tab w:val="clear" w:pos="720"/>
          <w:tab w:val="left" w:pos="1134" w:leader="none"/>
        </w:tabs>
        <w:ind w:left="567" w:hanging="0"/>
        <w:jc w:val="both"/>
        <w:rPr>
          <w:rFonts w:ascii="Arial" w:hAnsi="Arial"/>
          <w:sz w:val="22"/>
          <w:szCs w:val="22"/>
        </w:rPr>
      </w:pPr>
      <w:bookmarkStart w:id="72" w:name="art163iv"/>
      <w:bookmarkEnd w:id="72"/>
      <w:r>
        <w:rPr>
          <w:rFonts w:ascii="Arial" w:hAnsi="Arial"/>
          <w:sz w:val="22"/>
          <w:szCs w:val="22"/>
        </w:rPr>
        <w:t>Cumprimento das condições de reabilitação definidas no ato punitivo;</w:t>
      </w:r>
    </w:p>
    <w:p>
      <w:pPr>
        <w:pStyle w:val="ListParagraph"/>
        <w:numPr>
          <w:ilvl w:val="0"/>
          <w:numId w:val="24"/>
        </w:numPr>
        <w:tabs>
          <w:tab w:val="clear" w:pos="720"/>
          <w:tab w:val="left" w:pos="1134" w:leader="none"/>
        </w:tabs>
        <w:ind w:left="567" w:hanging="0"/>
        <w:jc w:val="both"/>
        <w:rPr>
          <w:rFonts w:ascii="Arial" w:hAnsi="Arial"/>
          <w:sz w:val="22"/>
          <w:szCs w:val="22"/>
        </w:rPr>
      </w:pPr>
      <w:bookmarkStart w:id="73" w:name="art163v"/>
      <w:bookmarkEnd w:id="73"/>
      <w:r>
        <w:rPr>
          <w:rFonts w:ascii="Arial" w:hAnsi="Arial"/>
          <w:sz w:val="22"/>
          <w:szCs w:val="22"/>
        </w:rPr>
        <w:t>Análise jurídica prévia, com posicionamento conclusivo quanto ao cumprimento dos requisitos definidos neste item.</w:t>
      </w:r>
    </w:p>
    <w:p>
      <w:pPr>
        <w:pStyle w:val="Normal"/>
        <w:tabs>
          <w:tab w:val="clear" w:pos="720"/>
          <w:tab w:val="left" w:pos="1134" w:leader="none"/>
        </w:tabs>
        <w:spacing w:lineRule="auto" w:line="240"/>
        <w:jc w:val="both"/>
        <w:rPr>
          <w:rFonts w:ascii="Arial" w:hAnsi="Arial"/>
        </w:rPr>
      </w:pPr>
      <w:bookmarkStart w:id="74" w:name="art163p"/>
      <w:bookmarkEnd w:id="74"/>
      <w:r>
        <w:rPr>
          <w:rFonts w:cs="Times New Roman" w:ascii="Arial" w:hAnsi="Arial"/>
          <w:b/>
        </w:rPr>
        <w:t>21.12.1.</w:t>
      </w:r>
      <w:r>
        <w:rPr>
          <w:rFonts w:cs="Times New Roman" w:ascii="Arial" w:hAnsi="Arial"/>
        </w:rPr>
        <w:t xml:space="preserve"> A sanção pelas infrações previstas nos incisos VIII (</w:t>
      </w:r>
      <w:r>
        <w:rPr>
          <w:rFonts w:cs="Times New Roman" w:ascii="Arial" w:hAnsi="Arial"/>
          <w:i/>
        </w:rPr>
        <w:t>Apresentar declaração ou documentação falsa exigida para o certame ou prestar declaração falsa durante a licitação ou a execução do contrato</w:t>
      </w:r>
      <w:r>
        <w:rPr>
          <w:rFonts w:cs="Times New Roman" w:ascii="Arial" w:hAnsi="Arial"/>
        </w:rPr>
        <w:t>) e XII (</w:t>
      </w:r>
      <w:r>
        <w:rPr>
          <w:rFonts w:cs="Times New Roman" w:ascii="Arial" w:hAnsi="Arial"/>
          <w:i/>
        </w:rPr>
        <w:t>Praticar ato lesivo previsto no art. 5º da Lei nº 12.846, de 1º de agosto de 2013</w:t>
      </w:r>
      <w:r>
        <w:rPr>
          <w:rFonts w:cs="Times New Roman" w:ascii="Arial" w:hAnsi="Arial"/>
        </w:rPr>
        <w:t xml:space="preserve">) do </w:t>
      </w:r>
      <w:r>
        <w:rPr>
          <w:rFonts w:cs="Times New Roman" w:ascii="Arial" w:hAnsi="Arial"/>
          <w:bCs/>
          <w:i/>
        </w:rPr>
        <w:t xml:space="preserve">caput </w:t>
      </w:r>
      <w:r>
        <w:rPr>
          <w:rFonts w:cs="Times New Roman" w:ascii="Arial" w:hAnsi="Arial"/>
        </w:rPr>
        <w:t>do item 21.1 exigirá, como condição de reabilitação do licitante ou contratado, a implantação ou aperfeiçoamento de programa de integridade pelo responsável.</w:t>
      </w:r>
    </w:p>
    <w:p>
      <w:pPr>
        <w:pStyle w:val="Normal"/>
        <w:shd w:val="clear" w:color="auto" w:fill="AEAAAA" w:themeFill="background2" w:themeFillShade="bf"/>
        <w:tabs>
          <w:tab w:val="clear" w:pos="720"/>
          <w:tab w:val="left" w:pos="567" w:leader="none"/>
        </w:tabs>
        <w:spacing w:lineRule="auto" w:line="240"/>
        <w:jc w:val="both"/>
        <w:rPr>
          <w:rFonts w:ascii="Arial" w:hAnsi="Arial"/>
        </w:rPr>
      </w:pPr>
      <w:r>
        <w:rPr>
          <w:rFonts w:cs="Times New Roman" w:ascii="Arial" w:hAnsi="Arial"/>
          <w:b/>
          <w:iCs/>
        </w:rPr>
        <w:t>22. DISPOSIÇÕES FINAIS</w:t>
      </w:r>
    </w:p>
    <w:p>
      <w:pPr>
        <w:pStyle w:val="Normal"/>
        <w:tabs>
          <w:tab w:val="clear" w:pos="720"/>
          <w:tab w:val="left" w:pos="1134" w:leader="none"/>
        </w:tabs>
        <w:spacing w:lineRule="auto" w:line="240"/>
        <w:jc w:val="both"/>
        <w:rPr>
          <w:rFonts w:ascii="Arial" w:hAnsi="Arial"/>
        </w:rPr>
      </w:pPr>
      <w:r>
        <w:rPr>
          <w:rFonts w:cs="Times New Roman" w:ascii="Arial" w:hAnsi="Arial"/>
          <w:b/>
        </w:rPr>
        <w:t>22.1.</w:t>
      </w:r>
      <w:r>
        <w:rPr>
          <w:rFonts w:cs="Times New Roman" w:ascii="Arial" w:hAnsi="Arial"/>
        </w:rPr>
        <w:t xml:space="preserve"> É facultado ao </w:t>
      </w:r>
      <w:r>
        <w:rPr>
          <w:rFonts w:cs="Times New Roman" w:ascii="Arial" w:hAnsi="Arial"/>
          <w:b/>
        </w:rPr>
        <w:t>pregoeiro</w:t>
      </w:r>
      <w:bookmarkStart w:id="75" w:name="_GoBack1"/>
      <w:bookmarkEnd w:id="75"/>
      <w:r>
        <w:rPr>
          <w:rFonts w:cs="Times New Roman" w:ascii="Arial" w:hAnsi="Arial"/>
        </w:rPr>
        <w:t xml:space="preserve"> ou ao Prefeito Municipal/Gestor(a) do Fundo Municipal de Saúde, em qualquer fase deste processo licitatório, promover diligência destinada a esclarecer ou completar a instrução do processo, sendo vedada, ressalvados os casos previstos neste edital, a inclusão posterior de informações ou de documentos que deveriam ter sido apresentados para fins de classificação e habilitação. </w:t>
      </w:r>
    </w:p>
    <w:p>
      <w:pPr>
        <w:pStyle w:val="Normal"/>
        <w:tabs>
          <w:tab w:val="clear" w:pos="720"/>
          <w:tab w:val="left" w:pos="1134" w:leader="none"/>
        </w:tabs>
        <w:spacing w:lineRule="auto" w:line="240"/>
        <w:jc w:val="both"/>
        <w:rPr>
          <w:rFonts w:ascii="Arial" w:hAnsi="Arial"/>
        </w:rPr>
      </w:pPr>
      <w:r>
        <w:rPr>
          <w:rFonts w:cs="Times New Roman" w:ascii="Arial" w:hAnsi="Arial"/>
          <w:b/>
        </w:rPr>
        <w:t xml:space="preserve">22.2. </w:t>
      </w:r>
      <w:r>
        <w:rPr>
          <w:rFonts w:cs="Times New Roman" w:ascii="Arial" w:hAnsi="Arial"/>
        </w:rPr>
        <w:t xml:space="preserve">Caso os prazos definidos neste edital não estejam expressamente indicados na proposta, eles serão considerados como aceitos pelos licitantes para efeitos de julgamento deste processo licitatório. </w:t>
      </w:r>
    </w:p>
    <w:p>
      <w:pPr>
        <w:pStyle w:val="Normal"/>
        <w:tabs>
          <w:tab w:val="clear" w:pos="720"/>
          <w:tab w:val="left" w:pos="1134" w:leader="none"/>
        </w:tabs>
        <w:spacing w:lineRule="auto" w:line="240"/>
        <w:jc w:val="both"/>
        <w:rPr>
          <w:rFonts w:ascii="Arial" w:hAnsi="Arial"/>
        </w:rPr>
      </w:pPr>
      <w:r>
        <w:rPr>
          <w:rFonts w:cs="Times New Roman" w:ascii="Arial" w:hAnsi="Arial"/>
          <w:b/>
        </w:rPr>
        <w:t>22.3.</w:t>
      </w:r>
      <w:r>
        <w:rPr>
          <w:rFonts w:cs="Times New Roman" w:ascii="Arial" w:hAnsi="Arial"/>
        </w:rPr>
        <w:t xml:space="preserve"> Só se iniciam e vencem os prazos referidos nesta licitação em dia de expediente no Município de </w:t>
      </w:r>
      <w:r>
        <w:rPr>
          <w:rFonts w:eastAsia="Calibri" w:cs="Times New Roman" w:ascii="Arial" w:hAnsi="Arial"/>
          <w:color w:val="000000"/>
        </w:rPr>
        <w:t>Itá-SC</w:t>
      </w:r>
      <w:r>
        <w:rPr>
          <w:rFonts w:cs="Times New Roman" w:ascii="Arial" w:hAnsi="Arial"/>
        </w:rPr>
        <w:t>, portanto serão prorrogados até o próximo dia útil os prazos que vencerem durante o recesso municipal.</w:t>
      </w:r>
    </w:p>
    <w:p>
      <w:pPr>
        <w:pStyle w:val="Normal"/>
        <w:tabs>
          <w:tab w:val="clear" w:pos="720"/>
          <w:tab w:val="left" w:pos="1134" w:leader="none"/>
        </w:tabs>
        <w:spacing w:lineRule="auto" w:line="240" w:before="0" w:after="0"/>
        <w:ind w:left="0" w:right="0" w:hanging="0"/>
        <w:jc w:val="both"/>
        <w:rPr/>
      </w:pPr>
      <w:r>
        <w:rPr>
          <w:rFonts w:cs="Times New Roman" w:ascii="Arial" w:hAnsi="Arial"/>
          <w:b/>
        </w:rPr>
        <w:t>22.4.</w:t>
      </w:r>
      <w:r>
        <w:rPr>
          <w:rFonts w:cs="Times New Roman" w:ascii="Arial" w:hAnsi="Arial"/>
        </w:rPr>
        <w:t xml:space="preserve"> Para fins de garantir a ampla publicidade, este edital será divulgado:</w:t>
      </w:r>
    </w:p>
    <w:p>
      <w:pPr>
        <w:pStyle w:val="ListParagraph"/>
        <w:numPr>
          <w:ilvl w:val="0"/>
          <w:numId w:val="26"/>
        </w:numPr>
        <w:tabs>
          <w:tab w:val="clear" w:pos="720"/>
          <w:tab w:val="left" w:pos="1134" w:leader="none"/>
        </w:tabs>
        <w:spacing w:lineRule="auto" w:line="240" w:before="0" w:after="0"/>
        <w:ind w:left="0" w:right="0" w:hanging="0"/>
        <w:jc w:val="both"/>
        <w:rPr/>
      </w:pPr>
      <w:r>
        <w:rPr>
          <w:rFonts w:ascii="Arial" w:hAnsi="Arial"/>
          <w:sz w:val="22"/>
          <w:szCs w:val="22"/>
        </w:rPr>
        <w:t>Portal Nacional de Contratações Públicas – PNCP</w:t>
      </w:r>
    </w:p>
    <w:p>
      <w:pPr>
        <w:pStyle w:val="ListParagraph"/>
        <w:numPr>
          <w:ilvl w:val="0"/>
          <w:numId w:val="26"/>
        </w:numPr>
        <w:tabs>
          <w:tab w:val="clear" w:pos="720"/>
          <w:tab w:val="left" w:pos="1134" w:leader="none"/>
        </w:tabs>
        <w:spacing w:lineRule="auto" w:line="240" w:before="0" w:after="0"/>
        <w:ind w:left="0" w:right="0" w:hanging="0"/>
        <w:jc w:val="both"/>
        <w:rPr/>
      </w:pPr>
      <w:r>
        <w:rPr>
          <w:rFonts w:ascii="Arial" w:hAnsi="Arial"/>
          <w:color w:val="000000"/>
          <w:sz w:val="22"/>
          <w:szCs w:val="22"/>
        </w:rPr>
        <w:t xml:space="preserve">Página do Município de </w:t>
      </w:r>
      <w:r>
        <w:rPr>
          <w:rFonts w:eastAsia="Calibri" w:ascii="Arial" w:hAnsi="Arial"/>
          <w:color w:val="000000"/>
          <w:sz w:val="22"/>
          <w:szCs w:val="22"/>
        </w:rPr>
        <w:t>Itá-SC</w:t>
      </w:r>
      <w:r>
        <w:rPr>
          <w:rFonts w:ascii="Arial" w:hAnsi="Arial"/>
          <w:color w:val="000000"/>
          <w:sz w:val="22"/>
          <w:szCs w:val="22"/>
        </w:rPr>
        <w:t xml:space="preserve"> (</w:t>
      </w:r>
      <w:r>
        <w:rPr>
          <w:rFonts w:eastAsia="Calibri" w:ascii="Arial" w:hAnsi="Arial"/>
          <w:color w:val="000000"/>
          <w:sz w:val="22"/>
          <w:szCs w:val="22"/>
        </w:rPr>
        <w:t>ita.atende.net</w:t>
      </w:r>
      <w:r>
        <w:rPr>
          <w:rFonts w:ascii="Arial" w:hAnsi="Arial"/>
          <w:color w:val="000000"/>
          <w:sz w:val="22"/>
          <w:szCs w:val="22"/>
        </w:rPr>
        <w:t>);</w:t>
      </w:r>
    </w:p>
    <w:p>
      <w:pPr>
        <w:pStyle w:val="ListParagraph"/>
        <w:numPr>
          <w:ilvl w:val="0"/>
          <w:numId w:val="26"/>
        </w:numPr>
        <w:tabs>
          <w:tab w:val="clear" w:pos="720"/>
          <w:tab w:val="left" w:pos="1134" w:leader="none"/>
        </w:tabs>
        <w:spacing w:lineRule="auto" w:line="240" w:before="0" w:after="0"/>
        <w:ind w:left="0" w:right="0" w:hanging="0"/>
        <w:jc w:val="both"/>
        <w:rPr/>
      </w:pPr>
      <w:r>
        <w:rPr>
          <w:rFonts w:ascii="Arial" w:hAnsi="Arial"/>
          <w:color w:val="000000" w:themeColor="text1"/>
          <w:sz w:val="22"/>
          <w:szCs w:val="22"/>
        </w:rPr>
        <w:t>Diário Oficial dos Municípios – DOM;</w:t>
      </w:r>
    </w:p>
    <w:p>
      <w:pPr>
        <w:pStyle w:val="ListParagraph"/>
        <w:numPr>
          <w:ilvl w:val="0"/>
          <w:numId w:val="26"/>
        </w:numPr>
        <w:tabs>
          <w:tab w:val="clear" w:pos="720"/>
          <w:tab w:val="left" w:pos="1134" w:leader="none"/>
        </w:tabs>
        <w:spacing w:lineRule="auto" w:line="240" w:before="0" w:after="0"/>
        <w:ind w:left="0" w:right="0" w:hanging="0"/>
        <w:jc w:val="both"/>
        <w:rPr/>
      </w:pPr>
      <w:r>
        <w:rPr>
          <w:rFonts w:ascii="Arial" w:hAnsi="Arial"/>
          <w:color w:val="000000"/>
          <w:sz w:val="22"/>
          <w:szCs w:val="22"/>
        </w:rPr>
        <w:t xml:space="preserve">Plataforma </w:t>
      </w:r>
      <w:r>
        <w:rPr>
          <w:rStyle w:val="LinkdaInternet"/>
          <w:rFonts w:eastAsia="Calibri" w:cs="Arial" w:ascii="Arial" w:hAnsi="Arial"/>
          <w:sz w:val="22"/>
          <w:szCs w:val="22"/>
        </w:rPr>
        <w:t>compras</w:t>
      </w:r>
      <w:hyperlink r:id="rId22">
        <w:r>
          <w:rPr>
            <w:rStyle w:val="LinkdaInternet"/>
            <w:rFonts w:cs="Arial" w:ascii="Arial" w:hAnsi="Arial"/>
            <w:sz w:val="22"/>
            <w:szCs w:val="22"/>
          </w:rPr>
          <w:t>.gov.br</w:t>
        </w:r>
      </w:hyperlink>
      <w:r>
        <w:rPr>
          <w:rFonts w:ascii="Arial" w:hAnsi="Arial"/>
          <w:sz w:val="22"/>
          <w:szCs w:val="22"/>
        </w:rPr>
        <w:t>;</w:t>
      </w:r>
    </w:p>
    <w:p>
      <w:pPr>
        <w:pStyle w:val="ListParagraph"/>
        <w:numPr>
          <w:ilvl w:val="0"/>
          <w:numId w:val="26"/>
        </w:numPr>
        <w:tabs>
          <w:tab w:val="clear" w:pos="720"/>
          <w:tab w:val="left" w:pos="1134" w:leader="none"/>
        </w:tabs>
        <w:spacing w:lineRule="auto" w:line="240" w:before="0" w:after="0"/>
        <w:ind w:left="0" w:right="0" w:hanging="0"/>
        <w:jc w:val="both"/>
        <w:rPr/>
      </w:pPr>
      <w:r>
        <w:rPr>
          <w:rFonts w:ascii="Arial" w:hAnsi="Arial"/>
          <w:color w:val="000000" w:themeColor="text1"/>
          <w:sz w:val="22"/>
          <w:szCs w:val="22"/>
        </w:rPr>
        <w:t>Jornal diário de grande circulação local.</w:t>
      </w:r>
    </w:p>
    <w:p>
      <w:pPr>
        <w:pStyle w:val="ListParagraph"/>
        <w:numPr>
          <w:ilvl w:val="0"/>
          <w:numId w:val="0"/>
        </w:numPr>
        <w:tabs>
          <w:tab w:val="clear" w:pos="720"/>
          <w:tab w:val="left" w:pos="1134" w:leader="none"/>
        </w:tabs>
        <w:spacing w:lineRule="auto" w:line="240" w:before="0" w:after="0"/>
        <w:ind w:left="720" w:right="0" w:hanging="0"/>
        <w:jc w:val="both"/>
        <w:rPr>
          <w:rFonts w:ascii="Arial" w:hAnsi="Arial"/>
          <w:color w:val="000000" w:themeColor="text1"/>
          <w:sz w:val="22"/>
          <w:szCs w:val="22"/>
        </w:rPr>
      </w:pPr>
      <w:r>
        <w:rPr>
          <w:rFonts w:ascii="Arial" w:hAnsi="Arial"/>
          <w:color w:val="000000" w:themeColor="text1"/>
          <w:sz w:val="22"/>
          <w:szCs w:val="22"/>
        </w:rPr>
      </w:r>
    </w:p>
    <w:p>
      <w:pPr>
        <w:pStyle w:val="Normal"/>
        <w:tabs>
          <w:tab w:val="clear" w:pos="720"/>
          <w:tab w:val="left" w:pos="1134" w:leader="none"/>
        </w:tabs>
        <w:spacing w:lineRule="auto" w:line="240" w:before="0" w:after="0"/>
        <w:ind w:left="0" w:right="0" w:hanging="0"/>
        <w:jc w:val="both"/>
        <w:rPr/>
      </w:pPr>
      <w:r>
        <w:rPr>
          <w:rFonts w:cs="Times New Roman" w:ascii="Arial" w:hAnsi="Arial"/>
          <w:b/>
        </w:rPr>
        <w:t xml:space="preserve">22.5. </w:t>
      </w:r>
      <w:r>
        <w:rPr>
          <w:rFonts w:cs="Times New Roman" w:ascii="Arial" w:hAnsi="Arial"/>
        </w:rPr>
        <w:t xml:space="preserve">São anexos deste edital: </w:t>
      </w:r>
    </w:p>
    <w:p>
      <w:pPr>
        <w:pStyle w:val="ListParagraph"/>
        <w:widowControl w:val="false"/>
        <w:numPr>
          <w:ilvl w:val="0"/>
          <w:numId w:val="25"/>
        </w:numPr>
        <w:tabs>
          <w:tab w:val="clear" w:pos="720"/>
          <w:tab w:val="left" w:pos="1134" w:leader="none"/>
        </w:tabs>
        <w:spacing w:before="0" w:after="0"/>
        <w:ind w:left="0" w:right="0" w:hanging="0"/>
        <w:jc w:val="both"/>
        <w:textAlignment w:val="baseline"/>
        <w:rPr/>
      </w:pPr>
      <w:r>
        <w:rPr>
          <w:rFonts w:ascii="Arial" w:hAnsi="Arial"/>
          <w:sz w:val="22"/>
          <w:szCs w:val="22"/>
        </w:rPr>
        <w:t>Estudo Técnico Preliminar – ETP</w:t>
      </w:r>
    </w:p>
    <w:p>
      <w:pPr>
        <w:pStyle w:val="ListParagraph"/>
        <w:widowControl w:val="false"/>
        <w:numPr>
          <w:ilvl w:val="0"/>
          <w:numId w:val="25"/>
        </w:numPr>
        <w:tabs>
          <w:tab w:val="clear" w:pos="720"/>
          <w:tab w:val="left" w:pos="1134" w:leader="none"/>
        </w:tabs>
        <w:spacing w:before="0" w:after="0"/>
        <w:ind w:left="0" w:right="0" w:hanging="0"/>
        <w:jc w:val="both"/>
        <w:textAlignment w:val="baseline"/>
        <w:rPr/>
      </w:pPr>
      <w:r>
        <w:rPr>
          <w:rFonts w:ascii="Arial" w:hAnsi="Arial"/>
          <w:sz w:val="22"/>
          <w:szCs w:val="22"/>
        </w:rPr>
        <w:t>Termo de Referência – TR</w:t>
      </w:r>
    </w:p>
    <w:p>
      <w:pPr>
        <w:pStyle w:val="ListParagraph"/>
        <w:widowControl w:val="false"/>
        <w:numPr>
          <w:ilvl w:val="0"/>
          <w:numId w:val="25"/>
        </w:numPr>
        <w:tabs>
          <w:tab w:val="clear" w:pos="720"/>
          <w:tab w:val="left" w:pos="1134" w:leader="none"/>
        </w:tabs>
        <w:spacing w:before="0" w:after="0"/>
        <w:ind w:left="0" w:right="0" w:hanging="0"/>
        <w:jc w:val="both"/>
        <w:textAlignment w:val="baseline"/>
        <w:rPr/>
      </w:pPr>
      <w:r>
        <w:rPr>
          <w:rFonts w:ascii="Arial" w:hAnsi="Arial"/>
          <w:sz w:val="22"/>
          <w:szCs w:val="22"/>
        </w:rPr>
        <w:t>Declaração inexistência de impedimentos</w:t>
      </w:r>
    </w:p>
    <w:p>
      <w:pPr>
        <w:pStyle w:val="ListParagraph"/>
        <w:widowControl w:val="false"/>
        <w:numPr>
          <w:ilvl w:val="0"/>
          <w:numId w:val="25"/>
        </w:numPr>
        <w:tabs>
          <w:tab w:val="clear" w:pos="720"/>
          <w:tab w:val="left" w:pos="1134" w:leader="none"/>
        </w:tabs>
        <w:spacing w:before="0" w:after="0"/>
        <w:ind w:left="0" w:right="0" w:hanging="0"/>
        <w:jc w:val="both"/>
        <w:textAlignment w:val="baseline"/>
        <w:rPr/>
      </w:pPr>
      <w:r>
        <w:rPr>
          <w:rFonts w:ascii="Arial" w:hAnsi="Arial"/>
          <w:sz w:val="22"/>
          <w:szCs w:val="22"/>
        </w:rPr>
        <w:t>Declaração LGPD</w:t>
      </w:r>
    </w:p>
    <w:p>
      <w:pPr>
        <w:pStyle w:val="ListParagraph"/>
        <w:widowControl w:val="false"/>
        <w:numPr>
          <w:ilvl w:val="0"/>
          <w:numId w:val="25"/>
        </w:numPr>
        <w:tabs>
          <w:tab w:val="clear" w:pos="720"/>
          <w:tab w:val="left" w:pos="1134" w:leader="none"/>
        </w:tabs>
        <w:spacing w:before="0" w:after="0"/>
        <w:ind w:left="0" w:right="0" w:hanging="0"/>
        <w:jc w:val="both"/>
        <w:textAlignment w:val="baseline"/>
        <w:rPr/>
      </w:pPr>
      <w:r>
        <w:rPr>
          <w:rFonts w:ascii="Arial" w:hAnsi="Arial"/>
          <w:sz w:val="22"/>
          <w:szCs w:val="22"/>
        </w:rPr>
        <w:t>Declaração para LC 123/2006</w:t>
      </w:r>
    </w:p>
    <w:p>
      <w:pPr>
        <w:pStyle w:val="ListParagraph"/>
        <w:widowControl w:val="false"/>
        <w:numPr>
          <w:ilvl w:val="0"/>
          <w:numId w:val="25"/>
        </w:numPr>
        <w:tabs>
          <w:tab w:val="clear" w:pos="720"/>
          <w:tab w:val="left" w:pos="1134" w:leader="none"/>
        </w:tabs>
        <w:spacing w:before="0" w:after="0"/>
        <w:ind w:left="0" w:right="0" w:hanging="0"/>
        <w:jc w:val="both"/>
        <w:textAlignment w:val="baseline"/>
        <w:rPr/>
      </w:pPr>
      <w:r>
        <w:rPr>
          <w:rFonts w:ascii="Arial" w:hAnsi="Arial"/>
          <w:color w:val="000000"/>
          <w:sz w:val="22"/>
          <w:szCs w:val="22"/>
        </w:rPr>
        <w:t xml:space="preserve">Proposta + Declaração art. 63, § 1º </w:t>
      </w:r>
    </w:p>
    <w:p>
      <w:pPr>
        <w:pStyle w:val="ListParagraph"/>
        <w:widowControl w:val="false"/>
        <w:numPr>
          <w:ilvl w:val="0"/>
          <w:numId w:val="25"/>
        </w:numPr>
        <w:tabs>
          <w:tab w:val="clear" w:pos="720"/>
          <w:tab w:val="left" w:pos="1134" w:leader="none"/>
        </w:tabs>
        <w:spacing w:before="0" w:after="0"/>
        <w:ind w:left="0" w:right="0" w:hanging="0"/>
        <w:jc w:val="both"/>
        <w:textAlignment w:val="baseline"/>
        <w:rPr/>
      </w:pPr>
      <w:r>
        <w:rPr>
          <w:rFonts w:ascii="Arial" w:hAnsi="Arial"/>
          <w:color w:val="000000"/>
          <w:sz w:val="22"/>
          <w:szCs w:val="22"/>
        </w:rPr>
        <w:t>Declaração art. 63, I – atende os requisitos de habilitação</w:t>
      </w:r>
    </w:p>
    <w:p>
      <w:pPr>
        <w:pStyle w:val="ListParagraph"/>
        <w:widowControl w:val="false"/>
        <w:numPr>
          <w:ilvl w:val="0"/>
          <w:numId w:val="25"/>
        </w:numPr>
        <w:tabs>
          <w:tab w:val="clear" w:pos="720"/>
          <w:tab w:val="left" w:pos="1134" w:leader="none"/>
        </w:tabs>
        <w:spacing w:before="0" w:after="0"/>
        <w:ind w:left="0" w:right="0" w:hanging="0"/>
        <w:jc w:val="both"/>
        <w:textAlignment w:val="baseline"/>
        <w:rPr/>
      </w:pPr>
      <w:r>
        <w:rPr>
          <w:rFonts w:ascii="Arial" w:hAnsi="Arial"/>
          <w:sz w:val="22"/>
          <w:szCs w:val="22"/>
        </w:rPr>
        <w:t>Declaração art. 63, IV – PcD e reabilitado da Previdência Social</w:t>
      </w:r>
    </w:p>
    <w:p>
      <w:pPr>
        <w:pStyle w:val="ListParagraph"/>
        <w:widowControl w:val="false"/>
        <w:numPr>
          <w:ilvl w:val="0"/>
          <w:numId w:val="25"/>
        </w:numPr>
        <w:tabs>
          <w:tab w:val="clear" w:pos="720"/>
          <w:tab w:val="left" w:pos="1134" w:leader="none"/>
        </w:tabs>
        <w:spacing w:before="0" w:after="0"/>
        <w:ind w:left="0" w:right="0" w:hanging="0"/>
        <w:jc w:val="both"/>
        <w:textAlignment w:val="baseline"/>
        <w:rPr/>
      </w:pPr>
      <w:r>
        <w:rPr>
          <w:rFonts w:ascii="Arial" w:hAnsi="Arial"/>
          <w:sz w:val="22"/>
          <w:szCs w:val="22"/>
        </w:rPr>
        <w:t>Contrato Administrativo</w:t>
      </w:r>
    </w:p>
    <w:p>
      <w:pPr>
        <w:pStyle w:val="ListParagraph"/>
        <w:widowControl w:val="false"/>
        <w:numPr>
          <w:ilvl w:val="0"/>
          <w:numId w:val="0"/>
        </w:numPr>
        <w:tabs>
          <w:tab w:val="clear" w:pos="720"/>
          <w:tab w:val="left" w:pos="1134" w:leader="none"/>
        </w:tabs>
        <w:spacing w:before="0" w:after="0"/>
        <w:ind w:left="720" w:right="0" w:hanging="0"/>
        <w:jc w:val="both"/>
        <w:textAlignment w:val="baseline"/>
        <w:rPr>
          <w:rFonts w:ascii="Arial" w:hAnsi="Arial"/>
          <w:sz w:val="22"/>
          <w:szCs w:val="22"/>
        </w:rPr>
      </w:pPr>
      <w:r>
        <w:rPr>
          <w:rFonts w:ascii="Arial" w:hAnsi="Arial"/>
          <w:sz w:val="22"/>
          <w:szCs w:val="22"/>
        </w:rPr>
      </w:r>
    </w:p>
    <w:p>
      <w:pPr>
        <w:pStyle w:val="Normal"/>
        <w:tabs>
          <w:tab w:val="clear" w:pos="720"/>
          <w:tab w:val="left" w:pos="1134" w:leader="none"/>
        </w:tabs>
        <w:spacing w:lineRule="auto" w:line="240"/>
        <w:jc w:val="both"/>
        <w:rPr>
          <w:rFonts w:ascii="Arial" w:hAnsi="Arial"/>
        </w:rPr>
      </w:pPr>
      <w:r>
        <w:rPr>
          <w:rFonts w:cs="Times New Roman" w:ascii="Arial" w:hAnsi="Arial"/>
          <w:b/>
        </w:rPr>
        <w:t>22.6.</w:t>
      </w:r>
      <w:r>
        <w:rPr>
          <w:rFonts w:cs="Times New Roman" w:ascii="Arial" w:hAnsi="Arial"/>
        </w:rPr>
        <w:t xml:space="preserve"> As questões decorrentes das previsões deste edital que não possam ser dirimidas administrativamente serão processadas e julgadas no Foro da Comarca </w:t>
      </w:r>
      <w:r>
        <w:rPr>
          <w:rFonts w:eastAsia="Calibri" w:cs="Times New Roman" w:ascii="Arial" w:hAnsi="Arial"/>
          <w:color w:val="000000"/>
        </w:rPr>
        <w:t>Itá-SC</w:t>
      </w:r>
      <w:r>
        <w:rPr>
          <w:rFonts w:cs="Times New Roman" w:ascii="Arial" w:hAnsi="Arial"/>
        </w:rPr>
        <w:t>, com exclusão de qualquer outro, por mais privilegiado que seja.</w:t>
      </w:r>
    </w:p>
    <w:p>
      <w:pPr>
        <w:pStyle w:val="Normal"/>
        <w:spacing w:lineRule="auto" w:line="240"/>
        <w:jc w:val="both"/>
        <w:rPr>
          <w:rFonts w:ascii="Arial" w:hAnsi="Arial" w:cs="Times New Roman"/>
          <w:bCs/>
          <w:color w:val="000000"/>
        </w:rPr>
      </w:pPr>
      <w:r>
        <w:rPr>
          <w:rFonts w:cs="Times New Roman" w:ascii="Arial" w:hAnsi="Arial"/>
          <w:bCs/>
          <w:color w:val="000000"/>
        </w:rPr>
      </w:r>
    </w:p>
    <w:p>
      <w:pPr>
        <w:pStyle w:val="Normal"/>
        <w:spacing w:lineRule="auto" w:line="240"/>
        <w:jc w:val="both"/>
        <w:rPr>
          <w:shd w:fill="auto" w:val="clear"/>
        </w:rPr>
      </w:pPr>
      <w:r>
        <w:rPr>
          <w:rFonts w:cs="Times New Roman" w:ascii="Arial" w:hAnsi="Arial"/>
          <w:bCs/>
          <w:color w:val="000000"/>
          <w:shd w:fill="auto" w:val="clear"/>
        </w:rPr>
        <w:t xml:space="preserve">Município de </w:t>
      </w:r>
      <w:r>
        <w:rPr>
          <w:rFonts w:eastAsia="Calibri" w:cs="Times New Roman" w:ascii="Arial" w:hAnsi="Arial"/>
          <w:bCs/>
          <w:color w:val="000000"/>
          <w:shd w:fill="auto" w:val="clear"/>
        </w:rPr>
        <w:t>Itá-SC</w:t>
      </w:r>
      <w:r>
        <w:rPr>
          <w:rFonts w:cs="Times New Roman" w:ascii="Arial" w:hAnsi="Arial"/>
          <w:bCs/>
          <w:color w:val="000000"/>
          <w:shd w:fill="auto" w:val="clear"/>
        </w:rPr>
        <w:t xml:space="preserve">, </w:t>
      </w:r>
      <w:r>
        <w:rPr>
          <w:rFonts w:eastAsia="Calibri" w:cs="Times New Roman" w:ascii="Arial" w:hAnsi="Arial"/>
          <w:bCs/>
          <w:color w:val="000000"/>
          <w:kern w:val="0"/>
          <w:sz w:val="22"/>
          <w:szCs w:val="22"/>
          <w:shd w:fill="auto" w:val="clear"/>
          <w:lang w:val="pt-BR" w:eastAsia="en-US" w:bidi="ar-SA"/>
        </w:rPr>
        <w:t>13</w:t>
      </w:r>
      <w:r>
        <w:rPr>
          <w:rFonts w:cs="Times New Roman" w:ascii="Arial" w:hAnsi="Arial"/>
          <w:bCs/>
          <w:color w:val="000000"/>
          <w:shd w:fill="auto" w:val="clear"/>
        </w:rPr>
        <w:t xml:space="preserve"> de </w:t>
      </w:r>
      <w:r>
        <w:rPr>
          <w:rFonts w:eastAsia="Calibri" w:cs="Times New Roman" w:ascii="Arial" w:hAnsi="Arial"/>
          <w:bCs/>
          <w:color w:val="000000"/>
          <w:kern w:val="0"/>
          <w:sz w:val="22"/>
          <w:szCs w:val="22"/>
          <w:shd w:fill="auto" w:val="clear"/>
          <w:lang w:val="pt-BR" w:eastAsia="en-US" w:bidi="ar-SA"/>
        </w:rPr>
        <w:t xml:space="preserve">novembro </w:t>
      </w:r>
      <w:r>
        <w:rPr>
          <w:rFonts w:cs="Times New Roman" w:ascii="Arial" w:hAnsi="Arial"/>
          <w:bCs/>
          <w:color w:val="000000"/>
          <w:shd w:fill="auto" w:val="clear"/>
        </w:rPr>
        <w:t>de 2023.</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color w:val="000000"/>
          <w:kern w:val="0"/>
          <w:sz w:val="22"/>
          <w:szCs w:val="22"/>
          <w:shd w:fill="auto" w:val="clear"/>
          <w:lang w:val="pt-BR" w:eastAsia="pt-BR" w:bidi="ar-SA"/>
        </w:rPr>
      </w:pPr>
      <w:r>
        <w:rPr>
          <w:rFonts w:eastAsia="Times New Roman" w:cs="Times New Roman" w:ascii="Arial" w:hAnsi="Arial"/>
          <w:b/>
          <w:color w:val="000000"/>
          <w:kern w:val="0"/>
          <w:sz w:val="22"/>
          <w:szCs w:val="22"/>
          <w:shd w:fill="auto" w:val="clear"/>
          <w:lang w:val="pt-BR" w:eastAsia="pt-BR" w:bidi="ar-SA"/>
        </w:rPr>
        <w:t>Clemor Antônio Battisti</w:t>
      </w:r>
    </w:p>
    <w:p>
      <w:pPr>
        <w:pStyle w:val="Normal"/>
        <w:widowControl w:val="false"/>
        <w:tabs>
          <w:tab w:val="clear" w:pos="720"/>
          <w:tab w:val="left" w:pos="1701" w:leader="none"/>
        </w:tabs>
        <w:spacing w:lineRule="auto" w:line="240" w:before="0" w:after="0"/>
        <w:jc w:val="center"/>
        <w:textAlignment w:val="baseline"/>
        <w:rPr>
          <w:shd w:fill="auto" w:val="clear"/>
        </w:rPr>
      </w:pPr>
      <w:r>
        <w:rPr>
          <w:rFonts w:eastAsia="Times New Roman" w:cs="Times New Roman" w:ascii="Arial" w:hAnsi="Arial"/>
          <w:b/>
          <w:color w:val="000000"/>
          <w:shd w:fill="auto" w:val="clear"/>
          <w:lang w:eastAsia="pt-BR"/>
        </w:rPr>
        <w:t>Prefeito de Itá-SC</w:t>
      </w:r>
    </w:p>
    <w:p>
      <w:pPr>
        <w:pStyle w:val="Normal"/>
        <w:widowControl w:val="false"/>
        <w:tabs>
          <w:tab w:val="clear" w:pos="720"/>
          <w:tab w:val="left" w:pos="1701" w:leader="none"/>
        </w:tabs>
        <w:spacing w:lineRule="auto" w:line="240" w:before="0" w:after="0"/>
        <w:jc w:val="center"/>
        <w:textAlignment w:val="baseline"/>
        <w:rPr>
          <w:shd w:fill="auto" w:val="clear"/>
        </w:rPr>
      </w:pPr>
      <w:r>
        <w:rPr>
          <w:rFonts w:eastAsia="Times New Roman" w:cs="Times New Roman" w:ascii="Arial" w:hAnsi="Arial"/>
          <w:b/>
          <w:shd w:fill="auto" w:val="clear"/>
          <w:lang w:eastAsia="pt-BR"/>
        </w:rPr>
        <w:t xml:space="preserve">PROCESSO LICITATÓRIO Nº </w:t>
      </w:r>
      <w:r>
        <w:rPr>
          <w:rFonts w:eastAsia="Times New Roman" w:cs="Times New Roman" w:ascii="Arial" w:hAnsi="Arial"/>
          <w:b/>
          <w:color w:val="000000"/>
          <w:kern w:val="0"/>
          <w:sz w:val="22"/>
          <w:szCs w:val="22"/>
          <w:shd w:fill="auto" w:val="clear"/>
          <w:lang w:val="pt-BR" w:eastAsia="pt-BR" w:bidi="ar-SA"/>
        </w:rPr>
        <w:t>193</w:t>
      </w:r>
      <w:r>
        <w:rPr>
          <w:rFonts w:eastAsia="Times New Roman" w:cs="Times New Roman" w:ascii="Arial" w:hAnsi="Arial"/>
          <w:b/>
          <w:shd w:fill="auto" w:val="clear"/>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shd w:fill="auto" w:val="clear"/>
        </w:rPr>
      </w:pPr>
      <w:r>
        <w:rPr>
          <w:rFonts w:eastAsia="Times New Roman" w:cs="Times New Roman" w:ascii="Arial" w:hAnsi="Arial"/>
          <w:b/>
          <w:shd w:fill="auto" w:val="clear"/>
          <w:lang w:eastAsia="pt-BR"/>
        </w:rPr>
        <w:t xml:space="preserve">EDITAL DE PREGÃO ELETRÔNICO Nº </w:t>
      </w:r>
      <w:r>
        <w:rPr>
          <w:rFonts w:eastAsia="Times New Roman" w:cs="Times New Roman" w:ascii="Arial" w:hAnsi="Arial"/>
          <w:b/>
          <w:color w:val="000000"/>
          <w:kern w:val="0"/>
          <w:sz w:val="22"/>
          <w:szCs w:val="22"/>
          <w:shd w:fill="auto" w:val="clear"/>
          <w:lang w:val="pt-BR" w:eastAsia="pt-BR" w:bidi="ar-SA"/>
        </w:rPr>
        <w:t>083</w:t>
      </w:r>
      <w:r>
        <w:rPr>
          <w:rFonts w:eastAsia="Times New Roman" w:cs="Times New Roman" w:ascii="Arial" w:hAnsi="Arial"/>
          <w:b/>
          <w:shd w:fill="auto" w:val="clear"/>
          <w:lang w:eastAsia="pt-BR"/>
        </w:rPr>
        <w:t>/2023</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spacing w:lineRule="auto" w:line="240"/>
        <w:jc w:val="center"/>
        <w:rPr>
          <w:shd w:fill="auto" w:val="clear"/>
        </w:rPr>
      </w:pPr>
      <w:r>
        <w:rPr>
          <w:rFonts w:cs="Times New Roman" w:ascii="Arial" w:hAnsi="Arial"/>
          <w:b/>
          <w:shd w:fill="auto" w:val="clear"/>
        </w:rPr>
        <w:t>ANEXO I</w:t>
      </w:r>
    </w:p>
    <w:p>
      <w:pPr>
        <w:pStyle w:val="Normal"/>
        <w:spacing w:lineRule="auto" w:line="240"/>
        <w:jc w:val="center"/>
        <w:rPr>
          <w:shd w:fill="auto" w:val="clear"/>
        </w:rPr>
      </w:pPr>
      <w:r>
        <w:rPr>
          <w:rFonts w:cs="Times New Roman" w:ascii="Arial" w:hAnsi="Arial"/>
          <w:b/>
          <w:shd w:fill="auto" w:val="clear"/>
        </w:rPr>
        <w:t>ESTUDO TÉCNICO PRELIMINAR</w:t>
      </w:r>
    </w:p>
    <w:p>
      <w:pPr>
        <w:pStyle w:val="Normal"/>
        <w:spacing w:lineRule="auto" w:line="240"/>
        <w:jc w:val="center"/>
        <w:rPr>
          <w:rFonts w:ascii="Arial" w:hAnsi="Arial" w:cs="Times New Roman"/>
          <w:b/>
          <w:b/>
          <w:shd w:fill="auto" w:val="clear"/>
        </w:rPr>
      </w:pPr>
      <w:r>
        <w:rPr>
          <w:rFonts w:cs="Times New Roman" w:ascii="Arial" w:hAnsi="Arial"/>
          <w:b/>
          <w:shd w:fill="auto" w:val="clear"/>
        </w:rPr>
      </w:r>
    </w:p>
    <w:p>
      <w:pPr>
        <w:pStyle w:val="Normal"/>
        <w:widowControl w:val="false"/>
        <w:tabs>
          <w:tab w:val="clear" w:pos="720"/>
          <w:tab w:val="left" w:pos="1701" w:leader="none"/>
        </w:tabs>
        <w:spacing w:lineRule="auto" w:line="240" w:before="0" w:after="0"/>
        <w:jc w:val="both"/>
        <w:textAlignment w:val="baseline"/>
        <w:rPr>
          <w:shd w:fill="auto" w:val="clear"/>
        </w:rPr>
      </w:pPr>
      <w:r>
        <w:rPr>
          <w:rFonts w:eastAsia="Times New Roman" w:cs="Times New Roman" w:ascii="Arial" w:hAnsi="Arial"/>
          <w:b/>
          <w:shd w:fill="auto" w:val="clear"/>
          <w:lang w:eastAsia="pt-BR"/>
        </w:rPr>
        <w:t xml:space="preserve">Disponível em: </w:t>
      </w:r>
      <w:r>
        <w:rPr>
          <w:rFonts w:eastAsia="Calibri" w:cs="Arial" w:ascii="Arial" w:hAnsi="Arial"/>
          <w:color w:val="000000"/>
          <w:shd w:fill="auto" w:val="clear"/>
          <w:lang w:eastAsia="pt-BR"/>
        </w:rPr>
        <w:t xml:space="preserve">ita.atende.net → buscar na aba de licitações → Pregão Eletrônico – Lei 14.133/2021 – Tipo de Objeto: Contratação de Serviços - (Nova Lei de Licitações) - Tipo de Concorrência: Normal - (Nova Lei de Licitações) → Selecionar Pregão nº </w:t>
      </w:r>
      <w:r>
        <w:rPr>
          <w:rFonts w:eastAsia="Calibri" w:cs="Arial" w:ascii="Arial" w:hAnsi="Arial"/>
          <w:color w:val="000000"/>
          <w:kern w:val="0"/>
          <w:sz w:val="22"/>
          <w:szCs w:val="22"/>
          <w:shd w:fill="auto" w:val="clear"/>
          <w:lang w:val="pt-BR" w:eastAsia="pt-BR" w:bidi="ar-SA"/>
        </w:rPr>
        <w:t>083</w:t>
      </w:r>
      <w:r>
        <w:rPr>
          <w:rFonts w:eastAsia="Calibri" w:cs="Arial" w:ascii="Arial" w:hAnsi="Arial"/>
          <w:color w:val="000000"/>
          <w:shd w:fill="auto" w:val="clear"/>
          <w:lang w:eastAsia="pt-BR"/>
        </w:rPr>
        <w:t xml:space="preserve">/2023 e clicar em detalhar → </w:t>
      </w:r>
      <w:r>
        <w:rPr>
          <w:rFonts w:eastAsia="Calibri" w:cs="Arial" w:ascii="Arial" w:hAnsi="Arial"/>
          <w:color w:val="000000"/>
          <w:shd w:fill="auto" w:val="clear"/>
        </w:rPr>
        <w:t>Acessar Estudo Técnico Preliminar (PDF).</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PROCESSO LICITATÓRIO Nº </w:t>
      </w:r>
      <w:r>
        <w:rPr>
          <w:rFonts w:eastAsia="Times New Roman" w:cs="Times New Roman" w:ascii="Arial" w:hAnsi="Arial"/>
          <w:b/>
          <w:color w:val="000000"/>
          <w:kern w:val="0"/>
          <w:sz w:val="22"/>
          <w:szCs w:val="22"/>
          <w:lang w:val="pt-BR" w:eastAsia="pt-BR" w:bidi="ar-SA"/>
        </w:rPr>
        <w:t>193</w:t>
      </w:r>
      <w:r>
        <w:rPr>
          <w:rFonts w:eastAsia="Times New Roman" w:cs="Times New Roman" w:ascii="Arial" w:hAnsi="Arial"/>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shd w:fill="auto" w:val="clear"/>
          <w:lang w:eastAsia="pt-BR"/>
        </w:rPr>
        <w:t xml:space="preserve">EDITAL DE PREGÃO ELETRÔNICO Nº </w:t>
      </w:r>
      <w:r>
        <w:rPr>
          <w:rFonts w:eastAsia="Times New Roman" w:cs="Times New Roman" w:ascii="Arial" w:hAnsi="Arial"/>
          <w:b/>
          <w:color w:val="000000"/>
          <w:kern w:val="0"/>
          <w:sz w:val="22"/>
          <w:szCs w:val="22"/>
          <w:shd w:fill="auto" w:val="clear"/>
          <w:lang w:val="pt-BR" w:eastAsia="pt-BR" w:bidi="ar-SA"/>
        </w:rPr>
        <w:t>083</w:t>
      </w:r>
      <w:r>
        <w:rPr>
          <w:rFonts w:eastAsia="Times New Roman" w:cs="Times New Roman" w:ascii="Arial" w:hAnsi="Arial"/>
          <w:b/>
          <w:shd w:fill="auto" w:val="clear"/>
          <w:lang w:eastAsia="pt-BR"/>
        </w:rPr>
        <w:t>/2023</w:t>
      </w:r>
    </w:p>
    <w:p>
      <w:pPr>
        <w:pStyle w:val="Normal"/>
        <w:widowControl w:val="false"/>
        <w:tabs>
          <w:tab w:val="clear" w:pos="720"/>
          <w:tab w:val="left" w:pos="1701" w:leader="none"/>
        </w:tabs>
        <w:spacing w:lineRule="auto" w:line="240" w:before="0" w:after="0"/>
        <w:jc w:val="center"/>
        <w:textAlignment w:val="baseline"/>
        <w:rPr>
          <w:rFonts w:ascii="Arial" w:hAnsi="Arial" w:cs="Times New Roman"/>
          <w:b/>
          <w:b/>
          <w:shd w:fill="auto" w:val="clear"/>
        </w:rPr>
      </w:pPr>
      <w:r>
        <w:rPr>
          <w:rFonts w:cs="Times New Roman" w:ascii="Arial" w:hAnsi="Arial"/>
          <w:b/>
          <w:shd w:fill="auto" w:val="clear"/>
        </w:rPr>
      </w:r>
    </w:p>
    <w:p>
      <w:pPr>
        <w:pStyle w:val="Normal"/>
        <w:spacing w:lineRule="auto" w:line="240" w:before="0" w:after="0"/>
        <w:jc w:val="center"/>
        <w:rPr/>
      </w:pPr>
      <w:r>
        <w:rPr>
          <w:rFonts w:cs="Times New Roman" w:ascii="Arial" w:hAnsi="Arial"/>
          <w:b/>
          <w:shd w:fill="auto" w:val="clear"/>
        </w:rPr>
        <w:t>ANEXO II</w:t>
      </w:r>
    </w:p>
    <w:p>
      <w:pPr>
        <w:pStyle w:val="Normal"/>
        <w:spacing w:lineRule="auto" w:line="240" w:before="0" w:after="0"/>
        <w:jc w:val="center"/>
        <w:rPr>
          <w:rFonts w:ascii="Arial" w:hAnsi="Arial" w:cs="Times New Roman"/>
          <w:b/>
          <w:b/>
          <w:shd w:fill="auto" w:val="clear"/>
        </w:rPr>
      </w:pPr>
      <w:r>
        <w:rPr/>
      </w:r>
    </w:p>
    <w:p>
      <w:pPr>
        <w:pStyle w:val="Normal"/>
        <w:widowControl w:val="false"/>
        <w:spacing w:lineRule="auto" w:line="240" w:before="0" w:after="0"/>
        <w:jc w:val="center"/>
        <w:rPr/>
      </w:pPr>
      <w:r>
        <w:rPr>
          <w:rFonts w:eastAsia="Calibri" w:cs="Times New Roman" w:ascii="Arial" w:hAnsi="Arial"/>
          <w:b/>
          <w:shd w:fill="auto" w:val="clear"/>
        </w:rPr>
        <w:t>TERMO DE REFERÊNCIA</w:t>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both"/>
        <w:textAlignment w:val="baseline"/>
        <w:rPr>
          <w:shd w:fill="auto" w:val="clear"/>
        </w:rPr>
      </w:pPr>
      <w:r>
        <w:rPr>
          <w:rFonts w:eastAsia="Times New Roman" w:cs="Times New Roman" w:ascii="Arial" w:hAnsi="Arial"/>
          <w:b/>
          <w:shd w:fill="auto" w:val="clear"/>
          <w:lang w:eastAsia="pt-BR"/>
        </w:rPr>
        <w:t xml:space="preserve">Disponível em: </w:t>
      </w:r>
      <w:r>
        <w:rPr>
          <w:rFonts w:eastAsia="Calibri" w:cs="Arial" w:ascii="Arial" w:hAnsi="Arial"/>
          <w:color w:val="000000"/>
          <w:shd w:fill="auto" w:val="clear"/>
          <w:lang w:eastAsia="pt-BR"/>
        </w:rPr>
        <w:t xml:space="preserve">ita.atende.net → buscar na aba de licitações → Pregão Eletrônico – Lei 14.133/2021 – Tipo de Objeto: Contratação de Serviços - (Nova Lei de Licitações) - Tipo de Concorrência: Normal - (Nova Lei de Licitações) → Selecionar Pregão nº </w:t>
      </w:r>
      <w:r>
        <w:rPr>
          <w:rFonts w:eastAsia="Calibri" w:cs="Arial" w:ascii="Arial" w:hAnsi="Arial"/>
          <w:color w:val="000000"/>
          <w:kern w:val="0"/>
          <w:sz w:val="22"/>
          <w:szCs w:val="22"/>
          <w:shd w:fill="auto" w:val="clear"/>
          <w:lang w:val="pt-BR" w:eastAsia="pt-BR" w:bidi="ar-SA"/>
        </w:rPr>
        <w:t>083</w:t>
      </w:r>
      <w:r>
        <w:rPr>
          <w:rFonts w:eastAsia="Calibri" w:cs="Arial" w:ascii="Arial" w:hAnsi="Arial"/>
          <w:color w:val="000000"/>
          <w:shd w:fill="auto" w:val="clear"/>
          <w:lang w:eastAsia="pt-BR"/>
        </w:rPr>
        <w:t xml:space="preserve">/2023 e clicar em detalhar → </w:t>
      </w:r>
      <w:r>
        <w:rPr>
          <w:rFonts w:eastAsia="Calibri" w:cs="Arial" w:ascii="Arial" w:hAnsi="Arial"/>
          <w:color w:val="000000"/>
          <w:shd w:fill="auto" w:val="clear"/>
        </w:rPr>
        <w:t>Acessar Termo de Referência (PDF).</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shd w:fill="auto" w:val="clear"/>
          <w:lang w:eastAsia="pt-BR"/>
        </w:rPr>
      </w:pPr>
      <w:r>
        <w:rPr>
          <w:rFonts w:eastAsia="Times New Roman" w:cs="Times New Roman" w:ascii="Arial" w:hAnsi="Arial"/>
          <w:b/>
          <w:shd w:fill="auto" w:val="clear"/>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PROCESSO LICITATÓRIO Nº </w:t>
      </w:r>
      <w:r>
        <w:rPr>
          <w:rFonts w:eastAsia="Times New Roman" w:cs="Times New Roman" w:ascii="Arial" w:hAnsi="Arial"/>
          <w:b/>
          <w:color w:val="000000"/>
          <w:kern w:val="0"/>
          <w:sz w:val="22"/>
          <w:szCs w:val="22"/>
          <w:lang w:val="pt-BR" w:eastAsia="pt-BR" w:bidi="ar-SA"/>
        </w:rPr>
        <w:t>193</w:t>
      </w:r>
      <w:r>
        <w:rPr>
          <w:rFonts w:eastAsia="Times New Roman" w:cs="Times New Roman" w:ascii="Arial" w:hAnsi="Arial"/>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EDITAL DE PREGÃO ELETRÔNICO Nº </w:t>
      </w:r>
      <w:r>
        <w:rPr>
          <w:rFonts w:eastAsia="Times New Roman" w:cs="Times New Roman" w:ascii="Arial" w:hAnsi="Arial"/>
          <w:b/>
          <w:color w:val="000000"/>
          <w:kern w:val="0"/>
          <w:sz w:val="22"/>
          <w:szCs w:val="22"/>
          <w:lang w:val="pt-BR" w:eastAsia="pt-BR" w:bidi="ar-SA"/>
        </w:rPr>
        <w:t>083</w:t>
      </w:r>
      <w:r>
        <w:rPr>
          <w:rFonts w:eastAsia="Times New Roman" w:cs="Times New Roman" w:ascii="Arial" w:hAnsi="Arial"/>
          <w:b/>
          <w:lang w:eastAsia="pt-BR"/>
        </w:rPr>
        <w:t>/2023</w:t>
      </w:r>
    </w:p>
    <w:p>
      <w:pPr>
        <w:pStyle w:val="Normal"/>
        <w:widowControl w:val="false"/>
        <w:tabs>
          <w:tab w:val="clear" w:pos="720"/>
          <w:tab w:val="left" w:pos="1701" w:leader="none"/>
        </w:tabs>
        <w:spacing w:lineRule="auto" w:line="240" w:before="0" w:after="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spacing w:lineRule="auto" w:line="240" w:before="0" w:after="0"/>
        <w:jc w:val="center"/>
        <w:rPr/>
      </w:pPr>
      <w:r>
        <w:rPr>
          <w:rFonts w:cs="Times New Roman" w:ascii="Arial" w:hAnsi="Arial"/>
          <w:b/>
        </w:rPr>
        <w:t>ANEXO III</w:t>
      </w:r>
    </w:p>
    <w:p>
      <w:pPr>
        <w:pStyle w:val="Normal"/>
        <w:spacing w:lineRule="auto" w:line="240" w:before="0" w:after="0"/>
        <w:jc w:val="center"/>
        <w:rPr>
          <w:rFonts w:ascii="Arial" w:hAnsi="Arial" w:cs="Times New Roman"/>
          <w:b/>
          <w:b/>
        </w:rPr>
      </w:pPr>
      <w:r>
        <w:rPr>
          <w:rFonts w:cs="Times New Roman" w:ascii="Arial" w:hAnsi="Arial"/>
          <w:b/>
        </w:rPr>
      </w:r>
    </w:p>
    <w:p>
      <w:pPr>
        <w:pStyle w:val="Normal"/>
        <w:spacing w:lineRule="auto" w:line="240" w:before="0" w:after="0"/>
        <w:jc w:val="center"/>
        <w:rPr/>
      </w:pPr>
      <w:r>
        <w:rPr>
          <w:rFonts w:cs="Times New Roman" w:ascii="Arial" w:hAnsi="Arial"/>
          <w:b/>
        </w:rPr>
        <w:t>DECLARAÇÃO DE INEXISTÊNCIA DE IMPEDIMENTOS</w:t>
      </w:r>
    </w:p>
    <w:p>
      <w:pPr>
        <w:pStyle w:val="Normal"/>
        <w:spacing w:lineRule="auto" w:line="240"/>
        <w:jc w:val="both"/>
        <w:rPr>
          <w:rFonts w:ascii="Arial" w:hAnsi="Arial" w:cs="Times New Roman"/>
          <w:b/>
          <w:b/>
        </w:rPr>
      </w:pPr>
      <w:r>
        <w:rPr>
          <w:rFonts w:cs="Times New Roman" w:ascii="Arial" w:hAnsi="Arial"/>
          <w:b/>
        </w:rPr>
      </w:r>
    </w:p>
    <w:p>
      <w:pPr>
        <w:pStyle w:val="Normal"/>
        <w:spacing w:lineRule="auto" w:line="240"/>
        <w:jc w:val="both"/>
        <w:rPr>
          <w:rFonts w:ascii="Arial" w:hAnsi="Arial"/>
        </w:rPr>
      </w:pPr>
      <w:r>
        <w:rPr>
          <w:rFonts w:cs="Times New Roman" w:ascii="Arial" w:hAnsi="Arial"/>
        </w:rPr>
        <w:tab/>
        <w:t>O licitante ___________________________, inscrito no CPF/CNPJ nº ______________, DECLARA que não incorre nas vedações previstas na Lei nº 14.133/2021, assumindo a responsabilidade de comunicar imediatamente a Administração Pública no caso de incorrer:</w:t>
      </w:r>
    </w:p>
    <w:p>
      <w:pPr>
        <w:pStyle w:val="ListParagraph"/>
        <w:widowControl w:val="false"/>
        <w:numPr>
          <w:ilvl w:val="0"/>
          <w:numId w:val="27"/>
        </w:numPr>
        <w:tabs>
          <w:tab w:val="clear" w:pos="720"/>
          <w:tab w:val="left" w:pos="1701" w:leader="none"/>
        </w:tabs>
        <w:ind w:left="1134" w:hanging="360"/>
        <w:jc w:val="both"/>
        <w:textAlignment w:val="baseline"/>
        <w:rPr>
          <w:rFonts w:ascii="Arial" w:hAnsi="Arial"/>
          <w:sz w:val="22"/>
          <w:szCs w:val="22"/>
        </w:rPr>
      </w:pPr>
      <w:r>
        <w:rPr>
          <w:rFonts w:ascii="Arial" w:hAnsi="Arial"/>
          <w:sz w:val="22"/>
          <w:szCs w:val="22"/>
        </w:rPr>
        <w:t>Agente público de órgão ou entidade licitante ou contratante, devendo ser observadas as situações que possam configurar conflito de interesses no exercício ou após o exercício do cargo ou emprego, nos termos da legislação que disciplina a matéria;</w:t>
      </w:r>
    </w:p>
    <w:p>
      <w:pPr>
        <w:pStyle w:val="ListParagraph"/>
        <w:widowControl w:val="false"/>
        <w:numPr>
          <w:ilvl w:val="0"/>
          <w:numId w:val="27"/>
        </w:numPr>
        <w:tabs>
          <w:tab w:val="clear" w:pos="720"/>
          <w:tab w:val="left" w:pos="1701" w:leader="none"/>
        </w:tabs>
        <w:ind w:left="1134" w:hanging="360"/>
        <w:jc w:val="both"/>
        <w:textAlignment w:val="baseline"/>
        <w:rPr>
          <w:rFonts w:ascii="Arial" w:hAnsi="Arial"/>
          <w:sz w:val="22"/>
          <w:szCs w:val="22"/>
        </w:rPr>
      </w:pPr>
      <w:r>
        <w:rPr>
          <w:rFonts w:ascii="Arial" w:hAnsi="Arial"/>
          <w:sz w:val="22"/>
          <w:szCs w:val="22"/>
        </w:rPr>
        <w:t>Autor do anteprojeto, do projeto básico ou do projeto executivo, pessoa física ou jurídica, quando a licitação versar sobre obra, serviços ou fornecimento de bens a ele relacionados, sendo que equiparam-se aos autores do projeto as empresas integrantes do mesmo grupo econômico;</w:t>
      </w:r>
    </w:p>
    <w:p>
      <w:pPr>
        <w:pStyle w:val="ListParagraph"/>
        <w:tabs>
          <w:tab w:val="clear" w:pos="720"/>
          <w:tab w:val="left" w:pos="1701" w:leader="none"/>
        </w:tabs>
        <w:ind w:left="1418" w:hanging="0"/>
        <w:jc w:val="both"/>
        <w:rPr>
          <w:rFonts w:ascii="Arial" w:hAnsi="Arial"/>
          <w:sz w:val="22"/>
          <w:szCs w:val="22"/>
        </w:rPr>
      </w:pPr>
      <w:r>
        <w:rPr>
          <w:rFonts w:ascii="Arial" w:hAnsi="Arial"/>
          <w:b/>
          <w:sz w:val="22"/>
          <w:szCs w:val="22"/>
        </w:rPr>
        <w:t>Obs. 1:</w:t>
      </w:r>
      <w:r>
        <w:rPr>
          <w:rFonts w:ascii="Arial" w:hAnsi="Arial"/>
          <w:sz w:val="22"/>
          <w:szCs w:val="22"/>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27"/>
        </w:numPr>
        <w:tabs>
          <w:tab w:val="clear" w:pos="720"/>
          <w:tab w:val="left" w:pos="1701" w:leader="none"/>
        </w:tabs>
        <w:ind w:left="1134" w:hanging="360"/>
        <w:jc w:val="both"/>
        <w:textAlignment w:val="baseline"/>
        <w:rPr>
          <w:rFonts w:ascii="Arial" w:hAnsi="Arial"/>
          <w:sz w:val="22"/>
          <w:szCs w:val="22"/>
        </w:rPr>
      </w:pPr>
      <w:r>
        <w:rPr>
          <w:rFonts w:ascii="Arial" w:hAnsi="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(art. 14, II). Equiparam-se aos autores do projeto as empresas integrantes do mesmo grupo econômico;</w:t>
      </w:r>
    </w:p>
    <w:p>
      <w:pPr>
        <w:pStyle w:val="ListParagraph"/>
        <w:tabs>
          <w:tab w:val="clear" w:pos="720"/>
          <w:tab w:val="left" w:pos="1701" w:leader="none"/>
        </w:tabs>
        <w:ind w:left="1418" w:hanging="0"/>
        <w:jc w:val="both"/>
        <w:rPr>
          <w:rFonts w:ascii="Arial" w:hAnsi="Arial"/>
          <w:sz w:val="22"/>
          <w:szCs w:val="22"/>
        </w:rPr>
      </w:pPr>
      <w:r>
        <w:rPr>
          <w:rFonts w:ascii="Arial" w:hAnsi="Arial"/>
          <w:b/>
          <w:sz w:val="22"/>
          <w:szCs w:val="22"/>
        </w:rPr>
        <w:t>Obs. 1:</w:t>
      </w:r>
      <w:r>
        <w:rPr>
          <w:rFonts w:ascii="Arial" w:hAnsi="Arial"/>
          <w:sz w:val="22"/>
          <w:szCs w:val="22"/>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27"/>
        </w:numPr>
        <w:tabs>
          <w:tab w:val="clear" w:pos="720"/>
          <w:tab w:val="left" w:pos="1701" w:leader="none"/>
        </w:tabs>
        <w:ind w:left="1134" w:hanging="360"/>
        <w:jc w:val="both"/>
        <w:textAlignment w:val="baseline"/>
        <w:rPr>
          <w:rFonts w:ascii="Arial" w:hAnsi="Arial"/>
          <w:sz w:val="22"/>
          <w:szCs w:val="22"/>
        </w:rPr>
      </w:pPr>
      <w:r>
        <w:rPr>
          <w:rFonts w:ascii="Arial" w:hAnsi="Arial"/>
          <w:sz w:val="22"/>
          <w:szCs w:val="22"/>
        </w:rPr>
        <w:t>Pessoa física ou jurídica que se encontre, ao tempo da licitação, impossibilitada de participar da licitação em decorrência de sanção que lhe foi imposta;</w:t>
      </w:r>
    </w:p>
    <w:p>
      <w:pPr>
        <w:pStyle w:val="ListParagraph"/>
        <w:tabs>
          <w:tab w:val="clear" w:pos="720"/>
          <w:tab w:val="left" w:pos="1701" w:leader="none"/>
        </w:tabs>
        <w:ind w:left="1418" w:hanging="0"/>
        <w:jc w:val="both"/>
        <w:rPr>
          <w:rFonts w:ascii="Arial" w:hAnsi="Arial"/>
          <w:sz w:val="22"/>
          <w:szCs w:val="22"/>
        </w:rPr>
      </w:pPr>
      <w:r>
        <w:rPr>
          <w:rFonts w:ascii="Arial" w:hAnsi="Arial"/>
          <w:b/>
          <w:sz w:val="22"/>
          <w:szCs w:val="22"/>
        </w:rPr>
        <w:t>Obs. 1:</w:t>
      </w:r>
      <w:r>
        <w:rPr>
          <w:rFonts w:ascii="Arial" w:hAnsi="Arial"/>
          <w:sz w:val="22"/>
          <w:szCs w:val="22"/>
        </w:rPr>
        <w:t xml:space="preserve">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widowControl w:val="false"/>
        <w:numPr>
          <w:ilvl w:val="0"/>
          <w:numId w:val="27"/>
        </w:numPr>
        <w:tabs>
          <w:tab w:val="clear" w:pos="720"/>
          <w:tab w:val="left" w:pos="1701" w:leader="none"/>
        </w:tabs>
        <w:ind w:left="1134" w:hanging="360"/>
        <w:jc w:val="both"/>
        <w:textAlignment w:val="baseline"/>
        <w:rPr>
          <w:rFonts w:ascii="Arial" w:hAnsi="Arial"/>
          <w:sz w:val="22"/>
          <w:szCs w:val="22"/>
        </w:rPr>
      </w:pPr>
      <w:r>
        <w:rPr>
          <w:rFonts w:ascii="Arial" w:hAnsi="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pStyle w:val="ListParagraph"/>
        <w:widowControl w:val="false"/>
        <w:numPr>
          <w:ilvl w:val="0"/>
          <w:numId w:val="27"/>
        </w:numPr>
        <w:tabs>
          <w:tab w:val="clear" w:pos="720"/>
          <w:tab w:val="left" w:pos="1701" w:leader="none"/>
        </w:tabs>
        <w:ind w:left="1134" w:hanging="360"/>
        <w:jc w:val="both"/>
        <w:textAlignment w:val="baseline"/>
        <w:rPr/>
      </w:pPr>
      <w:r>
        <w:rPr>
          <w:rFonts w:ascii="Arial" w:hAnsi="Arial"/>
          <w:sz w:val="22"/>
          <w:szCs w:val="22"/>
        </w:rPr>
        <w:t xml:space="preserve">Empresas controladoras, controladas ou coligadas, nos termos da </w:t>
      </w:r>
      <w:hyperlink r:id="rId23">
        <w:r>
          <w:rPr>
            <w:rStyle w:val="LinkdaInternet"/>
            <w:rFonts w:ascii="Arial" w:hAnsi="Arial"/>
            <w:sz w:val="22"/>
            <w:szCs w:val="22"/>
          </w:rPr>
          <w:t>Lei nº 6.404, de 15 de dezembro de 1976 – Dispõe sobre as Sociedades por Ações</w:t>
        </w:r>
      </w:hyperlink>
      <w:r>
        <w:rPr>
          <w:rFonts w:ascii="Arial" w:hAnsi="Arial"/>
          <w:sz w:val="22"/>
          <w:szCs w:val="22"/>
        </w:rPr>
        <w:t>, concorrendo entre si;</w:t>
      </w:r>
    </w:p>
    <w:p>
      <w:pPr>
        <w:pStyle w:val="ListParagraph"/>
        <w:widowControl w:val="false"/>
        <w:numPr>
          <w:ilvl w:val="0"/>
          <w:numId w:val="27"/>
        </w:numPr>
        <w:tabs>
          <w:tab w:val="clear" w:pos="720"/>
          <w:tab w:val="left" w:pos="1701" w:leader="none"/>
        </w:tabs>
        <w:ind w:left="1134" w:hanging="360"/>
        <w:jc w:val="both"/>
        <w:textAlignment w:val="baseline"/>
        <w:rPr>
          <w:rFonts w:ascii="Arial" w:hAnsi="Arial"/>
          <w:sz w:val="22"/>
          <w:szCs w:val="22"/>
        </w:rPr>
      </w:pPr>
      <w:r>
        <w:rPr>
          <w:rFonts w:ascii="Arial" w:hAnsi="Arial"/>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widowControl w:val="false"/>
        <w:numPr>
          <w:ilvl w:val="0"/>
          <w:numId w:val="27"/>
        </w:numPr>
        <w:tabs>
          <w:tab w:val="clear" w:pos="720"/>
          <w:tab w:val="left" w:pos="1701" w:leader="none"/>
        </w:tabs>
        <w:ind w:left="1134" w:hanging="360"/>
        <w:jc w:val="both"/>
        <w:textAlignment w:val="baseline"/>
        <w:rPr>
          <w:rFonts w:ascii="Arial" w:hAnsi="Arial"/>
          <w:sz w:val="22"/>
          <w:szCs w:val="22"/>
        </w:rPr>
      </w:pPr>
      <w:r>
        <w:rPr>
          <w:rFonts w:ascii="Arial" w:hAnsi="Arial"/>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widowControl w:val="false"/>
        <w:numPr>
          <w:ilvl w:val="0"/>
          <w:numId w:val="27"/>
        </w:numPr>
        <w:tabs>
          <w:tab w:val="clear" w:pos="720"/>
          <w:tab w:val="left" w:pos="1701" w:leader="none"/>
        </w:tabs>
        <w:ind w:left="1134" w:hanging="360"/>
        <w:jc w:val="both"/>
        <w:textAlignment w:val="baseline"/>
        <w:rPr>
          <w:rFonts w:ascii="Arial" w:hAnsi="Arial"/>
          <w:sz w:val="22"/>
          <w:szCs w:val="22"/>
        </w:rPr>
      </w:pPr>
      <w:r>
        <w:rPr>
          <w:rFonts w:ascii="Arial" w:hAnsi="Arial"/>
          <w:sz w:val="22"/>
          <w:szCs w:val="22"/>
        </w:rPr>
        <w:t>É impedida a empresa consorciada participar, na mesma licitação, de mais de um consórcio ou de forma isolada;</w:t>
      </w:r>
    </w:p>
    <w:p>
      <w:pPr>
        <w:pStyle w:val="ListParagraph"/>
        <w:widowControl w:val="false"/>
        <w:numPr>
          <w:ilvl w:val="0"/>
          <w:numId w:val="27"/>
        </w:numPr>
        <w:tabs>
          <w:tab w:val="clear" w:pos="720"/>
          <w:tab w:val="left" w:pos="1701" w:leader="none"/>
        </w:tabs>
        <w:ind w:left="1134" w:hanging="360"/>
        <w:jc w:val="both"/>
        <w:textAlignment w:val="baseline"/>
        <w:rPr>
          <w:rFonts w:ascii="Arial" w:hAnsi="Arial"/>
          <w:sz w:val="22"/>
          <w:szCs w:val="22"/>
        </w:rPr>
      </w:pPr>
      <w:r>
        <w:rPr>
          <w:rFonts w:ascii="Arial" w:hAnsi="Arial"/>
          <w:sz w:val="22"/>
          <w:szCs w:val="22"/>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pPr>
        <w:pStyle w:val="ListParagraph"/>
        <w:widowControl w:val="false"/>
        <w:numPr>
          <w:ilvl w:val="0"/>
          <w:numId w:val="27"/>
        </w:numPr>
        <w:tabs>
          <w:tab w:val="clear" w:pos="720"/>
          <w:tab w:val="left" w:pos="1701" w:leader="none"/>
        </w:tabs>
        <w:ind w:left="1134" w:hanging="360"/>
        <w:jc w:val="both"/>
        <w:textAlignment w:val="baseline"/>
        <w:rPr>
          <w:rFonts w:ascii="Arial" w:hAnsi="Arial"/>
          <w:sz w:val="22"/>
          <w:szCs w:val="22"/>
        </w:rPr>
      </w:pPr>
      <w:r>
        <w:rPr>
          <w:rFonts w:ascii="Arial" w:hAnsi="Arial"/>
          <w:sz w:val="22"/>
          <w:szCs w:val="22"/>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Normal"/>
        <w:spacing w:lineRule="auto" w:line="240"/>
        <w:jc w:val="both"/>
        <w:rPr>
          <w:rFonts w:ascii="Arial" w:hAnsi="Arial"/>
        </w:rPr>
      </w:pPr>
      <w:r>
        <w:rPr>
          <w:rFonts w:cs="Times New Roman" w:ascii="Arial" w:hAnsi="Arial"/>
        </w:rPr>
        <w:tab/>
        <w:t>Por ser expressão da verdade, assumo inteira responsabilidade por esta declaração, sob pena do art. 299 do Código Penal.</w:t>
      </w:r>
    </w:p>
    <w:p>
      <w:pPr>
        <w:pStyle w:val="Normal"/>
        <w:spacing w:lineRule="auto" w:line="240"/>
        <w:jc w:val="both"/>
        <w:rPr>
          <w:rFonts w:ascii="Arial" w:hAnsi="Arial" w:cs="Times New Roman"/>
        </w:rPr>
      </w:pPr>
      <w:r>
        <w:rPr>
          <w:rFonts w:cs="Times New Roman" w:ascii="Arial" w:hAnsi="Arial"/>
        </w:rPr>
      </w:r>
    </w:p>
    <w:p>
      <w:pPr>
        <w:pStyle w:val="Normal"/>
        <w:spacing w:lineRule="auto" w:line="240"/>
        <w:jc w:val="center"/>
        <w:rPr>
          <w:rFonts w:ascii="Arial" w:hAnsi="Arial"/>
        </w:rPr>
      </w:pPr>
      <w:r>
        <w:rPr>
          <w:rFonts w:cs="Times New Roman" w:ascii="Arial" w:hAnsi="Arial"/>
        </w:rPr>
        <w:t>(LOCAL), (DATA).</w:t>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rPr>
      </w:pPr>
      <w:r>
        <w:rPr>
          <w:rFonts w:cs="Times New Roman" w:ascii="Arial" w:hAnsi="Arial"/>
        </w:rPr>
        <w:t>______________________________________</w:t>
      </w:r>
    </w:p>
    <w:p>
      <w:pPr>
        <w:pStyle w:val="Normal"/>
        <w:spacing w:lineRule="auto" w:line="240"/>
        <w:jc w:val="center"/>
        <w:rPr>
          <w:rFonts w:ascii="Arial" w:hAnsi="Arial"/>
        </w:rPr>
      </w:pPr>
      <w:r>
        <w:rPr>
          <w:rFonts w:cs="Times New Roman" w:ascii="Arial" w:hAnsi="Arial"/>
        </w:rPr>
        <w:t>(LICITANTE – CNPJ/CPF)</w:t>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PROCESSO LICITATÓRIO Nº </w:t>
      </w:r>
      <w:r>
        <w:rPr>
          <w:rFonts w:eastAsia="Times New Roman" w:cs="Times New Roman" w:ascii="Arial" w:hAnsi="Arial"/>
          <w:b/>
          <w:color w:val="000000"/>
          <w:kern w:val="0"/>
          <w:sz w:val="22"/>
          <w:szCs w:val="22"/>
          <w:lang w:val="pt-BR" w:eastAsia="pt-BR" w:bidi="ar-SA"/>
        </w:rPr>
        <w:t>193</w:t>
      </w:r>
      <w:r>
        <w:rPr>
          <w:rFonts w:eastAsia="Times New Roman" w:cs="Times New Roman" w:ascii="Arial" w:hAnsi="Arial"/>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EDITAL DE PREGÃO ELETRÔNICO Nº </w:t>
      </w:r>
      <w:r>
        <w:rPr>
          <w:rFonts w:eastAsia="Times New Roman" w:cs="Times New Roman" w:ascii="Arial" w:hAnsi="Arial"/>
          <w:b/>
          <w:color w:val="000000"/>
          <w:kern w:val="0"/>
          <w:sz w:val="22"/>
          <w:szCs w:val="22"/>
          <w:lang w:val="pt-BR" w:eastAsia="pt-BR" w:bidi="ar-SA"/>
        </w:rPr>
        <w:t>083</w:t>
      </w:r>
      <w:r>
        <w:rPr>
          <w:rFonts w:eastAsia="Times New Roman" w:cs="Times New Roman" w:ascii="Arial" w:hAnsi="Arial"/>
          <w:b/>
          <w:lang w:eastAsia="pt-BR"/>
        </w:rPr>
        <w:t>/2023</w:t>
      </w:r>
    </w:p>
    <w:p>
      <w:pPr>
        <w:pStyle w:val="Normal"/>
        <w:widowControl w:val="false"/>
        <w:tabs>
          <w:tab w:val="clear" w:pos="720"/>
          <w:tab w:val="left" w:pos="1701" w:leader="none"/>
        </w:tabs>
        <w:spacing w:lineRule="auto" w:line="240" w:before="0" w:after="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spacing w:lineRule="auto" w:line="240" w:before="0" w:after="0"/>
        <w:jc w:val="center"/>
        <w:rPr/>
      </w:pPr>
      <w:r>
        <w:rPr>
          <w:rFonts w:cs="Times New Roman" w:ascii="Arial" w:hAnsi="Arial"/>
          <w:b/>
        </w:rPr>
        <w:t>ANEXO IV</w:t>
      </w:r>
    </w:p>
    <w:p>
      <w:pPr>
        <w:pStyle w:val="Normal"/>
        <w:spacing w:lineRule="auto" w:line="240" w:before="0" w:after="0"/>
        <w:jc w:val="center"/>
        <w:rPr>
          <w:rFonts w:ascii="Arial" w:hAnsi="Arial" w:cs="Times New Roman"/>
          <w:b/>
          <w:b/>
        </w:rPr>
      </w:pPr>
      <w:r>
        <w:rPr>
          <w:rFonts w:cs="Times New Roman" w:ascii="Arial" w:hAnsi="Arial"/>
          <w:b/>
        </w:rPr>
      </w:r>
    </w:p>
    <w:p>
      <w:pPr>
        <w:pStyle w:val="NormalWeb"/>
        <w:shd w:val="clear" w:color="auto" w:fill="FFFFFF"/>
        <w:spacing w:lineRule="auto" w:line="240" w:before="0" w:after="0"/>
        <w:jc w:val="center"/>
        <w:rPr/>
      </w:pPr>
      <w:r>
        <w:rPr>
          <w:rFonts w:ascii="Arial" w:hAnsi="Arial"/>
          <w:b/>
          <w:bCs/>
          <w:spacing w:val="2"/>
          <w:sz w:val="22"/>
          <w:szCs w:val="22"/>
        </w:rPr>
        <w:t>INSTRUMENTO PARTICULAR DE CONFIDENCIALIDADE E OUTRAS AVENÇAS</w:t>
      </w:r>
    </w:p>
    <w:p>
      <w:pPr>
        <w:pStyle w:val="NormalWeb"/>
        <w:shd w:val="clear" w:color="auto" w:fill="FFFFFF"/>
        <w:spacing w:lineRule="auto" w:line="240"/>
        <w:jc w:val="both"/>
        <w:rPr>
          <w:rFonts w:ascii="Arial" w:hAnsi="Arial"/>
          <w:spacing w:val="2"/>
          <w:sz w:val="22"/>
          <w:szCs w:val="22"/>
        </w:rPr>
      </w:pPr>
      <w:r>
        <w:rPr>
          <w:rFonts w:ascii="Arial" w:hAnsi="Arial"/>
          <w:spacing w:val="2"/>
          <w:sz w:val="22"/>
          <w:szCs w:val="22"/>
        </w:rPr>
      </w:r>
    </w:p>
    <w:p>
      <w:pPr>
        <w:pStyle w:val="NormalWeb"/>
        <w:shd w:val="clear" w:color="auto" w:fill="FFFFFF"/>
        <w:spacing w:lineRule="auto" w:line="240"/>
        <w:jc w:val="both"/>
        <w:rPr>
          <w:rFonts w:ascii="Arial" w:hAnsi="Arial"/>
          <w:sz w:val="22"/>
          <w:szCs w:val="22"/>
        </w:rPr>
      </w:pPr>
      <w:r>
        <w:rPr>
          <w:rFonts w:ascii="Arial" w:hAnsi="Arial"/>
          <w:spacing w:val="2"/>
          <w:sz w:val="22"/>
          <w:szCs w:val="22"/>
        </w:rPr>
        <w:t xml:space="preserve">Por este instrumento, de um lado, </w:t>
      </w:r>
      <w:r>
        <w:rPr>
          <w:rFonts w:ascii="Arial" w:hAnsi="Arial"/>
          <w:b/>
          <w:bCs/>
          <w:spacing w:val="2"/>
          <w:sz w:val="22"/>
          <w:szCs w:val="22"/>
        </w:rPr>
        <w:t>Município de ...................</w:t>
      </w:r>
      <w:r>
        <w:rPr>
          <w:rFonts w:ascii="Arial" w:hAnsi="Arial"/>
          <w:spacing w:val="2"/>
          <w:sz w:val="22"/>
          <w:szCs w:val="22"/>
        </w:rPr>
        <w:t xml:space="preserve">, neste ato representado pelo conforme estabelecido em seu contrato social (“Parte Reveladora”) e, de outro lado, a </w:t>
      </w:r>
      <w:r>
        <w:rPr>
          <w:rFonts w:ascii="Arial" w:hAnsi="Arial"/>
          <w:b/>
          <w:spacing w:val="2"/>
          <w:sz w:val="22"/>
          <w:szCs w:val="22"/>
        </w:rPr>
        <w:t>empresa .........................................................................</w:t>
      </w:r>
      <w:r>
        <w:rPr>
          <w:rFonts w:ascii="Arial" w:hAnsi="Arial"/>
          <w:spacing w:val="2"/>
          <w:sz w:val="22"/>
          <w:szCs w:val="22"/>
        </w:rPr>
        <w:t xml:space="preserve">, inscrita no CNPJ sob o nº ..................................., com sede ..................................................., neste ato representada pelo seu representante legal. ..................................................... CPF ............XXXXX...........(“Parte Receptora”), resolvem, em comum acordo e na melhor forma de direito, celebrar o </w:t>
      </w:r>
      <w:r>
        <w:rPr>
          <w:rFonts w:ascii="Arial" w:hAnsi="Arial"/>
          <w:b/>
          <w:bCs/>
          <w:spacing w:val="2"/>
          <w:sz w:val="22"/>
          <w:szCs w:val="22"/>
        </w:rPr>
        <w:t>Instrumento Particular de Confidencialidade e Outras Avenças</w:t>
      </w:r>
      <w:r>
        <w:rPr>
          <w:rFonts w:ascii="Arial" w:hAnsi="Arial"/>
          <w:spacing w:val="2"/>
          <w:sz w:val="22"/>
          <w:szCs w:val="22"/>
        </w:rPr>
        <w:t>, mediante as cláusulas e condições que seguem:</w:t>
      </w:r>
    </w:p>
    <w:p>
      <w:pPr>
        <w:pStyle w:val="NormalWeb"/>
        <w:shd w:val="clear" w:color="auto" w:fill="FFFFFF"/>
        <w:spacing w:lineRule="auto" w:line="240"/>
        <w:jc w:val="both"/>
        <w:rPr>
          <w:rFonts w:ascii="Arial" w:hAnsi="Arial"/>
          <w:spacing w:val="2"/>
          <w:sz w:val="22"/>
          <w:szCs w:val="22"/>
        </w:rPr>
      </w:pPr>
      <w:r>
        <w:rPr>
          <w:rFonts w:ascii="Arial" w:hAnsi="Arial"/>
          <w:spacing w:val="2"/>
          <w:sz w:val="22"/>
          <w:szCs w:val="22"/>
        </w:rPr>
      </w:r>
    </w:p>
    <w:p>
      <w:pPr>
        <w:pStyle w:val="NormalWeb"/>
        <w:shd w:val="clear" w:color="auto" w:fill="FFFFFF"/>
        <w:spacing w:lineRule="auto" w:line="240"/>
        <w:jc w:val="both"/>
        <w:rPr>
          <w:rFonts w:ascii="Arial" w:hAnsi="Arial"/>
          <w:sz w:val="22"/>
          <w:szCs w:val="22"/>
        </w:rPr>
      </w:pPr>
      <w:r>
        <w:rPr>
          <w:rFonts w:ascii="Arial" w:hAnsi="Arial"/>
          <w:b/>
          <w:bCs/>
          <w:spacing w:val="2"/>
          <w:sz w:val="22"/>
          <w:szCs w:val="22"/>
        </w:rPr>
        <w:t xml:space="preserve">CLÁUSULA PRIMEIRA </w:t>
      </w:r>
      <w:r>
        <w:rPr>
          <w:rFonts w:ascii="Arial" w:hAnsi="Arial"/>
          <w:spacing w:val="2"/>
          <w:sz w:val="22"/>
          <w:szCs w:val="22"/>
        </w:rPr>
        <w:t xml:space="preserve">– </w:t>
      </w:r>
      <w:r>
        <w:rPr>
          <w:rFonts w:ascii="Arial" w:hAnsi="Arial"/>
          <w:b/>
          <w:bCs/>
          <w:spacing w:val="2"/>
          <w:sz w:val="22"/>
          <w:szCs w:val="22"/>
        </w:rPr>
        <w:t>DO OBJETO</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1.1.</w:t>
      </w:r>
      <w:r>
        <w:rPr>
          <w:rFonts w:ascii="Arial" w:hAnsi="Arial"/>
          <w:spacing w:val="2"/>
          <w:sz w:val="22"/>
          <w:szCs w:val="22"/>
        </w:rPr>
        <w:t xml:space="preserve"> É objeto deste instrumento a manutenção do mais absoluto sigilo em relação a toda e qualquer informação relacionada aos dados fornecidos para a confecção do contrato/ata assinado juntamente com o Município de </w:t>
      </w:r>
      <w:r>
        <w:rPr>
          <w:rFonts w:ascii="Arial" w:hAnsi="Arial"/>
          <w:color w:val="000000"/>
          <w:spacing w:val="2"/>
          <w:sz w:val="22"/>
          <w:szCs w:val="22"/>
        </w:rPr>
        <w:t>Itá</w:t>
      </w:r>
      <w:r>
        <w:rPr>
          <w:rFonts w:ascii="Arial" w:hAnsi="Arial"/>
          <w:spacing w:val="2"/>
          <w:sz w:val="22"/>
          <w:szCs w:val="22"/>
        </w:rPr>
        <w:t>-SC.</w:t>
      </w:r>
    </w:p>
    <w:p>
      <w:pPr>
        <w:pStyle w:val="NormalWeb"/>
        <w:shd w:val="clear" w:color="auto" w:fill="FFFFFF"/>
        <w:spacing w:lineRule="auto" w:line="240"/>
        <w:jc w:val="both"/>
        <w:rPr>
          <w:rFonts w:ascii="Arial" w:hAnsi="Arial"/>
          <w:sz w:val="22"/>
          <w:szCs w:val="22"/>
        </w:rPr>
      </w:pPr>
      <w:r>
        <w:rPr>
          <w:rFonts w:ascii="Arial" w:hAnsi="Arial"/>
          <w:b/>
          <w:bCs/>
          <w:spacing w:val="2"/>
          <w:sz w:val="22"/>
          <w:szCs w:val="22"/>
        </w:rPr>
        <w:t xml:space="preserve">CLÁUSULA SEGUNDA </w:t>
      </w:r>
      <w:r>
        <w:rPr>
          <w:rFonts w:ascii="Arial" w:hAnsi="Arial"/>
          <w:spacing w:val="2"/>
          <w:sz w:val="22"/>
          <w:szCs w:val="22"/>
        </w:rPr>
        <w:t xml:space="preserve">– </w:t>
      </w:r>
      <w:r>
        <w:rPr>
          <w:rFonts w:ascii="Arial" w:hAnsi="Arial"/>
          <w:b/>
          <w:bCs/>
          <w:spacing w:val="2"/>
          <w:sz w:val="22"/>
          <w:szCs w:val="22"/>
        </w:rPr>
        <w:t>DAS INFORMAÇÕES CONFIDENCIAIS</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2.1.</w:t>
      </w:r>
      <w:r>
        <w:rPr>
          <w:rFonts w:ascii="Arial" w:hAnsi="Arial"/>
          <w:spacing w:val="2"/>
          <w:sz w:val="22"/>
          <w:szCs w:val="22"/>
        </w:rPr>
        <w:t xml:space="preserve"> Para todos os efeitos deste instrumento, serão consideradas confidenciais, todas as informações relacionadas ao contrato assinado/ata homologada que a Parte Receptora vier a ter acesso em decorrência dos serviços prestados à Parte Reveladora (“Informações Confidenciais”).</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2.1.1.</w:t>
      </w:r>
      <w:r>
        <w:rPr>
          <w:rFonts w:ascii="Arial" w:hAnsi="Arial"/>
          <w:spacing w:val="2"/>
          <w:sz w:val="22"/>
          <w:szCs w:val="22"/>
        </w:rPr>
        <w:t xml:space="preserve"> Serão, ainda, consideradas Informações Confidenciais todas as informações que assim forem identificadas </w:t>
      </w:r>
      <w:r>
        <w:rPr>
          <w:rFonts w:ascii="Arial" w:hAnsi="Arial"/>
          <w:color w:val="111111"/>
          <w:spacing w:val="2"/>
          <w:sz w:val="22"/>
          <w:szCs w:val="22"/>
        </w:rPr>
        <w:t>pelo</w:t>
      </w:r>
      <w:r>
        <w:rPr>
          <w:rFonts w:ascii="Arial" w:hAnsi="Arial"/>
          <w:b/>
          <w:color w:val="111111"/>
          <w:spacing w:val="2"/>
          <w:sz w:val="22"/>
          <w:szCs w:val="22"/>
        </w:rPr>
        <w:t xml:space="preserve"> Município de </w:t>
      </w:r>
      <w:r>
        <w:rPr>
          <w:rFonts w:eastAsia="Calibri" w:ascii="Arial" w:hAnsi="Arial"/>
          <w:b/>
          <w:color w:val="111111"/>
          <w:spacing w:val="2"/>
          <w:sz w:val="22"/>
          <w:szCs w:val="22"/>
        </w:rPr>
        <w:t>Itá-SC</w:t>
      </w:r>
      <w:r>
        <w:rPr>
          <w:rFonts w:ascii="Arial" w:hAnsi="Arial"/>
          <w:spacing w:val="2"/>
          <w:sz w:val="22"/>
          <w:szCs w:val="22"/>
        </w:rPr>
        <w:t>, Parte Reveladora, pelas legislações aplicáveis (inclusive a Lei nº 13.709/2018 – Lei Geral de Proteção de Dados “LGPD”) ou que, devido às circunstâncias da revelação ou à própria natureza da informação devam ser consideradas confidenciais ou de propriedade da Parte Reveladora.</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2.2.</w:t>
      </w:r>
      <w:r>
        <w:rPr>
          <w:rFonts w:ascii="Arial" w:hAnsi="Arial"/>
          <w:spacing w:val="2"/>
          <w:sz w:val="22"/>
          <w:szCs w:val="22"/>
        </w:rPr>
        <w:t xml:space="preserve"> A revelação das Informações Confidenciais não representa a concessão de qualquer tipo de licença explícita ou de qualquer outra natureza, nem de direitos de qualquer espécie para a Parte Receptora.</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2.3.</w:t>
      </w:r>
      <w:r>
        <w:rPr>
          <w:rFonts w:ascii="Arial" w:hAnsi="Arial"/>
          <w:spacing w:val="2"/>
          <w:sz w:val="22"/>
          <w:szCs w:val="22"/>
        </w:rPr>
        <w:t xml:space="preserve"> A Parte Receptora se compromete a:</w:t>
      </w:r>
    </w:p>
    <w:p>
      <w:pPr>
        <w:pStyle w:val="NormalWeb"/>
        <w:widowControl w:val="false"/>
        <w:numPr>
          <w:ilvl w:val="0"/>
          <w:numId w:val="29"/>
        </w:numPr>
        <w:shd w:val="clear" w:color="auto" w:fill="FFFFFF"/>
        <w:spacing w:lineRule="auto" w:line="240"/>
        <w:jc w:val="both"/>
        <w:textAlignment w:val="baseline"/>
        <w:rPr>
          <w:rFonts w:ascii="Arial" w:hAnsi="Arial"/>
          <w:sz w:val="22"/>
          <w:szCs w:val="22"/>
        </w:rPr>
      </w:pPr>
      <w:r>
        <w:rPr>
          <w:rFonts w:ascii="Arial" w:hAnsi="Arial"/>
          <w:spacing w:val="2"/>
          <w:sz w:val="22"/>
          <w:szCs w:val="22"/>
        </w:rPr>
        <w:t>Utilizar as Informações Confidenciais com o propósito restrito de desempenhar suas atividades junto à Parte Reveladora;</w:t>
      </w:r>
    </w:p>
    <w:p>
      <w:pPr>
        <w:pStyle w:val="NormalWeb"/>
        <w:widowControl w:val="false"/>
        <w:numPr>
          <w:ilvl w:val="0"/>
          <w:numId w:val="29"/>
        </w:numPr>
        <w:shd w:val="clear" w:color="auto" w:fill="FFFFFF"/>
        <w:spacing w:lineRule="auto" w:line="240"/>
        <w:jc w:val="both"/>
        <w:textAlignment w:val="baseline"/>
        <w:rPr>
          <w:rFonts w:ascii="Arial" w:hAnsi="Arial"/>
          <w:sz w:val="22"/>
          <w:szCs w:val="22"/>
        </w:rPr>
      </w:pPr>
      <w:r>
        <w:rPr>
          <w:rFonts w:ascii="Arial" w:hAnsi="Arial"/>
          <w:spacing w:val="2"/>
          <w:sz w:val="22"/>
          <w:szCs w:val="22"/>
        </w:rPr>
        <w:t xml:space="preserve">Não utilizar tais informações em seu próprio benefício e/ou para qualquer propósito que não aquele para o qual foram reveladas, abstendo-se de divulgar, publicar, fazer circular, produzir cópia ou efetuar </w:t>
      </w:r>
      <w:r>
        <w:rPr>
          <w:rFonts w:ascii="Arial" w:hAnsi="Arial"/>
          <w:i/>
          <w:iCs/>
          <w:spacing w:val="2"/>
          <w:sz w:val="22"/>
          <w:szCs w:val="22"/>
        </w:rPr>
        <w:t>backup</w:t>
      </w:r>
      <w:r>
        <w:rPr>
          <w:rFonts w:ascii="Arial" w:hAnsi="Arial"/>
          <w:spacing w:val="2"/>
          <w:sz w:val="22"/>
          <w:szCs w:val="22"/>
        </w:rPr>
        <w:t>, por qualquer meio ou forma, de qualquer documento ou informação confidencial;</w:t>
      </w:r>
    </w:p>
    <w:p>
      <w:pPr>
        <w:pStyle w:val="NormalWeb"/>
        <w:widowControl w:val="false"/>
        <w:numPr>
          <w:ilvl w:val="0"/>
          <w:numId w:val="29"/>
        </w:numPr>
        <w:shd w:val="clear" w:color="auto" w:fill="FFFFFF"/>
        <w:spacing w:lineRule="auto" w:line="240"/>
        <w:jc w:val="both"/>
        <w:textAlignment w:val="baseline"/>
        <w:rPr>
          <w:rFonts w:ascii="Arial" w:hAnsi="Arial"/>
          <w:sz w:val="22"/>
          <w:szCs w:val="22"/>
        </w:rPr>
      </w:pPr>
      <w:r>
        <w:rPr>
          <w:rFonts w:ascii="Arial" w:hAnsi="Arial"/>
          <w:spacing w:val="2"/>
          <w:sz w:val="22"/>
          <w:szCs w:val="22"/>
        </w:rPr>
        <w:t>Zelar para que referidas informações não sejam divulgadas ou reveladas a terceiros, utilizando-se, no mínimo do mesmo zelo e cuidado que dispensa às suas próprias Informações Confidenciais;</w:t>
      </w:r>
    </w:p>
    <w:p>
      <w:pPr>
        <w:pStyle w:val="NormalWeb"/>
        <w:widowControl w:val="false"/>
        <w:numPr>
          <w:ilvl w:val="0"/>
          <w:numId w:val="29"/>
        </w:numPr>
        <w:shd w:val="clear" w:color="auto" w:fill="FFFFFF"/>
        <w:spacing w:lineRule="auto" w:line="240"/>
        <w:jc w:val="both"/>
        <w:textAlignment w:val="baseline"/>
        <w:rPr>
          <w:rFonts w:ascii="Arial" w:hAnsi="Arial"/>
          <w:sz w:val="22"/>
          <w:szCs w:val="22"/>
        </w:rPr>
      </w:pPr>
      <w:r>
        <w:rPr>
          <w:rFonts w:ascii="Arial" w:hAnsi="Arial"/>
          <w:spacing w:val="2"/>
          <w:sz w:val="22"/>
          <w:szCs w:val="22"/>
        </w:rPr>
        <w:t>A não revelar as Informações Confidenciais a quaisquer terceiros, salvo mediante prévia e expressa autorização da Parte Reveladora. Ainda, em caso de revelação das informações, a Parte Receptora se compromete, desde já, a repassar todas as obrigações descritas neste instrumento aos que vierem a ter acesso a tais informações, responsabilizando-se por eventuais descumprimentos; e,</w:t>
      </w:r>
    </w:p>
    <w:p>
      <w:pPr>
        <w:pStyle w:val="NormalWeb"/>
        <w:widowControl w:val="false"/>
        <w:numPr>
          <w:ilvl w:val="0"/>
          <w:numId w:val="29"/>
        </w:numPr>
        <w:shd w:val="clear" w:color="auto" w:fill="FFFFFF"/>
        <w:spacing w:lineRule="auto" w:line="240"/>
        <w:jc w:val="both"/>
        <w:textAlignment w:val="baseline"/>
        <w:rPr>
          <w:rFonts w:ascii="Arial" w:hAnsi="Arial"/>
          <w:sz w:val="22"/>
          <w:szCs w:val="22"/>
        </w:rPr>
      </w:pPr>
      <w:r>
        <w:rPr>
          <w:rFonts w:ascii="Arial" w:hAnsi="Arial"/>
          <w:spacing w:val="2"/>
          <w:sz w:val="22"/>
          <w:szCs w:val="22"/>
        </w:rPr>
        <w:t>Informar imediatamente à Parte Reveladora qualquer violação das regras de sigilo ora estabelecidas que tenha ocorrido ou que venha a ocorrer por sua ação ou omissão, independentemente da existência de dolo.</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2.4.</w:t>
      </w:r>
      <w:r>
        <w:rPr>
          <w:rFonts w:ascii="Arial" w:hAnsi="Arial"/>
          <w:spacing w:val="2"/>
          <w:sz w:val="22"/>
          <w:szCs w:val="22"/>
        </w:rPr>
        <w:t xml:space="preserve"> As obrigações estabelecidas neste instrumento não serão aplicáveis a quaisquer Informações Confidenciais que:</w:t>
      </w:r>
    </w:p>
    <w:p>
      <w:pPr>
        <w:pStyle w:val="NormalWeb"/>
        <w:widowControl w:val="false"/>
        <w:numPr>
          <w:ilvl w:val="0"/>
          <w:numId w:val="30"/>
        </w:numPr>
        <w:shd w:val="clear" w:color="auto" w:fill="FFFFFF"/>
        <w:spacing w:lineRule="auto" w:line="240"/>
        <w:jc w:val="both"/>
        <w:textAlignment w:val="baseline"/>
        <w:rPr>
          <w:rFonts w:ascii="Arial" w:hAnsi="Arial"/>
          <w:sz w:val="22"/>
          <w:szCs w:val="22"/>
        </w:rPr>
      </w:pPr>
      <w:r>
        <w:rPr>
          <w:rFonts w:ascii="Arial" w:hAnsi="Arial"/>
          <w:spacing w:val="2"/>
          <w:sz w:val="22"/>
          <w:szCs w:val="22"/>
        </w:rPr>
        <w:t>Anteriormente ao seu recebimento pela Parte Receptora tenham tornado-se públicas ou chegado ao poder da Parte Receptora por uma fonte que não a Parte Reveladora; ou</w:t>
      </w:r>
    </w:p>
    <w:p>
      <w:pPr>
        <w:pStyle w:val="NormalWeb"/>
        <w:widowControl w:val="false"/>
        <w:numPr>
          <w:ilvl w:val="0"/>
          <w:numId w:val="30"/>
        </w:numPr>
        <w:shd w:val="clear" w:color="auto" w:fill="FFFFFF"/>
        <w:spacing w:lineRule="auto" w:line="240"/>
        <w:jc w:val="both"/>
        <w:textAlignment w:val="baseline"/>
        <w:rPr>
          <w:rFonts w:ascii="Arial" w:hAnsi="Arial"/>
          <w:sz w:val="22"/>
          <w:szCs w:val="22"/>
        </w:rPr>
      </w:pPr>
      <w:r>
        <w:rPr>
          <w:rFonts w:ascii="Arial" w:hAnsi="Arial"/>
          <w:spacing w:val="2"/>
          <w:sz w:val="22"/>
          <w:szCs w:val="22"/>
        </w:rPr>
        <w:t>Após o recebimento pela Parte Receptora, tenham tornado-se públicas por qualquer meio que não como consequência de uma violação de sua obrigação aqui prevista.</w:t>
      </w:r>
    </w:p>
    <w:p>
      <w:pPr>
        <w:pStyle w:val="NormalWeb"/>
        <w:shd w:val="clear" w:color="auto" w:fill="FFFFFF"/>
        <w:spacing w:lineRule="auto" w:line="240"/>
        <w:jc w:val="both"/>
        <w:rPr>
          <w:rFonts w:ascii="Arial" w:hAnsi="Arial"/>
          <w:sz w:val="22"/>
          <w:szCs w:val="22"/>
        </w:rPr>
      </w:pPr>
      <w:r>
        <w:rPr>
          <w:rFonts w:ascii="Arial" w:hAnsi="Arial"/>
          <w:b/>
          <w:bCs/>
          <w:spacing w:val="2"/>
          <w:sz w:val="22"/>
          <w:szCs w:val="22"/>
        </w:rPr>
        <w:t>CLÁUSULA TERCEIRA – DA PROTEÇÃO DE DADOS</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3.1.</w:t>
      </w:r>
      <w:r>
        <w:rPr>
          <w:rFonts w:ascii="Arial" w:hAnsi="Arial"/>
          <w:spacing w:val="2"/>
          <w:sz w:val="22"/>
          <w:szCs w:val="22"/>
        </w:rPr>
        <w:t xml:space="preserve"> Serão aplicáveis a este instrumento, as “Leis Aplicáveis à Proteção de Dados” que significa todas as leis, normas e regulamentos que regem o tratamento de dados pessoais, especialmente a Lei nº 13.709/2018 – LGPD, além das normas e dos regulamentos adotados pelas competentes autoridades de proteção de dados.</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3.2.</w:t>
      </w:r>
      <w:r>
        <w:rPr>
          <w:rFonts w:ascii="Arial" w:hAnsi="Arial"/>
          <w:spacing w:val="2"/>
          <w:sz w:val="22"/>
          <w:szCs w:val="22"/>
        </w:rPr>
        <w:t xml:space="preserve"> A Parte Receptora declara-se ciente e concorda que poderá ter acesso, utilizar, manter e processar, eletrônica e manualmente, informações e dados prestados pela Parte Reveladora e seus clientes (“dados protegidos”), exclusivamente para a prestação dos serviços.</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3.3.</w:t>
      </w:r>
      <w:r>
        <w:rPr>
          <w:rFonts w:ascii="Arial" w:hAnsi="Arial"/>
          <w:spacing w:val="2"/>
          <w:sz w:val="22"/>
          <w:szCs w:val="22"/>
        </w:rPr>
        <w:t xml:space="preserve"> As partes declaram-se cientes dos direitos, obrigações e penalidades aplicáveis constantes da Lei nº 13.709/2018 – LGPD e obrigam-se a adotar todas as medidas razoáveis para garantir, por si, bem como seu pessoal, colaboradores, empregados e subcontratados que utilizem os dados protegidos na extensão autorizada na referida LGPD.</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3.4.</w:t>
      </w:r>
      <w:r>
        <w:rPr>
          <w:rFonts w:ascii="Arial" w:hAnsi="Arial"/>
          <w:spacing w:val="2"/>
          <w:sz w:val="22"/>
          <w:szCs w:val="22"/>
        </w:rPr>
        <w:t xml:space="preserve"> A Parte Receptora somente poderá tratar dados pessoais conforme as instruções da Parte Reveladora, a fim de cumprir suas obrigações para a prestação dos serviços, jamais para qualquer outro propósito.</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3.5.</w:t>
      </w:r>
      <w:r>
        <w:rPr>
          <w:rFonts w:ascii="Arial" w:hAnsi="Arial"/>
          <w:spacing w:val="2"/>
          <w:sz w:val="22"/>
          <w:szCs w:val="22"/>
        </w:rPr>
        <w:t xml:space="preserve"> A Parte Receptora tratará os dados pessoais em nome da Parte Reveladora e de acordo com as instruções escritas fornecidas pela Parte Reveladora. Caso a Parte Receptora considere que não possui informações suficientes para o tratamento dos dados pessoais de acordo com este instrumento ou que uma instrução infrinja as Leis Aplicáveis à Proteção de Dados, a Parte Receptora prontamente notificará a Parte Reveladora e aguardará novas instruções.</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3.6.</w:t>
      </w:r>
      <w:r>
        <w:rPr>
          <w:rFonts w:ascii="Arial" w:hAnsi="Arial"/>
          <w:spacing w:val="2"/>
          <w:sz w:val="22"/>
          <w:szCs w:val="22"/>
        </w:rPr>
        <w:t xml:space="preserve"> Se aplicável, a Parte Receptora se certificará que qualquer terceiro sob sua responsabilidade agirá de acordo com este instrumento, as Leis Aplicáveis à Proteção de Dados e as instruções transmitidas pela Parte Reveladora. A Parte Receptora se certificará que as pessoas autorizadas a tratar os dados pessoais assumam um compromisso de confidencialidade ou estejam sujeitas a adequadas obrigações legais de confidencialidade.</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3.7.</w:t>
      </w:r>
      <w:r>
        <w:rPr>
          <w:rFonts w:ascii="Arial" w:hAnsi="Arial"/>
          <w:spacing w:val="2"/>
          <w:sz w:val="22"/>
          <w:szCs w:val="22"/>
        </w:rPr>
        <w:t xml:space="preserve"> Se o titular dos dados, autoridade de proteção de dados ou terceiro solicitar informações diretamente da Parte Receptora relativas ao tratamento de dados pessoais, a Parte Receptora submeterá esse pedido à apreciação da Parte Reveladora. A Parte Receptora não poderá, sem instruções prévias da Parte Reveladora, transferir ou, de qualquer outra forma, compartilhar e/ou garantir acesso aos dados pessoais ou a quaisquer outras informações relativas ao tratamento de dados pessoais a qualquer terceiro.</w:t>
      </w:r>
    </w:p>
    <w:p>
      <w:pPr>
        <w:pStyle w:val="NormalWeb"/>
        <w:shd w:val="clear" w:color="auto" w:fill="FFFFFF"/>
        <w:spacing w:lineRule="auto" w:line="240"/>
        <w:jc w:val="both"/>
        <w:rPr>
          <w:rFonts w:ascii="Arial" w:hAnsi="Arial"/>
          <w:sz w:val="22"/>
          <w:szCs w:val="22"/>
        </w:rPr>
      </w:pPr>
      <w:r>
        <w:rPr>
          <w:rFonts w:ascii="Arial" w:hAnsi="Arial"/>
          <w:b/>
          <w:bCs/>
          <w:spacing w:val="2"/>
          <w:sz w:val="22"/>
          <w:szCs w:val="22"/>
        </w:rPr>
        <w:t>CLÁUSULA QUARTA – DAS DISPOSIÇÕES GERAIS</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4.1.</w:t>
      </w:r>
      <w:r>
        <w:rPr>
          <w:rFonts w:ascii="Arial" w:hAnsi="Arial"/>
          <w:spacing w:val="2"/>
          <w:sz w:val="22"/>
          <w:szCs w:val="22"/>
        </w:rPr>
        <w:t xml:space="preserve"> Este instrumento poderá ser alterado somente mediante a celebração de Termo Aditivo.</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4.2.</w:t>
      </w:r>
      <w:r>
        <w:rPr>
          <w:rFonts w:ascii="Arial" w:hAnsi="Arial"/>
          <w:spacing w:val="2"/>
          <w:sz w:val="22"/>
          <w:szCs w:val="22"/>
        </w:rPr>
        <w:t xml:space="preserve"> A nulidade ou anulação de qualquer cláusula deste instrumento não implicará na nulidade ou anulação das demais cláusulas, que permanecerão em vigor, a menos que expressamente anuladas por decisão judicial.</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4.3.</w:t>
      </w:r>
      <w:r>
        <w:rPr>
          <w:rFonts w:ascii="Arial" w:hAnsi="Arial"/>
          <w:spacing w:val="2"/>
          <w:sz w:val="22"/>
          <w:szCs w:val="22"/>
        </w:rPr>
        <w:t xml:space="preserve"> O não exercício pelas partes de quaisquer dos direitos ou prerrogativas previstos neste instrumento ou na legislação aplicável será tido como ato de mera liberalidade, não constituindo alteração ou novação das obrigações ora estabelecidas, cujo cumprimento poderá ser exigido a qualquer tempo, independentemente de comunicação prévia à parte.</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4.4.</w:t>
      </w:r>
      <w:r>
        <w:rPr>
          <w:rFonts w:ascii="Arial" w:hAnsi="Arial"/>
          <w:spacing w:val="2"/>
          <w:sz w:val="22"/>
          <w:szCs w:val="22"/>
        </w:rPr>
        <w:t xml:space="preserve"> O presente instrumento é celebrado em caráter irrevogável e irretratável, obrigando as partes e seus sucessores, a qualquer título e tempo.</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4.5.</w:t>
      </w:r>
      <w:r>
        <w:rPr>
          <w:rFonts w:ascii="Arial" w:hAnsi="Arial"/>
          <w:spacing w:val="2"/>
          <w:sz w:val="22"/>
          <w:szCs w:val="22"/>
        </w:rPr>
        <w:t xml:space="preserve"> A Parte Receptora declara que os serviços serão prestados de acordo com todas as legislações, princípios e normas aplicáveis, inclusive a Lei nº 13.709/2018 – Lei Geral de Proteção de Dados (LGDP).</w:t>
      </w:r>
    </w:p>
    <w:p>
      <w:pPr>
        <w:pStyle w:val="NormalWeb"/>
        <w:shd w:val="clear" w:color="auto" w:fill="FFFFFF"/>
        <w:spacing w:lineRule="auto" w:line="240"/>
        <w:jc w:val="both"/>
        <w:rPr>
          <w:rFonts w:ascii="Arial" w:hAnsi="Arial"/>
          <w:sz w:val="22"/>
          <w:szCs w:val="22"/>
        </w:rPr>
      </w:pPr>
      <w:r>
        <w:rPr>
          <w:rFonts w:ascii="Arial" w:hAnsi="Arial"/>
          <w:b/>
          <w:color w:val="000000"/>
          <w:spacing w:val="2"/>
          <w:sz w:val="22"/>
          <w:szCs w:val="22"/>
        </w:rPr>
        <w:t>4.6.</w:t>
      </w:r>
      <w:r>
        <w:rPr>
          <w:rFonts w:ascii="Arial" w:hAnsi="Arial"/>
          <w:color w:val="000000"/>
          <w:spacing w:val="2"/>
          <w:sz w:val="22"/>
          <w:szCs w:val="22"/>
        </w:rPr>
        <w:t xml:space="preserve"> Os efeitos deste instrumento retroagem à data que a Parte Receptora teve acesso à primeira informação confidencial relacionada ao contrato/ata assinado juntamente com o Município de Itá-SC, sendo que todas as obrigações </w:t>
      </w:r>
      <w:r>
        <w:rPr>
          <w:rFonts w:ascii="Arial" w:hAnsi="Arial"/>
          <w:spacing w:val="2"/>
          <w:sz w:val="22"/>
          <w:szCs w:val="22"/>
        </w:rPr>
        <w:t>aqui estabelecidas permanecerão válidas até que a Parte Reveladora autorize (por escrito) a revelação da informação confidencial, observado, ainda, o disposto nas legislações vigentes (inclusive a Lei nº 13.709/2018 – LGPD).</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4.7.</w:t>
      </w:r>
      <w:r>
        <w:rPr>
          <w:rFonts w:ascii="Arial" w:hAnsi="Arial"/>
          <w:spacing w:val="2"/>
          <w:sz w:val="22"/>
          <w:szCs w:val="22"/>
        </w:rPr>
        <w:t xml:space="preserve"> As partes declaram e reconhecem que são</w:t>
      </w:r>
      <w:r>
        <w:rPr>
          <w:rFonts w:ascii="Arial" w:hAnsi="Arial"/>
          <w:b/>
          <w:spacing w:val="2"/>
          <w:sz w:val="22"/>
          <w:szCs w:val="22"/>
        </w:rPr>
        <w:t xml:space="preserve"> </w:t>
      </w:r>
      <w:r>
        <w:rPr>
          <w:rFonts w:ascii="Arial" w:hAnsi="Arial"/>
          <w:spacing w:val="2"/>
          <w:sz w:val="22"/>
          <w:szCs w:val="22"/>
        </w:rPr>
        <w:t>entidades totalmente independentes entre si, de forma que nenhuma disposição deste instrumento poderá ser interpretada no sentido de criar qualquer vínculo empregatício entre as partes, bem como entre os empregados de uma parte e a outra parte.</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4.8.</w:t>
      </w:r>
      <w:r>
        <w:rPr>
          <w:rFonts w:ascii="Arial" w:hAnsi="Arial"/>
          <w:spacing w:val="2"/>
          <w:sz w:val="22"/>
          <w:szCs w:val="22"/>
        </w:rPr>
        <w:t xml:space="preserve"> Através deste instrumento, a Parte Receptora cede à Parte Reveladora todos os direitos patrimoniais de autor a ela pertencente, decorrentes dos serviços prestados.</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4.9.</w:t>
      </w:r>
      <w:r>
        <w:rPr>
          <w:rFonts w:ascii="Arial" w:hAnsi="Arial"/>
          <w:spacing w:val="2"/>
          <w:sz w:val="22"/>
          <w:szCs w:val="22"/>
        </w:rPr>
        <w:t xml:space="preserve"> A inobservância de qualquer uma das disposições estabelecidas neste instrumento, sujeitará a Parte Receptora ao pagamento ou ressarcimento, de todas as perdas e danos, materiais e morais, lucros cessantes, nos termos das legislações vigentes.</w:t>
      </w:r>
    </w:p>
    <w:p>
      <w:pPr>
        <w:pStyle w:val="NormalWeb"/>
        <w:shd w:val="clear" w:color="auto" w:fill="FFFFFF"/>
        <w:spacing w:lineRule="auto" w:line="240"/>
        <w:jc w:val="both"/>
        <w:rPr>
          <w:rFonts w:ascii="Arial" w:hAnsi="Arial"/>
          <w:sz w:val="22"/>
          <w:szCs w:val="22"/>
        </w:rPr>
      </w:pPr>
      <w:r>
        <w:rPr>
          <w:rFonts w:ascii="Arial" w:hAnsi="Arial"/>
          <w:b/>
          <w:bCs/>
          <w:spacing w:val="2"/>
          <w:sz w:val="22"/>
          <w:szCs w:val="22"/>
        </w:rPr>
        <w:t>CLÁUSULA QUINTA – DO FORO</w:t>
      </w:r>
    </w:p>
    <w:p>
      <w:pPr>
        <w:pStyle w:val="NormalWeb"/>
        <w:shd w:val="clear" w:color="auto" w:fill="FFFFFF"/>
        <w:spacing w:lineRule="auto" w:line="240"/>
        <w:jc w:val="both"/>
        <w:rPr>
          <w:rFonts w:ascii="Arial" w:hAnsi="Arial"/>
          <w:sz w:val="22"/>
          <w:szCs w:val="22"/>
        </w:rPr>
      </w:pPr>
      <w:r>
        <w:rPr>
          <w:rFonts w:ascii="Arial" w:hAnsi="Arial"/>
          <w:b/>
          <w:spacing w:val="2"/>
          <w:sz w:val="22"/>
          <w:szCs w:val="22"/>
        </w:rPr>
        <w:t>5.1.</w:t>
      </w:r>
      <w:r>
        <w:rPr>
          <w:rFonts w:ascii="Arial" w:hAnsi="Arial"/>
          <w:spacing w:val="2"/>
          <w:sz w:val="22"/>
          <w:szCs w:val="22"/>
        </w:rPr>
        <w:t xml:space="preserve"> Fica eleito o Foro da Comarca de Itá,</w:t>
      </w:r>
      <w:r>
        <w:rPr>
          <w:rFonts w:ascii="Arial" w:hAnsi="Arial"/>
          <w:color w:val="FF0000"/>
          <w:spacing w:val="2"/>
          <w:sz w:val="22"/>
          <w:szCs w:val="22"/>
        </w:rPr>
        <w:t xml:space="preserve"> </w:t>
      </w:r>
      <w:r>
        <w:rPr>
          <w:rFonts w:ascii="Arial" w:hAnsi="Arial"/>
          <w:spacing w:val="2"/>
          <w:sz w:val="22"/>
          <w:szCs w:val="22"/>
        </w:rPr>
        <w:t>Estado de Santa Catarina, como único competente para dirimir as controvérsias resultantes deste instrumento, renunciando as partes a qualquer outro, por mais privilegiado que seja ou venha a ser.</w:t>
      </w:r>
    </w:p>
    <w:p>
      <w:pPr>
        <w:pStyle w:val="NormalWeb"/>
        <w:shd w:val="clear" w:color="auto" w:fill="FFFFFF"/>
        <w:spacing w:lineRule="auto" w:line="240"/>
        <w:jc w:val="both"/>
        <w:rPr>
          <w:rFonts w:ascii="Arial" w:hAnsi="Arial"/>
          <w:spacing w:val="2"/>
          <w:sz w:val="22"/>
          <w:szCs w:val="22"/>
        </w:rPr>
      </w:pPr>
      <w:r>
        <w:rPr>
          <w:rFonts w:ascii="Arial" w:hAnsi="Arial"/>
          <w:spacing w:val="2"/>
          <w:sz w:val="22"/>
          <w:szCs w:val="22"/>
        </w:rPr>
      </w:r>
    </w:p>
    <w:p>
      <w:pPr>
        <w:pStyle w:val="NormalWeb"/>
        <w:shd w:val="clear" w:color="auto" w:fill="FFFFFF"/>
        <w:spacing w:lineRule="auto" w:line="240"/>
        <w:jc w:val="both"/>
        <w:rPr>
          <w:rFonts w:ascii="Arial" w:hAnsi="Arial"/>
          <w:sz w:val="22"/>
          <w:szCs w:val="22"/>
        </w:rPr>
      </w:pPr>
      <w:r>
        <w:rPr>
          <w:rFonts w:ascii="Arial" w:hAnsi="Arial"/>
          <w:spacing w:val="2"/>
          <w:sz w:val="22"/>
          <w:szCs w:val="22"/>
        </w:rPr>
        <w:t>E, por estarem justas e contratadas, as partes assinam este o </w:t>
      </w:r>
      <w:r>
        <w:rPr>
          <w:rFonts w:ascii="Arial" w:hAnsi="Arial"/>
          <w:b/>
          <w:bCs/>
          <w:spacing w:val="2"/>
          <w:sz w:val="22"/>
          <w:szCs w:val="22"/>
        </w:rPr>
        <w:t xml:space="preserve">Instrumento </w:t>
      </w:r>
    </w:p>
    <w:p>
      <w:pPr>
        <w:pStyle w:val="NormalWeb"/>
        <w:shd w:val="clear" w:color="auto" w:fill="FFFFFF"/>
        <w:spacing w:lineRule="auto" w:line="240"/>
        <w:jc w:val="both"/>
        <w:rPr>
          <w:rFonts w:ascii="Arial" w:hAnsi="Arial"/>
          <w:spacing w:val="2"/>
          <w:sz w:val="22"/>
          <w:szCs w:val="22"/>
        </w:rPr>
      </w:pPr>
      <w:r>
        <w:rPr>
          <w:rFonts w:ascii="Arial" w:hAnsi="Arial"/>
          <w:spacing w:val="2"/>
          <w:sz w:val="22"/>
          <w:szCs w:val="22"/>
        </w:rPr>
      </w:r>
    </w:p>
    <w:p>
      <w:pPr>
        <w:pStyle w:val="NormalWeb"/>
        <w:shd w:val="clear" w:color="auto" w:fill="FFFFFF"/>
        <w:spacing w:lineRule="auto" w:line="240"/>
        <w:jc w:val="center"/>
        <w:rPr>
          <w:rFonts w:ascii="Arial" w:hAnsi="Arial"/>
          <w:sz w:val="22"/>
          <w:szCs w:val="22"/>
        </w:rPr>
      </w:pPr>
      <w:r>
        <w:rPr>
          <w:rFonts w:ascii="Arial" w:hAnsi="Arial"/>
          <w:spacing w:val="2"/>
          <w:sz w:val="22"/>
          <w:szCs w:val="22"/>
        </w:rPr>
        <w:t>(LOCAL), (DATA).</w:t>
      </w:r>
    </w:p>
    <w:p>
      <w:pPr>
        <w:pStyle w:val="NormalWeb"/>
        <w:shd w:val="clear" w:color="auto" w:fill="FFFFFF"/>
        <w:spacing w:lineRule="auto" w:line="240"/>
        <w:jc w:val="center"/>
        <w:rPr>
          <w:rFonts w:ascii="Arial" w:hAnsi="Arial"/>
          <w:spacing w:val="2"/>
          <w:sz w:val="22"/>
          <w:szCs w:val="22"/>
        </w:rPr>
      </w:pPr>
      <w:r>
        <w:rPr>
          <w:rFonts w:ascii="Arial" w:hAnsi="Arial"/>
          <w:spacing w:val="2"/>
          <w:sz w:val="22"/>
          <w:szCs w:val="22"/>
        </w:rPr>
      </w:r>
    </w:p>
    <w:p>
      <w:pPr>
        <w:pStyle w:val="NormalWeb"/>
        <w:shd w:val="clear" w:color="auto" w:fill="FFFFFF"/>
        <w:spacing w:lineRule="auto" w:line="240"/>
        <w:jc w:val="center"/>
        <w:rPr>
          <w:rFonts w:ascii="Arial" w:hAnsi="Arial"/>
          <w:sz w:val="22"/>
          <w:szCs w:val="22"/>
        </w:rPr>
      </w:pPr>
      <w:r>
        <w:rPr>
          <w:rFonts w:ascii="Arial" w:hAnsi="Arial"/>
          <w:spacing w:val="2"/>
          <w:sz w:val="22"/>
          <w:szCs w:val="22"/>
        </w:rPr>
        <w:t>______________________________________________________________</w:t>
      </w:r>
    </w:p>
    <w:p>
      <w:pPr>
        <w:pStyle w:val="NormalWeb"/>
        <w:shd w:val="clear" w:color="auto" w:fill="FFFFFF"/>
        <w:spacing w:lineRule="auto" w:line="240"/>
        <w:jc w:val="center"/>
        <w:rPr>
          <w:rFonts w:ascii="Arial" w:hAnsi="Arial"/>
          <w:sz w:val="22"/>
          <w:szCs w:val="22"/>
        </w:rPr>
      </w:pPr>
      <w:r>
        <w:rPr>
          <w:rFonts w:ascii="Arial" w:hAnsi="Arial"/>
          <w:b/>
          <w:bCs/>
          <w:spacing w:val="2"/>
          <w:sz w:val="22"/>
          <w:szCs w:val="22"/>
        </w:rPr>
        <w:t>Razão Social do Contratado</w:t>
      </w:r>
    </w:p>
    <w:p>
      <w:pPr>
        <w:pStyle w:val="NormalWeb"/>
        <w:shd w:val="clear" w:color="auto" w:fill="FFFFFF"/>
        <w:spacing w:lineRule="auto" w:line="240"/>
        <w:jc w:val="center"/>
        <w:rPr>
          <w:rFonts w:ascii="Arial" w:hAnsi="Arial"/>
          <w:b/>
          <w:b/>
          <w:bCs/>
          <w:spacing w:val="2"/>
          <w:sz w:val="22"/>
          <w:szCs w:val="22"/>
        </w:rPr>
      </w:pPr>
      <w:r>
        <w:rPr>
          <w:rFonts w:ascii="Arial" w:hAnsi="Arial"/>
          <w:b/>
          <w:bCs/>
          <w:spacing w:val="2"/>
          <w:sz w:val="22"/>
          <w:szCs w:val="22"/>
        </w:rPr>
      </w:r>
    </w:p>
    <w:p>
      <w:pPr>
        <w:pStyle w:val="NormalWeb"/>
        <w:shd w:val="clear" w:color="auto" w:fill="FFFFFF"/>
        <w:spacing w:lineRule="auto" w:line="240"/>
        <w:jc w:val="both"/>
        <w:rPr>
          <w:rFonts w:ascii="Arial" w:hAnsi="Arial"/>
          <w:spacing w:val="2"/>
          <w:sz w:val="22"/>
          <w:szCs w:val="22"/>
        </w:rPr>
      </w:pPr>
      <w:r>
        <w:rPr>
          <w:rFonts w:ascii="Arial" w:hAnsi="Arial"/>
          <w:spacing w:val="2"/>
          <w:sz w:val="22"/>
          <w:szCs w:val="22"/>
        </w:rPr>
      </w:r>
    </w:p>
    <w:p>
      <w:pPr>
        <w:pStyle w:val="NormalWeb"/>
        <w:shd w:val="clear" w:color="auto" w:fill="FFFFFF"/>
        <w:spacing w:lineRule="auto" w:line="240"/>
        <w:jc w:val="both"/>
        <w:rPr>
          <w:rFonts w:ascii="Arial" w:hAnsi="Arial"/>
          <w:spacing w:val="2"/>
          <w:sz w:val="22"/>
          <w:szCs w:val="22"/>
        </w:rPr>
      </w:pPr>
      <w:r>
        <w:rPr>
          <w:rFonts w:ascii="Arial" w:hAnsi="Arial"/>
          <w:spacing w:val="2"/>
          <w:sz w:val="22"/>
          <w:szCs w:val="22"/>
        </w:rPr>
      </w:r>
    </w:p>
    <w:p>
      <w:pPr>
        <w:pStyle w:val="NormalWeb"/>
        <w:shd w:val="clear" w:color="auto" w:fill="FFFFFF"/>
        <w:spacing w:lineRule="auto" w:line="240"/>
        <w:jc w:val="both"/>
        <w:rPr>
          <w:rFonts w:ascii="Arial" w:hAnsi="Arial"/>
          <w:spacing w:val="2"/>
          <w:sz w:val="22"/>
          <w:szCs w:val="22"/>
        </w:rPr>
      </w:pPr>
      <w:r>
        <w:rPr>
          <w:rFonts w:ascii="Arial" w:hAnsi="Arial"/>
          <w:spacing w:val="2"/>
          <w:sz w:val="22"/>
          <w:szCs w:val="22"/>
        </w:rPr>
      </w:r>
    </w:p>
    <w:p>
      <w:pPr>
        <w:pStyle w:val="NormalWeb"/>
        <w:shd w:val="clear" w:color="auto" w:fill="FFFFFF"/>
        <w:spacing w:lineRule="auto" w:line="240"/>
        <w:jc w:val="both"/>
        <w:rPr>
          <w:rFonts w:ascii="Arial" w:hAnsi="Arial"/>
          <w:spacing w:val="2"/>
          <w:sz w:val="22"/>
          <w:szCs w:val="22"/>
        </w:rPr>
      </w:pPr>
      <w:r>
        <w:rPr>
          <w:rFonts w:ascii="Arial" w:hAnsi="Arial"/>
          <w:spacing w:val="2"/>
          <w:sz w:val="22"/>
          <w:szCs w:val="22"/>
        </w:rPr>
      </w:r>
    </w:p>
    <w:p>
      <w:pPr>
        <w:pStyle w:val="NormalWeb"/>
        <w:shd w:val="clear" w:color="auto" w:fill="FFFFFF"/>
        <w:spacing w:lineRule="auto" w:line="240"/>
        <w:jc w:val="both"/>
        <w:rPr>
          <w:rFonts w:ascii="Arial" w:hAnsi="Arial"/>
          <w:spacing w:val="2"/>
          <w:sz w:val="22"/>
          <w:szCs w:val="22"/>
        </w:rPr>
      </w:pPr>
      <w:r>
        <w:rPr>
          <w:rFonts w:ascii="Arial" w:hAnsi="Arial"/>
          <w:spacing w:val="2"/>
          <w:sz w:val="22"/>
          <w:szCs w:val="22"/>
        </w:rPr>
      </w:r>
    </w:p>
    <w:p>
      <w:pPr>
        <w:pStyle w:val="NormalWeb"/>
        <w:shd w:val="clear" w:color="auto" w:fill="FFFFFF"/>
        <w:spacing w:lineRule="auto" w:line="240"/>
        <w:jc w:val="both"/>
        <w:rPr>
          <w:rFonts w:ascii="Arial" w:hAnsi="Arial"/>
          <w:spacing w:val="2"/>
          <w:sz w:val="22"/>
          <w:szCs w:val="22"/>
        </w:rPr>
      </w:pPr>
      <w:r>
        <w:rPr>
          <w:rFonts w:ascii="Arial" w:hAnsi="Arial"/>
          <w:spacing w:val="2"/>
          <w:sz w:val="22"/>
          <w:szCs w:val="22"/>
        </w:rPr>
      </w:r>
    </w:p>
    <w:p>
      <w:pPr>
        <w:pStyle w:val="NormalWeb"/>
        <w:shd w:val="clear" w:color="auto" w:fill="FFFFFF"/>
        <w:spacing w:lineRule="auto" w:line="240"/>
        <w:jc w:val="both"/>
        <w:rPr>
          <w:rFonts w:ascii="Arial" w:hAnsi="Arial"/>
          <w:spacing w:val="2"/>
          <w:sz w:val="22"/>
          <w:szCs w:val="22"/>
        </w:rPr>
      </w:pPr>
      <w:r>
        <w:rPr>
          <w:rFonts w:ascii="Arial" w:hAnsi="Arial"/>
          <w:spacing w:val="2"/>
          <w:sz w:val="22"/>
          <w:szCs w:val="22"/>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PROCESSO LICITATÓRIO Nº </w:t>
      </w:r>
      <w:r>
        <w:rPr>
          <w:rFonts w:eastAsia="Times New Roman" w:cs="Times New Roman" w:ascii="Arial" w:hAnsi="Arial"/>
          <w:b/>
          <w:color w:val="000000"/>
          <w:kern w:val="0"/>
          <w:sz w:val="22"/>
          <w:szCs w:val="22"/>
          <w:lang w:val="pt-BR" w:eastAsia="pt-BR" w:bidi="ar-SA"/>
        </w:rPr>
        <w:t>193</w:t>
      </w:r>
      <w:r>
        <w:rPr>
          <w:rFonts w:eastAsia="Times New Roman" w:cs="Times New Roman" w:ascii="Arial" w:hAnsi="Arial"/>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shd w:val="clear" w:color="auto" w:fill="FFFFFF"/>
        <w:tabs>
          <w:tab w:val="clear" w:pos="720"/>
          <w:tab w:val="left" w:pos="1701" w:leader="none"/>
        </w:tabs>
        <w:spacing w:lineRule="auto" w:line="240" w:before="0" w:after="0"/>
        <w:jc w:val="center"/>
        <w:textAlignment w:val="baseline"/>
        <w:rPr/>
      </w:pPr>
      <w:r>
        <w:rPr>
          <w:rFonts w:eastAsia="Times New Roman" w:cs="Times New Roman" w:ascii="Arial" w:hAnsi="Arial"/>
          <w:b/>
          <w:spacing w:val="2"/>
          <w:lang w:eastAsia="pt-BR"/>
        </w:rPr>
        <w:t xml:space="preserve">EDITAL DE PREGÃO ELETRÔNICO Nº </w:t>
      </w:r>
      <w:r>
        <w:rPr>
          <w:rFonts w:eastAsia="Times New Roman" w:cs="Times New Roman" w:ascii="Arial" w:hAnsi="Arial"/>
          <w:b/>
          <w:color w:val="000000"/>
          <w:spacing w:val="2"/>
          <w:kern w:val="0"/>
          <w:sz w:val="22"/>
          <w:szCs w:val="22"/>
          <w:lang w:val="pt-BR" w:eastAsia="pt-BR" w:bidi="ar-SA"/>
        </w:rPr>
        <w:t>083</w:t>
      </w:r>
      <w:r>
        <w:rPr>
          <w:rFonts w:eastAsia="Times New Roman" w:cs="Times New Roman" w:ascii="Arial" w:hAnsi="Arial"/>
          <w:b/>
          <w:spacing w:val="2"/>
          <w:lang w:eastAsia="pt-BR"/>
        </w:rPr>
        <w:t>/2023</w:t>
      </w:r>
    </w:p>
    <w:p>
      <w:pPr>
        <w:pStyle w:val="NormalWeb"/>
        <w:shd w:val="clear" w:color="auto" w:fill="FFFFFF"/>
        <w:spacing w:lineRule="auto" w:line="240" w:before="0" w:after="0"/>
        <w:jc w:val="both"/>
        <w:rPr>
          <w:rFonts w:ascii="Arial" w:hAnsi="Arial"/>
          <w:spacing w:val="2"/>
          <w:sz w:val="22"/>
          <w:szCs w:val="22"/>
        </w:rPr>
      </w:pPr>
      <w:r>
        <w:rPr>
          <w:rFonts w:ascii="Arial" w:hAnsi="Arial"/>
          <w:spacing w:val="2"/>
          <w:sz w:val="22"/>
          <w:szCs w:val="22"/>
        </w:rPr>
      </w:r>
    </w:p>
    <w:p>
      <w:pPr>
        <w:pStyle w:val="Normal"/>
        <w:spacing w:lineRule="auto" w:line="240" w:before="0" w:after="0"/>
        <w:jc w:val="center"/>
        <w:rPr/>
      </w:pPr>
      <w:r>
        <w:rPr>
          <w:rFonts w:cs="Times New Roman" w:ascii="Arial" w:hAnsi="Arial"/>
          <w:b/>
        </w:rPr>
        <w:t>ANEXO V</w:t>
      </w:r>
    </w:p>
    <w:p>
      <w:pPr>
        <w:pStyle w:val="Normal"/>
        <w:spacing w:lineRule="auto" w:line="240" w:before="0" w:after="0"/>
        <w:jc w:val="center"/>
        <w:rPr>
          <w:rFonts w:ascii="Arial" w:hAnsi="Arial" w:cs="Times New Roman"/>
          <w:b/>
          <w:b/>
        </w:rPr>
      </w:pPr>
      <w:r>
        <w:rPr>
          <w:rFonts w:cs="Times New Roman" w:ascii="Arial" w:hAnsi="Arial"/>
          <w:b/>
        </w:rPr>
      </w:r>
    </w:p>
    <w:p>
      <w:pPr>
        <w:pStyle w:val="Normal"/>
        <w:spacing w:lineRule="auto" w:line="240"/>
        <w:jc w:val="center"/>
        <w:rPr/>
      </w:pPr>
      <w:r>
        <w:rPr>
          <w:rFonts w:cs="Times New Roman" w:ascii="Arial" w:hAnsi="Arial"/>
          <w:b/>
        </w:rPr>
        <w:t>APLICAÇÃO DOS ARTS. 42 AO 49 DA LEI COMPLEMENTAR Nº 123/2006</w:t>
      </w:r>
    </w:p>
    <w:p>
      <w:pPr>
        <w:pStyle w:val="Normal"/>
        <w:spacing w:lineRule="auto" w:line="240"/>
        <w:ind w:firstLine="708"/>
        <w:jc w:val="both"/>
        <w:rPr>
          <w:rFonts w:ascii="Arial" w:hAnsi="Arial" w:cs="Times New Roman"/>
        </w:rPr>
      </w:pPr>
      <w:r>
        <w:rPr>
          <w:rFonts w:cs="Times New Roman" w:ascii="Arial" w:hAnsi="Arial"/>
        </w:rPr>
      </w:r>
    </w:p>
    <w:p>
      <w:pPr>
        <w:pStyle w:val="Normal"/>
        <w:spacing w:lineRule="auto" w:line="240"/>
        <w:ind w:firstLine="708"/>
        <w:jc w:val="both"/>
        <w:rPr>
          <w:rFonts w:ascii="Arial" w:hAnsi="Arial"/>
        </w:rPr>
      </w:pPr>
      <w:r>
        <w:rPr>
          <w:rFonts w:cs="Times New Roman" w:ascii="Arial" w:hAnsi="Arial"/>
        </w:rPr>
        <w:t>O licitante ___________________________, inscrito no CPF/CNPJ nº ______________, DECLARA, nos termos do art. 4º, § 2º da Lei nº 14.133/2021, que para obter os benefícios dos arts. 42 a 49 da Lei Complementar nº 123/2006, o licitante no ano-calendário de realização da licitação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 sendo que nas contratações com prazo de vigência superior a 1 (um) ano, será considerado o valor anual do contrato, conforme dispõe o art. 4º, § 3º da Lei nº 14.133/2021.</w:t>
      </w:r>
    </w:p>
    <w:p>
      <w:pPr>
        <w:pStyle w:val="Normal"/>
        <w:spacing w:lineRule="auto" w:line="240"/>
        <w:jc w:val="both"/>
        <w:rPr>
          <w:rFonts w:ascii="Arial" w:hAnsi="Arial"/>
        </w:rPr>
      </w:pPr>
      <w:r>
        <w:rPr>
          <w:rFonts w:cs="Times New Roman" w:ascii="Arial" w:hAnsi="Arial"/>
        </w:rPr>
        <w:tab/>
        <w:t>Por ser expressão da verdade, assumo inteira responsabilidade por esta declaração, sob pena do art. 299 do Código Penal.</w:t>
      </w:r>
    </w:p>
    <w:p>
      <w:pPr>
        <w:pStyle w:val="Normal"/>
        <w:spacing w:lineRule="auto" w:line="240"/>
        <w:jc w:val="both"/>
        <w:rPr>
          <w:rFonts w:ascii="Arial" w:hAnsi="Arial" w:cs="Times New Roman"/>
        </w:rPr>
      </w:pPr>
      <w:r>
        <w:rPr>
          <w:rFonts w:cs="Times New Roman" w:ascii="Arial" w:hAnsi="Arial"/>
        </w:rPr>
      </w:r>
    </w:p>
    <w:p>
      <w:pPr>
        <w:pStyle w:val="Normal"/>
        <w:spacing w:lineRule="auto" w:line="240"/>
        <w:jc w:val="center"/>
        <w:rPr>
          <w:rFonts w:ascii="Arial" w:hAnsi="Arial"/>
        </w:rPr>
      </w:pPr>
      <w:r>
        <w:rPr>
          <w:rFonts w:cs="Times New Roman" w:ascii="Arial" w:hAnsi="Arial"/>
        </w:rPr>
        <w:t>(LOCAL), (DATA).</w:t>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rPr>
      </w:pPr>
      <w:r>
        <w:rPr>
          <w:rFonts w:cs="Times New Roman" w:ascii="Arial" w:hAnsi="Arial"/>
        </w:rPr>
        <w:t>______________________________________</w:t>
      </w:r>
    </w:p>
    <w:p>
      <w:pPr>
        <w:pStyle w:val="Normal"/>
        <w:spacing w:lineRule="auto" w:line="240"/>
        <w:jc w:val="center"/>
        <w:rPr>
          <w:rFonts w:ascii="Arial" w:hAnsi="Arial"/>
        </w:rPr>
      </w:pPr>
      <w:r>
        <w:rPr>
          <w:rFonts w:cs="Times New Roman" w:ascii="Arial" w:hAnsi="Arial"/>
        </w:rPr>
        <w:t>(LICITANTE – CNPJ/CPF)</w:t>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rPr>
      </w:pPr>
      <w:r>
        <w:rPr>
          <w:rFonts w:ascii="Arial" w:hAnsi="Arial"/>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PROCESSO LICITATÓRIO Nº </w:t>
      </w:r>
      <w:r>
        <w:rPr>
          <w:rFonts w:eastAsia="Times New Roman" w:cs="Times New Roman" w:ascii="Arial" w:hAnsi="Arial"/>
          <w:b/>
          <w:color w:val="000000"/>
          <w:kern w:val="0"/>
          <w:sz w:val="22"/>
          <w:szCs w:val="22"/>
          <w:lang w:val="pt-BR" w:eastAsia="pt-BR" w:bidi="ar-SA"/>
        </w:rPr>
        <w:t>193</w:t>
      </w:r>
      <w:r>
        <w:rPr>
          <w:rFonts w:eastAsia="Times New Roman" w:cs="Times New Roman" w:ascii="Arial" w:hAnsi="Arial"/>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EDITAL DE PREGÃO ELETRÔNICO Nº </w:t>
      </w:r>
      <w:r>
        <w:rPr>
          <w:rFonts w:eastAsia="Times New Roman" w:cs="Times New Roman" w:ascii="Arial" w:hAnsi="Arial"/>
          <w:b/>
          <w:color w:val="000000"/>
          <w:kern w:val="0"/>
          <w:sz w:val="22"/>
          <w:szCs w:val="22"/>
          <w:lang w:val="pt-BR" w:eastAsia="pt-BR" w:bidi="ar-SA"/>
        </w:rPr>
        <w:t>083</w:t>
      </w:r>
      <w:r>
        <w:rPr>
          <w:rFonts w:eastAsia="Times New Roman" w:cs="Times New Roman" w:ascii="Arial" w:hAnsi="Arial"/>
          <w:b/>
          <w:lang w:eastAsia="pt-BR"/>
        </w:rPr>
        <w:t>/2023</w:t>
      </w:r>
    </w:p>
    <w:p>
      <w:pPr>
        <w:pStyle w:val="Normal"/>
        <w:widowControl w:val="false"/>
        <w:tabs>
          <w:tab w:val="clear" w:pos="720"/>
          <w:tab w:val="left" w:pos="1701" w:leader="none"/>
        </w:tabs>
        <w:spacing w:lineRule="auto" w:line="240" w:before="0" w:after="0"/>
        <w:jc w:val="center"/>
        <w:textAlignment w:val="baseline"/>
        <w:rPr/>
      </w:pPr>
      <w:r>
        <w:rPr/>
      </w:r>
    </w:p>
    <w:p>
      <w:pPr>
        <w:pStyle w:val="Normal"/>
        <w:spacing w:lineRule="auto" w:line="240" w:before="0" w:after="0"/>
        <w:jc w:val="center"/>
        <w:rPr/>
      </w:pPr>
      <w:r>
        <w:rPr>
          <w:rFonts w:cs="Times New Roman" w:ascii="Arial" w:hAnsi="Arial"/>
          <w:b/>
        </w:rPr>
        <w:t>ANEXO VI</w:t>
      </w:r>
    </w:p>
    <w:p>
      <w:pPr>
        <w:pStyle w:val="Normal"/>
        <w:spacing w:lineRule="auto" w:line="240" w:before="0" w:after="0"/>
        <w:jc w:val="center"/>
        <w:rPr>
          <w:rFonts w:ascii="Arial" w:hAnsi="Arial" w:cs="Times New Roman"/>
          <w:b/>
          <w:b/>
        </w:rPr>
      </w:pPr>
      <w:r>
        <w:rPr>
          <w:rFonts w:cs="Times New Roman" w:ascii="Arial" w:hAnsi="Arial"/>
          <w:b/>
        </w:rPr>
      </w:r>
    </w:p>
    <w:p>
      <w:pPr>
        <w:pStyle w:val="Normal"/>
        <w:spacing w:lineRule="auto" w:line="240" w:before="0" w:after="0"/>
        <w:jc w:val="center"/>
        <w:rPr/>
      </w:pPr>
      <w:r>
        <w:rPr>
          <w:rFonts w:cs="Times New Roman" w:ascii="Arial" w:hAnsi="Arial"/>
          <w:b/>
        </w:rPr>
        <w:t>PROPOSTA</w:t>
      </w:r>
    </w:p>
    <w:p>
      <w:pPr>
        <w:pStyle w:val="Normal"/>
        <w:spacing w:lineRule="auto" w:line="240" w:before="0" w:after="0"/>
        <w:jc w:val="both"/>
        <w:rPr>
          <w:rFonts w:ascii="Arial" w:hAnsi="Arial" w:cs="Times New Roman"/>
        </w:rPr>
      </w:pPr>
      <w:r>
        <w:rPr>
          <w:rFonts w:cs="Times New Roman" w:ascii="Arial" w:hAnsi="Arial"/>
        </w:rPr>
      </w:r>
    </w:p>
    <w:p>
      <w:pPr>
        <w:pStyle w:val="Normal"/>
        <w:spacing w:lineRule="auto" w:line="240"/>
        <w:jc w:val="both"/>
        <w:rPr>
          <w:rFonts w:ascii="Arial" w:hAnsi="Arial" w:cs="Times New Roman"/>
          <w:b/>
          <w:b/>
        </w:rPr>
      </w:pPr>
      <w:r>
        <w:rPr>
          <w:rFonts w:cs="Times New Roman" w:ascii="Arial" w:hAnsi="Arial"/>
          <w:b/>
        </w:rPr>
      </w:r>
    </w:p>
    <w:tbl>
      <w:tblPr>
        <w:tblW w:w="9696" w:type="dxa"/>
        <w:jc w:val="left"/>
        <w:tblInd w:w="-393" w:type="dxa"/>
        <w:tblLayout w:type="fixed"/>
        <w:tblCellMar>
          <w:top w:w="0" w:type="dxa"/>
          <w:left w:w="108" w:type="dxa"/>
          <w:bottom w:w="0" w:type="dxa"/>
          <w:right w:w="108" w:type="dxa"/>
        </w:tblCellMar>
        <w:tblLook w:firstRow="1" w:noVBand="1" w:lastRow="0" w:firstColumn="1" w:lastColumn="0" w:noHBand="0" w:val="04a0"/>
      </w:tblPr>
      <w:tblGrid>
        <w:gridCol w:w="669"/>
        <w:gridCol w:w="5618"/>
        <w:gridCol w:w="1080"/>
        <w:gridCol w:w="2328"/>
      </w:tblGrid>
      <w:tr>
        <w:trPr>
          <w:trHeight w:val="475" w:hRule="atLeast"/>
        </w:trPr>
        <w:tc>
          <w:tcPr>
            <w:tcW w:w="669"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ascii="Arial" w:hAnsi="Arial" w:cs="Arial"/>
                <w:b/>
                <w:b/>
                <w:sz w:val="20"/>
                <w:szCs w:val="20"/>
                <w:shd w:fill="auto" w:val="clear"/>
              </w:rPr>
            </w:pPr>
            <w:r>
              <w:rPr>
                <w:rFonts w:cs="Arial" w:ascii="Arial" w:hAnsi="Arial"/>
                <w:b/>
                <w:sz w:val="20"/>
                <w:szCs w:val="20"/>
                <w:shd w:fill="auto" w:val="clear"/>
              </w:rPr>
              <w:t>Item</w:t>
            </w:r>
          </w:p>
        </w:tc>
        <w:tc>
          <w:tcPr>
            <w:tcW w:w="5618"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ascii="Arial" w:hAnsi="Arial" w:cs="Arial"/>
                <w:b/>
                <w:b/>
                <w:sz w:val="20"/>
                <w:szCs w:val="20"/>
                <w:shd w:fill="auto" w:val="clear"/>
              </w:rPr>
            </w:pPr>
            <w:r>
              <w:rPr>
                <w:rFonts w:cs="Arial" w:ascii="Arial" w:hAnsi="Arial"/>
                <w:b/>
                <w:sz w:val="20"/>
                <w:szCs w:val="20"/>
                <w:shd w:fill="auto" w:val="clear"/>
              </w:rPr>
              <w:t>Especificação</w:t>
            </w:r>
          </w:p>
        </w:tc>
        <w:tc>
          <w:tcPr>
            <w:tcW w:w="1080"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ascii="Arial" w:hAnsi="Arial" w:cs="Arial"/>
                <w:b/>
                <w:b/>
                <w:sz w:val="20"/>
                <w:szCs w:val="20"/>
                <w:shd w:fill="auto" w:val="clear"/>
              </w:rPr>
            </w:pPr>
            <w:r>
              <w:rPr>
                <w:rFonts w:cs="Arial" w:ascii="Arial" w:hAnsi="Arial"/>
                <w:b/>
                <w:sz w:val="20"/>
                <w:szCs w:val="20"/>
                <w:shd w:fill="auto" w:val="clear"/>
              </w:rPr>
              <w:t>Quant.</w:t>
            </w:r>
          </w:p>
        </w:tc>
        <w:tc>
          <w:tcPr>
            <w:tcW w:w="23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Arial" w:hAnsi="Arial" w:cs="Arial"/>
                <w:b/>
                <w:b/>
                <w:sz w:val="20"/>
                <w:szCs w:val="20"/>
                <w:shd w:fill="auto" w:val="clear"/>
              </w:rPr>
            </w:pPr>
            <w:r>
              <w:rPr>
                <w:rFonts w:cs="Arial" w:ascii="Arial" w:hAnsi="Arial"/>
                <w:b/>
                <w:sz w:val="20"/>
                <w:szCs w:val="20"/>
                <w:shd w:fill="auto" w:val="clear"/>
              </w:rPr>
              <w:t>Valor Total</w:t>
            </w:r>
          </w:p>
        </w:tc>
      </w:tr>
      <w:tr>
        <w:trPr>
          <w:trHeight w:val="634" w:hRule="atLeast"/>
        </w:trPr>
        <w:tc>
          <w:tcPr>
            <w:tcW w:w="66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Arial" w:hAnsi="Arial" w:cs="Arial"/>
                <w:b w:val="false"/>
                <w:b w:val="false"/>
                <w:bCs w:val="false"/>
                <w:sz w:val="20"/>
                <w:szCs w:val="20"/>
                <w:shd w:fill="auto" w:val="clear"/>
              </w:rPr>
            </w:pPr>
            <w:r>
              <w:rPr>
                <w:rFonts w:cs="Arial" w:ascii="Arial" w:hAnsi="Arial"/>
                <w:b w:val="false"/>
                <w:bCs w:val="false"/>
                <w:sz w:val="20"/>
                <w:szCs w:val="20"/>
                <w:shd w:fill="auto" w:val="clear"/>
              </w:rPr>
            </w:r>
          </w:p>
        </w:tc>
        <w:tc>
          <w:tcPr>
            <w:tcW w:w="5618" w:type="dxa"/>
            <w:tcBorders>
              <w:left w:val="single" w:sz="4" w:space="0" w:color="000000"/>
              <w:bottom w:val="single" w:sz="4" w:space="0" w:color="000000"/>
              <w:right w:val="single" w:sz="4" w:space="0" w:color="000000"/>
            </w:tcBorders>
            <w:vAlign w:val="center"/>
          </w:tcPr>
          <w:p>
            <w:pPr>
              <w:pStyle w:val="Normal"/>
              <w:widowControl w:val="false"/>
              <w:suppressAutoHyphens w:val="false"/>
              <w:spacing w:lineRule="auto" w:line="240" w:before="0" w:after="160"/>
              <w:jc w:val="both"/>
              <w:rPr>
                <w:rFonts w:ascii="Arial" w:hAnsi="Arial" w:cs="Arial"/>
                <w:bCs/>
                <w:color w:val="000000"/>
                <w:sz w:val="20"/>
                <w:szCs w:val="20"/>
                <w:shd w:fill="auto" w:val="clear"/>
              </w:rPr>
            </w:pPr>
            <w:r>
              <w:rPr>
                <w:rFonts w:cs="Arial" w:ascii="Arial" w:hAnsi="Arial"/>
                <w:bCs/>
                <w:color w:val="000000"/>
                <w:sz w:val="20"/>
                <w:szCs w:val="20"/>
                <w:shd w:fill="auto" w:val="clear"/>
              </w:rPr>
            </w:r>
          </w:p>
        </w:tc>
        <w:tc>
          <w:tcPr>
            <w:tcW w:w="1080"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Arial" w:hAnsi="Arial" w:eastAsia="Calibri" w:cs="Arial"/>
                <w:color w:val="000000"/>
                <w:sz w:val="20"/>
                <w:szCs w:val="20"/>
                <w:shd w:fill="auto" w:val="clear"/>
              </w:rPr>
            </w:pPr>
            <w:r>
              <w:rPr>
                <w:rFonts w:eastAsia="Calibri" w:cs="Arial" w:ascii="Arial" w:hAnsi="Arial"/>
                <w:color w:val="000000"/>
                <w:sz w:val="20"/>
                <w:szCs w:val="20"/>
                <w:shd w:fill="auto" w:val="clear"/>
              </w:rPr>
            </w:r>
          </w:p>
        </w:tc>
        <w:tc>
          <w:tcPr>
            <w:tcW w:w="23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Arial" w:hAnsi="Arial"/>
                <w:sz w:val="20"/>
                <w:szCs w:val="20"/>
                <w:shd w:fill="auto" w:val="clear"/>
              </w:rPr>
            </w:pPr>
            <w:r>
              <w:rPr>
                <w:rFonts w:ascii="Arial" w:hAnsi="Arial"/>
                <w:sz w:val="20"/>
                <w:szCs w:val="20"/>
                <w:shd w:fill="auto" w:val="clear"/>
              </w:rPr>
            </w:r>
          </w:p>
        </w:tc>
      </w:tr>
    </w:tbl>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cs="Times New Roman" w:ascii="Arial" w:hAnsi="Arial"/>
        </w:rPr>
        <w:tab/>
        <w:t>O licitante ___________________________, inscrito no CPF/CNPJ nº ______________, 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spacing w:lineRule="auto" w:line="240"/>
        <w:jc w:val="both"/>
        <w:rPr>
          <w:rFonts w:ascii="Arial" w:hAnsi="Arial"/>
        </w:rPr>
      </w:pPr>
      <w:r>
        <w:rPr>
          <w:rFonts w:cs="Times New Roman" w:ascii="Arial" w:hAnsi="Arial"/>
        </w:rPr>
        <w:tab/>
      </w:r>
      <w:r>
        <w:rPr>
          <w:rFonts w:cs="Times New Roman" w:ascii="Arial" w:hAnsi="Arial"/>
          <w:color w:val="FF0000"/>
        </w:rPr>
        <w:t xml:space="preserve"> </w:t>
      </w:r>
      <w:r>
        <w:rPr>
          <w:rFonts w:cs="Times New Roman" w:ascii="Arial" w:hAnsi="Arial"/>
          <w:color w:val="111111"/>
        </w:rPr>
        <w:t>Também DECLARA que o cálculo do valor da contratação considera taxa de risco compatível com o objeto da licitação e com os riscos atribuídos ao contratado.</w:t>
      </w:r>
    </w:p>
    <w:p>
      <w:pPr>
        <w:pStyle w:val="Normal"/>
        <w:spacing w:lineRule="auto" w:line="240"/>
        <w:ind w:firstLine="708"/>
        <w:jc w:val="both"/>
        <w:rPr>
          <w:rFonts w:ascii="Arial" w:hAnsi="Arial" w:cs="Times New Roman"/>
        </w:rPr>
      </w:pPr>
      <w:r>
        <w:rPr>
          <w:rFonts w:cs="Times New Roman" w:ascii="Arial" w:hAnsi="Arial"/>
        </w:rPr>
        <w:t>Por ser expressão da verdade, assumo inteira responsabilidade por esta declaração, sob pena do art. 299 do Código Penal.</w:t>
      </w:r>
    </w:p>
    <w:p>
      <w:pPr>
        <w:pStyle w:val="Normal"/>
        <w:spacing w:lineRule="auto" w:line="240"/>
        <w:ind w:firstLine="708"/>
        <w:jc w:val="both"/>
        <w:rPr>
          <w:rFonts w:ascii="Arial" w:hAnsi="Arial" w:cs="Times New Roman"/>
        </w:rPr>
      </w:pPr>
      <w:r>
        <w:rPr>
          <w:rFonts w:cs="Times New Roman" w:ascii="Arial" w:hAnsi="Arial"/>
        </w:rPr>
        <w:t>Dados da empresa para contato.</w:t>
      </w:r>
    </w:p>
    <w:p>
      <w:pPr>
        <w:pStyle w:val="Normal"/>
        <w:spacing w:lineRule="auto" w:line="240"/>
        <w:ind w:firstLine="708"/>
        <w:jc w:val="both"/>
        <w:rPr>
          <w:rFonts w:ascii="Arial" w:hAnsi="Arial" w:cs="Times New Roman"/>
        </w:rPr>
      </w:pPr>
      <w:r>
        <w:rPr>
          <w:rFonts w:cs="Times New Roman" w:ascii="Arial" w:hAnsi="Arial"/>
        </w:rPr>
        <w:t>Telefone:</w:t>
      </w:r>
    </w:p>
    <w:p>
      <w:pPr>
        <w:pStyle w:val="Normal"/>
        <w:spacing w:lineRule="auto" w:line="240"/>
        <w:ind w:firstLine="708"/>
        <w:jc w:val="both"/>
        <w:rPr>
          <w:rFonts w:ascii="Arial" w:hAnsi="Arial"/>
        </w:rPr>
      </w:pPr>
      <w:r>
        <w:rPr>
          <w:rFonts w:cs="Times New Roman" w:ascii="Arial" w:hAnsi="Arial"/>
        </w:rPr>
        <w:t>Email:</w:t>
      </w:r>
    </w:p>
    <w:p>
      <w:pPr>
        <w:pStyle w:val="Normal"/>
        <w:spacing w:lineRule="auto" w:line="240"/>
        <w:jc w:val="center"/>
        <w:rPr>
          <w:rFonts w:ascii="Arial" w:hAnsi="Arial"/>
        </w:rPr>
      </w:pPr>
      <w:r>
        <w:rPr>
          <w:rFonts w:cs="Times New Roman" w:ascii="Arial" w:hAnsi="Arial"/>
        </w:rPr>
        <w:t>(LOCAL), (DATA).</w:t>
      </w:r>
    </w:p>
    <w:p>
      <w:pPr>
        <w:pStyle w:val="Normal"/>
        <w:spacing w:lineRule="auto" w:line="240"/>
        <w:jc w:val="center"/>
        <w:rPr>
          <w:rFonts w:ascii="Arial" w:hAnsi="Arial"/>
        </w:rPr>
      </w:pPr>
      <w:r>
        <w:rPr>
          <w:rFonts w:cs="Times New Roman" w:ascii="Arial" w:hAnsi="Arial"/>
        </w:rPr>
        <w:t>______________________________________</w:t>
      </w:r>
    </w:p>
    <w:p>
      <w:pPr>
        <w:pStyle w:val="Normal"/>
        <w:spacing w:lineRule="auto" w:line="240"/>
        <w:jc w:val="center"/>
        <w:rPr>
          <w:rFonts w:ascii="Arial" w:hAnsi="Arial"/>
        </w:rPr>
      </w:pPr>
      <w:r>
        <w:rPr>
          <w:rFonts w:cs="Times New Roman" w:ascii="Arial" w:hAnsi="Arial"/>
        </w:rPr>
        <w:t>(LICITANTE – CNPJ/CPF)</w:t>
      </w:r>
    </w:p>
    <w:p>
      <w:pPr>
        <w:pStyle w:val="Normal"/>
        <w:spacing w:lineRule="auto" w:line="240"/>
        <w:jc w:val="center"/>
        <w:rPr>
          <w:rFonts w:ascii="Arial" w:hAnsi="Arial" w:cs="Times New Roman"/>
          <w:b/>
          <w:b/>
        </w:rPr>
      </w:pPr>
      <w:r>
        <w:rPr>
          <w:rFonts w:cs="Times New Roman" w:ascii="Arial" w:hAnsi="Arial"/>
          <w:b/>
        </w:rPr>
      </w:r>
    </w:p>
    <w:p>
      <w:pPr>
        <w:pStyle w:val="Normal"/>
        <w:spacing w:lineRule="auto" w:line="240"/>
        <w:jc w:val="center"/>
        <w:rPr>
          <w:rFonts w:ascii="Arial" w:hAnsi="Arial" w:cs="Times New Roman"/>
          <w:b/>
          <w:b/>
        </w:rPr>
      </w:pPr>
      <w:r>
        <w:rPr>
          <w:rFonts w:cs="Times New Roman" w:ascii="Arial" w:hAnsi="Arial"/>
          <w:b/>
        </w:rPr>
      </w:r>
    </w:p>
    <w:p>
      <w:pPr>
        <w:pStyle w:val="Normal"/>
        <w:spacing w:lineRule="auto" w:line="240"/>
        <w:jc w:val="center"/>
        <w:rPr>
          <w:rFonts w:ascii="Arial" w:hAnsi="Arial" w:cs="Times New Roman"/>
          <w:b/>
          <w:b/>
        </w:rPr>
      </w:pPr>
      <w:r>
        <w:rPr>
          <w:rFonts w:cs="Times New Roman" w:ascii="Arial" w:hAnsi="Arial"/>
          <w:b/>
        </w:rPr>
      </w:r>
    </w:p>
    <w:p>
      <w:pPr>
        <w:pStyle w:val="Normal"/>
        <w:spacing w:lineRule="auto" w:line="240"/>
        <w:jc w:val="center"/>
        <w:rPr>
          <w:rFonts w:ascii="Arial" w:hAnsi="Arial" w:cs="Times New Roman"/>
          <w:b/>
          <w:b/>
        </w:rPr>
      </w:pPr>
      <w:r>
        <w:rPr>
          <w:rFonts w:cs="Times New Roman" w:ascii="Arial" w:hAnsi="Arial"/>
          <w:b/>
        </w:rPr>
      </w:r>
    </w:p>
    <w:p>
      <w:pPr>
        <w:pStyle w:val="Normal"/>
        <w:spacing w:lineRule="auto" w:line="240"/>
        <w:jc w:val="center"/>
        <w:rPr>
          <w:rFonts w:ascii="Arial" w:hAnsi="Arial" w:cs="Times New Roman"/>
          <w:b/>
          <w:b/>
        </w:rPr>
      </w:pPr>
      <w:r>
        <w:rPr>
          <w:rFonts w:cs="Times New Roman" w:ascii="Arial" w:hAnsi="Arial"/>
          <w:b/>
        </w:rPr>
      </w:r>
    </w:p>
    <w:p>
      <w:pPr>
        <w:pStyle w:val="Normal"/>
        <w:spacing w:lineRule="auto" w:line="240"/>
        <w:jc w:val="center"/>
        <w:rPr>
          <w:rFonts w:ascii="Arial" w:hAnsi="Arial" w:cs="Times New Roman"/>
          <w:b/>
          <w:b/>
        </w:rPr>
      </w:pPr>
      <w:r>
        <w:rPr>
          <w:rFonts w:cs="Times New Roman" w:ascii="Arial" w:hAnsi="Arial"/>
          <w:b/>
        </w:rPr>
      </w:r>
    </w:p>
    <w:p>
      <w:pPr>
        <w:pStyle w:val="Normal"/>
        <w:spacing w:lineRule="auto" w:line="240"/>
        <w:jc w:val="center"/>
        <w:rPr>
          <w:rFonts w:ascii="Arial" w:hAnsi="Arial" w:cs="Times New Roman"/>
          <w:b/>
          <w:b/>
        </w:rPr>
      </w:pPr>
      <w:r>
        <w:rPr>
          <w:rFonts w:cs="Times New Roman" w:ascii="Arial" w:hAnsi="Arial"/>
          <w:b/>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PROCESSO LICITATÓRIO Nº </w:t>
      </w:r>
      <w:r>
        <w:rPr>
          <w:rFonts w:eastAsia="Times New Roman" w:cs="Times New Roman" w:ascii="Arial" w:hAnsi="Arial"/>
          <w:b/>
          <w:color w:val="000000"/>
          <w:kern w:val="0"/>
          <w:sz w:val="22"/>
          <w:szCs w:val="22"/>
          <w:lang w:val="pt-BR" w:eastAsia="pt-BR" w:bidi="ar-SA"/>
        </w:rPr>
        <w:t>193</w:t>
      </w:r>
      <w:r>
        <w:rPr>
          <w:rFonts w:eastAsia="Times New Roman" w:cs="Times New Roman" w:ascii="Arial" w:hAnsi="Arial"/>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EDITAL DE PREGÃO ELETRÔNICO Nº </w:t>
      </w:r>
      <w:r>
        <w:rPr>
          <w:rFonts w:eastAsia="Times New Roman" w:cs="Times New Roman" w:ascii="Arial" w:hAnsi="Arial"/>
          <w:b/>
          <w:color w:val="000000"/>
          <w:kern w:val="0"/>
          <w:sz w:val="22"/>
          <w:szCs w:val="22"/>
          <w:lang w:val="pt-BR" w:eastAsia="pt-BR" w:bidi="ar-SA"/>
        </w:rPr>
        <w:t>083</w:t>
      </w:r>
      <w:r>
        <w:rPr>
          <w:rFonts w:eastAsia="Times New Roman" w:cs="Times New Roman" w:ascii="Arial" w:hAnsi="Arial"/>
          <w:b/>
          <w:lang w:eastAsia="pt-BR"/>
        </w:rPr>
        <w:t>/2023</w:t>
      </w:r>
    </w:p>
    <w:p>
      <w:pPr>
        <w:pStyle w:val="Normal"/>
        <w:spacing w:lineRule="auto" w:line="240" w:before="0" w:after="0"/>
        <w:jc w:val="center"/>
        <w:rPr>
          <w:rFonts w:ascii="Arial" w:hAnsi="Arial" w:cs="Times New Roman"/>
          <w:b/>
          <w:b/>
        </w:rPr>
      </w:pPr>
      <w:r>
        <w:rPr>
          <w:rFonts w:cs="Times New Roman" w:ascii="Arial" w:hAnsi="Arial"/>
          <w:b/>
        </w:rPr>
      </w:r>
    </w:p>
    <w:p>
      <w:pPr>
        <w:pStyle w:val="Normal"/>
        <w:spacing w:lineRule="auto" w:line="240" w:before="0" w:after="0"/>
        <w:jc w:val="center"/>
        <w:rPr/>
      </w:pPr>
      <w:r>
        <w:rPr>
          <w:rFonts w:cs="Times New Roman" w:ascii="Arial" w:hAnsi="Arial"/>
          <w:b/>
        </w:rPr>
        <w:t>ANEXO VII</w:t>
      </w:r>
    </w:p>
    <w:p>
      <w:pPr>
        <w:pStyle w:val="Normal"/>
        <w:spacing w:lineRule="auto" w:line="240" w:before="0" w:after="0"/>
        <w:jc w:val="center"/>
        <w:rPr>
          <w:rFonts w:ascii="Arial" w:hAnsi="Arial" w:cs="Times New Roman"/>
          <w:b/>
          <w:b/>
        </w:rPr>
      </w:pPr>
      <w:r>
        <w:rPr>
          <w:rFonts w:cs="Times New Roman" w:ascii="Arial" w:hAnsi="Arial"/>
          <w:b/>
        </w:rPr>
      </w:r>
    </w:p>
    <w:p>
      <w:pPr>
        <w:pStyle w:val="Normal"/>
        <w:spacing w:lineRule="auto" w:line="240" w:before="0" w:after="0"/>
        <w:jc w:val="center"/>
        <w:rPr/>
      </w:pPr>
      <w:r>
        <w:rPr>
          <w:rFonts w:cs="Times New Roman" w:ascii="Arial" w:hAnsi="Arial"/>
          <w:b/>
        </w:rPr>
        <w:t>ATENDIMENTO AOS REQUISITOS DE HABILITAÇÃO</w:t>
      </w:r>
    </w:p>
    <w:p>
      <w:pPr>
        <w:pStyle w:val="Normal"/>
        <w:spacing w:lineRule="auto" w:line="240"/>
        <w:jc w:val="both"/>
        <w:rPr>
          <w:rFonts w:ascii="Arial" w:hAnsi="Arial" w:cs="Times New Roman"/>
        </w:rPr>
      </w:pPr>
      <w:r>
        <w:rPr>
          <w:rFonts w:cs="Times New Roman" w:ascii="Arial" w:hAnsi="Arial"/>
        </w:rPr>
      </w:r>
    </w:p>
    <w:p>
      <w:pPr>
        <w:pStyle w:val="Normal"/>
        <w:spacing w:lineRule="auto" w:line="240"/>
        <w:ind w:firstLine="708"/>
        <w:jc w:val="both"/>
        <w:rPr>
          <w:rFonts w:ascii="Arial" w:hAnsi="Arial"/>
        </w:rPr>
      </w:pPr>
      <w:r>
        <w:rPr>
          <w:rFonts w:cs="Times New Roman" w:ascii="Arial" w:hAnsi="Arial"/>
        </w:rPr>
        <w:t xml:space="preserve">O licitante ___________________________, inscrito no CPF/CNPJ nº ______________, DECLARA, nos termos do art. 63, I da Lei nº 14.133/2021 que atende aos requisitos de habilitação, respondendo pela veracidade das informações prestadas, na forma da lei. </w:t>
      </w:r>
      <w:r>
        <w:rPr>
          <w:rFonts w:cs="Arial" w:ascii="Arial" w:hAnsi="Arial"/>
        </w:rPr>
        <w:t xml:space="preserve">DECLARA ainda, que os documentos apresentados de origem não eletrônica, conferem com seus respectivos originais, nos termos do que dispõe o art. 3°, § 2° da Lei Federal n° 13.726/2018. </w:t>
      </w:r>
      <w:r>
        <w:rPr>
          <w:rFonts w:cs="Times New Roman" w:ascii="Arial" w:hAnsi="Arial"/>
        </w:rPr>
        <w:t xml:space="preserve">DECLARA ainda que </w:t>
      </w:r>
      <w:r>
        <w:rPr>
          <w:rFonts w:cs="Arial" w:ascii="Arial" w:hAnsi="Arial"/>
        </w:rPr>
        <w:t>tomou conhecimento de todas as informações e das condições locais para o cumprimento das obrigações objeto da licitação, comprometendo-se a cumprir com os requisitos e obrigações constantes no Edital do Processo Licitatório, no Estudo Técnico Preliminar, Termo de Referência e demais anexos.</w:t>
      </w:r>
    </w:p>
    <w:p>
      <w:pPr>
        <w:pStyle w:val="Normal"/>
        <w:spacing w:lineRule="auto" w:line="240"/>
        <w:jc w:val="both"/>
        <w:rPr>
          <w:rFonts w:ascii="Arial" w:hAnsi="Arial"/>
        </w:rPr>
      </w:pPr>
      <w:r>
        <w:rPr>
          <w:rFonts w:cs="Times New Roman" w:ascii="Arial" w:hAnsi="Arial"/>
        </w:rPr>
        <w:tab/>
        <w:t>Por ser expressão da verdade, assumo inteira responsabilidade por esta declaração, sob pena do art. 299 do Código Penal.</w:t>
      </w:r>
    </w:p>
    <w:p>
      <w:pPr>
        <w:pStyle w:val="Normal"/>
        <w:spacing w:lineRule="auto" w:line="240"/>
        <w:jc w:val="both"/>
        <w:rPr>
          <w:rFonts w:ascii="Arial" w:hAnsi="Arial" w:cs="Times New Roman"/>
        </w:rPr>
      </w:pPr>
      <w:r>
        <w:rPr>
          <w:rFonts w:cs="Times New Roman" w:ascii="Arial" w:hAnsi="Arial"/>
        </w:rPr>
      </w:r>
    </w:p>
    <w:p>
      <w:pPr>
        <w:pStyle w:val="Normal"/>
        <w:spacing w:lineRule="auto" w:line="240"/>
        <w:jc w:val="center"/>
        <w:rPr>
          <w:rFonts w:ascii="Arial" w:hAnsi="Arial"/>
        </w:rPr>
      </w:pPr>
      <w:r>
        <w:rPr>
          <w:rFonts w:cs="Times New Roman" w:ascii="Arial" w:hAnsi="Arial"/>
        </w:rPr>
        <w:t>(LOCAL), (DATA).</w:t>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rPr>
      </w:pPr>
      <w:r>
        <w:rPr>
          <w:rFonts w:cs="Times New Roman" w:ascii="Arial" w:hAnsi="Arial"/>
        </w:rPr>
        <w:t>______________________________________</w:t>
      </w:r>
    </w:p>
    <w:p>
      <w:pPr>
        <w:pStyle w:val="Normal"/>
        <w:spacing w:lineRule="auto" w:line="240"/>
        <w:jc w:val="center"/>
        <w:rPr>
          <w:rFonts w:ascii="Arial" w:hAnsi="Arial"/>
        </w:rPr>
      </w:pPr>
      <w:r>
        <w:rPr>
          <w:rFonts w:cs="Times New Roman" w:ascii="Arial" w:hAnsi="Arial"/>
        </w:rPr>
        <w:t>(LICITANTE – CNPJ/CPF)</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PROCESSO LICITATÓRIO Nº </w:t>
      </w:r>
      <w:r>
        <w:rPr>
          <w:rFonts w:eastAsia="Times New Roman" w:cs="Times New Roman" w:ascii="Arial" w:hAnsi="Arial"/>
          <w:b/>
          <w:color w:val="000000"/>
          <w:kern w:val="0"/>
          <w:sz w:val="22"/>
          <w:szCs w:val="22"/>
          <w:lang w:val="pt-BR" w:eastAsia="pt-BR" w:bidi="ar-SA"/>
        </w:rPr>
        <w:t>193</w:t>
      </w:r>
      <w:r>
        <w:rPr>
          <w:rFonts w:eastAsia="Times New Roman" w:cs="Times New Roman" w:ascii="Arial" w:hAnsi="Arial"/>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EDITAL DE PREGÃO ELETRÔNICO Nº </w:t>
      </w:r>
      <w:r>
        <w:rPr>
          <w:rFonts w:eastAsia="Times New Roman" w:cs="Times New Roman" w:ascii="Arial" w:hAnsi="Arial"/>
          <w:b/>
          <w:color w:val="000000"/>
          <w:kern w:val="0"/>
          <w:sz w:val="22"/>
          <w:szCs w:val="22"/>
          <w:lang w:val="pt-BR" w:eastAsia="pt-BR" w:bidi="ar-SA"/>
        </w:rPr>
        <w:t>083</w:t>
      </w:r>
      <w:r>
        <w:rPr>
          <w:rFonts w:eastAsia="Times New Roman" w:cs="Times New Roman" w:ascii="Arial" w:hAnsi="Arial"/>
          <w:b/>
          <w:lang w:eastAsia="pt-BR"/>
        </w:rPr>
        <w:t>/2023</w:t>
      </w:r>
    </w:p>
    <w:p>
      <w:pPr>
        <w:pStyle w:val="Normal"/>
        <w:widowControl w:val="false"/>
        <w:tabs>
          <w:tab w:val="clear" w:pos="720"/>
          <w:tab w:val="left" w:pos="1701" w:leader="none"/>
        </w:tabs>
        <w:spacing w:lineRule="auto" w:line="240" w:before="0" w:after="0"/>
        <w:jc w:val="both"/>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spacing w:lineRule="auto" w:line="240" w:before="0" w:after="0"/>
        <w:jc w:val="center"/>
        <w:rPr>
          <w:rFonts w:ascii="Arial" w:hAnsi="Arial"/>
        </w:rPr>
      </w:pPr>
      <w:r>
        <w:rPr>
          <w:rFonts w:cs="Times New Roman" w:ascii="Arial" w:hAnsi="Arial"/>
          <w:b/>
        </w:rPr>
        <w:t>ANEXO VIII</w:t>
      </w:r>
    </w:p>
    <w:p>
      <w:pPr>
        <w:pStyle w:val="Normal"/>
        <w:spacing w:lineRule="auto" w:line="240" w:before="0" w:after="0"/>
        <w:jc w:val="center"/>
        <w:rPr>
          <w:rFonts w:ascii="Arial" w:hAnsi="Arial"/>
        </w:rPr>
      </w:pPr>
      <w:r>
        <w:rPr>
          <w:rFonts w:ascii="Arial" w:hAnsi="Arial"/>
        </w:rPr>
      </w:r>
    </w:p>
    <w:p>
      <w:pPr>
        <w:pStyle w:val="Normal"/>
        <w:spacing w:lineRule="auto" w:line="240"/>
        <w:jc w:val="center"/>
        <w:rPr>
          <w:rFonts w:ascii="Arial" w:hAnsi="Arial"/>
        </w:rPr>
      </w:pPr>
      <w:r>
        <w:rPr>
          <w:rFonts w:cs="Times New Roman" w:ascii="Arial" w:hAnsi="Arial"/>
          <w:b/>
        </w:rPr>
        <w:t>DECLARAÇÃO DE CUMPRIMENTO DE RESERVA DE CARGOS</w:t>
      </w:r>
    </w:p>
    <w:p>
      <w:pPr>
        <w:pStyle w:val="Normal"/>
        <w:spacing w:lineRule="auto" w:line="240"/>
        <w:jc w:val="both"/>
        <w:rPr>
          <w:rFonts w:ascii="Arial" w:hAnsi="Arial" w:cs="Times New Roman"/>
        </w:rPr>
      </w:pPr>
      <w:r>
        <w:rPr>
          <w:rFonts w:cs="Times New Roman" w:ascii="Arial" w:hAnsi="Arial"/>
        </w:rPr>
      </w:r>
    </w:p>
    <w:p>
      <w:pPr>
        <w:pStyle w:val="Normal"/>
        <w:spacing w:lineRule="auto" w:line="240"/>
        <w:ind w:firstLine="708"/>
        <w:jc w:val="both"/>
        <w:rPr>
          <w:rFonts w:ascii="Arial" w:hAnsi="Arial"/>
        </w:rPr>
      </w:pPr>
      <w:r>
        <w:rPr>
          <w:rFonts w:cs="Times New Roman" w:ascii="Arial" w:hAnsi="Arial"/>
        </w:rPr>
        <w:t>O licitante ___________________________, inscrito no CPF/CNPJ nº ______________, DECLARA, nos termos do art. 63, IV, da Lei nº 14.133/2021, que cumpre as exigências de reserva de cargos para pessoa com deficiência e para reabilitado da Previdência Social, previstas em lei e em outras normas específicas.</w:t>
      </w:r>
    </w:p>
    <w:p>
      <w:pPr>
        <w:pStyle w:val="Normal"/>
        <w:spacing w:lineRule="auto" w:line="240"/>
        <w:ind w:firstLine="708"/>
        <w:jc w:val="both"/>
        <w:rPr>
          <w:rFonts w:ascii="Arial" w:hAnsi="Arial"/>
        </w:rPr>
      </w:pPr>
      <w:r>
        <w:rPr>
          <w:rFonts w:cs="Times New Roman" w:ascii="Arial" w:hAnsi="Arial"/>
        </w:rPr>
        <w:t>Por ser expressão da verdade, assumo inteira responsabilidade por esta declaração, sob pena do art. 299 do Código Penal.</w:t>
      </w:r>
    </w:p>
    <w:p>
      <w:pPr>
        <w:pStyle w:val="Normal"/>
        <w:spacing w:lineRule="auto" w:line="240"/>
        <w:jc w:val="both"/>
        <w:rPr>
          <w:rFonts w:ascii="Arial" w:hAnsi="Arial" w:cs="Times New Roman"/>
        </w:rPr>
      </w:pPr>
      <w:r>
        <w:rPr>
          <w:rFonts w:cs="Times New Roman" w:ascii="Arial" w:hAnsi="Arial"/>
        </w:rPr>
      </w:r>
    </w:p>
    <w:p>
      <w:pPr>
        <w:pStyle w:val="Normal"/>
        <w:spacing w:lineRule="auto" w:line="240"/>
        <w:jc w:val="center"/>
        <w:rPr>
          <w:rFonts w:ascii="Arial" w:hAnsi="Arial"/>
        </w:rPr>
      </w:pPr>
      <w:r>
        <w:rPr>
          <w:rFonts w:cs="Times New Roman" w:ascii="Arial" w:hAnsi="Arial"/>
        </w:rPr>
        <w:t>(LOCAL), (DATA).</w:t>
      </w:r>
    </w:p>
    <w:p>
      <w:pPr>
        <w:pStyle w:val="Normal"/>
        <w:spacing w:lineRule="auto" w:line="240"/>
        <w:jc w:val="center"/>
        <w:rPr>
          <w:rFonts w:ascii="Arial" w:hAnsi="Arial"/>
        </w:rPr>
      </w:pPr>
      <w:r>
        <w:rPr>
          <w:rFonts w:cs="Times New Roman" w:ascii="Arial" w:hAnsi="Arial"/>
        </w:rPr>
        <w:t>______________________________________</w:t>
      </w:r>
    </w:p>
    <w:p>
      <w:pPr>
        <w:pStyle w:val="Normal"/>
        <w:spacing w:lineRule="auto" w:line="240"/>
        <w:jc w:val="center"/>
        <w:rPr>
          <w:rFonts w:ascii="Arial" w:hAnsi="Arial"/>
        </w:rPr>
      </w:pPr>
      <w:r>
        <w:rPr>
          <w:rFonts w:cs="Times New Roman" w:ascii="Arial" w:hAnsi="Arial"/>
        </w:rPr>
        <w:t>(LICITANTE – CNPJ/CPF)</w:t>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spacing w:lineRule="auto" w:line="240"/>
        <w:jc w:val="center"/>
        <w:rPr>
          <w:rFonts w:ascii="Arial" w:hAnsi="Arial" w:cs="Times New Roman"/>
        </w:rPr>
      </w:pPr>
      <w:r>
        <w:rPr>
          <w:rFonts w:cs="Times New Roman" w:ascii="Arial" w:hAnsi="Arial"/>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PROCESSO LICITATÓRIO Nº </w:t>
      </w:r>
      <w:r>
        <w:rPr>
          <w:rFonts w:eastAsia="Times New Roman" w:cs="Times New Roman" w:ascii="Arial" w:hAnsi="Arial"/>
          <w:b/>
          <w:color w:val="000000"/>
          <w:kern w:val="0"/>
          <w:sz w:val="22"/>
          <w:szCs w:val="22"/>
          <w:lang w:val="pt-BR" w:eastAsia="pt-BR" w:bidi="ar-SA"/>
        </w:rPr>
        <w:t>193</w:t>
      </w:r>
      <w:r>
        <w:rPr>
          <w:rFonts w:eastAsia="Times New Roman" w:cs="Times New Roman" w:ascii="Arial" w:hAnsi="Arial"/>
          <w:b/>
          <w:lang w:eastAsia="pt-BR"/>
        </w:rPr>
        <w:t xml:space="preserve">/2023 </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widowControl w:val="false"/>
        <w:tabs>
          <w:tab w:val="clear" w:pos="720"/>
          <w:tab w:val="left" w:pos="1701" w:leader="none"/>
        </w:tabs>
        <w:spacing w:lineRule="auto" w:line="240" w:before="0" w:after="0"/>
        <w:jc w:val="center"/>
        <w:textAlignment w:val="baseline"/>
        <w:rPr/>
      </w:pPr>
      <w:r>
        <w:rPr>
          <w:rFonts w:eastAsia="Times New Roman" w:cs="Times New Roman" w:ascii="Arial" w:hAnsi="Arial"/>
          <w:b/>
          <w:lang w:eastAsia="pt-BR"/>
        </w:rPr>
        <w:t xml:space="preserve">EDITAL DE PREGÃO ELETRÔNICO Nº </w:t>
      </w:r>
      <w:r>
        <w:rPr>
          <w:rFonts w:eastAsia="Times New Roman" w:cs="Times New Roman" w:ascii="Arial" w:hAnsi="Arial"/>
          <w:b/>
          <w:color w:val="000000"/>
          <w:kern w:val="0"/>
          <w:sz w:val="22"/>
          <w:szCs w:val="22"/>
          <w:lang w:val="pt-BR" w:eastAsia="pt-BR" w:bidi="ar-SA"/>
        </w:rPr>
        <w:t>083</w:t>
      </w:r>
      <w:r>
        <w:rPr>
          <w:rFonts w:eastAsia="Times New Roman" w:cs="Times New Roman" w:ascii="Arial" w:hAnsi="Arial"/>
          <w:b/>
          <w:lang w:eastAsia="pt-BR"/>
        </w:rPr>
        <w:t>/2023</w:t>
      </w:r>
    </w:p>
    <w:p>
      <w:pPr>
        <w:pStyle w:val="Normal"/>
        <w:widowControl w:val="false"/>
        <w:tabs>
          <w:tab w:val="clear" w:pos="720"/>
          <w:tab w:val="left" w:pos="1701" w:leader="none"/>
        </w:tabs>
        <w:spacing w:lineRule="auto" w:line="240" w:before="0" w:after="0"/>
        <w:jc w:val="center"/>
        <w:textAlignment w:val="baseline"/>
        <w:rPr>
          <w:rFonts w:ascii="Arial" w:hAnsi="Arial" w:eastAsia="Times New Roman" w:cs="Times New Roman"/>
          <w:b/>
          <w:b/>
          <w:lang w:eastAsia="pt-BR"/>
        </w:rPr>
      </w:pPr>
      <w:r>
        <w:rPr>
          <w:rFonts w:eastAsia="Times New Roman" w:cs="Times New Roman" w:ascii="Arial" w:hAnsi="Arial"/>
          <w:b/>
          <w:lang w:eastAsia="pt-BR"/>
        </w:rPr>
      </w:r>
    </w:p>
    <w:p>
      <w:pPr>
        <w:pStyle w:val="Normal"/>
        <w:spacing w:lineRule="auto" w:line="240" w:before="0" w:after="0"/>
        <w:jc w:val="center"/>
        <w:rPr/>
      </w:pPr>
      <w:r>
        <w:rPr>
          <w:rFonts w:cs="Times New Roman" w:ascii="Arial" w:hAnsi="Arial"/>
          <w:b/>
        </w:rPr>
        <w:t>ANEXO IX</w:t>
      </w:r>
    </w:p>
    <w:p>
      <w:pPr>
        <w:pStyle w:val="Normal"/>
        <w:spacing w:lineRule="auto" w:line="240" w:before="0" w:after="0"/>
        <w:jc w:val="center"/>
        <w:rPr>
          <w:rFonts w:ascii="Arial" w:hAnsi="Arial" w:cs="Times New Roman"/>
          <w:b/>
          <w:b/>
        </w:rPr>
      </w:pPr>
      <w:r>
        <w:rPr>
          <w:rFonts w:cs="Times New Roman" w:ascii="Arial" w:hAnsi="Arial"/>
          <w:b/>
        </w:rPr>
      </w:r>
    </w:p>
    <w:p>
      <w:pPr>
        <w:pStyle w:val="Normal"/>
        <w:spacing w:lineRule="auto" w:line="240" w:before="0" w:after="0"/>
        <w:jc w:val="center"/>
        <w:rPr/>
      </w:pPr>
      <w:r>
        <w:rPr>
          <w:rFonts w:cs="Times New Roman" w:ascii="Arial" w:hAnsi="Arial"/>
          <w:b/>
          <w:color w:val="000000"/>
        </w:rPr>
        <w:t xml:space="preserve">CONTRATO ADMINISTRATIVO Nº </w:t>
      </w:r>
      <w:r>
        <w:rPr>
          <w:rFonts w:eastAsia="Calibri" w:cs="Times New Roman" w:ascii="Arial" w:hAnsi="Arial"/>
          <w:b/>
          <w:color w:val="000000"/>
        </w:rPr>
        <w:t>XXX</w:t>
      </w:r>
      <w:r>
        <w:rPr>
          <w:rFonts w:cs="Times New Roman" w:ascii="Arial" w:hAnsi="Arial"/>
          <w:b/>
          <w:color w:val="000000"/>
        </w:rPr>
        <w:t>/2023</w:t>
      </w:r>
    </w:p>
    <w:p>
      <w:pPr>
        <w:pStyle w:val="Normal"/>
        <w:spacing w:lineRule="auto" w:line="240" w:before="0" w:after="0"/>
        <w:jc w:val="both"/>
        <w:rPr>
          <w:rFonts w:ascii="Arial" w:hAnsi="Arial" w:cs="Times New Roman"/>
          <w:b/>
          <w:b/>
        </w:rPr>
      </w:pPr>
      <w:r>
        <w:rPr>
          <w:rFonts w:cs="Times New Roman" w:ascii="Arial" w:hAnsi="Arial"/>
          <w:b/>
        </w:rPr>
      </w:r>
    </w:p>
    <w:p>
      <w:pPr>
        <w:pStyle w:val="Normal"/>
        <w:spacing w:lineRule="auto" w:line="240"/>
        <w:jc w:val="both"/>
        <w:rPr>
          <w:rFonts w:ascii="Arial" w:hAnsi="Arial"/>
        </w:rPr>
      </w:pPr>
      <w:r>
        <w:rPr>
          <w:rFonts w:eastAsia="Times New Roman" w:cs="Times New Roman" w:ascii="Arial" w:hAnsi="Arial"/>
          <w:color w:val="111111"/>
          <w:lang w:eastAsia="pt-BR"/>
        </w:rPr>
        <w:t xml:space="preserve">O </w:t>
      </w:r>
      <w:r>
        <w:rPr>
          <w:rFonts w:eastAsia="Times New Roman" w:cs="Times New Roman" w:ascii="Arial" w:hAnsi="Arial"/>
          <w:b/>
          <w:bCs/>
          <w:color w:val="111111"/>
          <w:lang w:eastAsia="pt-BR"/>
        </w:rPr>
        <w:t>MUNICÍPIO DE ITÁ</w:t>
      </w:r>
      <w:r>
        <w:rPr>
          <w:rFonts w:eastAsia="Times New Roman" w:cs="Times New Roman" w:ascii="Arial" w:hAnsi="Arial"/>
          <w:color w:val="000000"/>
          <w:lang w:eastAsia="pt-BR"/>
        </w:rPr>
        <w:t>,</w:t>
      </w:r>
      <w:r>
        <w:rPr>
          <w:rFonts w:eastAsia="Times New Roman" w:cs="Times New Roman" w:ascii="Arial" w:hAnsi="Arial"/>
          <w:color w:val="111111"/>
          <w:lang w:eastAsia="pt-BR"/>
        </w:rPr>
        <w:t xml:space="preserve"> Estado de Santa Catarina, </w:t>
      </w:r>
      <w:r>
        <w:rPr>
          <w:rFonts w:eastAsia="Times New Roman" w:cs="Arial" w:ascii="Arial" w:hAnsi="Arial"/>
          <w:color w:val="111111"/>
          <w:lang w:eastAsia="pt-BR"/>
        </w:rPr>
        <w:t>pessoa jurídica de direito público interno</w:t>
      </w:r>
      <w:r>
        <w:rPr>
          <w:rFonts w:eastAsia="Times New Roman" w:cs="Times New Roman" w:ascii="Arial" w:hAnsi="Arial"/>
          <w:color w:val="111111"/>
          <w:lang w:eastAsia="pt-BR"/>
        </w:rPr>
        <w:t xml:space="preserve"> inscrito no CNPJ so</w:t>
      </w:r>
      <w:r>
        <w:rPr>
          <w:rFonts w:eastAsia="Times New Roman" w:cs="Times New Roman" w:ascii="Arial" w:hAnsi="Arial"/>
          <w:color w:val="000000"/>
          <w:lang w:eastAsia="pt-BR"/>
        </w:rPr>
        <w:t xml:space="preserve">b nº </w:t>
      </w:r>
      <w:r>
        <w:rPr>
          <w:rFonts w:eastAsia="Times New Roman" w:cs="Times New Roman" w:ascii="Arial" w:hAnsi="Arial"/>
          <w:color w:val="202124"/>
          <w:lang w:eastAsia="pt-BR"/>
        </w:rPr>
        <w:t>83.024.240/0001-53</w:t>
      </w:r>
      <w:r>
        <w:rPr>
          <w:rFonts w:cs="Times New Roman" w:ascii="Arial" w:hAnsi="Arial"/>
        </w:rPr>
        <w:t xml:space="preserve">, doravante denominado </w:t>
      </w:r>
      <w:r>
        <w:rPr>
          <w:rFonts w:cs="Times New Roman" w:ascii="Arial" w:hAnsi="Arial"/>
          <w:b/>
        </w:rPr>
        <w:t>CONTRATANTE</w:t>
      </w:r>
      <w:r>
        <w:rPr>
          <w:rFonts w:cs="Times New Roman" w:ascii="Arial" w:hAnsi="Arial"/>
        </w:rPr>
        <w:t xml:space="preserve">, neste ato representado </w:t>
      </w:r>
      <w:r>
        <w:rPr>
          <w:rFonts w:eastAsia="Calibri" w:cs="Times New Roman" w:ascii="Arial" w:hAnsi="Arial"/>
          <w:color w:val="000000"/>
        </w:rPr>
        <w:t xml:space="preserve">pelo seu Prefeito </w:t>
      </w:r>
      <w:r>
        <w:rPr>
          <w:rFonts w:eastAsia="Calibri" w:cs="Times New Roman" w:ascii="Arial" w:hAnsi="Arial"/>
        </w:rPr>
        <w:t>Municipal</w:t>
      </w:r>
      <w:r>
        <w:rPr>
          <w:rFonts w:cs="Times New Roman" w:ascii="Arial" w:hAnsi="Arial"/>
        </w:rPr>
        <w:t xml:space="preserve">, Sr. XXXXXX e a empresa </w:t>
      </w:r>
      <w:r>
        <w:rPr>
          <w:rFonts w:cs="Times New Roman" w:ascii="Arial" w:hAnsi="Arial"/>
          <w:b/>
        </w:rPr>
        <w:t>XXX</w:t>
      </w:r>
      <w:r>
        <w:rPr>
          <w:rFonts w:cs="Times New Roman" w:ascii="Arial" w:hAnsi="Arial"/>
        </w:rPr>
        <w:t xml:space="preserve">, inscrita no CNPJ nº 000, estabelecida em XXX, doravante denominado </w:t>
      </w:r>
      <w:r>
        <w:rPr>
          <w:rFonts w:eastAsia="Calibri" w:cs="Times New Roman" w:ascii="Arial" w:hAnsi="Arial" w:eastAsiaTheme="minorHAnsi"/>
          <w:b/>
          <w:color w:val="auto"/>
          <w:kern w:val="0"/>
          <w:sz w:val="22"/>
          <w:szCs w:val="22"/>
          <w:lang w:val="pt-BR" w:eastAsia="en-US" w:bidi="ar-SA"/>
        </w:rPr>
        <w:t>CONTRATADO</w:t>
      </w:r>
      <w:r>
        <w:rPr>
          <w:rFonts w:cs="Times New Roman" w:ascii="Arial" w:hAnsi="Arial"/>
        </w:rPr>
        <w:t>, neste ato representada por seu Sócio-Gerente XXX, resolvem celebrar este contrato, em decorrência do Processo Licitatório nº 0000/202X, (MODALIDADE) nº 000/202X, homologado em 00/00/202X, mediante as cláusulas a seguir:</w:t>
      </w:r>
    </w:p>
    <w:p>
      <w:pPr>
        <w:pStyle w:val="Normal"/>
        <w:shd w:val="clear" w:color="auto" w:fill="E7E6E6" w:themeFill="background2"/>
        <w:spacing w:lineRule="auto" w:line="240"/>
        <w:jc w:val="both"/>
        <w:rPr>
          <w:rFonts w:ascii="Arial" w:hAnsi="Arial"/>
        </w:rPr>
      </w:pPr>
      <w:r>
        <w:rPr>
          <w:rFonts w:cs="Times New Roman" w:ascii="Arial" w:hAnsi="Arial"/>
          <w:b/>
        </w:rPr>
        <w:t>CLÁUSULA PRIMEIRA: OBJETO E SEUS ELEMENTOS CARACTERÍSTICOS (art. 92, I)</w:t>
      </w:r>
    </w:p>
    <w:p>
      <w:pPr>
        <w:pStyle w:val="Normal"/>
        <w:spacing w:lineRule="auto" w:line="240"/>
        <w:jc w:val="both"/>
        <w:rPr/>
      </w:pPr>
      <w:r>
        <w:rPr>
          <w:rFonts w:cs="Times New Roman" w:ascii="Arial" w:hAnsi="Arial"/>
          <w:b/>
        </w:rPr>
        <w:t>1.</w:t>
      </w:r>
      <w:r>
        <w:rPr>
          <w:rFonts w:cs="Times New Roman" w:ascii="Arial" w:hAnsi="Arial"/>
        </w:rPr>
        <w:t xml:space="preserve"> O objeto deste contrato é a </w:t>
      </w:r>
      <w:bookmarkStart w:id="76" w:name="_Hlk1402253161"/>
      <w:r>
        <w:rPr>
          <w:rFonts w:eastAsia="Times New Roman" w:cs="Arial" w:ascii="Arial" w:hAnsi="Arial"/>
          <w:color w:val="000000"/>
          <w:lang w:eastAsia="pt-BR"/>
        </w:rPr>
        <w:t>c</w:t>
      </w:r>
      <w:bookmarkEnd w:id="76"/>
      <w:r>
        <w:rPr>
          <w:rFonts w:eastAsia="Times New Roman" w:cs="Arial" w:ascii="Arial" w:hAnsi="Arial"/>
          <w:color w:val="000000"/>
          <w:lang w:eastAsia="pt-BR"/>
        </w:rPr>
        <w:t>ontratação de empresa especializada na prestação de serviço de promoção de evento, para responsabilizar-se pela organização, realização e exploração do evento “Réveillon 2023/2024”</w:t>
      </w:r>
      <w:r>
        <w:rPr>
          <w:rFonts w:eastAsia="Times New Roman" w:cs="Times New Roman" w:ascii="Arial" w:hAnsi="Arial"/>
          <w:color w:val="000000"/>
          <w:lang w:eastAsia="pt-BR"/>
        </w:rPr>
        <w:t>, de acordo com as informações constantes no edital do Processo Licitatório, seus anexos e no presente Contrato Administrativo.</w:t>
      </w:r>
    </w:p>
    <w:p>
      <w:pPr>
        <w:pStyle w:val="Normal"/>
        <w:shd w:val="clear" w:color="auto" w:fill="E7E6E6" w:themeFill="background2"/>
        <w:spacing w:lineRule="auto" w:line="240"/>
        <w:jc w:val="both"/>
        <w:rPr>
          <w:rFonts w:ascii="Arial" w:hAnsi="Arial"/>
        </w:rPr>
      </w:pPr>
      <w:r>
        <w:rPr>
          <w:rFonts w:cs="Times New Roman" w:ascii="Arial" w:hAnsi="Arial"/>
          <w:b/>
        </w:rPr>
        <w:t>CLÁUSULA SEGUNDA: VINCULAÇÃO AO EDITAL DE LICITAÇÃO E À PROPOSTA DO LICITANTE VENCEDOR (art. 92, II)</w:t>
      </w:r>
    </w:p>
    <w:p>
      <w:pPr>
        <w:pStyle w:val="Normal"/>
        <w:spacing w:lineRule="auto" w:line="240"/>
        <w:jc w:val="both"/>
        <w:rPr>
          <w:rFonts w:ascii="Arial" w:hAnsi="Arial"/>
        </w:rPr>
      </w:pPr>
      <w:r>
        <w:rPr>
          <w:rFonts w:cs="Times New Roman" w:ascii="Arial" w:hAnsi="Arial"/>
          <w:b/>
        </w:rPr>
        <w:t>2.</w:t>
      </w:r>
      <w:r>
        <w:rPr>
          <w:rFonts w:cs="Times New Roman" w:ascii="Arial" w:hAnsi="Arial"/>
        </w:rPr>
        <w:t xml:space="preserve"> Este contrato é vinculado ao edital do Processo Licitatório nº 0000/202X, (MODALIDADE) nº 000/202X, homologado em 00/00/202X, e à proposta do licitante vencedor XXX.</w:t>
      </w:r>
      <w:bookmarkStart w:id="77" w:name="art92ii"/>
      <w:bookmarkStart w:id="78" w:name="art92iii"/>
      <w:bookmarkEnd w:id="77"/>
      <w:bookmarkEnd w:id="78"/>
    </w:p>
    <w:p>
      <w:pPr>
        <w:pStyle w:val="Normal"/>
        <w:shd w:val="clear" w:color="auto" w:fill="E7E6E6" w:themeFill="background2"/>
        <w:spacing w:lineRule="auto" w:line="240"/>
        <w:jc w:val="both"/>
        <w:rPr>
          <w:rFonts w:ascii="Arial" w:hAnsi="Arial"/>
        </w:rPr>
      </w:pPr>
      <w:r>
        <w:rPr>
          <w:rFonts w:cs="Times New Roman" w:ascii="Arial" w:hAnsi="Arial"/>
          <w:b/>
        </w:rPr>
        <w:t>CLÁUSULA TERCEIRA: LEGISLAÇÃO APLICÁVEL À EXECUÇÃO DO CONTRATO, INCLUSIVE QUANTO AOS CASOS OMISSOS (art. 92, III)</w:t>
      </w:r>
    </w:p>
    <w:p>
      <w:pPr>
        <w:pStyle w:val="Normal"/>
        <w:spacing w:lineRule="auto" w:line="240"/>
        <w:jc w:val="both"/>
        <w:rPr>
          <w:rFonts w:ascii="Arial" w:hAnsi="Arial"/>
        </w:rPr>
      </w:pPr>
      <w:r>
        <w:rPr>
          <w:rFonts w:cs="Times New Roman" w:ascii="Arial" w:hAnsi="Arial"/>
          <w:b/>
        </w:rPr>
        <w:t>3.</w:t>
      </w:r>
      <w:r>
        <w:rPr>
          <w:rFonts w:cs="Times New Roman" w:ascii="Arial" w:hAnsi="Arial"/>
        </w:rPr>
        <w:t xml:space="preserve"> Este contrato rege-se pelas disposições expressas na Lei nº 14.133/2021 e pelos preceitos de direito público, sendo aplicados, supletivamente, os princípios da teoria geral dos contratos e as disposições de direito privado. </w:t>
      </w:r>
    </w:p>
    <w:p>
      <w:pPr>
        <w:pStyle w:val="Normal"/>
        <w:spacing w:lineRule="auto" w:line="240"/>
        <w:jc w:val="both"/>
        <w:rPr>
          <w:rFonts w:ascii="Arial" w:hAnsi="Arial"/>
        </w:rPr>
      </w:pPr>
      <w:r>
        <w:rPr>
          <w:rFonts w:cs="Times New Roman" w:ascii="Arial" w:hAnsi="Arial"/>
          <w:b/>
        </w:rPr>
        <w:t>3.1.</w:t>
      </w:r>
      <w:r>
        <w:rPr>
          <w:rFonts w:cs="Times New Roman" w:ascii="Arial" w:hAnsi="Arial"/>
        </w:rPr>
        <w:t xml:space="preserve"> Os casos omissos serão resolvidos à luz da referida lei, recorrendo-se à analogia, aos costumes e aos princípios gerais do direito</w:t>
      </w:r>
    </w:p>
    <w:p>
      <w:pPr>
        <w:pStyle w:val="Normal"/>
        <w:shd w:val="clear" w:color="auto" w:fill="E7E6E6" w:themeFill="background2"/>
        <w:spacing w:lineRule="auto" w:line="240"/>
        <w:jc w:val="both"/>
        <w:rPr>
          <w:rFonts w:ascii="Arial" w:hAnsi="Arial"/>
        </w:rPr>
      </w:pPr>
      <w:r>
        <w:rPr>
          <w:rFonts w:cs="Times New Roman" w:ascii="Arial" w:hAnsi="Arial"/>
          <w:b/>
        </w:rPr>
        <w:t>CLÁUSULA QUARTA: REGIME DE EXECUÇÃO OU A FORMA DE FORNECIMENTO (art. 92, IV)</w:t>
      </w:r>
    </w:p>
    <w:p>
      <w:pPr>
        <w:pStyle w:val="Normal"/>
        <w:spacing w:lineRule="auto" w:line="240"/>
        <w:jc w:val="both"/>
        <w:rPr>
          <w:rFonts w:ascii="Arial" w:hAnsi="Arial"/>
        </w:rPr>
      </w:pPr>
      <w:r>
        <w:rPr>
          <w:rFonts w:cs="Times New Roman" w:ascii="Arial" w:hAnsi="Arial"/>
          <w:b/>
          <w:bCs/>
          <w:color w:val="111111"/>
        </w:rPr>
        <w:t>4.</w:t>
      </w:r>
      <w:r>
        <w:rPr>
          <w:rFonts w:cs="Times New Roman" w:ascii="Arial" w:hAnsi="Arial"/>
          <w:color w:val="111111"/>
        </w:rPr>
        <w:t xml:space="preserve"> O objeto do presente contrato será realizado/adquirido sob a Forma/Regime Execução: Indireta.</w:t>
      </w:r>
      <w:r>
        <w:rPr>
          <w:rFonts w:cs="Times New Roman" w:ascii="Arial" w:hAnsi="Arial"/>
          <w:color w:val="FF0000"/>
        </w:rPr>
        <w:t xml:space="preserve"> </w:t>
      </w:r>
    </w:p>
    <w:p>
      <w:pPr>
        <w:pStyle w:val="Normal"/>
        <w:shd w:val="clear" w:color="auto" w:fill="E7E6E6" w:themeFill="background2"/>
        <w:spacing w:lineRule="auto" w:line="240"/>
        <w:jc w:val="both"/>
        <w:rPr>
          <w:rFonts w:ascii="Arial" w:hAnsi="Arial"/>
        </w:rPr>
      </w:pPr>
      <w:r>
        <w:rPr>
          <w:rFonts w:cs="Times New Roman" w:ascii="Arial" w:hAnsi="Arial"/>
          <w:b/>
        </w:rPr>
        <w:t>CLÁUSULA QUINTA: O PREÇO E AS CONDIÇÕES DE PAGAMENTO, OS CRITÉRIOS, A DATA-BASE E A PERIODICIDADE DO REAJUSTAMENTO DE PREÇOS E OS CRITÉRIOS DE ATUALIZAÇÃO MONETÁRIA ENTRE A DATA DO ADIMPLEMENTO DAS OBRIGAÇÕES E A DO EFETIVO PAGAMENTO (art. 92, V)</w:t>
      </w:r>
    </w:p>
    <w:p>
      <w:pPr>
        <w:pStyle w:val="Default"/>
        <w:jc w:val="both"/>
        <w:rPr/>
      </w:pPr>
      <w:r>
        <w:rPr>
          <w:rFonts w:cs="Times New Roman" w:ascii="Arial" w:hAnsi="Arial"/>
          <w:b/>
          <w:bCs/>
          <w:sz w:val="22"/>
        </w:rPr>
        <w:t>5.</w:t>
      </w:r>
      <w:r>
        <w:rPr>
          <w:rFonts w:cs="Times New Roman" w:ascii="Arial" w:hAnsi="Arial"/>
          <w:sz w:val="22"/>
        </w:rPr>
        <w:t xml:space="preserve"> O</w:t>
      </w:r>
      <w:r>
        <w:rPr>
          <w:rFonts w:ascii="Arial" w:hAnsi="Arial"/>
          <w:sz w:val="22"/>
        </w:rPr>
        <w:t xml:space="preserve"> </w:t>
      </w:r>
      <w:r>
        <w:rPr>
          <w:rFonts w:eastAsia="Calibri" w:cs="" w:ascii="Arial" w:hAnsi="Arial"/>
          <w:color w:val="000000"/>
          <w:kern w:val="0"/>
          <w:sz w:val="22"/>
          <w:szCs w:val="22"/>
          <w:lang w:val="pt-BR" w:eastAsia="en-US" w:bidi="ar-SA"/>
        </w:rPr>
        <w:t xml:space="preserve">Contratado </w:t>
      </w:r>
      <w:r>
        <w:rPr>
          <w:rFonts w:ascii="Arial" w:hAnsi="Arial"/>
          <w:sz w:val="22"/>
        </w:rPr>
        <w:t xml:space="preserve">pagará ao </w:t>
      </w:r>
      <w:r>
        <w:rPr>
          <w:rFonts w:eastAsia="Calibri" w:cs="" w:ascii="Arial" w:hAnsi="Arial"/>
          <w:color w:val="000000"/>
          <w:kern w:val="0"/>
          <w:sz w:val="22"/>
          <w:szCs w:val="22"/>
          <w:lang w:val="pt-BR" w:eastAsia="en-US" w:bidi="ar-SA"/>
        </w:rPr>
        <w:t xml:space="preserve">Contratante </w:t>
      </w:r>
      <w:r>
        <w:rPr>
          <w:rFonts w:ascii="Arial" w:hAnsi="Arial"/>
          <w:sz w:val="22"/>
        </w:rPr>
        <w:t>o preço total de R$ xxxxx (xxxxx reais).</w:t>
      </w:r>
    </w:p>
    <w:p>
      <w:pPr>
        <w:pStyle w:val="Default"/>
        <w:jc w:val="both"/>
        <w:rPr>
          <w:rFonts w:ascii="Arial" w:hAnsi="Arial" w:cs="Times New Roman"/>
          <w:sz w:val="22"/>
        </w:rPr>
      </w:pPr>
      <w:r>
        <w:rPr>
          <w:rFonts w:cs="Times New Roman" w:ascii="Arial" w:hAnsi="Arial"/>
          <w:sz w:val="22"/>
        </w:rPr>
      </w:r>
    </w:p>
    <w:p>
      <w:pPr>
        <w:pStyle w:val="Default"/>
        <w:jc w:val="both"/>
        <w:rPr/>
      </w:pPr>
      <w:r>
        <w:rPr>
          <w:rFonts w:ascii="Arial" w:hAnsi="Arial"/>
          <w:b/>
          <w:bCs/>
          <w:sz w:val="22"/>
        </w:rPr>
        <w:t>5.1.</w:t>
      </w:r>
      <w:r>
        <w:rPr>
          <w:rFonts w:ascii="Arial" w:hAnsi="Arial"/>
          <w:sz w:val="22"/>
        </w:rPr>
        <w:t xml:space="preserve"> Fica expressamente estabelecido que os preços constantes na proposta do </w:t>
      </w:r>
      <w:r>
        <w:rPr>
          <w:rFonts w:eastAsia="Calibri" w:cs="" w:ascii="Arial" w:hAnsi="Arial"/>
          <w:color w:val="000000"/>
          <w:kern w:val="0"/>
          <w:sz w:val="22"/>
          <w:szCs w:val="22"/>
          <w:lang w:val="pt-BR" w:eastAsia="en-US" w:bidi="ar-SA"/>
        </w:rPr>
        <w:t xml:space="preserve">Contratado </w:t>
      </w:r>
      <w:r>
        <w:rPr>
          <w:rFonts w:ascii="Arial" w:hAnsi="Arial"/>
          <w:sz w:val="22"/>
        </w:rPr>
        <w:t>incluem todos os custos diretos e indiretos requeridos para a execução do objeto contratado, constituindo-se na única remuneração devida.</w:t>
      </w:r>
    </w:p>
    <w:p>
      <w:pPr>
        <w:pStyle w:val="Default"/>
        <w:jc w:val="both"/>
        <w:rPr>
          <w:rFonts w:ascii="Arial" w:hAnsi="Arial" w:cs="Times New Roman"/>
          <w:sz w:val="22"/>
        </w:rPr>
      </w:pPr>
      <w:r>
        <w:rPr>
          <w:rFonts w:cs="Times New Roman" w:ascii="Arial" w:hAnsi="Arial"/>
          <w:sz w:val="22"/>
        </w:rPr>
      </w:r>
    </w:p>
    <w:p>
      <w:pPr>
        <w:pStyle w:val="Normal"/>
        <w:spacing w:lineRule="auto" w:line="240"/>
        <w:jc w:val="both"/>
        <w:rPr/>
      </w:pPr>
      <w:r>
        <w:rPr>
          <w:rFonts w:ascii="Arial" w:hAnsi="Arial"/>
          <w:b/>
          <w:bCs/>
        </w:rPr>
        <w:t>5.2.</w:t>
      </w:r>
      <w:r>
        <w:rPr>
          <w:rFonts w:ascii="Arial" w:hAnsi="Arial"/>
        </w:rPr>
        <w:t xml:space="preserve"> </w:t>
      </w:r>
      <w:r>
        <w:rPr>
          <w:rFonts w:eastAsia="Times New Roman" w:cs="Arial" w:ascii="Arial" w:hAnsi="Arial"/>
          <w:iCs/>
          <w:color w:val="000000"/>
          <w:kern w:val="0"/>
          <w:sz w:val="22"/>
          <w:szCs w:val="22"/>
          <w:lang w:val="pt-BR" w:eastAsia="pt-BR" w:bidi="ar-SA"/>
        </w:rPr>
        <w:t>Para fins de assinatura do presente Contrato Administrativo, o Contratado deverá pagar ao Contratante o valor homologado no Processo Licitatório.</w:t>
      </w:r>
    </w:p>
    <w:p>
      <w:pPr>
        <w:pStyle w:val="Normal"/>
        <w:shd w:val="clear" w:color="auto" w:fill="E7E6E6" w:themeFill="background2"/>
        <w:spacing w:lineRule="auto" w:line="240"/>
        <w:jc w:val="both"/>
        <w:rPr>
          <w:rFonts w:ascii="Arial" w:hAnsi="Arial"/>
        </w:rPr>
      </w:pPr>
      <w:bookmarkStart w:id="79" w:name="art92vii"/>
      <w:bookmarkEnd w:id="79"/>
      <w:r>
        <w:rPr>
          <w:rFonts w:cs="Times New Roman" w:ascii="Arial" w:hAnsi="Arial"/>
          <w:b/>
        </w:rPr>
        <w:t xml:space="preserve">CLÁUSULA SEXTA: OS PRAZOS DE INÍCIO DAS ETAPAS DE EXECUÇÃO, CONCLUSÃO, ENTREGA, OBSERVAÇÃO E RECEBIMENTO DEFINITIVO, </w:t>
      </w:r>
      <w:r>
        <w:rPr>
          <w:rFonts w:cs="Times New Roman" w:ascii="Arial" w:hAnsi="Arial"/>
          <w:b/>
          <w:u w:val="single"/>
        </w:rPr>
        <w:t>QUANDO FOR O CASO</w:t>
      </w:r>
      <w:r>
        <w:rPr>
          <w:rFonts w:cs="Times New Roman" w:ascii="Arial" w:hAnsi="Arial"/>
          <w:b/>
        </w:rPr>
        <w:t xml:space="preserve"> (art. 92, VII)</w:t>
      </w:r>
    </w:p>
    <w:p>
      <w:pPr>
        <w:pStyle w:val="Default"/>
        <w:jc w:val="both"/>
        <w:rPr>
          <w:rFonts w:ascii="Arial" w:hAnsi="Arial"/>
          <w:sz w:val="22"/>
        </w:rPr>
      </w:pPr>
      <w:r>
        <w:rPr>
          <w:rFonts w:cs="Times New Roman" w:ascii="Arial" w:hAnsi="Arial"/>
          <w:b/>
          <w:bCs/>
          <w:sz w:val="22"/>
        </w:rPr>
        <w:t>6.</w:t>
      </w:r>
      <w:r>
        <w:rPr>
          <w:rFonts w:cs="Times New Roman" w:ascii="Arial" w:hAnsi="Arial"/>
          <w:sz w:val="22"/>
        </w:rPr>
        <w:t xml:space="preserve"> </w:t>
      </w:r>
      <w:r>
        <w:rPr>
          <w:rFonts w:ascii="Arial" w:hAnsi="Arial"/>
          <w:sz w:val="22"/>
        </w:rPr>
        <w:t>O prazo de prestação dos serviços iniciar-se-á em xx de xxx de 202X com término em xx de xxxx de 202X.</w:t>
      </w:r>
    </w:p>
    <w:p>
      <w:pPr>
        <w:pStyle w:val="Default"/>
        <w:jc w:val="both"/>
        <w:rPr>
          <w:rFonts w:ascii="Arial" w:hAnsi="Arial"/>
          <w:sz w:val="22"/>
          <w:shd w:fill="auto" w:val="clear"/>
        </w:rPr>
      </w:pPr>
      <w:r>
        <w:rPr>
          <w:rFonts w:ascii="Arial" w:hAnsi="Arial"/>
          <w:sz w:val="22"/>
          <w:shd w:fill="auto" w:val="clear"/>
        </w:rPr>
      </w:r>
    </w:p>
    <w:p>
      <w:pPr>
        <w:pStyle w:val="Normal"/>
        <w:widowControl w:val="false"/>
        <w:spacing w:lineRule="auto" w:line="240"/>
        <w:jc w:val="both"/>
        <w:rPr>
          <w:shd w:fill="auto" w:val="clear"/>
        </w:rPr>
      </w:pPr>
      <w:r>
        <w:rPr>
          <w:rFonts w:eastAsia="Times New Roman" w:cs="Times New Roman" w:ascii="Arial" w:hAnsi="Arial"/>
          <w:b/>
          <w:bCs/>
          <w:color w:val="000000"/>
          <w:shd w:fill="auto" w:val="clear"/>
          <w:lang w:eastAsia="pt-BR"/>
        </w:rPr>
        <w:t>6.1.</w:t>
      </w:r>
      <w:r>
        <w:rPr>
          <w:rFonts w:eastAsia="Times New Roman" w:cs="Times New Roman" w:ascii="Arial" w:hAnsi="Arial"/>
          <w:bCs/>
          <w:color w:val="000000"/>
          <w:shd w:fill="auto" w:val="clear"/>
          <w:lang w:eastAsia="pt-BR"/>
        </w:rPr>
        <w:t xml:space="preserve"> A entrega ocorrerá </w:t>
      </w:r>
      <w:r>
        <w:rPr>
          <w:rFonts w:eastAsia="Times New Roman" w:cs="Times New Roman" w:ascii="Arial" w:hAnsi="Arial"/>
          <w:bCs/>
          <w:color w:val="000000"/>
          <w:kern w:val="0"/>
          <w:sz w:val="22"/>
          <w:szCs w:val="22"/>
          <w:shd w:fill="auto" w:val="clear"/>
          <w:lang w:val="pt-BR" w:eastAsia="pt-BR" w:bidi="ar-SA"/>
        </w:rPr>
        <w:t>da forma definida no edital do processo licitatório e nos anexos</w:t>
      </w:r>
      <w:r>
        <w:rPr>
          <w:rFonts w:eastAsia="Times New Roman" w:cs="Times New Roman" w:ascii="Arial" w:hAnsi="Arial"/>
          <w:bCs/>
          <w:color w:val="000000"/>
          <w:shd w:fill="auto" w:val="clear"/>
          <w:lang w:eastAsia="pt-BR"/>
        </w:rPr>
        <w:t xml:space="preserve">, conforme as datas e cronogramas previamente já definidos. </w:t>
      </w:r>
    </w:p>
    <w:p>
      <w:pPr>
        <w:pStyle w:val="Normal"/>
        <w:shd w:val="clear" w:color="auto" w:fill="E7E6E6" w:themeFill="background2"/>
        <w:spacing w:lineRule="auto" w:line="240"/>
        <w:jc w:val="both"/>
        <w:rPr>
          <w:shd w:fill="auto" w:val="clear"/>
        </w:rPr>
      </w:pPr>
      <w:bookmarkStart w:id="80" w:name="art92viii"/>
      <w:bookmarkEnd w:id="80"/>
      <w:r>
        <w:rPr>
          <w:rFonts w:cs="Times New Roman" w:ascii="Arial" w:hAnsi="Arial"/>
          <w:b/>
          <w:shd w:fill="auto" w:val="clear"/>
        </w:rPr>
        <w:t>CLÁUSULA SÉTIMA: O CRÉDITO PELO QUAL CORRERÁ A DESPESA, COM A INDICAÇÃO DA CLASSIFICAÇÃO FUNCIONAL PROGRAMÁTICA E DA CATEGORIA ECONÔMICA (art. 92, VIII)</w:t>
      </w:r>
    </w:p>
    <w:p>
      <w:pPr>
        <w:pStyle w:val="Normal"/>
        <w:widowControl w:val="false"/>
        <w:jc w:val="both"/>
        <w:rPr>
          <w:shd w:fill="auto" w:val="clear"/>
        </w:rPr>
      </w:pPr>
      <w:r>
        <w:rPr>
          <w:rFonts w:eastAsia="Arial" w:cs="Arial" w:ascii="Arial" w:hAnsi="Arial"/>
          <w:b/>
          <w:bCs/>
          <w:shd w:fill="auto" w:val="clear"/>
        </w:rPr>
        <w:t>7.</w:t>
      </w:r>
      <w:r>
        <w:rPr>
          <w:rFonts w:eastAsia="Arial" w:cs="Arial" w:ascii="Arial" w:hAnsi="Arial"/>
          <w:shd w:fill="auto" w:val="clear"/>
        </w:rPr>
        <w:t xml:space="preserve"> As despesas decorrentes deste </w:t>
      </w:r>
      <w:r>
        <w:rPr>
          <w:rFonts w:eastAsia="Arial" w:cs="Arial" w:ascii="Arial" w:hAnsi="Arial"/>
          <w:color w:val="000000"/>
          <w:kern w:val="0"/>
          <w:sz w:val="22"/>
          <w:szCs w:val="22"/>
          <w:shd w:fill="auto" w:val="clear"/>
          <w:lang w:val="pt-BR" w:eastAsia="en-US" w:bidi="ar-SA"/>
        </w:rPr>
        <w:t>Contrato Administrativo</w:t>
      </w:r>
      <w:r>
        <w:rPr>
          <w:rFonts w:eastAsia="Arial" w:cs="Arial" w:ascii="Arial" w:hAnsi="Arial"/>
          <w:shd w:fill="auto" w:val="clear"/>
        </w:rPr>
        <w:t>, ocorrerão por conta do Orçamento Geral do Município, do seguinte programa:</w:t>
      </w:r>
    </w:p>
    <w:p>
      <w:pPr>
        <w:pStyle w:val="Normal"/>
        <w:widowControl w:val="false"/>
        <w:spacing w:lineRule="auto" w:line="240" w:before="0" w:after="0"/>
        <w:jc w:val="both"/>
        <w:rPr>
          <w:shd w:fill="auto" w:val="clear"/>
        </w:rPr>
      </w:pPr>
      <w:r>
        <w:rPr>
          <w:rFonts w:cs="Arial" w:ascii="Arial" w:hAnsi="Arial"/>
          <w:color w:val="000000"/>
          <w:shd w:fill="auto" w:val="clear"/>
        </w:rPr>
        <w:t xml:space="preserve">08.00 – SECRETARIA MUNICIPAL DE </w:t>
      </w:r>
      <w:r>
        <w:rPr>
          <w:rFonts w:eastAsia="Calibri" w:cs="Arial" w:ascii="Arial" w:hAnsi="Arial"/>
          <w:color w:val="000000"/>
          <w:kern w:val="0"/>
          <w:sz w:val="22"/>
          <w:szCs w:val="22"/>
          <w:shd w:fill="auto" w:val="clear"/>
          <w:lang w:val="pt-BR" w:eastAsia="en-US" w:bidi="ar-SA"/>
        </w:rPr>
        <w:t>TURISMO E DESENVOLVIMENTO ECONÔMICO</w:t>
      </w:r>
    </w:p>
    <w:p>
      <w:pPr>
        <w:pStyle w:val="Normal"/>
        <w:widowControl w:val="false"/>
        <w:spacing w:lineRule="auto" w:line="240" w:before="0" w:after="0"/>
        <w:jc w:val="both"/>
        <w:rPr>
          <w:shd w:fill="auto" w:val="clear"/>
        </w:rPr>
      </w:pPr>
      <w:r>
        <w:rPr>
          <w:rFonts w:cs="Arial" w:ascii="Arial" w:hAnsi="Arial"/>
          <w:color w:val="000000"/>
          <w:shd w:fill="auto" w:val="clear"/>
        </w:rPr>
        <w:t xml:space="preserve">08.01 – </w:t>
      </w:r>
      <w:r>
        <w:rPr>
          <w:rFonts w:eastAsia="Calibri" w:cs="Arial" w:ascii="Arial" w:hAnsi="Arial"/>
          <w:color w:val="000000"/>
          <w:kern w:val="0"/>
          <w:sz w:val="22"/>
          <w:szCs w:val="22"/>
          <w:shd w:fill="auto" w:val="clear"/>
          <w:lang w:val="pt-BR" w:eastAsia="en-US" w:bidi="ar-SA"/>
        </w:rPr>
        <w:t>Departamento de Turismo</w:t>
      </w:r>
    </w:p>
    <w:p>
      <w:pPr>
        <w:pStyle w:val="Normal"/>
        <w:widowControl w:val="false"/>
        <w:spacing w:lineRule="auto" w:line="240" w:before="0" w:after="0"/>
        <w:jc w:val="both"/>
        <w:rPr>
          <w:shd w:fill="auto" w:val="clear"/>
        </w:rPr>
      </w:pPr>
      <w:r>
        <w:rPr>
          <w:rFonts w:cs="Arial" w:ascii="Arial" w:hAnsi="Arial"/>
          <w:color w:val="000000"/>
          <w:shd w:fill="auto" w:val="clear"/>
        </w:rPr>
        <w:t>2.</w:t>
      </w:r>
      <w:r>
        <w:rPr>
          <w:rFonts w:eastAsia="Calibri" w:cs="Arial" w:ascii="Arial" w:hAnsi="Arial"/>
          <w:color w:val="000000"/>
          <w:kern w:val="0"/>
          <w:sz w:val="22"/>
          <w:szCs w:val="22"/>
          <w:shd w:fill="auto" w:val="clear"/>
          <w:lang w:val="pt-BR" w:eastAsia="en-US" w:bidi="ar-SA"/>
        </w:rPr>
        <w:t>044</w:t>
      </w:r>
      <w:r>
        <w:rPr>
          <w:rFonts w:cs="Arial" w:ascii="Arial" w:hAnsi="Arial"/>
          <w:color w:val="000000"/>
          <w:shd w:fill="auto" w:val="clear"/>
        </w:rPr>
        <w:t xml:space="preserve"> – </w:t>
      </w:r>
      <w:r>
        <w:rPr>
          <w:rFonts w:eastAsia="Calibri" w:cs="Arial" w:ascii="Arial" w:hAnsi="Arial"/>
          <w:color w:val="000000"/>
          <w:kern w:val="0"/>
          <w:sz w:val="22"/>
          <w:szCs w:val="22"/>
          <w:shd w:fill="auto" w:val="clear"/>
          <w:lang w:val="pt-BR" w:eastAsia="en-US" w:bidi="ar-SA"/>
        </w:rPr>
        <w:t>Brilha Itá</w:t>
      </w:r>
    </w:p>
    <w:p>
      <w:pPr>
        <w:pStyle w:val="Normal"/>
        <w:widowControl w:val="false"/>
        <w:spacing w:lineRule="auto" w:line="240" w:before="0" w:after="0"/>
        <w:jc w:val="both"/>
        <w:rPr>
          <w:shd w:fill="auto" w:val="clear"/>
        </w:rPr>
      </w:pPr>
      <w:r>
        <w:rPr>
          <w:rFonts w:eastAsia="Calibri" w:cs="Arial" w:ascii="Arial" w:hAnsi="Arial"/>
          <w:color w:val="000000"/>
          <w:kern w:val="0"/>
          <w:sz w:val="22"/>
          <w:szCs w:val="22"/>
          <w:shd w:fill="auto" w:val="clear"/>
          <w:lang w:val="pt-BR" w:eastAsia="en-US" w:bidi="ar-SA"/>
        </w:rPr>
        <w:t>3.3.90</w:t>
      </w:r>
      <w:r>
        <w:rPr>
          <w:rFonts w:cs="Arial" w:ascii="Arial" w:hAnsi="Arial"/>
          <w:color w:val="000000"/>
          <w:shd w:fill="auto" w:val="clear"/>
        </w:rPr>
        <w:t xml:space="preserve"> – Aplicações Diretas</w:t>
      </w:r>
    </w:p>
    <w:p>
      <w:pPr>
        <w:pStyle w:val="Normal"/>
        <w:widowControl w:val="false"/>
        <w:spacing w:lineRule="auto" w:line="240" w:before="0" w:after="0"/>
        <w:jc w:val="both"/>
        <w:rPr>
          <w:rFonts w:ascii="Arial" w:hAnsi="Arial"/>
        </w:rPr>
      </w:pPr>
      <w:r>
        <w:rPr>
          <w:rFonts w:ascii="Arial" w:hAnsi="Arial"/>
        </w:rPr>
      </w:r>
    </w:p>
    <w:p>
      <w:pPr>
        <w:pStyle w:val="Normal"/>
        <w:shd w:val="clear" w:color="auto" w:fill="E7E6E6" w:themeFill="background2"/>
        <w:spacing w:lineRule="auto" w:line="240"/>
        <w:jc w:val="both"/>
        <w:rPr>
          <w:rFonts w:ascii="Arial" w:hAnsi="Arial"/>
        </w:rPr>
      </w:pPr>
      <w:bookmarkStart w:id="81" w:name="art92xi"/>
      <w:bookmarkEnd w:id="81"/>
      <w:r>
        <w:rPr>
          <w:rFonts w:cs="Times New Roman" w:ascii="Arial" w:hAnsi="Arial"/>
          <w:b/>
        </w:rPr>
        <w:t xml:space="preserve">CLÁUSULA OITAVA: O PRAZO PARA RESPOSTA AO PEDIDO DE RESTABELECIMENTO DO EQUILÍBRIO ECONÔMICO-FINANCEIRO, </w:t>
      </w:r>
      <w:r>
        <w:rPr>
          <w:rFonts w:cs="Times New Roman" w:ascii="Arial" w:hAnsi="Arial"/>
          <w:b/>
          <w:u w:val="single"/>
        </w:rPr>
        <w:t>QUANDO FOR O CASO</w:t>
      </w:r>
      <w:r>
        <w:rPr>
          <w:rFonts w:cs="Times New Roman" w:ascii="Arial" w:hAnsi="Arial"/>
          <w:b/>
        </w:rPr>
        <w:t xml:space="preserve"> (art. 92, XI)</w:t>
      </w:r>
    </w:p>
    <w:p>
      <w:pPr>
        <w:pStyle w:val="Default"/>
        <w:jc w:val="both"/>
        <w:rPr>
          <w:rFonts w:ascii="Arial" w:hAnsi="Arial"/>
          <w:sz w:val="22"/>
        </w:rPr>
      </w:pPr>
      <w:r>
        <w:rPr>
          <w:rFonts w:cs="Times New Roman" w:ascii="Arial" w:hAnsi="Arial"/>
          <w:b/>
          <w:bCs/>
          <w:sz w:val="22"/>
        </w:rPr>
        <w:t>8.</w:t>
      </w:r>
      <w:r>
        <w:rPr>
          <w:rFonts w:cs="Times New Roman" w:ascii="Arial" w:hAnsi="Arial"/>
          <w:sz w:val="22"/>
        </w:rPr>
        <w:t xml:space="preserve"> </w:t>
      </w:r>
      <w:r>
        <w:rPr>
          <w:rFonts w:eastAsia="Calibri" w:cs="" w:ascii="Arial" w:hAnsi="Arial"/>
          <w:color w:val="000000"/>
          <w:kern w:val="0"/>
          <w:sz w:val="22"/>
          <w:szCs w:val="22"/>
          <w:lang w:val="pt-BR" w:eastAsia="en-US" w:bidi="ar-SA"/>
        </w:rPr>
        <w:t>N</w:t>
      </w:r>
      <w:r>
        <w:rPr>
          <w:rFonts w:eastAsia="Calibri" w:cs="Times New Roman" w:ascii="Arial" w:hAnsi="Arial"/>
          <w:color w:val="000000"/>
          <w:kern w:val="0"/>
          <w:sz w:val="22"/>
          <w:szCs w:val="22"/>
          <w:lang w:val="pt-BR" w:eastAsia="en-US" w:bidi="ar-SA"/>
        </w:rPr>
        <w:t>ão se aplica, uma vez que o Contratado repassará ao Contratante o valor homologado, a partir do maior lance para o objeto do presente Contrato.</w:t>
      </w:r>
    </w:p>
    <w:p>
      <w:pPr>
        <w:pStyle w:val="Default"/>
        <w:jc w:val="both"/>
        <w:rPr>
          <w:rFonts w:ascii="Arial" w:hAnsi="Arial"/>
          <w:sz w:val="22"/>
        </w:rPr>
      </w:pPr>
      <w:r>
        <w:rPr>
          <w:rFonts w:ascii="Arial" w:hAnsi="Arial"/>
          <w:sz w:val="22"/>
        </w:rPr>
      </w:r>
    </w:p>
    <w:p>
      <w:pPr>
        <w:pStyle w:val="Normal"/>
        <w:shd w:val="clear" w:color="auto" w:fill="E7E6E6" w:themeFill="background2"/>
        <w:spacing w:lineRule="auto" w:line="240"/>
        <w:jc w:val="both"/>
        <w:rPr>
          <w:rFonts w:ascii="Arial" w:hAnsi="Arial"/>
        </w:rPr>
      </w:pPr>
      <w:bookmarkStart w:id="82" w:name="art92xiii"/>
      <w:bookmarkEnd w:id="82"/>
      <w:r>
        <w:rPr>
          <w:rFonts w:cs="Times New Roman" w:ascii="Arial" w:hAnsi="Arial"/>
          <w:b/>
          <w:color w:val="000000"/>
        </w:rPr>
        <w:t xml:space="preserve">CLÁUSULA NONA: O PRAZO DE GARANTIA MÍNIMA DO OBJETO, OBSERVADOS OS PRAZOS MÍNIMOS ESTABELECIDOS NA LEI Nº 14.133/2021 E NAS NORMAS TÉCNICAS APLICÁVEIS, E AS CONDIÇÕES DE MANUTENÇÃO E ASSISTÊNCIA TÉCNICA, </w:t>
      </w:r>
      <w:r>
        <w:rPr>
          <w:rFonts w:cs="Times New Roman" w:ascii="Arial" w:hAnsi="Arial"/>
          <w:b/>
          <w:color w:val="000000"/>
          <w:u w:val="single"/>
        </w:rPr>
        <w:t>QUANDO FOR O CASO</w:t>
      </w:r>
      <w:r>
        <w:rPr>
          <w:rFonts w:cs="Times New Roman" w:ascii="Arial" w:hAnsi="Arial"/>
          <w:b/>
          <w:color w:val="000000"/>
        </w:rPr>
        <w:t xml:space="preserve"> (art. 92, XIII)</w:t>
      </w:r>
    </w:p>
    <w:p>
      <w:pPr>
        <w:pStyle w:val="Normal"/>
        <w:spacing w:lineRule="auto" w:line="240"/>
        <w:jc w:val="both"/>
        <w:rPr>
          <w:rFonts w:ascii="Arial" w:hAnsi="Arial"/>
        </w:rPr>
      </w:pPr>
      <w:r>
        <w:rPr>
          <w:rFonts w:cs="Times New Roman" w:ascii="Arial" w:hAnsi="Arial"/>
          <w:b/>
          <w:bCs/>
          <w:color w:val="000000"/>
        </w:rPr>
        <w:t>9.</w:t>
      </w:r>
      <w:r>
        <w:rPr>
          <w:rFonts w:cs="Times New Roman" w:ascii="Arial" w:hAnsi="Arial"/>
          <w:color w:val="000000"/>
        </w:rPr>
        <w:t xml:space="preserve"> </w:t>
      </w:r>
      <w:r>
        <w:rPr>
          <w:rFonts w:eastAsia="Calibri" w:cs="Times New Roman" w:ascii="Arial" w:hAnsi="Arial"/>
          <w:color w:val="000000"/>
          <w:kern w:val="0"/>
          <w:sz w:val="22"/>
          <w:szCs w:val="22"/>
          <w:lang w:val="pt-BR" w:eastAsia="en-US" w:bidi="ar-SA"/>
        </w:rPr>
        <w:t>O Contratado</w:t>
      </w:r>
      <w:r>
        <w:rPr>
          <w:rFonts w:cs="Times New Roman" w:ascii="Arial" w:hAnsi="Arial"/>
          <w:color w:val="000000"/>
        </w:rPr>
        <w:t xml:space="preserve"> deverá obedecer aos itens dispostos no Edital do Processo Licitatório, no </w:t>
      </w:r>
      <w:r>
        <w:rPr>
          <w:rFonts w:ascii="Arial" w:hAnsi="Arial"/>
          <w:color w:val="000000"/>
        </w:rPr>
        <w:t>Estudo Técnico Preliminar e no Termo de Referência.</w:t>
      </w:r>
    </w:p>
    <w:p>
      <w:pPr>
        <w:pStyle w:val="Normal"/>
        <w:shd w:val="clear" w:color="auto" w:fill="E7E6E6" w:themeFill="background2"/>
        <w:spacing w:lineRule="auto" w:line="240"/>
        <w:jc w:val="both"/>
        <w:rPr>
          <w:rFonts w:ascii="Arial" w:hAnsi="Arial"/>
        </w:rPr>
      </w:pPr>
      <w:bookmarkStart w:id="83" w:name="art92xiv"/>
      <w:bookmarkEnd w:id="83"/>
      <w:r>
        <w:rPr>
          <w:rFonts w:cs="Times New Roman" w:ascii="Arial" w:hAnsi="Arial"/>
          <w:b/>
        </w:rPr>
        <w:t>CLÁUSULA DÉCIMA: OS DIREITOS E AS RESPONSABILIDADES DAS PARTES, AS PENALIDADES CABÍVEIS E OS VALORES DAS MULTAS E SUAS BASES DE CÁLCULO (art. 92, XIV)</w:t>
      </w:r>
    </w:p>
    <w:p>
      <w:pPr>
        <w:pStyle w:val="Normal"/>
        <w:spacing w:lineRule="auto" w:line="240"/>
        <w:jc w:val="both"/>
        <w:rPr>
          <w:rFonts w:ascii="Arial" w:hAnsi="Arial"/>
        </w:rPr>
      </w:pPr>
      <w:r>
        <w:rPr>
          <w:rFonts w:cs="Times New Roman" w:ascii="Arial" w:hAnsi="Arial"/>
          <w:b/>
          <w:bCs/>
          <w:iCs/>
          <w:color w:val="000000"/>
        </w:rPr>
        <w:t>10.1.</w:t>
      </w:r>
      <w:r>
        <w:rPr>
          <w:rFonts w:cs="Times New Roman" w:ascii="Arial" w:hAnsi="Arial"/>
          <w:iCs/>
          <w:color w:val="000000"/>
        </w:rPr>
        <w:t xml:space="preserve"> O contrato regular-se-á pelas suas cláusulas e pelos preceitos de direito público, e a ele será aplicado, supletivamente, os princípios da teoria geral dos contratos e as disposições de direito privado </w:t>
      </w:r>
    </w:p>
    <w:p>
      <w:pPr>
        <w:pStyle w:val="Normal"/>
        <w:spacing w:lineRule="auto" w:line="240"/>
        <w:jc w:val="both"/>
        <w:rPr>
          <w:rFonts w:ascii="Arial" w:hAnsi="Arial"/>
        </w:rPr>
      </w:pPr>
      <w:r>
        <w:rPr>
          <w:rFonts w:cs="Times New Roman" w:ascii="Arial" w:hAnsi="Arial"/>
          <w:b/>
          <w:bCs/>
          <w:iCs/>
          <w:color w:val="000000"/>
        </w:rPr>
        <w:t>10.2.</w:t>
      </w:r>
      <w:r>
        <w:rPr>
          <w:rFonts w:cs="Times New Roman" w:ascii="Arial" w:hAnsi="Arial"/>
          <w:iCs/>
          <w:color w:val="000000"/>
        </w:rPr>
        <w:t xml:space="preserve"> A Administração Pública Municipal convocará o licitante vencedor para assinar o termo de contrato ou para aceitar ou retirar o instrumento equivalente, dentro do prazo máximo de </w:t>
      </w:r>
      <w:r>
        <w:rPr>
          <w:rFonts w:eastAsia="Calibri" w:cs="Times New Roman" w:ascii="Arial" w:hAnsi="Arial"/>
          <w:iCs/>
          <w:color w:val="000000"/>
        </w:rPr>
        <w:t>03</w:t>
      </w:r>
      <w:r>
        <w:rPr>
          <w:rFonts w:cs="Times New Roman" w:ascii="Arial" w:hAnsi="Arial"/>
          <w:iCs/>
          <w:color w:val="000000"/>
        </w:rPr>
        <w:t xml:space="preserve"> (</w:t>
      </w:r>
      <w:r>
        <w:rPr>
          <w:rFonts w:eastAsia="Calibri" w:cs="Times New Roman" w:ascii="Arial" w:hAnsi="Arial"/>
          <w:iCs/>
          <w:color w:val="000000"/>
        </w:rPr>
        <w:t>três</w:t>
      </w:r>
      <w:r>
        <w:rPr>
          <w:rFonts w:cs="Times New Roman" w:ascii="Arial" w:hAnsi="Arial"/>
          <w:iCs/>
          <w:color w:val="000000"/>
        </w:rPr>
        <w:t xml:space="preserve">) dias úteis, sob pena de decair o direito à contratação, sem prejuízo das sanções previstas na Lei nº 14.133/2021. </w:t>
      </w:r>
    </w:p>
    <w:p>
      <w:pPr>
        <w:pStyle w:val="Normal"/>
        <w:spacing w:lineRule="auto" w:line="240"/>
        <w:jc w:val="both"/>
        <w:rPr>
          <w:rFonts w:ascii="Arial" w:hAnsi="Arial"/>
        </w:rPr>
      </w:pPr>
      <w:r>
        <w:rPr>
          <w:rFonts w:cs="Times New Roman" w:ascii="Arial" w:hAnsi="Arial"/>
          <w:b/>
          <w:bCs/>
          <w:iCs/>
          <w:color w:val="000000"/>
        </w:rPr>
        <w:t>10.3.</w:t>
      </w:r>
      <w:r>
        <w:rPr>
          <w:rFonts w:cs="Times New Roman" w:ascii="Arial" w:hAnsi="Arial"/>
          <w:iCs/>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pStyle w:val="Normal"/>
        <w:spacing w:lineRule="auto" w:line="240"/>
        <w:jc w:val="both"/>
        <w:rPr>
          <w:rFonts w:ascii="Arial" w:hAnsi="Arial"/>
        </w:rPr>
      </w:pPr>
      <w:r>
        <w:rPr>
          <w:rFonts w:cs="Times New Roman" w:ascii="Arial" w:hAnsi="Arial"/>
          <w:b/>
          <w:bCs/>
          <w:iCs/>
          <w:color w:val="000000"/>
        </w:rPr>
        <w:t>10.4.</w:t>
      </w:r>
      <w:r>
        <w:rPr>
          <w:rFonts w:cs="Times New Roman" w:ascii="Arial" w:hAnsi="Arial"/>
          <w:iCs/>
          <w:color w:val="000000"/>
        </w:rPr>
        <w:t xml:space="preserve"> Poderá a Administração Pública Municipal,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pStyle w:val="Normal"/>
        <w:spacing w:lineRule="auto" w:line="240"/>
        <w:jc w:val="both"/>
        <w:rPr>
          <w:rFonts w:ascii="Arial" w:hAnsi="Arial"/>
        </w:rPr>
      </w:pPr>
      <w:r>
        <w:rPr>
          <w:rFonts w:cs="Times New Roman" w:ascii="Arial" w:hAnsi="Arial"/>
          <w:b/>
          <w:bCs/>
          <w:iCs/>
          <w:color w:val="000000"/>
        </w:rPr>
        <w:t>10.5.</w:t>
      </w:r>
      <w:r>
        <w:rPr>
          <w:rFonts w:cs="Times New Roman" w:ascii="Arial" w:hAnsi="Arial"/>
          <w:iCs/>
          <w:color w:val="000000"/>
        </w:rPr>
        <w:t xml:space="preserve"> Decorrido o prazo de validade da proposta indicado no edital sem convocação para a contratação, ficarão os licitantes liberados dos compromissos assumidos.</w:t>
      </w:r>
    </w:p>
    <w:p>
      <w:pPr>
        <w:pStyle w:val="Normal"/>
        <w:spacing w:lineRule="auto" w:line="240"/>
        <w:jc w:val="both"/>
        <w:rPr>
          <w:rFonts w:ascii="Arial" w:hAnsi="Arial"/>
        </w:rPr>
      </w:pPr>
      <w:r>
        <w:rPr>
          <w:rFonts w:cs="Times New Roman" w:ascii="Arial" w:hAnsi="Arial"/>
          <w:b/>
          <w:bCs/>
          <w:iCs/>
          <w:color w:val="000000"/>
        </w:rPr>
        <w:t>10.6.</w:t>
      </w:r>
      <w:r>
        <w:rPr>
          <w:rFonts w:cs="Times New Roman" w:ascii="Arial" w:hAnsi="Arial"/>
          <w:iCs/>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w:t>
      </w:r>
    </w:p>
    <w:p>
      <w:pPr>
        <w:pStyle w:val="Normal"/>
        <w:spacing w:lineRule="auto" w:line="240"/>
        <w:jc w:val="both"/>
        <w:rPr>
          <w:rFonts w:ascii="Arial" w:hAnsi="Arial"/>
        </w:rPr>
      </w:pPr>
      <w:r>
        <w:rPr>
          <w:rFonts w:cs="Times New Roman" w:ascii="Arial" w:hAnsi="Arial"/>
          <w:b/>
          <w:bCs/>
          <w:iCs/>
          <w:color w:val="000000"/>
        </w:rPr>
        <w:t>10.7.</w:t>
      </w:r>
      <w:r>
        <w:rPr>
          <w:rFonts w:cs="Times New Roman" w:ascii="Arial" w:hAnsi="Arial"/>
          <w:iCs/>
          <w:color w:val="000000"/>
        </w:rPr>
        <w:t xml:space="preserve"> Os contratos e seus aditamentos terão forma escrita e serão juntados ao processo que tiver dado origem à contratação, divulgados e mantidos à disposição do público em sítio eletrônico oficial</w:t>
      </w:r>
    </w:p>
    <w:p>
      <w:pPr>
        <w:pStyle w:val="Normal"/>
        <w:spacing w:lineRule="auto" w:line="240"/>
        <w:jc w:val="both"/>
        <w:rPr>
          <w:rFonts w:ascii="Arial" w:hAnsi="Arial"/>
        </w:rPr>
      </w:pPr>
      <w:r>
        <w:rPr>
          <w:rFonts w:cs="Times New Roman" w:ascii="Arial" w:hAnsi="Arial"/>
          <w:b/>
          <w:bCs/>
          <w:iCs/>
          <w:color w:val="000000"/>
        </w:rPr>
        <w:t>10.8.</w:t>
      </w:r>
      <w:r>
        <w:rPr>
          <w:rFonts w:cs="Times New Roman" w:ascii="Arial" w:hAnsi="Arial"/>
          <w:iCs/>
          <w:color w:val="000000"/>
        </w:rPr>
        <w:t xml:space="preserve"> Será admitida a forma eletrônica na celebração de contratos e de termos aditivos, atendidas as exigências previstas em regulamento.</w:t>
      </w:r>
    </w:p>
    <w:p>
      <w:pPr>
        <w:pStyle w:val="Normal"/>
        <w:spacing w:lineRule="auto" w:line="240"/>
        <w:jc w:val="both"/>
        <w:rPr>
          <w:rFonts w:ascii="Arial" w:hAnsi="Arial"/>
        </w:rPr>
      </w:pPr>
      <w:r>
        <w:rPr>
          <w:rFonts w:cs="Times New Roman" w:ascii="Arial" w:hAnsi="Arial"/>
          <w:b/>
          <w:bCs/>
          <w:iCs/>
          <w:color w:val="000000"/>
        </w:rPr>
        <w:t>10.9.</w:t>
      </w:r>
      <w:r>
        <w:rPr>
          <w:rFonts w:cs="Times New Roman" w:ascii="Arial" w:hAnsi="Arial"/>
          <w:iCs/>
          <w:color w:val="000000"/>
        </w:rPr>
        <w:t xml:space="preserve"> Antes de formalizar ou prorrogar o prazo de vigência do contrato, a Administração verificará a regularidade fiscal do contratado, consultar o Cadastro Nacional de Empresas Inidôneas e Suspensas (Ceis) e o Cadastro Nacional de Empresas Punidas (Cnep), emitir as certidões negativas de inidoneidade, de impedimento e de débitos trabalhistas e para serem juntadas ao respectivo processo.</w:t>
      </w:r>
    </w:p>
    <w:p>
      <w:pPr>
        <w:pStyle w:val="Normal"/>
        <w:spacing w:lineRule="auto" w:line="240"/>
        <w:jc w:val="both"/>
        <w:rPr>
          <w:rFonts w:ascii="Arial" w:hAnsi="Arial"/>
        </w:rPr>
      </w:pPr>
      <w:r>
        <w:rPr>
          <w:rFonts w:cs="Times New Roman" w:ascii="Arial" w:hAnsi="Arial"/>
          <w:b/>
          <w:bCs/>
          <w:iCs/>
          <w:color w:val="000000"/>
        </w:rPr>
        <w:t>10.10.</w:t>
      </w:r>
      <w:r>
        <w:rPr>
          <w:rFonts w:cs="Times New Roman" w:ascii="Arial" w:hAnsi="Arial"/>
          <w:iCs/>
          <w:color w:val="000000"/>
        </w:rPr>
        <w:t xml:space="preserve"> Os contratos administrativos obedecerão irrestritamente o disposto no art. 92 da Lei nº 14.133/2021.</w:t>
      </w:r>
    </w:p>
    <w:p>
      <w:pPr>
        <w:pStyle w:val="Normal"/>
        <w:spacing w:lineRule="auto" w:line="240"/>
        <w:jc w:val="both"/>
        <w:rPr>
          <w:rFonts w:ascii="Arial" w:hAnsi="Arial"/>
        </w:rPr>
      </w:pPr>
      <w:r>
        <w:rPr>
          <w:rFonts w:cs="Times New Roman" w:ascii="Arial" w:hAnsi="Arial"/>
          <w:b/>
          <w:bCs/>
          <w:iCs/>
          <w:color w:val="000000"/>
        </w:rPr>
        <w:t>10.10.1.</w:t>
      </w:r>
      <w:r>
        <w:rPr>
          <w:rFonts w:cs="Times New Roman" w:ascii="Arial" w:hAnsi="Arial"/>
          <w:iCs/>
          <w:color w:val="000000"/>
        </w:rPr>
        <w:t xml:space="preserve"> O contrato que previr a operação continuada de sistemas estruturantes de tecnologia da informação </w:t>
      </w:r>
      <w:r>
        <w:rPr>
          <w:rFonts w:cs="Times New Roman" w:ascii="Arial" w:hAnsi="Arial"/>
          <w:b/>
          <w:bCs/>
          <w:iCs/>
          <w:color w:val="000000"/>
          <w:u w:val="single"/>
        </w:rPr>
        <w:t>poderá</w:t>
      </w:r>
      <w:r>
        <w:rPr>
          <w:rFonts w:cs="Times New Roman" w:ascii="Arial" w:hAnsi="Arial"/>
          <w:iCs/>
          <w:color w:val="000000"/>
        </w:rPr>
        <w:t xml:space="preserve"> ter vigência máxima de 15 (quinze) anos. </w:t>
      </w:r>
    </w:p>
    <w:p>
      <w:pPr>
        <w:pStyle w:val="Normal"/>
        <w:spacing w:lineRule="auto" w:line="240"/>
        <w:jc w:val="both"/>
        <w:rPr>
          <w:rFonts w:ascii="Arial" w:hAnsi="Arial"/>
        </w:rPr>
      </w:pPr>
      <w:r>
        <w:rPr>
          <w:rFonts w:cs="Times New Roman" w:ascii="Arial" w:hAnsi="Arial"/>
          <w:b/>
          <w:bCs/>
          <w:iCs/>
          <w:color w:val="000000"/>
        </w:rPr>
        <w:t>10.11.</w:t>
      </w:r>
      <w:r>
        <w:rPr>
          <w:rFonts w:cs="Times New Roman" w:ascii="Arial" w:hAnsi="Arial"/>
          <w:iCs/>
          <w:color w:val="000000"/>
        </w:rPr>
        <w:t xml:space="preserve"> O contrato terá seu preço reajustado pelo índice </w:t>
      </w:r>
      <w:r>
        <w:rPr>
          <w:rFonts w:eastAsia="Calibri" w:cs="Times New Roman" w:ascii="Arial" w:hAnsi="Arial"/>
          <w:iCs/>
          <w:color w:val="000000"/>
        </w:rPr>
        <w:t>INPC</w:t>
      </w:r>
      <w:r>
        <w:rPr>
          <w:rFonts w:cs="Times New Roman" w:ascii="Arial" w:hAnsi="Arial"/>
          <w:iCs/>
          <w:color w:val="000000"/>
        </w:rPr>
        <w:t xml:space="preserve"> com data-base vinculada à data do orçamento estimado.</w:t>
      </w:r>
    </w:p>
    <w:p>
      <w:pPr>
        <w:pStyle w:val="Normal"/>
        <w:spacing w:lineRule="auto" w:line="240"/>
        <w:jc w:val="both"/>
        <w:rPr>
          <w:rFonts w:ascii="Arial" w:hAnsi="Arial"/>
        </w:rPr>
      </w:pPr>
      <w:r>
        <w:rPr>
          <w:rFonts w:cs="Times New Roman" w:ascii="Arial" w:hAnsi="Arial"/>
          <w:b/>
          <w:bCs/>
          <w:iCs/>
          <w:color w:val="000000"/>
        </w:rPr>
        <w:t>10.12.</w:t>
      </w:r>
      <w:r>
        <w:rPr>
          <w:rFonts w:cs="Times New Roman" w:ascii="Arial" w:hAnsi="Arial"/>
          <w:iCs/>
          <w:color w:val="000000"/>
        </w:rPr>
        <w:t xml:space="preserve"> Poderá ser estabelecido mais de um índice específico ou setorial, em conformidade com a realidade de mercado dos respectivos insumos.</w:t>
      </w:r>
    </w:p>
    <w:p>
      <w:pPr>
        <w:pStyle w:val="Normal"/>
        <w:tabs>
          <w:tab w:val="clear" w:pos="720"/>
          <w:tab w:val="left" w:pos="567" w:leader="none"/>
        </w:tabs>
        <w:spacing w:lineRule="auto" w:line="240" w:before="0" w:after="160"/>
        <w:contextualSpacing/>
        <w:jc w:val="both"/>
        <w:rPr>
          <w:shd w:fill="auto" w:val="clear"/>
        </w:rPr>
      </w:pPr>
      <w:r>
        <w:rPr>
          <w:rFonts w:cs="Times New Roman" w:ascii="Arial" w:hAnsi="Arial"/>
          <w:b/>
          <w:bCs/>
          <w:iCs/>
          <w:color w:val="000000"/>
          <w:shd w:fill="auto" w:val="clear"/>
        </w:rPr>
        <w:t>10.13. Obrigações do CONTRATADO:</w:t>
      </w:r>
    </w:p>
    <w:p>
      <w:pPr>
        <w:pStyle w:val="Normal"/>
        <w:tabs>
          <w:tab w:val="clear" w:pos="720"/>
          <w:tab w:val="left" w:pos="567" w:leader="none"/>
        </w:tabs>
        <w:spacing w:lineRule="auto" w:line="240" w:before="0" w:after="160"/>
        <w:contextualSpacing/>
        <w:jc w:val="both"/>
        <w:rPr>
          <w:rFonts w:ascii="Arial" w:hAnsi="Arial" w:cs="Times New Roman"/>
          <w:color w:val="000000"/>
          <w:shd w:fill="auto" w:val="clear"/>
        </w:rPr>
      </w:pPr>
      <w:r>
        <w:rPr>
          <w:rFonts w:cs="Times New Roman" w:ascii="Arial" w:hAnsi="Arial"/>
          <w:color w:val="000000"/>
          <w:shd w:fill="auto" w:val="clear"/>
        </w:rPr>
      </w:r>
    </w:p>
    <w:p>
      <w:pPr>
        <w:pStyle w:val="Normal"/>
        <w:tabs>
          <w:tab w:val="clear" w:pos="720"/>
          <w:tab w:val="left" w:pos="1134" w:leader="none"/>
        </w:tabs>
        <w:spacing w:lineRule="auto" w:line="240"/>
        <w:jc w:val="both"/>
        <w:rPr>
          <w:shd w:fill="auto" w:val="clear"/>
        </w:rPr>
      </w:pPr>
      <w:r>
        <w:rPr>
          <w:rFonts w:eastAsia="Calibri" w:cs="Times New Roman" w:ascii="Arial" w:hAnsi="Arial"/>
          <w:color w:val="000000"/>
          <w:shd w:fill="auto" w:val="clear"/>
        </w:rPr>
        <w:t>10.13</w:t>
      </w:r>
      <w:r>
        <w:rPr>
          <w:rFonts w:cs="Times New Roman" w:ascii="Arial" w:hAnsi="Arial"/>
          <w:color w:val="000000"/>
          <w:shd w:fill="auto" w:val="clear"/>
        </w:rPr>
        <w:t xml:space="preserve">.1. </w:t>
      </w:r>
      <w:r>
        <w:rPr>
          <w:rFonts w:eastAsia="Calibri" w:cs="Times New Roman" w:ascii="Arial" w:hAnsi="Arial" w:eastAsiaTheme="minorHAnsi"/>
          <w:color w:val="000000"/>
          <w:kern w:val="0"/>
          <w:sz w:val="22"/>
          <w:szCs w:val="22"/>
          <w:shd w:fill="auto" w:val="clear"/>
          <w:lang w:val="pt-BR" w:eastAsia="en-US" w:bidi="ar-SA"/>
        </w:rPr>
        <w:t>O Contratado</w:t>
      </w:r>
      <w:r>
        <w:rPr>
          <w:rFonts w:cs="Times New Roman" w:ascii="Arial" w:hAnsi="Arial"/>
          <w:color w:val="000000"/>
          <w:shd w:fill="auto" w:val="clear"/>
        </w:rPr>
        <w:t xml:space="preserve"> deve cumprir todas as obrigações constantes no Edital, seus anexos e sua proposta, assumindo como exclusivamente seus os riscos e as despesas decorrentes da boa e perfeita execução do objeto e, ainda:</w:t>
      </w:r>
    </w:p>
    <w:p>
      <w:pPr>
        <w:pStyle w:val="Normal"/>
        <w:tabs>
          <w:tab w:val="clear" w:pos="720"/>
          <w:tab w:val="left" w:pos="1134" w:leader="none"/>
        </w:tabs>
        <w:spacing w:lineRule="auto" w:line="240"/>
        <w:jc w:val="both"/>
        <w:rPr>
          <w:shd w:fill="auto" w:val="clear"/>
        </w:rPr>
      </w:pPr>
      <w:r>
        <w:rPr>
          <w:rFonts w:eastAsia="Calibri" w:cs="Times New Roman" w:ascii="Arial" w:hAnsi="Arial"/>
          <w:color w:val="000000"/>
          <w:kern w:val="0"/>
          <w:sz w:val="22"/>
          <w:szCs w:val="22"/>
          <w:shd w:fill="auto" w:val="clear"/>
          <w:lang w:val="pt-BR" w:eastAsia="en-US" w:bidi="ar-SA"/>
        </w:rPr>
        <w:t>10.13</w:t>
      </w:r>
      <w:r>
        <w:rPr>
          <w:rFonts w:cs="Times New Roman" w:ascii="Arial" w:hAnsi="Arial"/>
          <w:shd w:fill="auto" w:val="clear"/>
        </w:rPr>
        <w:t xml:space="preserve">.2. Serão de </w:t>
      </w:r>
      <w:r>
        <w:rPr>
          <w:rFonts w:cs="Times New Roman" w:ascii="Arial" w:hAnsi="Arial"/>
          <w:b/>
          <w:bCs/>
          <w:shd w:fill="auto" w:val="clear"/>
        </w:rPr>
        <w:t>inteira responsabilidade da proponente vencedora</w:t>
      </w:r>
      <w:r>
        <w:rPr>
          <w:rFonts w:cs="Times New Roman" w:ascii="Arial" w:hAnsi="Arial"/>
          <w:shd w:fill="auto" w:val="clear"/>
        </w:rPr>
        <w:t>, as despesas diretas ou indiretas tais como: transporte, encargos sociais, fiscais, trabalhistas, previdenciários ou de classe, indenizações civis e qualquer outra que for devido a empregados no desempenho dos serviços de entrega, manutenção e reparo do objeto deste Contrato, ficando ainda o Contratante, isento de qualquer vínculo empregatício com os mesmos.</w:t>
      </w:r>
    </w:p>
    <w:p>
      <w:pPr>
        <w:pStyle w:val="Normal"/>
        <w:tabs>
          <w:tab w:val="clear" w:pos="720"/>
          <w:tab w:val="left" w:pos="1134" w:leader="none"/>
        </w:tabs>
        <w:spacing w:lineRule="auto" w:line="240"/>
        <w:jc w:val="both"/>
        <w:rPr>
          <w:shd w:fill="auto" w:val="clear"/>
        </w:rPr>
      </w:pPr>
      <w:r>
        <w:rPr>
          <w:rFonts w:eastAsia="Calibri" w:cs="Times New Roman" w:ascii="Arial" w:hAnsi="Arial"/>
          <w:color w:val="000000"/>
          <w:kern w:val="0"/>
          <w:sz w:val="22"/>
          <w:szCs w:val="22"/>
          <w:shd w:fill="auto" w:val="clear"/>
          <w:lang w:val="pt-BR" w:eastAsia="en-US" w:bidi="ar-SA"/>
        </w:rPr>
        <w:t>10.13</w:t>
      </w:r>
      <w:r>
        <w:rPr>
          <w:rFonts w:cs="Times New Roman" w:ascii="Arial" w:hAnsi="Arial"/>
          <w:shd w:fill="auto" w:val="clear"/>
        </w:rPr>
        <w:t xml:space="preserve">.3. </w:t>
      </w:r>
      <w:r>
        <w:rPr>
          <w:rFonts w:eastAsia="Calibri" w:cs="Times New Roman" w:ascii="Arial" w:hAnsi="Arial" w:eastAsiaTheme="minorHAnsi"/>
          <w:color w:val="000000"/>
          <w:kern w:val="0"/>
          <w:sz w:val="22"/>
          <w:szCs w:val="22"/>
          <w:shd w:fill="auto" w:val="clear"/>
          <w:lang w:val="pt-BR" w:eastAsia="en-US" w:bidi="ar-SA"/>
        </w:rPr>
        <w:t>O Contratado</w:t>
      </w:r>
      <w:r>
        <w:rPr>
          <w:rFonts w:cs="Times New Roman" w:ascii="Arial" w:hAnsi="Arial"/>
          <w:shd w:fill="auto" w:val="clear"/>
        </w:rPr>
        <w:t xml:space="preserve"> fica obrigada a reparar, corrigir, remover, reconstruir ou substituir, às suas expensas, no total ou em parte, o objeto do contrato em que verificarem vícios, defeitos ou incorreções resultantes da execução ou de materiais empregados.</w:t>
      </w:r>
    </w:p>
    <w:p>
      <w:pPr>
        <w:pStyle w:val="Normal"/>
        <w:spacing w:lineRule="auto" w:line="240"/>
        <w:ind w:right="-1" w:hanging="0"/>
        <w:jc w:val="both"/>
        <w:rPr>
          <w:shd w:fill="auto" w:val="clear"/>
        </w:rPr>
      </w:pPr>
      <w:r>
        <w:rPr>
          <w:rFonts w:eastAsia="Calibri" w:cs="Arial" w:ascii="Arial" w:hAnsi="Arial"/>
          <w:color w:val="000000"/>
          <w:kern w:val="0"/>
          <w:sz w:val="22"/>
          <w:szCs w:val="22"/>
          <w:shd w:fill="auto" w:val="clear"/>
          <w:lang w:val="pt-BR" w:eastAsia="en-US" w:bidi="ar-SA"/>
        </w:rPr>
        <w:t>10.13</w:t>
      </w:r>
      <w:r>
        <w:rPr>
          <w:rFonts w:cs="Arial" w:ascii="Arial" w:hAnsi="Arial"/>
          <w:shd w:fill="auto" w:val="clear"/>
        </w:rPr>
        <w:t xml:space="preserve">.4. </w:t>
      </w:r>
      <w:r>
        <w:rPr>
          <w:rFonts w:eastAsia="Calibri" w:cs="Arial" w:ascii="Arial" w:hAnsi="Arial"/>
          <w:color w:val="000000"/>
          <w:shd w:fill="auto" w:val="clear"/>
        </w:rPr>
        <w:t>Executar/prestar o(s) serviço(s)</w:t>
      </w:r>
      <w:r>
        <w:rPr>
          <w:rFonts w:cs="Arial" w:ascii="Arial" w:hAnsi="Arial"/>
          <w:shd w:fill="auto" w:val="clear"/>
        </w:rPr>
        <w:t xml:space="preserve"> em perfeitas condições, no prazo, quantidade e local indicado pela Secretaria Requisitante, em estrita observância das especificações do Edital e da proposta, acompanhado da respectiva nota fiscal constando detalhadamente.</w:t>
      </w:r>
    </w:p>
    <w:p>
      <w:pPr>
        <w:pStyle w:val="Normal"/>
        <w:spacing w:lineRule="auto" w:line="240"/>
        <w:ind w:right="-1" w:hanging="0"/>
        <w:jc w:val="both"/>
        <w:rPr/>
      </w:pPr>
      <w:r>
        <w:rPr>
          <w:rFonts w:eastAsia="Calibri" w:cs="Arial" w:ascii="Arial" w:hAnsi="Arial"/>
          <w:color w:val="000000"/>
          <w:kern w:val="0"/>
          <w:sz w:val="22"/>
          <w:szCs w:val="22"/>
          <w:shd w:fill="auto" w:val="clear"/>
          <w:lang w:val="pt-BR" w:eastAsia="en-US" w:bidi="ar-SA"/>
        </w:rPr>
        <w:t>10.13</w:t>
      </w:r>
      <w:r>
        <w:rPr>
          <w:rFonts w:cs="Arial" w:ascii="Arial" w:hAnsi="Arial"/>
          <w:color w:val="000000"/>
          <w:shd w:fill="auto" w:val="clear"/>
        </w:rPr>
        <w:t xml:space="preserve">.5. Acatar e atender as reclamações quanto às especificações e qualidade dos </w:t>
      </w:r>
      <w:r>
        <w:rPr>
          <w:rFonts w:eastAsia="Calibri" w:cs="Arial" w:ascii="Arial" w:hAnsi="Arial"/>
          <w:color w:val="000000"/>
          <w:kern w:val="0"/>
          <w:sz w:val="22"/>
          <w:szCs w:val="22"/>
          <w:shd w:fill="auto" w:val="clear"/>
          <w:lang w:val="pt-BR" w:eastAsia="en-US" w:bidi="ar-SA"/>
        </w:rPr>
        <w:t>serviços</w:t>
      </w:r>
      <w:r>
        <w:rPr>
          <w:rFonts w:cs="Arial" w:ascii="Arial" w:hAnsi="Arial"/>
          <w:color w:val="000000"/>
          <w:shd w:fill="auto" w:val="clear"/>
        </w:rPr>
        <w:t xml:space="preserve"> fornecidos, sanando eventuais deficiências nos prazos </w:t>
      </w:r>
      <w:r>
        <w:rPr>
          <w:rFonts w:eastAsia="Calibri" w:cs="Arial" w:ascii="Arial" w:hAnsi="Arial"/>
          <w:color w:val="000000"/>
          <w:kern w:val="0"/>
          <w:sz w:val="22"/>
          <w:szCs w:val="22"/>
          <w:shd w:fill="auto" w:val="clear"/>
          <w:lang w:val="pt-BR" w:eastAsia="en-US" w:bidi="ar-SA"/>
        </w:rPr>
        <w:t>definidos pelo contratante</w:t>
      </w:r>
      <w:r>
        <w:rPr>
          <w:rFonts w:cs="Arial" w:ascii="Arial" w:hAnsi="Arial"/>
          <w:color w:val="000000"/>
          <w:shd w:fill="auto" w:val="clear"/>
        </w:rPr>
        <w:t>, às suas custas, sem prejuízo da aplicação das penalidades, o que não atenda às especificações do contrato e cumprimento dos prazos previamente estabelecidos;</w:t>
      </w:r>
    </w:p>
    <w:p>
      <w:pPr>
        <w:pStyle w:val="Normal"/>
        <w:widowControl w:val="false"/>
        <w:tabs>
          <w:tab w:val="clear" w:pos="720"/>
          <w:tab w:val="left" w:pos="1134" w:leader="none"/>
        </w:tabs>
        <w:spacing w:lineRule="auto" w:line="240" w:before="0" w:after="0"/>
        <w:jc w:val="both"/>
        <w:rPr>
          <w:shd w:fill="auto" w:val="clear"/>
        </w:rPr>
      </w:pPr>
      <w:r>
        <w:rPr>
          <w:rFonts w:eastAsia="Arial" w:cs="Arial" w:ascii="Arial" w:hAnsi="Arial"/>
          <w:iCs/>
          <w:color w:val="000000"/>
          <w:kern w:val="0"/>
          <w:sz w:val="22"/>
          <w:szCs w:val="22"/>
          <w:shd w:fill="auto" w:val="clear"/>
          <w:lang w:val="pt-BR" w:eastAsia="pt-BR" w:bidi="ar-SA"/>
        </w:rPr>
        <w:t>10.13</w:t>
      </w:r>
      <w:r>
        <w:rPr>
          <w:rFonts w:eastAsia="Arial" w:cs="Arial" w:ascii="Arial" w:hAnsi="Arial"/>
          <w:iCs/>
          <w:color w:val="000000"/>
          <w:shd w:fill="auto" w:val="clear"/>
          <w:lang w:eastAsia="pt-BR"/>
        </w:rPr>
        <w:t>.6. Entregar os itens e p</w:t>
      </w:r>
      <w:r>
        <w:rPr>
          <w:rFonts w:eastAsia="Calibri" w:cs="Arial" w:ascii="Arial" w:hAnsi="Arial"/>
          <w:iCs/>
          <w:color w:val="000000"/>
          <w:shd w:fill="auto" w:val="clear"/>
          <w:lang w:eastAsia="pt-BR"/>
        </w:rPr>
        <w:t>restar os serviços</w:t>
      </w:r>
      <w:r>
        <w:rPr>
          <w:rFonts w:eastAsia="Arial" w:cs="Arial" w:ascii="Arial" w:hAnsi="Arial"/>
          <w:iCs/>
          <w:color w:val="000000"/>
          <w:shd w:fill="auto" w:val="clear"/>
          <w:lang w:eastAsia="pt-BR"/>
        </w:rPr>
        <w:t xml:space="preserve">, objetos desta licitação, nos locais, datas e horários determinados pela Secretaria Municipal de </w:t>
      </w:r>
      <w:r>
        <w:rPr>
          <w:rFonts w:eastAsia="Calibri" w:cs="Arial" w:ascii="Arial" w:hAnsi="Arial"/>
          <w:iCs/>
          <w:color w:val="000000"/>
          <w:kern w:val="0"/>
          <w:sz w:val="22"/>
          <w:szCs w:val="22"/>
          <w:shd w:fill="auto" w:val="clear"/>
          <w:lang w:val="pt-BR" w:eastAsia="pt-BR" w:bidi="ar-SA"/>
        </w:rPr>
        <w:t>Turismo e Desenvolvimento Econômico</w:t>
      </w:r>
      <w:r>
        <w:rPr>
          <w:rFonts w:eastAsia="Calibri" w:cs="Arial" w:ascii="Arial" w:hAnsi="Arial"/>
          <w:iCs/>
          <w:color w:val="000000"/>
          <w:shd w:fill="auto" w:val="clear"/>
          <w:lang w:eastAsia="pt-BR"/>
        </w:rPr>
        <w:t xml:space="preserve">. </w:t>
      </w:r>
      <w:r>
        <w:rPr>
          <w:rFonts w:eastAsia="Calibri" w:cs="Times New Roman" w:ascii="Arial" w:hAnsi="Arial" w:eastAsiaTheme="minorHAnsi"/>
          <w:iCs/>
          <w:color w:val="000000"/>
          <w:kern w:val="0"/>
          <w:sz w:val="22"/>
          <w:szCs w:val="22"/>
          <w:shd w:fill="auto" w:val="clear"/>
          <w:lang w:val="pt-BR" w:eastAsia="en-US" w:bidi="ar-SA"/>
        </w:rPr>
        <w:t>O Contratado</w:t>
      </w:r>
      <w:r>
        <w:rPr>
          <w:rFonts w:eastAsia="Calibri" w:cs="Arial" w:ascii="Arial" w:hAnsi="Arial"/>
          <w:iCs/>
          <w:color w:val="000000"/>
          <w:shd w:fill="auto" w:val="clear"/>
          <w:lang w:eastAsia="pt-BR"/>
        </w:rPr>
        <w:t xml:space="preserve"> deverá prestar os serviços, nas datas, horários e locais designados pela administração. </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hd w:fill="auto" w:val="clear"/>
          <w:lang w:eastAsia="pt-BR"/>
        </w:rPr>
      </w:pPr>
      <w:r>
        <w:rPr>
          <w:rFonts w:eastAsia="Calibri" w:cs="Arial" w:ascii="Arial" w:hAnsi="Arial"/>
          <w:iCs/>
          <w:color w:val="000000"/>
          <w:shd w:fill="auto" w:val="clear"/>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pt-BR" w:bidi="ar-SA"/>
        </w:rPr>
        <w:t>10.13</w:t>
      </w:r>
      <w:r>
        <w:rPr>
          <w:rFonts w:eastAsia="Calibri" w:cs="Arial" w:ascii="Arial" w:hAnsi="Arial"/>
          <w:iCs/>
          <w:color w:val="000000"/>
          <w:shd w:fill="auto" w:val="clear"/>
          <w:lang w:eastAsia="pt-BR"/>
        </w:rPr>
        <w:t>.6.1. Os prazos para concluir o fornecimento dos materiais, a instalação dos mesmos e a prestação dos serviços necessários são aqueles previamente definidos no Estudo Técnico Preliminar e Termo de Referência, anexos deste edital.</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hd w:fill="auto" w:val="clear"/>
          <w:lang w:eastAsia="pt-BR"/>
        </w:rPr>
      </w:pPr>
      <w:r>
        <w:rPr>
          <w:rFonts w:eastAsia="Calibri" w:cs="Arial" w:ascii="Arial" w:hAnsi="Arial"/>
          <w:iCs/>
          <w:color w:val="000000"/>
          <w:shd w:fill="auto" w:val="clear"/>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pt-BR" w:bidi="ar-SA"/>
        </w:rPr>
        <w:t>10.13</w:t>
      </w:r>
      <w:r>
        <w:rPr>
          <w:rFonts w:eastAsia="Calibri" w:cs="Arial" w:ascii="Arial" w:hAnsi="Arial"/>
          <w:iCs/>
          <w:color w:val="000000"/>
          <w:shd w:fill="auto" w:val="clear"/>
          <w:lang w:eastAsia="pt-BR"/>
        </w:rPr>
        <w:t>.7. A empresa deverá providenciar e fornecer as Anotações de Responsabilidade Técnicas (ART’S) necessárias para a correta prestação dos serviços, em tempo hábil para a realização do evento.</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hd w:fill="auto" w:val="clear"/>
          <w:lang w:eastAsia="pt-BR"/>
        </w:rPr>
      </w:pPr>
      <w:r>
        <w:rPr>
          <w:rFonts w:eastAsia="Calibri" w:cs="Arial" w:ascii="Arial" w:hAnsi="Arial"/>
          <w:iCs/>
          <w:color w:val="000000"/>
          <w:shd w:fill="auto" w:val="clear"/>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pt-BR" w:bidi="ar-SA"/>
        </w:rPr>
        <w:t>10.13</w:t>
      </w:r>
      <w:r>
        <w:rPr>
          <w:rFonts w:eastAsia="Calibri" w:cs="Arial" w:ascii="Arial" w:hAnsi="Arial"/>
          <w:iCs/>
          <w:color w:val="000000"/>
          <w:shd w:fill="auto" w:val="clear"/>
          <w:lang w:eastAsia="pt-BR"/>
        </w:rPr>
        <w:t xml:space="preserve">.8. A empresa vencedora se responsabilizará, na sua totalidade, pelo </w:t>
      </w:r>
      <w:r>
        <w:rPr>
          <w:rFonts w:eastAsia="Calibri" w:cs="Arial" w:ascii="Arial" w:hAnsi="Arial"/>
          <w:iCs/>
          <w:color w:val="000000"/>
          <w:sz w:val="22"/>
          <w:szCs w:val="22"/>
          <w:shd w:fill="auto" w:val="clear"/>
          <w:lang w:eastAsia="pt-BR"/>
        </w:rPr>
        <w:t>fornecimento de shows, estruturas de sonorização/iluminação, tapumes, gradis, banheiros químicos e tudo o que for necessário para a realização do evento, inclusive com pessoal de serviço (seguranças, roadies, técnicos de operação e serviços gerais), além de taxas como ECAD. A estrutura deverá estar de acordo com as exigências do artista que irá se apresentar, obedecendo todas as normas de segurança exigidas pelos bombeiros e polícia.</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z w:val="22"/>
          <w:szCs w:val="22"/>
          <w:lang w:eastAsia="pt-BR"/>
        </w:rPr>
      </w:pPr>
      <w:r>
        <w:rPr>
          <w:rFonts w:eastAsia="Calibri" w:cs="Arial" w:ascii="Arial" w:hAnsi="Arial"/>
          <w:iCs/>
          <w:color w:val="000000"/>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pt-BR" w:bidi="ar-SA"/>
        </w:rPr>
        <w:t>10.13</w:t>
      </w:r>
      <w:r>
        <w:rPr>
          <w:rFonts w:eastAsia="Calibri" w:cs="Arial" w:ascii="Arial" w:hAnsi="Arial"/>
          <w:iCs/>
          <w:color w:val="000000"/>
          <w:sz w:val="22"/>
          <w:szCs w:val="22"/>
          <w:shd w:fill="auto" w:val="clear"/>
          <w:lang w:eastAsia="pt-BR"/>
        </w:rPr>
        <w:t xml:space="preserve">.9. O proponente poderá explorar o serviço de copa – bebidas e lanches, desde </w:t>
      </w:r>
      <w:r>
        <w:rPr>
          <w:rFonts w:eastAsia="Calibri" w:cs="Arial" w:ascii="Arial" w:hAnsi="Arial"/>
          <w:iCs/>
          <w:color w:val="000000"/>
          <w:sz w:val="22"/>
          <w:szCs w:val="22"/>
          <w:shd w:fill="auto" w:val="clear"/>
          <w:lang w:eastAsia="pt-BR"/>
        </w:rPr>
        <w:t>que permita que o Quiosque (que possui concessão junto à praça) possa continuar operando suas atividades de maneira normal;</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z w:val="22"/>
          <w:szCs w:val="22"/>
          <w:shd w:fill="auto" w:val="clear"/>
          <w:lang w:eastAsia="pt-BR"/>
        </w:rPr>
      </w:pPr>
      <w:r>
        <w:rPr>
          <w:rFonts w:eastAsia="Calibri" w:cs="Arial" w:ascii="Arial" w:hAnsi="Arial"/>
          <w:iCs/>
          <w:color w:val="000000"/>
          <w:sz w:val="22"/>
          <w:szCs w:val="22"/>
          <w:shd w:fill="auto" w:val="clear"/>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pt-BR" w:bidi="ar-SA"/>
        </w:rPr>
        <w:t>10.13</w:t>
      </w:r>
      <w:r>
        <w:rPr>
          <w:rFonts w:eastAsia="Calibri" w:cs="Arial" w:ascii="Arial" w:hAnsi="Arial"/>
          <w:iCs/>
          <w:color w:val="000000"/>
          <w:sz w:val="22"/>
          <w:szCs w:val="22"/>
          <w:shd w:fill="auto" w:val="clear"/>
          <w:lang w:eastAsia="pt-BR"/>
        </w:rPr>
        <w:t>.10. A empresa poderá explorar a cobrança de ingresso do público, obedecendo aos seguintes limites: valor máximo para os habitantes do município de Itá no valor de R$ 35,00 para venda antecipada até o dia 15/12/2023; após está data e até o dia do show o valor máximo passa a ser de R$ 50,00 para todo o público (tanto munícipes como visitantes) - Para o evento do dia 31/12.</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z w:val="22"/>
          <w:szCs w:val="22"/>
          <w:shd w:fill="auto" w:val="clear"/>
          <w:lang w:eastAsia="pt-BR"/>
        </w:rPr>
      </w:pPr>
      <w:r>
        <w:rPr>
          <w:rFonts w:eastAsia="Calibri" w:cs="Arial" w:ascii="Arial" w:hAnsi="Arial"/>
          <w:iCs/>
          <w:color w:val="000000"/>
          <w:sz w:val="22"/>
          <w:szCs w:val="22"/>
          <w:shd w:fill="auto" w:val="clear"/>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pt-BR" w:bidi="ar-SA"/>
        </w:rPr>
        <w:t>10.13</w:t>
      </w:r>
      <w:r>
        <w:rPr>
          <w:rFonts w:eastAsia="Calibri" w:cs="Arial" w:ascii="Arial" w:hAnsi="Arial"/>
          <w:iCs/>
          <w:color w:val="000000"/>
          <w:sz w:val="22"/>
          <w:szCs w:val="22"/>
          <w:shd w:fill="auto" w:val="clear"/>
          <w:lang w:eastAsia="pt-BR"/>
        </w:rPr>
        <w:t>.11. O proponente deverá disponibilizar no mínimo dois Shows Nacionais, no gênero musical Sertanejo Universitário e/ou Música Popular Brasileira, com duração mínima de 01 h cada show nacional - Para o evento do dia 31/12.</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z w:val="22"/>
          <w:szCs w:val="22"/>
          <w:lang w:eastAsia="pt-BR"/>
        </w:rPr>
      </w:pPr>
      <w:r>
        <w:rPr>
          <w:rFonts w:eastAsia="Calibri" w:cs="Arial" w:ascii="Arial" w:hAnsi="Arial"/>
          <w:iCs/>
          <w:color w:val="000000"/>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pt-BR" w:bidi="ar-SA"/>
        </w:rPr>
        <w:t>10.13</w:t>
      </w:r>
      <w:r>
        <w:rPr>
          <w:rFonts w:eastAsia="Calibri" w:cs="Arial" w:ascii="Arial" w:hAnsi="Arial"/>
          <w:iCs/>
          <w:color w:val="000000"/>
          <w:sz w:val="22"/>
          <w:szCs w:val="22"/>
          <w:shd w:fill="auto" w:val="clear"/>
          <w:lang w:eastAsia="pt-BR"/>
        </w:rPr>
        <w:t xml:space="preserve">.12. </w:t>
      </w:r>
      <w:r>
        <w:rPr>
          <w:rFonts w:eastAsia="Calibri" w:cs="Arial" w:ascii="Arial" w:hAnsi="Arial"/>
          <w:iCs/>
          <w:color w:val="111111"/>
          <w:sz w:val="22"/>
          <w:szCs w:val="22"/>
          <w:shd w:fill="auto" w:val="clear"/>
          <w:lang w:eastAsia="pt-BR"/>
        </w:rPr>
        <w:t>As estruturas deverão estar devidamente instaladas com prazo legal para que todas as vistorias e aprovações necessárias sejam realizadas.</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z w:val="22"/>
          <w:szCs w:val="22"/>
          <w:lang w:eastAsia="pt-BR"/>
        </w:rPr>
      </w:pPr>
      <w:r>
        <w:rPr>
          <w:rFonts w:eastAsia="Calibri" w:cs="Arial" w:ascii="Arial" w:hAnsi="Arial"/>
          <w:iCs/>
          <w:color w:val="000000"/>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pt-BR" w:bidi="ar-SA"/>
        </w:rPr>
        <w:t>10.13</w:t>
      </w:r>
      <w:r>
        <w:rPr>
          <w:rFonts w:eastAsia="Calibri" w:cs="Arial" w:ascii="Arial" w:hAnsi="Arial"/>
          <w:iCs/>
          <w:color w:val="000000"/>
          <w:sz w:val="22"/>
          <w:szCs w:val="22"/>
          <w:shd w:fill="auto" w:val="clear"/>
          <w:lang w:eastAsia="pt-BR"/>
        </w:rPr>
        <w:t xml:space="preserve">.13. </w:t>
      </w:r>
      <w:r>
        <w:rPr>
          <w:rFonts w:eastAsia="Calibri" w:cs="Arial" w:ascii="Arial" w:hAnsi="Arial"/>
          <w:iCs/>
          <w:color w:val="111111"/>
          <w:sz w:val="22"/>
          <w:szCs w:val="22"/>
          <w:shd w:fill="auto" w:val="clear"/>
          <w:lang w:eastAsia="pt-BR"/>
        </w:rPr>
        <w:t>O local deverá ser entregue limpo, sendo de responsabilidade da licitante a limpeza do local após o evento.</w:t>
      </w:r>
    </w:p>
    <w:p>
      <w:pPr>
        <w:pStyle w:val="Normal"/>
        <w:widowControl w:val="false"/>
        <w:tabs>
          <w:tab w:val="clear" w:pos="720"/>
          <w:tab w:val="left" w:pos="1134" w:leader="none"/>
        </w:tabs>
        <w:spacing w:lineRule="auto" w:line="240" w:before="0" w:after="0"/>
        <w:jc w:val="both"/>
        <w:rPr>
          <w:rFonts w:ascii="Arial" w:hAnsi="Arial" w:eastAsia="Calibri" w:cs="Arial"/>
          <w:iCs/>
          <w:color w:val="111111"/>
          <w:sz w:val="22"/>
          <w:szCs w:val="22"/>
          <w:lang w:eastAsia="pt-BR"/>
        </w:rPr>
      </w:pPr>
      <w:r>
        <w:rPr>
          <w:rFonts w:eastAsia="Calibri" w:cs="Arial" w:ascii="Arial" w:hAnsi="Arial"/>
          <w:iCs/>
          <w:color w:val="111111"/>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111111"/>
          <w:kern w:val="0"/>
          <w:sz w:val="22"/>
          <w:szCs w:val="22"/>
          <w:shd w:fill="auto" w:val="clear"/>
          <w:lang w:val="pt-BR" w:eastAsia="pt-BR" w:bidi="ar-SA"/>
        </w:rPr>
        <w:t>10.13</w:t>
      </w:r>
      <w:r>
        <w:rPr>
          <w:rFonts w:eastAsia="Calibri" w:cs="Arial" w:ascii="Arial" w:hAnsi="Arial"/>
          <w:iCs/>
          <w:color w:val="111111"/>
          <w:sz w:val="22"/>
          <w:szCs w:val="22"/>
          <w:shd w:fill="auto" w:val="clear"/>
          <w:lang w:eastAsia="pt-BR"/>
        </w:rPr>
        <w:t xml:space="preserve">.14. </w:t>
      </w:r>
      <w:r>
        <w:rPr>
          <w:rFonts w:eastAsia="Times New Roman" w:cs="Arial" w:ascii="Arial" w:hAnsi="Arial"/>
          <w:b w:val="false"/>
          <w:bCs w:val="false"/>
          <w:iCs/>
          <w:color w:val="000000"/>
          <w:kern w:val="0"/>
          <w:sz w:val="22"/>
          <w:szCs w:val="22"/>
          <w:shd w:fill="auto" w:val="clear"/>
          <w:lang w:val="pt-BR" w:eastAsia="pt-BR" w:bidi="ar-SA"/>
        </w:rPr>
        <w:t xml:space="preserve">Os pontos de vendas na praça devem oferecer no mínimo 3 (três) marcas populares de cerveja e de refrigerante gaseificado e no mínimo 2 (duas) marcas populares de energético e de água mineral; </w:t>
      </w:r>
    </w:p>
    <w:p>
      <w:pPr>
        <w:pStyle w:val="Normal"/>
        <w:widowControl w:val="false"/>
        <w:tabs>
          <w:tab w:val="clear" w:pos="720"/>
          <w:tab w:val="left" w:pos="1134" w:leader="none"/>
        </w:tabs>
        <w:spacing w:lineRule="auto" w:line="240" w:before="0" w:after="0"/>
        <w:jc w:val="both"/>
        <w:rPr>
          <w:rFonts w:ascii="Arial" w:hAnsi="Arial" w:eastAsia="Calibri" w:cs="Arial"/>
          <w:iCs/>
          <w:color w:val="111111"/>
          <w:sz w:val="22"/>
          <w:szCs w:val="22"/>
          <w:lang w:eastAsia="pt-BR"/>
        </w:rPr>
      </w:pPr>
      <w:r>
        <w:rPr>
          <w:rFonts w:eastAsia="Calibri" w:cs="Arial" w:ascii="Arial" w:hAnsi="Arial"/>
          <w:iCs/>
          <w:color w:val="111111"/>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111111"/>
          <w:kern w:val="0"/>
          <w:sz w:val="22"/>
          <w:szCs w:val="22"/>
          <w:shd w:fill="auto" w:val="clear"/>
          <w:lang w:val="pt-BR" w:eastAsia="pt-BR" w:bidi="ar-SA"/>
        </w:rPr>
        <w:t>10.13</w:t>
      </w:r>
      <w:r>
        <w:rPr>
          <w:rFonts w:eastAsia="Calibri" w:cs="Arial" w:ascii="Arial" w:hAnsi="Arial"/>
          <w:iCs/>
          <w:color w:val="111111"/>
          <w:sz w:val="22"/>
          <w:szCs w:val="22"/>
          <w:shd w:fill="auto" w:val="clear"/>
          <w:lang w:eastAsia="pt-BR"/>
        </w:rPr>
        <w:t xml:space="preserve">.15. A estrutura </w:t>
      </w:r>
      <w:r>
        <w:rPr>
          <w:rFonts w:eastAsia="Calibri" w:cs="Arial" w:ascii="Arial" w:hAnsi="Arial"/>
          <w:iCs/>
          <w:color w:val="000000"/>
          <w:kern w:val="0"/>
          <w:sz w:val="22"/>
          <w:szCs w:val="22"/>
          <w:shd w:fill="auto" w:val="clear"/>
          <w:lang w:val="pt-BR" w:eastAsia="en-US" w:bidi="ar-SA"/>
        </w:rPr>
        <w:t>que será montada para o dia do evento deverá estar corretamente instalada até a data de 29/12/2023, com as devidas e necessárias liberações pelo órgãos fiscalizadores. A mesma estrutura deverá estar desmontada até a data de 02/01/2023.</w:t>
      </w:r>
    </w:p>
    <w:p>
      <w:pPr>
        <w:pStyle w:val="Normal"/>
        <w:widowControl w:val="false"/>
        <w:tabs>
          <w:tab w:val="clear" w:pos="720"/>
          <w:tab w:val="left" w:pos="1134" w:leader="none"/>
        </w:tabs>
        <w:spacing w:lineRule="auto" w:line="240" w:before="0" w:after="0"/>
        <w:jc w:val="both"/>
        <w:rPr>
          <w:rFonts w:ascii="Arial" w:hAnsi="Arial" w:eastAsia="Calibri" w:cs="Arial"/>
          <w:iCs/>
          <w:color w:val="111111"/>
          <w:sz w:val="22"/>
          <w:szCs w:val="22"/>
          <w:lang w:eastAsia="pt-BR"/>
        </w:rPr>
      </w:pPr>
      <w:r>
        <w:rPr>
          <w:rFonts w:eastAsia="Calibri" w:cs="Arial" w:ascii="Arial" w:hAnsi="Arial"/>
          <w:iCs/>
          <w:color w:val="111111"/>
          <w:sz w:val="22"/>
          <w:szCs w:val="22"/>
          <w:lang w:eastAsia="pt-BR"/>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111111"/>
          <w:kern w:val="0"/>
          <w:sz w:val="22"/>
          <w:szCs w:val="22"/>
          <w:shd w:fill="auto" w:val="clear"/>
          <w:lang w:val="pt-BR" w:eastAsia="pt-BR" w:bidi="ar-SA"/>
        </w:rPr>
        <w:t>10.13</w:t>
      </w:r>
      <w:r>
        <w:rPr>
          <w:rFonts w:eastAsia="Calibri" w:cs="Arial" w:ascii="Arial" w:hAnsi="Arial"/>
          <w:iCs/>
          <w:color w:val="111111"/>
          <w:sz w:val="22"/>
          <w:szCs w:val="22"/>
          <w:shd w:fill="auto" w:val="clear"/>
          <w:lang w:eastAsia="pt-BR"/>
        </w:rPr>
        <w:t xml:space="preserve">.16. </w:t>
      </w:r>
      <w:r>
        <w:rPr>
          <w:rFonts w:eastAsia="Calibri" w:cs="Times New Roman" w:ascii="Arial" w:hAnsi="Arial" w:eastAsiaTheme="minorHAnsi"/>
          <w:iCs/>
          <w:color w:val="000000"/>
          <w:kern w:val="0"/>
          <w:sz w:val="22"/>
          <w:szCs w:val="22"/>
          <w:shd w:fill="auto" w:val="clear"/>
          <w:lang w:val="pt-BR" w:eastAsia="en-US" w:bidi="ar-SA"/>
        </w:rPr>
        <w:t>O Contratado</w:t>
      </w:r>
      <w:r>
        <w:rPr>
          <w:rFonts w:eastAsia="Calibri" w:cs="Arial" w:ascii="Arial" w:hAnsi="Arial"/>
          <w:iCs/>
          <w:color w:val="000000"/>
          <w:kern w:val="0"/>
          <w:sz w:val="22"/>
          <w:szCs w:val="22"/>
          <w:shd w:fill="auto" w:val="clear"/>
          <w:lang w:val="pt-BR" w:eastAsia="en-US" w:bidi="ar-SA"/>
        </w:rPr>
        <w:t xml:space="preserve"> se responsabilizará por toda a limpeza necessário do espaço público utilizado para o evento. Deve ainda se responsabilizar por eventuais prejuízos causados ao patrimônio público no espaço que foi concedido.</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lang w:val="pt-BR" w:eastAsia="en-US" w:bidi="ar-SA"/>
        </w:rPr>
      </w:pPr>
      <w:r>
        <w:rPr>
          <w:rFonts w:eastAsia="Calibri" w:cs="Arial" w:ascii="Arial" w:hAnsi="Arial"/>
          <w:iCs/>
          <w:color w:val="000000"/>
          <w:kern w:val="0"/>
          <w:sz w:val="22"/>
          <w:szCs w:val="22"/>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 xml:space="preserve">10.13.17. </w:t>
      </w:r>
      <w:r>
        <w:rPr>
          <w:rFonts w:eastAsia="Calibri" w:cs="Times New Roman" w:ascii="Arial" w:hAnsi="Arial" w:eastAsiaTheme="minorHAnsi"/>
          <w:iCs/>
          <w:color w:val="000000"/>
          <w:kern w:val="0"/>
          <w:sz w:val="22"/>
          <w:szCs w:val="22"/>
          <w:shd w:fill="auto" w:val="clear"/>
          <w:lang w:val="pt-BR" w:eastAsia="en-US" w:bidi="ar-SA"/>
        </w:rPr>
        <w:t>O Contratado</w:t>
      </w:r>
      <w:r>
        <w:rPr>
          <w:rFonts w:eastAsia="Calibri" w:cs="Arial" w:ascii="Arial" w:hAnsi="Arial"/>
          <w:iCs/>
          <w:color w:val="000000"/>
          <w:kern w:val="0"/>
          <w:sz w:val="22"/>
          <w:szCs w:val="22"/>
          <w:shd w:fill="auto" w:val="clear"/>
          <w:lang w:val="pt-BR" w:eastAsia="en-US" w:bidi="ar-SA"/>
        </w:rPr>
        <w:t xml:space="preserve"> deverá se responsabilizar ainda por:</w:t>
      </w:r>
    </w:p>
    <w:p>
      <w:pPr>
        <w:pStyle w:val="Normal"/>
        <w:widowControl w:val="false"/>
        <w:spacing w:lineRule="auto" w:line="240" w:before="0" w:after="0"/>
        <w:ind w:left="0" w:hanging="0"/>
        <w:contextualSpacing/>
        <w:jc w:val="both"/>
        <w:rPr>
          <w:rFonts w:eastAsia="Calibri"/>
          <w:color w:val="auto"/>
          <w:kern w:val="0"/>
          <w:shd w:fill="auto" w:val="clear"/>
          <w:lang w:val="pt-BR" w:eastAsia="en-US" w:bidi="ar-SA"/>
        </w:rPr>
      </w:pPr>
      <w:r>
        <w:rPr>
          <w:rFonts w:eastAsia="Calibri"/>
          <w:color w:val="000000"/>
          <w:kern w:val="0"/>
          <w:shd w:fill="auto" w:val="clear"/>
          <w:lang w:val="pt-BR" w:eastAsia="en-US" w:bidi="ar-SA"/>
        </w:rPr>
      </w:r>
    </w:p>
    <w:p>
      <w:pPr>
        <w:pStyle w:val="Normal"/>
        <w:spacing w:lineRule="auto" w:line="240"/>
        <w:jc w:val="both"/>
        <w:rPr>
          <w:shd w:fill="auto" w:val="clear"/>
        </w:rPr>
      </w:pPr>
      <w:r>
        <w:rPr>
          <w:rFonts w:cs="Arial" w:ascii="Arial" w:hAnsi="Arial"/>
          <w:sz w:val="22"/>
          <w:szCs w:val="22"/>
          <w:shd w:fill="auto" w:val="clear"/>
        </w:rPr>
        <w:t>- Disponibilizar, montar e desmontar as estruturas de barracas onde será feita a comercialização dos produtos.</w:t>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 Pela estrutura de pessoal habilitado para os atendimentos e devidamente identificados.</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lang w:val="pt-BR" w:eastAsia="en-US" w:bidi="ar-SA"/>
        </w:rPr>
      </w:pPr>
      <w:r>
        <w:rPr>
          <w:rFonts w:eastAsia="Calibri" w:cs="Arial" w:ascii="Arial" w:hAnsi="Arial"/>
          <w:iCs/>
          <w:color w:val="000000"/>
          <w:kern w:val="0"/>
          <w:sz w:val="22"/>
          <w:szCs w:val="22"/>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10.13.18. Disponibilizar alvarás, licenças, estrutura elétrica e demais documentações necessárias para a realização das atividades.</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shd w:fill="auto" w:val="clear"/>
          <w:lang w:val="pt-BR" w:eastAsia="en-US" w:bidi="ar-SA"/>
        </w:rPr>
      </w:pPr>
      <w:r>
        <w:rPr>
          <w:rFonts w:eastAsia="Calibri" w:cs="Arial" w:ascii="Arial" w:hAnsi="Arial"/>
          <w:iCs/>
          <w:color w:val="000000"/>
          <w:kern w:val="0"/>
          <w:sz w:val="22"/>
          <w:szCs w:val="22"/>
          <w:shd w:fill="auto" w:val="clear"/>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10.13.19. Disponibilizar a estrutura de acordo com as exigências do artista que irá se apresentar, obedecendo todas as normas de segurança exigidas pelos bombeiros e órgãos de segurança, laudos técnicos, ART.</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shd w:fill="auto" w:val="clear"/>
          <w:lang w:val="pt-BR" w:eastAsia="en-US" w:bidi="ar-SA"/>
        </w:rPr>
      </w:pPr>
      <w:r>
        <w:rPr>
          <w:rFonts w:eastAsia="Calibri" w:cs="Arial" w:ascii="Arial" w:hAnsi="Arial"/>
          <w:iCs/>
          <w:color w:val="000000"/>
          <w:kern w:val="0"/>
          <w:sz w:val="22"/>
          <w:szCs w:val="22"/>
          <w:shd w:fill="auto" w:val="clear"/>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10.13.20. Fica proibida a venda de bebidas e outros produtos em embalagens de vidros em função da segurança.</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shd w:fill="auto" w:val="clear"/>
          <w:lang w:val="pt-BR" w:eastAsia="en-US" w:bidi="ar-SA"/>
        </w:rPr>
      </w:pPr>
      <w:r>
        <w:rPr>
          <w:rFonts w:eastAsia="Calibri" w:cs="Arial" w:ascii="Arial" w:hAnsi="Arial"/>
          <w:iCs/>
          <w:color w:val="000000"/>
          <w:kern w:val="0"/>
          <w:sz w:val="22"/>
          <w:szCs w:val="22"/>
          <w:shd w:fill="auto" w:val="clear"/>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 xml:space="preserve">10.13.21. </w:t>
      </w:r>
      <w:r>
        <w:rPr>
          <w:rFonts w:eastAsia="Times New Roman" w:cs="Arial" w:ascii="Arial" w:hAnsi="Arial"/>
          <w:iCs/>
          <w:color w:val="000000"/>
          <w:kern w:val="0"/>
          <w:sz w:val="22"/>
          <w:szCs w:val="22"/>
          <w:shd w:fill="auto" w:val="clear"/>
          <w:lang w:val="pt-BR" w:eastAsia="zh-CN" w:bidi="ar-SA"/>
        </w:rPr>
        <w:t>Manter o funcionamento do evento das 19h00min do dia 31 de dezembro de 2023 até as 03h00min do dia 01 de janeiro de 2024.</w:t>
      </w:r>
    </w:p>
    <w:p>
      <w:pPr>
        <w:pStyle w:val="Normal"/>
        <w:widowControl w:val="false"/>
        <w:tabs>
          <w:tab w:val="clear" w:pos="720"/>
          <w:tab w:val="left" w:pos="1134" w:leader="none"/>
        </w:tabs>
        <w:spacing w:lineRule="auto" w:line="240" w:before="0" w:after="0"/>
        <w:jc w:val="both"/>
        <w:rPr>
          <w:rFonts w:ascii="Arial" w:hAnsi="Arial" w:eastAsia="Times New Roman" w:cs="Arial"/>
          <w:iCs/>
          <w:color w:val="000000"/>
          <w:kern w:val="0"/>
          <w:sz w:val="22"/>
          <w:szCs w:val="22"/>
          <w:lang w:val="pt-BR" w:eastAsia="zh-CN" w:bidi="ar-SA"/>
        </w:rPr>
      </w:pPr>
      <w:r>
        <w:rPr>
          <w:rFonts w:eastAsia="Times New Roman" w:cs="Arial" w:ascii="Arial" w:hAnsi="Arial"/>
          <w:iCs/>
          <w:color w:val="000000"/>
          <w:kern w:val="0"/>
          <w:sz w:val="22"/>
          <w:szCs w:val="22"/>
          <w:lang w:val="pt-BR" w:eastAsia="zh-CN" w:bidi="ar-SA"/>
        </w:rPr>
      </w:r>
    </w:p>
    <w:p>
      <w:pPr>
        <w:pStyle w:val="Normal"/>
        <w:widowControl w:val="false"/>
        <w:tabs>
          <w:tab w:val="clear" w:pos="720"/>
          <w:tab w:val="left" w:pos="1134" w:leader="none"/>
        </w:tabs>
        <w:spacing w:lineRule="auto" w:line="240" w:before="0" w:after="0"/>
        <w:jc w:val="both"/>
        <w:rPr>
          <w:rFonts w:ascii="Arial" w:hAnsi="Arial" w:eastAsia="Times New Roman" w:cs="Arial"/>
          <w:iCs/>
          <w:color w:val="000000"/>
          <w:kern w:val="0"/>
          <w:sz w:val="22"/>
          <w:szCs w:val="22"/>
          <w:lang w:val="pt-BR" w:eastAsia="zh-CN" w:bidi="ar-SA"/>
        </w:rPr>
      </w:pPr>
      <w:r>
        <w:rPr>
          <w:rFonts w:eastAsia="Times New Roman" w:cs="Arial" w:ascii="Arial" w:hAnsi="Arial"/>
          <w:iCs/>
          <w:color w:val="000000"/>
          <w:kern w:val="0"/>
          <w:sz w:val="22"/>
          <w:szCs w:val="22"/>
          <w:lang w:val="pt-BR" w:eastAsia="zh-CN" w:bidi="ar-SA"/>
        </w:rPr>
        <w:t xml:space="preserve">10.13.21.1. </w:t>
      </w:r>
      <w:r>
        <w:rPr>
          <w:rFonts w:eastAsia="Times New Roman" w:cs="Arial" w:ascii="Arial" w:hAnsi="Arial"/>
          <w:iCs/>
          <w:color w:val="000000"/>
          <w:kern w:val="0"/>
          <w:sz w:val="22"/>
          <w:szCs w:val="22"/>
          <w:shd w:fill="auto" w:val="clear"/>
          <w:lang w:val="pt-BR" w:eastAsia="zh-CN" w:bidi="ar-SA"/>
        </w:rPr>
        <w:t>Manter o funcionamento do evento das 19h00min do dia 30 de dezembro de 2023 até as 03h00min do dia 31 de dezembro de 2023, se assim desejar, respeitando as obrigações mínimas, inclusive quanto a cobrança de valores dos produtos que comercializar, como definido nos termos do presente edital e dos seus anexos.</w:t>
      </w:r>
    </w:p>
    <w:p>
      <w:pPr>
        <w:pStyle w:val="Normal"/>
        <w:widowControl w:val="false"/>
        <w:tabs>
          <w:tab w:val="clear" w:pos="720"/>
          <w:tab w:val="left" w:pos="1134" w:leader="none"/>
        </w:tabs>
        <w:spacing w:lineRule="auto" w:line="240" w:before="0" w:after="0"/>
        <w:jc w:val="both"/>
        <w:rPr>
          <w:rFonts w:ascii="Arial" w:hAnsi="Arial" w:eastAsia="Times New Roman" w:cs="Arial"/>
          <w:iCs/>
          <w:color w:val="000000"/>
          <w:kern w:val="0"/>
          <w:sz w:val="22"/>
          <w:szCs w:val="22"/>
          <w:lang w:val="pt-BR" w:eastAsia="zh-CN" w:bidi="ar-SA"/>
        </w:rPr>
      </w:pPr>
      <w:r>
        <w:rPr>
          <w:rFonts w:eastAsia="Times New Roman" w:cs="Arial" w:ascii="Arial" w:hAnsi="Arial"/>
          <w:iCs/>
          <w:color w:val="000000"/>
          <w:kern w:val="0"/>
          <w:sz w:val="22"/>
          <w:szCs w:val="22"/>
          <w:lang w:val="pt-BR" w:eastAsia="zh-CN" w:bidi="ar-SA"/>
        </w:rPr>
      </w:r>
    </w:p>
    <w:p>
      <w:pPr>
        <w:pStyle w:val="Normal"/>
        <w:widowControl w:val="false"/>
        <w:tabs>
          <w:tab w:val="clear" w:pos="720"/>
          <w:tab w:val="left" w:pos="1134" w:leader="none"/>
        </w:tabs>
        <w:spacing w:lineRule="auto" w:line="240" w:before="0" w:after="0"/>
        <w:jc w:val="both"/>
        <w:rPr>
          <w:shd w:fill="auto" w:val="clear"/>
        </w:rPr>
      </w:pPr>
      <w:r>
        <w:rPr>
          <w:rFonts w:eastAsia="Times New Roman" w:cs="Arial" w:ascii="Arial" w:hAnsi="Arial"/>
          <w:iCs/>
          <w:color w:val="000000"/>
          <w:kern w:val="0"/>
          <w:sz w:val="22"/>
          <w:szCs w:val="22"/>
          <w:shd w:fill="auto" w:val="clear"/>
          <w:lang w:val="pt-BR" w:eastAsia="zh-CN" w:bidi="ar-SA"/>
        </w:rPr>
        <w:t xml:space="preserve">10.13.22. </w:t>
      </w:r>
      <w:r>
        <w:rPr>
          <w:rFonts w:eastAsia="Calibri" w:cs="Times New Roman" w:ascii="Arial" w:hAnsi="Arial" w:eastAsiaTheme="minorHAnsi"/>
          <w:iCs/>
          <w:color w:val="000000"/>
          <w:kern w:val="0"/>
          <w:sz w:val="22"/>
          <w:szCs w:val="22"/>
          <w:shd w:fill="auto" w:val="clear"/>
          <w:lang w:val="pt-BR" w:eastAsia="en-US" w:bidi="ar-SA"/>
        </w:rPr>
        <w:t>O Contratado</w:t>
      </w:r>
      <w:r>
        <w:rPr>
          <w:rFonts w:eastAsia="Times New Roman" w:cs="Arial" w:ascii="Arial" w:hAnsi="Arial"/>
          <w:iCs/>
          <w:color w:val="000000"/>
          <w:kern w:val="0"/>
          <w:sz w:val="22"/>
          <w:szCs w:val="22"/>
          <w:shd w:fill="auto" w:val="clear"/>
          <w:lang w:val="pt-BR" w:eastAsia="zh-CN" w:bidi="ar-SA"/>
        </w:rPr>
        <w:t xml:space="preserve"> deverá entregar o local destinado ao evento nas mesmas condições em que recebeu, sendo que qualquer dano causado à estrutura física, quadro de eletricidade e demais instalações hidráulicas e elétricas, deverão ser consertados e/ou indenizados ao município, em valor que será apurado pela fiscalização.</w:t>
      </w:r>
    </w:p>
    <w:p>
      <w:pPr>
        <w:pStyle w:val="Normal"/>
        <w:widowControl w:val="false"/>
        <w:tabs>
          <w:tab w:val="clear" w:pos="720"/>
          <w:tab w:val="left" w:pos="1134" w:leader="none"/>
        </w:tabs>
        <w:spacing w:lineRule="auto" w:line="240" w:before="0" w:after="0"/>
        <w:jc w:val="both"/>
        <w:rPr>
          <w:rFonts w:ascii="Arial" w:hAnsi="Arial" w:eastAsia="Times New Roman" w:cs="Arial"/>
          <w:iCs/>
          <w:color w:val="000000"/>
          <w:kern w:val="0"/>
          <w:sz w:val="22"/>
          <w:szCs w:val="22"/>
          <w:lang w:val="pt-BR" w:eastAsia="zh-CN" w:bidi="ar-SA"/>
        </w:rPr>
      </w:pPr>
      <w:r>
        <w:rPr>
          <w:rFonts w:eastAsia="Times New Roman" w:cs="Arial" w:ascii="Arial" w:hAnsi="Arial"/>
          <w:iCs/>
          <w:color w:val="000000"/>
          <w:kern w:val="0"/>
          <w:sz w:val="22"/>
          <w:szCs w:val="22"/>
          <w:lang w:val="pt-BR" w:eastAsia="zh-CN" w:bidi="ar-SA"/>
        </w:rPr>
      </w:r>
    </w:p>
    <w:p>
      <w:pPr>
        <w:pStyle w:val="Normal"/>
        <w:widowControl w:val="false"/>
        <w:tabs>
          <w:tab w:val="clear" w:pos="720"/>
          <w:tab w:val="left" w:pos="1134" w:leader="none"/>
        </w:tabs>
        <w:spacing w:lineRule="auto" w:line="240" w:before="0" w:after="0"/>
        <w:jc w:val="both"/>
        <w:rPr>
          <w:shd w:fill="auto" w:val="clear"/>
        </w:rPr>
      </w:pPr>
      <w:r>
        <w:rPr>
          <w:rFonts w:eastAsia="Times New Roman" w:cs="Arial" w:ascii="Arial" w:hAnsi="Arial"/>
          <w:iCs/>
          <w:color w:val="000000"/>
          <w:kern w:val="0"/>
          <w:sz w:val="22"/>
          <w:szCs w:val="22"/>
          <w:shd w:fill="auto" w:val="clear"/>
          <w:lang w:val="pt-BR" w:eastAsia="zh-CN" w:bidi="ar-SA"/>
        </w:rPr>
        <w:t xml:space="preserve">10.13.23. </w:t>
      </w:r>
      <w:r>
        <w:rPr>
          <w:rFonts w:eastAsia="Calibri" w:cs="Times New Roman" w:ascii="Arial" w:hAnsi="Arial" w:eastAsiaTheme="minorHAnsi"/>
          <w:iCs/>
          <w:color w:val="000000"/>
          <w:kern w:val="0"/>
          <w:sz w:val="22"/>
          <w:szCs w:val="22"/>
          <w:shd w:fill="auto" w:val="clear"/>
          <w:lang w:val="pt-BR" w:eastAsia="en-US" w:bidi="ar-SA"/>
        </w:rPr>
        <w:t>O Contratado</w:t>
      </w:r>
      <w:r>
        <w:rPr>
          <w:rFonts w:eastAsia="Calibri" w:cs="Arial" w:ascii="Arial" w:hAnsi="Arial"/>
          <w:iCs/>
          <w:color w:val="000000"/>
          <w:kern w:val="0"/>
          <w:sz w:val="22"/>
          <w:szCs w:val="22"/>
          <w:shd w:fill="auto" w:val="clear"/>
          <w:lang w:val="pt-BR" w:eastAsia="en-US" w:bidi="ar-SA"/>
        </w:rPr>
        <w:t xml:space="preserve"> deverá cumprir com todas as determinações estabelecidas pelo Ministério do Trabalho, relativas à segurança e medicina do trabalho.</w:t>
      </w:r>
    </w:p>
    <w:p>
      <w:pPr>
        <w:pStyle w:val="Normal"/>
        <w:widowControl w:val="false"/>
        <w:tabs>
          <w:tab w:val="clear" w:pos="720"/>
          <w:tab w:val="left" w:pos="1134" w:leader="none"/>
        </w:tabs>
        <w:spacing w:lineRule="auto" w:line="240" w:before="0" w:after="0"/>
        <w:jc w:val="both"/>
        <w:rPr>
          <w:rFonts w:ascii="Arial" w:hAnsi="Arial" w:eastAsia="Calibri" w:cs="Arial"/>
          <w:iCs/>
          <w:color w:val="000000"/>
          <w:kern w:val="0"/>
          <w:sz w:val="22"/>
          <w:szCs w:val="22"/>
          <w:lang w:val="pt-BR" w:eastAsia="en-US" w:bidi="ar-SA"/>
        </w:rPr>
      </w:pPr>
      <w:r>
        <w:rPr>
          <w:rFonts w:eastAsia="Calibri" w:cs="Arial" w:ascii="Arial" w:hAnsi="Arial"/>
          <w:iCs/>
          <w:color w:val="000000"/>
          <w:kern w:val="0"/>
          <w:sz w:val="22"/>
          <w:szCs w:val="22"/>
          <w:lang w:val="pt-BR" w:eastAsia="en-US" w:bidi="ar-SA"/>
        </w:rPr>
      </w:r>
    </w:p>
    <w:p>
      <w:pPr>
        <w:pStyle w:val="Normal"/>
        <w:widowControl w:val="false"/>
        <w:tabs>
          <w:tab w:val="clear" w:pos="720"/>
          <w:tab w:val="left" w:pos="1134" w:leader="none"/>
        </w:tabs>
        <w:spacing w:lineRule="auto" w:line="240" w:before="0" w:after="0"/>
        <w:jc w:val="both"/>
        <w:rPr>
          <w:shd w:fill="auto" w:val="clear"/>
        </w:rPr>
      </w:pPr>
      <w:r>
        <w:rPr>
          <w:rFonts w:eastAsia="Calibri" w:cs="Arial" w:ascii="Arial" w:hAnsi="Arial"/>
          <w:iCs/>
          <w:color w:val="000000"/>
          <w:kern w:val="0"/>
          <w:sz w:val="22"/>
          <w:szCs w:val="22"/>
          <w:shd w:fill="auto" w:val="clear"/>
          <w:lang w:val="pt-BR" w:eastAsia="en-US" w:bidi="ar-SA"/>
        </w:rPr>
        <w:t xml:space="preserve">10.13.24. </w:t>
      </w:r>
      <w:r>
        <w:rPr>
          <w:rFonts w:eastAsia="Times New Roman" w:cs="Times New Roman" w:ascii="Arial" w:hAnsi="Arial"/>
          <w:iCs/>
          <w:color w:val="000000"/>
          <w:kern w:val="0"/>
          <w:sz w:val="22"/>
          <w:szCs w:val="22"/>
          <w:shd w:fill="auto" w:val="clear"/>
          <w:lang w:val="pt-BR" w:eastAsia="pt-BR" w:bidi="ar-SA"/>
        </w:rPr>
        <w:t>Deverá efetuar o pagamento do valor homologado em conta a ser informada pela administração, para fins de assinatura do contrato.</w:t>
      </w:r>
    </w:p>
    <w:p>
      <w:pPr>
        <w:pStyle w:val="Normal"/>
        <w:widowControl w:val="false"/>
        <w:tabs>
          <w:tab w:val="clear" w:pos="720"/>
          <w:tab w:val="left" w:pos="1134" w:leader="none"/>
        </w:tabs>
        <w:spacing w:lineRule="auto" w:line="240" w:before="0" w:after="0"/>
        <w:jc w:val="both"/>
        <w:rPr>
          <w:rFonts w:ascii="Arial" w:hAnsi="Arial" w:eastAsia="Calibri" w:cs="Arial"/>
          <w:iCs/>
          <w:color w:val="000000"/>
          <w:shd w:fill="FFFF00" w:val="clear"/>
          <w:lang w:eastAsia="pt-BR"/>
        </w:rPr>
      </w:pPr>
      <w:r>
        <w:rPr>
          <w:rFonts w:eastAsia="Calibri" w:cs="Arial" w:ascii="Arial" w:hAnsi="Arial"/>
          <w:iCs/>
          <w:color w:val="000000"/>
          <w:shd w:fill="FFFF00" w:val="clear"/>
          <w:lang w:eastAsia="pt-BR"/>
        </w:rPr>
      </w:r>
    </w:p>
    <w:p>
      <w:pPr>
        <w:pStyle w:val="Normal"/>
        <w:tabs>
          <w:tab w:val="clear" w:pos="720"/>
          <w:tab w:val="left" w:pos="1134" w:leader="none"/>
        </w:tabs>
        <w:spacing w:lineRule="auto" w:line="240"/>
        <w:jc w:val="both"/>
        <w:rPr>
          <w:shd w:fill="auto" w:val="clear"/>
        </w:rPr>
      </w:pPr>
      <w:r>
        <w:rPr>
          <w:rFonts w:eastAsia="Calibri" w:cs="Arial" w:ascii="Arial" w:hAnsi="Arial"/>
          <w:iCs/>
          <w:color w:val="000000"/>
          <w:kern w:val="0"/>
          <w:sz w:val="22"/>
          <w:szCs w:val="22"/>
          <w:shd w:fill="auto" w:val="clear"/>
          <w:lang w:val="pt-BR" w:eastAsia="pt-BR" w:bidi="ar-SA"/>
        </w:rPr>
        <w:t>10.13</w:t>
      </w:r>
      <w:r>
        <w:rPr>
          <w:rFonts w:eastAsia="Calibri" w:cs="Arial" w:ascii="Arial" w:hAnsi="Arial"/>
          <w:iCs/>
          <w:color w:val="000000"/>
          <w:shd w:fill="auto" w:val="clear"/>
          <w:lang w:eastAsia="pt-BR"/>
        </w:rPr>
        <w:t xml:space="preserve">.25. </w:t>
      </w:r>
      <w:r>
        <w:rPr>
          <w:rFonts w:eastAsia="Calibri" w:cs="Arial" w:ascii="Arial" w:hAnsi="Arial"/>
          <w:iCs/>
          <w:color w:val="000000"/>
          <w:u w:val="single"/>
          <w:shd w:fill="auto" w:val="clear"/>
          <w:lang w:eastAsia="pt-BR"/>
        </w:rPr>
        <w:t>Cumprir com TODAS as demais obrigações</w:t>
      </w:r>
      <w:r>
        <w:rPr>
          <w:rFonts w:eastAsia="Calibri" w:cs="Arial" w:ascii="Arial" w:hAnsi="Arial"/>
          <w:iCs/>
          <w:color w:val="000000"/>
          <w:shd w:fill="auto" w:val="clear"/>
          <w:lang w:eastAsia="pt-BR"/>
        </w:rPr>
        <w:t xml:space="preserve">, requisitos, características e prazos para entrega e execução dos materiais e serviços, objetos desta licitação, de acordo com as </w:t>
      </w:r>
      <w:r>
        <w:rPr>
          <w:rFonts w:eastAsia="Calibri" w:cs="Arial" w:ascii="Arial" w:hAnsi="Arial"/>
          <w:iCs/>
          <w:color w:val="000000"/>
          <w:u w:val="single"/>
          <w:shd w:fill="auto" w:val="clear"/>
          <w:lang w:eastAsia="pt-BR"/>
        </w:rPr>
        <w:t>regras e definições do presente edital, do Estudo Técnico Preliminar e do Termo de Referência.</w:t>
      </w:r>
    </w:p>
    <w:p>
      <w:pPr>
        <w:pStyle w:val="Normal"/>
        <w:tabs>
          <w:tab w:val="clear" w:pos="720"/>
          <w:tab w:val="left" w:pos="1134" w:leader="none"/>
        </w:tabs>
        <w:spacing w:lineRule="auto" w:line="240"/>
        <w:jc w:val="both"/>
        <w:rPr>
          <w:shd w:fill="auto" w:val="clear"/>
        </w:rPr>
      </w:pPr>
      <w:r>
        <w:rPr>
          <w:rFonts w:eastAsia="Calibri" w:cs="Times New Roman" w:ascii="Arial" w:hAnsi="Arial"/>
          <w:b/>
          <w:iCs/>
          <w:color w:val="000000"/>
          <w:shd w:fill="auto" w:val="clear"/>
        </w:rPr>
        <w:t>10.14</w:t>
      </w:r>
      <w:r>
        <w:rPr>
          <w:rFonts w:cs="Times New Roman" w:ascii="Arial" w:hAnsi="Arial"/>
          <w:b/>
          <w:iCs/>
          <w:shd w:fill="auto" w:val="clear"/>
        </w:rPr>
        <w:t xml:space="preserve">. </w:t>
      </w:r>
      <w:r>
        <w:rPr>
          <w:rFonts w:cs="Times New Roman" w:ascii="Arial" w:hAnsi="Arial"/>
          <w:iCs/>
          <w:shd w:fill="auto" w:val="clear"/>
        </w:rPr>
        <w:t>Obrigações do CONTRATANTE:</w:t>
      </w:r>
    </w:p>
    <w:p>
      <w:pPr>
        <w:pStyle w:val="Normal"/>
        <w:tabs>
          <w:tab w:val="clear" w:pos="720"/>
          <w:tab w:val="left" w:pos="1134" w:leader="none"/>
        </w:tabs>
        <w:spacing w:lineRule="auto" w:line="240"/>
        <w:jc w:val="both"/>
        <w:rPr>
          <w:shd w:fill="auto" w:val="clear"/>
        </w:rPr>
      </w:pPr>
      <w:r>
        <w:rPr>
          <w:rFonts w:eastAsia="Calibri" w:cs="Times New Roman" w:ascii="Arial" w:hAnsi="Arial"/>
          <w:b/>
          <w:bCs/>
          <w:iCs/>
          <w:color w:val="000000"/>
          <w:shd w:fill="auto" w:val="clear"/>
        </w:rPr>
        <w:t>10.14.1</w:t>
      </w:r>
      <w:r>
        <w:rPr>
          <w:rFonts w:cs="Times New Roman" w:ascii="Arial" w:hAnsi="Arial"/>
          <w:b/>
          <w:bCs/>
          <w:iCs/>
          <w:color w:val="000000"/>
          <w:shd w:fill="auto" w:val="clear"/>
        </w:rPr>
        <w:t>.</w:t>
      </w:r>
      <w:r>
        <w:rPr>
          <w:rFonts w:cs="Times New Roman" w:ascii="Arial" w:hAnsi="Arial"/>
          <w:iCs/>
          <w:color w:val="000000"/>
          <w:shd w:fill="auto" w:val="clear"/>
        </w:rPr>
        <w:t xml:space="preserve"> Acompanhar e fiscalizar o cumprimento das obrigações do </w:t>
      </w:r>
      <w:r>
        <w:rPr>
          <w:rFonts w:eastAsia="Calibri" w:cs="Times New Roman" w:ascii="Arial" w:hAnsi="Arial"/>
          <w:iCs/>
          <w:color w:val="000000"/>
          <w:kern w:val="0"/>
          <w:sz w:val="22"/>
          <w:szCs w:val="22"/>
          <w:shd w:fill="auto" w:val="clear"/>
          <w:lang w:val="pt-BR" w:eastAsia="en-US" w:bidi="ar-SA"/>
        </w:rPr>
        <w:t>Contratado</w:t>
      </w:r>
      <w:r>
        <w:rPr>
          <w:rFonts w:cs="Times New Roman" w:ascii="Arial" w:hAnsi="Arial"/>
          <w:iCs/>
          <w:color w:val="000000"/>
          <w:shd w:fill="auto" w:val="clear"/>
        </w:rPr>
        <w:t>, através de comissão/servidor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Normal"/>
        <w:tabs>
          <w:tab w:val="clear" w:pos="720"/>
          <w:tab w:val="left" w:pos="1134" w:leader="none"/>
        </w:tabs>
        <w:spacing w:lineRule="auto" w:line="240"/>
        <w:jc w:val="both"/>
        <w:rPr>
          <w:shd w:fill="auto" w:val="clear"/>
        </w:rPr>
      </w:pPr>
      <w:r>
        <w:rPr>
          <w:rFonts w:eastAsia="Calibri" w:cs="Times New Roman" w:ascii="Arial" w:hAnsi="Arial"/>
          <w:b/>
          <w:bCs/>
          <w:iCs/>
          <w:color w:val="000000"/>
          <w:shd w:fill="auto" w:val="clear"/>
        </w:rPr>
        <w:t>10.14.2</w:t>
      </w:r>
      <w:r>
        <w:rPr>
          <w:rFonts w:cs="Times New Roman" w:ascii="Arial" w:hAnsi="Arial"/>
          <w:b/>
          <w:bCs/>
          <w:iCs/>
          <w:color w:val="000000"/>
          <w:shd w:fill="auto" w:val="clear"/>
        </w:rPr>
        <w:t>.</w:t>
      </w:r>
      <w:r>
        <w:rPr>
          <w:rFonts w:cs="Times New Roman" w:ascii="Arial" w:hAnsi="Arial"/>
          <w:iCs/>
          <w:color w:val="000000"/>
          <w:shd w:fill="auto" w:val="clear"/>
        </w:rPr>
        <w:t xml:space="preserve"> Permitir o livre acesso dos empregados, encarregados e/ou prepostos do </w:t>
      </w:r>
      <w:r>
        <w:rPr>
          <w:rFonts w:eastAsia="Calibri" w:cs="Times New Roman" w:ascii="Arial" w:hAnsi="Arial"/>
          <w:iCs/>
          <w:color w:val="000000"/>
          <w:kern w:val="0"/>
          <w:sz w:val="22"/>
          <w:szCs w:val="22"/>
          <w:shd w:fill="auto" w:val="clear"/>
          <w:lang w:val="pt-BR" w:eastAsia="en-US" w:bidi="ar-SA"/>
        </w:rPr>
        <w:t xml:space="preserve">Contratado </w:t>
      </w:r>
      <w:r>
        <w:rPr>
          <w:rFonts w:cs="Times New Roman" w:ascii="Arial" w:hAnsi="Arial"/>
          <w:iCs/>
          <w:color w:val="000000"/>
          <w:shd w:fill="auto" w:val="clear"/>
        </w:rPr>
        <w:t>para a execução do contrato;</w:t>
      </w:r>
    </w:p>
    <w:p>
      <w:pPr>
        <w:pStyle w:val="Normal"/>
        <w:tabs>
          <w:tab w:val="clear" w:pos="720"/>
          <w:tab w:val="left" w:pos="1134" w:leader="none"/>
        </w:tabs>
        <w:spacing w:lineRule="auto" w:line="240" w:before="0" w:after="160"/>
        <w:contextualSpacing/>
        <w:jc w:val="both"/>
        <w:rPr>
          <w:shd w:fill="auto" w:val="clear"/>
        </w:rPr>
      </w:pPr>
      <w:r>
        <w:rPr>
          <w:rFonts w:eastAsia="Calibri" w:cs="Times New Roman" w:ascii="Arial" w:hAnsi="Arial"/>
          <w:b/>
          <w:bCs/>
          <w:iCs/>
          <w:color w:val="000000"/>
          <w:shd w:fill="auto" w:val="clear"/>
        </w:rPr>
        <w:t>10.14.3</w:t>
      </w:r>
      <w:r>
        <w:rPr>
          <w:rFonts w:cs="Times New Roman" w:ascii="Arial" w:hAnsi="Arial"/>
          <w:b/>
          <w:bCs/>
          <w:iCs/>
          <w:color w:val="000000"/>
          <w:shd w:fill="auto" w:val="clear"/>
        </w:rPr>
        <w:t>.</w:t>
      </w:r>
      <w:r>
        <w:rPr>
          <w:rFonts w:cs="Times New Roman" w:ascii="Arial" w:hAnsi="Arial"/>
          <w:iCs/>
          <w:color w:val="000000"/>
          <w:shd w:fill="auto" w:val="clear"/>
        </w:rPr>
        <w:t xml:space="preserve"> Prestar as informações e os esclarecimentos que venham a ser solicitados pelos empregados, encarregados e/ou prepostos do </w:t>
      </w:r>
      <w:r>
        <w:rPr>
          <w:rFonts w:eastAsia="Calibri" w:cs="Times New Roman" w:ascii="Arial" w:hAnsi="Arial"/>
          <w:iCs/>
          <w:color w:val="000000"/>
          <w:kern w:val="0"/>
          <w:sz w:val="22"/>
          <w:szCs w:val="22"/>
          <w:shd w:fill="auto" w:val="clear"/>
          <w:lang w:val="pt-BR" w:eastAsia="en-US" w:bidi="ar-SA"/>
        </w:rPr>
        <w:t>Contratado</w:t>
      </w:r>
      <w:r>
        <w:rPr>
          <w:rFonts w:cs="Times New Roman" w:ascii="Arial" w:hAnsi="Arial"/>
          <w:iCs/>
          <w:color w:val="000000"/>
          <w:shd w:fill="auto" w:val="clear"/>
        </w:rPr>
        <w:t>, desde que inerentes ao objeto do Contrato;</w:t>
      </w:r>
    </w:p>
    <w:p>
      <w:pPr>
        <w:pStyle w:val="Normal"/>
        <w:tabs>
          <w:tab w:val="clear" w:pos="720"/>
          <w:tab w:val="left" w:pos="1134" w:leader="none"/>
        </w:tabs>
        <w:spacing w:lineRule="auto" w:line="240" w:before="0" w:after="160"/>
        <w:contextualSpacing/>
        <w:jc w:val="both"/>
        <w:rPr>
          <w:rFonts w:ascii="Arial" w:hAnsi="Arial" w:cs="Times New Roman"/>
          <w:iCs/>
          <w:color w:val="000000"/>
          <w:shd w:fill="auto" w:val="clear"/>
        </w:rPr>
      </w:pPr>
      <w:r>
        <w:rPr>
          <w:rFonts w:cs="Times New Roman" w:ascii="Arial" w:hAnsi="Arial"/>
          <w:iCs/>
          <w:color w:val="000000"/>
          <w:shd w:fill="auto" w:val="clear"/>
        </w:rPr>
      </w:r>
    </w:p>
    <w:p>
      <w:pPr>
        <w:pStyle w:val="Normal"/>
        <w:shd w:val="clear" w:color="auto" w:fill="E7E6E6" w:themeFill="background2"/>
        <w:spacing w:lineRule="auto" w:line="240"/>
        <w:jc w:val="both"/>
        <w:rPr>
          <w:rFonts w:ascii="Arial" w:hAnsi="Arial"/>
        </w:rPr>
      </w:pPr>
      <w:r>
        <w:rPr>
          <w:rFonts w:cs="Times New Roman" w:ascii="Arial" w:hAnsi="Arial"/>
          <w:b/>
        </w:rPr>
        <w:t>CLÁUSULA DÉCIMA PRIMEIRA:</w:t>
      </w:r>
      <w:bookmarkStart w:id="84" w:name="art92xvi"/>
      <w:bookmarkEnd w:id="84"/>
      <w:r>
        <w:rPr>
          <w:rFonts w:cs="Times New Roman" w:ascii="Arial" w:hAnsi="Arial"/>
          <w:b/>
        </w:rPr>
        <w:t xml:space="preserve"> A OBRIGAÇÃO DO CONTRATADO DE MANTER, DURANTE TODA A EXECUÇÃO DO CONTRATO, EM COMPATIBILIDADE COM AS OBRIGAÇÕES POR ELE ASSUMIDAS, TODAS AS CONDIÇÕES EXIGIDAS PARA A HABILITAÇÃO NA LICITAÇÃO (art. 92, XVI)</w:t>
      </w:r>
    </w:p>
    <w:p>
      <w:pPr>
        <w:pStyle w:val="Normal"/>
        <w:spacing w:lineRule="auto" w:line="240"/>
        <w:jc w:val="both"/>
        <w:rPr>
          <w:rFonts w:ascii="Arial" w:hAnsi="Arial"/>
        </w:rPr>
      </w:pPr>
      <w:r>
        <w:rPr>
          <w:rFonts w:cs="Times New Roman" w:ascii="Arial" w:hAnsi="Arial"/>
          <w:b/>
        </w:rPr>
        <w:t>11.</w:t>
      </w:r>
      <w:r>
        <w:rPr>
          <w:rFonts w:cs="Times New Roman" w:ascii="Arial" w:hAnsi="Arial"/>
        </w:rPr>
        <w:t xml:space="preserve"> O </w:t>
      </w:r>
      <w:r>
        <w:rPr>
          <w:rFonts w:eastAsia="Calibri" w:cs="Times New Roman" w:ascii="Arial" w:hAnsi="Arial" w:eastAsiaTheme="minorHAnsi"/>
          <w:color w:val="auto"/>
          <w:kern w:val="0"/>
          <w:sz w:val="22"/>
          <w:szCs w:val="22"/>
          <w:lang w:val="pt-BR" w:eastAsia="en-US" w:bidi="ar-SA"/>
        </w:rPr>
        <w:t>Contratado</w:t>
      </w:r>
      <w:r>
        <w:rPr>
          <w:rFonts w:cs="Times New Roman" w:ascii="Arial" w:hAnsi="Arial"/>
        </w:rPr>
        <w:t xml:space="preserve"> fica obrigado a manter, durante toda a execução do contrato, em compatibilidade com as obrigações por ele assumidas, todas as condições exigidas para a habilitação na licitação.</w:t>
      </w:r>
    </w:p>
    <w:p>
      <w:pPr>
        <w:pStyle w:val="Normal"/>
        <w:shd w:val="clear" w:color="auto" w:fill="E7E6E6" w:themeFill="background2"/>
        <w:spacing w:lineRule="auto" w:line="240"/>
        <w:jc w:val="both"/>
        <w:rPr>
          <w:rFonts w:ascii="Arial" w:hAnsi="Arial"/>
        </w:rPr>
      </w:pPr>
      <w:bookmarkStart w:id="85" w:name="art92xvii"/>
      <w:bookmarkEnd w:id="85"/>
      <w:r>
        <w:rPr>
          <w:rFonts w:cs="Times New Roman" w:ascii="Arial" w:hAnsi="Arial"/>
          <w:b/>
        </w:rPr>
        <w:t>CLÁUSULA DÉCIMA SEGUNDA: A OBRIGAÇÃO DE O CONTRATADO CUMPRIR AS EXIGÊNCIAS DE RESERVA DE CARGOS PREVISTA EM LEI, BEM COMO EM OUTRAS NORMAS ESPECÍFICAS, PARA PESSOA COM DEFICIÊNCIA, PARA REABILITADO DA PREVIDÊNCIA SOCIAL E PARA APRENDIZ (art. 92, XVII)</w:t>
      </w:r>
    </w:p>
    <w:p>
      <w:pPr>
        <w:pStyle w:val="Normal"/>
        <w:spacing w:lineRule="auto" w:line="240"/>
        <w:jc w:val="both"/>
        <w:rPr>
          <w:rFonts w:ascii="Arial" w:hAnsi="Arial"/>
        </w:rPr>
      </w:pPr>
      <w:r>
        <w:rPr>
          <w:rFonts w:cs="Times New Roman" w:ascii="Arial" w:hAnsi="Arial"/>
          <w:b/>
        </w:rPr>
        <w:t>12.</w:t>
      </w:r>
      <w:r>
        <w:rPr>
          <w:rFonts w:cs="Times New Roman" w:ascii="Arial" w:hAnsi="Arial"/>
        </w:rPr>
        <w:t xml:space="preserve"> O </w:t>
      </w:r>
      <w:r>
        <w:rPr>
          <w:rFonts w:eastAsia="Calibri" w:cs="Times New Roman" w:ascii="Arial" w:hAnsi="Arial" w:eastAsiaTheme="minorHAnsi"/>
          <w:color w:val="auto"/>
          <w:kern w:val="0"/>
          <w:sz w:val="22"/>
          <w:szCs w:val="22"/>
          <w:lang w:val="pt-BR" w:eastAsia="en-US" w:bidi="ar-SA"/>
        </w:rPr>
        <w:t>Contratado</w:t>
      </w:r>
      <w:r>
        <w:rPr>
          <w:rFonts w:cs="Times New Roman" w:ascii="Arial" w:hAnsi="Arial"/>
        </w:rPr>
        <w:t xml:space="preserve"> fica obrigado a cumprir as exigências de reserva de cargos prevista em lei, bem como em outras normas específicas, para pessoa com deficiência, para reabilitado da previdência social e para aprendiz.</w:t>
      </w:r>
      <w:bookmarkStart w:id="86" w:name="art92xviii"/>
      <w:bookmarkEnd w:id="86"/>
    </w:p>
    <w:p>
      <w:pPr>
        <w:pStyle w:val="Normal"/>
        <w:shd w:val="clear" w:color="auto" w:fill="E7E6E6" w:themeFill="background2"/>
        <w:spacing w:lineRule="auto" w:line="240"/>
        <w:jc w:val="both"/>
        <w:rPr>
          <w:rFonts w:ascii="Arial" w:hAnsi="Arial"/>
        </w:rPr>
      </w:pPr>
      <w:r>
        <w:rPr>
          <w:rFonts w:cs="Times New Roman" w:ascii="Arial" w:hAnsi="Arial"/>
          <w:b/>
        </w:rPr>
        <w:t>CLÁUSULA DÉCIMA TERCEIRA: O MODELO DE GESTÃO DO CONTRATO, OBSERVADOS OS REQUISITOS DEFINIDOS EM REGULAMENTO (art. 92, XVIII)</w:t>
      </w:r>
    </w:p>
    <w:p>
      <w:pPr>
        <w:pStyle w:val="Normal"/>
        <w:tabs>
          <w:tab w:val="clear" w:pos="720"/>
          <w:tab w:val="left" w:pos="1134" w:leader="none"/>
        </w:tabs>
        <w:spacing w:lineRule="auto" w:line="240"/>
        <w:jc w:val="both"/>
        <w:rPr>
          <w:rFonts w:ascii="Arial" w:hAnsi="Arial"/>
        </w:rPr>
      </w:pPr>
      <w:r>
        <w:rPr>
          <w:rFonts w:cs="Times New Roman" w:ascii="Arial" w:hAnsi="Arial"/>
          <w:b/>
          <w:bCs/>
          <w:iCs/>
          <w:color w:val="000000"/>
        </w:rPr>
        <w:t>13.</w:t>
      </w:r>
      <w:r>
        <w:rPr>
          <w:rFonts w:cs="Times New Roman" w:ascii="Arial" w:hAnsi="Arial"/>
          <w:iCs/>
          <w:color w:val="000000"/>
        </w:rPr>
        <w:t xml:space="preserve"> A fiscalização e gestão do contrato ocorre através de comissão responsável, formada por servidores do Município, os quais realizam a conferência do recebimento do produto ou serviço.</w:t>
      </w:r>
    </w:p>
    <w:p>
      <w:pPr>
        <w:pStyle w:val="Normal"/>
        <w:shd w:val="clear" w:color="auto" w:fill="E7E6E6" w:themeFill="background2"/>
        <w:spacing w:lineRule="auto" w:line="240"/>
        <w:jc w:val="both"/>
        <w:rPr>
          <w:rFonts w:ascii="Arial" w:hAnsi="Arial"/>
        </w:rPr>
      </w:pPr>
      <w:bookmarkStart w:id="87" w:name="art92xix"/>
      <w:bookmarkEnd w:id="87"/>
      <w:r>
        <w:rPr>
          <w:rFonts w:cs="Times New Roman" w:ascii="Arial" w:hAnsi="Arial"/>
          <w:b/>
        </w:rPr>
        <w:t>CLÁUSULA DÉCIMA QUARTA: OS CASOS DE EXTINÇÃO E DA ALTERAÇÃO (art. 92 e art. 124, XIX)</w:t>
      </w:r>
    </w:p>
    <w:p>
      <w:pPr>
        <w:pStyle w:val="Normal"/>
        <w:spacing w:lineRule="auto" w:line="240"/>
        <w:jc w:val="both"/>
        <w:rPr>
          <w:rFonts w:ascii="Arial" w:hAnsi="Arial"/>
        </w:rPr>
      </w:pPr>
      <w:r>
        <w:rPr>
          <w:rFonts w:cs="Times New Roman" w:ascii="Arial" w:hAnsi="Arial"/>
          <w:b/>
        </w:rPr>
        <w:t>14.</w:t>
      </w:r>
      <w:r>
        <w:rPr>
          <w:rFonts w:cs="Times New Roman" w:ascii="Arial" w:hAnsi="Arial"/>
        </w:rPr>
        <w:t xml:space="preserve"> Constituirão motivos para extinção do contrato, devendo ser formalmente motivada nos autos do processo, assegurados o contraditório e a ampla defesa, as seguintes situações:</w:t>
      </w:r>
    </w:p>
    <w:p>
      <w:pPr>
        <w:pStyle w:val="ListParagraph"/>
        <w:numPr>
          <w:ilvl w:val="0"/>
          <w:numId w:val="38"/>
        </w:numPr>
        <w:jc w:val="both"/>
        <w:rPr>
          <w:rFonts w:ascii="Arial" w:hAnsi="Arial"/>
          <w:sz w:val="22"/>
          <w:szCs w:val="22"/>
        </w:rPr>
      </w:pPr>
      <w:r>
        <w:rPr>
          <w:rFonts w:ascii="Arial" w:hAnsi="Arial"/>
          <w:sz w:val="22"/>
          <w:szCs w:val="22"/>
        </w:rPr>
        <w:t>Não cumprimento ou cumprimento irregular de normas editalícias ou de cláusulas contratuais, de especificações, de projetos ou de prazos;</w:t>
      </w:r>
    </w:p>
    <w:p>
      <w:pPr>
        <w:pStyle w:val="ListParagraph"/>
        <w:numPr>
          <w:ilvl w:val="0"/>
          <w:numId w:val="38"/>
        </w:numPr>
        <w:jc w:val="both"/>
        <w:rPr>
          <w:rFonts w:ascii="Arial" w:hAnsi="Arial"/>
          <w:sz w:val="22"/>
          <w:szCs w:val="22"/>
        </w:rPr>
      </w:pPr>
      <w:r>
        <w:rPr>
          <w:rFonts w:ascii="Arial" w:hAnsi="Arial"/>
          <w:sz w:val="22"/>
          <w:szCs w:val="22"/>
        </w:rPr>
        <w:t>Desatendimento das determinações regulares emitidas pela autoridade designada para acompanhar e fiscalizar sua execução ou por autoridade superior;</w:t>
      </w:r>
    </w:p>
    <w:p>
      <w:pPr>
        <w:pStyle w:val="ListParagraph"/>
        <w:numPr>
          <w:ilvl w:val="0"/>
          <w:numId w:val="38"/>
        </w:numPr>
        <w:jc w:val="both"/>
        <w:rPr>
          <w:rFonts w:ascii="Arial" w:hAnsi="Arial"/>
          <w:sz w:val="22"/>
          <w:szCs w:val="22"/>
        </w:rPr>
      </w:pPr>
      <w:r>
        <w:rPr>
          <w:rFonts w:ascii="Arial" w:hAnsi="Arial"/>
          <w:sz w:val="22"/>
          <w:szCs w:val="22"/>
        </w:rPr>
        <w:t>Alteração social ou modificação da finalidade ou da estrutura da empresa que restrinja sua capacidade de concluir o contrato;</w:t>
      </w:r>
    </w:p>
    <w:p>
      <w:pPr>
        <w:pStyle w:val="ListParagraph"/>
        <w:numPr>
          <w:ilvl w:val="0"/>
          <w:numId w:val="38"/>
        </w:numPr>
        <w:jc w:val="both"/>
        <w:rPr>
          <w:rFonts w:ascii="Arial" w:hAnsi="Arial"/>
          <w:sz w:val="22"/>
          <w:szCs w:val="22"/>
        </w:rPr>
      </w:pPr>
      <w:r>
        <w:rPr>
          <w:rFonts w:ascii="Arial" w:hAnsi="Arial"/>
          <w:sz w:val="22"/>
          <w:szCs w:val="22"/>
        </w:rPr>
        <w:t xml:space="preserve">Decretação de falência ou de insolvência civil, dissolução da sociedade ou falecimento do </w:t>
      </w:r>
      <w:r>
        <w:rPr>
          <w:rFonts w:eastAsia="Times New Roman" w:cs="Times New Roman" w:ascii="Arial" w:hAnsi="Arial"/>
          <w:b/>
          <w:color w:val="auto"/>
          <w:kern w:val="0"/>
          <w:sz w:val="22"/>
          <w:szCs w:val="22"/>
          <w:lang w:val="pt-BR" w:eastAsia="en-US" w:bidi="ar-SA"/>
        </w:rPr>
        <w:t>Contratado</w:t>
      </w:r>
      <w:r>
        <w:rPr>
          <w:rFonts w:ascii="Arial" w:hAnsi="Arial"/>
          <w:sz w:val="22"/>
          <w:szCs w:val="22"/>
        </w:rPr>
        <w:t>;</w:t>
      </w:r>
    </w:p>
    <w:p>
      <w:pPr>
        <w:pStyle w:val="ListParagraph"/>
        <w:numPr>
          <w:ilvl w:val="0"/>
          <w:numId w:val="38"/>
        </w:numPr>
        <w:jc w:val="both"/>
        <w:rPr>
          <w:rFonts w:ascii="Arial" w:hAnsi="Arial"/>
          <w:sz w:val="22"/>
          <w:szCs w:val="22"/>
        </w:rPr>
      </w:pPr>
      <w:r>
        <w:rPr>
          <w:rFonts w:ascii="Arial" w:hAnsi="Arial"/>
          <w:sz w:val="22"/>
          <w:szCs w:val="22"/>
        </w:rPr>
        <w:t>Caso fortuito ou força maior, regularmente comprovados, impeditivos da execução do contrato;</w:t>
      </w:r>
    </w:p>
    <w:p>
      <w:pPr>
        <w:pStyle w:val="ListParagraph"/>
        <w:numPr>
          <w:ilvl w:val="0"/>
          <w:numId w:val="38"/>
        </w:numPr>
        <w:jc w:val="both"/>
        <w:rPr>
          <w:rFonts w:ascii="Arial" w:hAnsi="Arial"/>
          <w:sz w:val="22"/>
          <w:szCs w:val="22"/>
        </w:rPr>
      </w:pPr>
      <w:r>
        <w:rPr>
          <w:rFonts w:ascii="Arial" w:hAnsi="Arial"/>
          <w:sz w:val="22"/>
          <w:szCs w:val="22"/>
        </w:rPr>
        <w:t>Atraso na obtenção da licença ambiental, ou impossibilidade de obtê-la, ou alteração substancial do anteprojeto que dela resultar, ainda que obtida no prazo previsto;</w:t>
      </w:r>
    </w:p>
    <w:p>
      <w:pPr>
        <w:pStyle w:val="ListParagraph"/>
        <w:numPr>
          <w:ilvl w:val="0"/>
          <w:numId w:val="38"/>
        </w:numPr>
        <w:jc w:val="both"/>
        <w:rPr>
          <w:rFonts w:ascii="Arial" w:hAnsi="Arial"/>
          <w:sz w:val="22"/>
          <w:szCs w:val="22"/>
        </w:rPr>
      </w:pPr>
      <w:r>
        <w:rPr>
          <w:rFonts w:ascii="Arial" w:hAnsi="Arial"/>
          <w:sz w:val="22"/>
          <w:szCs w:val="22"/>
        </w:rPr>
        <w:t>Atraso na liberação das áreas sujeitas a desapropriação, a desocupação ou a servidão administrativa, ou impossibilidade de liberação dessas áreas;</w:t>
      </w:r>
    </w:p>
    <w:p>
      <w:pPr>
        <w:pStyle w:val="ListParagraph"/>
        <w:numPr>
          <w:ilvl w:val="0"/>
          <w:numId w:val="38"/>
        </w:numPr>
        <w:jc w:val="both"/>
        <w:rPr>
          <w:rFonts w:ascii="Arial" w:hAnsi="Arial"/>
          <w:sz w:val="22"/>
          <w:szCs w:val="22"/>
        </w:rPr>
      </w:pPr>
      <w:r>
        <w:rPr>
          <w:rFonts w:ascii="Arial" w:hAnsi="Arial"/>
          <w:sz w:val="22"/>
          <w:szCs w:val="22"/>
        </w:rPr>
        <w:t>Razões de interesse público, justificadas pela autoridade máxima do órgão;</w:t>
      </w:r>
    </w:p>
    <w:p>
      <w:pPr>
        <w:pStyle w:val="ListParagraph"/>
        <w:numPr>
          <w:ilvl w:val="0"/>
          <w:numId w:val="38"/>
        </w:numPr>
        <w:jc w:val="both"/>
        <w:rPr>
          <w:rFonts w:ascii="Arial" w:hAnsi="Arial"/>
          <w:sz w:val="22"/>
          <w:szCs w:val="22"/>
        </w:rPr>
      </w:pPr>
      <w:r>
        <w:rPr>
          <w:rFonts w:ascii="Arial" w:hAnsi="Arial"/>
          <w:sz w:val="22"/>
          <w:szCs w:val="22"/>
        </w:rPr>
        <w:t>Não cumprimento das obrigações relativas à reserva de cargos prevista em lei, bem como em outras normas específicas, para pessoa com deficiência, para reabilitado da Previdência Social ou para aprendiz.</w:t>
      </w:r>
    </w:p>
    <w:p>
      <w:pPr>
        <w:pStyle w:val="Normal"/>
        <w:spacing w:lineRule="auto" w:line="240"/>
        <w:jc w:val="both"/>
        <w:rPr>
          <w:rFonts w:ascii="Arial" w:hAnsi="Arial"/>
        </w:rPr>
      </w:pPr>
      <w:r>
        <w:rPr>
          <w:rFonts w:cs="Times New Roman" w:ascii="Arial" w:hAnsi="Arial"/>
          <w:b/>
        </w:rPr>
        <w:t xml:space="preserve">14.1. </w:t>
      </w:r>
      <w:r>
        <w:rPr>
          <w:rFonts w:cs="Times New Roman" w:ascii="Arial" w:hAnsi="Arial"/>
        </w:rPr>
        <w:t>As hipóteses de extinção a que se referem as letras “b”, “c” e “d” do item anterior observarão as seguintes disposições:</w:t>
      </w:r>
    </w:p>
    <w:p>
      <w:pPr>
        <w:pStyle w:val="ListParagraph"/>
        <w:numPr>
          <w:ilvl w:val="0"/>
          <w:numId w:val="39"/>
        </w:numPr>
        <w:jc w:val="both"/>
        <w:rPr>
          <w:rFonts w:ascii="Arial" w:hAnsi="Arial"/>
          <w:sz w:val="22"/>
          <w:szCs w:val="22"/>
        </w:rPr>
      </w:pPr>
      <w:r>
        <w:rPr>
          <w:rFonts w:ascii="Arial" w:hAnsi="Arial"/>
          <w:sz w:val="22"/>
          <w:szCs w:val="22"/>
        </w:rPr>
        <w:t xml:space="preserve">Não serão admitidas em caso de calamidade pública, de grave perturbação da ordem interna ou de guerra, bem como quando decorrerem de ato ou fato que o </w:t>
      </w:r>
      <w:r>
        <w:rPr>
          <w:rFonts w:eastAsia="Times New Roman" w:cs="Times New Roman" w:ascii="Arial" w:hAnsi="Arial"/>
          <w:b/>
          <w:color w:val="auto"/>
          <w:kern w:val="0"/>
          <w:sz w:val="22"/>
          <w:szCs w:val="22"/>
          <w:lang w:val="pt-BR" w:eastAsia="en-US" w:bidi="ar-SA"/>
        </w:rPr>
        <w:t>Contratado</w:t>
      </w:r>
      <w:r>
        <w:rPr>
          <w:rFonts w:ascii="Arial" w:hAnsi="Arial"/>
          <w:sz w:val="22"/>
          <w:szCs w:val="22"/>
        </w:rPr>
        <w:t xml:space="preserve"> tenha praticado, do qual tenha participado ou para o qual tenha contribuído;</w:t>
      </w:r>
    </w:p>
    <w:p>
      <w:pPr>
        <w:pStyle w:val="ListParagraph"/>
        <w:numPr>
          <w:ilvl w:val="0"/>
          <w:numId w:val="39"/>
        </w:numPr>
        <w:jc w:val="both"/>
        <w:rPr>
          <w:rFonts w:ascii="Arial" w:hAnsi="Arial"/>
          <w:sz w:val="22"/>
          <w:szCs w:val="22"/>
        </w:rPr>
      </w:pPr>
      <w:r>
        <w:rPr>
          <w:rFonts w:ascii="Arial" w:hAnsi="Arial"/>
          <w:sz w:val="22"/>
          <w:szCs w:val="22"/>
        </w:rPr>
        <w:t xml:space="preserve">Assegurarão ao </w:t>
      </w:r>
      <w:r>
        <w:rPr>
          <w:rFonts w:eastAsia="Times New Roman" w:cs="Times New Roman" w:ascii="Arial" w:hAnsi="Arial"/>
          <w:b/>
          <w:color w:val="auto"/>
          <w:kern w:val="0"/>
          <w:sz w:val="22"/>
          <w:szCs w:val="22"/>
          <w:lang w:val="pt-BR" w:eastAsia="en-US" w:bidi="ar-SA"/>
        </w:rPr>
        <w:t>Contratado</w:t>
      </w:r>
      <w:r>
        <w:rPr>
          <w:rFonts w:ascii="Arial" w:hAnsi="Arial"/>
          <w:sz w:val="22"/>
          <w:szCs w:val="22"/>
        </w:rPr>
        <w:t xml:space="preserve"> o direito de optar pela suspensão do cumprimento das obrigações assumidas até a normalização da situação, admitido o restabelecimento do equilíbrio econômico-financeiro do contrato, na forma da alínea “d” do inciso II do </w:t>
      </w:r>
      <w:r>
        <w:rPr>
          <w:rFonts w:ascii="Arial" w:hAnsi="Arial"/>
          <w:i/>
          <w:sz w:val="22"/>
          <w:szCs w:val="22"/>
        </w:rPr>
        <w:t>caput</w:t>
      </w:r>
      <w:r>
        <w:rPr>
          <w:rFonts w:ascii="Arial" w:hAnsi="Arial"/>
          <w:sz w:val="22"/>
          <w:szCs w:val="22"/>
        </w:rPr>
        <w:t xml:space="preserve"> do art. 124 da Lei nº 14.133/2021.</w:t>
      </w:r>
    </w:p>
    <w:p>
      <w:pPr>
        <w:pStyle w:val="Normal"/>
        <w:spacing w:lineRule="auto" w:line="240"/>
        <w:jc w:val="both"/>
        <w:rPr>
          <w:rFonts w:ascii="Arial" w:hAnsi="Arial"/>
        </w:rPr>
      </w:pPr>
      <w:r>
        <w:rPr>
          <w:rFonts w:cs="Times New Roman" w:ascii="Arial" w:hAnsi="Arial"/>
          <w:b/>
        </w:rPr>
        <w:t>14.2.</w:t>
      </w:r>
      <w:r>
        <w:rPr>
          <w:rFonts w:cs="Times New Roman" w:ascii="Arial" w:hAnsi="Arial"/>
        </w:rPr>
        <w:t xml:space="preserve"> O </w:t>
      </w:r>
      <w:r>
        <w:rPr>
          <w:rFonts w:eastAsia="Calibri" w:cs="Times New Roman" w:ascii="Arial" w:hAnsi="Arial" w:eastAsiaTheme="minorHAnsi"/>
          <w:b/>
          <w:color w:val="auto"/>
          <w:kern w:val="0"/>
          <w:sz w:val="22"/>
          <w:szCs w:val="22"/>
          <w:lang w:val="pt-BR" w:eastAsia="en-US" w:bidi="ar-SA"/>
        </w:rPr>
        <w:t>Contratado</w:t>
      </w:r>
      <w:r>
        <w:rPr>
          <w:rFonts w:cs="Times New Roman" w:ascii="Arial" w:hAnsi="Arial"/>
        </w:rPr>
        <w:t xml:space="preserve"> terá direito à extinção do contrato nas seguintes hipóteses:</w:t>
      </w:r>
    </w:p>
    <w:p>
      <w:pPr>
        <w:pStyle w:val="ListParagraph"/>
        <w:numPr>
          <w:ilvl w:val="0"/>
          <w:numId w:val="40"/>
        </w:numPr>
        <w:jc w:val="both"/>
        <w:rPr>
          <w:rFonts w:ascii="Arial" w:hAnsi="Arial"/>
          <w:sz w:val="22"/>
          <w:szCs w:val="22"/>
        </w:rPr>
      </w:pPr>
      <w:r>
        <w:rPr>
          <w:rFonts w:ascii="Arial" w:hAnsi="Arial"/>
          <w:sz w:val="22"/>
          <w:szCs w:val="22"/>
        </w:rPr>
        <w:t>Supressão, por parte da Administração, de obras, serviços ou compras que acarrete modificação do valor inicial do contrato além do limite permitido no art. 125 da Lei nº 14.133/2021;</w:t>
      </w:r>
    </w:p>
    <w:p>
      <w:pPr>
        <w:pStyle w:val="ListParagraph"/>
        <w:numPr>
          <w:ilvl w:val="0"/>
          <w:numId w:val="40"/>
        </w:numPr>
        <w:jc w:val="both"/>
        <w:rPr>
          <w:rFonts w:ascii="Arial" w:hAnsi="Arial"/>
          <w:sz w:val="22"/>
          <w:szCs w:val="22"/>
        </w:rPr>
      </w:pPr>
      <w:r>
        <w:rPr>
          <w:rFonts w:ascii="Arial" w:hAnsi="Arial"/>
          <w:sz w:val="22"/>
          <w:szCs w:val="22"/>
        </w:rPr>
        <w:t>Suspensão de execução do contrato, por ordem escrita da Administração, por prazo superior a 3 (três) meses;</w:t>
      </w:r>
    </w:p>
    <w:p>
      <w:pPr>
        <w:pStyle w:val="ListParagraph"/>
        <w:numPr>
          <w:ilvl w:val="0"/>
          <w:numId w:val="40"/>
        </w:numPr>
        <w:jc w:val="both"/>
        <w:rPr>
          <w:rFonts w:ascii="Arial" w:hAnsi="Arial"/>
          <w:sz w:val="22"/>
          <w:szCs w:val="22"/>
        </w:rPr>
      </w:pPr>
      <w:r>
        <w:rPr>
          <w:rFonts w:ascii="Arial" w:hAnsi="Arial"/>
          <w:sz w:val="22"/>
          <w:szCs w:val="22"/>
        </w:rPr>
        <w:t>Repetidas suspensões que totalizem 90 (noventa) dias úteis, independentemente do pagamento obrigatório de indenização pelas sucessivas e contratualmente imprevistas desmobilizações e mobilizações e outras previstas;</w:t>
      </w:r>
    </w:p>
    <w:p>
      <w:pPr>
        <w:pStyle w:val="ListParagraph"/>
        <w:numPr>
          <w:ilvl w:val="0"/>
          <w:numId w:val="40"/>
        </w:numPr>
        <w:jc w:val="both"/>
        <w:rPr>
          <w:rFonts w:ascii="Arial" w:hAnsi="Arial"/>
          <w:sz w:val="22"/>
          <w:szCs w:val="22"/>
        </w:rPr>
      </w:pPr>
      <w:r>
        <w:rPr>
          <w:rFonts w:ascii="Arial" w:hAnsi="Arial"/>
          <w:sz w:val="22"/>
          <w:szCs w:val="22"/>
        </w:rPr>
        <w:t>Atraso superior a 2 (dois) meses, contado da emissão da nota fiscal, dos pagamentos ou de parcelas de pagamentos devidos pela Administração por despesas de obras, serviços ou fornecimentos;</w:t>
      </w:r>
    </w:p>
    <w:p>
      <w:pPr>
        <w:pStyle w:val="ListParagraph"/>
        <w:numPr>
          <w:ilvl w:val="0"/>
          <w:numId w:val="40"/>
        </w:numPr>
        <w:jc w:val="both"/>
        <w:rPr>
          <w:rFonts w:ascii="Arial" w:hAnsi="Arial"/>
          <w:sz w:val="22"/>
          <w:szCs w:val="22"/>
        </w:rPr>
      </w:pPr>
      <w:r>
        <w:rPr>
          <w:rFonts w:ascii="Arial" w:hAnsi="Arial"/>
          <w:sz w:val="22"/>
          <w:szCs w:val="22"/>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pStyle w:val="Normal"/>
        <w:spacing w:lineRule="auto" w:line="240"/>
        <w:jc w:val="both"/>
        <w:rPr>
          <w:rFonts w:ascii="Arial" w:hAnsi="Arial"/>
        </w:rPr>
      </w:pPr>
      <w:r>
        <w:rPr>
          <w:rFonts w:cs="Times New Roman" w:ascii="Arial" w:hAnsi="Arial"/>
          <w:b/>
        </w:rPr>
        <w:t>14.3.</w:t>
      </w:r>
      <w:r>
        <w:rPr>
          <w:rFonts w:cs="Times New Roman" w:ascii="Arial" w:hAnsi="Arial"/>
        </w:rPr>
        <w:t xml:space="preserve"> A extinção do contrato poderá ser:</w:t>
      </w:r>
    </w:p>
    <w:p>
      <w:pPr>
        <w:pStyle w:val="ListParagraph"/>
        <w:numPr>
          <w:ilvl w:val="0"/>
          <w:numId w:val="41"/>
        </w:numPr>
        <w:jc w:val="both"/>
        <w:rPr>
          <w:rFonts w:ascii="Arial" w:hAnsi="Arial"/>
          <w:sz w:val="22"/>
          <w:szCs w:val="22"/>
        </w:rPr>
      </w:pPr>
      <w:r>
        <w:rPr>
          <w:rFonts w:ascii="Arial" w:hAnsi="Arial"/>
          <w:sz w:val="22"/>
          <w:szCs w:val="22"/>
        </w:rPr>
        <w:t>Determinada por ato unilateral e escrito da Administração, exceto no caso de descumprimento decorrente de sua própria conduta;</w:t>
      </w:r>
    </w:p>
    <w:p>
      <w:pPr>
        <w:pStyle w:val="ListParagraph"/>
        <w:numPr>
          <w:ilvl w:val="0"/>
          <w:numId w:val="41"/>
        </w:numPr>
        <w:jc w:val="both"/>
        <w:rPr>
          <w:rFonts w:ascii="Arial" w:hAnsi="Arial"/>
          <w:sz w:val="22"/>
          <w:szCs w:val="22"/>
        </w:rPr>
      </w:pPr>
      <w:r>
        <w:rPr>
          <w:rFonts w:ascii="Arial" w:hAnsi="Arial"/>
          <w:sz w:val="22"/>
          <w:szCs w:val="22"/>
        </w:rPr>
        <w:t>Consensual, por acordo entre as partes, por conciliação, por mediação ou por comitê de resolução de disputas, desde que haja interesse da Administração;</w:t>
      </w:r>
    </w:p>
    <w:p>
      <w:pPr>
        <w:pStyle w:val="ListParagraph"/>
        <w:numPr>
          <w:ilvl w:val="0"/>
          <w:numId w:val="41"/>
        </w:numPr>
        <w:jc w:val="both"/>
        <w:rPr>
          <w:rFonts w:ascii="Arial" w:hAnsi="Arial"/>
          <w:sz w:val="22"/>
          <w:szCs w:val="22"/>
        </w:rPr>
      </w:pPr>
      <w:r>
        <w:rPr>
          <w:rFonts w:ascii="Arial" w:hAnsi="Arial"/>
          <w:sz w:val="22"/>
          <w:szCs w:val="22"/>
        </w:rPr>
        <w:t>Determinada por decisão arbitral, em decorrência de cláusula compromissória ou compromisso arbitral, ou por decisão judicial.</w:t>
      </w:r>
    </w:p>
    <w:p>
      <w:pPr>
        <w:pStyle w:val="Normal"/>
        <w:spacing w:lineRule="auto" w:line="240"/>
        <w:jc w:val="both"/>
        <w:rPr>
          <w:rFonts w:ascii="Arial" w:hAnsi="Arial"/>
        </w:rPr>
      </w:pPr>
      <w:r>
        <w:rPr>
          <w:rFonts w:cs="Times New Roman" w:ascii="Arial" w:hAnsi="Arial"/>
          <w:b/>
        </w:rPr>
        <w:t>14.3.1.</w:t>
      </w:r>
      <w:r>
        <w:rPr>
          <w:rFonts w:cs="Times New Roman" w:ascii="Arial" w:hAnsi="Arial"/>
        </w:rPr>
        <w:t xml:space="preserve"> A extinção determinada por ato unilateral da Administração e a extinção consensual serão precedidas de autorização escrita e fundamentada da autoridade competente e reduzidas a termo no respectivo processo.</w:t>
      </w:r>
    </w:p>
    <w:p>
      <w:pPr>
        <w:pStyle w:val="Normal"/>
        <w:spacing w:lineRule="auto" w:line="240"/>
        <w:jc w:val="both"/>
        <w:rPr>
          <w:rFonts w:ascii="Arial" w:hAnsi="Arial"/>
        </w:rPr>
      </w:pPr>
      <w:r>
        <w:rPr>
          <w:rFonts w:cs="Times New Roman" w:ascii="Arial" w:hAnsi="Arial"/>
          <w:b/>
        </w:rPr>
        <w:t>14.3.2.</w:t>
      </w:r>
      <w:r>
        <w:rPr>
          <w:rFonts w:cs="Times New Roman" w:ascii="Arial" w:hAnsi="Arial"/>
        </w:rPr>
        <w:t xml:space="preserve"> Quando a extinção decorrer de culpa exclusiva da Administração, o </w:t>
      </w:r>
      <w:r>
        <w:rPr>
          <w:rFonts w:eastAsia="Calibri" w:cs="Times New Roman" w:ascii="Arial" w:hAnsi="Arial" w:eastAsiaTheme="minorHAnsi"/>
          <w:b/>
          <w:color w:val="auto"/>
          <w:kern w:val="0"/>
          <w:sz w:val="22"/>
          <w:szCs w:val="22"/>
          <w:lang w:val="pt-BR" w:eastAsia="en-US" w:bidi="ar-SA"/>
        </w:rPr>
        <w:t>Contratado</w:t>
      </w:r>
      <w:r>
        <w:rPr>
          <w:rFonts w:cs="Times New Roman" w:ascii="Arial" w:hAnsi="Arial"/>
        </w:rPr>
        <w:t xml:space="preserve"> será ressarcido pelos prejuízos regularmente comprovados que houver sofrido e terá direito a:</w:t>
      </w:r>
    </w:p>
    <w:p>
      <w:pPr>
        <w:pStyle w:val="ListParagraph"/>
        <w:numPr>
          <w:ilvl w:val="0"/>
          <w:numId w:val="42"/>
        </w:numPr>
        <w:jc w:val="both"/>
        <w:rPr>
          <w:rFonts w:ascii="Arial" w:hAnsi="Arial"/>
          <w:sz w:val="22"/>
          <w:szCs w:val="22"/>
        </w:rPr>
      </w:pPr>
      <w:r>
        <w:rPr>
          <w:rFonts w:ascii="Arial" w:hAnsi="Arial"/>
          <w:sz w:val="22"/>
          <w:szCs w:val="22"/>
        </w:rPr>
        <w:t>Devolução da garantia;</w:t>
      </w:r>
    </w:p>
    <w:p>
      <w:pPr>
        <w:pStyle w:val="ListParagraph"/>
        <w:numPr>
          <w:ilvl w:val="0"/>
          <w:numId w:val="42"/>
        </w:numPr>
        <w:jc w:val="both"/>
        <w:rPr>
          <w:rFonts w:ascii="Arial" w:hAnsi="Arial"/>
          <w:sz w:val="22"/>
          <w:szCs w:val="22"/>
        </w:rPr>
      </w:pPr>
      <w:r>
        <w:rPr>
          <w:rFonts w:ascii="Arial" w:hAnsi="Arial"/>
          <w:sz w:val="22"/>
          <w:szCs w:val="22"/>
        </w:rPr>
        <w:t>Pagamentos devidos pela execução do contrato até a data de extinção;</w:t>
      </w:r>
    </w:p>
    <w:p>
      <w:pPr>
        <w:pStyle w:val="ListParagraph"/>
        <w:numPr>
          <w:ilvl w:val="0"/>
          <w:numId w:val="42"/>
        </w:numPr>
        <w:jc w:val="both"/>
        <w:rPr>
          <w:rFonts w:ascii="Arial" w:hAnsi="Arial"/>
          <w:sz w:val="22"/>
          <w:szCs w:val="22"/>
        </w:rPr>
      </w:pPr>
      <w:r>
        <w:rPr>
          <w:rFonts w:ascii="Arial" w:hAnsi="Arial"/>
          <w:sz w:val="22"/>
          <w:szCs w:val="22"/>
        </w:rPr>
        <w:t>Pagamento do custo da desmobilização.</w:t>
      </w:r>
    </w:p>
    <w:p>
      <w:pPr>
        <w:pStyle w:val="Normal"/>
        <w:spacing w:lineRule="auto" w:line="240"/>
        <w:jc w:val="both"/>
        <w:rPr>
          <w:rFonts w:ascii="Arial" w:hAnsi="Arial"/>
        </w:rPr>
      </w:pPr>
      <w:r>
        <w:rPr>
          <w:rFonts w:cs="Times New Roman" w:ascii="Arial" w:hAnsi="Arial"/>
          <w:b/>
        </w:rPr>
        <w:t>14.3.4.</w:t>
      </w:r>
      <w:r>
        <w:rPr>
          <w:rFonts w:cs="Times New Roman" w:ascii="Arial" w:hAnsi="Arial"/>
        </w:rPr>
        <w:t xml:space="preserve"> A extinção determinada por ato unilateral da Administração poderá acarretar, sem prejuízo das sanções previstas na Lei nº 14.133/2021, as seguintes consequências:</w:t>
      </w:r>
    </w:p>
    <w:p>
      <w:pPr>
        <w:pStyle w:val="ListParagraph"/>
        <w:numPr>
          <w:ilvl w:val="0"/>
          <w:numId w:val="43"/>
        </w:numPr>
        <w:jc w:val="both"/>
        <w:rPr>
          <w:rFonts w:ascii="Arial" w:hAnsi="Arial"/>
          <w:sz w:val="22"/>
          <w:szCs w:val="22"/>
        </w:rPr>
      </w:pPr>
      <w:r>
        <w:rPr>
          <w:rFonts w:ascii="Arial" w:hAnsi="Arial"/>
          <w:sz w:val="22"/>
          <w:szCs w:val="22"/>
        </w:rPr>
        <w:t>Assunção imediata do objeto do contrato, no estado e local em que se encontrar, por ato próprio da Administração;</w:t>
      </w:r>
    </w:p>
    <w:p>
      <w:pPr>
        <w:pStyle w:val="ListParagraph"/>
        <w:numPr>
          <w:ilvl w:val="0"/>
          <w:numId w:val="43"/>
        </w:numPr>
        <w:jc w:val="both"/>
        <w:rPr>
          <w:rFonts w:ascii="Arial" w:hAnsi="Arial"/>
          <w:sz w:val="22"/>
          <w:szCs w:val="22"/>
        </w:rPr>
      </w:pPr>
      <w:r>
        <w:rPr>
          <w:rFonts w:ascii="Arial" w:hAnsi="Arial"/>
          <w:sz w:val="22"/>
          <w:szCs w:val="22"/>
        </w:rPr>
        <w:t>Ocupação e utilização do local, das instalações, dos equipamentos, do material e do pessoal empregados na execução do contrato e necessários à sua continuidade;</w:t>
      </w:r>
    </w:p>
    <w:p>
      <w:pPr>
        <w:pStyle w:val="ListParagraph"/>
        <w:numPr>
          <w:ilvl w:val="0"/>
          <w:numId w:val="43"/>
        </w:numPr>
        <w:jc w:val="both"/>
        <w:rPr>
          <w:rFonts w:ascii="Arial" w:hAnsi="Arial"/>
          <w:sz w:val="22"/>
          <w:szCs w:val="22"/>
        </w:rPr>
      </w:pPr>
      <w:r>
        <w:rPr>
          <w:rFonts w:ascii="Arial" w:hAnsi="Arial"/>
          <w:sz w:val="22"/>
          <w:szCs w:val="22"/>
        </w:rPr>
        <w:t>Execução da garantia contratual para:</w:t>
      </w:r>
    </w:p>
    <w:p>
      <w:pPr>
        <w:pStyle w:val="ListParagraph"/>
        <w:numPr>
          <w:ilvl w:val="1"/>
          <w:numId w:val="43"/>
        </w:numPr>
        <w:jc w:val="both"/>
        <w:rPr>
          <w:rFonts w:ascii="Arial" w:hAnsi="Arial"/>
          <w:sz w:val="22"/>
          <w:szCs w:val="22"/>
        </w:rPr>
      </w:pPr>
      <w:r>
        <w:rPr>
          <w:rFonts w:ascii="Arial" w:hAnsi="Arial"/>
          <w:sz w:val="22"/>
          <w:szCs w:val="22"/>
        </w:rPr>
        <w:t>Ressarcimento da Administração Pública por prejuízos decorrentes da não execução;</w:t>
      </w:r>
    </w:p>
    <w:p>
      <w:pPr>
        <w:pStyle w:val="ListParagraph"/>
        <w:numPr>
          <w:ilvl w:val="1"/>
          <w:numId w:val="43"/>
        </w:numPr>
        <w:jc w:val="both"/>
        <w:rPr>
          <w:rFonts w:ascii="Arial" w:hAnsi="Arial"/>
          <w:sz w:val="22"/>
          <w:szCs w:val="22"/>
        </w:rPr>
      </w:pPr>
      <w:r>
        <w:rPr>
          <w:rFonts w:ascii="Arial" w:hAnsi="Arial"/>
          <w:sz w:val="22"/>
          <w:szCs w:val="22"/>
        </w:rPr>
        <w:t>Pagamento de verbas trabalhistas, fundiárias e previdenciárias, quando cabível;</w:t>
      </w:r>
    </w:p>
    <w:p>
      <w:pPr>
        <w:pStyle w:val="ListParagraph"/>
        <w:numPr>
          <w:ilvl w:val="1"/>
          <w:numId w:val="43"/>
        </w:numPr>
        <w:jc w:val="both"/>
        <w:rPr>
          <w:rFonts w:ascii="Arial" w:hAnsi="Arial"/>
          <w:sz w:val="22"/>
          <w:szCs w:val="22"/>
        </w:rPr>
      </w:pPr>
      <w:r>
        <w:rPr>
          <w:rFonts w:ascii="Arial" w:hAnsi="Arial"/>
          <w:sz w:val="22"/>
          <w:szCs w:val="22"/>
        </w:rPr>
        <w:t>Pagamento das multas devidas à Administração Pública;</w:t>
      </w:r>
    </w:p>
    <w:p>
      <w:pPr>
        <w:pStyle w:val="ListParagraph"/>
        <w:numPr>
          <w:ilvl w:val="1"/>
          <w:numId w:val="43"/>
        </w:numPr>
        <w:jc w:val="both"/>
        <w:rPr>
          <w:rFonts w:ascii="Arial" w:hAnsi="Arial"/>
          <w:sz w:val="22"/>
          <w:szCs w:val="22"/>
        </w:rPr>
      </w:pPr>
      <w:r>
        <w:rPr>
          <w:rFonts w:ascii="Arial" w:hAnsi="Arial"/>
          <w:sz w:val="22"/>
          <w:szCs w:val="22"/>
        </w:rPr>
        <w:t>Exigência da assunção da execução e da conclusão do objeto do contrato pela seguradora, quando cabível;</w:t>
      </w:r>
    </w:p>
    <w:p>
      <w:pPr>
        <w:pStyle w:val="ListParagraph"/>
        <w:numPr>
          <w:ilvl w:val="0"/>
          <w:numId w:val="43"/>
        </w:numPr>
        <w:jc w:val="both"/>
        <w:rPr>
          <w:rFonts w:ascii="Arial" w:hAnsi="Arial"/>
          <w:sz w:val="22"/>
          <w:szCs w:val="22"/>
        </w:rPr>
      </w:pPr>
      <w:r>
        <w:rPr>
          <w:rFonts w:ascii="Arial" w:hAnsi="Arial"/>
          <w:sz w:val="22"/>
          <w:szCs w:val="22"/>
        </w:rPr>
        <w:t>Retenção dos créditos decorrentes do contrato até o limite dos prejuízos causados à Administração Pública e das multas aplicadas.</w:t>
      </w:r>
    </w:p>
    <w:p>
      <w:pPr>
        <w:pStyle w:val="Normal"/>
        <w:spacing w:lineRule="auto" w:line="240"/>
        <w:jc w:val="both"/>
        <w:rPr>
          <w:rFonts w:ascii="Arial" w:hAnsi="Arial"/>
        </w:rPr>
      </w:pPr>
      <w:r>
        <w:rPr>
          <w:rFonts w:cs="Times New Roman" w:ascii="Arial" w:hAnsi="Arial"/>
          <w:b/>
        </w:rPr>
        <w:t>14.4.</w:t>
      </w:r>
      <w:r>
        <w:rPr>
          <w:rFonts w:cs="Times New Roman" w:ascii="Arial" w:hAnsi="Arial"/>
        </w:rPr>
        <w:t xml:space="preserve"> A aplicação das medidas previstas nas letras “a” e “b” do item anterior ficará a critério da Administração, que poderá dar continuidade à obra ou ao serviço por execução direta ou indireta.</w:t>
      </w:r>
    </w:p>
    <w:p>
      <w:pPr>
        <w:pStyle w:val="Normal"/>
        <w:spacing w:lineRule="auto" w:line="240"/>
        <w:jc w:val="both"/>
        <w:rPr>
          <w:rFonts w:ascii="Arial" w:hAnsi="Arial"/>
        </w:rPr>
      </w:pPr>
      <w:r>
        <w:rPr>
          <w:rFonts w:cs="Times New Roman" w:ascii="Arial" w:hAnsi="Arial"/>
          <w:b/>
        </w:rPr>
        <w:t>14.4.1.</w:t>
      </w:r>
      <w:r>
        <w:rPr>
          <w:rFonts w:cs="Times New Roman" w:ascii="Arial" w:hAnsi="Arial"/>
        </w:rPr>
        <w:t xml:space="preserve"> Na hipótese da letra “b”, o ato deverá ser precedido de autorização expressa do secretário municipal competente.</w:t>
      </w:r>
    </w:p>
    <w:p>
      <w:pPr>
        <w:pStyle w:val="Normal"/>
        <w:spacing w:lineRule="auto" w:line="240"/>
        <w:jc w:val="both"/>
        <w:rPr>
          <w:rFonts w:ascii="Arial" w:hAnsi="Arial"/>
        </w:rPr>
      </w:pPr>
      <w:r>
        <w:rPr>
          <w:rFonts w:cs="Times New Roman" w:ascii="Arial" w:hAnsi="Arial"/>
          <w:b/>
        </w:rPr>
        <w:t>14.5.</w:t>
      </w:r>
      <w:r>
        <w:rPr>
          <w:rFonts w:cs="Times New Roman" w:ascii="Arial" w:hAnsi="Arial"/>
        </w:rPr>
        <w:t xml:space="preserve"> Os emitentes das garantias previstas no art. 96 da Lei nº 14.133/2021 serão notificados pelo </w:t>
      </w:r>
      <w:r>
        <w:rPr>
          <w:rFonts w:eastAsia="Calibri" w:cs="Times New Roman" w:ascii="Arial" w:hAnsi="Arial" w:eastAsiaTheme="minorHAnsi"/>
          <w:b/>
          <w:color w:val="auto"/>
          <w:kern w:val="0"/>
          <w:sz w:val="22"/>
          <w:szCs w:val="22"/>
          <w:lang w:val="pt-BR" w:eastAsia="en-US" w:bidi="ar-SA"/>
        </w:rPr>
        <w:t>Contratante</w:t>
      </w:r>
      <w:r>
        <w:rPr>
          <w:rFonts w:cs="Times New Roman" w:ascii="Arial" w:hAnsi="Arial"/>
        </w:rPr>
        <w:t xml:space="preserve"> quanto ao início de processo administrativo para apuração de descumprimento de cláusulas contratuais.</w:t>
      </w:r>
    </w:p>
    <w:p>
      <w:pPr>
        <w:pStyle w:val="Normal"/>
        <w:spacing w:lineRule="auto" w:line="240"/>
        <w:jc w:val="both"/>
        <w:rPr>
          <w:rFonts w:ascii="Arial" w:hAnsi="Arial"/>
        </w:rPr>
      </w:pPr>
      <w:r>
        <w:rPr>
          <w:rFonts w:cs="Times New Roman" w:ascii="Arial" w:hAnsi="Arial"/>
          <w:b/>
          <w:bCs/>
        </w:rPr>
        <w:t>14.6</w:t>
      </w:r>
      <w:r>
        <w:rPr>
          <w:rFonts w:cs="Times New Roman" w:ascii="Arial" w:hAnsi="Arial"/>
        </w:rPr>
        <w:t xml:space="preserve">. </w:t>
      </w:r>
      <w:r>
        <w:rPr>
          <w:rFonts w:cs="Times New Roman" w:ascii="Arial" w:hAnsi="Arial"/>
          <w:iCs/>
        </w:rPr>
        <w:t>O presente contrato administrativo poderá sofrer alterações, com base nos artigos nº 124 ao nº 136 da Lei nº 14.133/2021.</w:t>
      </w:r>
    </w:p>
    <w:p>
      <w:pPr>
        <w:pStyle w:val="Normal"/>
        <w:shd w:val="clear" w:color="auto" w:fill="E7E6E6" w:themeFill="background2"/>
        <w:spacing w:lineRule="auto" w:line="240"/>
        <w:jc w:val="both"/>
        <w:rPr>
          <w:rFonts w:ascii="Arial" w:hAnsi="Arial"/>
        </w:rPr>
      </w:pPr>
      <w:r>
        <w:rPr>
          <w:rFonts w:cs="Times New Roman" w:ascii="Arial" w:hAnsi="Arial"/>
          <w:b/>
        </w:rPr>
        <w:t xml:space="preserve">CLÁUSULA DÉCIMA QUINTA: FORO </w:t>
      </w:r>
    </w:p>
    <w:p>
      <w:pPr>
        <w:pStyle w:val="Normal"/>
        <w:spacing w:lineRule="auto" w:line="240"/>
        <w:jc w:val="both"/>
        <w:rPr>
          <w:rFonts w:ascii="Arial" w:hAnsi="Arial"/>
        </w:rPr>
      </w:pPr>
      <w:bookmarkStart w:id="88" w:name="art92§1"/>
      <w:bookmarkEnd w:id="88"/>
      <w:r>
        <w:rPr>
          <w:rFonts w:cs="Times New Roman" w:ascii="Arial" w:hAnsi="Arial"/>
          <w:b/>
        </w:rPr>
        <w:t>15.</w:t>
      </w:r>
      <w:r>
        <w:rPr>
          <w:rFonts w:cs="Times New Roman" w:ascii="Arial" w:hAnsi="Arial"/>
        </w:rPr>
        <w:t xml:space="preserve"> É declarado competente o foro da sede da Administração Pública Municipal para dirimir qualquer questão contratual, ressalvadas as seguintes hipóteses:</w:t>
      </w:r>
    </w:p>
    <w:p>
      <w:pPr>
        <w:pStyle w:val="ListParagraph"/>
        <w:ind w:left="720" w:hanging="0"/>
        <w:jc w:val="both"/>
        <w:rPr>
          <w:rFonts w:ascii="Arial" w:hAnsi="Arial"/>
          <w:sz w:val="22"/>
          <w:szCs w:val="22"/>
        </w:rPr>
      </w:pPr>
      <w:r>
        <w:rPr>
          <w:rFonts w:ascii="Arial" w:hAnsi="Arial"/>
          <w:b/>
          <w:bCs/>
          <w:sz w:val="22"/>
          <w:szCs w:val="22"/>
        </w:rPr>
        <w:t>a)</w:t>
      </w:r>
      <w:r>
        <w:rPr>
          <w:rFonts w:ascii="Arial" w:hAnsi="Arial"/>
          <w:sz w:val="22"/>
          <w:szCs w:val="22"/>
        </w:rPr>
        <w:tab/>
        <w:t>Licitação internacional para a aquisição de bens e serviços cujo pagamento seja feito com o produto de financiamento concedido por organismo financeiro internacional de que o Brasil faça parte ou por agência estrangeira de cooperação;</w:t>
      </w:r>
    </w:p>
    <w:p>
      <w:pPr>
        <w:pStyle w:val="ListParagraph"/>
        <w:ind w:left="720" w:hanging="0"/>
        <w:jc w:val="both"/>
        <w:rPr>
          <w:rFonts w:ascii="Arial" w:hAnsi="Arial"/>
          <w:sz w:val="22"/>
          <w:szCs w:val="22"/>
        </w:rPr>
      </w:pPr>
      <w:bookmarkStart w:id="89" w:name="art92§1ii"/>
      <w:bookmarkEnd w:id="89"/>
      <w:r>
        <w:rPr>
          <w:rFonts w:ascii="Arial" w:hAnsi="Arial"/>
          <w:b/>
          <w:bCs/>
          <w:sz w:val="22"/>
          <w:szCs w:val="22"/>
        </w:rPr>
        <w:t>b)</w:t>
      </w:r>
      <w:r>
        <w:rPr>
          <w:rFonts w:ascii="Arial" w:hAnsi="Arial"/>
          <w:sz w:val="22"/>
          <w:szCs w:val="22"/>
        </w:rPr>
        <w:tab/>
        <w:t>Contratação com empresa estrangeira para a compra de equipamentos fabricados e entregues no exterior precedida de autorização do Chefe do Poder Executivo;</w:t>
      </w:r>
    </w:p>
    <w:p>
      <w:pPr>
        <w:pStyle w:val="ListParagraph"/>
        <w:numPr>
          <w:ilvl w:val="0"/>
          <w:numId w:val="33"/>
        </w:numPr>
        <w:ind w:left="708" w:hanging="0"/>
        <w:jc w:val="both"/>
        <w:rPr>
          <w:rFonts w:ascii="Arial" w:hAnsi="Arial"/>
          <w:sz w:val="22"/>
          <w:szCs w:val="22"/>
        </w:rPr>
      </w:pPr>
      <w:r>
        <w:rPr>
          <w:rFonts w:ascii="Arial" w:hAnsi="Arial"/>
          <w:sz w:val="22"/>
          <w:szCs w:val="22"/>
        </w:rPr>
        <w:t>Aquisição de bens e serviços realizada por unidades administrativas com sede no exterior.</w:t>
      </w:r>
      <w:bookmarkStart w:id="90" w:name="art92§3"/>
      <w:bookmarkEnd w:id="90"/>
    </w:p>
    <w:p>
      <w:pPr>
        <w:pStyle w:val="Normal"/>
        <w:shd w:val="clear" w:color="auto" w:fill="E7E6E6" w:themeFill="background2"/>
        <w:spacing w:lineRule="auto" w:line="240"/>
        <w:jc w:val="both"/>
        <w:rPr>
          <w:rFonts w:ascii="Arial" w:hAnsi="Arial"/>
        </w:rPr>
      </w:pPr>
      <w:r>
        <w:rPr>
          <w:rFonts w:cs="Times New Roman" w:ascii="Arial" w:hAnsi="Arial"/>
          <w:b/>
        </w:rPr>
        <w:t>CLÁUSULA DÉCIMA SEXTA: PROTEÇÃO DE DADOS PESSOAIS (LGPD)</w:t>
      </w:r>
    </w:p>
    <w:p>
      <w:pPr>
        <w:pStyle w:val="Normal"/>
        <w:spacing w:lineRule="auto" w:line="240"/>
        <w:jc w:val="both"/>
        <w:rPr>
          <w:rFonts w:ascii="Arial" w:hAnsi="Arial"/>
        </w:rPr>
      </w:pPr>
      <w:r>
        <w:rPr>
          <w:rFonts w:cs="Times New Roman" w:ascii="Arial" w:hAnsi="Arial"/>
          <w:b/>
        </w:rPr>
        <w:t>16.</w:t>
      </w:r>
      <w:r>
        <w:rPr>
          <w:rFonts w:cs="Times New Roman" w:ascii="Arial" w:hAnsi="Arial"/>
        </w:rPr>
        <w:t xml:space="preserve"> Em atendimento ao disposto na Lei nº 13.709/2018 – Lei Geral de Proteção de Dados Pessoais (LGPD), o </w:t>
      </w:r>
      <w:r>
        <w:rPr>
          <w:rFonts w:eastAsia="Calibri" w:cs="Times New Roman" w:ascii="Arial" w:hAnsi="Arial" w:eastAsiaTheme="minorHAnsi"/>
          <w:color w:val="auto"/>
          <w:kern w:val="0"/>
          <w:sz w:val="22"/>
          <w:szCs w:val="22"/>
          <w:lang w:val="pt-BR" w:eastAsia="en-US" w:bidi="ar-SA"/>
        </w:rPr>
        <w:t>Contratante</w:t>
      </w:r>
      <w:r>
        <w:rPr>
          <w:rFonts w:cs="Times New Roman" w:ascii="Arial" w:hAnsi="Arial"/>
        </w:rPr>
        <w:t xml:space="preserve">, para a execução do objeto deste contrato, poderá, quando necessário, ter acesso aos dados pessoais dos representantes do </w:t>
      </w:r>
      <w:r>
        <w:rPr>
          <w:rFonts w:eastAsia="Calibri" w:cs="Times New Roman" w:ascii="Arial" w:hAnsi="Arial" w:eastAsiaTheme="minorHAnsi"/>
          <w:color w:val="auto"/>
          <w:kern w:val="0"/>
          <w:sz w:val="22"/>
          <w:szCs w:val="22"/>
          <w:lang w:val="pt-BR" w:eastAsia="en-US" w:bidi="ar-SA"/>
        </w:rPr>
        <w:t>Contratado</w:t>
      </w:r>
      <w:r>
        <w:rPr>
          <w:rFonts w:cs="Times New Roman" w:ascii="Arial" w:hAnsi="Arial"/>
        </w:rPr>
        <w:t>.</w:t>
      </w:r>
    </w:p>
    <w:p>
      <w:pPr>
        <w:pStyle w:val="Normal"/>
        <w:spacing w:lineRule="auto" w:line="240"/>
        <w:jc w:val="both"/>
        <w:rPr>
          <w:rFonts w:ascii="Arial" w:hAnsi="Arial"/>
        </w:rPr>
      </w:pPr>
      <w:r>
        <w:rPr>
          <w:rFonts w:cs="Times New Roman" w:ascii="Arial" w:hAnsi="Arial"/>
          <w:b/>
        </w:rPr>
        <w:t>16.1.</w:t>
      </w:r>
      <w:r>
        <w:rPr>
          <w:rFonts w:cs="Times New Roman" w:ascii="Arial" w:hAnsi="Arial"/>
        </w:rPr>
        <w:t xml:space="preserve"> As partes se comprometem a proteger os direitos fundamentais de liberdade e de privacidade e o livre desenvolvimento da personalidade da pessoa natural, relativos ao tratamento de dados pessoais, inclusive nos meios digitais, garantindo que:</w:t>
      </w:r>
    </w:p>
    <w:p>
      <w:pPr>
        <w:pStyle w:val="ListParagraph"/>
        <w:ind w:left="1440" w:hanging="0"/>
        <w:jc w:val="both"/>
        <w:rPr>
          <w:rFonts w:ascii="Arial" w:hAnsi="Arial"/>
          <w:sz w:val="22"/>
          <w:szCs w:val="22"/>
        </w:rPr>
      </w:pPr>
      <w:r>
        <w:rPr>
          <w:rFonts w:ascii="Arial" w:hAnsi="Arial"/>
          <w:b/>
          <w:bCs/>
          <w:sz w:val="22"/>
          <w:szCs w:val="22"/>
        </w:rPr>
        <w:t>a)</w:t>
      </w:r>
      <w:r>
        <w:rPr>
          <w:rFonts w:ascii="Arial" w:hAnsi="Arial"/>
          <w:sz w:val="22"/>
          <w:szCs w:val="22"/>
        </w:rPr>
        <w:tab/>
        <w:t>O tratamento de dados pessoais dar-se-á de acordo com as bases legais previstas nas hipóteses dos arts. 7º, 11 e/ou 14 da Lei nº 13.709/2018 (LGPD), às quais se submeterão os serviços, e para propósitos legítimos, específicos, explícitos e informados ao titular;</w:t>
      </w:r>
    </w:p>
    <w:p>
      <w:pPr>
        <w:pStyle w:val="ListParagraph"/>
        <w:ind w:left="1440" w:hanging="0"/>
        <w:jc w:val="both"/>
        <w:rPr>
          <w:rFonts w:ascii="Arial" w:hAnsi="Arial"/>
          <w:sz w:val="22"/>
          <w:szCs w:val="22"/>
        </w:rPr>
      </w:pPr>
      <w:r>
        <w:rPr>
          <w:rFonts w:ascii="Arial" w:hAnsi="Arial"/>
          <w:b/>
          <w:bCs/>
          <w:sz w:val="22"/>
          <w:szCs w:val="22"/>
        </w:rPr>
        <w:t>b)</w:t>
      </w:r>
      <w:r>
        <w:rPr>
          <w:rFonts w:ascii="Arial" w:hAnsi="Arial"/>
          <w:sz w:val="22"/>
          <w:szCs w:val="22"/>
        </w:rPr>
        <w:tab/>
        <w:t>O tratamento seja limitado para o alcance das finalidades do objeto contratado ou, quando for o caso, ao cumprimento de obrigação legal ou regulatória, no exercício regular de direito, por determinação de legislação municipal, judicial ou por requisição da Autoridade Nacional de Proteção de Dados – ANPD;</w:t>
      </w:r>
    </w:p>
    <w:p>
      <w:pPr>
        <w:pStyle w:val="ListParagraph"/>
        <w:ind w:left="1440" w:hanging="0"/>
        <w:jc w:val="both"/>
        <w:rPr>
          <w:rFonts w:ascii="Arial" w:hAnsi="Arial"/>
          <w:sz w:val="22"/>
          <w:szCs w:val="22"/>
        </w:rPr>
      </w:pPr>
      <w:r>
        <w:rPr>
          <w:rFonts w:ascii="Arial" w:hAnsi="Arial"/>
          <w:b/>
          <w:bCs/>
          <w:sz w:val="22"/>
          <w:szCs w:val="22"/>
        </w:rPr>
        <w:t>c)</w:t>
      </w:r>
      <w:r>
        <w:rPr>
          <w:rFonts w:ascii="Arial" w:hAnsi="Arial"/>
          <w:sz w:val="22"/>
          <w:szCs w:val="22"/>
        </w:rPr>
        <w:tab/>
        <w:t xml:space="preserve">Em caso de necessidade de coleta de dados pessoais dos titulares mediante consentimento, indispensáveis à própria execução do objeto, esta será realizada após prévia aprovação </w:t>
      </w:r>
      <w:r>
        <w:rPr>
          <w:rFonts w:eastAsia="Times New Roman" w:cs="Times New Roman" w:ascii="Arial" w:hAnsi="Arial"/>
          <w:color w:val="auto"/>
          <w:kern w:val="0"/>
          <w:sz w:val="22"/>
          <w:szCs w:val="22"/>
          <w:lang w:val="pt-BR" w:eastAsia="en-US" w:bidi="ar-SA"/>
        </w:rPr>
        <w:t>do Contratante</w:t>
      </w:r>
      <w:r>
        <w:rPr>
          <w:rFonts w:ascii="Arial" w:hAnsi="Arial"/>
          <w:sz w:val="22"/>
          <w:szCs w:val="22"/>
        </w:rPr>
        <w:t xml:space="preserve">, responsabilizando-se o </w:t>
      </w:r>
      <w:r>
        <w:rPr>
          <w:rFonts w:eastAsia="Times New Roman" w:cs="Times New Roman" w:ascii="Arial" w:hAnsi="Arial"/>
          <w:color w:val="auto"/>
          <w:kern w:val="0"/>
          <w:sz w:val="22"/>
          <w:szCs w:val="22"/>
          <w:lang w:val="pt-BR" w:eastAsia="en-US" w:bidi="ar-SA"/>
        </w:rPr>
        <w:t xml:space="preserve">Contratado </w:t>
      </w:r>
      <w:r>
        <w:rPr>
          <w:rFonts w:ascii="Arial" w:hAnsi="Arial"/>
          <w:sz w:val="22"/>
          <w:szCs w:val="22"/>
        </w:rPr>
        <w:t xml:space="preserve">pela obtenção e gestão. </w:t>
      </w:r>
    </w:p>
    <w:p>
      <w:pPr>
        <w:pStyle w:val="ListParagraph"/>
        <w:numPr>
          <w:ilvl w:val="1"/>
          <w:numId w:val="34"/>
        </w:numPr>
        <w:jc w:val="both"/>
        <w:rPr>
          <w:rFonts w:ascii="Arial" w:hAnsi="Arial"/>
          <w:sz w:val="22"/>
          <w:szCs w:val="22"/>
        </w:rPr>
      </w:pPr>
      <w:r>
        <w:rPr>
          <w:rFonts w:ascii="Arial" w:hAnsi="Arial"/>
          <w:sz w:val="22"/>
          <w:szCs w:val="22"/>
        </w:rPr>
        <w:t xml:space="preserve">Eventualmente, podem as partes convencionar que o </w:t>
      </w:r>
      <w:r>
        <w:rPr>
          <w:rFonts w:eastAsia="Times New Roman" w:cs="Times New Roman" w:ascii="Arial" w:hAnsi="Arial"/>
          <w:color w:val="auto"/>
          <w:kern w:val="0"/>
          <w:sz w:val="22"/>
          <w:szCs w:val="22"/>
          <w:lang w:val="pt-BR" w:eastAsia="en-US" w:bidi="ar-SA"/>
        </w:rPr>
        <w:t>Contratante</w:t>
      </w:r>
      <w:r>
        <w:rPr>
          <w:rFonts w:ascii="Arial" w:hAnsi="Arial"/>
          <w:sz w:val="22"/>
          <w:szCs w:val="22"/>
        </w:rPr>
        <w:t xml:space="preserve"> será responsável por obter o consentimento dos titulares;</w:t>
      </w:r>
    </w:p>
    <w:p>
      <w:pPr>
        <w:pStyle w:val="ListParagraph"/>
        <w:ind w:left="1440" w:hanging="0"/>
        <w:jc w:val="both"/>
        <w:rPr>
          <w:rFonts w:ascii="Arial" w:hAnsi="Arial"/>
          <w:sz w:val="22"/>
          <w:szCs w:val="22"/>
        </w:rPr>
      </w:pPr>
      <w:r>
        <w:rPr>
          <w:rFonts w:ascii="Arial" w:hAnsi="Arial"/>
          <w:b/>
          <w:bCs/>
          <w:sz w:val="22"/>
          <w:szCs w:val="22"/>
        </w:rPr>
        <w:t>d)</w:t>
      </w:r>
      <w:r>
        <w:rPr>
          <w:rFonts w:ascii="Arial" w:hAnsi="Arial"/>
          <w:sz w:val="22"/>
          <w:szCs w:val="22"/>
        </w:rPr>
        <w:tab/>
        <w:t>Quando houver coleta e armazenamento de dados pessoais, a prática utilizada e os sistemas utilizados que servirão de base para armazenamento dos dados pessoais coletados, devem seguir um conjunto de premissas, políticas, especificações técnicas, devendo estar alinhados com a legislação vigente e as melhores práticas de mercado.</w:t>
      </w:r>
    </w:p>
    <w:p>
      <w:pPr>
        <w:pStyle w:val="ListParagraph"/>
        <w:numPr>
          <w:ilvl w:val="1"/>
          <w:numId w:val="34"/>
        </w:numPr>
        <w:jc w:val="both"/>
        <w:rPr>
          <w:rFonts w:ascii="Arial" w:hAnsi="Arial"/>
          <w:sz w:val="22"/>
          <w:szCs w:val="22"/>
        </w:rPr>
      </w:pPr>
      <w:r>
        <w:rPr>
          <w:rFonts w:ascii="Arial" w:hAnsi="Arial"/>
          <w:sz w:val="22"/>
          <w:szCs w:val="22"/>
        </w:rPr>
        <w:t>Quando for o caso, os dados obtidos em razão deste contrato serão armazenados em um banco de dados seguro, com garantia de registro das transações realizadas na aplicação de acesso (log), adequado controle de acesso baseado em função e com transparente identificação do perfil dos credenciados, tudo estabelecido como forma de garantir, inclusive, a rastreabilidade de cada transação e a franca apuração, a qualquer momento, de desvios e falhas, vedado o compartilhamento desses dados com terceiros;</w:t>
      </w:r>
    </w:p>
    <w:p>
      <w:pPr>
        <w:pStyle w:val="Normal"/>
        <w:spacing w:lineRule="auto" w:line="240"/>
        <w:jc w:val="both"/>
        <w:rPr>
          <w:rFonts w:ascii="Arial" w:hAnsi="Arial"/>
        </w:rPr>
      </w:pPr>
      <w:r>
        <w:rPr>
          <w:rFonts w:cs="Times New Roman" w:ascii="Arial" w:hAnsi="Arial"/>
          <w:b/>
        </w:rPr>
        <w:t>16.2.</w:t>
      </w:r>
      <w:r>
        <w:rPr>
          <w:rFonts w:cs="Times New Roman" w:ascii="Arial" w:hAnsi="Arial"/>
        </w:rPr>
        <w:t xml:space="preserve"> É vedado às partes a utilização de todo e qualquer dado pessoal repassado em decorrência da execução contratual para finalidade distinta daquela do objeto da contratação. </w:t>
      </w:r>
      <w:r>
        <w:rPr>
          <w:rFonts w:cs="Times New Roman" w:ascii="Arial" w:hAnsi="Arial"/>
          <w:iCs/>
        </w:rPr>
        <w:t>As partes deverão, nos termos deste instrumento, cumprir com suas respectivas obrigações que lhes forem impostas de acordo com regulamentos e leis aplicáveis à proteção de dados pessoais, incluindo, sem prejuízo da Lei nº 13.709/2018 (LGPD).</w:t>
      </w:r>
    </w:p>
    <w:p>
      <w:pPr>
        <w:pStyle w:val="Normal"/>
        <w:spacing w:lineRule="auto" w:line="240"/>
        <w:jc w:val="both"/>
        <w:rPr>
          <w:rFonts w:ascii="Arial" w:hAnsi="Arial"/>
        </w:rPr>
      </w:pPr>
      <w:r>
        <w:rPr>
          <w:rFonts w:cs="Times New Roman" w:ascii="Arial" w:hAnsi="Arial"/>
          <w:b/>
          <w:iCs/>
        </w:rPr>
        <w:t>16.3.</w:t>
      </w:r>
      <w:r>
        <w:rPr>
          <w:rFonts w:cs="Times New Roman" w:ascii="Arial" w:hAnsi="Arial"/>
          <w:iCs/>
        </w:rPr>
        <w:t xml:space="preserve"> Os dados pessoais não poderão ser revelados, </w:t>
      </w:r>
      <w:r>
        <w:rPr>
          <w:rFonts w:cs="Times New Roman" w:ascii="Arial" w:hAnsi="Arial"/>
        </w:rPr>
        <w:t>transferidos, compartilhados, comunicados ou de qualquer outra forma facultar acesso, no todo ou em parte,</w:t>
      </w:r>
      <w:r>
        <w:rPr>
          <w:rFonts w:cs="Times New Roman" w:ascii="Arial" w:hAnsi="Arial"/>
          <w:iCs/>
        </w:rPr>
        <w:t xml:space="preserve"> a terceiros, </w:t>
      </w:r>
      <w:r>
        <w:rPr>
          <w:rFonts w:cs="Times New Roman" w:ascii="Arial" w:hAnsi="Arial"/>
        </w:rPr>
        <w:t>mesmo de forma agregada ou anonimizada</w:t>
      </w:r>
      <w:r>
        <w:rPr>
          <w:rFonts w:cs="Times New Roman" w:ascii="Arial" w:hAnsi="Arial"/>
          <w:iCs/>
        </w:rPr>
        <w:t xml:space="preserve">, com exceção da prévia autorização por escrito do </w:t>
      </w:r>
      <w:r>
        <w:rPr>
          <w:rFonts w:eastAsia="Calibri" w:cs="Times New Roman" w:ascii="Arial" w:hAnsi="Arial" w:eastAsiaTheme="minorHAnsi"/>
          <w:bCs/>
          <w:iCs/>
          <w:color w:val="auto"/>
          <w:kern w:val="0"/>
          <w:sz w:val="22"/>
          <w:szCs w:val="22"/>
          <w:lang w:val="pt-BR" w:eastAsia="en-US" w:bidi="ar-SA"/>
        </w:rPr>
        <w:t>Contratante</w:t>
      </w:r>
      <w:r>
        <w:rPr>
          <w:rFonts w:cs="Times New Roman" w:ascii="Arial" w:hAnsi="Arial"/>
          <w:iCs/>
        </w:rPr>
        <w:t>, quer direta ou indiretamente, seja mediante a distribuição de cópias, resumos, compilações, extratos, análises, estudos ou outros meios que contenham ou de outra forma reflitam referidas informações.</w:t>
      </w:r>
    </w:p>
    <w:p>
      <w:pPr>
        <w:pStyle w:val="Normal"/>
        <w:spacing w:lineRule="auto" w:line="240"/>
        <w:jc w:val="both"/>
        <w:rPr>
          <w:rFonts w:ascii="Arial" w:hAnsi="Arial"/>
        </w:rPr>
      </w:pPr>
      <w:r>
        <w:rPr>
          <w:rFonts w:cs="Times New Roman" w:ascii="Arial" w:hAnsi="Arial"/>
          <w:b/>
        </w:rPr>
        <w:t>16.4.</w:t>
      </w:r>
      <w:r>
        <w:rPr>
          <w:rFonts w:cs="Times New Roman" w:ascii="Arial" w:hAnsi="Arial"/>
        </w:rPr>
        <w:t xml:space="preserve"> No caso de haver transferência internacional de dados pessoais pelo </w:t>
      </w:r>
      <w:r>
        <w:rPr>
          <w:rFonts w:eastAsia="Calibri" w:cs="Times New Roman" w:ascii="Arial" w:hAnsi="Arial" w:eastAsiaTheme="minorHAnsi"/>
          <w:color w:val="auto"/>
          <w:kern w:val="0"/>
          <w:sz w:val="22"/>
          <w:szCs w:val="22"/>
          <w:lang w:val="pt-BR" w:eastAsia="en-US" w:bidi="ar-SA"/>
        </w:rPr>
        <w:t>Contratado</w:t>
      </w:r>
      <w:r>
        <w:rPr>
          <w:rFonts w:cs="Times New Roman" w:ascii="Arial" w:hAnsi="Arial"/>
        </w:rPr>
        <w:t xml:space="preserve">, aplicam-se as regras previstas no Decreto Municipal nº 000/202X, que regulamenta a </w:t>
      </w:r>
      <w:r>
        <w:rPr>
          <w:rFonts w:cs="Times New Roman" w:ascii="Arial" w:hAnsi="Arial"/>
          <w:iCs/>
        </w:rPr>
        <w:t>Lei nº 13.709/2018 (LGPD)</w:t>
      </w:r>
      <w:r>
        <w:rPr>
          <w:rFonts w:cs="Times New Roman" w:ascii="Arial" w:hAnsi="Arial"/>
        </w:rPr>
        <w:t xml:space="preserve">. </w:t>
      </w:r>
    </w:p>
    <w:p>
      <w:pPr>
        <w:pStyle w:val="Normal"/>
        <w:spacing w:lineRule="auto" w:line="240"/>
        <w:jc w:val="both"/>
        <w:rPr>
          <w:rFonts w:ascii="Arial" w:hAnsi="Arial"/>
        </w:rPr>
      </w:pPr>
      <w:r>
        <w:rPr>
          <w:rFonts w:cs="Times New Roman" w:ascii="Arial" w:hAnsi="Arial"/>
          <w:b/>
        </w:rPr>
        <w:t>16.5.</w:t>
      </w:r>
      <w:r>
        <w:rPr>
          <w:rFonts w:cs="Times New Roman" w:ascii="Arial" w:hAnsi="Arial"/>
        </w:rPr>
        <w:t xml:space="preserve"> </w:t>
      </w:r>
      <w:r>
        <w:rPr>
          <w:rFonts w:eastAsia="Calibri" w:cs="Times New Roman" w:ascii="Arial" w:hAnsi="Arial" w:eastAsiaTheme="minorHAnsi"/>
          <w:color w:val="auto"/>
          <w:kern w:val="0"/>
          <w:sz w:val="22"/>
          <w:szCs w:val="22"/>
          <w:lang w:val="pt-BR" w:eastAsia="en-US" w:bidi="ar-SA"/>
        </w:rPr>
        <w:t>O Contratado</w:t>
      </w:r>
      <w:r>
        <w:rPr>
          <w:rFonts w:cs="Times New Roman" w:ascii="Arial" w:hAnsi="Arial"/>
        </w:rPr>
        <w:t xml:space="preserve"> oferecerá garantias suficientes em relação às medidas de segurança </w:t>
      </w:r>
      <w:r>
        <w:rPr>
          <w:rFonts w:cs="Times New Roman" w:ascii="Arial" w:hAnsi="Arial"/>
          <w:iCs/>
        </w:rPr>
        <w:t>administrativas</w:t>
      </w:r>
      <w:r>
        <w:rPr>
          <w:rFonts w:cs="Times New Roman" w:ascii="Arial" w:hAnsi="Arial"/>
        </w:rPr>
        <w:t>, organizativas, técnicas</w:t>
      </w:r>
      <w:r>
        <w:rPr>
          <w:rFonts w:cs="Times New Roman" w:ascii="Arial" w:hAnsi="Arial"/>
          <w:iCs/>
        </w:rPr>
        <w:t xml:space="preserve"> e físicas apropriadas para proteger a confidencialidade e integridade de todos os dados pessoais</w:t>
      </w:r>
      <w:r>
        <w:rPr>
          <w:rFonts w:cs="Times New Roman" w:ascii="Arial" w:hAnsi="Arial"/>
        </w:rPr>
        <w:t xml:space="preserve"> e as especificará formalmente ao </w:t>
      </w:r>
      <w:r>
        <w:rPr>
          <w:rFonts w:eastAsia="Calibri" w:cs="Times New Roman" w:ascii="Arial" w:hAnsi="Arial" w:eastAsiaTheme="minorHAnsi"/>
          <w:color w:val="auto"/>
          <w:kern w:val="0"/>
          <w:sz w:val="22"/>
          <w:szCs w:val="22"/>
          <w:lang w:val="pt-BR" w:eastAsia="en-US" w:bidi="ar-SA"/>
        </w:rPr>
        <w:t>Contratante</w:t>
      </w:r>
      <w:r>
        <w:rPr>
          <w:rFonts w:cs="Times New Roman" w:ascii="Arial" w:hAnsi="Arial"/>
        </w:rPr>
        <w:t>, não compartilhando dados que lhe sejam remetidos com terceiros.</w:t>
      </w:r>
    </w:p>
    <w:p>
      <w:pPr>
        <w:pStyle w:val="Normal"/>
        <w:spacing w:lineRule="auto" w:line="240"/>
        <w:jc w:val="both"/>
        <w:rPr>
          <w:rFonts w:ascii="Arial" w:hAnsi="Arial"/>
        </w:rPr>
      </w:pPr>
      <w:r>
        <w:rPr>
          <w:rFonts w:cs="Times New Roman" w:ascii="Arial" w:hAnsi="Arial"/>
          <w:b/>
        </w:rPr>
        <w:t>16.6.</w:t>
      </w:r>
      <w:r>
        <w:rPr>
          <w:rFonts w:cs="Times New Roman" w:ascii="Arial" w:hAnsi="Arial"/>
        </w:rPr>
        <w:t xml:space="preserve"> </w:t>
      </w:r>
      <w:r>
        <w:rPr>
          <w:rFonts w:eastAsia="Calibri" w:cs="Times New Roman" w:ascii="Arial" w:hAnsi="Arial" w:eastAsiaTheme="minorHAnsi"/>
          <w:color w:val="auto"/>
          <w:kern w:val="0"/>
          <w:sz w:val="22"/>
          <w:szCs w:val="22"/>
          <w:lang w:val="pt-BR" w:eastAsia="en-US" w:bidi="ar-SA"/>
        </w:rPr>
        <w:t>O Contratado</w:t>
      </w:r>
      <w:r>
        <w:rPr>
          <w:rFonts w:cs="Times New Roman" w:ascii="Arial" w:hAnsi="Arial"/>
        </w:rPr>
        <w:t xml:space="preserve"> deverá utilizar medidas com nível de segurança adequadas em relação aos riscos, para proteger os dados pessoais contra a destruição acidental ou ilícita, a perda acidental ou indevida, a alteração, a divulgação ou o acesso não autorizados, nomeadamente quando o tratamento implicar a sua transmissão </w:t>
      </w:r>
      <w:r>
        <w:rPr>
          <w:rFonts w:cs="Times New Roman" w:ascii="Arial" w:hAnsi="Arial"/>
          <w:iCs/>
        </w:rPr>
        <w:t>eletrônica</w:t>
      </w:r>
      <w:r>
        <w:rPr>
          <w:rFonts w:cs="Times New Roman" w:ascii="Arial" w:hAnsi="Arial"/>
        </w:rPr>
        <w:t>, e contra qualquer outra forma de tratamento ilícito, atendendo aos conhecimentos técnicos disponíveis e aos custos resultantes da sua aplicação.</w:t>
      </w:r>
    </w:p>
    <w:p>
      <w:pPr>
        <w:pStyle w:val="Normal"/>
        <w:spacing w:lineRule="auto" w:line="240"/>
        <w:jc w:val="both"/>
        <w:rPr>
          <w:rFonts w:ascii="Arial" w:hAnsi="Arial"/>
        </w:rPr>
      </w:pPr>
      <w:r>
        <w:rPr>
          <w:rFonts w:cs="Times New Roman" w:ascii="Arial" w:hAnsi="Arial"/>
          <w:b/>
        </w:rPr>
        <w:t>16.7.</w:t>
      </w:r>
      <w:r>
        <w:rPr>
          <w:rFonts w:cs="Times New Roman" w:ascii="Arial" w:hAnsi="Arial"/>
        </w:rPr>
        <w:t xml:space="preserve"> As partes zelarão pelo cumprimento das medidas de segurança.</w:t>
      </w:r>
    </w:p>
    <w:p>
      <w:pPr>
        <w:pStyle w:val="Normal"/>
        <w:spacing w:lineRule="auto" w:line="240"/>
        <w:jc w:val="both"/>
        <w:rPr>
          <w:rFonts w:ascii="Arial" w:hAnsi="Arial"/>
        </w:rPr>
      </w:pPr>
      <w:r>
        <w:rPr>
          <w:rFonts w:cs="Times New Roman" w:ascii="Arial" w:hAnsi="Arial"/>
          <w:b/>
        </w:rPr>
        <w:t>16.8.</w:t>
      </w:r>
      <w:r>
        <w:rPr>
          <w:rFonts w:cs="Times New Roman" w:ascii="Arial" w:hAnsi="Arial"/>
        </w:rPr>
        <w:t xml:space="preserve"> </w:t>
      </w:r>
      <w:r>
        <w:rPr>
          <w:rFonts w:eastAsia="Calibri" w:cs="Times New Roman" w:ascii="Arial" w:hAnsi="Arial" w:eastAsiaTheme="minorHAnsi"/>
          <w:bCs/>
          <w:iCs/>
          <w:color w:val="auto"/>
          <w:kern w:val="0"/>
          <w:sz w:val="22"/>
          <w:szCs w:val="22"/>
          <w:lang w:val="pt-BR" w:eastAsia="en-US" w:bidi="ar-SA"/>
        </w:rPr>
        <w:t>O Contratado</w:t>
      </w:r>
      <w:r>
        <w:rPr>
          <w:rFonts w:cs="Times New Roman" w:ascii="Arial" w:hAnsi="Arial"/>
          <w:iCs/>
        </w:rPr>
        <w:t xml:space="preserve"> deverá acessar os dados dentro de seu escopo e na medida abrangida por sua permissão de acesso (autorização). </w:t>
      </w:r>
      <w:r>
        <w:rPr>
          <w:rFonts w:cs="Times New Roman" w:ascii="Arial" w:hAnsi="Arial"/>
        </w:rPr>
        <w:t>O eventual acesso às bases de dados que contenham ou possam conter dados pessoais ou segredos de negócio, implicará para o</w:t>
      </w:r>
      <w:r>
        <w:rPr>
          <w:rFonts w:eastAsia="Calibri" w:cs="Times New Roman" w:ascii="Arial" w:hAnsi="Arial" w:eastAsiaTheme="minorHAnsi"/>
          <w:color w:val="auto"/>
          <w:kern w:val="0"/>
          <w:sz w:val="22"/>
          <w:szCs w:val="22"/>
          <w:lang w:val="pt-BR" w:eastAsia="en-US" w:bidi="ar-SA"/>
        </w:rPr>
        <w:t xml:space="preserve"> Contratado</w:t>
      </w:r>
      <w:r>
        <w:rPr>
          <w:rFonts w:cs="Times New Roman" w:ascii="Arial" w:hAnsi="Arial"/>
        </w:rPr>
        <w:t xml:space="preserve"> e para seus prepostos – devida e formalmente instruídos nesse sentido – o mais absoluto dever de sigilo, por prazo indeterminado.</w:t>
      </w:r>
    </w:p>
    <w:p>
      <w:pPr>
        <w:pStyle w:val="Normal"/>
        <w:spacing w:lineRule="auto" w:line="240"/>
        <w:jc w:val="both"/>
        <w:rPr>
          <w:rFonts w:ascii="Arial" w:hAnsi="Arial"/>
        </w:rPr>
      </w:pPr>
      <w:r>
        <w:rPr>
          <w:rFonts w:cs="Times New Roman" w:ascii="Arial" w:hAnsi="Arial"/>
          <w:b/>
          <w:iCs/>
        </w:rPr>
        <w:t>16.9.</w:t>
      </w:r>
      <w:r>
        <w:rPr>
          <w:rFonts w:cs="Times New Roman" w:ascii="Arial" w:hAnsi="Arial"/>
          <w:iCs/>
        </w:rPr>
        <w:t xml:space="preserve"> </w:t>
      </w:r>
      <w:r>
        <w:rPr>
          <w:rFonts w:eastAsia="Calibri" w:cs="Times New Roman" w:ascii="Arial" w:hAnsi="Arial" w:eastAsiaTheme="minorHAnsi"/>
          <w:bCs/>
          <w:iCs/>
          <w:color w:val="auto"/>
          <w:kern w:val="0"/>
          <w:sz w:val="22"/>
          <w:szCs w:val="22"/>
          <w:lang w:val="pt-BR" w:eastAsia="en-US" w:bidi="ar-SA"/>
        </w:rPr>
        <w:t>O Contratado</w:t>
      </w:r>
      <w:r>
        <w:rPr>
          <w:rFonts w:cs="Times New Roman" w:ascii="Arial" w:hAnsi="Arial"/>
          <w:iCs/>
        </w:rPr>
        <w:t xml:space="preserve"> deverá garantir, por si própria ou quaisquer de seus empregados, prepostos, sócios, diretores, representantes ou terceiros contratados, a confidencialidade dos dados processados. Deverá assegurar que todos os seus colaboradores, citados acima, que lidam com os dados pessoais sob responsabilidade </w:t>
      </w:r>
      <w:r>
        <w:rPr>
          <w:rFonts w:eastAsia="Calibri" w:cs="Times New Roman" w:ascii="Arial" w:hAnsi="Arial" w:eastAsiaTheme="minorHAnsi"/>
          <w:iCs/>
          <w:color w:val="auto"/>
          <w:kern w:val="0"/>
          <w:sz w:val="22"/>
          <w:szCs w:val="22"/>
          <w:lang w:val="pt-BR" w:eastAsia="en-US" w:bidi="ar-SA"/>
        </w:rPr>
        <w:t>do Contratante</w:t>
      </w:r>
      <w:r>
        <w:rPr>
          <w:rFonts w:cs="Times New Roman" w:ascii="Arial" w:hAnsi="Arial"/>
          <w:bCs/>
          <w:iCs/>
        </w:rPr>
        <w:t>,</w:t>
      </w:r>
      <w:r>
        <w:rPr>
          <w:rFonts w:cs="Times New Roman" w:ascii="Arial" w:hAnsi="Arial"/>
          <w:iCs/>
        </w:rPr>
        <w:t xml:space="preserve"> assinaram Acordo de Confidencialidade com o </w:t>
      </w:r>
      <w:r>
        <w:rPr>
          <w:rFonts w:eastAsia="Calibri" w:cs="Times New Roman" w:ascii="Arial" w:hAnsi="Arial" w:eastAsiaTheme="minorHAnsi"/>
          <w:bCs/>
          <w:iCs/>
          <w:color w:val="auto"/>
          <w:kern w:val="0"/>
          <w:sz w:val="22"/>
          <w:szCs w:val="22"/>
          <w:lang w:val="pt-BR" w:eastAsia="en-US" w:bidi="ar-SA"/>
        </w:rPr>
        <w:t>Contratado</w:t>
      </w:r>
      <w:r>
        <w:rPr>
          <w:rFonts w:cs="Times New Roman" w:ascii="Arial" w:hAnsi="Arial"/>
          <w:bCs/>
          <w:iCs/>
        </w:rPr>
        <w:t>.</w:t>
      </w:r>
    </w:p>
    <w:p>
      <w:pPr>
        <w:pStyle w:val="Normal"/>
        <w:spacing w:lineRule="auto" w:line="240"/>
        <w:jc w:val="both"/>
        <w:rPr>
          <w:rFonts w:ascii="Arial" w:hAnsi="Arial"/>
        </w:rPr>
      </w:pPr>
      <w:r>
        <w:rPr>
          <w:rFonts w:cs="Times New Roman" w:ascii="Arial" w:hAnsi="Arial"/>
          <w:b/>
          <w:iCs/>
        </w:rPr>
        <w:t>16.10.</w:t>
      </w:r>
      <w:r>
        <w:rPr>
          <w:rFonts w:cs="Times New Roman" w:ascii="Arial" w:hAnsi="Arial"/>
          <w:iCs/>
        </w:rPr>
        <w:t xml:space="preserve"> Ainda o</w:t>
      </w:r>
      <w:r>
        <w:rPr>
          <w:rFonts w:eastAsia="Calibri" w:cs="Times New Roman" w:ascii="Arial" w:hAnsi="Arial" w:eastAsiaTheme="minorHAnsi"/>
          <w:iCs/>
          <w:color w:val="auto"/>
          <w:kern w:val="0"/>
          <w:sz w:val="22"/>
          <w:szCs w:val="22"/>
          <w:lang w:val="pt-BR" w:eastAsia="en-US" w:bidi="ar-SA"/>
        </w:rPr>
        <w:t xml:space="preserve"> Contratado</w:t>
      </w:r>
      <w:r>
        <w:rPr>
          <w:rFonts w:cs="Times New Roman" w:ascii="Arial" w:hAnsi="Arial"/>
          <w:iCs/>
        </w:rPr>
        <w:t xml:space="preserve"> treinará e orientará a sua equipe sobre as disposições legais aplicáveis em relação à proteção de dados, </w:t>
      </w:r>
      <w:r>
        <w:rPr>
          <w:rFonts w:cs="Times New Roman" w:ascii="Arial" w:hAnsi="Arial"/>
        </w:rPr>
        <w:t xml:space="preserve">assim fornecendo conhecimento formal sobre as obrigações e condições acordadas neste contrato, inclusive no tocante à Política de Privacidade do </w:t>
      </w:r>
      <w:r>
        <w:rPr>
          <w:rFonts w:eastAsia="Calibri" w:cs="Times New Roman" w:ascii="Arial" w:hAnsi="Arial" w:eastAsiaTheme="minorHAnsi"/>
          <w:color w:val="auto"/>
          <w:kern w:val="0"/>
          <w:sz w:val="22"/>
          <w:szCs w:val="22"/>
          <w:lang w:val="pt-BR" w:eastAsia="en-US" w:bidi="ar-SA"/>
        </w:rPr>
        <w:t>Contratante</w:t>
      </w:r>
      <w:r>
        <w:rPr>
          <w:rFonts w:cs="Times New Roman" w:ascii="Arial" w:hAnsi="Arial"/>
        </w:rPr>
        <w:t>.</w:t>
      </w:r>
    </w:p>
    <w:p>
      <w:pPr>
        <w:pStyle w:val="Normal"/>
        <w:spacing w:lineRule="auto" w:line="240"/>
        <w:jc w:val="both"/>
        <w:rPr>
          <w:rFonts w:ascii="Arial" w:hAnsi="Arial"/>
        </w:rPr>
      </w:pPr>
      <w:r>
        <w:rPr>
          <w:rFonts w:cs="Times New Roman" w:ascii="Arial" w:hAnsi="Arial"/>
          <w:b/>
        </w:rPr>
        <w:t>16.11.</w:t>
      </w:r>
      <w:r>
        <w:rPr>
          <w:rFonts w:cs="Times New Roman" w:ascii="Arial" w:hAnsi="Arial"/>
        </w:rPr>
        <w:t xml:space="preserve"> As partes cooperarão entre si no cumprimento das obrigações referentes ao exercício dos direitos dos Titulares previstos na </w:t>
      </w:r>
      <w:r>
        <w:rPr>
          <w:rFonts w:cs="Times New Roman" w:ascii="Arial" w:hAnsi="Arial"/>
          <w:iCs/>
        </w:rPr>
        <w:t>Lei nº 13.709/2018 (LGPD)</w:t>
      </w:r>
      <w:r>
        <w:rPr>
          <w:rFonts w:cs="Times New Roman" w:ascii="Arial" w:hAnsi="Arial"/>
        </w:rPr>
        <w:t xml:space="preserve"> e nas Leis e Regulamentos de Proteção de Dados em vigor e também no atendimento de requisições e determinações do Poder Judiciário, Ministério Público, Tribunal de Contas e Órgãos de controle administrativo.</w:t>
      </w:r>
    </w:p>
    <w:p>
      <w:pPr>
        <w:pStyle w:val="Normal"/>
        <w:spacing w:lineRule="auto" w:line="240"/>
        <w:jc w:val="both"/>
        <w:rPr>
          <w:rFonts w:ascii="Arial" w:hAnsi="Arial"/>
        </w:rPr>
      </w:pPr>
      <w:r>
        <w:rPr>
          <w:rFonts w:cs="Times New Roman" w:ascii="Arial" w:hAnsi="Arial"/>
          <w:b/>
        </w:rPr>
        <w:t>16.12.</w:t>
      </w:r>
      <w:r>
        <w:rPr>
          <w:rFonts w:cs="Times New Roman" w:ascii="Arial" w:hAnsi="Arial"/>
        </w:rPr>
        <w:t xml:space="preserve"> Uma parte deverá informar à outra, sempre que receber uma solicitação de um Titular de Dados, a respeito de dados pessoais da outra parte, abstendo-se de responder qualquer solicitação, exceto nas instruções documentadas ou conforme exigido pela </w:t>
      </w:r>
      <w:r>
        <w:rPr>
          <w:rFonts w:cs="Times New Roman" w:ascii="Arial" w:hAnsi="Arial"/>
          <w:iCs/>
        </w:rPr>
        <w:t>Lei nº 13.709/2018 (LGPD)</w:t>
      </w:r>
      <w:r>
        <w:rPr>
          <w:rFonts w:cs="Times New Roman" w:ascii="Arial" w:hAnsi="Arial"/>
        </w:rPr>
        <w:t xml:space="preserve"> e Leis e Regulamentos de Proteção de Dados em vigor.</w:t>
      </w:r>
    </w:p>
    <w:p>
      <w:pPr>
        <w:pStyle w:val="Normal"/>
        <w:spacing w:lineRule="auto" w:line="240"/>
        <w:jc w:val="both"/>
        <w:rPr>
          <w:rFonts w:ascii="Arial" w:hAnsi="Arial"/>
        </w:rPr>
      </w:pPr>
      <w:r>
        <w:rPr>
          <w:rFonts w:cs="Times New Roman" w:ascii="Arial" w:hAnsi="Arial"/>
          <w:b/>
        </w:rPr>
        <w:t>16.13.</w:t>
      </w:r>
      <w:r>
        <w:rPr>
          <w:rFonts w:cs="Times New Roman" w:ascii="Arial" w:hAnsi="Arial"/>
        </w:rPr>
        <w:t xml:space="preserve"> O Encarregado do </w:t>
      </w:r>
      <w:r>
        <w:rPr>
          <w:rFonts w:eastAsia="Calibri" w:cs="Times New Roman" w:ascii="Arial" w:hAnsi="Arial" w:eastAsiaTheme="minorHAnsi"/>
          <w:color w:val="auto"/>
          <w:kern w:val="0"/>
          <w:sz w:val="22"/>
          <w:szCs w:val="22"/>
          <w:lang w:val="pt-BR" w:eastAsia="en-US" w:bidi="ar-SA"/>
        </w:rPr>
        <w:t xml:space="preserve">Contratado </w:t>
      </w:r>
      <w:r>
        <w:rPr>
          <w:rFonts w:cs="Times New Roman" w:ascii="Arial" w:hAnsi="Arial"/>
        </w:rPr>
        <w:t xml:space="preserve">manterá contato formal com o Encarregado do </w:t>
      </w:r>
      <w:r>
        <w:rPr>
          <w:rFonts w:eastAsia="Calibri" w:cs="Times New Roman" w:ascii="Arial" w:hAnsi="Arial" w:eastAsiaTheme="minorHAnsi"/>
          <w:color w:val="auto"/>
          <w:kern w:val="0"/>
          <w:sz w:val="22"/>
          <w:szCs w:val="22"/>
          <w:lang w:val="pt-BR" w:eastAsia="en-US" w:bidi="ar-SA"/>
        </w:rPr>
        <w:t>Contratante</w:t>
      </w:r>
      <w:r>
        <w:rPr>
          <w:rFonts w:cs="Times New Roman" w:ascii="Arial" w:hAnsi="Arial"/>
        </w:rPr>
        <w:t xml:space="preserve">, e fica obrigado a notificar ao </w:t>
      </w:r>
      <w:r>
        <w:rPr>
          <w:rFonts w:eastAsia="Calibri" w:cs="Times New Roman" w:ascii="Arial" w:hAnsi="Arial" w:eastAsiaTheme="minorHAnsi"/>
          <w:color w:val="auto"/>
          <w:kern w:val="0"/>
          <w:sz w:val="22"/>
          <w:szCs w:val="22"/>
          <w:lang w:val="pt-BR" w:eastAsia="en-US" w:bidi="ar-SA"/>
        </w:rPr>
        <w:t>Contratante</w:t>
      </w:r>
      <w:r>
        <w:rPr>
          <w:rFonts w:cs="Times New Roman" w:ascii="Arial" w:hAnsi="Arial"/>
        </w:rPr>
        <w:t xml:space="preserve"> no prazo de 24 (vinte e quatro) horas a partir da ciência da ocorrência de qualquer incidente que implique violação ou risco de violação de dados pessoais de que venha a ter conhecimento </w:t>
      </w:r>
      <w:r>
        <w:rPr>
          <w:rFonts w:cs="Times New Roman" w:ascii="Arial" w:hAnsi="Arial"/>
          <w:iCs/>
        </w:rPr>
        <w:t>(ainda que suspeito)</w:t>
      </w:r>
      <w:r>
        <w:rPr>
          <w:rFonts w:cs="Times New Roman" w:ascii="Arial" w:hAnsi="Arial"/>
        </w:rPr>
        <w:t>, q</w:t>
      </w:r>
      <w:r>
        <w:rPr>
          <w:rFonts w:cs="Times New Roman" w:ascii="Arial" w:hAnsi="Arial"/>
          <w:iCs/>
        </w:rPr>
        <w:t xml:space="preserve">ualquer não cumprimento (ainda que suspeito) das disposições legais relativas à proteção de Dados Pessoais </w:t>
      </w:r>
      <w:r>
        <w:rPr>
          <w:rFonts w:cs="Times New Roman" w:ascii="Arial" w:hAnsi="Arial"/>
        </w:rPr>
        <w:t xml:space="preserve">ou qualquer forma de tratamento inadequado ou ilícito, bem como adotar as providências dispostas no art. 48 da </w:t>
      </w:r>
      <w:r>
        <w:rPr>
          <w:rFonts w:cs="Times New Roman" w:ascii="Arial" w:hAnsi="Arial"/>
          <w:iCs/>
        </w:rPr>
        <w:t>Lei nº 13.709/2018 (LGPD)</w:t>
      </w:r>
      <w:r>
        <w:rPr>
          <w:rFonts w:cs="Times New Roman" w:ascii="Arial" w:hAnsi="Arial"/>
        </w:rPr>
        <w:t>, devendo a parte responsável, em até 10 (dez) dias corridos, tomar as medidas necessárias.</w:t>
      </w:r>
    </w:p>
    <w:p>
      <w:pPr>
        <w:pStyle w:val="Normal"/>
        <w:spacing w:lineRule="auto" w:line="240"/>
        <w:jc w:val="both"/>
        <w:rPr>
          <w:rFonts w:ascii="Arial" w:hAnsi="Arial"/>
        </w:rPr>
      </w:pPr>
      <w:r>
        <w:rPr>
          <w:rFonts w:cs="Times New Roman" w:ascii="Arial" w:hAnsi="Arial"/>
          <w:b/>
        </w:rPr>
        <w:t>16.14.</w:t>
      </w:r>
      <w:r>
        <w:rPr>
          <w:rFonts w:cs="Times New Roman" w:ascii="Arial" w:hAnsi="Arial"/>
        </w:rPr>
        <w:t xml:space="preserve"> A critério do Encarregado de Dados do </w:t>
      </w:r>
      <w:r>
        <w:rPr>
          <w:rFonts w:eastAsia="Calibri" w:cs="Times New Roman" w:ascii="Arial" w:hAnsi="Arial" w:eastAsiaTheme="minorHAnsi"/>
          <w:color w:val="auto"/>
          <w:kern w:val="0"/>
          <w:sz w:val="22"/>
          <w:szCs w:val="22"/>
          <w:lang w:val="pt-BR" w:eastAsia="en-US" w:bidi="ar-SA"/>
        </w:rPr>
        <w:t>Contratante</w:t>
      </w:r>
      <w:r>
        <w:rPr>
          <w:rFonts w:cs="Times New Roman" w:ascii="Arial" w:hAnsi="Arial"/>
        </w:rPr>
        <w:t xml:space="preserve">, o </w:t>
      </w:r>
      <w:r>
        <w:rPr>
          <w:rFonts w:eastAsia="Calibri" w:cs="Times New Roman" w:ascii="Arial" w:hAnsi="Arial" w:eastAsiaTheme="minorHAnsi"/>
          <w:color w:val="auto"/>
          <w:kern w:val="0"/>
          <w:sz w:val="22"/>
          <w:szCs w:val="22"/>
          <w:lang w:val="pt-BR" w:eastAsia="en-US" w:bidi="ar-SA"/>
        </w:rPr>
        <w:t xml:space="preserve">Contratado </w:t>
      </w:r>
      <w:r>
        <w:rPr>
          <w:rFonts w:cs="Times New Roman" w:ascii="Arial" w:hAnsi="Arial"/>
        </w:rPr>
        <w:t>poderá ser provocada a colaborar na elaboração do relatório de impacto à proteção de dados pessoais (RIPD), conforme a sensibilidade e o risco inerente dos serviços objeto deste contrato, no tocante a dados pessoais.</w:t>
      </w:r>
    </w:p>
    <w:p>
      <w:pPr>
        <w:pStyle w:val="Normal"/>
        <w:spacing w:lineRule="auto" w:line="240"/>
        <w:jc w:val="both"/>
        <w:rPr>
          <w:rFonts w:ascii="Arial" w:hAnsi="Arial"/>
        </w:rPr>
      </w:pPr>
      <w:r>
        <w:rPr>
          <w:rFonts w:cs="Times New Roman" w:ascii="Arial" w:hAnsi="Arial"/>
          <w:b/>
        </w:rPr>
        <w:t>16.15.</w:t>
      </w:r>
      <w:r>
        <w:rPr>
          <w:rFonts w:cs="Times New Roman" w:ascii="Arial" w:hAnsi="Arial"/>
        </w:rPr>
        <w:t xml:space="preserve"> Encerrada a vigência do contrato ou não havendo mais necessidade de utilização dos dados pessoais, sensíveis ou não, o </w:t>
      </w:r>
      <w:r>
        <w:rPr>
          <w:rFonts w:eastAsia="Calibri" w:cs="Times New Roman" w:ascii="Arial" w:hAnsi="Arial" w:eastAsiaTheme="minorHAnsi"/>
          <w:color w:val="auto"/>
          <w:kern w:val="0"/>
          <w:sz w:val="22"/>
          <w:szCs w:val="22"/>
          <w:lang w:val="pt-BR" w:eastAsia="en-US" w:bidi="ar-SA"/>
        </w:rPr>
        <w:t xml:space="preserve">Contratado </w:t>
      </w:r>
      <w:r>
        <w:rPr>
          <w:rFonts w:cs="Times New Roman" w:ascii="Arial" w:hAnsi="Arial"/>
        </w:rPr>
        <w:t xml:space="preserve">interromperá o tratamento e, em no máximo (30) dias, sob instruções e na medida do determinado pelo </w:t>
      </w:r>
      <w:r>
        <w:rPr>
          <w:rFonts w:eastAsia="Calibri" w:cs="Times New Roman" w:ascii="Arial" w:hAnsi="Arial" w:eastAsiaTheme="minorHAnsi"/>
          <w:color w:val="auto"/>
          <w:kern w:val="0"/>
          <w:sz w:val="22"/>
          <w:szCs w:val="22"/>
          <w:lang w:val="pt-BR" w:eastAsia="en-US" w:bidi="ar-SA"/>
        </w:rPr>
        <w:t>Contratante</w:t>
      </w:r>
      <w:r>
        <w:rPr>
          <w:rFonts w:cs="Times New Roman" w:ascii="Arial" w:hAnsi="Arial"/>
        </w:rPr>
        <w:t xml:space="preserve">, eliminará completamente os dados pessoais e todas as cópias porventura existentes (em formato digital, físico ou outro qualquer), salvo quando necessite mantê-los para cumprimento de obrigação legal ou outra hipótese legal prevista na </w:t>
      </w:r>
      <w:r>
        <w:rPr>
          <w:rFonts w:cs="Times New Roman" w:ascii="Arial" w:hAnsi="Arial"/>
          <w:iCs/>
        </w:rPr>
        <w:t>Lei nº 13.709/2018 (LGPD)</w:t>
      </w:r>
      <w:r>
        <w:rPr>
          <w:rFonts w:cs="Times New Roman" w:ascii="Arial" w:hAnsi="Arial"/>
        </w:rPr>
        <w:t>.</w:t>
      </w:r>
    </w:p>
    <w:p>
      <w:pPr>
        <w:pStyle w:val="Normal"/>
        <w:spacing w:lineRule="auto" w:line="240"/>
        <w:jc w:val="both"/>
        <w:rPr>
          <w:rFonts w:ascii="Arial" w:hAnsi="Arial"/>
        </w:rPr>
      </w:pPr>
      <w:r>
        <w:rPr>
          <w:rFonts w:cs="Times New Roman" w:ascii="Arial" w:hAnsi="Arial"/>
          <w:b/>
        </w:rPr>
        <w:t>16.15.1.</w:t>
      </w:r>
      <w:r>
        <w:rPr>
          <w:rFonts w:cs="Times New Roman" w:ascii="Arial" w:hAnsi="Arial"/>
        </w:rPr>
        <w:t xml:space="preserve"> Ainda que encerrada vigência deste instrumento, os deveres previstos nas presentes cláusulas devem ser observados pelas partes, por prazo indeterminado, sob pena de responsabilização.</w:t>
      </w:r>
    </w:p>
    <w:p>
      <w:pPr>
        <w:pStyle w:val="Normal"/>
        <w:spacing w:lineRule="auto" w:line="240"/>
        <w:jc w:val="both"/>
        <w:rPr>
          <w:rFonts w:ascii="Arial" w:hAnsi="Arial"/>
        </w:rPr>
      </w:pPr>
      <w:r>
        <w:rPr>
          <w:rFonts w:cs="Times New Roman" w:ascii="Arial" w:hAnsi="Arial"/>
          <w:b/>
        </w:rPr>
        <w:t>16.16.</w:t>
      </w:r>
      <w:r>
        <w:rPr>
          <w:rFonts w:cs="Times New Roman" w:ascii="Arial" w:hAnsi="Arial"/>
        </w:rPr>
        <w:t xml:space="preserve"> Eventuais responsabilidades das partes, serão apuradas conforme estabelecido neste contrato e também de acordo com o que dispõe a Seção III, Capítulo VI da </w:t>
      </w:r>
      <w:r>
        <w:rPr>
          <w:rFonts w:cs="Times New Roman" w:ascii="Arial" w:hAnsi="Arial"/>
          <w:iCs/>
        </w:rPr>
        <w:t>Lei nº 13.709/2018 *LGPD)</w:t>
      </w:r>
      <w:r>
        <w:rPr>
          <w:rFonts w:cs="Times New Roman" w:ascii="Arial" w:hAnsi="Arial"/>
        </w:rPr>
        <w:t>.</w:t>
      </w:r>
    </w:p>
    <w:p>
      <w:pPr>
        <w:pStyle w:val="Normal"/>
        <w:spacing w:lineRule="auto" w:line="240"/>
        <w:jc w:val="both"/>
        <w:rPr>
          <w:rFonts w:ascii="Arial" w:hAnsi="Arial"/>
        </w:rPr>
      </w:pPr>
      <w:r>
        <w:rPr>
          <w:rFonts w:cs="Times New Roman" w:ascii="Arial" w:hAnsi="Arial"/>
          <w:b/>
          <w:iCs/>
        </w:rPr>
        <w:t>16.16.1.</w:t>
      </w:r>
      <w:r>
        <w:rPr>
          <w:rFonts w:cs="Times New Roman" w:ascii="Arial" w:hAnsi="Arial"/>
          <w:iCs/>
        </w:rPr>
        <w:t xml:space="preserve"> </w:t>
      </w:r>
      <w:r>
        <w:rPr>
          <w:rFonts w:eastAsia="Calibri" w:cs="Times New Roman" w:ascii="Arial" w:hAnsi="Arial" w:eastAsiaTheme="minorHAnsi"/>
          <w:iCs/>
          <w:color w:val="auto"/>
          <w:kern w:val="0"/>
          <w:sz w:val="22"/>
          <w:szCs w:val="22"/>
          <w:lang w:val="pt-BR" w:eastAsia="en-US" w:bidi="ar-SA"/>
        </w:rPr>
        <w:t>O Contratado</w:t>
      </w:r>
      <w:r>
        <w:rPr>
          <w:rFonts w:cs="Times New Roman" w:ascii="Arial" w:hAnsi="Arial"/>
          <w:bCs/>
          <w:iCs/>
        </w:rPr>
        <w:t xml:space="preserve"> </w:t>
      </w:r>
      <w:r>
        <w:rPr>
          <w:rFonts w:cs="Times New Roman" w:ascii="Arial" w:hAnsi="Arial"/>
          <w:iCs/>
        </w:rPr>
        <w:t xml:space="preserve">será integralmente responsável pelo pagamento de perdas e danos de ordem moral e material, bem como pelo ressarcimento do pagamento de qualquer multa ou penalidade imposta ao </w:t>
      </w:r>
      <w:r>
        <w:rPr>
          <w:rFonts w:eastAsia="Calibri" w:cs="Times New Roman" w:ascii="Arial" w:hAnsi="Arial" w:eastAsiaTheme="minorHAnsi"/>
          <w:bCs/>
          <w:iCs/>
          <w:color w:val="auto"/>
          <w:kern w:val="0"/>
          <w:sz w:val="22"/>
          <w:szCs w:val="22"/>
          <w:lang w:val="pt-BR" w:eastAsia="en-US" w:bidi="ar-SA"/>
        </w:rPr>
        <w:t>Contratante</w:t>
      </w:r>
      <w:r>
        <w:rPr>
          <w:rFonts w:cs="Times New Roman" w:ascii="Arial" w:hAnsi="Arial"/>
          <w:iCs/>
        </w:rPr>
        <w:t xml:space="preserve">/ou a terceiros diretamente resultantes do descumprimento </w:t>
      </w:r>
      <w:r>
        <w:rPr>
          <w:rFonts w:eastAsia="Calibri" w:cs="Times New Roman" w:ascii="Arial" w:hAnsi="Arial" w:eastAsiaTheme="minorHAnsi"/>
          <w:iCs/>
          <w:color w:val="auto"/>
          <w:kern w:val="0"/>
          <w:sz w:val="22"/>
          <w:szCs w:val="22"/>
          <w:lang w:val="pt-BR" w:eastAsia="en-US" w:bidi="ar-SA"/>
        </w:rPr>
        <w:t>pelo Contratado</w:t>
      </w:r>
      <w:r>
        <w:rPr>
          <w:rFonts w:cs="Times New Roman" w:ascii="Arial" w:hAnsi="Arial"/>
          <w:bCs/>
          <w:iCs/>
        </w:rPr>
        <w:t xml:space="preserve"> </w:t>
      </w:r>
      <w:r>
        <w:rPr>
          <w:rFonts w:cs="Times New Roman" w:ascii="Arial" w:hAnsi="Arial"/>
          <w:iCs/>
        </w:rPr>
        <w:t>de qualquer das cláusulas previstas neste capítulo quanto a proteção e uso dos dados pessoais.</w:t>
      </w:r>
    </w:p>
    <w:p>
      <w:pPr>
        <w:pStyle w:val="Normal"/>
        <w:shd w:val="clear" w:color="auto" w:fill="E7E6E6" w:themeFill="background2"/>
        <w:spacing w:lineRule="auto" w:line="240"/>
        <w:jc w:val="both"/>
        <w:rPr>
          <w:rFonts w:ascii="Arial" w:hAnsi="Arial"/>
        </w:rPr>
      </w:pPr>
      <w:r>
        <w:rPr>
          <w:rFonts w:cs="Times New Roman" w:ascii="Arial" w:hAnsi="Arial"/>
          <w:b/>
        </w:rPr>
        <w:t>CLÁUSULA DÉCIMA SÉTIMA: PUBLICAÇÃO</w:t>
      </w:r>
    </w:p>
    <w:p>
      <w:pPr>
        <w:pStyle w:val="Normal"/>
        <w:spacing w:lineRule="auto" w:line="240"/>
        <w:jc w:val="both"/>
        <w:rPr>
          <w:rFonts w:ascii="Arial" w:hAnsi="Arial"/>
        </w:rPr>
      </w:pPr>
      <w:r>
        <w:rPr>
          <w:rFonts w:cs="Times New Roman" w:ascii="Arial" w:hAnsi="Arial"/>
          <w:b/>
        </w:rPr>
        <w:t>17.</w:t>
      </w:r>
      <w:r>
        <w:rPr>
          <w:rFonts w:cs="Times New Roman" w:ascii="Arial" w:hAnsi="Arial"/>
        </w:rPr>
        <w:t xml:space="preserve"> Este contrato será publicado no prazo máximo de 20 (vinte) dias úteis a contar da assinatura das partes (art. 94, I da Lei nº 14.133/2021).</w:t>
      </w:r>
    </w:p>
    <w:p>
      <w:pPr>
        <w:pStyle w:val="Normal"/>
        <w:spacing w:lineRule="auto" w:line="240"/>
        <w:jc w:val="both"/>
        <w:rPr>
          <w:rFonts w:ascii="Arial" w:hAnsi="Arial"/>
        </w:rPr>
      </w:pPr>
      <w:r>
        <w:rPr>
          <w:rFonts w:cs="Times New Roman" w:ascii="Arial" w:hAnsi="Arial"/>
          <w:b/>
        </w:rPr>
        <w:t>17.1.</w:t>
      </w:r>
      <w:r>
        <w:rPr>
          <w:rFonts w:cs="Times New Roman" w:ascii="Arial" w:hAnsi="Arial"/>
        </w:rPr>
        <w:t xml:space="preserve"> Para fins de garantir a ampla publicidade, este contrato e/ou seu extrato será divulgado:</w:t>
      </w:r>
    </w:p>
    <w:p>
      <w:pPr>
        <w:pStyle w:val="ListParagraph"/>
        <w:tabs>
          <w:tab w:val="clear" w:pos="720"/>
          <w:tab w:val="left" w:pos="567" w:leader="none"/>
        </w:tabs>
        <w:ind w:left="720" w:hanging="0"/>
        <w:jc w:val="both"/>
        <w:rPr>
          <w:rFonts w:ascii="Arial" w:hAnsi="Arial"/>
          <w:sz w:val="22"/>
          <w:szCs w:val="22"/>
        </w:rPr>
      </w:pPr>
      <w:r>
        <w:rPr>
          <w:rFonts w:ascii="Arial" w:hAnsi="Arial"/>
          <w:b/>
          <w:bCs/>
          <w:color w:val="000000"/>
          <w:sz w:val="22"/>
          <w:szCs w:val="22"/>
        </w:rPr>
        <w:t>I</w:t>
      </w:r>
      <w:r>
        <w:rPr>
          <w:rFonts w:ascii="Arial" w:hAnsi="Arial"/>
          <w:color w:val="000000"/>
          <w:sz w:val="22"/>
          <w:szCs w:val="22"/>
        </w:rPr>
        <w:t xml:space="preserve"> – Portal Nacional de Contratações Públicas – PNCP, a partir da adoção pelo Município (art. 176, III c/c p. ú. da Lei nº 14.133/2021);</w:t>
        <w:br/>
      </w:r>
      <w:r>
        <w:rPr>
          <w:rFonts w:ascii="Arial" w:hAnsi="Arial"/>
          <w:b/>
          <w:bCs/>
          <w:color w:val="000000"/>
          <w:sz w:val="22"/>
          <w:szCs w:val="22"/>
        </w:rPr>
        <w:t>II</w:t>
      </w:r>
      <w:r>
        <w:rPr>
          <w:rFonts w:ascii="Arial" w:hAnsi="Arial"/>
          <w:color w:val="000000"/>
          <w:sz w:val="22"/>
          <w:szCs w:val="22"/>
        </w:rPr>
        <w:t xml:space="preserve"> – Página do Município de </w:t>
      </w:r>
      <w:r>
        <w:rPr>
          <w:rFonts w:eastAsia="Calibri" w:ascii="Arial" w:hAnsi="Arial"/>
          <w:color w:val="000000"/>
          <w:sz w:val="22"/>
          <w:szCs w:val="22"/>
        </w:rPr>
        <w:t>Itá-SC</w:t>
      </w:r>
      <w:r>
        <w:rPr>
          <w:rFonts w:ascii="Arial" w:hAnsi="Arial"/>
          <w:color w:val="000000"/>
          <w:sz w:val="22"/>
          <w:szCs w:val="22"/>
        </w:rPr>
        <w:t xml:space="preserve"> (</w:t>
      </w:r>
      <w:r>
        <w:rPr>
          <w:rFonts w:eastAsia="Calibri" w:ascii="Arial" w:hAnsi="Arial"/>
          <w:color w:val="000000"/>
          <w:sz w:val="22"/>
          <w:szCs w:val="22"/>
        </w:rPr>
        <w:t>ita.atende.net</w:t>
      </w:r>
      <w:r>
        <w:rPr>
          <w:rFonts w:ascii="Arial" w:hAnsi="Arial"/>
          <w:color w:val="000000"/>
          <w:sz w:val="22"/>
          <w:szCs w:val="22"/>
        </w:rPr>
        <w:t>);</w:t>
        <w:br/>
      </w:r>
      <w:r>
        <w:rPr>
          <w:rFonts w:ascii="Arial" w:hAnsi="Arial"/>
          <w:b/>
          <w:bCs/>
          <w:color w:val="000000"/>
          <w:sz w:val="22"/>
          <w:szCs w:val="22"/>
        </w:rPr>
        <w:t>III</w:t>
      </w:r>
      <w:r>
        <w:rPr>
          <w:rFonts w:ascii="Arial" w:hAnsi="Arial"/>
          <w:color w:val="000000"/>
          <w:sz w:val="22"/>
          <w:szCs w:val="22"/>
        </w:rPr>
        <w:t xml:space="preserve"> – </w:t>
      </w:r>
      <w:r>
        <w:rPr>
          <w:rFonts w:ascii="Arial" w:hAnsi="Arial"/>
          <w:sz w:val="22"/>
          <w:szCs w:val="22"/>
        </w:rPr>
        <w:t>Diário Oficial dos Municípios – DOM (art. 176, p. ú., I da Lei nº 14.133/2021);</w:t>
      </w:r>
    </w:p>
    <w:p>
      <w:pPr>
        <w:pStyle w:val="Normal"/>
        <w:spacing w:lineRule="auto" w:line="240"/>
        <w:jc w:val="center"/>
        <w:rPr>
          <w:rFonts w:ascii="Arial" w:hAnsi="Arial"/>
        </w:rPr>
      </w:pPr>
      <w:r>
        <w:rPr>
          <w:rFonts w:cs="Times New Roman" w:ascii="Arial" w:hAnsi="Arial"/>
        </w:rPr>
        <w:t>(LOCAL), (DATA).</w:t>
      </w:r>
    </w:p>
    <w:tbl>
      <w:tblPr>
        <w:tblStyle w:val="TabeladeGradeClara"/>
        <w:tblW w:w="8494"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4247"/>
        <w:gridCol w:w="4246"/>
      </w:tblGrid>
      <w:tr>
        <w:trPr/>
        <w:tc>
          <w:tcPr>
            <w:tcW w:w="4247" w:type="dxa"/>
            <w:tcBorders/>
          </w:tcPr>
          <w:p>
            <w:pPr>
              <w:pStyle w:val="Normal"/>
              <w:widowControl w:val="false"/>
              <w:suppressAutoHyphens w:val="true"/>
              <w:spacing w:lineRule="auto" w:line="240" w:before="0" w:after="0"/>
              <w:jc w:val="center"/>
              <w:rPr>
                <w:rFonts w:ascii="Arial" w:hAnsi="Arial" w:cs="Times New Roman"/>
              </w:rPr>
            </w:pPr>
            <w:r>
              <w:rPr>
                <w:rFonts w:cs="Times New Roman" w:ascii="Arial" w:hAnsi="Arial"/>
                <w:sz w:val="22"/>
              </w:rPr>
            </w:r>
          </w:p>
          <w:p>
            <w:pPr>
              <w:pStyle w:val="Normal"/>
              <w:widowControl w:val="false"/>
              <w:suppressAutoHyphens w:val="true"/>
              <w:spacing w:lineRule="auto" w:line="240" w:before="0" w:after="0"/>
              <w:jc w:val="center"/>
              <w:rPr>
                <w:rFonts w:ascii="Arial" w:hAnsi="Arial" w:cs="Times New Roman"/>
              </w:rPr>
            </w:pPr>
            <w:r>
              <w:rPr>
                <w:rFonts w:eastAsia="Calibri" w:cs="Times New Roman" w:ascii="Arial" w:hAnsi="Arial"/>
                <w:kern w:val="0"/>
                <w:sz w:val="22"/>
                <w:szCs w:val="22"/>
                <w:lang w:val="pt-BR" w:eastAsia="en-US" w:bidi="ar-SA"/>
              </w:rPr>
              <w:t>___________________________________</w:t>
            </w:r>
          </w:p>
          <w:p>
            <w:pPr>
              <w:pStyle w:val="Normal"/>
              <w:widowControl w:val="false"/>
              <w:suppressAutoHyphens w:val="true"/>
              <w:spacing w:lineRule="auto" w:line="240" w:before="0" w:after="0"/>
              <w:jc w:val="center"/>
              <w:rPr>
                <w:rFonts w:ascii="Arial" w:hAnsi="Arial" w:cs="Times New Roman"/>
              </w:rPr>
            </w:pPr>
            <w:r>
              <w:rPr>
                <w:rFonts w:eastAsia="Calibri" w:cs="Times New Roman" w:ascii="Arial" w:hAnsi="Arial"/>
                <w:kern w:val="0"/>
                <w:sz w:val="22"/>
                <w:szCs w:val="22"/>
                <w:lang w:val="pt-BR" w:eastAsia="en-US" w:bidi="ar-SA"/>
              </w:rPr>
              <w:t>Prefeito(a) do Município de XXX</w:t>
            </w:r>
          </w:p>
          <w:p>
            <w:pPr>
              <w:pStyle w:val="Normal"/>
              <w:widowControl w:val="false"/>
              <w:suppressAutoHyphens w:val="true"/>
              <w:spacing w:lineRule="auto" w:line="240" w:before="0" w:after="0"/>
              <w:jc w:val="center"/>
              <w:rPr>
                <w:rFonts w:ascii="Arial" w:hAnsi="Arial" w:cs="Times New Roman"/>
              </w:rPr>
            </w:pPr>
            <w:r>
              <w:rPr>
                <w:rFonts w:eastAsia="Calibri" w:cs="Times New Roman" w:ascii="Arial" w:hAnsi="Arial"/>
                <w:kern w:val="0"/>
                <w:sz w:val="22"/>
                <w:szCs w:val="22"/>
                <w:lang w:val="pt-BR" w:eastAsia="en-US" w:bidi="ar-SA"/>
              </w:rPr>
              <w:t>CONTRATANTE</w:t>
            </w:r>
          </w:p>
        </w:tc>
        <w:tc>
          <w:tcPr>
            <w:tcW w:w="4246" w:type="dxa"/>
            <w:tcBorders/>
          </w:tcPr>
          <w:p>
            <w:pPr>
              <w:pStyle w:val="Normal"/>
              <w:widowControl w:val="false"/>
              <w:suppressAutoHyphens w:val="true"/>
              <w:spacing w:lineRule="auto" w:line="240" w:before="0" w:after="0"/>
              <w:jc w:val="center"/>
              <w:rPr>
                <w:rFonts w:ascii="Arial" w:hAnsi="Arial" w:cs="Times New Roman"/>
              </w:rPr>
            </w:pPr>
            <w:r>
              <w:rPr>
                <w:rFonts w:cs="Times New Roman" w:ascii="Arial" w:hAnsi="Arial"/>
                <w:sz w:val="22"/>
              </w:rPr>
            </w:r>
          </w:p>
          <w:p>
            <w:pPr>
              <w:pStyle w:val="Normal"/>
              <w:widowControl w:val="false"/>
              <w:suppressAutoHyphens w:val="true"/>
              <w:spacing w:lineRule="auto" w:line="240" w:before="0" w:after="0"/>
              <w:jc w:val="center"/>
              <w:rPr>
                <w:rFonts w:ascii="Arial" w:hAnsi="Arial" w:cs="Times New Roman"/>
              </w:rPr>
            </w:pPr>
            <w:r>
              <w:rPr>
                <w:rFonts w:eastAsia="Calibri" w:cs="Times New Roman" w:ascii="Arial" w:hAnsi="Arial"/>
                <w:kern w:val="0"/>
                <w:sz w:val="22"/>
                <w:szCs w:val="22"/>
                <w:lang w:val="pt-BR" w:eastAsia="en-US" w:bidi="ar-SA"/>
              </w:rPr>
              <w:t>____________________________________</w:t>
            </w:r>
          </w:p>
          <w:p>
            <w:pPr>
              <w:pStyle w:val="Normal"/>
              <w:widowControl w:val="false"/>
              <w:suppressAutoHyphens w:val="true"/>
              <w:spacing w:lineRule="auto" w:line="240" w:before="0" w:after="0"/>
              <w:jc w:val="center"/>
              <w:rPr>
                <w:rFonts w:ascii="Arial" w:hAnsi="Arial" w:cs="Times New Roman"/>
              </w:rPr>
            </w:pPr>
            <w:r>
              <w:rPr>
                <w:rFonts w:eastAsia="Calibri" w:cs="Times New Roman" w:ascii="Arial" w:hAnsi="Arial"/>
                <w:kern w:val="0"/>
                <w:sz w:val="22"/>
                <w:szCs w:val="22"/>
                <w:lang w:val="pt-BR" w:eastAsia="en-US" w:bidi="ar-SA"/>
              </w:rPr>
              <w:t>XXX – Empresa XXX</w:t>
            </w:r>
          </w:p>
          <w:p>
            <w:pPr>
              <w:pStyle w:val="Normal"/>
              <w:widowControl w:val="false"/>
              <w:suppressAutoHyphens w:val="true"/>
              <w:spacing w:lineRule="auto" w:line="240" w:before="0" w:after="0"/>
              <w:jc w:val="center"/>
              <w:rPr>
                <w:rFonts w:ascii="Arial" w:hAnsi="Arial" w:cs="Times New Roman"/>
              </w:rPr>
            </w:pPr>
            <w:r>
              <w:rPr>
                <w:rFonts w:eastAsia="Calibri" w:cs="Times New Roman" w:ascii="Arial" w:hAnsi="Arial"/>
                <w:kern w:val="0"/>
                <w:sz w:val="22"/>
                <w:szCs w:val="22"/>
                <w:lang w:val="pt-BR" w:eastAsia="en-US" w:bidi="ar-SA"/>
              </w:rPr>
              <w:t>CONTRATADO</w:t>
            </w:r>
          </w:p>
        </w:tc>
      </w:tr>
      <w:tr>
        <w:trPr/>
        <w:tc>
          <w:tcPr>
            <w:tcW w:w="4247" w:type="dxa"/>
            <w:tcBorders/>
          </w:tcPr>
          <w:p>
            <w:pPr>
              <w:pStyle w:val="Normal"/>
              <w:widowControl w:val="false"/>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1ª Testemunha</w:t>
            </w:r>
          </w:p>
          <w:p>
            <w:pPr>
              <w:pStyle w:val="Normal"/>
              <w:widowControl w:val="false"/>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Nome:</w:t>
            </w:r>
          </w:p>
        </w:tc>
        <w:tc>
          <w:tcPr>
            <w:tcW w:w="4246" w:type="dxa"/>
            <w:tcBorders/>
          </w:tcPr>
          <w:p>
            <w:pPr>
              <w:pStyle w:val="Normal"/>
              <w:widowControl w:val="false"/>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2ª Testemunha</w:t>
            </w:r>
          </w:p>
          <w:p>
            <w:pPr>
              <w:pStyle w:val="Normal"/>
              <w:widowControl w:val="false"/>
              <w:suppressAutoHyphens w:val="true"/>
              <w:spacing w:lineRule="auto" w:line="240" w:before="0" w:after="0"/>
              <w:jc w:val="both"/>
              <w:rPr>
                <w:rFonts w:ascii="Arial" w:hAnsi="Arial" w:cs="Times New Roman"/>
              </w:rPr>
            </w:pPr>
            <w:r>
              <w:rPr>
                <w:rFonts w:eastAsia="Calibri" w:cs="Times New Roman" w:ascii="Arial" w:hAnsi="Arial"/>
                <w:kern w:val="0"/>
                <w:sz w:val="22"/>
                <w:szCs w:val="22"/>
                <w:lang w:val="pt-BR" w:eastAsia="en-US" w:bidi="ar-SA"/>
              </w:rPr>
              <w:t>Nome:</w:t>
            </w:r>
          </w:p>
        </w:tc>
      </w:tr>
    </w:tbl>
    <w:p>
      <w:pPr>
        <w:pStyle w:val="Normal"/>
        <w:widowControl w:val="false"/>
        <w:tabs>
          <w:tab w:val="clear" w:pos="720"/>
          <w:tab w:val="left" w:pos="1701" w:leader="none"/>
        </w:tabs>
        <w:spacing w:lineRule="auto" w:line="240" w:before="0" w:after="160"/>
        <w:jc w:val="both"/>
        <w:textAlignment w:val="baseline"/>
        <w:rPr>
          <w:rFonts w:ascii="Arial" w:hAnsi="Arial"/>
        </w:rPr>
      </w:pPr>
      <w:r>
        <w:rPr/>
      </w:r>
    </w:p>
    <w:sectPr>
      <w:headerReference w:type="default" r:id="rId24"/>
      <w:footerReference w:type="default" r:id="rId25"/>
      <w:footnotePr>
        <w:numFmt w:val="decimal"/>
      </w:footnotePr>
      <w:type w:val="nextPage"/>
      <w:pgSz w:w="11906" w:h="16838"/>
      <w:pgMar w:left="1701" w:right="1701" w:header="708" w:top="2437" w:footer="708" w:bottom="1417" w:gutter="0"/>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Arial">
    <w:charset w:val="00"/>
    <w:family w:val="roman"/>
    <w:pitch w:val="variable"/>
  </w:font>
  <w:font w:name="Liberation Sans">
    <w:altName w:val="Arial"/>
    <w:charset w:val="00"/>
    <w:family w:val="roman"/>
    <w:pitch w:val="variable"/>
  </w:font>
  <w:font w:name="Verdan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591873357"/>
    </w:sdtPr>
    <w:sdtContent>
      <w:p>
        <w:pPr>
          <w:pStyle w:val="Rodap"/>
          <w:jc w:val="both"/>
          <w:rPr>
            <w:shd w:fill="auto" w:val="clear"/>
          </w:rPr>
        </w:pPr>
        <w:r>
          <w:rPr>
            <w:rFonts w:cs="Arial" w:ascii="Arial" w:hAnsi="Arial"/>
            <w:sz w:val="16"/>
            <w:szCs w:val="16"/>
            <w:shd w:fill="auto" w:val="clear"/>
          </w:rPr>
          <w:t xml:space="preserve">Pregão Eletrônico nº </w:t>
        </w:r>
        <w:r>
          <w:rPr>
            <w:rFonts w:eastAsia="Calibri" w:cs="Arial" w:ascii="Arial" w:hAnsi="Arial"/>
            <w:color w:val="000000"/>
            <w:kern w:val="0"/>
            <w:sz w:val="16"/>
            <w:szCs w:val="16"/>
            <w:shd w:fill="auto" w:val="clear"/>
            <w:lang w:val="pt-BR" w:eastAsia="en-US" w:bidi="ar-SA"/>
          </w:rPr>
          <w:t>083</w:t>
        </w:r>
        <w:r>
          <w:rPr>
            <w:rFonts w:cs="Arial" w:ascii="Arial" w:hAnsi="Arial"/>
            <w:sz w:val="16"/>
            <w:szCs w:val="16"/>
            <w:shd w:fill="auto" w:val="clear"/>
          </w:rPr>
          <w:t>/2023</w:t>
        </w:r>
        <w:r>
          <w:rPr>
            <w:rFonts w:cs="Arial" w:ascii="Arial" w:hAnsi="Arial"/>
            <w:sz w:val="16"/>
            <w:szCs w:val="16"/>
            <w:shd w:fill="auto" w:val="clear"/>
          </w:rPr>
          <w:tab/>
          <w:t xml:space="preserve">Página </w:t>
        </w:r>
        <w:r>
          <w:rPr>
            <w:rFonts w:cs="Arial" w:ascii="Arial" w:hAnsi="Arial"/>
            <w:sz w:val="16"/>
            <w:szCs w:val="16"/>
            <w:shd w:fill="auto" w:val="clear"/>
          </w:rPr>
          <w:fldChar w:fldCharType="begin"/>
        </w:r>
        <w:r>
          <w:rPr>
            <w:sz w:val="16"/>
            <w:shd w:fill="auto" w:val="clear"/>
            <w:szCs w:val="16"/>
            <w:rFonts w:cs="Arial" w:ascii="Arial" w:hAnsi="Arial"/>
          </w:rPr>
          <w:instrText> PAGE </w:instrText>
        </w:r>
        <w:r>
          <w:rPr>
            <w:sz w:val="16"/>
            <w:shd w:fill="auto" w:val="clear"/>
            <w:szCs w:val="16"/>
            <w:rFonts w:cs="Arial" w:ascii="Arial" w:hAnsi="Arial"/>
          </w:rPr>
          <w:fldChar w:fldCharType="separate"/>
        </w:r>
        <w:r>
          <w:rPr>
            <w:sz w:val="16"/>
            <w:shd w:fill="auto" w:val="clear"/>
            <w:szCs w:val="16"/>
            <w:rFonts w:cs="Arial" w:ascii="Arial" w:hAnsi="Arial"/>
          </w:rPr>
          <w:t>2</w:t>
        </w:r>
        <w:r>
          <w:rPr>
            <w:sz w:val="16"/>
            <w:shd w:fill="auto" w:val="clear"/>
            <w:szCs w:val="16"/>
            <w:rFonts w:cs="Arial" w:ascii="Arial" w:hAnsi="Arial"/>
          </w:rPr>
          <w:fldChar w:fldCharType="end"/>
        </w:r>
        <w:r>
          <w:rPr>
            <w:rFonts w:cs="Arial" w:ascii="Arial" w:hAnsi="Arial"/>
            <w:sz w:val="16"/>
            <w:szCs w:val="16"/>
            <w:shd w:fill="auto" w:val="clear"/>
          </w:rPr>
          <w:t xml:space="preserve"> de </w:t>
        </w:r>
        <w:r>
          <w:rPr>
            <w:rFonts w:cs="Arial" w:ascii="Arial" w:hAnsi="Arial"/>
            <w:sz w:val="16"/>
            <w:szCs w:val="16"/>
            <w:shd w:fill="auto" w:val="clear"/>
          </w:rPr>
          <w:fldChar w:fldCharType="begin"/>
        </w:r>
        <w:r>
          <w:rPr>
            <w:sz w:val="16"/>
            <w:shd w:fill="auto" w:val="clear"/>
            <w:szCs w:val="16"/>
            <w:rFonts w:cs="Arial" w:ascii="Arial" w:hAnsi="Arial"/>
          </w:rPr>
          <w:instrText> NUMPAGES </w:instrText>
        </w:r>
        <w:r>
          <w:rPr>
            <w:sz w:val="16"/>
            <w:shd w:fill="auto" w:val="clear"/>
            <w:szCs w:val="16"/>
            <w:rFonts w:cs="Arial" w:ascii="Arial" w:hAnsi="Arial"/>
          </w:rPr>
          <w:fldChar w:fldCharType="separate"/>
        </w:r>
        <w:r>
          <w:rPr>
            <w:sz w:val="16"/>
            <w:shd w:fill="auto" w:val="clear"/>
            <w:szCs w:val="16"/>
            <w:rFonts w:cs="Arial" w:ascii="Arial" w:hAnsi="Arial"/>
          </w:rPr>
          <w:t>57</w:t>
        </w:r>
        <w:r>
          <w:rPr>
            <w:sz w:val="16"/>
            <w:shd w:fill="auto" w:val="clear"/>
            <w:szCs w:val="16"/>
            <w:rFonts w:cs="Arial" w:ascii="Arial" w:hAnsi="Arial"/>
          </w:rPr>
          <w:fldChar w:fldCharType="end"/>
        </w:r>
      </w:p>
    </w:sdtContent>
  </w:sdt>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taderodap"/>
        <w:rPr>
          <w:sz w:val="16"/>
          <w:szCs w:val="16"/>
        </w:rPr>
      </w:pPr>
      <w:r>
        <w:rPr>
          <w:rStyle w:val="Caracteresdenotaderodap"/>
        </w:rPr>
        <w:footnoteRef/>
      </w:r>
      <w:r>
        <w:rPr>
          <w:sz w:val="16"/>
          <w:szCs w:val="16"/>
        </w:rPr>
        <w:t xml:space="preserve"> </w:t>
      </w:r>
      <w:r>
        <w:rPr>
          <w:b/>
          <w:bCs/>
          <w:sz w:val="16"/>
          <w:szCs w:val="16"/>
        </w:rPr>
        <w:t>Violação de sigilo em licitação</w:t>
      </w:r>
    </w:p>
    <w:p>
      <w:pPr>
        <w:pStyle w:val="Notaderodap"/>
        <w:rPr>
          <w:sz w:val="16"/>
          <w:szCs w:val="16"/>
        </w:rPr>
      </w:pPr>
      <w:r>
        <w:fldChar w:fldCharType="begin"/>
      </w:r>
      <w:r>
        <w:rPr>
          <w:rStyle w:val="LinkdaInternet"/>
          <w:sz w:val="16"/>
          <w:szCs w:val="16"/>
        </w:rPr>
        <w:instrText> HYPERLINK "http://www.planalto.gov.br/ccivil_03/Decreto-Lei/Del2848.htm" \l "art337j"</w:instrText>
      </w:r>
      <w:r>
        <w:rPr>
          <w:rStyle w:val="LinkdaInternet"/>
          <w:sz w:val="16"/>
          <w:szCs w:val="16"/>
        </w:rPr>
        <w:fldChar w:fldCharType="separate"/>
      </w:r>
      <w:r>
        <w:rPr>
          <w:rStyle w:val="LinkdaInternet"/>
          <w:sz w:val="16"/>
          <w:szCs w:val="16"/>
        </w:rPr>
        <w:t>Art. 337-J</w:t>
      </w:r>
      <w:r>
        <w:rPr>
          <w:rStyle w:val="LinkdaInternet"/>
          <w:sz w:val="16"/>
          <w:szCs w:val="16"/>
        </w:rPr>
        <w:fldChar w:fldCharType="end"/>
      </w:r>
      <w:r>
        <w:rPr>
          <w:sz w:val="16"/>
          <w:szCs w:val="16"/>
        </w:rPr>
        <w:t>. Devassar o sigilo de proposta apresentada em processo licitatório ou proporcionar a terceiro o ensejo de devassá-lo:</w:t>
      </w:r>
    </w:p>
    <w:p>
      <w:pPr>
        <w:pStyle w:val="Notaderodap"/>
        <w:rPr/>
      </w:pPr>
      <w:r>
        <w:rPr>
          <w:sz w:val="16"/>
          <w:szCs w:val="16"/>
        </w:rPr>
        <w:t>Pena - detenção, de 2 (dois) anos a 3 (três) anos, e multa.</w:t>
      </w:r>
    </w:p>
  </w:footnote>
  <w:footnote w:id="3">
    <w:p>
      <w:pPr>
        <w:pStyle w:val="Notaderodap"/>
        <w:rPr>
          <w:i/>
          <w:i/>
          <w:sz w:val="16"/>
          <w:szCs w:val="16"/>
        </w:rPr>
      </w:pPr>
      <w:r>
        <w:rPr>
          <w:rStyle w:val="Caracteresdenotaderodap"/>
        </w:rPr>
        <w:footnoteRef/>
      </w:r>
      <w:r>
        <w:rPr>
          <w:sz w:val="16"/>
          <w:szCs w:val="16"/>
        </w:rPr>
        <w:t xml:space="preserve"> </w:t>
      </w:r>
      <w:r>
        <w:rPr>
          <w:b/>
          <w:bCs/>
          <w:i/>
          <w:sz w:val="16"/>
          <w:szCs w:val="16"/>
        </w:rPr>
        <w:t>Contratação inidônea</w:t>
      </w:r>
    </w:p>
    <w:p>
      <w:pPr>
        <w:pStyle w:val="Notaderodap"/>
        <w:rPr>
          <w:i/>
          <w:i/>
          <w:sz w:val="16"/>
          <w:szCs w:val="16"/>
        </w:rPr>
      </w:pPr>
      <w:r>
        <w:rPr>
          <w:i/>
          <w:sz w:val="16"/>
          <w:szCs w:val="16"/>
        </w:rPr>
        <w:t>Art. 337-M. Admitir à licitação empresa ou profissional declarado inidôneo:</w:t>
      </w:r>
    </w:p>
    <w:p>
      <w:pPr>
        <w:pStyle w:val="Notaderodap"/>
        <w:rPr>
          <w:i/>
          <w:i/>
          <w:sz w:val="16"/>
          <w:szCs w:val="16"/>
        </w:rPr>
      </w:pPr>
      <w:r>
        <w:rPr>
          <w:i/>
          <w:sz w:val="16"/>
          <w:szCs w:val="16"/>
        </w:rPr>
        <w:t>Pena - reclusão, de 1 (um) ano a 3 (três) anos, e multa.</w:t>
      </w:r>
    </w:p>
    <w:p>
      <w:pPr>
        <w:pStyle w:val="Notaderodap"/>
        <w:rPr>
          <w:i/>
          <w:i/>
          <w:sz w:val="16"/>
          <w:szCs w:val="16"/>
        </w:rPr>
      </w:pPr>
      <w:r>
        <w:rPr>
          <w:i/>
          <w:sz w:val="16"/>
          <w:szCs w:val="16"/>
        </w:rPr>
        <w:t>§ 1º Celebrar contrato com empresa ou profissional declarado inidôneo:</w:t>
      </w:r>
    </w:p>
    <w:p>
      <w:pPr>
        <w:pStyle w:val="Notaderodap"/>
        <w:rPr>
          <w:i/>
          <w:i/>
          <w:sz w:val="16"/>
          <w:szCs w:val="16"/>
        </w:rPr>
      </w:pPr>
      <w:r>
        <w:rPr>
          <w:i/>
          <w:sz w:val="16"/>
          <w:szCs w:val="16"/>
        </w:rPr>
        <w:t>Pena - reclusão, de 3 (três) anos a 6 (seis) anos, e multa.</w:t>
      </w:r>
    </w:p>
    <w:p>
      <w:pPr>
        <w:pStyle w:val="Notaderodap"/>
        <w:rPr>
          <w:i/>
          <w:i/>
        </w:rPr>
      </w:pPr>
      <w:r>
        <w:rPr>
          <w:i/>
          <w:sz w:val="16"/>
          <w:szCs w:val="16"/>
        </w:rPr>
        <w:t>§ 2º Incide na mesma pena do </w:t>
      </w:r>
      <w:r>
        <w:rPr>
          <w:b/>
          <w:bCs/>
          <w:i/>
          <w:sz w:val="16"/>
          <w:szCs w:val="16"/>
        </w:rPr>
        <w:t>caput</w:t>
      </w:r>
      <w:r>
        <w:rPr>
          <w:i/>
          <w:sz w:val="16"/>
          <w:szCs w:val="16"/>
        </w:rPr>
        <w:t> deste artigo aquele que, declarado inidôneo, venha a participar de licitação e, na mesma pena do § 1º deste artigo, aquele que, declarado inidôneo, venha a contratar com a Administração Pública.</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both"/>
      <w:rPr/>
    </w:pPr>
    <w:r>
      <w:drawing>
        <wp:anchor behindDoc="1" distT="0" distB="0" distL="114935" distR="114935" simplePos="0" locked="0" layoutInCell="0" allowOverlap="1" relativeHeight="58">
          <wp:simplePos x="0" y="0"/>
          <wp:positionH relativeFrom="column">
            <wp:posOffset>0</wp:posOffset>
          </wp:positionH>
          <wp:positionV relativeFrom="paragraph">
            <wp:posOffset>-111125</wp:posOffset>
          </wp:positionV>
          <wp:extent cx="987425" cy="988695"/>
          <wp:effectExtent l="0" t="0" r="0" b="0"/>
          <wp:wrapTopAndBottom/>
          <wp:docPr id="1" name="Figura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0" descr=""/>
                  <pic:cNvPicPr>
                    <a:picLocks noChangeAspect="1" noChangeArrowheads="1"/>
                  </pic:cNvPicPr>
                </pic:nvPicPr>
                <pic:blipFill>
                  <a:blip r:embed="rId1"/>
                  <a:srcRect l="-419" t="-409" r="-419" b="-409"/>
                  <a:stretch>
                    <a:fillRect/>
                  </a:stretch>
                </pic:blipFill>
                <pic:spPr bwMode="auto">
                  <a:xfrm>
                    <a:off x="0" y="0"/>
                    <a:ext cx="987425" cy="988695"/>
                  </a:xfrm>
                  <a:prstGeom prst="rect">
                    <a:avLst/>
                  </a:prstGeom>
                </pic:spPr>
              </pic:pic>
            </a:graphicData>
          </a:graphic>
        </wp:anchor>
      </w:drawing>
    </w:r>
    <w:r>
      <w:rPr>
        <w:rFonts w:eastAsia="Verdana" w:cs="Verdana" w:ascii="Verdana" w:hAnsi="Verdana"/>
        <w:b/>
        <w:sz w:val="20"/>
      </w:rPr>
      <w:t xml:space="preserve">                        </w:t>
    </w:r>
    <w:r>
      <w:rPr>
        <w:rFonts w:cs="Verdana" w:ascii="Verdana" w:hAnsi="Verdana"/>
        <w:b/>
        <w:sz w:val="20"/>
      </w:rPr>
      <w:t>ESTADO DE SANTA CATARINA</w:t>
    </w:r>
  </w:p>
  <w:p>
    <w:pPr>
      <w:pStyle w:val="Cabealho"/>
      <w:jc w:val="both"/>
      <w:rPr/>
    </w:pPr>
    <w:r>
      <w:rPr>
        <w:rFonts w:eastAsia="Verdana" w:cs="Verdana" w:ascii="Verdana" w:hAnsi="Verdana"/>
        <w:b/>
        <w:sz w:val="20"/>
      </w:rPr>
      <w:t xml:space="preserve">                        </w:t>
    </w:r>
    <w:r>
      <w:rPr>
        <w:rFonts w:cs="Verdana" w:ascii="Verdana" w:hAnsi="Verdana"/>
        <w:b/>
        <w:sz w:val="20"/>
      </w:rPr>
      <w:t>MUNICÍPIO DE ITÁ</w:t>
    </w:r>
  </w:p>
  <w:p>
    <w:pPr>
      <w:pStyle w:val="Cabealho"/>
      <w:rPr/>
    </w:pPr>
    <w:r>
      <w:rPr>
        <w:rFonts w:eastAsia="Verdana" w:cs="Verdana" w:ascii="Verdana" w:hAnsi="Verdana"/>
        <w:sz w:val="20"/>
      </w:rPr>
      <w:t xml:space="preserve">                       </w:t>
    </w:r>
    <w:r>
      <w:rPr>
        <w:rFonts w:cs="Verdana" w:ascii="Verdana" w:hAnsi="Verdana"/>
        <w:b/>
        <w:sz w:val="20"/>
      </w:rPr>
      <w:t>Praça Dr. Aldo Ivo Stumpf, 100 - Fone</w:t>
    </w:r>
    <w:r>
      <w:rPr>
        <w:rFonts w:cs="Verdana" w:ascii="Verdana" w:hAnsi="Verdana"/>
        <w:b/>
        <w:sz w:val="20"/>
        <w:lang w:eastAsia="pt-BR"/>
      </w:rPr>
      <w:t xml:space="preserve"> (</w:t>
    </w:r>
    <w:r>
      <w:rPr>
        <w:rFonts w:cs="Verdana" w:ascii="Verdana" w:hAnsi="Verdana"/>
        <w:b/>
        <w:sz w:val="20"/>
      </w:rPr>
      <w:t>49) 3458-9500.</w:t>
    </w:r>
  </w:p>
  <w:p>
    <w:pPr>
      <w:pStyle w:val="Cabealho"/>
      <w:rPr/>
    </w:pPr>
    <w:r>
      <w:rPr>
        <w:rFonts w:eastAsia="Verdana" w:cs="Verdana" w:ascii="Verdana" w:hAnsi="Verdana"/>
        <w:b/>
        <w:sz w:val="20"/>
      </w:rPr>
      <w:t xml:space="preserve">                        </w:t>
    </w:r>
    <w:r>
      <w:rPr>
        <w:rFonts w:cs="Verdana" w:ascii="Verdana" w:hAnsi="Verdana"/>
        <w:b/>
        <w:sz w:val="20"/>
      </w:rPr>
      <w:t>CEP: 89760-000 – ITÁ – Santa Catarina</w:t>
    </w:r>
  </w:p>
  <w:p>
    <w:pPr>
      <w:pStyle w:val="Cabealho"/>
      <w:rPr/>
    </w:pPr>
    <w:r>
      <w:rPr>
        <w:rFonts w:eastAsia="Verdana" w:cs="Verdana" w:ascii="Verdana" w:hAnsi="Verdana"/>
        <w:b/>
        <w:sz w:val="20"/>
      </w:rPr>
      <w:t xml:space="preserve">               </w:t>
    </w:r>
    <w:r>
      <w:rPr>
        <w:rFonts w:cs="Verdana" w:ascii="Verdana" w:hAnsi="Verdana"/>
        <w:b/>
        <w:sz w:val="20"/>
      </w:rPr>
      <w:t xml:space="preserve">E       E-mail: </w:t>
    </w:r>
    <w:hyperlink r:id="rId2">
      <w:r>
        <w:rPr>
          <w:rStyle w:val="LinkdaInternet"/>
          <w:rFonts w:cs="Verdana" w:ascii="Verdana" w:hAnsi="Verdana"/>
          <w:b/>
          <w:sz w:val="20"/>
        </w:rPr>
        <w:t>licitacao@ita.sc.gov.br</w:t>
      </w:r>
    </w:hyperlink>
    <w:r>
      <w:rPr>
        <w:rFonts w:cs="Verdana" w:ascii="Verdana" w:hAnsi="Verdana"/>
        <w:b/>
        <w:sz w:val="20"/>
      </w:rPr>
      <w:t xml:space="preserve"> - site: </w:t>
    </w:r>
    <w:hyperlink r:id="rId3">
      <w:r>
        <w:rPr>
          <w:rStyle w:val="LinkdaInternet"/>
          <w:rFonts w:cs="Verdana" w:ascii="Verdana" w:hAnsi="Verdana"/>
          <w:b/>
          <w:sz w:val="20"/>
        </w:rPr>
        <w:t>ita.atende.net</w:t>
      </w:r>
    </w:hyperlink>
  </w:p>
  <w:p>
    <w:pPr>
      <w:pStyle w:val="Cabealho"/>
      <w:widowControl w:val="false"/>
      <w:jc w:val="both"/>
      <w:rPr>
        <w:rFonts w:ascii="Times New Roman" w:hAnsi="Times New Roman" w:eastAsia="Times New Roman" w:cs="Times New Roman"/>
        <w:sz w:val="20"/>
        <w:szCs w:val="20"/>
        <w:lang w:eastAsia="pt-BR"/>
      </w:rPr>
    </w:pPr>
    <w:r>
      <w:rPr>
        <w:rFonts w:eastAsia="Times New Roman" w:cs="Times New Roman" w:ascii="Times New Roman" w:hAnsi="Times New Roman"/>
        <w:sz w:val="20"/>
        <w:szCs w:val="20"/>
        <w:lang w:eastAsia="pt-BR"/>
      </w:rPr>
      <mc:AlternateContent>
        <mc:Choice Requires="wps">
          <w:drawing>
            <wp:anchor behindDoc="1" distT="28575" distB="28575" distL="28575" distR="28575" simplePos="0" locked="0" layoutInCell="0" allowOverlap="1" relativeHeight="115">
              <wp:simplePos x="0" y="0"/>
              <wp:positionH relativeFrom="column">
                <wp:posOffset>593725</wp:posOffset>
              </wp:positionH>
              <wp:positionV relativeFrom="paragraph">
                <wp:posOffset>203200</wp:posOffset>
              </wp:positionV>
              <wp:extent cx="4798060" cy="19685"/>
              <wp:effectExtent l="0" t="0" r="0" b="0"/>
              <wp:wrapNone/>
              <wp:docPr id="2" name="Figura1"/>
              <a:graphic xmlns:a="http://schemas.openxmlformats.org/drawingml/2006/main">
                <a:graphicData uri="http://schemas.microsoft.com/office/word/2010/wordprocessingShape">
                  <wps:wsp>
                    <wps:cNvSpPr/>
                    <wps:spPr>
                      <a:xfrm flipV="1">
                        <a:off x="0" y="0"/>
                        <a:ext cx="4797360" cy="3240"/>
                      </a:xfrm>
                      <a:prstGeom prst="line">
                        <a:avLst/>
                      </a:prstGeom>
                      <a:ln w="57240">
                        <a:solidFill>
                          <a:srgbClr val="000000"/>
                        </a:solidFill>
                        <a:miter/>
                      </a:ln>
                    </wps:spPr>
                    <wps:style>
                      <a:lnRef idx="0"/>
                      <a:fillRef idx="0"/>
                      <a:effectRef idx="0"/>
                      <a:fontRef idx="minor"/>
                    </wps:style>
                    <wps:bodyPr/>
                  </wps:wsp>
                </a:graphicData>
              </a:graphic>
            </wp:anchor>
          </w:drawing>
        </mc:Choice>
        <mc:Fallback>
          <w:pict>
            <v:line id="shape_0" from="46.75pt,16pt" to="424.45pt,16.2pt" ID="Figura1" stroked="t" style="position:absolute;flip:y">
              <v:stroke color="black" weight="57240" joinstyle="miter" endcap="flat"/>
              <v:fill o:detectmouseclick="t" on="false"/>
              <w10:wrap type="none"/>
            </v:line>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b/>
        <w:rFonts w:ascii="Times New Roman" w:hAnsi="Times New Roman" w:eastAsia="Calibri"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upperRoman"/>
      <w:lvlText w:val="%1 - "/>
      <w:lvlJc w:val="left"/>
      <w:pPr>
        <w:tabs>
          <w:tab w:val="num" w:pos="0"/>
        </w:tabs>
        <w:ind w:left="720" w:hanging="360"/>
      </w:pPr>
      <w:rPr>
        <w:b/>
      </w:rPr>
    </w:lvl>
    <w:lvl w:ilvl="1">
      <w:start w:val="1"/>
      <w:numFmt w:val="lowerRoman"/>
      <w:lvlText w:val="%2)"/>
      <w:lvlJc w:val="righ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rPr>
        <w:b/>
      </w:rPr>
    </w:lvl>
    <w:lvl w:ilvl="2">
      <w:start w:val="1"/>
      <w:numFmt w:val="lowerLetter"/>
      <w:lvlText w:val="%3)"/>
      <w:lvlJc w:val="lef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lowerLetter"/>
      <w:lvlText w:val="%1)"/>
      <w:lvlJc w:val="left"/>
      <w:pPr>
        <w:tabs>
          <w:tab w:val="num" w:pos="0"/>
        </w:tabs>
        <w:ind w:left="720" w:hanging="360"/>
      </w:pPr>
    </w:lvl>
    <w:lvl w:ilvl="1">
      <w:start w:val="1"/>
      <w:numFmt w:val="upperRoman"/>
      <w:lvlText w:val="%2 - "/>
      <w:lvlJc w:val="left"/>
      <w:pPr>
        <w:tabs>
          <w:tab w:val="num" w:pos="0"/>
        </w:tabs>
        <w:ind w:left="1440" w:hanging="360"/>
      </w:pPr>
      <w:rPr>
        <w:b/>
      </w:rPr>
    </w:lvl>
    <w:lvl w:ilvl="2">
      <w:start w:val="1"/>
      <w:numFmt w:val="lowerLetter"/>
      <w:lvlText w:val="%3)"/>
      <w:lvlJc w:val="lef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upperRoman"/>
      <w:lvlText w:val="%1 - "/>
      <w:lvlJc w:val="left"/>
      <w:pPr>
        <w:tabs>
          <w:tab w:val="num" w:pos="0"/>
        </w:tabs>
        <w:ind w:left="2340" w:hanging="360"/>
      </w:pPr>
      <w:rPr>
        <w:b/>
      </w:rPr>
    </w:lvl>
    <w:lvl w:ilvl="1">
      <w:start w:val="1"/>
      <w:numFmt w:val="lowerLetter"/>
      <w:lvlText w:val="%2."/>
      <w:lvlJc w:val="left"/>
      <w:pPr>
        <w:tabs>
          <w:tab w:val="num" w:pos="0"/>
        </w:tabs>
        <w:ind w:left="3060" w:hanging="360"/>
      </w:pPr>
    </w:lvl>
    <w:lvl w:ilvl="2">
      <w:start w:val="1"/>
      <w:numFmt w:val="lowerRoman"/>
      <w:lvlText w:val="%3."/>
      <w:lvlJc w:val="right"/>
      <w:pPr>
        <w:tabs>
          <w:tab w:val="num" w:pos="0"/>
        </w:tabs>
        <w:ind w:left="3780" w:hanging="180"/>
      </w:pPr>
    </w:lvl>
    <w:lvl w:ilvl="3">
      <w:start w:val="1"/>
      <w:numFmt w:val="decimal"/>
      <w:lvlText w:val="%4."/>
      <w:lvlJc w:val="left"/>
      <w:pPr>
        <w:tabs>
          <w:tab w:val="num" w:pos="0"/>
        </w:tabs>
        <w:ind w:left="4500" w:hanging="360"/>
      </w:pPr>
    </w:lvl>
    <w:lvl w:ilvl="4">
      <w:start w:val="1"/>
      <w:numFmt w:val="lowerLetter"/>
      <w:lvlText w:val="%5."/>
      <w:lvlJc w:val="left"/>
      <w:pPr>
        <w:tabs>
          <w:tab w:val="num" w:pos="0"/>
        </w:tabs>
        <w:ind w:left="5220" w:hanging="360"/>
      </w:pPr>
    </w:lvl>
    <w:lvl w:ilvl="5">
      <w:start w:val="1"/>
      <w:numFmt w:val="lowerRoman"/>
      <w:lvlText w:val="%6."/>
      <w:lvlJc w:val="right"/>
      <w:pPr>
        <w:tabs>
          <w:tab w:val="num" w:pos="0"/>
        </w:tabs>
        <w:ind w:left="5940" w:hanging="180"/>
      </w:pPr>
    </w:lvl>
    <w:lvl w:ilvl="6">
      <w:start w:val="1"/>
      <w:numFmt w:val="decimal"/>
      <w:lvlText w:val="%7."/>
      <w:lvlJc w:val="left"/>
      <w:pPr>
        <w:tabs>
          <w:tab w:val="num" w:pos="0"/>
        </w:tabs>
        <w:ind w:left="6660" w:hanging="360"/>
      </w:pPr>
    </w:lvl>
    <w:lvl w:ilvl="7">
      <w:start w:val="1"/>
      <w:numFmt w:val="lowerLetter"/>
      <w:lvlText w:val="%8."/>
      <w:lvlJc w:val="left"/>
      <w:pPr>
        <w:tabs>
          <w:tab w:val="num" w:pos="0"/>
        </w:tabs>
        <w:ind w:left="7380" w:hanging="360"/>
      </w:pPr>
    </w:lvl>
    <w:lvl w:ilvl="8">
      <w:start w:val="1"/>
      <w:numFmt w:val="lowerRoman"/>
      <w:lvlText w:val="%9."/>
      <w:lvlJc w:val="right"/>
      <w:pPr>
        <w:tabs>
          <w:tab w:val="num" w:pos="0"/>
        </w:tabs>
        <w:ind w:left="8100" w:hanging="180"/>
      </w:pPr>
    </w:lvl>
  </w:abstractNum>
  <w:abstractNum w:abstractNumId="8">
    <w:lvl w:ilvl="0">
      <w:start w:val="1"/>
      <w:numFmt w:val="upperRoman"/>
      <w:lvlText w:val="%1 - "/>
      <w:lvlJc w:val="left"/>
      <w:pPr>
        <w:tabs>
          <w:tab w:val="num" w:pos="0"/>
        </w:tabs>
        <w:ind w:left="2340" w:hanging="360"/>
      </w:pPr>
      <w:rPr>
        <w:b/>
      </w:rPr>
    </w:lvl>
    <w:lvl w:ilvl="1">
      <w:start w:val="1"/>
      <w:numFmt w:val="lowerLetter"/>
      <w:lvlText w:val="%2."/>
      <w:lvlJc w:val="left"/>
      <w:pPr>
        <w:tabs>
          <w:tab w:val="num" w:pos="0"/>
        </w:tabs>
        <w:ind w:left="3060" w:hanging="360"/>
      </w:pPr>
    </w:lvl>
    <w:lvl w:ilvl="2">
      <w:start w:val="1"/>
      <w:numFmt w:val="lowerRoman"/>
      <w:lvlText w:val="%3."/>
      <w:lvlJc w:val="right"/>
      <w:pPr>
        <w:tabs>
          <w:tab w:val="num" w:pos="0"/>
        </w:tabs>
        <w:ind w:left="3780" w:hanging="180"/>
      </w:pPr>
    </w:lvl>
    <w:lvl w:ilvl="3">
      <w:start w:val="1"/>
      <w:numFmt w:val="decimal"/>
      <w:lvlText w:val="%4."/>
      <w:lvlJc w:val="left"/>
      <w:pPr>
        <w:tabs>
          <w:tab w:val="num" w:pos="0"/>
        </w:tabs>
        <w:ind w:left="4500" w:hanging="360"/>
      </w:pPr>
    </w:lvl>
    <w:lvl w:ilvl="4">
      <w:start w:val="1"/>
      <w:numFmt w:val="lowerLetter"/>
      <w:lvlText w:val="%5."/>
      <w:lvlJc w:val="left"/>
      <w:pPr>
        <w:tabs>
          <w:tab w:val="num" w:pos="0"/>
        </w:tabs>
        <w:ind w:left="5220" w:hanging="360"/>
      </w:pPr>
    </w:lvl>
    <w:lvl w:ilvl="5">
      <w:start w:val="1"/>
      <w:numFmt w:val="lowerRoman"/>
      <w:lvlText w:val="%6."/>
      <w:lvlJc w:val="right"/>
      <w:pPr>
        <w:tabs>
          <w:tab w:val="num" w:pos="0"/>
        </w:tabs>
        <w:ind w:left="5940" w:hanging="180"/>
      </w:pPr>
    </w:lvl>
    <w:lvl w:ilvl="6">
      <w:start w:val="1"/>
      <w:numFmt w:val="decimal"/>
      <w:lvlText w:val="%7."/>
      <w:lvlJc w:val="left"/>
      <w:pPr>
        <w:tabs>
          <w:tab w:val="num" w:pos="0"/>
        </w:tabs>
        <w:ind w:left="6660" w:hanging="360"/>
      </w:pPr>
    </w:lvl>
    <w:lvl w:ilvl="7">
      <w:start w:val="1"/>
      <w:numFmt w:val="lowerLetter"/>
      <w:lvlText w:val="%8."/>
      <w:lvlJc w:val="left"/>
      <w:pPr>
        <w:tabs>
          <w:tab w:val="num" w:pos="0"/>
        </w:tabs>
        <w:ind w:left="7380" w:hanging="360"/>
      </w:pPr>
    </w:lvl>
    <w:lvl w:ilvl="8">
      <w:start w:val="1"/>
      <w:numFmt w:val="lowerRoman"/>
      <w:lvlText w:val="%9."/>
      <w:lvlJc w:val="right"/>
      <w:pPr>
        <w:tabs>
          <w:tab w:val="num" w:pos="0"/>
        </w:tabs>
        <w:ind w:left="8100" w:hanging="180"/>
      </w:p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lvl w:ilvl="0">
      <w:start w:val="1"/>
      <w:numFmt w:val="lowerLetter"/>
      <w:lvlText w:val="%1)"/>
      <w:lvlJc w:val="left"/>
      <w:pPr>
        <w:tabs>
          <w:tab w:val="num" w:pos="0"/>
        </w:tabs>
        <w:ind w:left="1500" w:hanging="360"/>
      </w:pPr>
      <w:rPr>
        <w:b/>
      </w:rPr>
    </w:lvl>
    <w:lvl w:ilvl="1">
      <w:start w:val="1"/>
      <w:numFmt w:val="upperRoman"/>
      <w:lvlText w:val="%2."/>
      <w:lvlJc w:val="left"/>
      <w:pPr>
        <w:tabs>
          <w:tab w:val="num" w:pos="0"/>
        </w:tabs>
        <w:ind w:left="2580" w:hanging="720"/>
      </w:pPr>
    </w:lvl>
    <w:lvl w:ilvl="2">
      <w:start w:val="1"/>
      <w:numFmt w:val="lowerRoman"/>
      <w:lvlText w:val="%3."/>
      <w:lvlJc w:val="right"/>
      <w:pPr>
        <w:tabs>
          <w:tab w:val="num" w:pos="0"/>
        </w:tabs>
        <w:ind w:left="2940" w:hanging="180"/>
      </w:pPr>
    </w:lvl>
    <w:lvl w:ilvl="3">
      <w:start w:val="1"/>
      <w:numFmt w:val="decimal"/>
      <w:lvlText w:val="%4."/>
      <w:lvlJc w:val="left"/>
      <w:pPr>
        <w:tabs>
          <w:tab w:val="num" w:pos="0"/>
        </w:tabs>
        <w:ind w:left="3660" w:hanging="360"/>
      </w:pPr>
    </w:lvl>
    <w:lvl w:ilvl="4">
      <w:start w:val="1"/>
      <w:numFmt w:val="lowerLetter"/>
      <w:lvlText w:val="%5."/>
      <w:lvlJc w:val="left"/>
      <w:pPr>
        <w:tabs>
          <w:tab w:val="num" w:pos="0"/>
        </w:tabs>
        <w:ind w:left="4380" w:hanging="360"/>
      </w:pPr>
    </w:lvl>
    <w:lvl w:ilvl="5">
      <w:start w:val="1"/>
      <w:numFmt w:val="lowerRoman"/>
      <w:lvlText w:val="%6."/>
      <w:lvlJc w:val="right"/>
      <w:pPr>
        <w:tabs>
          <w:tab w:val="num" w:pos="0"/>
        </w:tabs>
        <w:ind w:left="5100" w:hanging="180"/>
      </w:pPr>
    </w:lvl>
    <w:lvl w:ilvl="6">
      <w:start w:val="1"/>
      <w:numFmt w:val="decimal"/>
      <w:lvlText w:val="%7."/>
      <w:lvlJc w:val="left"/>
      <w:pPr>
        <w:tabs>
          <w:tab w:val="num" w:pos="0"/>
        </w:tabs>
        <w:ind w:left="5820" w:hanging="360"/>
      </w:pPr>
    </w:lvl>
    <w:lvl w:ilvl="7">
      <w:start w:val="1"/>
      <w:numFmt w:val="lowerLetter"/>
      <w:lvlText w:val="%8."/>
      <w:lvlJc w:val="left"/>
      <w:pPr>
        <w:tabs>
          <w:tab w:val="num" w:pos="0"/>
        </w:tabs>
        <w:ind w:left="6540" w:hanging="360"/>
      </w:pPr>
    </w:lvl>
    <w:lvl w:ilvl="8">
      <w:start w:val="1"/>
      <w:numFmt w:val="lowerRoman"/>
      <w:lvlText w:val="%9."/>
      <w:lvlJc w:val="right"/>
      <w:pPr>
        <w:tabs>
          <w:tab w:val="num" w:pos="0"/>
        </w:tabs>
        <w:ind w:left="7260" w:hanging="180"/>
      </w:pPr>
    </w:lvl>
  </w:abstractNum>
  <w:abstractNum w:abstractNumId="12">
    <w:lvl w:ilvl="0">
      <w:start w:val="1"/>
      <w:numFmt w:val="upperRoman"/>
      <w:lvlText w:val="%1 - "/>
      <w:lvlJc w:val="left"/>
      <w:pPr>
        <w:tabs>
          <w:tab w:val="num" w:pos="0"/>
        </w:tabs>
        <w:ind w:left="720" w:hanging="360"/>
      </w:pPr>
      <w:rPr>
        <w:b/>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lvl w:ilvl="0">
      <w:start w:val="1"/>
      <w:numFmt w:val="lowerRoman"/>
      <w:lvlText w:val="%1)"/>
      <w:lvlJc w:val="left"/>
      <w:pPr>
        <w:tabs>
          <w:tab w:val="num" w:pos="0"/>
        </w:tabs>
        <w:ind w:left="2160" w:hanging="360"/>
      </w:pPr>
      <w:rPr>
        <w:b/>
      </w:rPr>
    </w:lvl>
    <w:lvl w:ilvl="1">
      <w:start w:val="1"/>
      <w:numFmt w:val="lowerLetter"/>
      <w:lvlText w:val="%2."/>
      <w:lvlJc w:val="left"/>
      <w:pPr>
        <w:tabs>
          <w:tab w:val="num" w:pos="0"/>
        </w:tabs>
        <w:ind w:left="2880" w:hanging="360"/>
      </w:pPr>
      <w:rPr>
        <w:b/>
      </w:rPr>
    </w:lvl>
    <w:lvl w:ilvl="2">
      <w:start w:val="1"/>
      <w:numFmt w:val="lowerRoman"/>
      <w:lvlText w:val="%3."/>
      <w:lvlJc w:val="right"/>
      <w:pPr>
        <w:tabs>
          <w:tab w:val="num" w:pos="0"/>
        </w:tabs>
        <w:ind w:left="3600" w:hanging="180"/>
      </w:pPr>
    </w:lvl>
    <w:lvl w:ilvl="3">
      <w:start w:val="1"/>
      <w:numFmt w:val="decimal"/>
      <w:lvlText w:val="%4."/>
      <w:lvlJc w:val="left"/>
      <w:pPr>
        <w:tabs>
          <w:tab w:val="num" w:pos="0"/>
        </w:tabs>
        <w:ind w:left="4320" w:hanging="360"/>
      </w:pPr>
    </w:lvl>
    <w:lvl w:ilvl="4">
      <w:start w:val="1"/>
      <w:numFmt w:val="lowerLetter"/>
      <w:lvlText w:val="%5."/>
      <w:lvlJc w:val="left"/>
      <w:pPr>
        <w:tabs>
          <w:tab w:val="num" w:pos="0"/>
        </w:tabs>
        <w:ind w:left="5040" w:hanging="360"/>
      </w:pPr>
    </w:lvl>
    <w:lvl w:ilvl="5">
      <w:start w:val="1"/>
      <w:numFmt w:val="lowerRoman"/>
      <w:lvlText w:val="%6."/>
      <w:lvlJc w:val="right"/>
      <w:pPr>
        <w:tabs>
          <w:tab w:val="num" w:pos="0"/>
        </w:tabs>
        <w:ind w:left="5760" w:hanging="180"/>
      </w:pPr>
    </w:lvl>
    <w:lvl w:ilvl="6">
      <w:start w:val="1"/>
      <w:numFmt w:val="decimal"/>
      <w:lvlText w:val="%7."/>
      <w:lvlJc w:val="left"/>
      <w:pPr>
        <w:tabs>
          <w:tab w:val="num" w:pos="0"/>
        </w:tabs>
        <w:ind w:left="6480" w:hanging="360"/>
      </w:pPr>
    </w:lvl>
    <w:lvl w:ilvl="7">
      <w:start w:val="1"/>
      <w:numFmt w:val="lowerLetter"/>
      <w:lvlText w:val="%8."/>
      <w:lvlJc w:val="left"/>
      <w:pPr>
        <w:tabs>
          <w:tab w:val="num" w:pos="0"/>
        </w:tabs>
        <w:ind w:left="7200" w:hanging="360"/>
      </w:pPr>
    </w:lvl>
    <w:lvl w:ilvl="8">
      <w:start w:val="1"/>
      <w:numFmt w:val="lowerRoman"/>
      <w:lvlText w:val="%9."/>
      <w:lvlJc w:val="right"/>
      <w:pPr>
        <w:tabs>
          <w:tab w:val="num" w:pos="0"/>
        </w:tabs>
        <w:ind w:left="7920" w:hanging="180"/>
      </w:pPr>
    </w:lvl>
  </w:abstractNum>
  <w:abstractNum w:abstractNumId="18">
    <w:lvl w:ilvl="0">
      <w:start w:val="1"/>
      <w:numFmt w:val="lowerLetter"/>
      <w:lvlText w:val="%1)"/>
      <w:lvlJc w:val="left"/>
      <w:pPr>
        <w:tabs>
          <w:tab w:val="num" w:pos="0"/>
        </w:tabs>
        <w:ind w:left="1440" w:hanging="360"/>
      </w:pPr>
      <w:rPr>
        <w:b/>
      </w:rPr>
    </w:lvl>
    <w:lvl w:ilvl="1">
      <w:start w:val="1"/>
      <w:numFmt w:val="lowerRoman"/>
      <w:lvlText w:val="%2)"/>
      <w:lvlJc w:val="righ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9">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lvl w:ilvl="0">
      <w:start w:val="1"/>
      <w:numFmt w:val="upperRoman"/>
      <w:lvlText w:val="%1 - "/>
      <w:lvlJc w:val="left"/>
      <w:pPr>
        <w:tabs>
          <w:tab w:val="num" w:pos="0"/>
        </w:tabs>
        <w:ind w:left="720" w:hanging="360"/>
      </w:pPr>
      <w:rPr>
        <w:b/>
        <w:rFonts w:ascii="Arial" w:hAnsi="Arial"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lvl w:ilvl="0">
      <w:start w:val="1"/>
      <w:numFmt w:val="lowerLetter"/>
      <w:lvlText w:val="%1)"/>
      <w:lvlJc w:val="left"/>
      <w:pPr>
        <w:tabs>
          <w:tab w:val="num" w:pos="0"/>
        </w:tabs>
        <w:ind w:left="720" w:hanging="360"/>
      </w:pPr>
      <w:rPr>
        <w:b/>
      </w:rPr>
    </w:lvl>
    <w:lvl w:ilvl="1">
      <w:start w:val="1"/>
      <w:numFmt w:val="lowerRoman"/>
      <w:lvlText w:val="%2)"/>
      <w:lvlJc w:val="righ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lvl w:ilvl="0">
      <w:start w:val="1"/>
      <w:numFmt w:val="lowerLetter"/>
      <w:lvlText w:val="%1)"/>
      <w:lvlJc w:val="left"/>
      <w:pPr>
        <w:tabs>
          <w:tab w:val="num" w:pos="0"/>
        </w:tabs>
        <w:ind w:left="720" w:hanging="360"/>
      </w:pPr>
      <w:rPr>
        <w:b/>
      </w:rPr>
    </w:lvl>
    <w:lvl w:ilvl="1">
      <w:start w:val="1"/>
      <w:numFmt w:val="lowerRoman"/>
      <w:lvlText w:val="%2)"/>
      <w:lvlJc w:val="righ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lvl w:ilvl="0">
      <w:start w:val="1"/>
      <w:numFmt w:val="upperRoman"/>
      <w:lvlText w:val="%1 - "/>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lvl w:ilvl="0">
      <w:start w:val="1"/>
      <w:numFmt w:val="upperRoman"/>
      <w:lvlText w:val="%1 - "/>
      <w:lvlJc w:val="left"/>
      <w:pPr>
        <w:tabs>
          <w:tab w:val="num" w:pos="0"/>
        </w:tabs>
        <w:ind w:left="720" w:hanging="360"/>
      </w:p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lvl w:ilvl="0">
      <w:start w:val="1"/>
      <w:numFmt w:val="lowerLetter"/>
      <w:lvlText w:val="%1)"/>
      <w:lvlJc w:val="left"/>
      <w:pPr>
        <w:tabs>
          <w:tab w:val="num" w:pos="0"/>
        </w:tabs>
        <w:ind w:left="720" w:hanging="360"/>
      </w:pPr>
      <w:rPr>
        <w:b/>
      </w:rPr>
    </w:lvl>
    <w:lvl w:ilvl="1">
      <w:start w:val="1"/>
      <w:numFmt w:val="lowerRoman"/>
      <w:lvlText w:val="%2)"/>
      <w:lvlJc w:val="righ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w="http://schemas.openxmlformats.org/wordprocessingml/2006/main">
  <w:zoom w:percent="100"/>
  <w:defaultTabStop w:val="720"/>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62a03"/>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5e04f6"/>
    <w:rPr/>
  </w:style>
  <w:style w:type="character" w:styleId="RodapChar" w:customStyle="1">
    <w:name w:val="Rodapé Char"/>
    <w:basedOn w:val="DefaultParagraphFont"/>
    <w:link w:val="Rodap"/>
    <w:uiPriority w:val="99"/>
    <w:qFormat/>
    <w:rsid w:val="005e04f6"/>
    <w:rPr/>
  </w:style>
  <w:style w:type="character" w:styleId="Annotationreference">
    <w:name w:val="annotation reference"/>
    <w:basedOn w:val="DefaultParagraphFont"/>
    <w:uiPriority w:val="99"/>
    <w:semiHidden/>
    <w:unhideWhenUsed/>
    <w:qFormat/>
    <w:rsid w:val="002f1faf"/>
    <w:rPr>
      <w:sz w:val="16"/>
      <w:szCs w:val="16"/>
    </w:rPr>
  </w:style>
  <w:style w:type="character" w:styleId="TextodecomentrioChar" w:customStyle="1">
    <w:name w:val="Texto de comentário Char"/>
    <w:basedOn w:val="DefaultParagraphFont"/>
    <w:link w:val="Textodecomentrio"/>
    <w:uiPriority w:val="99"/>
    <w:semiHidden/>
    <w:qFormat/>
    <w:rsid w:val="002f1faf"/>
    <w:rPr>
      <w:sz w:val="20"/>
      <w:szCs w:val="20"/>
    </w:rPr>
  </w:style>
  <w:style w:type="character" w:styleId="AssuntodocomentrioChar" w:customStyle="1">
    <w:name w:val="Assunto do comentário Char"/>
    <w:basedOn w:val="TextodecomentrioChar"/>
    <w:link w:val="Assuntodocomentrio"/>
    <w:uiPriority w:val="99"/>
    <w:semiHidden/>
    <w:qFormat/>
    <w:rsid w:val="002f1faf"/>
    <w:rPr>
      <w:b/>
      <w:bCs/>
      <w:sz w:val="20"/>
      <w:szCs w:val="20"/>
    </w:rPr>
  </w:style>
  <w:style w:type="character" w:styleId="TextodebaloChar" w:customStyle="1">
    <w:name w:val="Texto de balão Char"/>
    <w:basedOn w:val="DefaultParagraphFont"/>
    <w:link w:val="Textodebalo"/>
    <w:uiPriority w:val="99"/>
    <w:semiHidden/>
    <w:qFormat/>
    <w:rsid w:val="002f1faf"/>
    <w:rPr>
      <w:rFonts w:ascii="Segoe UI" w:hAnsi="Segoe UI" w:cs="Segoe UI"/>
      <w:sz w:val="18"/>
      <w:szCs w:val="18"/>
    </w:rPr>
  </w:style>
  <w:style w:type="character" w:styleId="LinkdaInternet" w:customStyle="1">
    <w:name w:val="Link da Internet"/>
    <w:basedOn w:val="DefaultParagraphFont"/>
    <w:uiPriority w:val="99"/>
    <w:unhideWhenUsed/>
    <w:rsid w:val="00de2d52"/>
    <w:rPr>
      <w:color w:val="0563C1" w:themeColor="hyperlink"/>
      <w:u w:val="single"/>
    </w:rPr>
  </w:style>
  <w:style w:type="character" w:styleId="TextodenotaderodapChar" w:customStyle="1">
    <w:name w:val="Texto de nota de rodapé Char"/>
    <w:basedOn w:val="DefaultParagraphFont"/>
    <w:link w:val="Textodenotaderodap"/>
    <w:uiPriority w:val="99"/>
    <w:semiHidden/>
    <w:qFormat/>
    <w:rsid w:val="00b939c1"/>
    <w:rPr>
      <w:rFonts w:ascii="Times New Roman" w:hAnsi="Times New Roman" w:eastAsia="Times New Roman" w:cs="Times New Roman"/>
      <w:sz w:val="20"/>
      <w:szCs w:val="20"/>
      <w:lang w:eastAsia="pt-BR"/>
    </w:rPr>
  </w:style>
  <w:style w:type="character" w:styleId="Ncoradanotaderodap" w:customStyle="1">
    <w:name w:val="Âncora da nota de rodapé"/>
    <w:rPr>
      <w:vertAlign w:val="superscript"/>
    </w:rPr>
  </w:style>
  <w:style w:type="character" w:styleId="FootnoteCharacters" w:customStyle="1">
    <w:name w:val="Footnote Characters"/>
    <w:basedOn w:val="DefaultParagraphFont"/>
    <w:uiPriority w:val="99"/>
    <w:semiHidden/>
    <w:unhideWhenUsed/>
    <w:qFormat/>
    <w:rsid w:val="00b939c1"/>
    <w:rPr>
      <w:vertAlign w:val="superscript"/>
    </w:rPr>
  </w:style>
  <w:style w:type="character" w:styleId="Caracteresdenotaderodap" w:customStyle="1">
    <w:name w:val="Caracteres de nota de rodapé"/>
    <w:qFormat/>
    <w:rPr/>
  </w:style>
  <w:style w:type="character" w:styleId="Markedcontent" w:customStyle="1">
    <w:name w:val="markedcontent"/>
    <w:qFormat/>
    <w:rPr/>
  </w:style>
  <w:style w:type="character" w:styleId="Ncoradanotadefim" w:customStyle="1">
    <w:name w:val="Âncora da nota de fim"/>
    <w:rPr>
      <w:vertAlign w:val="superscript"/>
    </w:rPr>
  </w:style>
  <w:style w:type="character" w:styleId="Caracteresdenotadefim" w:customStyle="1">
    <w:name w:val="Caracteres de nota de fim"/>
    <w:qFormat/>
    <w:rPr/>
  </w:style>
  <w:style w:type="character" w:styleId="Hgkelc" w:customStyle="1">
    <w:name w:val="hgkelc"/>
    <w:qFormat/>
    <w:rPr/>
  </w:style>
  <w:style w:type="character" w:styleId="WW8Num20z0" w:customStyle="1">
    <w:name w:val="WW8Num20z0"/>
    <w:qFormat/>
    <w:rPr>
      <w:rFonts w:cs="Arial"/>
      <w:b/>
    </w:rPr>
  </w:style>
  <w:style w:type="character" w:styleId="WW8Num20z1" w:customStyle="1">
    <w:name w:val="WW8Num20z1"/>
    <w:qFormat/>
    <w:rPr>
      <w:b/>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Smbolosdenumerao" w:customStyle="1">
    <w:name w:val="Símbolos de numeração"/>
    <w:qFormat/>
    <w:rPr/>
  </w:style>
  <w:style w:type="character" w:styleId="WW8Num5z0" w:customStyle="1">
    <w:name w:val="WW8Num5z0"/>
    <w:qFormat/>
    <w:rPr>
      <w:rFonts w:ascii="Arial" w:hAnsi="Arial" w:eastAsia="Times New Roman" w:cs="Arial"/>
      <w:lang w:eastAsia="pt-BR"/>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qFormat/>
    <w:pPr>
      <w:spacing w:lineRule="auto" w:line="240"/>
      <w:ind w:left="708" w:hanging="0"/>
    </w:pPr>
    <w:rPr>
      <w:rFonts w:ascii="Times New Roman" w:hAnsi="Times New Roman" w:eastAsia="Times New Roman" w:cs="Times New Roman"/>
      <w:sz w:val="20"/>
      <w:szCs w:val="20"/>
    </w:rPr>
  </w:style>
  <w:style w:type="paragraph" w:styleId="CabealhoeRodap" w:customStyle="1">
    <w:name w:val="Cabeçalho e Rodapé"/>
    <w:basedOn w:val="Normal"/>
    <w:qFormat/>
    <w:pPr/>
    <w:rPr/>
  </w:style>
  <w:style w:type="paragraph" w:styleId="Cabealho">
    <w:name w:val="Header"/>
    <w:basedOn w:val="Normal"/>
    <w:link w:val="CabealhoChar"/>
    <w:uiPriority w:val="99"/>
    <w:unhideWhenUsed/>
    <w:rsid w:val="005e04f6"/>
    <w:pPr>
      <w:tabs>
        <w:tab w:val="clear" w:pos="720"/>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5e04f6"/>
    <w:pPr>
      <w:tabs>
        <w:tab w:val="clear" w:pos="720"/>
        <w:tab w:val="center" w:pos="4252" w:leader="none"/>
        <w:tab w:val="right" w:pos="8504" w:leader="none"/>
      </w:tabs>
      <w:spacing w:lineRule="auto" w:line="240" w:before="0" w:after="0"/>
    </w:pPr>
    <w:rPr/>
  </w:style>
  <w:style w:type="paragraph" w:styleId="Annotationtext">
    <w:name w:val="annotation text"/>
    <w:basedOn w:val="Normal"/>
    <w:link w:val="TextodecomentrioChar"/>
    <w:uiPriority w:val="99"/>
    <w:semiHidden/>
    <w:unhideWhenUsed/>
    <w:qFormat/>
    <w:rsid w:val="002f1faf"/>
    <w:pPr>
      <w:spacing w:lineRule="auto" w:line="240"/>
    </w:pPr>
    <w:rPr>
      <w:sz w:val="20"/>
      <w:szCs w:val="20"/>
    </w:rPr>
  </w:style>
  <w:style w:type="paragraph" w:styleId="Annotationsubject">
    <w:name w:val="annotation subject"/>
    <w:basedOn w:val="Annotationtext"/>
    <w:next w:val="Annotationtext"/>
    <w:link w:val="AssuntodocomentrioChar"/>
    <w:uiPriority w:val="99"/>
    <w:semiHidden/>
    <w:unhideWhenUsed/>
    <w:qFormat/>
    <w:rsid w:val="002f1faf"/>
    <w:pPr/>
    <w:rPr>
      <w:b/>
      <w:bCs/>
    </w:rPr>
  </w:style>
  <w:style w:type="paragraph" w:styleId="BalloonText">
    <w:name w:val="Balloon Text"/>
    <w:basedOn w:val="Normal"/>
    <w:link w:val="TextodebaloChar"/>
    <w:uiPriority w:val="99"/>
    <w:semiHidden/>
    <w:unhideWhenUsed/>
    <w:qFormat/>
    <w:rsid w:val="002f1faf"/>
    <w:pPr>
      <w:spacing w:lineRule="auto" w:line="240" w:before="0" w:after="0"/>
    </w:pPr>
    <w:rPr>
      <w:rFonts w:ascii="Segoe UI" w:hAnsi="Segoe UI" w:cs="Segoe UI"/>
      <w:sz w:val="18"/>
      <w:szCs w:val="18"/>
    </w:rPr>
  </w:style>
  <w:style w:type="paragraph" w:styleId="NormalWeb">
    <w:name w:val="Normal (Web)"/>
    <w:basedOn w:val="Normal"/>
    <w:uiPriority w:val="99"/>
    <w:unhideWhenUsed/>
    <w:qFormat/>
    <w:rsid w:val="00e13196"/>
    <w:pPr/>
    <w:rPr>
      <w:rFonts w:ascii="Times New Roman" w:hAnsi="Times New Roman" w:cs="Times New Roman"/>
      <w:sz w:val="24"/>
      <w:szCs w:val="24"/>
    </w:rPr>
  </w:style>
  <w:style w:type="paragraph" w:styleId="Notaderodap">
    <w:name w:val="Footnote Text"/>
    <w:basedOn w:val="Normal"/>
    <w:link w:val="TextodenotaderodapChar"/>
    <w:uiPriority w:val="99"/>
    <w:semiHidden/>
    <w:unhideWhenUsed/>
    <w:rsid w:val="00b939c1"/>
    <w:pPr>
      <w:widowControl w:val="false"/>
      <w:spacing w:lineRule="auto" w:line="240" w:before="0" w:after="0"/>
      <w:jc w:val="both"/>
      <w:textAlignment w:val="baseline"/>
    </w:pPr>
    <w:rPr>
      <w:rFonts w:ascii="Times New Roman" w:hAnsi="Times New Roman" w:eastAsia="Times New Roman" w:cs="Times New Roman"/>
      <w:sz w:val="20"/>
      <w:szCs w:val="20"/>
      <w:lang w:eastAsia="pt-BR"/>
    </w:rPr>
  </w:style>
  <w:style w:type="paragraph" w:styleId="Texto1" w:customStyle="1">
    <w:name w:val="texto1"/>
    <w:basedOn w:val="Normal"/>
    <w:qFormat/>
    <w:rsid w:val="00aa40c7"/>
    <w:pPr>
      <w:spacing w:lineRule="auto" w:line="240" w:beforeAutospacing="1" w:afterAutospacing="1"/>
    </w:pPr>
    <w:rPr>
      <w:rFonts w:ascii="Times New Roman" w:hAnsi="Times New Roman" w:eastAsia="Times New Roman" w:cs="Times New Roman"/>
      <w:sz w:val="24"/>
      <w:szCs w:val="24"/>
      <w:lang w:eastAsia="pt-BR"/>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Default" w:customStyle="1">
    <w:name w:val="Default"/>
    <w:qFormat/>
    <w:pPr>
      <w:widowControl/>
      <w:suppressAutoHyphens w:val="true"/>
      <w:bidi w:val="0"/>
      <w:spacing w:before="0" w:after="0"/>
      <w:jc w:val="left"/>
    </w:pPr>
    <w:rPr>
      <w:rFonts w:ascii="Times New Roman" w:hAnsi="Times New Roman" w:eastAsia="Calibri" w:cs=""/>
      <w:color w:val="000000"/>
      <w:kern w:val="0"/>
      <w:sz w:val="24"/>
      <w:szCs w:val="22"/>
      <w:lang w:val="pt-BR" w:eastAsia="en-US" w:bidi="ar-SA"/>
    </w:rPr>
  </w:style>
  <w:style w:type="paragraph" w:styleId="Corpodetexto21" w:customStyle="1">
    <w:name w:val="Corpo de texto 21"/>
    <w:basedOn w:val="Normal"/>
    <w:qFormat/>
    <w:pPr>
      <w:spacing w:lineRule="auto" w:line="480" w:before="0" w:after="120"/>
    </w:pPr>
    <w:rPr/>
  </w:style>
  <w:style w:type="numbering" w:styleId="NoList" w:default="1">
    <w:name w:val="No List"/>
    <w:uiPriority w:val="99"/>
    <w:semiHidden/>
    <w:unhideWhenUsed/>
    <w:qFormat/>
  </w:style>
  <w:style w:type="numbering" w:styleId="WW8Num20" w:customStyle="1">
    <w:name w:val="WW8Num20"/>
    <w:qFormat/>
  </w:style>
  <w:style w:type="numbering" w:styleId="WW8Num5" w:customStyle="1">
    <w:name w:val="WW8Num5"/>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3a2e0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comgrade1">
    <w:name w:val="Tabela com grade1"/>
    <w:basedOn w:val="Tabelanormal"/>
    <w:uiPriority w:val="39"/>
    <w:rsid w:val="002a523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implesTabela1">
    <w:name w:val="Plain Table 1"/>
    <w:basedOn w:val="Tabelanormal"/>
    <w:uiPriority w:val="41"/>
    <w:rsid w:val="002a5238"/>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blStylePr w:type="firstRow">
      <w:rPr>
        <w:b/>
        <w:bCs/>
      </w:rPr>
      <w:tblPr/>
    </w:tblStylePr>
    <w:tblStylePr w:type="lastRow">
      <w:rPr>
        <w:b/>
        <w:bCs/>
      </w:rPr>
      <w:tblPr/>
      <w:tcPr>
        <w:tcBorders>
          <w:top w:val="double" w:color="FFFFFF" w:themeColor="background1" w:sz="4" w:space="0"/>
        </w:tcBorders>
      </w:tc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2a5238"/>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www.comprasgovernamentais.gov.br/" TargetMode="External"/><Relationship Id="rId4" Type="http://schemas.openxmlformats.org/officeDocument/2006/relationships/hyperlink" Target="http://www.planalto.gov.br/ccivil_03/leis/L6404compilada.htm" TargetMode="External"/><Relationship Id="rId5" Type="http://schemas.openxmlformats.org/officeDocument/2006/relationships/hyperlink" Target="https://www.planalto.gov.br/ccivil_03/_ato2015-2018/2018/lei/L13709compilado.htm" TargetMode="External"/><Relationship Id="rId6" Type="http://schemas.openxmlformats.org/officeDocument/2006/relationships/hyperlink" Target="mailto:controleinterno@ita.sc.gov.br" TargetMode="External"/><Relationship Id="rId7" Type="http://schemas.openxmlformats.org/officeDocument/2006/relationships/hyperlink" Target="http://www.planalto.gov.br/ccivil_03/leis/lcp/lcp123.htm" TargetMode="External"/><Relationship Id="rId8" Type="http://schemas.openxmlformats.org/officeDocument/2006/relationships/hyperlink" Target="https://www.planalto.gov.br/ccivil_03/leis/2002/l10406compilada.htm" TargetMode="External"/><Relationship Id="rId9" Type="http://schemas.openxmlformats.org/officeDocument/2006/relationships/hyperlink" Target="https://www.planalto.gov.br/ccivil_03/leis/2002/l10406compilada.htm" TargetMode="External"/><Relationship Id="rId10" Type="http://schemas.openxmlformats.org/officeDocument/2006/relationships/hyperlink" Target="https://www.planalto.gov.br/ccivil_03/_ato2007-2010/2007/lei/l11488.htm" TargetMode="External"/><Relationship Id="rId11" Type="http://schemas.openxmlformats.org/officeDocument/2006/relationships/hyperlink" Target="http://www.planalto.gov.br/ccivil_03/leis/l5764.htm" TargetMode="External"/><Relationship Id="rId12" Type="http://schemas.openxmlformats.org/officeDocument/2006/relationships/hyperlink" Target="https://www.planalto.gov.br/ccivil_03/_ato2011-2014/2012/lei/l12690.htm" TargetMode="External"/><Relationship Id="rId13" Type="http://schemas.openxmlformats.org/officeDocument/2006/relationships/hyperlink" Target="http://www.planalto.gov.br/ccivil_03/leis/lcp/lcp130.htm" TargetMode="External"/><Relationship Id="rId14" Type="http://schemas.openxmlformats.org/officeDocument/2006/relationships/hyperlink" Target="https://www.planalto.gov.br/ccivil_03/_ato2011-2014/2012/lei/l12690.htm" TargetMode="External"/><Relationship Id="rId15" Type="http://schemas.openxmlformats.org/officeDocument/2006/relationships/hyperlink" Target="https://www.planalto.gov.br/ccivil_03/_ato2007-2010/2007/lei/l11488.htm" TargetMode="External"/><Relationship Id="rId16" Type="http://schemas.openxmlformats.org/officeDocument/2006/relationships/hyperlink" Target="https://www.planalto.gov.br/ccivil_03/decreto-lei/del2848compilado.htm" TargetMode="External"/><Relationship Id="rId17" Type="http://schemas.openxmlformats.org/officeDocument/2006/relationships/hyperlink" Target="https://www.planalto.gov.br/ccivil_03/leis/L8429compilada.htm" TargetMode="External"/><Relationship Id="rId18" Type="http://schemas.openxmlformats.org/officeDocument/2006/relationships/hyperlink" Target="https://www.planalto.gov.br/ccivil_03/decreto-lei/del2848compilado.htm" TargetMode="External"/><Relationship Id="rId19" Type="http://schemas.openxmlformats.org/officeDocument/2006/relationships/hyperlink" Target="https://www.planalto.gov.br/ccivil_03/LEIS/L4320compilado.htm" TargetMode="External"/><Relationship Id="rId20"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_ato2011-2014/2013/lei/l12846.htm" TargetMode="External"/><Relationship Id="rId22" Type="http://schemas.openxmlformats.org/officeDocument/2006/relationships/hyperlink" Target="http://www.comprasgovernamentais.gov.br/" TargetMode="External"/><Relationship Id="rId23" Type="http://schemas.openxmlformats.org/officeDocument/2006/relationships/hyperlink" Target="http://www.planalto.gov.br/ccivil_03/leis/L6404compilada.htm" TargetMode="External"/><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footnotes" Target="footnotes.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Relationship Id="rId3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mailto:licitacao@ita.sc.gov.br" TargetMode="External"/><Relationship Id="rId3" Type="http://schemas.openxmlformats.org/officeDocument/2006/relationships/hyperlink" Target="http://www.ita.sc.gov.br/"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2F8B7-72BB-400D-BAED-D65449F18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3776</TotalTime>
  <Application>LibreOffice/7.1.4.2$Windows_X86_64 LibreOffice_project/a529a4fab45b75fefc5b6226684193eb000654f6</Application>
  <AppVersion>15.0000</AppVersion>
  <Pages>57</Pages>
  <Words>20093</Words>
  <Characters>114189</Characters>
  <CharactersWithSpaces>133614</CharactersWithSpaces>
  <Paragraphs>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2022-10-05T10:18:00Z</dcterms:created>
  <dc:creator>Micro</dc:creator>
  <dc:description/>
  <dc:language>pt-BR</dc:language>
  <cp:lastModifiedBy/>
  <cp:lastPrinted>2023-10-10T10:11:10Z</cp:lastPrinted>
  <dcterms:modified xsi:type="dcterms:W3CDTF">2023-11-13T13:20:31Z</dcterms:modified>
  <cp:revision>464</cp:revision>
  <dc:subject/>
  <dc:title>Oficio nº 097/2013</dc:title>
</cp:coreProperties>
</file>

<file path=docProps/custom.xml><?xml version="1.0" encoding="utf-8"?>
<Properties xmlns="http://schemas.openxmlformats.org/officeDocument/2006/custom-properties" xmlns:vt="http://schemas.openxmlformats.org/officeDocument/2006/docPropsVTypes"/>
</file>