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shd w:fill="auto" w:val="clear"/>
        </w:rPr>
      </w:pPr>
      <w:r>
        <w:rPr>
          <w:rFonts w:cs="Arial" w:ascii="Arial" w:hAnsi="Arial"/>
          <w:b/>
          <w:bCs/>
          <w:shd w:fill="auto" w:val="clear"/>
          <w:lang w:eastAsia="pt-BR"/>
        </w:rPr>
        <w:t xml:space="preserve">PROCESSO LICITATÓRIO Nº </w:t>
      </w:r>
      <w:r>
        <w:rPr>
          <w:rFonts w:eastAsia="Calibri" w:cs="Arial" w:ascii="Arial" w:hAnsi="Arial"/>
          <w:b/>
          <w:bCs/>
          <w:color w:val="000000"/>
          <w:kern w:val="0"/>
          <w:sz w:val="22"/>
          <w:szCs w:val="22"/>
          <w:shd w:fill="auto" w:val="clear"/>
          <w:lang w:val="pt-BR" w:eastAsia="pt-BR" w:bidi="ar-SA"/>
        </w:rPr>
        <w:t>225</w:t>
      </w:r>
      <w:r>
        <w:rPr>
          <w:rFonts w:cs="Arial" w:ascii="Arial" w:hAnsi="Arial"/>
          <w:b/>
          <w:bCs/>
          <w:color w:val="000000"/>
          <w:shd w:fill="auto" w:val="clear"/>
          <w:lang w:eastAsia="pt-BR"/>
        </w:rPr>
        <w:t>/2023</w:t>
      </w:r>
      <w:r>
        <w:rPr>
          <w:rFonts w:cs="Arial" w:ascii="Arial" w:hAnsi="Arial"/>
          <w:b/>
          <w:bCs/>
          <w:shd w:fill="auto" w:val="clear"/>
          <w:lang w:eastAsia="pt-BR"/>
        </w:rPr>
        <w:t xml:space="preserve">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 xml:space="preserve">EDITAL DE PREGÃO ELETRÔNICO Nº </w:t>
      </w:r>
      <w:r>
        <w:rPr>
          <w:rFonts w:eastAsia="Calibri" w:cs="Arial" w:ascii="Arial" w:hAnsi="Arial"/>
          <w:b/>
          <w:bCs/>
          <w:color w:val="000000"/>
          <w:kern w:val="0"/>
          <w:sz w:val="22"/>
          <w:szCs w:val="22"/>
          <w:shd w:fill="auto" w:val="clear"/>
          <w:lang w:val="pt-BR" w:eastAsia="en-US" w:bidi="ar-SA"/>
        </w:rPr>
        <w:t>090</w:t>
      </w:r>
      <w:r>
        <w:rPr>
          <w:rFonts w:cs="Arial" w:ascii="Arial" w:hAnsi="Arial"/>
          <w:b/>
          <w:bCs/>
          <w:color w:val="000000"/>
          <w:shd w:fill="auto" w:val="clear"/>
        </w:rPr>
        <w:t>/2023</w:t>
      </w:r>
      <w:r>
        <w:rPr>
          <w:rFonts w:cs="Arial" w:ascii="Arial" w:hAnsi="Arial"/>
          <w:b/>
          <w:bCs/>
          <w:shd w:fill="auto" w:val="clear"/>
        </w:rPr>
        <w:t xml:space="preserve"> </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center"/>
        <w:rPr>
          <w:shd w:fill="auto" w:val="clear"/>
        </w:rPr>
      </w:pPr>
      <w:r>
        <w:rPr>
          <w:rFonts w:cs="Arial" w:ascii="Arial" w:hAnsi="Arial"/>
          <w:b/>
          <w:bCs/>
          <w:shd w:fill="auto" w:val="clear"/>
        </w:rPr>
        <w:t>SISTEMA DE REGISTRO DE PREÇOS</w:t>
      </w:r>
    </w:p>
    <w:p>
      <w:pPr>
        <w:pStyle w:val="Normal"/>
        <w:spacing w:lineRule="auto" w:line="240" w:before="0" w:after="0"/>
        <w:jc w:val="center"/>
        <w:rPr>
          <w:rFonts w:ascii="Arial" w:hAnsi="Arial" w:cs="Arial"/>
          <w:shd w:fill="auto" w:val="clear"/>
        </w:rPr>
      </w:pPr>
      <w:r>
        <w:rPr>
          <w:rFonts w:cs="Arial" w:ascii="Arial" w:hAnsi="Arial"/>
          <w:shd w:fill="auto" w:val="clear"/>
        </w:rPr>
      </w:r>
    </w:p>
    <w:p>
      <w:pPr>
        <w:pStyle w:val="Normal"/>
        <w:spacing w:lineRule="auto" w:line="240" w:before="0" w:after="0"/>
        <w:jc w:val="both"/>
        <w:rPr>
          <w:rFonts w:ascii="Arial" w:hAnsi="Arial" w:cs="Arial"/>
          <w:sz w:val="20"/>
          <w:szCs w:val="20"/>
        </w:rPr>
      </w:pPr>
      <w:r>
        <w:rPr>
          <w:rFonts w:cs="Arial" w:ascii="Arial" w:hAnsi="Arial"/>
          <w:sz w:val="20"/>
          <w:szCs w:val="20"/>
        </w:rPr>
        <w:t xml:space="preserve">Registrado no TCE/SC sob código n° </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1. PREÂMBULO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
          <w:lang w:eastAsia="pt-BR"/>
        </w:rPr>
        <w:t>1.1.</w:t>
      </w:r>
      <w:r>
        <w:rPr>
          <w:rFonts w:eastAsia="Times New Roman" w:cs="Arial" w:ascii="Arial" w:hAnsi="Arial"/>
          <w:lang w:eastAsia="pt-BR"/>
        </w:rPr>
        <w:t xml:space="preserve"> O Município de </w:t>
      </w:r>
      <w:r>
        <w:rPr>
          <w:rFonts w:eastAsia="Times New Roman" w:cs="Arial" w:ascii="Arial" w:hAnsi="Arial"/>
          <w:color w:val="000000"/>
          <w:lang w:eastAsia="pt-BR"/>
        </w:rPr>
        <w:t>Itá,</w:t>
      </w:r>
      <w:r>
        <w:rPr>
          <w:rFonts w:eastAsia="Times New Roman" w:cs="Arial" w:ascii="Arial" w:hAnsi="Arial"/>
          <w:lang w:eastAsia="pt-BR"/>
        </w:rPr>
        <w:t xml:space="preserve"> Estado de Santa Catarina, pessoa jurídica de direito público interno inscrito no CNPJ so</w:t>
      </w:r>
      <w:r>
        <w:rPr>
          <w:rFonts w:eastAsia="Times New Roman" w:cs="Arial" w:ascii="Arial" w:hAnsi="Arial"/>
          <w:color w:val="000000"/>
          <w:lang w:eastAsia="pt-BR"/>
        </w:rPr>
        <w:t xml:space="preserve">b nº </w:t>
      </w:r>
      <w:r>
        <w:rPr>
          <w:rFonts w:eastAsia="Times New Roman" w:cs="Arial" w:ascii="Arial" w:hAnsi="Arial"/>
          <w:color w:val="202124"/>
          <w:lang w:eastAsia="pt-BR"/>
        </w:rPr>
        <w:t>83.024.240/0001-53</w:t>
      </w:r>
      <w:r>
        <w:rPr>
          <w:rFonts w:eastAsia="Times New Roman" w:cs="Arial" w:ascii="Arial" w:hAnsi="Arial"/>
          <w:lang w:eastAsia="pt-BR"/>
        </w:rPr>
        <w:t>, leva ao conhecimento dos interessados a realização do seguinte processo licitatório: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shd w:fill="auto" w:val="clear"/>
          <w:lang w:eastAsia="pt-BR"/>
        </w:rPr>
        <w:t>Regime legal:</w:t>
      </w:r>
      <w:r>
        <w:rPr>
          <w:rFonts w:eastAsia="Times New Roman" w:cs="Arial" w:ascii="Arial" w:hAnsi="Arial"/>
          <w:shd w:fill="auto" w:val="clear"/>
          <w:lang w:eastAsia="pt-BR"/>
        </w:rPr>
        <w:t xml:space="preserve"> </w:t>
      </w:r>
      <w:hyperlink r:id="rId2">
        <w:r>
          <w:rPr>
            <w:rStyle w:val="LinkdaInternet"/>
            <w:rFonts w:eastAsia="Times New Roman" w:cs="Arial" w:ascii="Arial" w:hAnsi="Arial"/>
            <w:shd w:fill="auto" w:val="clear"/>
            <w:lang w:eastAsia="pt-BR"/>
          </w:rPr>
          <w:t>Lei nº 14.133/2021</w:t>
        </w:r>
      </w:hyperlink>
      <w:r>
        <w:rPr>
          <w:rFonts w:eastAsia="Times New Roman" w:cs="Arial" w:ascii="Arial" w:hAnsi="Arial"/>
          <w:shd w:fill="auto" w:val="clear"/>
          <w:lang w:eastAsia="pt-BR"/>
        </w:rPr>
        <w:t xml:space="preserve">, Lei Complementar nº 123/2006 </w:t>
      </w:r>
      <w:r>
        <w:rPr>
          <w:rFonts w:eastAsia="Times New Roman" w:cs="Arial" w:ascii="Arial" w:hAnsi="Arial"/>
          <w:color w:val="000000"/>
          <w:shd w:fill="auto" w:val="clear"/>
          <w:lang w:eastAsia="pt-BR"/>
        </w:rPr>
        <w:t>e o Decreto Municipal nº 0036/2023.</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Modalidade:</w:t>
      </w:r>
      <w:r>
        <w:rPr>
          <w:rFonts w:eastAsia="Times New Roman" w:cs="Arial" w:ascii="Arial" w:hAnsi="Arial"/>
          <w:shd w:fill="auto" w:val="clear"/>
          <w:lang w:eastAsia="pt-BR"/>
        </w:rPr>
        <w:t xml:space="preserve"> Pregão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Critério d</w:t>
      </w:r>
      <w:r>
        <w:rPr>
          <w:rFonts w:eastAsia="Times New Roman" w:cs="Arial" w:ascii="Arial" w:hAnsi="Arial"/>
          <w:b/>
          <w:shd w:fill="auto" w:val="clear"/>
          <w:lang w:eastAsia="pt-BR"/>
        </w:rPr>
        <w:t xml:space="preserve">e Julgamento: </w:t>
      </w:r>
      <w:r>
        <w:rPr>
          <w:rFonts w:eastAsia="Times New Roman" w:cs="Arial" w:ascii="Arial" w:hAnsi="Arial"/>
          <w:color w:val="000000"/>
          <w:shd w:fill="auto" w:val="clear"/>
          <w:lang w:eastAsia="pt-BR"/>
        </w:rPr>
        <w:t>Menor preço por item</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 xml:space="preserve">Modo de disputa: </w:t>
      </w:r>
      <w:r>
        <w:rPr>
          <w:rFonts w:eastAsia="Times New Roman" w:cs="Arial" w:ascii="Arial" w:hAnsi="Arial"/>
          <w:color w:val="000000"/>
          <w:shd w:fill="auto" w:val="clear"/>
          <w:lang w:eastAsia="pt-BR"/>
        </w:rPr>
        <w:t xml:space="preserve">Aberto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Forma:</w:t>
      </w:r>
      <w:r>
        <w:rPr>
          <w:rFonts w:eastAsia="Times New Roman" w:cs="Arial" w:ascii="Arial" w:hAnsi="Arial"/>
          <w:shd w:fill="auto" w:val="clear"/>
          <w:lang w:eastAsia="pt-BR"/>
        </w:rPr>
        <w:t xml:space="preserve"> Eletrônica </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shd w:fill="auto" w:val="clear"/>
          <w:lang w:eastAsia="pt-BR"/>
        </w:rPr>
        <w:t xml:space="preserve">Plataforma: </w:t>
      </w:r>
      <w:r>
        <w:rPr>
          <w:rFonts w:eastAsia="Times New Roman" w:cs="Arial" w:ascii="Arial" w:hAnsi="Arial"/>
          <w:color w:val="000000"/>
          <w:shd w:fill="auto" w:val="clear"/>
          <w:lang w:eastAsia="pt-BR"/>
        </w:rPr>
        <w:t xml:space="preserve">Portal de Compras do Governo Federal – </w:t>
      </w:r>
      <w:hyperlink r:id="rId3">
        <w:r>
          <w:rPr>
            <w:rStyle w:val="LinkdaInternet"/>
            <w:rFonts w:eastAsia="Times New Roman" w:cs="Arial" w:ascii="Arial" w:hAnsi="Arial"/>
            <w:color w:val="000000"/>
            <w:shd w:fill="auto" w:val="clear"/>
            <w:lang w:eastAsia="pt-BR"/>
          </w:rPr>
          <w:t>https://www.gov.br/compras/pt-br</w:t>
        </w:r>
      </w:hyperlink>
      <w:r>
        <w:rPr>
          <w:rFonts w:eastAsia="Times New Roman" w:cs="Arial" w:ascii="Arial" w:hAnsi="Arial"/>
          <w:color w:val="000000"/>
          <w:shd w:fill="auto" w:val="clear"/>
          <w:lang w:eastAsia="pt-BR"/>
        </w:rPr>
        <w:t>. UASG 988157.</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shd w:fill="auto" w:val="clear"/>
        </w:rPr>
      </w:pPr>
      <w:r>
        <w:rPr>
          <w:rFonts w:eastAsia="Times New Roman" w:cs="Arial" w:ascii="Arial" w:hAnsi="Arial"/>
          <w:b/>
          <w:shd w:fill="auto" w:val="clear"/>
          <w:lang w:eastAsia="pt-BR"/>
        </w:rPr>
        <w:t>Data da Sessão Pública:</w:t>
      </w:r>
      <w:r>
        <w:rPr>
          <w:rFonts w:eastAsia="Times New Roman" w:cs="Arial" w:ascii="Arial" w:hAnsi="Arial"/>
          <w:b/>
          <w:i/>
          <w:iCs/>
          <w:shd w:fill="auto" w:val="clear"/>
          <w:lang w:eastAsia="pt-BR"/>
        </w:rPr>
        <w:t xml:space="preserve"> </w:t>
      </w:r>
      <w:r>
        <w:rPr>
          <w:rFonts w:eastAsia="Times New Roman" w:cs="Arial" w:ascii="Arial" w:hAnsi="Arial"/>
          <w:b/>
          <w:i/>
          <w:iCs/>
          <w:color w:val="000000"/>
          <w:kern w:val="0"/>
          <w:sz w:val="22"/>
          <w:szCs w:val="22"/>
          <w:u w:val="single"/>
          <w:shd w:fill="auto" w:val="clear"/>
          <w:lang w:val="pt-BR" w:eastAsia="pt-BR" w:bidi="ar-SA"/>
        </w:rPr>
        <w:t>04</w:t>
      </w:r>
      <w:r>
        <w:rPr>
          <w:rFonts w:eastAsia="Times New Roman" w:cs="Arial" w:ascii="Arial" w:hAnsi="Arial"/>
          <w:b/>
          <w:i/>
          <w:iCs/>
          <w:color w:val="000000"/>
          <w:u w:val="single"/>
          <w:shd w:fill="auto" w:val="clear"/>
          <w:lang w:eastAsia="pt-BR"/>
        </w:rPr>
        <w:t>/</w:t>
      </w:r>
      <w:r>
        <w:rPr>
          <w:rFonts w:eastAsia="Times New Roman" w:cs="Arial" w:ascii="Arial" w:hAnsi="Arial"/>
          <w:b/>
          <w:i/>
          <w:iCs/>
          <w:color w:val="000000"/>
          <w:kern w:val="0"/>
          <w:sz w:val="22"/>
          <w:szCs w:val="22"/>
          <w:u w:val="single"/>
          <w:shd w:fill="auto" w:val="clear"/>
          <w:lang w:val="pt-BR" w:eastAsia="pt-BR" w:bidi="ar-SA"/>
        </w:rPr>
        <w:t>01</w:t>
      </w:r>
      <w:r>
        <w:rPr>
          <w:rFonts w:eastAsia="Times New Roman" w:cs="Arial" w:ascii="Arial" w:hAnsi="Arial"/>
          <w:b/>
          <w:i/>
          <w:iCs/>
          <w:color w:val="000000"/>
          <w:u w:val="single"/>
          <w:shd w:fill="auto" w:val="clear"/>
          <w:lang w:eastAsia="pt-BR"/>
        </w:rPr>
        <w:t>/202</w:t>
      </w:r>
      <w:r>
        <w:rPr>
          <w:rFonts w:eastAsia="Times New Roman" w:cs="Arial" w:ascii="Arial" w:hAnsi="Arial"/>
          <w:b/>
          <w:i/>
          <w:iCs/>
          <w:color w:val="000000"/>
          <w:u w:val="single"/>
          <w:shd w:fill="auto" w:val="clear"/>
          <w:lang w:eastAsia="pt-BR"/>
        </w:rPr>
        <w:t>4</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Horário de início da Sessão Pública:</w:t>
      </w:r>
      <w:r>
        <w:rPr>
          <w:rFonts w:eastAsia="Times New Roman" w:cs="Arial" w:ascii="Arial" w:hAnsi="Arial"/>
          <w:color w:val="000000"/>
          <w:lang w:eastAsia="pt-BR"/>
        </w:rPr>
        <w:t xml:space="preserve"> </w:t>
      </w:r>
      <w:r>
        <w:rPr>
          <w:rFonts w:eastAsia="Times New Roman" w:cs="Arial" w:ascii="Arial" w:hAnsi="Arial"/>
          <w:color w:val="000000"/>
          <w:kern w:val="0"/>
          <w:sz w:val="22"/>
          <w:szCs w:val="22"/>
          <w:lang w:val="pt-BR" w:eastAsia="pt-BR" w:bidi="ar-SA"/>
        </w:rPr>
        <w:t>08h30</w:t>
      </w:r>
      <w:r>
        <w:rPr>
          <w:rFonts w:eastAsia="Times New Roman" w:cs="Arial" w:ascii="Arial" w:hAnsi="Arial"/>
          <w:color w:val="000000"/>
          <w:lang w:eastAsia="pt-BR"/>
        </w:rPr>
        <w:t>min (horário de Brasília/DF)</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color w:val="000000"/>
          <w:lang w:eastAsia="pt-BR"/>
        </w:rPr>
        <w:t xml:space="preserve">Código do Município: </w:t>
      </w:r>
      <w:r>
        <w:rPr>
          <w:rFonts w:eastAsia="Times New Roman" w:cs="Arial" w:ascii="Arial" w:hAnsi="Arial"/>
          <w:color w:val="000000"/>
          <w:lang w:eastAsia="pt-BR"/>
        </w:rPr>
        <w:t>UASG 988157</w:t>
      </w:r>
    </w:p>
    <w:p>
      <w:pPr>
        <w:pStyle w:val="Normal"/>
        <w:widowControl w:val="false"/>
        <w:numPr>
          <w:ilvl w:val="0"/>
          <w:numId w:val="2"/>
        </w:numPr>
        <w:tabs>
          <w:tab w:val="clear" w:pos="708"/>
          <w:tab w:val="left" w:pos="1134" w:leader="none"/>
        </w:tabs>
        <w:spacing w:lineRule="auto" w:line="240" w:before="0" w:after="0"/>
        <w:ind w:left="567" w:hanging="0"/>
        <w:contextualSpacing/>
        <w:jc w:val="both"/>
        <w:textAlignment w:val="baseline"/>
        <w:rPr/>
      </w:pPr>
      <w:r>
        <w:rPr>
          <w:rFonts w:eastAsia="Times New Roman" w:cs="Arial" w:ascii="Arial" w:hAnsi="Arial"/>
          <w:b/>
          <w:lang w:eastAsia="pt-BR"/>
        </w:rPr>
        <w:t>Condução do processo licitatório:</w:t>
      </w:r>
      <w:r>
        <w:rPr>
          <w:rFonts w:eastAsia="Times New Roman" w:cs="Arial" w:ascii="Arial" w:hAnsi="Arial"/>
          <w:lang w:eastAsia="pt-BR"/>
        </w:rPr>
        <w:t xml:space="preserve"> Pregoeiro Delso Minski e Equipe de Apoio – </w:t>
      </w:r>
      <w:r>
        <w:rPr>
          <w:rFonts w:eastAsia="Times New Roman" w:cs="Arial" w:ascii="Arial" w:hAnsi="Arial"/>
          <w:color w:val="000000"/>
          <w:lang w:eastAsia="pt-BR"/>
        </w:rPr>
        <w:t>Servidores Designados pelo Decreto Municipal nº 078/2023.</w:t>
      </w:r>
    </w:p>
    <w:p>
      <w:pPr>
        <w:pStyle w:val="Normal"/>
        <w:widowControl w:val="false"/>
        <w:numPr>
          <w:ilvl w:val="0"/>
          <w:numId w:val="2"/>
        </w:numPr>
        <w:tabs>
          <w:tab w:val="clear" w:pos="708"/>
          <w:tab w:val="left" w:pos="1134" w:leader="none"/>
        </w:tabs>
        <w:spacing w:lineRule="auto" w:line="240" w:before="0" w:after="160"/>
        <w:ind w:left="567" w:hanging="0"/>
        <w:contextualSpacing/>
        <w:jc w:val="both"/>
        <w:textAlignment w:val="baseline"/>
        <w:rPr/>
      </w:pPr>
      <w:r>
        <w:rPr>
          <w:rFonts w:eastAsia="Times New Roman" w:cs="Times New Roman" w:ascii="Arial" w:hAnsi="Arial"/>
          <w:b/>
          <w:bCs/>
          <w:color w:val="000000"/>
          <w:lang w:eastAsia="pt-BR"/>
        </w:rPr>
        <w:t>Especificações dos Itens:</w:t>
      </w:r>
      <w:r>
        <w:rPr>
          <w:rFonts w:eastAsia="Times New Roman" w:cs="Times New Roman" w:ascii="Arial" w:hAnsi="Arial"/>
          <w:color w:val="000000"/>
          <w:lang w:eastAsia="pt-BR"/>
        </w:rPr>
        <w:t xml:space="preserve"> </w:t>
      </w:r>
      <w:r>
        <w:rPr>
          <w:rFonts w:eastAsia="Times New Roman" w:cs="Times New Roman" w:ascii="Arial" w:hAnsi="Arial"/>
          <w:color w:val="000000"/>
          <w:u w:val="single"/>
          <w:lang w:eastAsia="pt-BR"/>
        </w:rPr>
        <w:t>a descrição dos itens constantes no portal compras.gov.br são apenas aproximações da descrição dos itens reais. Desta maneira, prevalecerão as descrições detalhadas constantes neste edital de processo licitatório.</w:t>
      </w:r>
    </w:p>
    <w:p>
      <w:pPr>
        <w:pStyle w:val="Normal"/>
        <w:widowControl w:val="false"/>
        <w:tabs>
          <w:tab w:val="clear" w:pos="708"/>
          <w:tab w:val="left" w:pos="1134"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2. OBJETO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bCs/>
          <w:color w:val="000000"/>
          <w:lang w:eastAsia="pt-BR"/>
        </w:rPr>
        <w:t>2.1.</w:t>
      </w:r>
      <w:r>
        <w:rPr>
          <w:rFonts w:eastAsia="Times New Roman" w:cs="Times New Roman" w:ascii="Arial" w:hAnsi="Arial"/>
          <w:color w:val="000000"/>
          <w:lang w:eastAsia="pt-BR"/>
        </w:rPr>
        <w:t xml:space="preserve"> O objeto deste processo licitatório é a </w:t>
      </w:r>
      <w:r>
        <w:rPr>
          <w:rFonts w:eastAsia="Arial" w:cs="Arial" w:ascii="Arial" w:hAnsi="Arial"/>
          <w:color w:val="000000"/>
          <w:spacing w:val="0"/>
          <w:sz w:val="22"/>
          <w:shd w:fill="FFFFFF" w:val="clear"/>
          <w:lang w:eastAsia="pt-BR"/>
        </w:rPr>
        <w:t>aquisição de materiais hidráulicos a serem utilizados conforme necessidade das secretarias municipais de Itá/SC</w:t>
      </w:r>
      <w:r>
        <w:rPr>
          <w:rFonts w:eastAsia="Times New Roman" w:cs="Times New Roman" w:ascii="Arial" w:hAnsi="Arial"/>
          <w:color w:val="000000"/>
          <w:lang w:eastAsia="pt-BR"/>
        </w:rPr>
        <w:t>, de acordo com as informações e descritivos constantes no presente edital e anexos.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2.1.1. O objeto é composto pelos seguintes itens: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tbl>
      <w:tblPr>
        <w:tblW w:w="8676" w:type="dxa"/>
        <w:jc w:val="left"/>
        <w:tblInd w:w="-41" w:type="dxa"/>
        <w:tblLayout w:type="fixed"/>
        <w:tblCellMar>
          <w:top w:w="28" w:type="dxa"/>
          <w:left w:w="28" w:type="dxa"/>
          <w:bottom w:w="28" w:type="dxa"/>
          <w:right w:w="28" w:type="dxa"/>
        </w:tblCellMar>
      </w:tblPr>
      <w:tblGrid>
        <w:gridCol w:w="816"/>
        <w:gridCol w:w="3731"/>
        <w:gridCol w:w="1128"/>
        <w:gridCol w:w="1369"/>
        <w:gridCol w:w="1632"/>
      </w:tblGrid>
      <w:tr>
        <w:trPr/>
        <w:tc>
          <w:tcPr>
            <w:tcW w:w="816" w:type="dxa"/>
            <w:tcBorders>
              <w:top w:val="single" w:sz="2" w:space="0" w:color="000000"/>
              <w:left w:val="single" w:sz="2" w:space="0" w:color="000000"/>
              <w:bottom w:val="single" w:sz="2" w:space="0" w:color="000000"/>
            </w:tcBorders>
          </w:tcPr>
          <w:p>
            <w:pPr>
              <w:pStyle w:val="Contedodatabela"/>
              <w:widowControl w:val="false"/>
              <w:spacing w:lineRule="auto" w:line="240" w:before="0" w:after="160"/>
              <w:jc w:val="center"/>
              <w:rPr>
                <w:rFonts w:ascii="Arial" w:hAnsi="Arial" w:cs="Arial"/>
                <w:b/>
                <w:b/>
                <w:bCs/>
                <w:sz w:val="20"/>
                <w:szCs w:val="20"/>
              </w:rPr>
            </w:pPr>
            <w:r>
              <w:rPr>
                <w:rFonts w:cs="Arial" w:ascii="Arial" w:hAnsi="Arial"/>
                <w:b/>
                <w:bCs/>
                <w:sz w:val="20"/>
                <w:szCs w:val="20"/>
              </w:rPr>
              <w:t>Item</w:t>
            </w:r>
          </w:p>
        </w:tc>
        <w:tc>
          <w:tcPr>
            <w:tcW w:w="3731" w:type="dxa"/>
            <w:tcBorders>
              <w:top w:val="single" w:sz="2" w:space="0" w:color="000000"/>
              <w:left w:val="single" w:sz="2" w:space="0" w:color="000000"/>
              <w:bottom w:val="single" w:sz="2" w:space="0" w:color="000000"/>
            </w:tcBorders>
          </w:tcPr>
          <w:p>
            <w:pPr>
              <w:pStyle w:val="Contedodatabela"/>
              <w:widowControl w:val="false"/>
              <w:spacing w:lineRule="auto" w:line="240" w:before="0" w:after="160"/>
              <w:jc w:val="center"/>
              <w:rPr>
                <w:rFonts w:ascii="Arial" w:hAnsi="Arial" w:cs="Arial"/>
                <w:b/>
                <w:b/>
                <w:bCs/>
                <w:sz w:val="20"/>
                <w:szCs w:val="20"/>
              </w:rPr>
            </w:pPr>
            <w:r>
              <w:rPr>
                <w:rFonts w:cs="Arial" w:ascii="Arial" w:hAnsi="Arial"/>
                <w:b/>
                <w:bCs/>
                <w:sz w:val="20"/>
                <w:szCs w:val="20"/>
              </w:rPr>
              <w:t>Especificação</w:t>
            </w:r>
          </w:p>
        </w:tc>
        <w:tc>
          <w:tcPr>
            <w:tcW w:w="1128" w:type="dxa"/>
            <w:tcBorders>
              <w:top w:val="single" w:sz="2" w:space="0" w:color="000000"/>
              <w:left w:val="single" w:sz="2" w:space="0" w:color="000000"/>
              <w:bottom w:val="single" w:sz="2" w:space="0" w:color="000000"/>
            </w:tcBorders>
          </w:tcPr>
          <w:p>
            <w:pPr>
              <w:pStyle w:val="Contedodatabela"/>
              <w:widowControl w:val="false"/>
              <w:spacing w:lineRule="auto" w:line="240" w:before="0" w:after="160"/>
              <w:jc w:val="center"/>
              <w:rPr>
                <w:rFonts w:ascii="Arial" w:hAnsi="Arial" w:cs="Arial"/>
                <w:b/>
                <w:b/>
                <w:bCs/>
                <w:sz w:val="20"/>
                <w:szCs w:val="20"/>
              </w:rPr>
            </w:pPr>
            <w:r>
              <w:rPr>
                <w:rFonts w:cs="Arial" w:ascii="Arial" w:hAnsi="Arial"/>
                <w:b/>
                <w:bCs/>
                <w:sz w:val="20"/>
                <w:szCs w:val="20"/>
              </w:rPr>
              <w:t>Quant.</w:t>
            </w:r>
          </w:p>
        </w:tc>
        <w:tc>
          <w:tcPr>
            <w:tcW w:w="1369" w:type="dxa"/>
            <w:tcBorders>
              <w:top w:val="single" w:sz="2" w:space="0" w:color="000000"/>
              <w:left w:val="single" w:sz="2" w:space="0" w:color="000000"/>
              <w:bottom w:val="single" w:sz="2" w:space="0" w:color="000000"/>
            </w:tcBorders>
          </w:tcPr>
          <w:p>
            <w:pPr>
              <w:pStyle w:val="Contedodatabela"/>
              <w:widowControl w:val="false"/>
              <w:spacing w:lineRule="auto" w:line="240" w:before="0" w:after="160"/>
              <w:jc w:val="center"/>
              <w:rPr>
                <w:rFonts w:ascii="Arial" w:hAnsi="Arial" w:cs="Arial"/>
                <w:b/>
                <w:b/>
                <w:bCs/>
                <w:sz w:val="20"/>
                <w:szCs w:val="20"/>
              </w:rPr>
            </w:pPr>
            <w:r>
              <w:rPr>
                <w:rFonts w:cs="Arial" w:ascii="Arial" w:hAnsi="Arial"/>
                <w:b/>
                <w:bCs/>
                <w:sz w:val="20"/>
                <w:szCs w:val="20"/>
              </w:rPr>
              <w:t>Valor Unit.</w:t>
            </w:r>
          </w:p>
        </w:tc>
        <w:tc>
          <w:tcPr>
            <w:tcW w:w="1632"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before="0" w:after="160"/>
              <w:jc w:val="center"/>
              <w:rPr>
                <w:rFonts w:ascii="Arial" w:hAnsi="Arial" w:cs="Arial"/>
                <w:b/>
                <w:b/>
                <w:bCs/>
                <w:sz w:val="20"/>
                <w:szCs w:val="20"/>
              </w:rPr>
            </w:pPr>
            <w:r>
              <w:rPr>
                <w:rFonts w:cs="Arial" w:ascii="Arial" w:hAnsi="Arial"/>
                <w:b/>
                <w:bCs/>
                <w:sz w:val="20"/>
                <w:szCs w:val="20"/>
              </w:rPr>
              <w:t>Valor Total (R$)</w:t>
            </w:r>
          </w:p>
        </w:tc>
      </w:tr>
      <w:tr>
        <w:trPr>
          <w:trHeight w:val="82" w:hRule="atLeast"/>
        </w:trPr>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01</w:t>
            </w:r>
          </w:p>
        </w:tc>
        <w:tc>
          <w:tcPr>
            <w:tcW w:w="373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shd w:fill="auto" w:val="clear"/>
              </w:rPr>
            </w:pPr>
            <w:r>
              <w:rPr>
                <w:rFonts w:cs="Arial" w:ascii="Arial" w:hAnsi="Arial"/>
                <w:sz w:val="20"/>
                <w:szCs w:val="20"/>
                <w:shd w:fill="auto" w:val="clear"/>
              </w:rPr>
              <w:t>Adesivo plástico para pvc bisnaga - embalagem de no mínimo 75 gramas.</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shd w:fill="auto" w:val="clear"/>
                <w:lang w:eastAsia="pt-BR"/>
              </w:rPr>
            </w:pPr>
            <w:r>
              <w:rPr>
                <w:rFonts w:eastAsia="Times New Roman" w:cs="Arial" w:ascii="Arial" w:hAnsi="Arial"/>
                <w:sz w:val="20"/>
                <w:szCs w:val="20"/>
                <w:shd w:fill="auto" w:val="clear"/>
                <w:lang w:eastAsia="pt-BR"/>
              </w:rPr>
              <w:t>80 und</w:t>
            </w:r>
          </w:p>
        </w:tc>
        <w:tc>
          <w:tcPr>
            <w:tcW w:w="13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shd w:fill="auto" w:val="clear"/>
              </w:rPr>
            </w:pPr>
            <w:r>
              <w:rPr>
                <w:rFonts w:cs="Arial" w:ascii="Arial" w:hAnsi="Arial"/>
                <w:sz w:val="20"/>
                <w:szCs w:val="20"/>
                <w:shd w:fill="auto" w:val="clear"/>
              </w:rPr>
              <w:t>R$ 6,56</w:t>
            </w:r>
          </w:p>
        </w:tc>
        <w:tc>
          <w:tcPr>
            <w:tcW w:w="16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524,80</w:t>
            </w:r>
          </w:p>
        </w:tc>
      </w:tr>
      <w:tr>
        <w:trPr/>
        <w:tc>
          <w:tcPr>
            <w:tcW w:w="8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02</w:t>
            </w:r>
          </w:p>
        </w:tc>
        <w:tc>
          <w:tcPr>
            <w:tcW w:w="373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Anel de vedação para esgoto dn 100mm.</w:t>
            </w:r>
          </w:p>
        </w:tc>
        <w:tc>
          <w:tcPr>
            <w:tcW w:w="11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210 und</w:t>
            </w:r>
          </w:p>
        </w:tc>
        <w:tc>
          <w:tcPr>
            <w:tcW w:w="13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R$ 8,16</w:t>
            </w:r>
          </w:p>
        </w:tc>
        <w:tc>
          <w:tcPr>
            <w:tcW w:w="16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1.713,60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branco para esgoto ø 50 x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R$ 5,70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1.311,00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25 x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450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R$ 1,38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621,00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32 x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R$ 1,79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895,00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40 x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R$ 2,82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1.410,00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50 x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R$ 4,09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2.045,00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60 x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R$ 6,33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1.266,00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09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75 x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370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R$ 11,75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4.347,50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marrom, soldável, curta, ø 85 x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R$ 13,25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2.517,50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pvc roscável 3/4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R$ 1,81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380,10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galvanizada 1 ½" x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R$ 12,83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2.309,40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branco para esgoto ø 85 x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R$ 14,16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2.690,40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branco para esgoto ø 100 x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R$ 13,50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3.105,00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Bucha de redução em pvc branco para esgoto ø 75 x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R$ 13,16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2.368,80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Caixa de água polietileno 1.000L de aproximadamente 0,76 m de altura x 1,52 m de diâmetro, com tampa, peso aproximado de 16,7 kg e cor azul.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R$ 726,93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58.154,40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Caixa de água polietileno 10.000L de aproximadamente 2,57 m de altura x 2,95 m de diâmetro, com tampa, peso aproximado de 149 kg e cor azul.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R$ 7.367,39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147.347,80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Caixa de água polietileno 5.000L de aproximadamente 2,00 m de altura x 2,45 m de diâmetro, com tampa, peso aproximado de 76 kg e cor azul.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R$ 3.959,65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79.193,00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Arial" w:hAnsi="Arial" w:cs="Arial"/>
                <w:sz w:val="20"/>
                <w:szCs w:val="20"/>
              </w:rPr>
            </w:pPr>
            <w:r>
              <w:rPr>
                <w:rFonts w:cs="Arial" w:ascii="Arial" w:hAnsi="Arial"/>
                <w:sz w:val="20"/>
                <w:szCs w:val="20"/>
              </w:rPr>
              <w:t>Caixa de água polietileno 500L de aproximadamente 0,58 m de altura x 0,95 m de diâmetro, com tampa, peso aproximado de 10 kg e cor azul.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pPr>
            <w:r>
              <w:rPr>
                <w:rFonts w:cs="Arial" w:ascii="Arial" w:hAnsi="Arial"/>
                <w:sz w:val="20"/>
                <w:szCs w:val="20"/>
              </w:rPr>
              <w:t xml:space="preserve">R$ </w:t>
            </w:r>
            <w:r>
              <w:rPr>
                <w:rFonts w:eastAsia="Calibri" w:cs="Arial" w:ascii="Arial" w:hAnsi="Arial"/>
                <w:color w:val="auto"/>
                <w:sz w:val="20"/>
                <w:szCs w:val="20"/>
                <w:lang w:val="pt-BR" w:eastAsia="zh-CN" w:bidi="ar-SA"/>
              </w:rPr>
              <w:t>517,00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10.340,00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pPr>
            <w:r>
              <w:rPr>
                <w:rFonts w:cs="Arial" w:ascii="Arial" w:hAnsi="Arial"/>
                <w:sz w:val="20"/>
                <w:szCs w:val="20"/>
              </w:rPr>
              <w:t xml:space="preserve">Caixa sifonada de </w:t>
            </w:r>
            <w:r>
              <w:rPr>
                <w:rFonts w:eastAsia="Calibri" w:cs="Arial" w:ascii="Arial" w:hAnsi="Arial"/>
                <w:color w:val="auto"/>
                <w:sz w:val="20"/>
                <w:szCs w:val="20"/>
                <w:lang w:val="pt-BR" w:eastAsia="zh-CN" w:bidi="ar-SA"/>
              </w:rPr>
              <w:t>PVC</w:t>
            </w:r>
            <w:r>
              <w:rPr>
                <w:rFonts w:cs="Arial" w:ascii="Arial" w:hAnsi="Arial"/>
                <w:sz w:val="20"/>
                <w:szCs w:val="20"/>
              </w:rPr>
              <w:t xml:space="preserve"> com corpo giratório para esgoto sanitário, medidas aproximadas: (altura: 140 mm / diâmetro da caixa: 100 mm / diâmetro de entrada: 40 mm / diâmetro de saída: 50 mm / formato da grelha: redonda / número de entradas: 5).</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pPr>
            <w:r>
              <w:rPr>
                <w:rFonts w:eastAsia="Times New Roman" w:cs="Arial" w:ascii="Arial" w:hAnsi="Arial"/>
                <w:sz w:val="20"/>
                <w:szCs w:val="20"/>
                <w:lang w:eastAsia="pt-BR"/>
              </w:rPr>
              <w:t xml:space="preserve">R$ </w:t>
            </w:r>
            <w:r>
              <w:rPr>
                <w:rFonts w:eastAsia="Times New Roman" w:cs="Arial" w:ascii="Arial" w:hAnsi="Arial"/>
                <w:color w:val="auto"/>
                <w:sz w:val="20"/>
                <w:szCs w:val="20"/>
                <w:lang w:val="pt-BR" w:eastAsia="pt-BR" w:bidi="ar-SA"/>
              </w:rPr>
              <w:t>80,00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6.400,00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Caixa sifonada de PVC para esgoto sanitário, medidas aproximadas: (altura: 100 mm / diâmetro da caixa: 100 mm / diâmetro de entrada: 40 mm / diâmetro de saída: 50 mm / formato da grelha: redonda / número de entradas: 3 / tipo de grelha: pvc branco).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R$ 38,95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3.505,50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pPr>
            <w:r>
              <w:rPr>
                <w:rFonts w:cs="Arial" w:ascii="Arial" w:hAnsi="Arial"/>
                <w:sz w:val="20"/>
                <w:szCs w:val="20"/>
              </w:rPr>
              <w:t xml:space="preserve">Caixa sifonada de </w:t>
            </w:r>
            <w:r>
              <w:rPr>
                <w:rFonts w:eastAsia="Calibri" w:cs="Arial" w:ascii="Arial" w:hAnsi="Arial"/>
                <w:color w:val="auto"/>
                <w:sz w:val="20"/>
                <w:szCs w:val="20"/>
                <w:lang w:val="pt-BR" w:eastAsia="zh-CN" w:bidi="ar-SA"/>
              </w:rPr>
              <w:t>PVC</w:t>
            </w:r>
            <w:r>
              <w:rPr>
                <w:rFonts w:cs="Arial" w:ascii="Arial" w:hAnsi="Arial"/>
                <w:sz w:val="20"/>
                <w:szCs w:val="20"/>
              </w:rPr>
              <w:t xml:space="preserve"> para esgoto sanitário, medidas aproximadas: (altura: 150 mm / diâmetro da caixa: 150 mm / diâmetro de entrada: 40 mm / diâmetro de saída: 50 mm / formato da grelha: redonda / número de entradas: 7 / tipo de grelha: alumínio.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R$ 48,95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4.895,00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pPr>
            <w:r>
              <w:rPr>
                <w:rFonts w:cs="Arial" w:ascii="Arial" w:hAnsi="Arial"/>
                <w:sz w:val="20"/>
                <w:szCs w:val="20"/>
              </w:rPr>
              <w:t xml:space="preserve">Caixa sifonada de </w:t>
            </w:r>
            <w:r>
              <w:rPr>
                <w:rFonts w:eastAsia="Calibri" w:cs="Arial" w:ascii="Arial" w:hAnsi="Arial"/>
                <w:color w:val="auto"/>
                <w:sz w:val="20"/>
                <w:szCs w:val="20"/>
                <w:lang w:val="pt-BR" w:eastAsia="zh-CN" w:bidi="ar-SA"/>
              </w:rPr>
              <w:t>PVC</w:t>
            </w:r>
            <w:r>
              <w:rPr>
                <w:rFonts w:cs="Arial" w:ascii="Arial" w:hAnsi="Arial"/>
                <w:sz w:val="20"/>
                <w:szCs w:val="20"/>
              </w:rPr>
              <w:t xml:space="preserve"> para esgoto sanitário, medidas aproximadas: (altura: 150 mm / diâmetro da caixa: 100 mm / diâmetro de entrada: 40 mm / diâmetro de saída: 50 mm / formato da grelha: redonda / número de entradas: 3).</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R$ 40,29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3.223,20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PVC joelho esgoto 100 mm 45.</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R$ 10,32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3.612,00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PVC joelho esgoto 100 mm 90º.</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R$ 10,96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3.288,00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pPr>
            <w:r>
              <w:rPr>
                <w:rFonts w:eastAsia="Arial" w:cs="Arial" w:ascii="Arial" w:hAnsi="Arial"/>
                <w:sz w:val="20"/>
                <w:szCs w:val="20"/>
              </w:rPr>
              <w:t xml:space="preserve"> </w:t>
            </w:r>
            <w:r>
              <w:rPr>
                <w:rFonts w:cs="Arial" w:ascii="Arial" w:hAnsi="Arial"/>
                <w:sz w:val="20"/>
                <w:szCs w:val="20"/>
              </w:rPr>
              <w:t>CAP (tampão) pbv de pvc branco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R$ 9,89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1.978,00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160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225,60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 diâmetro da seção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170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R$ 1,74</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295,80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29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125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R$ 2,30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287,50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para água fria - diâmetro da seção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R$ 5,45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490,50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para água fria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65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R$ 8,93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580,45</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CAP (tampão) soldável de pvc marrom para água fria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95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R$ 12,40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1.178,00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de instalação hidráulica nípel rosca branca paralela de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pbv branco para esgoto série normal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170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R$ 18,16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3.087,20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pbv branco para esgoto série normal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160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R$ 8,17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1.307,20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pbv branco para esgoto série normal – diâmetro da seção de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R$ 23,37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1.168,50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110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R$ 42,20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2.110,00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170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353,60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39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265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1.722,50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R$ 12,17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3.651,00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R$ 20,51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3.896,90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90º soldável de pvc marrom para água fria – diâmetro da seção de 85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R$ 31,09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3.109,00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Conexão tee pvc para esgoto branca – 100 x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R$ 16,45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3.619,00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curta pbv de pvc branco para esgoto série normal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R$ 32,06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4.488,40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curta pbv de pvc branco para esgoto série normal – diâmetro da seção de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R$ 27,34</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3.554,20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soldável marrom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R$ 2,82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676,80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soldável marrom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R$ 3,26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1.238,80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soldável de pvc marrom para água fria – diâmetro da seção de 110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60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R$ 168,02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10.081,20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49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água fria 30 cm metal cromado.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4.128,60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água quente e fria inox 60 cm ½ tradicional.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R$ 18,99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4.177,80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pbv de pvc branco para esgoto série normal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R$ 13,36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3.206,40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pbv de pvc branco para esgoto série normal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R$ 7,22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1.732,80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pbv de pvc branco para esgoto série normal – diâmetro da seção de 75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R$ 10,53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2.527,20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270,20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190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389,50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R$ 3,57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892,50</w:t>
            </w:r>
          </w:p>
        </w:tc>
      </w:tr>
      <w:tr>
        <w:trPr>
          <w:trHeight w:val="582" w:hRule="atLeast"/>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R$ 6,49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649,00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R$ 8,48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848,00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59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90º soldável de pvc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R$ 13,53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1.082,40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correr pvc branco para esgoto série normal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R$ 20,30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4.060,00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soldável de pvc marrom para água fria – diâmetro de entrada de 25 mm e diâmetro de saída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486,20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soldável de pvc marrom para água fria – diâmetro de entrada de 32 mm e diâmetro de saída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R$ 2,78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361,40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soldável de pvc marrom para água fria – diâmetro de entrada de 40 mm e diâmetro de saída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R$ 4,12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535,60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soldável de pvc marrom para água fria – diâmetro de entrada de 50 mm e diâmetro de saída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816,20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simples de pvc branco para esgoto, série normal – diâmetro da seção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R$ 8,96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1.344,00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simples de pvc branco para esgoto, série normal – diâmetro da seção de 150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R$ 25,06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3.508,40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R$ 1,59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333,90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R$ 3,29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921,20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69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170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792,20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R$ 5,61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729,30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R$ 10,57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1.162,70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soldável de pvc marrom para água fria – diâmetro da seção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591,00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Mangueira preta 1” x 2 mm rolo, com 100 metros (no mínimo) – de primeira qualidade.</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R$ 340,00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39.100,00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Plug de pvc branco roscável – diâmetro da seção de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95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R$ 0,89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84,55</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Plug de pvc branco roscável – diâmetro da seção de 3/4.</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95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134,90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Redução de pvc branco para esgoto série normal – diâmetro de entrada de 100 mm e diâmetro de saída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R$ 10,71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1.392,30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Redução de pvc branco para esgoto série normal – diâmetro de entrada de 150 mm e diâmetro de saída de 100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R$ 21,29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2.554,80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Redução de pvc branco para esgoto série normal – diâmetro de entrada de 75 mm e diâmetro de saída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R$ 8,58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858,00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79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chuveiro em pvc roscável – diâmetro da seção de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R$ 63,25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8.855,00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chuveiro em pvc roscável – diâmetro da seção de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R$ 61,25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8.575,00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roscável – diâmetro da seção de 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roscável - diâmetro da seção de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R$ 20,68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2.068,00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soldável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1.466,30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soldável – diâmetro da seção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R$ 15,82</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1.740,20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soldável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2.475,00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soldável - diâmetro da seção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R$ 28,20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3.102,00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Registro de esfera de pvc soldável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R$ 52,63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4.210,40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Reparo para caixa acoplada completo acionamento superior (universal para todos os modelos de caixa acoplado com acionamento botão superior).</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R$ 143,66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25.858,80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89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Reservatório de água de polietileno de alta densidade com tampa rosqueável de medidas aproximadas de 1,93 m x 2,78 - capacidade de 10.000 L, formato cilíndrico.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R$ 4.900,00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196.000,00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Reservatório de água de polietileno de alta densidade com tampa rosqueável de medidas aproximadas de 1,51 m x 2,25 – capacidade de 5.000 L, formato cilíndrico.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R$ 3.466,66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138.666,40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Reservatório de água de polietileno de alta densidade com tampa rosqueável de medidas aproximadas de 65 x 116 cm – capacidade de 500 L, formato cilíndrico.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R$ 603,33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30.166,50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Torneira boia ¾ com metal.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R$ 55,57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2.778,50</w:t>
            </w:r>
          </w:p>
        </w:tc>
      </w:tr>
      <w:tr>
        <w:trPr>
          <w:trHeight w:val="816" w:hRule="atLeast"/>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Torneira boia para caixa de água ½ de polietileno de alta densidade com haste de alumínio de elevada durabilidade.</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R$ 79,08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2.372,40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Torneira lavatório para mesa de metal com arejador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21.000,00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Torneira de metal de parede com arejador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10.400,00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Torneira para jardim pvc preta curta com bico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R$ 3,94</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394,00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100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R$ 104,81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31.443,00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150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R$ 242,87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60.717,50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99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200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R$ 578,17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57.817,00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50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R$ 67,28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10.092,00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75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60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R$ 90,95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5.457,00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pbv de pvc branco - diâmetro da seção de 40 mm,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R$ 67,25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10.087,50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pvc soldável 20 mm para água fria,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R$ 24,29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24.290,00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pvc soldável 25 mm para água fria,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R$ 29,73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29.730,00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pvc soldável 32 mm para água fria,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R$ 45,69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45.690,00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pvc soldável 40 mm para água fria,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R$ 62,35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62.350,00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pvc soldável 50 mm para água fria, barra de 6 metros (mínimo).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R$ 99,00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99.000,00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soldável de pvc marrom para água fria – diâmetro da seção de 60 mm, barro com no mínimo 6 metros.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R$ 149,93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44.979,00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109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soldável de pvc marrom para água fria – diâmetro da seção de 75 mm, barro com no mínimo 6 metros.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R$ 196,55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39.310,00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soldável de pvc marrom para água fria - diâmetro da seção de 85 mm, barro com no mínimo 6 metros.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R$ 252,71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25.271,00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20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R$ 25,91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8.550,30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25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380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R$ 28,03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10.651,40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R$ 16,54</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5.458,20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8.358,90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R$ 34,69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11.447,70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soldável de pvc marrom para água fria - diâmetro da seção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R$ 60,07</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15.017,50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americana para pia, metal cromada de 3.1/2” x 1.1/2” pol.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R$ 34,00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5.100,00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de retenção marrom soldável de 50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R$ 95,39</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2.861,70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119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de retenção marrom soldável de 60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R$ 113,63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3.408,90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de retenção marrom soldável de 32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R$ 69,18</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2.075,40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de retenção marrom soldável de 40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30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R$ 74,23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2.226,90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Válvula para descarga diâmetro de 1.1/2”.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de pvc ½ x 60 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R$ 48,50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9.700,00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de pvc alta pressão ½ x 30 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R$ 37,50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7.500,00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Esguicho para mangueira 1/2" 10,6 cm x 3,2 cm x 3,2 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R$ 22,23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444,60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Espigão macho rosca 3/4 com escama 1/2.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R$ 16,53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826,50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Geocomposto drenante para trincheiras de drenagem - rolo com 1 x 30 metros.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pPr>
            <w:r>
              <w:rPr>
                <w:rFonts w:eastAsia="Times New Roman" w:cs="Arial" w:ascii="Arial" w:hAnsi="Arial"/>
                <w:color w:val="auto"/>
                <w:sz w:val="20"/>
                <w:szCs w:val="20"/>
                <w:lang w:val="pt-BR" w:eastAsia="pt-BR" w:bidi="ar-SA"/>
              </w:rPr>
              <w:t>280</w:t>
            </w:r>
            <w:r>
              <w:rPr>
                <w:rFonts w:eastAsia="Times New Roman" w:cs="Arial" w:ascii="Arial" w:hAnsi="Arial"/>
                <w:sz w:val="20"/>
                <w:szCs w:val="20"/>
                <w:lang w:eastAsia="pt-BR"/>
              </w:rPr>
              <w:t xml:space="preserve"> rolos</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R$ 1.850,00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518.000,00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Spud p/ vaso sanitário universal borracha 38mm.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129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Mecanismo caixa acoplada de saída 3/6 l completo.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Vaso sanitário em louça, cor branca, completo com caixa acoplada, assento, tampa, anel de vedação e parafusos necessários.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R$ 645,30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6.453,00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Parafuso para vaso sanitário 95 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Anel de vedação para vaso sanitário com guia.</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R$ 21,83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2.183,00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Assento sanitário branco almofadado.</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R$ 44,51</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4.451,00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Caixa de descarga branca 9 l.</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R$ 54,26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1.085,20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Tubo de descida sobrepor 1.50 m 40 mm com curva.</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R$ 34,33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686,60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de pvc 50 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R$ 17,66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1.766,00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Engate flexível de pvc 40 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R$ 13,30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1.330,00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3/8".</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R$ 14,53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726,50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139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R$ 14,86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743,00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R$ 28,00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1.1/4".</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R$ 31,50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1.575,00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1.1/2".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R$ 36,16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1.808,00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sem rosca, Ø 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R$ 36,66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1.833,00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3/8".</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R$ 12,33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1.233,00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1.433,00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R$ 17,33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1.733,00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149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1.1/4".</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2.066,00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União p/ mangueira c/ rosca interna Ø 1.1/2".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2.233,00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3/8".</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R$ 5,50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R$ 6,50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650,00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R$ 8,16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816,00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1.1/4".</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 mangueira c/ rosca interna Ø 1.1/2"</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R$ 21,83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2.183,00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triplo p/ mangueira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triplo p/ mangueira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1.650,00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159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triplo p/ mangueira Ø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R$ 23,16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2.316,00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 mangueira c/ rosca interna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R$ 15,50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1.550,00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 mangueira c/ rosca interna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1.650,00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 mangueira c/ rosca interna Ø 1".</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1.925,00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com rosca externa,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com rosca externa,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R$ 14,83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1.483,00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com rosca interna, Ø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R$ 10,10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1.010,00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Adaptador para mangueira, com rosca interna, Ø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1.325,00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PVC azul c/ rosca metálica interna Ø 20mm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R$ 17,00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4.250,00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PVC azul c/ rosca metálica interna Ø 25mm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4.875,00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169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Joelho PVC azul c/ rosca metálica interna Ø 25mm x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5.500,00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azul c/ rosca metálica interna Ø 20mm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3.300,00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azul c/ rosca metálica interna Ø 25mm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R$ 19,50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3.900,00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azul c/ rosca metálica interna Ø 25mm x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4.500,00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PVC azul c/ rosca metálica interna Ø 20mm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R$ 20,00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4.000,00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PVC azul c/ rosca metálica interna Ø 25mm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R$ 22,00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4.400,00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Tee PVC azul c/ rosca metálica interna Ø 25mm x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R$ 25,50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5.100,00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soldável Ø 20mm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1.850,00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soldável Ø 25mm x ½".</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R$ 9,40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1.880,00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Luva de redução PVC soldável Ø 25mm x ¾".</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3.200,00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179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Junção PVC branco p/ esgoto Ø 50x40mm.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Junção PVC branco p/ esgoto Ø 75x50mm.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R$ 23,25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1.162,50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181</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Junção PVC branco p/ esgoto Ø 100x50mm.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50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R$ 24,25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1.212,50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182</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90º PVC branco Ø 150mm.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R$ 42,00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1.680,00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183</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Curva 45º PVC branco Ø 150mm.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40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R$ 38,50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1.540,00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184</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Reparo PVC p/ registro Lekat Ø 20mm.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R$ 45,33</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906,60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185</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Reparo PVC p/ registro Lekat Ø 25mm.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R$ 46,66</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933,20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186</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Lavatório com coluna p/ banheiro, cor branca, alt:69cm, comp: 120cm, larg: 16cm.</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R$ 424,95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8.499,00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187</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Tanque plástico p/ lavar roupas 60x50x30cm, mínimo 24 litros.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R$ 169,00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3.380,00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188</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Caixa p/ registro d'água padrão CASAN.</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20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R$ 135,00</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2.700,00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189</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Vaso sanitário infantil, em louça, cor branca, completo com caixa acoplada, assento, tampa, anel de vedação e parafusos.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R$ 794,95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7.949,50</w:t>
            </w:r>
          </w:p>
        </w:tc>
      </w:tr>
      <w:tr>
        <w:trPr/>
        <w:tc>
          <w:tcPr>
            <w:tcW w:w="816"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pacing w:lineRule="auto" w:line="240" w:before="0" w:after="160"/>
              <w:jc w:val="center"/>
              <w:rPr>
                <w:rFonts w:ascii="Arial" w:hAnsi="Arial" w:cs="Arial"/>
                <w:sz w:val="20"/>
                <w:szCs w:val="20"/>
              </w:rPr>
            </w:pPr>
            <w:r>
              <w:rPr>
                <w:rFonts w:cs="Arial" w:ascii="Arial" w:hAnsi="Arial"/>
                <w:sz w:val="20"/>
                <w:szCs w:val="20"/>
              </w:rPr>
              <w:t>190</w:t>
            </w:r>
          </w:p>
        </w:tc>
        <w:tc>
          <w:tcPr>
            <w:tcW w:w="373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both"/>
              <w:rPr>
                <w:rFonts w:ascii="Arial" w:hAnsi="Arial" w:cs="Arial"/>
                <w:sz w:val="20"/>
                <w:szCs w:val="20"/>
              </w:rPr>
            </w:pPr>
            <w:r>
              <w:rPr>
                <w:rFonts w:cs="Arial" w:ascii="Arial" w:hAnsi="Arial"/>
                <w:sz w:val="20"/>
                <w:szCs w:val="20"/>
              </w:rPr>
              <w:t>Vaso sanitário infantil, em louça, cor branca, com assento, tampa, anel de vedação e parafusos.</w:t>
            </w:r>
          </w:p>
        </w:tc>
        <w:tc>
          <w:tcPr>
            <w:tcW w:w="1128"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10 und</w:t>
            </w:r>
          </w:p>
        </w:tc>
        <w:tc>
          <w:tcPr>
            <w:tcW w:w="1369" w:type="dxa"/>
            <w:tcBorders>
              <w:left w:val="single" w:sz="4" w:space="0" w:color="000000"/>
              <w:bottom w:val="single" w:sz="4" w:space="0" w:color="000000"/>
              <w:right w:val="single" w:sz="4" w:space="0" w:color="000000"/>
            </w:tcBorders>
            <w:vAlign w:val="center"/>
          </w:tcPr>
          <w:p>
            <w:pPr>
              <w:pStyle w:val="Normal"/>
              <w:widowControl w:val="false"/>
              <w:tabs>
                <w:tab w:val="clear" w:pos="708"/>
                <w:tab w:val="center" w:pos="4252" w:leader="none"/>
                <w:tab w:val="right" w:pos="8504" w:leader="none"/>
              </w:tabs>
              <w:snapToGrid w:val="false"/>
              <w:spacing w:lineRule="auto" w:line="240" w:before="0" w:after="160"/>
              <w:jc w:val="center"/>
              <w:rPr>
                <w:rFonts w:ascii="Arial" w:hAnsi="Arial" w:eastAsia="Times New Roman" w:cs="Arial"/>
                <w:sz w:val="20"/>
                <w:szCs w:val="20"/>
                <w:lang w:eastAsia="pt-BR"/>
              </w:rPr>
            </w:pPr>
            <w:r>
              <w:rPr>
                <w:rFonts w:eastAsia="Times New Roman" w:cs="Arial" w:ascii="Arial" w:hAnsi="Arial"/>
                <w:sz w:val="20"/>
                <w:szCs w:val="20"/>
                <w:lang w:eastAsia="pt-BR"/>
              </w:rPr>
              <w:t>R$ 794,95</w:t>
            </w:r>
          </w:p>
        </w:tc>
        <w:tc>
          <w:tcPr>
            <w:tcW w:w="163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center"/>
              <w:rPr>
                <w:rFonts w:ascii="Arial" w:hAnsi="Arial" w:eastAsia="Arial" w:cs="Arial"/>
                <w:color w:val="000000"/>
                <w:spacing w:val="0"/>
                <w:kern w:val="0"/>
                <w:sz w:val="20"/>
                <w:szCs w:val="20"/>
                <w:lang w:val="en-US" w:eastAsia="en-US" w:bidi="ar-SA"/>
              </w:rPr>
            </w:pPr>
            <w:r>
              <w:rPr>
                <w:rFonts w:eastAsia="Arial" w:cs="Arial" w:ascii="Arial" w:hAnsi="Arial"/>
                <w:color w:val="000000"/>
                <w:spacing w:val="0"/>
                <w:kern w:val="0"/>
                <w:sz w:val="20"/>
                <w:szCs w:val="20"/>
                <w:lang w:val="en-US" w:eastAsia="en-US" w:bidi="ar-SA"/>
              </w:rPr>
              <w:t>7.949,50</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shd w:fill="auto" w:val="clear"/>
        </w:rPr>
      </w:pPr>
      <w:r>
        <w:rPr>
          <w:rFonts w:eastAsia="Times New Roman" w:cs="Arial" w:ascii="Arial" w:hAnsi="Arial"/>
          <w:b/>
          <w:bCs w:val="false"/>
          <w:i w:val="false"/>
          <w:iCs/>
          <w:caps w:val="false"/>
          <w:smallCaps w:val="false"/>
          <w:color w:val="000000"/>
          <w:spacing w:val="0"/>
          <w:sz w:val="22"/>
          <w:szCs w:val="22"/>
          <w:u w:val="none"/>
          <w:shd w:fill="auto" w:val="clear"/>
          <w:lang w:val="pt-BR" w:eastAsia="pt-BR" w:bidi="ar-SA"/>
        </w:rPr>
        <w:t>2.1.2.</w:t>
      </w:r>
      <w:r>
        <w:rPr>
          <w:rFonts w:eastAsia="Times New Roman" w:cs="Arial" w:ascii="Arial" w:hAnsi="Arial"/>
          <w:b/>
          <w:bCs/>
          <w:i w:val="false"/>
          <w:iCs w:val="false"/>
          <w:caps w:val="false"/>
          <w:smallCaps w:val="false"/>
          <w:color w:val="000000"/>
          <w:spacing w:val="0"/>
          <w:sz w:val="22"/>
          <w:szCs w:val="22"/>
          <w:u w:val="none"/>
          <w:shd w:fill="auto" w:val="clear"/>
          <w:lang w:val="pt-BR" w:eastAsia="pt-BR" w:bidi="ar-SA"/>
        </w:rPr>
        <w:t xml:space="preserve"> Nos</w:t>
      </w:r>
      <w:r>
        <w:rPr>
          <w:rFonts w:eastAsia="Times New Roman" w:cs="Arial" w:ascii="Arial" w:hAnsi="Arial"/>
          <w:b/>
          <w:bCs/>
          <w:i w:val="false"/>
          <w:iCs/>
          <w:caps w:val="false"/>
          <w:smallCaps w:val="false"/>
          <w:color w:val="000000"/>
          <w:spacing w:val="0"/>
          <w:sz w:val="22"/>
          <w:szCs w:val="22"/>
          <w:u w:val="none"/>
          <w:shd w:fill="auto" w:val="clear"/>
          <w:lang w:val="pt-BR" w:eastAsia="pt-BR" w:bidi="ar-SA"/>
        </w:rPr>
        <w:t xml:space="preserve"> itens de contratação cujo valor seja de até R$ 80.000,00 (oitenta mil reais)</w:t>
      </w:r>
      <w:r>
        <w:rPr>
          <w:rFonts w:eastAsia="Times New Roman" w:cs="Arial" w:ascii="Arial" w:hAnsi="Arial"/>
          <w:b/>
          <w:bCs/>
          <w:i/>
          <w:iCs/>
          <w:caps w:val="false"/>
          <w:smallCaps w:val="false"/>
          <w:color w:val="000000"/>
          <w:spacing w:val="0"/>
          <w:sz w:val="22"/>
          <w:szCs w:val="22"/>
          <w:u w:val="none"/>
          <w:shd w:fill="auto" w:val="clear"/>
          <w:lang w:val="pt-BR" w:eastAsia="pt-BR" w:bidi="ar-SA"/>
        </w:rPr>
        <w:t xml:space="preserve"> a participação será </w:t>
      </w:r>
      <w:r>
        <w:rPr>
          <w:rFonts w:eastAsia="Times New Roman" w:cs="Arial" w:ascii="Arial" w:hAnsi="Arial"/>
          <w:b/>
          <w:bCs/>
          <w:i w:val="false"/>
          <w:iCs/>
          <w:caps w:val="false"/>
          <w:smallCaps w:val="false"/>
          <w:color w:val="000000"/>
          <w:spacing w:val="0"/>
          <w:sz w:val="22"/>
          <w:szCs w:val="22"/>
          <w:u w:val="none"/>
          <w:shd w:fill="auto" w:val="clear"/>
          <w:lang w:val="pt-BR" w:eastAsia="pt-BR" w:bidi="ar-SA"/>
        </w:rPr>
        <w:t>exclusiva às microempresas e empresas de pequeno porte, de acordo com a Lei Complementar nº 123/2006.</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Cs/>
          <w:i/>
          <w:i/>
          <w:iCs/>
          <w:lang w:eastAsia="pt-BR"/>
        </w:rPr>
      </w:pPr>
      <w:r>
        <w:rPr>
          <w:rFonts w:eastAsia="Times New Roman" w:cs="Arial" w:ascii="Arial" w:hAnsi="Arial"/>
          <w:bCs/>
          <w:i/>
          <w:iCs/>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i/>
          <w:iCs/>
          <w:lang w:eastAsia="pt-BR"/>
        </w:rPr>
        <w:t>2.2.</w:t>
      </w:r>
      <w:r>
        <w:rPr>
          <w:rFonts w:eastAsia="Times New Roman" w:cs="Arial" w:ascii="Arial" w:hAnsi="Arial"/>
          <w:b/>
          <w:lang w:eastAsia="pt-BR"/>
        </w:rPr>
        <w:t xml:space="preserve"> </w:t>
      </w:r>
      <w:r>
        <w:rPr>
          <w:rFonts w:eastAsia="Times New Roman" w:cs="Arial" w:ascii="Arial" w:hAnsi="Arial"/>
          <w:lang w:eastAsia="pt-BR"/>
        </w:rPr>
        <w:t>O objeto está fundamentado no Estudo Técnico Preliminar – ETP (ANEXO I) e no Termo de Referência</w:t>
      </w:r>
      <w:r>
        <w:rPr>
          <w:rFonts w:eastAsia="Times New Roman" w:cs="Arial" w:ascii="Arial" w:hAnsi="Arial"/>
          <w:color w:val="FF0000"/>
          <w:lang w:eastAsia="pt-BR"/>
        </w:rPr>
        <w:t xml:space="preserve"> </w:t>
      </w:r>
      <w:r>
        <w:rPr>
          <w:rFonts w:eastAsia="Times New Roman" w:cs="Arial" w:ascii="Arial" w:hAnsi="Arial"/>
          <w:lang w:eastAsia="pt-BR"/>
        </w:rPr>
        <w:t>(ANEXO II).</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2.3.</w:t>
      </w:r>
      <w:r>
        <w:rPr>
          <w:rFonts w:eastAsia="Times New Roman" w:cs="Arial" w:ascii="Arial" w:hAnsi="Arial"/>
          <w:lang w:eastAsia="pt-BR"/>
        </w:rPr>
        <w:t xml:space="preserve"> Valor do objeto: </w:t>
      </w:r>
      <w:r>
        <w:rPr>
          <w:rFonts w:eastAsia="Times New Roman" w:cs="Arial" w:ascii="Arial" w:hAnsi="Arial"/>
          <w:b/>
          <w:bCs/>
          <w:color w:val="000000"/>
          <w:shd w:fill="FFFF00" w:val="clear"/>
          <w:lang w:eastAsia="pt-BR"/>
        </w:rPr>
        <w:t xml:space="preserve">R$ 2.081.067,55 </w:t>
      </w:r>
      <w:r>
        <w:rPr>
          <w:rFonts w:eastAsia="Times New Roman" w:cs="Arial" w:ascii="Arial" w:hAnsi="Arial"/>
          <w:bCs/>
          <w:color w:val="000000"/>
          <w:shd w:fill="FFFF00" w:val="clear"/>
          <w:lang w:eastAsia="pt-BR"/>
        </w:rPr>
        <w:t>(</w:t>
      </w:r>
      <w:r>
        <w:rPr>
          <w:rFonts w:eastAsia="Times New Roman" w:cs="Arial" w:ascii="Arial" w:hAnsi="Arial"/>
          <w:bCs/>
          <w:color w:val="000000"/>
          <w:kern w:val="0"/>
          <w:sz w:val="22"/>
          <w:szCs w:val="22"/>
          <w:shd w:fill="FFFF00" w:val="clear"/>
          <w:lang w:val="pt-BR" w:eastAsia="pt-BR" w:bidi="ar-SA"/>
        </w:rPr>
        <w:t>dois milhões, oitenta e um mil, seiscentos e sessenta e sete reais e cinquenta e cinco centavos</w:t>
      </w:r>
      <w:r>
        <w:rPr>
          <w:rFonts w:eastAsia="Times New Roman" w:cs="Arial" w:ascii="Arial" w:hAnsi="Arial"/>
          <w:bCs/>
          <w:color w:val="000000"/>
          <w:shd w:fill="FFFF00" w:val="clear"/>
          <w:lang w:eastAsia="pt-BR"/>
        </w:rPr>
        <w:t>).</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color w:val="000000"/>
          <w:lang w:eastAsia="pt-BR"/>
        </w:rPr>
        <w:t>2.4.</w:t>
      </w:r>
      <w:r>
        <w:rPr>
          <w:rFonts w:eastAsia="Times New Roman" w:cs="Arial" w:ascii="Arial" w:hAnsi="Arial"/>
          <w:color w:val="000000"/>
          <w:lang w:eastAsia="pt-BR"/>
        </w:rPr>
        <w:t xml:space="preserve"> SUBCONTRATAÇÃO: Na execução do contrato É VEDADA ao CONTRATADO a subcontratação do objeto.</w:t>
      </w:r>
    </w:p>
    <w:p>
      <w:pPr>
        <w:pStyle w:val="Normal"/>
        <w:widowControl w:val="false"/>
        <w:tabs>
          <w:tab w:val="clear" w:pos="708"/>
          <w:tab w:val="left" w:pos="1701" w:leader="none"/>
        </w:tabs>
        <w:spacing w:lineRule="auto" w:line="240" w:before="0" w:after="0"/>
        <w:jc w:val="both"/>
        <w:textAlignment w:val="baseline"/>
        <w:rPr>
          <w:rFonts w:ascii="Arial" w:hAnsi="Arial" w:cs="Arial"/>
          <w:color w:val="000000"/>
        </w:rPr>
      </w:pPr>
      <w:r>
        <w:rPr>
          <w:rFonts w:cs="Arial" w:ascii="Arial" w:hAnsi="Arial"/>
          <w:color w:val="000000"/>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color w:val="000000"/>
          <w:lang w:eastAsia="pt-BR"/>
        </w:rPr>
        <w:t xml:space="preserve">2.5. Em caso de discordância existente entre as especificações deste objeto descritas no endereço eletrônico </w:t>
      </w:r>
      <w:r>
        <w:rPr>
          <w:rFonts w:eastAsia="Times New Roman" w:cs="Arial" w:ascii="Arial" w:hAnsi="Arial"/>
          <w:i/>
          <w:iCs/>
          <w:color w:val="000000"/>
          <w:lang w:eastAsia="pt-BR"/>
        </w:rPr>
        <w:t>compras.gov.br</w:t>
      </w:r>
      <w:r>
        <w:rPr>
          <w:rFonts w:eastAsia="Times New Roman" w:cs="Arial" w:ascii="Arial" w:hAnsi="Arial"/>
          <w:color w:val="000000"/>
          <w:lang w:eastAsia="pt-BR"/>
        </w:rPr>
        <w:t xml:space="preserve"> e as especificações técnicas constantes deste edital,</w:t>
      </w:r>
      <w:r>
        <w:rPr>
          <w:rFonts w:eastAsia="Times New Roman" w:cs="Arial" w:ascii="Arial" w:hAnsi="Arial"/>
          <w:b/>
          <w:bCs/>
          <w:color w:val="000000"/>
          <w:lang w:eastAsia="pt-BR"/>
        </w:rPr>
        <w:t xml:space="preserve"> prevalecerão as constantes do Edital.</w:t>
      </w:r>
    </w:p>
    <w:p>
      <w:pPr>
        <w:pStyle w:val="Normal"/>
        <w:widowControl w:val="false"/>
        <w:tabs>
          <w:tab w:val="clear" w:pos="708"/>
          <w:tab w:val="left" w:pos="1418" w:leader="none"/>
        </w:tabs>
        <w:spacing w:lineRule="auto" w:line="240" w:before="0" w:after="0"/>
        <w:contextualSpacing/>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pPr>
      <w:r>
        <w:rPr>
          <w:rFonts w:eastAsia="Times New Roman" w:cs="Arial" w:ascii="Arial" w:hAnsi="Arial"/>
          <w:b/>
          <w:lang w:eastAsia="pt-BR"/>
        </w:rPr>
        <w:t>3. PREVISÃO DE RECURSOS ORÇAMENTÁRIOS</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3.1.</w:t>
      </w:r>
      <w:r>
        <w:rPr>
          <w:rFonts w:eastAsia="Times New Roman" w:cs="Arial" w:ascii="Arial" w:hAnsi="Arial"/>
          <w:b/>
          <w:lang w:eastAsia="pt-BR"/>
        </w:rPr>
        <w:t xml:space="preserve"> </w:t>
      </w:r>
      <w:r>
        <w:rPr>
          <w:rFonts w:eastAsia="Times New Roman" w:cs="Arial" w:ascii="Arial" w:hAnsi="Arial"/>
          <w:lang w:eastAsia="pt-BR"/>
        </w:rPr>
        <w:t xml:space="preserve">As despesas decorrentes deste processo licitatório correrão por conta das </w:t>
      </w:r>
      <w:r>
        <w:rPr>
          <w:rFonts w:eastAsia="Times New Roman" w:cs="Arial" w:ascii="Arial" w:hAnsi="Arial"/>
          <w:color w:val="000000"/>
          <w:shd w:fill="auto" w:val="clear"/>
          <w:lang w:eastAsia="pt-BR"/>
        </w:rPr>
        <w:t>dotações previstas na Lei Orçamentária do Exercício vigente (2023);</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shd w:fill="auto" w:val="clear"/>
          <w:lang w:eastAsia="pt-BR"/>
        </w:rPr>
      </w:pPr>
      <w:r>
        <w:rPr>
          <w:rFonts w:eastAsia="Times New Roman" w:cs="Arial" w:ascii="Arial" w:hAnsi="Arial"/>
          <w:color w:val="000000"/>
          <w:shd w:fill="auto" w:val="clear"/>
          <w:lang w:eastAsia="pt-BR"/>
        </w:rPr>
      </w:r>
    </w:p>
    <w:p>
      <w:pPr>
        <w:pStyle w:val="Normal"/>
        <w:widowControl w:val="false"/>
        <w:spacing w:lineRule="auto" w:line="240" w:before="0" w:after="0"/>
        <w:ind w:left="0" w:right="0" w:hanging="0"/>
        <w:jc w:val="both"/>
        <w:rPr/>
      </w:pPr>
      <w:r>
        <w:rPr>
          <w:rFonts w:cs="Arial" w:ascii="Arial" w:hAnsi="Arial"/>
          <w:color w:val="000000"/>
          <w:sz w:val="22"/>
          <w:szCs w:val="22"/>
          <w:shd w:fill="auto" w:val="clear"/>
        </w:rPr>
        <w:t>03.00 – Secretaria Municipal de Administração e Fazenda</w:t>
      </w:r>
    </w:p>
    <w:p>
      <w:pPr>
        <w:pStyle w:val="Normal"/>
        <w:widowControl w:val="false"/>
        <w:spacing w:lineRule="auto" w:line="240" w:before="0" w:after="0"/>
        <w:ind w:left="0" w:right="0" w:hanging="0"/>
        <w:jc w:val="both"/>
        <w:rPr>
          <w:rFonts w:ascii="Arial" w:hAnsi="Arial" w:cs="Arial"/>
          <w:color w:val="000000"/>
          <w:sz w:val="22"/>
          <w:szCs w:val="22"/>
          <w:shd w:fill="auto" w:val="clear"/>
        </w:rPr>
      </w:pPr>
      <w:r>
        <w:rPr>
          <w:rFonts w:cs="Arial" w:ascii="Arial" w:hAnsi="Arial"/>
          <w:color w:val="000000"/>
          <w:sz w:val="22"/>
          <w:szCs w:val="22"/>
          <w:shd w:fill="auto" w:val="clear"/>
        </w:rPr>
        <w:t>03.01 – Secretaria Municipal de Administração e Fazenda</w:t>
      </w:r>
    </w:p>
    <w:p>
      <w:pPr>
        <w:pStyle w:val="Normal"/>
        <w:widowControl w:val="false"/>
        <w:spacing w:lineRule="auto" w:line="240" w:before="0" w:after="0"/>
        <w:ind w:left="0" w:right="0" w:hanging="0"/>
        <w:jc w:val="both"/>
        <w:rPr>
          <w:rFonts w:ascii="Arial" w:hAnsi="Arial" w:cs="Arial"/>
          <w:color w:val="000000"/>
          <w:sz w:val="22"/>
          <w:szCs w:val="22"/>
          <w:shd w:fill="auto" w:val="clear"/>
        </w:rPr>
      </w:pPr>
      <w:r>
        <w:rPr>
          <w:rFonts w:cs="Arial" w:ascii="Arial" w:hAnsi="Arial"/>
          <w:color w:val="000000"/>
          <w:sz w:val="22"/>
          <w:szCs w:val="22"/>
          <w:shd w:fill="auto" w:val="clear"/>
        </w:rPr>
        <w:t>2.003 – Manutenção Atividades da Sec. Administração e Fazenda</w:t>
      </w:r>
    </w:p>
    <w:p>
      <w:pPr>
        <w:pStyle w:val="Normal"/>
        <w:widowControl w:val="false"/>
        <w:spacing w:lineRule="auto" w:line="240" w:before="0" w:after="0"/>
        <w:ind w:left="0" w:right="0" w:hanging="0"/>
        <w:jc w:val="both"/>
        <w:rPr/>
      </w:pPr>
      <w:r>
        <w:rPr>
          <w:rFonts w:cs="Arial" w:ascii="Arial" w:hAnsi="Arial"/>
          <w:color w:val="000000"/>
          <w:sz w:val="22"/>
          <w:szCs w:val="22"/>
          <w:shd w:fill="auto" w:val="clear"/>
        </w:rPr>
        <w:t>3.3.90.30.99 – Outros</w:t>
      </w:r>
      <w:r>
        <w:rPr>
          <w:rFonts w:eastAsia="Times New Roman" w:cs="Arial" w:ascii="Arial" w:hAnsi="Arial"/>
          <w:color w:val="000000"/>
          <w:sz w:val="22"/>
          <w:szCs w:val="22"/>
          <w:shd w:fill="auto" w:val="clear"/>
          <w:lang w:val="pt-BR" w:eastAsia="zh-CN" w:bidi="ar-SA"/>
        </w:rPr>
        <w:t xml:space="preserve"> Materiais de Consumo</w:t>
      </w:r>
    </w:p>
    <w:p>
      <w:pPr>
        <w:pStyle w:val="Normal"/>
        <w:widowControl w:val="false"/>
        <w:spacing w:lineRule="auto" w:line="240" w:before="0" w:after="0"/>
        <w:ind w:left="0"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04.00 – SECRETARIA MUNICIPAL DE TRANSPORTES</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04.01 – Departamento Municipal de Estradas e Rodagem</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 xml:space="preserve">2.007 – Manutenção das Atividades do DMER </w:t>
      </w:r>
    </w:p>
    <w:p>
      <w:pPr>
        <w:pStyle w:val="Normal"/>
        <w:widowControl w:val="false"/>
        <w:spacing w:lineRule="auto" w:line="240" w:before="0" w:after="0"/>
        <w:ind w:left="0" w:right="0" w:hanging="0"/>
        <w:jc w:val="both"/>
        <w:rPr/>
      </w:pPr>
      <w:r>
        <w:rPr>
          <w:rFonts w:cs="Arial" w:ascii="Arial" w:hAnsi="Arial"/>
          <w:color w:val="000000"/>
          <w:sz w:val="22"/>
          <w:szCs w:val="22"/>
          <w:shd w:fill="auto" w:val="clear"/>
        </w:rPr>
        <w:t>3.3.90.30.99 – Outros</w:t>
      </w:r>
      <w:r>
        <w:rPr>
          <w:rFonts w:eastAsia="Times New Roman" w:cs="Arial" w:ascii="Arial" w:hAnsi="Arial"/>
          <w:color w:val="000000"/>
          <w:sz w:val="22"/>
          <w:szCs w:val="22"/>
          <w:shd w:fill="auto" w:val="clear"/>
          <w:lang w:val="pt-BR" w:eastAsia="zh-CN" w:bidi="ar-SA"/>
        </w:rPr>
        <w:t xml:space="preserve"> Materiais de Consumo</w:t>
      </w:r>
    </w:p>
    <w:p>
      <w:pPr>
        <w:pStyle w:val="Normal"/>
        <w:spacing w:lineRule="auto" w:line="240" w:before="0" w:after="0"/>
        <w:ind w:left="0" w:right="0" w:hanging="0"/>
        <w:jc w:val="both"/>
        <w:rPr>
          <w:rFonts w:ascii="Arial" w:hAnsi="Arial" w:cs="Arial"/>
          <w:sz w:val="22"/>
          <w:szCs w:val="22"/>
        </w:rPr>
      </w:pPr>
      <w:r>
        <w:rPr>
          <w:rFonts w:cs="Arial" w:ascii="Arial" w:hAnsi="Arial"/>
          <w:sz w:val="22"/>
          <w:szCs w:val="22"/>
        </w:rPr>
      </w:r>
    </w:p>
    <w:p>
      <w:pPr>
        <w:pStyle w:val="Normal"/>
        <w:spacing w:lineRule="auto" w:line="240" w:before="0" w:after="0"/>
        <w:ind w:left="0" w:right="0" w:hanging="0"/>
        <w:jc w:val="both"/>
        <w:rPr/>
      </w:pPr>
      <w:r>
        <w:rPr>
          <w:rFonts w:cs="Arial" w:ascii="Arial" w:hAnsi="Arial"/>
          <w:sz w:val="22"/>
          <w:szCs w:val="22"/>
          <w:shd w:fill="auto" w:val="clear"/>
        </w:rPr>
        <w:t xml:space="preserve">05.00 – SECRETARIA MUNICIPAL DE </w:t>
      </w:r>
      <w:r>
        <w:rPr>
          <w:rFonts w:eastAsia="Calibri" w:cs="Arial" w:ascii="Arial" w:hAnsi="Arial"/>
          <w:color w:val="000000"/>
          <w:sz w:val="22"/>
          <w:szCs w:val="22"/>
          <w:shd w:fill="auto" w:val="clear"/>
          <w:lang w:val="pt-BR" w:eastAsia="zh-CN" w:bidi="ar-SA"/>
        </w:rPr>
        <w:t>AGRICULTURA E MEIO AMBIENTE</w:t>
      </w:r>
    </w:p>
    <w:p>
      <w:pPr>
        <w:pStyle w:val="Normal"/>
        <w:spacing w:lineRule="auto" w:line="240" w:before="0" w:after="0"/>
        <w:ind w:left="0" w:right="0" w:hanging="0"/>
        <w:jc w:val="both"/>
        <w:rPr/>
      </w:pPr>
      <w:r>
        <w:rPr>
          <w:rFonts w:cs="Arial" w:ascii="Arial" w:hAnsi="Arial"/>
          <w:sz w:val="22"/>
          <w:szCs w:val="22"/>
          <w:shd w:fill="auto" w:val="clear"/>
        </w:rPr>
        <w:t xml:space="preserve">05.01 – Departamento Municipal de </w:t>
      </w:r>
      <w:r>
        <w:rPr>
          <w:rFonts w:eastAsia="Calibri" w:cs="Arial" w:ascii="Arial" w:hAnsi="Arial"/>
          <w:color w:val="000000"/>
          <w:sz w:val="22"/>
          <w:szCs w:val="22"/>
          <w:shd w:fill="auto" w:val="clear"/>
          <w:lang w:val="pt-BR" w:eastAsia="zh-CN" w:bidi="ar-SA"/>
        </w:rPr>
        <w:t>Agricultura</w:t>
      </w:r>
    </w:p>
    <w:p>
      <w:pPr>
        <w:pStyle w:val="Normal"/>
        <w:spacing w:lineRule="auto" w:line="240" w:before="0" w:after="0"/>
        <w:ind w:left="0" w:right="0" w:hanging="0"/>
        <w:jc w:val="both"/>
        <w:rPr/>
      </w:pPr>
      <w:r>
        <w:rPr>
          <w:rFonts w:cs="Arial" w:ascii="Arial" w:hAnsi="Arial"/>
          <w:sz w:val="22"/>
          <w:szCs w:val="22"/>
          <w:shd w:fill="auto" w:val="clear"/>
        </w:rPr>
        <w:t xml:space="preserve">2.010 – Manutenção </w:t>
      </w:r>
      <w:r>
        <w:rPr>
          <w:rFonts w:eastAsia="Calibri" w:cs="Arial" w:ascii="Arial" w:hAnsi="Arial"/>
          <w:color w:val="000000"/>
          <w:sz w:val="22"/>
          <w:szCs w:val="22"/>
          <w:shd w:fill="auto" w:val="clear"/>
          <w:lang w:val="pt-BR" w:eastAsia="zh-CN" w:bidi="ar-SA"/>
        </w:rPr>
        <w:t>Departamento de Agricultura</w:t>
      </w:r>
    </w:p>
    <w:p>
      <w:pPr>
        <w:pStyle w:val="Normal"/>
        <w:spacing w:lineRule="auto" w:line="240" w:before="0" w:after="0"/>
        <w:ind w:left="0" w:right="0" w:hanging="0"/>
        <w:jc w:val="both"/>
        <w:rPr/>
      </w:pPr>
      <w:r>
        <w:rPr>
          <w:rFonts w:cs="Arial" w:ascii="Arial" w:hAnsi="Arial"/>
          <w:sz w:val="22"/>
          <w:szCs w:val="22"/>
          <w:shd w:fill="auto" w:val="clear"/>
        </w:rPr>
        <w:t xml:space="preserve">3.3.90.30.99 – </w:t>
      </w:r>
      <w:r>
        <w:rPr>
          <w:rFonts w:cs="Arial" w:ascii="Arial" w:hAnsi="Arial"/>
          <w:color w:val="000000"/>
          <w:sz w:val="22"/>
          <w:szCs w:val="22"/>
          <w:shd w:fill="auto" w:val="clear"/>
        </w:rPr>
        <w:t>Outros</w:t>
      </w:r>
      <w:r>
        <w:rPr>
          <w:rFonts w:eastAsia="Times New Roman" w:cs="Arial" w:ascii="Arial" w:hAnsi="Arial"/>
          <w:color w:val="000000"/>
          <w:sz w:val="22"/>
          <w:szCs w:val="22"/>
          <w:shd w:fill="auto" w:val="clear"/>
          <w:lang w:val="pt-BR" w:eastAsia="zh-CN" w:bidi="ar-SA"/>
        </w:rPr>
        <w:t xml:space="preserve">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05.02 Departamento do Meio Ambiente</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 xml:space="preserve">2.011 Manutenção Departamento de Meio Ambiente </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eastAsia="Arial" w:cs="Arial" w:ascii="Arial" w:hAnsi="Arial"/>
          <w:color w:val="000000"/>
          <w:sz w:val="22"/>
          <w:szCs w:val="22"/>
          <w:shd w:fill="auto" w:val="clear"/>
          <w:lang w:val="pt-BR" w:eastAsia="zh-CN" w:bidi="ar-SA"/>
        </w:rPr>
        <w:t xml:space="preserve"> </w:t>
      </w:r>
    </w:p>
    <w:p>
      <w:pPr>
        <w:pStyle w:val="Normal"/>
        <w:spacing w:lineRule="auto" w:line="240" w:before="0" w:after="0"/>
        <w:ind w:left="0" w:right="0" w:hanging="0"/>
        <w:jc w:val="both"/>
        <w:rPr/>
      </w:pPr>
      <w:r>
        <w:rPr>
          <w:rFonts w:cs="Arial" w:ascii="Arial" w:hAnsi="Arial"/>
          <w:sz w:val="22"/>
          <w:szCs w:val="22"/>
          <w:shd w:fill="auto" w:val="clear"/>
        </w:rPr>
        <w:t xml:space="preserve">06.00 – SECRETARIA MUNICIPAL DE </w:t>
      </w:r>
      <w:r>
        <w:rPr>
          <w:rFonts w:eastAsia="Calibri" w:cs="Arial" w:ascii="Arial" w:hAnsi="Arial"/>
          <w:color w:val="000000"/>
          <w:sz w:val="22"/>
          <w:szCs w:val="22"/>
          <w:shd w:fill="auto" w:val="clear"/>
          <w:lang w:val="pt-BR" w:eastAsia="zh-CN" w:bidi="ar-SA"/>
        </w:rPr>
        <w:t>EDUCAÇÃO, ESPORTE E LAZER</w:t>
      </w:r>
    </w:p>
    <w:p>
      <w:pPr>
        <w:pStyle w:val="Normal"/>
        <w:spacing w:lineRule="auto" w:line="240" w:before="0" w:after="0"/>
        <w:ind w:left="0" w:right="0" w:hanging="0"/>
        <w:jc w:val="both"/>
        <w:rPr/>
      </w:pPr>
      <w:r>
        <w:rPr>
          <w:rFonts w:cs="Arial" w:ascii="Arial" w:hAnsi="Arial"/>
          <w:sz w:val="22"/>
          <w:szCs w:val="22"/>
          <w:shd w:fill="auto" w:val="clear"/>
        </w:rPr>
        <w:t xml:space="preserve">06.01 – Departamento </w:t>
      </w:r>
      <w:r>
        <w:rPr>
          <w:rFonts w:eastAsia="Calibri" w:cs="Arial" w:ascii="Arial" w:hAnsi="Arial"/>
          <w:color w:val="000000"/>
          <w:sz w:val="22"/>
          <w:szCs w:val="22"/>
          <w:shd w:fill="auto" w:val="clear"/>
          <w:lang w:val="pt-BR" w:eastAsia="zh-CN" w:bidi="ar-SA"/>
        </w:rPr>
        <w:t>de Educação</w:t>
      </w:r>
    </w:p>
    <w:p>
      <w:pPr>
        <w:pStyle w:val="Normal"/>
        <w:spacing w:lineRule="auto" w:line="240" w:before="0" w:after="0"/>
        <w:ind w:left="0" w:right="0" w:hanging="0"/>
        <w:jc w:val="both"/>
        <w:rPr/>
      </w:pPr>
      <w:r>
        <w:rPr>
          <w:rFonts w:cs="Arial" w:ascii="Arial" w:hAnsi="Arial"/>
          <w:sz w:val="22"/>
          <w:szCs w:val="22"/>
          <w:shd w:fill="auto" w:val="clear"/>
        </w:rPr>
        <w:t xml:space="preserve">2.012 – Manutenção </w:t>
      </w:r>
      <w:r>
        <w:rPr>
          <w:rFonts w:eastAsia="Calibri" w:cs="Arial" w:ascii="Arial" w:hAnsi="Arial"/>
          <w:color w:val="000000"/>
          <w:sz w:val="22"/>
          <w:szCs w:val="22"/>
          <w:shd w:fill="auto" w:val="clear"/>
          <w:lang w:val="pt-BR" w:eastAsia="zh-CN" w:bidi="ar-SA"/>
        </w:rPr>
        <w:t>Secretaria de Educação</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06.01 – Departamento </w:t>
      </w:r>
      <w:r>
        <w:rPr>
          <w:rFonts w:eastAsia="Calibri" w:cs="Arial" w:ascii="Arial" w:hAnsi="Arial"/>
          <w:color w:val="000000"/>
          <w:sz w:val="22"/>
          <w:szCs w:val="22"/>
          <w:shd w:fill="auto" w:val="clear"/>
          <w:lang w:val="pt-BR" w:eastAsia="zh-CN" w:bidi="ar-SA"/>
        </w:rPr>
        <w:t>de Educação</w:t>
      </w:r>
    </w:p>
    <w:p>
      <w:pPr>
        <w:pStyle w:val="Normal"/>
        <w:spacing w:lineRule="auto" w:line="240" w:before="0" w:after="0"/>
        <w:ind w:left="0" w:right="0" w:hanging="0"/>
        <w:jc w:val="both"/>
        <w:rPr/>
      </w:pPr>
      <w:r>
        <w:rPr>
          <w:rFonts w:cs="Arial" w:ascii="Arial" w:hAnsi="Arial"/>
          <w:sz w:val="22"/>
          <w:szCs w:val="22"/>
          <w:shd w:fill="auto" w:val="clear"/>
        </w:rPr>
        <w:t xml:space="preserve">2.014 – Manutenção </w:t>
      </w:r>
      <w:r>
        <w:rPr>
          <w:rFonts w:eastAsia="Calibri" w:cs="Arial" w:ascii="Arial" w:hAnsi="Arial"/>
          <w:color w:val="000000"/>
          <w:sz w:val="22"/>
          <w:szCs w:val="22"/>
          <w:shd w:fill="auto" w:val="clear"/>
          <w:lang w:val="pt-BR" w:eastAsia="zh-CN" w:bidi="ar-SA"/>
        </w:rPr>
        <w:t>Ensino Fundamental</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06.01 – Departamento </w:t>
      </w:r>
      <w:r>
        <w:rPr>
          <w:rFonts w:eastAsia="Calibri" w:cs="Arial" w:ascii="Arial" w:hAnsi="Arial"/>
          <w:color w:val="000000"/>
          <w:sz w:val="22"/>
          <w:szCs w:val="22"/>
          <w:shd w:fill="auto" w:val="clear"/>
          <w:lang w:val="pt-BR" w:eastAsia="zh-CN" w:bidi="ar-SA"/>
        </w:rPr>
        <w:t>de Educação</w:t>
      </w:r>
    </w:p>
    <w:p>
      <w:pPr>
        <w:pStyle w:val="Normal"/>
        <w:spacing w:lineRule="auto" w:line="240" w:before="0" w:after="0"/>
        <w:ind w:left="0" w:right="0" w:hanging="0"/>
        <w:jc w:val="both"/>
        <w:rPr/>
      </w:pPr>
      <w:r>
        <w:rPr>
          <w:rFonts w:cs="Arial" w:ascii="Arial" w:hAnsi="Arial"/>
          <w:sz w:val="22"/>
          <w:szCs w:val="22"/>
          <w:shd w:fill="auto" w:val="clear"/>
        </w:rPr>
        <w:t xml:space="preserve">2.019 – Manutenção </w:t>
      </w:r>
      <w:r>
        <w:rPr>
          <w:rFonts w:eastAsia="Calibri" w:cs="Arial" w:ascii="Arial" w:hAnsi="Arial"/>
          <w:color w:val="000000"/>
          <w:sz w:val="22"/>
          <w:szCs w:val="22"/>
          <w:shd w:fill="auto" w:val="clear"/>
          <w:lang w:val="pt-BR" w:eastAsia="zh-CN" w:bidi="ar-SA"/>
        </w:rPr>
        <w:t>Pré-Escolar</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06.01 – Departamento </w:t>
      </w:r>
      <w:r>
        <w:rPr>
          <w:rFonts w:eastAsia="Calibri" w:cs="Arial" w:ascii="Arial" w:hAnsi="Arial"/>
          <w:color w:val="000000"/>
          <w:sz w:val="22"/>
          <w:szCs w:val="22"/>
          <w:shd w:fill="auto" w:val="clear"/>
          <w:lang w:val="pt-BR" w:eastAsia="zh-CN" w:bidi="ar-SA"/>
        </w:rPr>
        <w:t>de Educação</w:t>
      </w:r>
    </w:p>
    <w:p>
      <w:pPr>
        <w:pStyle w:val="Normal"/>
        <w:spacing w:lineRule="auto" w:line="240" w:before="0" w:after="0"/>
        <w:ind w:left="0" w:right="0" w:hanging="0"/>
        <w:jc w:val="both"/>
        <w:rPr/>
      </w:pPr>
      <w:r>
        <w:rPr>
          <w:rFonts w:cs="Arial" w:ascii="Arial" w:hAnsi="Arial"/>
          <w:sz w:val="22"/>
          <w:szCs w:val="22"/>
          <w:shd w:fill="auto" w:val="clear"/>
        </w:rPr>
        <w:t xml:space="preserve">2.020 – Manutenção </w:t>
      </w:r>
      <w:r>
        <w:rPr>
          <w:rFonts w:eastAsia="Calibri" w:cs="Arial" w:ascii="Arial" w:hAnsi="Arial"/>
          <w:color w:val="000000"/>
          <w:sz w:val="22"/>
          <w:szCs w:val="22"/>
          <w:shd w:fill="auto" w:val="clear"/>
          <w:lang w:val="pt-BR" w:eastAsia="zh-CN" w:bidi="ar-SA"/>
        </w:rPr>
        <w:t>Creche Municipal</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06.02 – Departamento </w:t>
      </w:r>
      <w:r>
        <w:rPr>
          <w:rFonts w:eastAsia="Calibri" w:cs="Arial" w:ascii="Arial" w:hAnsi="Arial"/>
          <w:color w:val="000000"/>
          <w:sz w:val="22"/>
          <w:szCs w:val="22"/>
          <w:shd w:fill="auto" w:val="clear"/>
          <w:lang w:val="pt-BR" w:eastAsia="zh-CN" w:bidi="ar-SA"/>
        </w:rPr>
        <w:t>de Esportes e Lazer</w:t>
      </w:r>
    </w:p>
    <w:p>
      <w:pPr>
        <w:pStyle w:val="Normal"/>
        <w:spacing w:lineRule="auto" w:line="240" w:before="0" w:after="0"/>
        <w:ind w:left="0" w:right="0" w:hanging="0"/>
        <w:jc w:val="both"/>
        <w:rPr/>
      </w:pPr>
      <w:r>
        <w:rPr>
          <w:rFonts w:cs="Arial" w:ascii="Arial" w:hAnsi="Arial"/>
          <w:sz w:val="22"/>
          <w:szCs w:val="22"/>
          <w:shd w:fill="auto" w:val="clear"/>
        </w:rPr>
        <w:t xml:space="preserve">2.021 – Manutenção </w:t>
      </w:r>
      <w:r>
        <w:rPr>
          <w:rFonts w:eastAsia="Calibri" w:cs="Arial" w:ascii="Arial" w:hAnsi="Arial"/>
          <w:color w:val="000000"/>
          <w:sz w:val="22"/>
          <w:szCs w:val="22"/>
          <w:shd w:fill="auto" w:val="clear"/>
          <w:lang w:val="pt-BR" w:eastAsia="zh-CN" w:bidi="ar-SA"/>
        </w:rPr>
        <w:t>Ativ. Dpto de Esportes</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FFFF00" w:val="clear"/>
        </w:rPr>
      </w:pPr>
      <w:r>
        <w:rPr>
          <w:rFonts w:cs="Arial" w:ascii="Arial" w:hAnsi="Arial"/>
          <w:sz w:val="22"/>
          <w:szCs w:val="22"/>
          <w:shd w:fill="FFFF00" w:val="clear"/>
        </w:rPr>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07.00 SECRETARIA DE ASSISTÊNCIA SOCIAL</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07.02 Fundo Mun. Direitos da Criança e Adolescente</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 xml:space="preserve">2.023 Manutenção Atividades Fundo Infância e Adolescência </w:t>
      </w:r>
    </w:p>
    <w:p>
      <w:pPr>
        <w:pStyle w:val="Normal"/>
        <w:spacing w:lineRule="auto" w:line="240" w:before="0" w:after="0"/>
        <w:ind w:left="0" w:right="0" w:hanging="0"/>
        <w:jc w:val="both"/>
        <w:rPr/>
      </w:pPr>
      <w:r>
        <w:rPr>
          <w:rFonts w:eastAsia="Times New Roman" w:cs="Arial" w:ascii="Arial" w:hAnsi="Arial"/>
          <w:color w:val="000000"/>
          <w:sz w:val="22"/>
          <w:szCs w:val="22"/>
          <w:shd w:fill="auto" w:val="clear"/>
          <w:lang w:val="pt-BR" w:eastAsia="zh-CN" w:bidi="ar-SA"/>
        </w:rPr>
        <w:t>3.3.90.30.99 – Outros Materiais de Consumo</w:t>
      </w:r>
      <w:r>
        <w:rPr>
          <w:rFonts w:eastAsia="Calibri" w:cs="Arial" w:ascii="Arial" w:hAnsi="Arial"/>
          <w:color w:val="000000"/>
          <w:sz w:val="22"/>
          <w:szCs w:val="22"/>
          <w:shd w:fill="auto" w:val="clear"/>
          <w:lang w:val="pt-BR" w:eastAsia="zh-CN" w:bidi="ar-SA"/>
        </w:rPr>
        <w:t xml:space="preserve"> </w:t>
      </w:r>
    </w:p>
    <w:p>
      <w:pPr>
        <w:pStyle w:val="Normal"/>
        <w:spacing w:lineRule="auto" w:line="240" w:before="0" w:after="0"/>
        <w:ind w:left="0" w:right="0" w:hanging="0"/>
        <w:jc w:val="both"/>
        <w:rPr>
          <w:rFonts w:ascii="Arial" w:hAnsi="Arial" w:cs="Arial"/>
          <w:sz w:val="22"/>
          <w:szCs w:val="22"/>
          <w:shd w:fill="FFFF00" w:val="clear"/>
        </w:rPr>
      </w:pPr>
      <w:r>
        <w:rPr>
          <w:rFonts w:cs="Arial" w:ascii="Arial" w:hAnsi="Arial"/>
          <w:sz w:val="22"/>
          <w:szCs w:val="22"/>
          <w:shd w:fill="FFFF00" w:val="clear"/>
        </w:rPr>
      </w:r>
    </w:p>
    <w:p>
      <w:pPr>
        <w:pStyle w:val="Normal"/>
        <w:spacing w:lineRule="auto" w:line="240" w:before="0" w:after="0"/>
        <w:ind w:left="0" w:right="0" w:hanging="0"/>
        <w:jc w:val="both"/>
        <w:rPr/>
      </w:pPr>
      <w:r>
        <w:rPr>
          <w:rFonts w:cs="Arial" w:ascii="Arial" w:hAnsi="Arial"/>
          <w:sz w:val="22"/>
          <w:szCs w:val="22"/>
          <w:shd w:fill="auto" w:val="clear"/>
        </w:rPr>
        <w:t xml:space="preserve">08.00 – SECRETARIA MUNICIPAL DE </w:t>
      </w:r>
      <w:r>
        <w:rPr>
          <w:rFonts w:eastAsia="Calibri" w:cs="Arial" w:ascii="Arial" w:hAnsi="Arial"/>
          <w:color w:val="000000"/>
          <w:sz w:val="22"/>
          <w:szCs w:val="22"/>
          <w:shd w:fill="auto" w:val="clear"/>
          <w:lang w:val="pt-BR" w:eastAsia="zh-CN" w:bidi="ar-SA"/>
        </w:rPr>
        <w:t>TURISMO E DESENVOLVIMENTO ECONÔMICO</w:t>
      </w:r>
    </w:p>
    <w:p>
      <w:pPr>
        <w:pStyle w:val="Normal"/>
        <w:spacing w:lineRule="auto" w:line="240" w:before="0" w:after="0"/>
        <w:ind w:left="0" w:right="0" w:hanging="0"/>
        <w:jc w:val="both"/>
        <w:rPr/>
      </w:pPr>
      <w:r>
        <w:rPr>
          <w:rFonts w:cs="Arial" w:ascii="Arial" w:hAnsi="Arial"/>
          <w:sz w:val="22"/>
          <w:szCs w:val="22"/>
          <w:shd w:fill="auto" w:val="clear"/>
        </w:rPr>
        <w:t xml:space="preserve">08.01 – </w:t>
      </w:r>
      <w:r>
        <w:rPr>
          <w:rFonts w:eastAsia="Calibri" w:cs="Arial" w:ascii="Arial" w:hAnsi="Arial"/>
          <w:color w:val="000000"/>
          <w:sz w:val="22"/>
          <w:szCs w:val="22"/>
          <w:shd w:fill="auto" w:val="clear"/>
          <w:lang w:val="pt-BR" w:eastAsia="zh-CN" w:bidi="ar-SA"/>
        </w:rPr>
        <w:t>Departamento de Turismo</w:t>
      </w:r>
    </w:p>
    <w:p>
      <w:pPr>
        <w:pStyle w:val="Normal"/>
        <w:spacing w:lineRule="auto" w:line="240" w:before="0" w:after="0"/>
        <w:ind w:left="0" w:right="0" w:hanging="0"/>
        <w:jc w:val="both"/>
        <w:rPr/>
      </w:pPr>
      <w:r>
        <w:rPr>
          <w:rFonts w:cs="Arial" w:ascii="Arial" w:hAnsi="Arial"/>
          <w:sz w:val="22"/>
          <w:szCs w:val="22"/>
          <w:shd w:fill="auto" w:val="clear"/>
        </w:rPr>
        <w:t xml:space="preserve">2.025 – </w:t>
      </w:r>
      <w:r>
        <w:rPr>
          <w:rFonts w:eastAsia="Calibri" w:cs="Arial" w:ascii="Arial" w:hAnsi="Arial"/>
          <w:color w:val="000000"/>
          <w:sz w:val="22"/>
          <w:szCs w:val="22"/>
          <w:shd w:fill="auto" w:val="clear"/>
          <w:lang w:val="pt-BR" w:eastAsia="zh-CN" w:bidi="ar-SA"/>
        </w:rPr>
        <w:t>Manutenção Atividades Departamento de Turismo</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08.03 – </w:t>
      </w:r>
      <w:r>
        <w:rPr>
          <w:rFonts w:eastAsia="Calibri" w:cs="Arial" w:ascii="Arial" w:hAnsi="Arial"/>
          <w:color w:val="000000"/>
          <w:sz w:val="22"/>
          <w:szCs w:val="22"/>
          <w:shd w:fill="auto" w:val="clear"/>
          <w:lang w:val="pt-BR" w:eastAsia="zh-CN" w:bidi="ar-SA"/>
        </w:rPr>
        <w:t>Departamento de Cultura</w:t>
      </w:r>
    </w:p>
    <w:p>
      <w:pPr>
        <w:pStyle w:val="Normal"/>
        <w:spacing w:lineRule="auto" w:line="240" w:before="0" w:after="0"/>
        <w:ind w:left="0" w:right="0" w:hanging="0"/>
        <w:jc w:val="both"/>
        <w:rPr/>
      </w:pPr>
      <w:r>
        <w:rPr>
          <w:rFonts w:cs="Arial" w:ascii="Arial" w:hAnsi="Arial"/>
          <w:sz w:val="22"/>
          <w:szCs w:val="22"/>
          <w:shd w:fill="auto" w:val="clear"/>
        </w:rPr>
        <w:t xml:space="preserve">2.045 – </w:t>
      </w:r>
      <w:r>
        <w:rPr>
          <w:rFonts w:eastAsia="Calibri" w:cs="Arial" w:ascii="Arial" w:hAnsi="Arial"/>
          <w:color w:val="000000"/>
          <w:sz w:val="22"/>
          <w:szCs w:val="22"/>
          <w:shd w:fill="auto" w:val="clear"/>
          <w:lang w:val="pt-BR" w:eastAsia="zh-CN" w:bidi="ar-SA"/>
        </w:rPr>
        <w:t>Manutenção Departamento de Cultura</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pPr>
      <w:r>
        <w:rPr>
          <w:rFonts w:cs="Arial" w:ascii="Arial" w:hAnsi="Arial"/>
          <w:sz w:val="22"/>
          <w:szCs w:val="22"/>
          <w:shd w:fill="auto" w:val="clear"/>
        </w:rPr>
        <w:t xml:space="preserve">09.00 – SECRETARIA MUNICIPAL DE </w:t>
      </w:r>
      <w:r>
        <w:rPr>
          <w:rFonts w:eastAsia="Calibri" w:cs="Arial" w:ascii="Arial" w:hAnsi="Arial"/>
          <w:color w:val="000000"/>
          <w:sz w:val="22"/>
          <w:szCs w:val="22"/>
          <w:shd w:fill="auto" w:val="clear"/>
          <w:lang w:val="pt-BR" w:eastAsia="zh-CN" w:bidi="ar-SA"/>
        </w:rPr>
        <w:t>OBRAS E SERVIÇOS URBANOS</w:t>
      </w:r>
    </w:p>
    <w:p>
      <w:pPr>
        <w:pStyle w:val="Normal"/>
        <w:spacing w:lineRule="auto" w:line="240" w:before="0" w:after="0"/>
        <w:ind w:left="0" w:right="0" w:hanging="0"/>
        <w:jc w:val="both"/>
        <w:rPr/>
      </w:pPr>
      <w:r>
        <w:rPr>
          <w:rFonts w:cs="Arial" w:ascii="Arial" w:hAnsi="Arial"/>
          <w:sz w:val="22"/>
          <w:szCs w:val="22"/>
          <w:shd w:fill="auto" w:val="clear"/>
        </w:rPr>
        <w:t xml:space="preserve">09.01 – </w:t>
      </w:r>
      <w:r>
        <w:rPr>
          <w:rFonts w:eastAsia="Calibri" w:cs="Arial" w:ascii="Arial" w:hAnsi="Arial"/>
          <w:color w:val="000000"/>
          <w:sz w:val="22"/>
          <w:szCs w:val="22"/>
          <w:shd w:fill="auto" w:val="clear"/>
          <w:lang w:val="pt-BR" w:eastAsia="zh-CN" w:bidi="ar-SA"/>
        </w:rPr>
        <w:t>Departamento de Obras e Serviços Urbanos</w:t>
      </w:r>
    </w:p>
    <w:p>
      <w:pPr>
        <w:pStyle w:val="Normal"/>
        <w:spacing w:lineRule="auto" w:line="240" w:before="0" w:after="0"/>
        <w:ind w:left="0" w:right="0" w:hanging="0"/>
        <w:jc w:val="both"/>
        <w:rPr/>
      </w:pPr>
      <w:r>
        <w:rPr>
          <w:rFonts w:cs="Arial" w:ascii="Arial" w:hAnsi="Arial"/>
          <w:sz w:val="22"/>
          <w:szCs w:val="22"/>
          <w:shd w:fill="auto" w:val="clear"/>
        </w:rPr>
        <w:t xml:space="preserve">2.008 – </w:t>
      </w:r>
      <w:r>
        <w:rPr>
          <w:rFonts w:eastAsia="Calibri" w:cs="Arial" w:ascii="Arial" w:hAnsi="Arial"/>
          <w:color w:val="000000"/>
          <w:sz w:val="22"/>
          <w:szCs w:val="22"/>
          <w:shd w:fill="auto" w:val="clear"/>
          <w:lang w:val="pt-BR" w:eastAsia="zh-CN" w:bidi="ar-SA"/>
        </w:rPr>
        <w:t>Manutenção Atividades Departamento de Urbanismo</w:t>
      </w:r>
    </w:p>
    <w:p>
      <w:pPr>
        <w:pStyle w:val="Normal"/>
        <w:spacing w:lineRule="auto" w:line="240" w:before="0" w:after="0"/>
        <w:ind w:left="0" w:right="0" w:hanging="0"/>
        <w:jc w:val="both"/>
        <w:rPr>
          <w:rFonts w:ascii="Arial" w:hAnsi="Arial" w:eastAsia="Times New Roman" w:cs="Arial"/>
          <w:color w:val="000000"/>
          <w:sz w:val="22"/>
          <w:szCs w:val="22"/>
          <w:shd w:fill="auto" w:val="clear"/>
          <w:lang w:val="pt-BR" w:eastAsia="zh-CN" w:bidi="ar-SA"/>
        </w:rPr>
      </w:pPr>
      <w:r>
        <w:rPr>
          <w:rFonts w:eastAsia="Times New Roman" w:cs="Arial" w:ascii="Arial" w:hAnsi="Arial"/>
          <w:color w:val="000000"/>
          <w:sz w:val="22"/>
          <w:szCs w:val="22"/>
          <w:shd w:fill="auto" w:val="clear"/>
          <w:lang w:val="pt-BR" w:eastAsia="zh-CN" w:bidi="ar-SA"/>
        </w:rPr>
        <w:t>3.3.90.30.99 – Outros Materiais de Consumo</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10.00 – Fundo Municipal de Defesa Civil</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 xml:space="preserve">2.005 – Manutenção Fundo Municipal de Defesa Civil </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 xml:space="preserve">3.3.90.30.99 – Outros Materiais de Consumo </w:t>
      </w:r>
    </w:p>
    <w:p>
      <w:pPr>
        <w:pStyle w:val="Normal"/>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11.00 – FUNDO MUNICIPAL DE SAÚDE</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11.01 – Fundo Municipal de Saúde</w:t>
      </w:r>
    </w:p>
    <w:p>
      <w:pPr>
        <w:pStyle w:val="Normal"/>
        <w:spacing w:lineRule="auto" w:line="240" w:before="0" w:after="0"/>
        <w:ind w:left="0" w:right="0" w:hanging="0"/>
        <w:jc w:val="both"/>
        <w:rPr>
          <w:rFonts w:ascii="Arial" w:hAnsi="Arial" w:eastAsia="Calibri" w:cs="Arial"/>
          <w:color w:val="000000"/>
          <w:sz w:val="22"/>
          <w:szCs w:val="22"/>
          <w:shd w:fill="auto" w:val="clear"/>
          <w:lang w:val="pt-BR" w:eastAsia="zh-CN" w:bidi="ar-SA"/>
        </w:rPr>
      </w:pPr>
      <w:r>
        <w:rPr>
          <w:rFonts w:eastAsia="Calibri" w:cs="Arial" w:ascii="Arial" w:hAnsi="Arial"/>
          <w:color w:val="000000"/>
          <w:sz w:val="22"/>
          <w:szCs w:val="22"/>
          <w:shd w:fill="auto" w:val="clear"/>
          <w:lang w:val="pt-BR" w:eastAsia="zh-CN" w:bidi="ar-SA"/>
        </w:rPr>
        <w:t>2.031 – Manutenção de Atenção Primária</w:t>
      </w:r>
    </w:p>
    <w:p>
      <w:pPr>
        <w:pStyle w:val="Normal"/>
        <w:widowControl w:val="false"/>
        <w:tabs>
          <w:tab w:val="clear" w:pos="708"/>
          <w:tab w:val="left" w:pos="732" w:leader="none"/>
        </w:tabs>
        <w:spacing w:lineRule="auto" w:line="240" w:before="0" w:after="0"/>
        <w:ind w:left="0" w:right="0" w:hanging="0"/>
        <w:jc w:val="both"/>
        <w:textAlignment w:val="baseline"/>
        <w:rPr>
          <w:rFonts w:ascii="Arial" w:hAnsi="Arial" w:eastAsia="Times New Roman" w:cs="Arial"/>
          <w:color w:val="000000"/>
          <w:sz w:val="22"/>
          <w:szCs w:val="22"/>
          <w:shd w:fill="auto" w:val="clear"/>
          <w:lang w:val="pt-BR" w:eastAsia="zh-CN" w:bidi="ar-SA"/>
        </w:rPr>
      </w:pPr>
      <w:r>
        <w:rPr>
          <w:rFonts w:eastAsia="Arial" w:cs="Arial" w:ascii="Arial" w:hAnsi="Arial"/>
          <w:bCs/>
          <w:color w:val="000000"/>
          <w:kern w:val="0"/>
          <w:sz w:val="22"/>
          <w:szCs w:val="22"/>
          <w:shd w:fill="auto" w:val="clear"/>
          <w:lang w:val="pt-BR" w:eastAsia="pt-BR" w:bidi="ar-SA"/>
        </w:rPr>
        <w:t>3.3.90.30.99 – Outros Materiais de Consumo</w:t>
      </w:r>
    </w:p>
    <w:p>
      <w:pPr>
        <w:pStyle w:val="Normal"/>
        <w:spacing w:lineRule="auto" w:line="240" w:before="0" w:after="0"/>
        <w:ind w:left="709" w:hanging="0"/>
        <w:jc w:val="both"/>
        <w:rPr>
          <w:rFonts w:ascii="Arial" w:hAnsi="Arial" w:cs="Arial"/>
        </w:rPr>
      </w:pPr>
      <w:r>
        <w:rPr>
          <w:rFonts w:cs="Arial" w:ascii="Arial" w:hAnsi="Arial"/>
        </w:rPr>
      </w:r>
    </w:p>
    <w:p>
      <w:pPr>
        <w:pStyle w:val="Normal"/>
        <w:spacing w:lineRule="auto" w:line="240" w:before="0" w:after="0"/>
        <w:jc w:val="both"/>
        <w:rPr/>
      </w:pPr>
      <w:r>
        <w:rPr>
          <w:rFonts w:eastAsia="Times New Roman" w:cs="Arial" w:ascii="Arial" w:hAnsi="Arial"/>
          <w:color w:val="000000"/>
          <w:lang w:eastAsia="pt-BR"/>
        </w:rPr>
        <w:t xml:space="preserve">3.2. </w:t>
      </w:r>
      <w:r>
        <w:rPr>
          <w:rFonts w:eastAsia="Times New Roman" w:cs="Arial" w:ascii="Arial" w:hAnsi="Arial"/>
          <w:lang w:eastAsia="pt-BR"/>
        </w:rPr>
        <w:t>As quantidades a serem contratadas estão fundamentadas de acordo com o estudo técnico preliminar (ANEXO I).</w:t>
      </w:r>
    </w:p>
    <w:p>
      <w:pPr>
        <w:pStyle w:val="Normal"/>
        <w:spacing w:lineRule="auto" w:line="240" w:before="0" w:after="0"/>
        <w:jc w:val="both"/>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t>4. ESCLARECIMENTOS E IMPUGNAÇÃO AO EDITAL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4.1.</w:t>
      </w:r>
      <w:r>
        <w:rPr>
          <w:rFonts w:eastAsia="Times New Roman" w:cs="Arial" w:ascii="Arial" w:hAnsi="Arial"/>
          <w:lang w:eastAsia="pt-BR"/>
        </w:rPr>
        <w:t xml:space="preserve"> </w:t>
      </w:r>
      <w:r>
        <w:rPr>
          <w:rFonts w:eastAsia="Times New Roman" w:cs="Arial" w:ascii="Arial" w:hAnsi="Arial"/>
          <w:b/>
          <w:lang w:eastAsia="pt-BR"/>
        </w:rPr>
        <w:t>Qualquer pessoa</w:t>
      </w:r>
      <w:r>
        <w:rPr>
          <w:rFonts w:eastAsia="Times New Roman" w:cs="Arial" w:ascii="Arial" w:hAnsi="Arial"/>
          <w:lang w:eastAsia="pt-BR"/>
        </w:rPr>
        <w:t xml:space="preserve"> é parte legítima para </w:t>
      </w:r>
      <w:r>
        <w:rPr>
          <w:rFonts w:eastAsia="Times New Roman" w:cs="Arial" w:ascii="Arial" w:hAnsi="Arial"/>
          <w:b/>
          <w:lang w:eastAsia="pt-BR"/>
        </w:rPr>
        <w:t>impugnar</w:t>
      </w:r>
      <w:r>
        <w:rPr>
          <w:rFonts w:eastAsia="Times New Roman" w:cs="Arial" w:ascii="Arial" w:hAnsi="Arial"/>
          <w:lang w:eastAsia="pt-BR"/>
        </w:rPr>
        <w:t xml:space="preserve"> edital de licitação por irregularidade na aplicação da legislação vigente </w:t>
      </w:r>
      <w:r>
        <w:rPr>
          <w:rFonts w:eastAsia="Times New Roman" w:cs="Arial" w:ascii="Arial" w:hAnsi="Arial"/>
          <w:b/>
          <w:lang w:eastAsia="pt-BR"/>
        </w:rPr>
        <w:t>ou para solicitar esclarecimento</w:t>
      </w:r>
      <w:r>
        <w:rPr>
          <w:rFonts w:eastAsia="Times New Roman" w:cs="Arial" w:ascii="Arial" w:hAnsi="Arial"/>
          <w:lang w:eastAsia="pt-BR"/>
        </w:rPr>
        <w:t xml:space="preserve"> sobre os seus termos, devendo protocolar o pedido até 03 (três) dias úteis antes da data de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4.2.</w:t>
      </w:r>
      <w:r>
        <w:rPr>
          <w:rFonts w:eastAsia="Times New Roman" w:cs="Arial" w:ascii="Arial" w:hAnsi="Arial"/>
          <w:lang w:eastAsia="pt-BR"/>
        </w:rPr>
        <w:t xml:space="preserve"> A resposta à impugnação ou ao pedido de esclarecimento será divulgada em sítio eletrônico oficial no prazo de até 03 (três) dias úteis, limitado ao último dia útil anterior à data da abertura do certame.</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bCs/>
          <w:lang w:eastAsia="pt-BR"/>
        </w:rPr>
        <w:t>4.3.</w:t>
      </w:r>
      <w:r>
        <w:rPr>
          <w:rFonts w:eastAsia="Times New Roman" w:cs="Arial" w:ascii="Arial" w:hAnsi="Arial"/>
          <w:lang w:eastAsia="pt-BR"/>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shd w:val="clear" w:color="auto" w:fill="BFBFBF"/>
        <w:tabs>
          <w:tab w:val="clear" w:pos="708"/>
          <w:tab w:val="left" w:pos="1701" w:leader="none"/>
        </w:tabs>
        <w:spacing w:lineRule="auto" w:line="240" w:before="0" w:after="0"/>
        <w:jc w:val="both"/>
        <w:textAlignment w:val="baseline"/>
        <w:rPr>
          <w:rFonts w:ascii="Arial" w:hAnsi="Arial" w:eastAsia="Times New Roman" w:cs="Arial"/>
          <w:b/>
          <w:b/>
          <w:bCs/>
          <w:lang w:eastAsia="pt-BR"/>
        </w:rPr>
      </w:pPr>
      <w:r>
        <w:rPr>
          <w:rFonts w:eastAsia="Times New Roman" w:cs="Arial" w:ascii="Arial" w:hAnsi="Arial"/>
          <w:b/>
          <w:bCs/>
          <w:lang w:eastAsia="pt-BR"/>
        </w:rPr>
        <w:t>4.4. DO CREDENCIAMENTO PARA PARTICIPAR DO CERTAME</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widowControl w:val="false"/>
        <w:tabs>
          <w:tab w:val="clear" w:pos="708"/>
          <w:tab w:val="left" w:pos="1701" w:leader="none"/>
        </w:tabs>
        <w:spacing w:lineRule="auto" w:line="240" w:before="0" w:after="0"/>
        <w:jc w:val="both"/>
        <w:textAlignment w:val="baseline"/>
        <w:rPr/>
      </w:pPr>
      <w:r>
        <w:rPr>
          <w:rFonts w:eastAsia="Times New Roman" w:cs="Arial" w:ascii="Arial" w:hAnsi="Arial"/>
          <w:lang w:eastAsia="pt-BR"/>
        </w:rPr>
        <w:t>4.4.1.</w:t>
      </w:r>
      <w:r>
        <w:rPr>
          <w:rFonts w:eastAsia="Times New Roman" w:cs="Arial" w:ascii="Arial" w:hAnsi="Arial"/>
          <w:b/>
          <w:bCs/>
          <w:lang w:eastAsia="pt-BR"/>
        </w:rPr>
        <w:t xml:space="preserve"> </w:t>
      </w:r>
      <w:r>
        <w:rPr>
          <w:rFonts w:eastAsia="Times New Roman" w:cs="Arial" w:ascii="Arial" w:hAnsi="Arial"/>
          <w:lang w:eastAsia="pt-BR"/>
        </w:rPr>
        <w:t xml:space="preserve">O credenciamento é o nível básico do registro cadastral no SICAF, que permite a participação dos interessados na modalidade licitatória Pregão, em sua forma eletrônica. </w:t>
      </w:r>
    </w:p>
    <w:p>
      <w:pPr>
        <w:pStyle w:val="Normal"/>
        <w:widowControl w:val="false"/>
        <w:tabs>
          <w:tab w:val="clear" w:pos="708"/>
          <w:tab w:val="left" w:pos="1701" w:leader="none"/>
        </w:tabs>
        <w:spacing w:lineRule="auto" w:line="240" w:before="0" w:after="0"/>
        <w:jc w:val="both"/>
        <w:textAlignment w:val="baseline"/>
        <w:rPr>
          <w:rFonts w:ascii="Arial" w:hAnsi="Arial" w:cs="Arial"/>
          <w:b/>
          <w:b/>
          <w:bCs/>
        </w:rPr>
      </w:pPr>
      <w:r>
        <w:rPr>
          <w:rFonts w:cs="Arial" w:ascii="Arial" w:hAnsi="Arial"/>
          <w:b/>
          <w:bCs/>
        </w:rPr>
      </w:r>
    </w:p>
    <w:p>
      <w:pPr>
        <w:pStyle w:val="Normal"/>
        <w:spacing w:lineRule="auto" w:line="240" w:before="0" w:after="0"/>
        <w:jc w:val="both"/>
        <w:rPr/>
      </w:pPr>
      <w:r>
        <w:rPr>
          <w:rFonts w:cs="Arial" w:ascii="Arial" w:hAnsi="Arial"/>
        </w:rPr>
        <w:t xml:space="preserve">4.4.2. O cadastro no SICAF deverá ser feito no Portal de Compras do Governo Federal, no sítio </w:t>
      </w:r>
      <w:r>
        <w:rPr>
          <w:rFonts w:cs="Arial" w:ascii="Arial" w:hAnsi="Arial"/>
          <w:b/>
          <w:bCs/>
        </w:rPr>
        <w:t>compras.gov.br</w:t>
      </w:r>
      <w:r>
        <w:rPr>
          <w:rFonts w:cs="Arial" w:ascii="Arial" w:hAnsi="Arial"/>
        </w:rPr>
        <w:t xml:space="preserve">, por meio de certificado digital conferido pela Infraestrutura de Chaves Públicas Brasileira – ICP – Brasil.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4.4.3. O credenciamento junto ao provedor do sistema implica a responsabilidade do proponente ou de seu representante legal e a presunção de sua capacidade técnica para realização das transações inerentes a este Pregão.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4.4.4.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4.4.5. É de responsabilidade do cadastrador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4.4.6. A não observância do disposto no subitem anterior poderá ensejar na inabilitação no momento do julgamento.</w:t>
      </w:r>
    </w:p>
    <w:p>
      <w:pPr>
        <w:pStyle w:val="Normal"/>
        <w:widowControl w:val="false"/>
        <w:tabs>
          <w:tab w:val="clear" w:pos="708"/>
          <w:tab w:val="left" w:pos="1701" w:leader="none"/>
        </w:tabs>
        <w:spacing w:lineRule="auto" w:line="240" w:before="0" w:after="0"/>
        <w:jc w:val="both"/>
        <w:textAlignment w:val="baseline"/>
        <w:rPr>
          <w:rFonts w:ascii="Arial" w:hAnsi="Arial" w:cs="Arial"/>
        </w:rPr>
      </w:pPr>
      <w:r>
        <w:rPr>
          <w:rFonts w:cs="Arial" w:ascii="Arial" w:hAnsi="Arial"/>
        </w:rPr>
      </w:r>
    </w:p>
    <w:p>
      <w:pPr>
        <w:pStyle w:val="Normal"/>
        <w:spacing w:lineRule="auto" w:line="240" w:before="0" w:after="0"/>
        <w:jc w:val="both"/>
        <w:rPr/>
      </w:pPr>
      <w:r>
        <w:rPr>
          <w:rFonts w:cs="Arial" w:ascii="Arial" w:hAnsi="Arial"/>
          <w:b/>
          <w:bCs/>
        </w:rPr>
        <w:t>4.4.7.</w:t>
      </w:r>
      <w:r>
        <w:rPr>
          <w:rFonts w:cs="Arial" w:ascii="Arial" w:hAnsi="Arial"/>
        </w:rPr>
        <w:t xml:space="preserve"> </w:t>
      </w:r>
      <w:r>
        <w:rPr>
          <w:rFonts w:cs="Arial" w:ascii="Arial" w:hAnsi="Arial"/>
          <w:b/>
        </w:rPr>
        <w:t>Para participação no Pregão, o proponente deverá assinalar em campo próprio do sistema eletrônico, relativo às seguintes declarações, sob pena de inabilitação/desclassificação</w:t>
      </w:r>
      <w:r>
        <w:rPr>
          <w:rFonts w:cs="Arial" w:ascii="Arial" w:hAnsi="Arial"/>
        </w:rPr>
        <w:t xml:space="preserve">: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4.4.7.1.</w:t>
      </w:r>
      <w:r>
        <w:rPr>
          <w:rFonts w:cs="Arial" w:ascii="Arial" w:hAnsi="Arial"/>
          <w:b/>
          <w:bCs/>
        </w:rPr>
        <w:t xml:space="preserve"> </w:t>
      </w:r>
      <w:r>
        <w:rPr>
          <w:rFonts w:cs="Arial" w:ascii="Arial" w:hAnsi="Arial"/>
        </w:rPr>
        <w:t xml:space="preserve">Que cumpre os requisitos estabelecidos no artigo 3° da Lei Complementar nº 123, de 2006, estando apto a usufruir do tratamento favorecido estabelecido em seus arts. 42 a 49, se for o caso;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4.4.7.2. Que está ciente e concorda com as condições contidas no Edital e seus anexos;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4.4.7.3. Que cumpre os requisitos para a habilitação definidos no Edital e que a proposta apresentada está em conformidade com as exigências editalícias;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4.4.7.4. Que inexistem fatos impeditivos para sua habilitação no certame, ciente da obrigatoriedade de declarar ocorrências posteriores;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4.4.7.5. Que não emprega menor de 18 anos em trabalho noturno, perigoso ou insalubre e não emprega menor de 16 anos, salvo menor, a partir de 14 anos, na condição de aprendiz, nos termos do artigo 7°, XXXIII, da Constituição;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4.4.8. A declaração falsa relativa ao cumprimento de qualquer condição sujeitará o proponente às sanções previstas em lei e neste Edital. </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t xml:space="preserve">4.4.9. Nenhuma pessoa, ainda que munida de procuração, poderá representar mais de uma empresa no(s) mesmo(s) item(ns)/lote(s) deste processo, sob pena de exclusão sumária de ambos os proponentes representados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BFBFBF"/>
        <w:tabs>
          <w:tab w:val="clear" w:pos="708"/>
          <w:tab w:val="left" w:pos="1701" w:leader="none"/>
        </w:tabs>
        <w:spacing w:lineRule="auto" w:line="240" w:before="0" w:after="0"/>
        <w:jc w:val="both"/>
        <w:rPr>
          <w:rFonts w:ascii="Arial" w:hAnsi="Arial" w:cs="Arial"/>
          <w:b/>
          <w:b/>
        </w:rPr>
      </w:pPr>
      <w:r>
        <w:rPr>
          <w:rFonts w:cs="Arial" w:ascii="Arial" w:hAnsi="Arial"/>
          <w:b/>
        </w:rPr>
        <w:t>5. VEDAÇÕES PARA DISPUTAR O CERTAME E PARTICIPAR DA EXECUÇÃO DO CONTRATO</w:t>
      </w:r>
    </w:p>
    <w:p>
      <w:pPr>
        <w:pStyle w:val="Normal"/>
        <w:tabs>
          <w:tab w:val="clear" w:pos="708"/>
          <w:tab w:val="left" w:pos="1701"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701" w:leader="none"/>
        </w:tabs>
        <w:spacing w:lineRule="auto" w:line="240" w:before="0" w:after="0"/>
        <w:jc w:val="both"/>
        <w:rPr/>
      </w:pPr>
      <w:r>
        <w:rPr>
          <w:rFonts w:cs="Arial" w:ascii="Arial" w:hAnsi="Arial"/>
          <w:bCs/>
        </w:rPr>
        <w:t>5.1.</w:t>
      </w:r>
      <w:r>
        <w:rPr>
          <w:rFonts w:cs="Arial" w:ascii="Arial" w:hAnsi="Arial"/>
        </w:rPr>
        <w:t xml:space="preserve"> São vedações para disputar o certame e participar da execução do contrato, direta ou indiretamente:</w:t>
      </w:r>
    </w:p>
    <w:p>
      <w:pPr>
        <w:pStyle w:val="ListParagraph"/>
        <w:widowControl w:val="false"/>
        <w:numPr>
          <w:ilvl w:val="0"/>
          <w:numId w:val="3"/>
        </w:numPr>
        <w:tabs>
          <w:tab w:val="clear" w:pos="708"/>
          <w:tab w:val="left" w:pos="1134" w:leader="none"/>
          <w:tab w:val="left" w:pos="1701" w:leader="none"/>
        </w:tabs>
        <w:spacing w:lineRule="auto" w:line="240" w:before="0" w:after="0"/>
        <w:ind w:left="567" w:hanging="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pPr>
      <w:r>
        <w:rPr>
          <w:rFonts w:cs="Arial" w:ascii="Arial" w:hAnsi="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Equiparam-se aos autores do projeto as empresas integrantes do mesmo grupo econômico;</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A critério da Administração e exclusivamente a seu serviço, poderão participar no apoio das atividades de planejamento da contratação, de execução da licitação ou de gestão do contrato, desde que sob supervisão exclusiva de agentes públicos do órgão ou entidade.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851" w:hanging="0"/>
        <w:contextualSpacing/>
        <w:jc w:val="both"/>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pPr>
      <w:r>
        <w:rPr>
          <w:rFonts w:cs="Arial" w:ascii="Arial" w:hAnsi="Arial"/>
        </w:rPr>
        <w:t>Empresas controladoras, controladas ou coligadas, nos termos da </w:t>
      </w:r>
      <w:hyperlink r:id="rId4">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701" w:leader="none"/>
        </w:tabs>
        <w:spacing w:lineRule="auto" w:line="240" w:before="0" w:after="0"/>
        <w:jc w:val="both"/>
        <w:rPr/>
      </w:pPr>
      <w:r>
        <w:rPr>
          <w:rFonts w:cs="Arial" w:ascii="Arial" w:hAnsi="Arial"/>
          <w:bCs/>
        </w:rPr>
        <w:t>5.2.</w:t>
      </w:r>
      <w:r>
        <w:rPr>
          <w:rFonts w:cs="Arial" w:ascii="Arial" w:hAnsi="Arial"/>
        </w:rPr>
        <w:t xml:space="preserve"> O licitante </w:t>
      </w:r>
      <w:r>
        <w:rPr>
          <w:rFonts w:cs="Arial" w:ascii="Arial" w:hAnsi="Arial"/>
          <w:b/>
        </w:rPr>
        <w:t>deverá</w:t>
      </w:r>
      <w:r>
        <w:rPr>
          <w:rFonts w:cs="Arial" w:ascii="Arial" w:hAnsi="Arial"/>
        </w:rPr>
        <w:t xml:space="preserve"> apresentar declaração que não incorre nos impedimentos (ANEXO III).</w:t>
      </w:r>
    </w:p>
    <w:p>
      <w:pPr>
        <w:pStyle w:val="Normal"/>
        <w:tabs>
          <w:tab w:val="clear" w:pos="708"/>
          <w:tab w:val="left" w:pos="1701"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5.3. A participação no certame se dará por meio da digitação da senha pessoal e intransferível do representante credenciado, e subsequente encaminhamento da proposta de preços e dos documentos de habilitação, exclusivamente, por meio do sistema eletrônico através do site compras.gov.br, observando a data e o horário limite estabelecido no item 1 deste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 xml:space="preserve">5.4. Poderão participar deste Pregão proponente cujo ramo de atividade seja compatível com o objeto desta licitação, e que estejam com Credenciamento regular no Sistema de Cadastramento Unificado de Fornecedores – SICAF, conforme disposto no art. 9º da IN SEGES/MP nº 3, de 2018.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5.5. Caberá ao proponente acompanhar as operações no sistema eletrônico durante a sessão pública do Pregão, ficando responsável pelo ônus decorrente da perda de negócios diante da inobservância de quaisquer mensagens emitidas pelo sistema ou de sua desconexão.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5.6. 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5.7. A licitante deverá se enquadrar como ME ou EPP, a comprovação será feita conforme documentos e declarações solicitados e descritos no item 15 do presente edital.</w:t>
      </w:r>
    </w:p>
    <w:p>
      <w:pPr>
        <w:pStyle w:val="Normal"/>
        <w:spacing w:lineRule="auto" w:line="240" w:before="0" w:after="0"/>
        <w:jc w:val="both"/>
        <w:rPr>
          <w:rFonts w:ascii="Arial" w:hAnsi="Arial" w:cs="Arial"/>
        </w:rPr>
      </w:pPr>
      <w:r>
        <w:rPr>
          <w:rFonts w:cs="Arial" w:ascii="Arial" w:hAnsi="Arial"/>
        </w:rPr>
      </w:r>
    </w:p>
    <w:p>
      <w:pPr>
        <w:pStyle w:val="Normal"/>
        <w:widowControl w:val="false"/>
        <w:shd w:val="clear" w:color="auto" w:fill="BFBFBF"/>
        <w:tabs>
          <w:tab w:val="clear" w:pos="708"/>
          <w:tab w:val="left" w:pos="1701" w:leader="none"/>
        </w:tabs>
        <w:spacing w:lineRule="auto" w:line="240" w:before="0" w:after="0"/>
        <w:jc w:val="both"/>
        <w:textAlignment w:val="baseline"/>
        <w:rPr/>
      </w:pPr>
      <w:r>
        <w:rPr>
          <w:rFonts w:eastAsia="Times New Roman" w:cs="Arial" w:ascii="Arial" w:hAnsi="Arial"/>
          <w:b/>
          <w:lang w:eastAsia="pt-BR"/>
        </w:rPr>
        <w:t xml:space="preserve">6. CUMPRIMENTO DA </w:t>
      </w:r>
      <w:hyperlink r:id="rId5">
        <w:r>
          <w:rPr>
            <w:rFonts w:eastAsia="Times New Roman" w:cs="Arial" w:ascii="Arial" w:hAnsi="Arial"/>
            <w:b/>
            <w:u w:val="single"/>
            <w:lang w:eastAsia="pt-BR"/>
          </w:rPr>
          <w:t>LEI GERAL DE PROTEÇÃO DE DADOS (LEI Nº 13.709/2018)</w:t>
        </w:r>
      </w:hyperlink>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w:t>
      </w:r>
      <w:r>
        <w:rPr>
          <w:rFonts w:eastAsia="Times New Roman" w:cs="Arial" w:ascii="Arial" w:hAnsi="Arial"/>
          <w:lang w:eastAsia="pt-BR"/>
        </w:rPr>
        <w:t xml:space="preserve"> Para finalidade da efetiva participação do LICITANTE no certame, o MUNICÍPIO fará tratamento dos dados pessoais definidos neste edital, dos representantes legais e outros, e, </w:t>
      </w:r>
      <w:r>
        <w:rPr>
          <w:rFonts w:eastAsia="Times New Roman" w:cs="Arial" w:ascii="Arial" w:hAnsi="Arial"/>
          <w:iCs/>
          <w:lang w:eastAsia="pt-BR"/>
        </w:rPr>
        <w:t>zelará e responsabilizar-se-á pela proteção de dados e privacidade.</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6.2.</w:t>
      </w:r>
      <w:r>
        <w:rPr>
          <w:rFonts w:eastAsia="Times New Roman" w:cs="Arial" w:ascii="Arial" w:hAnsi="Arial"/>
          <w:lang w:eastAsia="pt-BR"/>
        </w:rPr>
        <w:t xml:space="preserve"> </w:t>
      </w:r>
      <w:r>
        <w:rPr>
          <w:rFonts w:eastAsia="Times New Roman" w:cs="Arial" w:ascii="Arial" w:hAnsi="Arial"/>
          <w:iCs/>
          <w:lang w:eastAsia="pt-BR"/>
        </w:rPr>
        <w:t xml:space="preserve">O </w:t>
      </w:r>
      <w:r>
        <w:rPr>
          <w:rFonts w:eastAsia="Times New Roman" w:cs="Arial" w:ascii="Arial" w:hAnsi="Arial"/>
          <w:lang w:eastAsia="pt-BR"/>
        </w:rPr>
        <w:t>LICITANTE</w:t>
      </w:r>
      <w:r>
        <w:rPr>
          <w:rFonts w:eastAsia="Times New Roman" w:cs="Arial" w:ascii="Arial" w:hAnsi="Arial"/>
          <w:iCs/>
          <w:lang w:eastAsia="pt-BR"/>
        </w:rPr>
        <w:t xml:space="preserve"> obriga-se durante a participação de todas as fases do certame, a atuar em conformidade com a legislação vigente sobre proteção de dados pessoais e dados pessoais sensíveis, em especial os regulamentos municipais e a Lei nº 13.709/2018 (LGPD), </w:t>
      </w:r>
      <w:r>
        <w:rPr>
          <w:rFonts w:eastAsia="Times New Roman" w:cs="Arial" w:ascii="Arial" w:hAnsi="Arial"/>
          <w:lang w:eastAsia="pt-BR"/>
        </w:rPr>
        <w:t>empenhando-se em proceder a todo tratamento de dados pessoais que venha a mostrar-se necessário,</w:t>
      </w:r>
      <w:r>
        <w:rPr>
          <w:rFonts w:eastAsia="Times New Roman" w:cs="Arial" w:ascii="Arial" w:hAnsi="Arial"/>
          <w:iCs/>
          <w:lang w:eastAsia="pt-BR"/>
        </w:rPr>
        <w:t xml:space="preserve"> em conformidade com este edital.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6.3.</w:t>
      </w:r>
      <w:r>
        <w:rPr>
          <w:rFonts w:eastAsia="Times New Roman" w:cs="Arial" w:ascii="Arial" w:hAnsi="Arial"/>
          <w:lang w:eastAsia="pt-BR"/>
        </w:rPr>
        <w:t xml:space="preserve"> </w:t>
      </w:r>
      <w:r>
        <w:rPr>
          <w:rFonts w:eastAsia="Times New Roman" w:cs="Arial" w:ascii="Arial" w:hAnsi="Arial"/>
          <w:iCs/>
          <w:lang w:eastAsia="pt-BR"/>
        </w:rPr>
        <w:t>O MUNICÍPIO e o LICITANTE, quando do tratamento de dados pessoais, o fará de acordo com as bases legais previstas nas hipóteses dos arts. 7º, 11 e/ou 14 da Lei nº 13.709/2018 (LGPD), e para propósitos legítimos, específicos, explícitos e informados ao titular.</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6.4.</w:t>
      </w:r>
      <w:r>
        <w:rPr>
          <w:rFonts w:eastAsia="Times New Roman" w:cs="Arial" w:ascii="Arial" w:hAnsi="Arial"/>
          <w:lang w:eastAsia="pt-BR"/>
        </w:rPr>
        <w:t xml:space="preserve"> </w:t>
      </w:r>
      <w:r>
        <w:rPr>
          <w:rFonts w:eastAsia="Times New Roman" w:cs="Arial" w:ascii="Arial" w:hAnsi="Arial"/>
          <w:iCs/>
          <w:lang w:eastAsia="pt-BR"/>
        </w:rPr>
        <w:t>O LICITANTE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6.5.</w:t>
      </w:r>
      <w:r>
        <w:rPr>
          <w:rFonts w:eastAsia="Times New Roman" w:cs="Arial" w:ascii="Arial" w:hAnsi="Arial"/>
          <w:lang w:eastAsia="pt-BR"/>
        </w:rPr>
        <w:t xml:space="preserve"> É vedado ao LICITANTE a utilização de todo e qualquer dado pessoal repassado em decorrência do certame, para finalidade distinta da participação deste.</w:t>
      </w:r>
      <w:r>
        <w:rPr>
          <w:rFonts w:eastAsia="Times New Roman" w:cs="Arial" w:ascii="Arial" w:hAnsi="Arial"/>
          <w:iCs/>
          <w:lang w:eastAsia="pt-BR"/>
        </w:rPr>
        <w:t xml:space="preserve"> As partes deverão, nos termos deste instrumento, cumprir com suas respectivas obrigações que lhes forem impostas de acordo com regulamentos e leis aplicáveis à proteção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6.6.</w:t>
      </w:r>
      <w:r>
        <w:rPr>
          <w:rFonts w:eastAsia="Times New Roman" w:cs="Arial" w:ascii="Arial" w:hAnsi="Arial"/>
          <w:lang w:eastAsia="pt-BR"/>
        </w:rPr>
        <w:t xml:space="preserve"> O LICITANTE fica obrigada a notificar o MUNICÍPIO, em até 24 (vinte e quatro) horas, </w:t>
      </w:r>
      <w:r>
        <w:rPr>
          <w:rFonts w:eastAsia="Times New Roman" w:cs="Arial" w:ascii="Arial" w:hAnsi="Arial"/>
          <w:iCs/>
          <w:lang w:eastAsia="pt-BR"/>
        </w:rPr>
        <w:t>a respeito de</w:t>
      </w:r>
      <w:r>
        <w:rPr>
          <w:rFonts w:eastAsia="Times New Roman" w:cs="Arial" w:ascii="Arial" w:hAnsi="Arial"/>
          <w:lang w:eastAsia="pt-BR"/>
        </w:rPr>
        <w:t xml:space="preserve"> qualquer incidente de acessos não autorizados aos dados pessoais, situações acidentais ou ilícitas de destruição, perda, alteração, comunicação, q</w:t>
      </w:r>
      <w:r>
        <w:rPr>
          <w:rFonts w:eastAsia="Times New Roman" w:cs="Arial" w:ascii="Arial" w:hAnsi="Arial"/>
          <w:iCs/>
          <w:lang w:eastAsia="pt-BR"/>
        </w:rPr>
        <w:t xml:space="preserve">ualquer não cumprimento (ainda que suspeito) das disposições legais relativas à proteção de dados pessoais </w:t>
      </w:r>
      <w:r>
        <w:rPr>
          <w:rFonts w:eastAsia="Times New Roman" w:cs="Arial" w:ascii="Arial" w:hAnsi="Arial"/>
          <w:lang w:eastAsia="pt-BR"/>
        </w:rPr>
        <w:t xml:space="preserve">ou qualquer forma de tratamento inadequado ou ilícito, bem como adotar as providências dispostas no art. 48 da </w:t>
      </w:r>
      <w:r>
        <w:rPr>
          <w:rFonts w:eastAsia="Times New Roman" w:cs="Arial" w:ascii="Arial" w:hAnsi="Arial"/>
          <w:iCs/>
          <w:lang w:eastAsia="pt-BR"/>
        </w:rPr>
        <w:t>Lei nº 13.709/2018 (LGPD)</w:t>
      </w:r>
      <w:r>
        <w:rPr>
          <w:rFonts w:eastAsia="Times New Roman" w:cs="Arial" w:ascii="Arial" w:hAnsi="Arial"/>
          <w:lang w:eastAsia="pt-BR"/>
        </w:rPr>
        <w:t xml:space="preserve">. </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6.7.</w:t>
      </w:r>
      <w:r>
        <w:rPr>
          <w:rFonts w:eastAsia="Times New Roman" w:cs="Arial" w:ascii="Arial" w:hAnsi="Arial"/>
          <w:lang w:eastAsia="pt-BR"/>
        </w:rPr>
        <w:t xml:space="preserve"> </w:t>
      </w:r>
      <w:r>
        <w:rPr>
          <w:rFonts w:eastAsia="Times New Roman" w:cs="Arial" w:ascii="Arial" w:hAnsi="Arial"/>
          <w:iCs/>
          <w:lang w:eastAsia="pt-BR"/>
        </w:rPr>
        <w:t>As partes, em razão das infrações cometidas às normas previstas, ficam sujeitas às sanções administrativas, cíveis e criminais aplicáveis, por qualquer ação ilícita, que causar danos patrimoniais, morais, individual ou coletivo, aos titulares de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6.8.</w:t>
      </w:r>
      <w:r>
        <w:rPr>
          <w:rFonts w:eastAsia="Times New Roman" w:cs="Arial" w:ascii="Arial" w:hAnsi="Arial"/>
          <w:lang w:eastAsia="pt-BR"/>
        </w:rPr>
        <w:t xml:space="preserve"> </w:t>
      </w:r>
      <w:r>
        <w:rPr>
          <w:rFonts w:eastAsia="Times New Roman" w:cs="Arial" w:ascii="Arial" w:hAnsi="Arial"/>
          <w:iCs/>
          <w:lang w:eastAsia="pt-BR"/>
        </w:rPr>
        <w:t>O LICITANTE será integralmente responsável pelo pagamento de perdas e danos de ordem moral e material, bem como pelo ressarcimento do pagamento de qualquer multa ou penalidade imposta ao MUNICÍPIO e/ou a terceiros, diretamente resultantes do descumprimento pelo LICITANTE</w:t>
      </w:r>
      <w:r>
        <w:rPr>
          <w:rFonts w:eastAsia="Times New Roman" w:cs="Arial" w:ascii="Arial" w:hAnsi="Arial"/>
          <w:b/>
          <w:bCs/>
          <w:iCs/>
          <w:lang w:eastAsia="pt-BR"/>
        </w:rPr>
        <w:t xml:space="preserve"> </w:t>
      </w:r>
      <w:r>
        <w:rPr>
          <w:rFonts w:eastAsia="Times New Roman" w:cs="Arial" w:ascii="Arial" w:hAnsi="Arial"/>
          <w:iCs/>
          <w:lang w:eastAsia="pt-BR"/>
        </w:rPr>
        <w:t>de qualquer das cláusulas previstas neste edital quanto a proteção e uso dos dados pessoais.</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6.9.</w:t>
      </w:r>
      <w:r>
        <w:rPr>
          <w:rFonts w:eastAsia="Times New Roman" w:cs="Arial" w:ascii="Arial" w:hAnsi="Arial"/>
          <w:lang w:eastAsia="pt-BR"/>
        </w:rPr>
        <w:t xml:space="preserve"> As partes cooperarão entre si no cumprimento das obrigações referentes ao exercício dos direitos dos titulares previstos na </w:t>
      </w:r>
      <w:r>
        <w:rPr>
          <w:rFonts w:eastAsia="Times New Roman" w:cs="Arial" w:ascii="Arial" w:hAnsi="Arial"/>
          <w:iCs/>
          <w:lang w:eastAsia="pt-BR"/>
        </w:rPr>
        <w:t>Lei nº 13.709/2018 (LGPD)</w:t>
      </w:r>
      <w:r>
        <w:rPr>
          <w:rFonts w:eastAsia="Times New Roman" w:cs="Arial" w:ascii="Arial" w:hAnsi="Arial"/>
          <w:lang w:eastAsia="pt-BR"/>
        </w:rPr>
        <w:t xml:space="preserve"> e nas leis e regulamentos de proteção de dados em vigor e também no atendimento de requisições e determinações do Poder Judiciário, Ministério Público, Tribunal de Contas e Órgãos de controle administrativo.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6.10.</w:t>
      </w:r>
      <w:r>
        <w:rPr>
          <w:rFonts w:eastAsia="Times New Roman" w:cs="Arial" w:ascii="Arial" w:hAnsi="Arial"/>
          <w:lang w:eastAsia="pt-BR"/>
        </w:rPr>
        <w:t xml:space="preserve">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6.11.</w:t>
      </w:r>
      <w:r>
        <w:rPr>
          <w:rFonts w:eastAsia="Times New Roman" w:cs="Arial" w:ascii="Arial" w:hAnsi="Arial"/>
          <w:lang w:eastAsia="pt-BR"/>
        </w:rPr>
        <w:t xml:space="preserve"> Por ocasião da assinatura do contrato, o(s) LICITANTE(S) vencedor(es) do certame, deverão seguir um conjunto de premissas, políticas, especificações técnicas, devendo estar alinhadas com a legislação vigente e as melhores práticas de mercado, a fim de assegurarem adequado nível de segurança em relação aos possíveis riscos gerados pelo tratamento de dados pessoais, na sua estrutura organizacional.</w:t>
      </w:r>
    </w:p>
    <w:p>
      <w:pPr>
        <w:pStyle w:val="Normal"/>
        <w:widowControl w:val="false"/>
        <w:tabs>
          <w:tab w:val="clear" w:pos="708"/>
          <w:tab w:val="left" w:pos="567"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6.12.</w:t>
      </w:r>
      <w:r>
        <w:rPr>
          <w:rFonts w:eastAsia="Times New Roman" w:cs="Arial" w:ascii="Arial" w:hAnsi="Arial"/>
          <w:lang w:eastAsia="pt-BR"/>
        </w:rPr>
        <w:t xml:space="preserve"> </w:t>
      </w:r>
      <w:r>
        <w:rPr>
          <w:rFonts w:eastAsia="Times New Roman" w:cs="Arial" w:ascii="Arial" w:hAnsi="Arial"/>
          <w:u w:val="single"/>
          <w:lang w:eastAsia="pt-BR"/>
        </w:rPr>
        <w:t>Por ocasião da assinatura do contrato, o(s) LICITANTE(S) vencedora(s) do certame, informarão ao MUNICÍPIO, dos dados de contato do seu respectivo Encarregado de Dados, conforme exigido nos documentos de habilitação jurídica.</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pPr>
      <w:r>
        <w:rPr>
          <w:rFonts w:eastAsia="Times New Roman" w:cs="Arial" w:ascii="Arial" w:hAnsi="Arial"/>
          <w:bCs/>
          <w:lang w:eastAsia="pt-BR"/>
        </w:rPr>
        <w:t>6.13.</w:t>
      </w:r>
      <w:r>
        <w:rPr>
          <w:rFonts w:eastAsia="Times New Roman" w:cs="Arial" w:ascii="Arial" w:hAnsi="Arial"/>
          <w:lang w:eastAsia="pt-BR"/>
        </w:rPr>
        <w:t xml:space="preserve"> </w:t>
      </w:r>
      <w:r>
        <w:rPr>
          <w:rFonts w:eastAsia="Times New Roman" w:cs="Arial" w:ascii="Arial" w:hAnsi="Arial"/>
          <w:iCs/>
          <w:lang w:eastAsia="pt-BR"/>
        </w:rPr>
        <w:t>A LICITANTE para ter conhecimento da política de privacidade do MUNICÍPIO, deverá acessar o link: https://ita.atende.net/cidadao/pagina/lgpd</w:t>
      </w:r>
      <w:r>
        <w:rPr>
          <w:rFonts w:eastAsia="Times New Roman" w:cs="Arial" w:ascii="Arial" w:hAnsi="Arial"/>
          <w:iCs/>
          <w:color w:val="FF0000"/>
          <w:lang w:eastAsia="pt-BR"/>
        </w:rPr>
        <w:t xml:space="preserve"> </w:t>
      </w:r>
      <w:r>
        <w:rPr>
          <w:rFonts w:eastAsia="Times New Roman" w:cs="Arial" w:ascii="Arial" w:hAnsi="Arial"/>
          <w:iCs/>
          <w:lang w:eastAsia="pt-BR"/>
        </w:rPr>
        <w:t xml:space="preserve">e para mais informações, poderá contatar com o Encarregado de Dados, por meio do endereço eletrônico de e-mail </w:t>
      </w:r>
      <w:hyperlink r:id="rId6">
        <w:r>
          <w:rPr>
            <w:rStyle w:val="LinkdaInternet"/>
            <w:rFonts w:eastAsia="Times New Roman" w:cs="Arial" w:ascii="Arial" w:hAnsi="Arial"/>
            <w:iCs/>
            <w:color w:val="0000FF"/>
            <w:shd w:fill="FFFFFF" w:val="clear"/>
            <w:lang w:eastAsia="pt-BR"/>
          </w:rPr>
          <w:t>controleinterno@ita.sc.gov.br</w:t>
        </w:r>
      </w:hyperlink>
      <w:r>
        <w:rPr>
          <w:rFonts w:eastAsia="Times New Roman" w:cs="Arial" w:ascii="Arial" w:hAnsi="Arial"/>
          <w:iCs/>
          <w:lang w:eastAsia="pt-BR"/>
        </w:rPr>
        <w:t xml:space="preserve">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7. </w:t>
      </w:r>
      <w:r>
        <w:rPr>
          <w:rFonts w:cs="Arial" w:ascii="Arial" w:hAnsi="Arial"/>
          <w:b/>
          <w:iCs/>
        </w:rPr>
        <w:t xml:space="preserve">APLICAÇÃO DA </w:t>
      </w:r>
      <w:hyperlink r:id="rId7">
        <w:r>
          <w:rPr>
            <w:rStyle w:val="LinkdaInternet"/>
            <w:rFonts w:cs="Arial" w:ascii="Arial" w:hAnsi="Arial"/>
            <w:b/>
            <w:iCs/>
            <w:color w:val="auto"/>
          </w:rPr>
          <w:t>LEI COMPLEMENTAR Nº 123/2006</w:t>
        </w:r>
      </w:hyperlink>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7.1.</w:t>
      </w:r>
      <w:r>
        <w:rPr>
          <w:rFonts w:cs="Arial" w:ascii="Arial" w:hAnsi="Arial"/>
          <w:iCs/>
        </w:rPr>
        <w:t xml:space="preserve"> Conforme art. 4º da Lei nº 14.133/2021, aplicam-se as disposições constantes dos arts. 42 a 49 da Lei Complementar nº 123/2006, exceto (art. 4º, § 1º da Lei nº 14.133/2021):</w:t>
      </w:r>
    </w:p>
    <w:p>
      <w:pPr>
        <w:pStyle w:val="ListParagraph"/>
        <w:widowControl w:val="false"/>
        <w:numPr>
          <w:ilvl w:val="0"/>
          <w:numId w:val="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No caso de licitação para </w:t>
      </w:r>
      <w:r>
        <w:rPr>
          <w:rFonts w:cs="Arial" w:ascii="Arial" w:hAnsi="Arial"/>
          <w:iCs/>
          <w:u w:val="single"/>
        </w:rPr>
        <w:t>aquisição de bens ou contratação de serviços em geral</w:t>
      </w:r>
      <w:r>
        <w:rPr>
          <w:rFonts w:cs="Arial" w:ascii="Arial" w:hAnsi="Arial"/>
          <w:iCs/>
        </w:rPr>
        <w:t xml:space="preserve">, ao </w:t>
      </w:r>
      <w:r>
        <w:rPr>
          <w:rFonts w:cs="Arial" w:ascii="Arial" w:hAnsi="Arial"/>
          <w:iCs/>
          <w:u w:val="single"/>
        </w:rPr>
        <w:t>item</w:t>
      </w:r>
      <w:r>
        <w:rPr>
          <w:rFonts w:cs="Arial" w:ascii="Arial" w:hAnsi="Arial"/>
          <w:iCs/>
        </w:rPr>
        <w:t xml:space="preserve"> cujo valor estimado for superior à receita bruta máxima admitida para fins de enquadramento como empresa de pequeno porte, ou seja, superior a R$ 4.800.000,00 (quatro milhões e oitocentos mil reais).</w:t>
      </w:r>
    </w:p>
    <w:p>
      <w:pPr>
        <w:pStyle w:val="ListParagraph"/>
        <w:widowControl w:val="false"/>
        <w:numPr>
          <w:ilvl w:val="0"/>
          <w:numId w:val="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No caso de </w:t>
      </w:r>
      <w:r>
        <w:rPr>
          <w:rFonts w:cs="Arial" w:ascii="Arial" w:hAnsi="Arial"/>
          <w:iCs/>
          <w:u w:val="single"/>
        </w:rPr>
        <w:t>contratação de obras e serviços de engenharia</w:t>
      </w:r>
      <w:r>
        <w:rPr>
          <w:rFonts w:cs="Arial" w:ascii="Arial" w:hAnsi="Arial"/>
          <w:iCs/>
        </w:rPr>
        <w:t>, às licitações cujo valor estimado for superior à receita bruta máxima admitida para fins de enquadramento como empresa de pequeno porte, ou seja, superior a R$ 4.800.000,00 (quatro milhões e oitocentos mil reais).</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7.2.</w:t>
      </w:r>
      <w:r>
        <w:rPr>
          <w:rFonts w:cs="Arial" w:ascii="Arial" w:hAnsi="Arial"/>
          <w:iCs/>
        </w:rPr>
        <w:t xml:space="preserve"> A Lei Complementar nº 123/2006, conforme art. 1º, estabelece normas gerais relativas ao tratamento diferenciado e favorecido a ser dispensado </w:t>
      </w:r>
      <w:r>
        <w:rPr>
          <w:rFonts w:cs="Arial" w:ascii="Arial" w:hAnsi="Arial"/>
          <w:iCs/>
          <w:u w:val="single"/>
        </w:rPr>
        <w:t>às microempresas e empresas de pequeno porte</w:t>
      </w:r>
      <w:r>
        <w:rPr>
          <w:rFonts w:cs="Arial" w:ascii="Arial" w:hAnsi="Arial"/>
          <w:iCs/>
        </w:rPr>
        <w:t xml:space="preserve"> no âmbito dos Poderes da União, dos Estados, do Distrito Federal e dos Municípios.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7.3.</w:t>
      </w:r>
      <w:r>
        <w:rPr>
          <w:rFonts w:cs="Arial" w:ascii="Arial" w:hAnsi="Arial"/>
          <w:iCs/>
        </w:rPr>
        <w:t xml:space="preserve"> Para os efeitos da Lei Complementar nº 123/2006, consideram-se </w:t>
      </w:r>
      <w:r>
        <w:rPr>
          <w:rFonts w:cs="Arial" w:ascii="Arial" w:hAnsi="Arial"/>
          <w:iCs/>
          <w:u w:val="single"/>
        </w:rPr>
        <w:t>microempresas ou empresas de pequeno porte</w:t>
      </w:r>
      <w:r>
        <w:rPr>
          <w:rFonts w:cs="Arial" w:ascii="Arial" w:hAnsi="Arial"/>
          <w:iCs/>
        </w:rPr>
        <w:t>:</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empresária;</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Sociedade simples;</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Empresa individual de responsabilidade limitada – EIRELI;</w:t>
      </w:r>
    </w:p>
    <w:p>
      <w:pPr>
        <w:pStyle w:val="ListParagraph"/>
        <w:widowControl w:val="false"/>
        <w:numPr>
          <w:ilvl w:val="1"/>
          <w:numId w:val="6"/>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Empresário a que se refere o art. 966 do </w:t>
      </w:r>
      <w:hyperlink r:id="rId8">
        <w:r>
          <w:rPr>
            <w:rStyle w:val="LinkdaInternet"/>
            <w:rFonts w:cs="Arial" w:ascii="Arial" w:hAnsi="Arial"/>
            <w:iCs/>
            <w:color w:val="auto"/>
          </w:rPr>
          <w:t>Código Civil</w:t>
        </w:r>
      </w:hyperlink>
      <w:r>
        <w:rPr>
          <w:rFonts w:cs="Arial" w:ascii="Arial" w:hAnsi="Arial"/>
          <w:iCs/>
        </w:rPr>
        <w:t>:</w:t>
      </w:r>
    </w:p>
    <w:p>
      <w:pPr>
        <w:pStyle w:val="ListParagraph"/>
        <w:widowControl w:val="false"/>
        <w:numPr>
          <w:ilvl w:val="2"/>
          <w:numId w:val="4"/>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Quem exerce profissionalmente atividade econômica organizada para a produção ou a circulação de bens ou de serviços;</w:t>
      </w:r>
    </w:p>
    <w:p>
      <w:pPr>
        <w:pStyle w:val="ListParagraph"/>
        <w:widowControl w:val="false"/>
        <w:numPr>
          <w:ilvl w:val="2"/>
          <w:numId w:val="4"/>
        </w:numPr>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t>Não se considera empresário quem exerce profissão intelectual, de natureza científica, literária ou artística, ainda com o concurso de auxiliares ou colaboradores, salvo se o exercício da profissão constituir elemento de empresa.</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7.4.</w:t>
      </w:r>
      <w:r>
        <w:rPr>
          <w:rFonts w:cs="Arial" w:ascii="Arial" w:hAnsi="Arial"/>
          <w:iCs/>
        </w:rPr>
        <w:t xml:space="preserve"> As </w:t>
      </w:r>
      <w:r>
        <w:rPr>
          <w:rFonts w:cs="Arial" w:ascii="Arial" w:hAnsi="Arial"/>
          <w:iCs/>
          <w:u w:val="single"/>
        </w:rPr>
        <w:t>microempresas ou empresas de pequeno porte</w:t>
      </w:r>
      <w:r>
        <w:rPr>
          <w:rFonts w:cs="Arial" w:ascii="Arial" w:hAnsi="Arial"/>
          <w:iCs/>
        </w:rPr>
        <w:t xml:space="preserve"> indicadas no art. 3º da Lei Complementar nº 123/2006 devem estar devidamente registradas no Registro de Empresas Mercantis ou no Registro Civil de Pessoas Jurídicas, conforme o caso, desde que:</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0" w:name="art3i"/>
      <w:bookmarkEnd w:id="0"/>
      <w:r>
        <w:rPr>
          <w:rFonts w:cs="Arial" w:ascii="Arial" w:hAnsi="Arial"/>
          <w:iCs/>
        </w:rPr>
        <w:t>No caso da microempresa, aufira, em cada ano-calendário, receita bruta igual ou inferior a R$ 360.000,00 (trezentos e sessenta mil reais);</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 w:name="art3ii"/>
      <w:bookmarkEnd w:id="1"/>
      <w:r>
        <w:rPr>
          <w:rFonts w:cs="Arial" w:ascii="Arial" w:hAnsi="Arial"/>
          <w:iCs/>
        </w:rPr>
        <w:t>No caso da empresa de pequeno porte, aufira, em cada ano-calendário, receita bruta superior a R$ 360.000,00 (trezentos e sessenta mil reais) e igual ou inferior a R$ 3.600.000,00 (três milhões e seiscentos mil reais);</w:t>
      </w:r>
    </w:p>
    <w:p>
      <w:pPr>
        <w:pStyle w:val="ListParagraph"/>
        <w:widowControl w:val="false"/>
        <w:numPr>
          <w:ilvl w:val="0"/>
          <w:numId w:val="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 w:name="art3ii."/>
      <w:bookmarkEnd w:id="2"/>
      <w:r>
        <w:rPr>
          <w:rFonts w:cs="Arial" w:ascii="Arial" w:hAnsi="Arial"/>
          <w:iCs/>
        </w:rPr>
        <w:t xml:space="preserve">No caso de empresa de pequeno porte, aufira, em cada ano-calendário, receita bruta superior a R$ 360.000,00 (trezentos e sessenta mil reais) e igual ou inferior a R$ 4.800.000,00 (quatro milhões e oitocentos mil reais).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7.5.</w:t>
      </w:r>
      <w:r>
        <w:rPr>
          <w:rFonts w:cs="Arial" w:ascii="Arial" w:hAnsi="Arial"/>
          <w:iCs/>
        </w:rPr>
        <w:t xml:space="preserve"> Os efeitos da Lei Complementar nº 123/2006 também se aplicam ao </w:t>
      </w:r>
      <w:r>
        <w:rPr>
          <w:rFonts w:cs="Arial" w:ascii="Arial" w:hAnsi="Arial"/>
          <w:iCs/>
          <w:u w:val="single"/>
        </w:rPr>
        <w:t>Microempreendedor Individual – MEI</w:t>
      </w:r>
      <w:r>
        <w:rPr>
          <w:rFonts w:cs="Arial" w:ascii="Arial" w:hAnsi="Arial"/>
          <w:iCs/>
        </w:rPr>
        <w:t xml:space="preserve"> que:</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Tenha auferido receita bruta, no ano-calendário anterior, de até R$ 81.000,00 (oitenta e um mil reais);</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Optante pelo Simples Nacional e que não esteja impedido de optar pela sistemática prevista no art. 18-A da LC 123/2006;</w:t>
      </w:r>
    </w:p>
    <w:p>
      <w:pPr>
        <w:pStyle w:val="ListParagraph"/>
        <w:widowControl w:val="false"/>
        <w:numPr>
          <w:ilvl w:val="0"/>
          <w:numId w:val="8"/>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Seja empresário individual que se enquadre na definição do art. 966 do </w:t>
      </w:r>
      <w:hyperlink r:id="rId9">
        <w:r>
          <w:rPr>
            <w:rStyle w:val="LinkdaInternet"/>
            <w:rFonts w:cs="Arial" w:ascii="Arial" w:hAnsi="Arial"/>
            <w:iCs/>
          </w:rPr>
          <w:t>Código Civil</w:t>
        </w:r>
      </w:hyperlink>
      <w:r>
        <w:rPr>
          <w:rFonts w:cs="Arial" w:ascii="Arial" w:hAnsi="Arial"/>
          <w:iCs/>
        </w:rPr>
        <w:t>.</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7.6.</w:t>
      </w:r>
      <w:r>
        <w:rPr>
          <w:rFonts w:cs="Arial" w:ascii="Arial" w:hAnsi="Arial"/>
          <w:iCs/>
        </w:rPr>
        <w:t xml:space="preserve"> Também se considera </w:t>
      </w:r>
      <w:r>
        <w:rPr>
          <w:rFonts w:cs="Arial" w:ascii="Arial" w:hAnsi="Arial"/>
          <w:iCs/>
          <w:u w:val="single"/>
        </w:rPr>
        <w:t>Microempreendedor Individual – MEI</w:t>
      </w:r>
      <w:r>
        <w:rPr>
          <w:rFonts w:cs="Arial" w:ascii="Arial" w:hAnsi="Arial"/>
          <w:iCs/>
        </w:rPr>
        <w:t xml:space="preserve"> para a Lei Complementar nº 123/2006 o empreendedor que exerça:</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4º-A do art. 18-A:</w:t>
      </w:r>
    </w:p>
    <w:p>
      <w:pPr>
        <w:pStyle w:val="Normal"/>
        <w:tabs>
          <w:tab w:val="clear" w:pos="708"/>
          <w:tab w:val="left" w:pos="1701" w:leader="none"/>
        </w:tabs>
        <w:spacing w:lineRule="auto" w:line="240" w:before="0" w:after="0"/>
        <w:ind w:left="1134" w:hanging="0"/>
        <w:jc w:val="both"/>
        <w:rPr/>
      </w:pPr>
      <w:r>
        <w:rPr>
          <w:rFonts w:cs="Arial" w:ascii="Arial" w:hAnsi="Arial"/>
          <w:i/>
          <w:iCs/>
        </w:rPr>
        <w:t xml:space="preserve">§ 4º-A Observadas as demais condições deste artigo, poderá optar pela sistemática de recolhimento prevista no </w:t>
      </w:r>
      <w:r>
        <w:rPr>
          <w:rFonts w:cs="Arial" w:ascii="Arial" w:hAnsi="Arial"/>
          <w:bCs/>
          <w:i/>
          <w:iCs/>
        </w:rPr>
        <w:t xml:space="preserve">caput </w:t>
      </w:r>
      <w:r>
        <w:rPr>
          <w:rFonts w:cs="Arial" w:ascii="Arial" w:hAnsi="Arial"/>
          <w:i/>
          <w:iCs/>
        </w:rPr>
        <w:t>o empresário individual que exerça atividade de comercialização e processamento de produtos de natureza extrativista.</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que trata o § 4º-B do art. 18-A, estabelecidas pelo CGSN:</w:t>
      </w:r>
    </w:p>
    <w:p>
      <w:pPr>
        <w:pStyle w:val="Normal"/>
        <w:tabs>
          <w:tab w:val="clear" w:pos="708"/>
          <w:tab w:val="left" w:pos="1701" w:leader="none"/>
        </w:tabs>
        <w:spacing w:lineRule="auto" w:line="240" w:before="0" w:after="0"/>
        <w:ind w:left="1134" w:hanging="0"/>
        <w:jc w:val="both"/>
        <w:rPr>
          <w:rFonts w:ascii="Arial" w:hAnsi="Arial" w:cs="Arial"/>
          <w:i/>
          <w:i/>
          <w:iCs/>
        </w:rPr>
      </w:pPr>
      <w:r>
        <w:rPr>
          <w:rFonts w:cs="Arial" w:ascii="Arial" w:hAnsi="Arial"/>
          <w:i/>
          <w:iCs/>
        </w:rPr>
        <w:t>§ 4º-B O CGSN determinará as atividades autorizadas a optar pela sistemática de recolhimento de que trata este artigo, de forma a evitar a fragilização das relações de trabalho, bem como sobre a incidência do ICMS e do ISS.</w:t>
      </w:r>
    </w:p>
    <w:p>
      <w:pPr>
        <w:pStyle w:val="ListParagraph"/>
        <w:widowControl w:val="false"/>
        <w:numPr>
          <w:ilvl w:val="0"/>
          <w:numId w:val="9"/>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As atividades de industrialização, comercialização e prestação de serviços no âmbito rural.</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7.7.</w:t>
      </w:r>
      <w:r>
        <w:rPr>
          <w:rFonts w:cs="Arial" w:ascii="Arial" w:hAnsi="Arial"/>
          <w:iCs/>
        </w:rPr>
        <w:t xml:space="preserve"> As disposições constantes dos arts. 42 a 49 da Lei Complementar nº 123/2006 também se aplicam às </w:t>
      </w:r>
      <w:r>
        <w:rPr>
          <w:rFonts w:cs="Arial" w:ascii="Arial" w:hAnsi="Arial"/>
          <w:iCs/>
          <w:u w:val="single"/>
        </w:rPr>
        <w:t>sociedades cooperativas</w:t>
      </w:r>
      <w:r>
        <w:rPr>
          <w:rFonts w:cs="Arial" w:ascii="Arial" w:hAnsi="Arial"/>
          <w:iCs/>
        </w:rPr>
        <w:t xml:space="preserve">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w:t>
      </w:r>
      <w:hyperlink r:id="rId10">
        <w:r>
          <w:rPr>
            <w:rStyle w:val="LinkdaInternet"/>
            <w:rFonts w:cs="Arial" w:ascii="Arial" w:hAnsi="Arial"/>
            <w:iCs/>
          </w:rPr>
          <w:t>Lei nº 11.488/2007</w:t>
        </w:r>
      </w:hyperlink>
      <w:r>
        <w:rPr>
          <w:rFonts w:cs="Arial" w:ascii="Arial" w:hAnsi="Arial"/>
          <w:iCs/>
        </w:rPr>
        <w:t>, art. 34).</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7.8.</w:t>
      </w:r>
      <w:r>
        <w:rPr>
          <w:rFonts w:cs="Arial" w:ascii="Arial" w:hAnsi="Arial"/>
          <w:iCs/>
        </w:rPr>
        <w:t xml:space="preserve"> Para obtenção dos benefícios, conforme art. 4º, § 2º da Lei nº 14.133/2021, o licitante deverá apresentar declaração (ANEXO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7.9.</w:t>
      </w:r>
      <w:r>
        <w:rPr>
          <w:rFonts w:cs="Arial" w:ascii="Arial" w:hAnsi="Arial"/>
          <w:iCs/>
        </w:rPr>
        <w:t xml:space="preserve"> Nas contratações com prazo de vigência superior a 1 (um) ano será considerado o valor anual do contrato na aplicação dos limites previstos no art. 4º, §§ 1º e 2º da Lei nº 14.133/2021.</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8. </w:t>
      </w:r>
      <w:r>
        <w:rPr>
          <w:rFonts w:cs="Arial" w:ascii="Arial" w:hAnsi="Arial"/>
          <w:b/>
          <w:iCs/>
        </w:rPr>
        <w:t>PARTICIPAÇÃO DE CONSÓRCIOS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8.1.</w:t>
      </w:r>
      <w:r>
        <w:rPr>
          <w:rFonts w:cs="Arial" w:ascii="Arial" w:hAnsi="Arial"/>
          <w:iCs/>
        </w:rPr>
        <w:t xml:space="preserve"> É impedida a </w:t>
      </w:r>
      <w:r>
        <w:rPr>
          <w:rFonts w:cs="Arial" w:ascii="Arial" w:hAnsi="Arial"/>
        </w:rPr>
        <w:t>empresa consorciada participar, na mesma licitação, de mais de um consórcio ou de forma isolada.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8.2.</w:t>
      </w:r>
      <w:r>
        <w:rPr>
          <w:rFonts w:cs="Arial" w:ascii="Arial" w:hAnsi="Arial"/>
          <w:iCs/>
        </w:rPr>
        <w:t xml:space="preserve"> </w:t>
      </w:r>
      <w:r>
        <w:rPr>
          <w:rFonts w:cs="Arial" w:ascii="Arial" w:hAnsi="Arial"/>
        </w:rPr>
        <w:t>A responsabilidade dos integrantes é solidária pelos atos praticados em consórcio, tanto na fase de licitação quanto na de execução do contrato.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8.3.</w:t>
      </w:r>
      <w:r>
        <w:rPr>
          <w:rFonts w:cs="Arial" w:ascii="Arial" w:hAnsi="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Normal"/>
        <w:tabs>
          <w:tab w:val="clear" w:pos="708"/>
          <w:tab w:val="left" w:pos="567" w:leader="none"/>
        </w:tabs>
        <w:spacing w:lineRule="auto" w:line="240" w:before="0" w:after="0"/>
        <w:jc w:val="both"/>
        <w:rPr/>
      </w:pPr>
      <w:r>
        <w:rPr>
          <w:rFonts w:cs="Arial" w:ascii="Arial" w:hAnsi="Arial"/>
          <w:bCs/>
        </w:rPr>
        <w:t>8.4.</w:t>
      </w:r>
      <w:r>
        <w:rPr>
          <w:rFonts w:cs="Arial" w:ascii="Arial" w:hAnsi="Arial"/>
        </w:rPr>
        <w:t xml:space="preserve"> Na fase de habilitação:</w:t>
      </w:r>
    </w:p>
    <w:p>
      <w:pPr>
        <w:pStyle w:val="ListParagraph"/>
        <w:widowControl w:val="false"/>
        <w:numPr>
          <w:ilvl w:val="0"/>
          <w:numId w:val="10"/>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TÉCNICA: é admitido o somatório dos quantitativos de cada consorciado;</w:t>
      </w:r>
    </w:p>
    <w:p>
      <w:pPr>
        <w:pStyle w:val="ListParagraph"/>
        <w:widowControl w:val="false"/>
        <w:numPr>
          <w:ilvl w:val="0"/>
          <w:numId w:val="10"/>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ECONÔMICO-FINANCEIRA: </w:t>
      </w:r>
    </w:p>
    <w:p>
      <w:pPr>
        <w:pStyle w:val="ListParagraph"/>
        <w:widowControl w:val="false"/>
        <w:numPr>
          <w:ilvl w:val="0"/>
          <w:numId w:val="11"/>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Admissão do somatório dos valores de cada;</w:t>
      </w:r>
    </w:p>
    <w:p>
      <w:pPr>
        <w:pStyle w:val="ListParagraph"/>
        <w:widowControl w:val="false"/>
        <w:numPr>
          <w:ilvl w:val="0"/>
          <w:numId w:val="11"/>
        </w:numPr>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t>Acréscimo de 10% (dez por cento) a 30% (trinta por cento) sobre o valor exigido de licitante individual para a habilitação econômico-financeira, salvo justificação; o referido acréscimo não se aplica aos consórcios compostos, em sua totalidade, de microempresas e pequenas empresas, assim definidas em lei.</w:t>
      </w:r>
    </w:p>
    <w:p>
      <w:pPr>
        <w:pStyle w:val="ListParagraph"/>
        <w:widowControl w:val="false"/>
        <w:tabs>
          <w:tab w:val="clear" w:pos="708"/>
          <w:tab w:val="left" w:pos="1701" w:leader="none"/>
        </w:tabs>
        <w:spacing w:lineRule="auto" w:line="240" w:before="0" w:after="0"/>
        <w:ind w:left="1134"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8.5.</w:t>
      </w:r>
      <w:r>
        <w:rPr>
          <w:rFonts w:cs="Arial" w:ascii="Arial" w:hAnsi="Arial"/>
          <w:b/>
          <w:iCs/>
        </w:rPr>
        <w:t xml:space="preserve"> </w:t>
      </w:r>
      <w:r>
        <w:rPr>
          <w:rFonts w:cs="Arial" w:ascii="Arial" w:hAnsi="Arial"/>
          <w:iCs/>
        </w:rPr>
        <w:t>A assinatura do contrato será condicionada à:</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Comprovação de compromisso público ou particular de constituição de consórcio, subscrito pelos consorciados;</w:t>
      </w:r>
    </w:p>
    <w:p>
      <w:pPr>
        <w:pStyle w:val="ListParagraph"/>
        <w:widowControl w:val="false"/>
        <w:numPr>
          <w:ilvl w:val="0"/>
          <w:numId w:val="12"/>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Indicação da empresa líder do consórcio, que será responsável por sua representação perante a Administração.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9. </w:t>
      </w:r>
      <w:r>
        <w:rPr>
          <w:rFonts w:cs="Arial" w:ascii="Arial" w:hAnsi="Arial"/>
          <w:b/>
          <w:iCs/>
        </w:rPr>
        <w:t>PARTICIPAÇÃO DE COOPERATIVAS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9.1.</w:t>
      </w:r>
      <w:r>
        <w:rPr>
          <w:rFonts w:cs="Arial" w:ascii="Arial" w:hAnsi="Arial"/>
          <w:iCs/>
        </w:rPr>
        <w:t xml:space="preserve"> Conforme art. 16 da Lei nº 14.133/2021, os profissionais organizados sob a forma de cooperativa poderão participar de licitação quando:</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 xml:space="preserve"> </w:t>
      </w:r>
      <w:r>
        <w:rPr>
          <w:rFonts w:cs="Arial" w:ascii="Arial" w:hAnsi="Arial"/>
        </w:rPr>
        <w:t>A constituição e o funcionamento da cooperativa observarem as regras estabelecidas na legislação aplicável, em especial:</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1">
        <w:r>
          <w:rPr>
            <w:rStyle w:val="LinkdaInternet"/>
            <w:rFonts w:cs="Arial" w:ascii="Arial" w:hAnsi="Arial"/>
          </w:rPr>
          <w:t>Lei nº 5.764, de 16 de dezembro de 1971</w:t>
        </w:r>
      </w:hyperlink>
      <w:r>
        <w:rPr>
          <w:rFonts w:cs="Arial" w:ascii="Arial" w:hAnsi="Arial"/>
        </w:rPr>
        <w:t xml:space="preserve"> – Define a Política Nacional de Cooperativismo, institui o regime jurídico das sociedades cooperativas, e dá outras providências;</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2">
        <w:r>
          <w:rPr>
            <w:rStyle w:val="LinkdaInternet"/>
            <w:rFonts w:cs="Arial" w:ascii="Arial" w:hAnsi="Arial"/>
          </w:rPr>
          <w:t>Lei nº 12.690, de 19 de julho de 2012</w:t>
        </w:r>
      </w:hyperlink>
      <w:r>
        <w:rPr>
          <w:rFonts w:cs="Arial" w:ascii="Arial" w:hAnsi="Arial"/>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pPr>
        <w:pStyle w:val="ListParagraph"/>
        <w:widowControl w:val="false"/>
        <w:numPr>
          <w:ilvl w:val="0"/>
          <w:numId w:val="14"/>
        </w:numPr>
        <w:tabs>
          <w:tab w:val="clear" w:pos="708"/>
          <w:tab w:val="left" w:pos="1701" w:leader="none"/>
        </w:tabs>
        <w:spacing w:lineRule="auto" w:line="240" w:before="0" w:after="0"/>
        <w:ind w:left="1134" w:hanging="0"/>
        <w:contextualSpacing/>
        <w:jc w:val="both"/>
        <w:textAlignment w:val="baseline"/>
        <w:rPr/>
      </w:pPr>
      <w:hyperlink r:id="rId13">
        <w:r>
          <w:rPr>
            <w:rStyle w:val="LinkdaInternet"/>
            <w:rFonts w:cs="Arial" w:ascii="Arial" w:hAnsi="Arial"/>
          </w:rPr>
          <w:t>Lei Complementar nº 130, de 17 de abril de 2009</w:t>
        </w:r>
      </w:hyperlink>
      <w:r>
        <w:rPr>
          <w:rFonts w:cs="Arial" w:ascii="Arial" w:hAnsi="Arial"/>
        </w:rPr>
        <w:t xml:space="preserve"> – Dispõe sobre o Sistema Nacional de Crédito Cooperativo e revoga dispositivos das Leis n</w:t>
      </w:r>
      <w:r>
        <w:rPr>
          <w:rFonts w:cs="Arial" w:ascii="Arial" w:hAnsi="Arial"/>
          <w:u w:val="single"/>
          <w:vertAlign w:val="superscript"/>
        </w:rPr>
        <w:t xml:space="preserve">os </w:t>
      </w:r>
      <w:r>
        <w:rPr>
          <w:rFonts w:cs="Arial" w:ascii="Arial" w:hAnsi="Arial"/>
        </w:rPr>
        <w:t>4.595, de 31 de dezembro de 1964, e 5.764, de 16 de dezembro de 1971.</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3" w:name="art16ii"/>
      <w:bookmarkEnd w:id="3"/>
      <w:r>
        <w:rPr>
          <w:rFonts w:cs="Arial" w:ascii="Arial" w:hAnsi="Arial"/>
        </w:rPr>
        <w:t>A cooperativa apresentar demonstrativo de atuação em regime cooperado, com repartição de receitas e despesas entre os cooperados;</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4" w:name="art16iii"/>
      <w:bookmarkEnd w:id="4"/>
      <w:r>
        <w:rPr>
          <w:rFonts w:cs="Arial" w:ascii="Arial" w:hAnsi="Arial"/>
        </w:rPr>
        <w:t>Qualquer cooperado, com igual qualificação, for capaz de executar o objeto contratado, vedado à Administração indicar nominalmente pessoas;</w:t>
      </w:r>
    </w:p>
    <w:p>
      <w:pPr>
        <w:pStyle w:val="ListParagraph"/>
        <w:widowControl w:val="false"/>
        <w:numPr>
          <w:ilvl w:val="0"/>
          <w:numId w:val="13"/>
        </w:numPr>
        <w:tabs>
          <w:tab w:val="clear" w:pos="708"/>
          <w:tab w:val="left" w:pos="1134" w:leader="none"/>
        </w:tabs>
        <w:spacing w:lineRule="auto" w:line="240" w:before="0" w:after="0"/>
        <w:ind w:left="567" w:hanging="0"/>
        <w:contextualSpacing/>
        <w:jc w:val="both"/>
        <w:textAlignment w:val="baseline"/>
        <w:rPr/>
      </w:pPr>
      <w:bookmarkStart w:id="5" w:name="art16iv"/>
      <w:bookmarkEnd w:id="5"/>
      <w:r>
        <w:rPr>
          <w:rFonts w:cs="Arial" w:ascii="Arial" w:hAnsi="Arial"/>
        </w:rPr>
        <w:t xml:space="preserve">O objeto da licitação referir-se, em se tratando de cooperativas enquadradas na </w:t>
      </w:r>
      <w:hyperlink r:id="rId14">
        <w:r>
          <w:rPr>
            <w:rStyle w:val="LinkdaInternet"/>
            <w:rFonts w:cs="Arial" w:ascii="Arial" w:hAnsi="Arial"/>
          </w:rPr>
          <w:t>Lei nº 12.690, de 19 de julho de 2012</w:t>
        </w:r>
      </w:hyperlink>
      <w:r>
        <w:rPr>
          <w:rFonts w:cs="Arial" w:ascii="Arial" w:hAnsi="Arial"/>
        </w:rPr>
        <w:t>, a serviços especializados constantes do objeto social da cooperativa, a serem executados de forma complementar à sua atuação.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9.2.</w:t>
      </w:r>
      <w:r>
        <w:rPr>
          <w:rFonts w:cs="Arial" w:ascii="Arial" w:hAnsi="Arial"/>
          <w:iCs/>
        </w:rPr>
        <w:t xml:space="preserve"> Conforme art. 34 da </w:t>
      </w:r>
      <w:hyperlink r:id="rId15">
        <w:r>
          <w:rPr>
            <w:rStyle w:val="LinkdaInternet"/>
            <w:rFonts w:cs="Arial" w:ascii="Arial" w:hAnsi="Arial"/>
            <w:iCs/>
          </w:rPr>
          <w:t>Lei nº 11.488/2007</w:t>
        </w:r>
      </w:hyperlink>
      <w:r>
        <w:rPr>
          <w:rFonts w:cs="Arial" w:ascii="Arial" w:hAnsi="Arial"/>
          <w:iCs/>
        </w:rPr>
        <w:t xml:space="preserve">, aplica-se às sociedades cooperativas que tenham auferido, no ano-calendário anterior, receita bruta até o limite definido no inciso II do </w:t>
      </w:r>
      <w:r>
        <w:rPr>
          <w:rFonts w:cs="Arial" w:ascii="Arial" w:hAnsi="Arial"/>
          <w:i/>
          <w:iCs/>
        </w:rPr>
        <w:t xml:space="preserve">caput </w:t>
      </w:r>
      <w:r>
        <w:rPr>
          <w:rFonts w:cs="Arial" w:ascii="Arial" w:hAnsi="Arial"/>
          <w:iCs/>
        </w:rPr>
        <w:t>do art. 3º da Lei Complementar n</w:t>
      </w:r>
      <w:r>
        <w:rPr>
          <w:rFonts w:cs="Arial" w:ascii="Arial" w:hAnsi="Arial"/>
          <w:iCs/>
          <w:vertAlign w:val="superscript"/>
        </w:rPr>
        <w:t xml:space="preserve">o </w:t>
      </w:r>
      <w:r>
        <w:rPr>
          <w:rFonts w:cs="Arial" w:ascii="Arial" w:hAnsi="Arial"/>
          <w:iCs/>
        </w:rPr>
        <w:t>123/2006, nela incluídos os atos cooperados e não-cooperados, o disposto nos Capítulos V a X, na Seção IV do Capítulo XI, e no Capítulo XII da referida Lei Complementar.</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10. </w:t>
      </w:r>
      <w:r>
        <w:rPr>
          <w:rFonts w:cs="Arial" w:ascii="Arial" w:hAnsi="Arial"/>
          <w:b/>
          <w:iCs/>
        </w:rPr>
        <w:t>REGRAS GERAIS PARA DOCUMENTAÇÃO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10.1.</w:t>
      </w:r>
      <w:r>
        <w:rPr>
          <w:rFonts w:cs="Arial" w:ascii="Arial" w:hAnsi="Arial"/>
          <w:iCs/>
        </w:rPr>
        <w:t xml:space="preserve"> Conforme art. 12 da Lei nº 14.133/2021:</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Os documentos serão produzidos por escrito, com data e local de sua realização e assinatura dos responsáveis;</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Os valores, os preços e os custos utilizados terão como expressão monetária a moeda corrente nacional, ressalvado o disposto no art. 52 da Lei nº 14.133/2021 (licitações internacionais);</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iCs/>
          <w:color w:val="000000"/>
        </w:rPr>
      </w:pPr>
      <w:r>
        <w:rPr>
          <w:rFonts w:cs="Arial" w:ascii="Arial" w:hAnsi="Arial"/>
          <w:iCs/>
          <w:color w:val="000000"/>
        </w:rPr>
        <w:t>O desatendimento de exigências meramente formais que não comprometam a aferição da qualificação do licitante ou a compreensão do conteúdo de sua proposta não importará seu afastamento da licitação ou a invalidação do processo, sendo que a decisão sobre tal desatendimento poderá ser precedida de parecer jurídico;</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A prova de autenticidade de cópia de documento público ou particular poderá ser feita perante agente da Administração Pública Municipal, mediante apresentação de original ou de declaração de autenticidade por advogado, sob sua responsabilidade pessoal;</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 reconhecimento de firma somente será exigido quando houver dúvida de autenticidade, salvo imposição legal;</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Os atos serão preferencialmente digitais, de forma a permitir que sejam produzidos, comunicados, armazenados e validados por meio eletrônico;</w:t>
      </w:r>
    </w:p>
    <w:p>
      <w:pPr>
        <w:pStyle w:val="ListParagraph"/>
        <w:widowControl w:val="false"/>
        <w:numPr>
          <w:ilvl w:val="0"/>
          <w:numId w:val="15"/>
        </w:numPr>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t>É permitida a identificação e assinatura digital por pessoa física ou jurídica em meio eletrônico, mediante certificado digital emitido em âmbito da Infraestrutura de Chaves Públicas Brasileira (ICP-Brasil).</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11. </w:t>
      </w:r>
      <w:r>
        <w:rPr>
          <w:rFonts w:cs="Arial" w:ascii="Arial" w:hAnsi="Arial"/>
          <w:b/>
          <w:iCs/>
        </w:rPr>
        <w:t>FASES DE PROPOSTA 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11.1.</w:t>
      </w:r>
      <w:r>
        <w:rPr>
          <w:rFonts w:cs="Arial" w:ascii="Arial" w:hAnsi="Arial"/>
          <w:iCs/>
        </w:rPr>
        <w:t xml:space="preserve"> Para este certame, a fase de PROPOSTA será anterior à fase de HABILITAÇÃO.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11.2.</w:t>
      </w:r>
      <w:r>
        <w:rPr>
          <w:rFonts w:cs="Arial" w:ascii="Arial" w:hAnsi="Arial"/>
          <w:iCs/>
        </w:rPr>
        <w:t xml:space="preserve"> A fase RECURSAL será única.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iCs/>
        </w:rPr>
        <w:t>11.2.1. Após a fase de julgamento da proposta e da habilitação, será aberta a fase recursal, o qual permitirá o registro da intenção de recurso durante o prazo de 15 (quinze) minutos.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1701" w:leader="none"/>
        </w:tabs>
        <w:spacing w:lineRule="auto" w:line="240" w:before="0" w:after="0"/>
        <w:jc w:val="both"/>
        <w:rPr/>
      </w:pPr>
      <w:r>
        <w:rPr>
          <w:rFonts w:cs="Arial" w:ascii="Arial" w:hAnsi="Arial"/>
          <w:b/>
        </w:rPr>
        <w:t xml:space="preserve">12. </w:t>
      </w:r>
      <w:r>
        <w:rPr>
          <w:rFonts w:cs="Arial" w:ascii="Arial" w:hAnsi="Arial"/>
          <w:b/>
          <w:iCs/>
        </w:rPr>
        <w:t>DAS PROPOSTAS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12.1. Os proponentes encaminharão, exclusivamente por meio do sistema eletrônico, os documentos de habilitação exigidos no edital, proposta com a descrição do objeto ofertado e o preço, até a data e o horário estabelecidos após a sessão pública.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12.2. O envio da proposta, acompanhada dos documentos de habilitação exigidos neste Edital, ocorrerá por meio de chave de acesso e senha.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t>12.3.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40" w:before="0" w:after="0"/>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t xml:space="preserve">12.4. Os documentos que compõem a proposta e a habilitação do proponente melhor classificado somente serão disponibilizados para avaliação do pregoeiro e para acesso público após o encerramento do envio de lances. </w:t>
      </w:r>
    </w:p>
    <w:p>
      <w:pPr>
        <w:pStyle w:val="Normal"/>
        <w:widowControl w:val="false"/>
        <w:tabs>
          <w:tab w:val="clear" w:pos="708"/>
          <w:tab w:val="left" w:pos="567" w:leader="none"/>
        </w:tabs>
        <w:spacing w:lineRule="auto" w:line="240" w:before="0" w:after="0"/>
        <w:jc w:val="both"/>
        <w:textAlignment w:val="baseline"/>
        <w:rPr>
          <w:rFonts w:ascii="Arial" w:hAnsi="Arial" w:cs="Arial"/>
        </w:rPr>
      </w:pPr>
      <w:r>
        <w:rPr>
          <w:rFonts w:cs="Arial" w:ascii="Arial" w:hAnsi="Arial"/>
        </w:rPr>
      </w:r>
    </w:p>
    <w:p>
      <w:pPr>
        <w:pStyle w:val="Normal"/>
        <w:shd w:val="clear" w:color="auto" w:fill="E7E6E6"/>
        <w:tabs>
          <w:tab w:val="clear" w:pos="708"/>
          <w:tab w:val="left" w:pos="567" w:leader="none"/>
        </w:tabs>
        <w:spacing w:lineRule="auto" w:line="240" w:before="0" w:after="0"/>
        <w:jc w:val="both"/>
        <w:rPr/>
      </w:pPr>
      <w:r>
        <w:rPr>
          <w:rFonts w:cs="Arial" w:ascii="Arial" w:hAnsi="Arial"/>
          <w:b/>
          <w:iCs/>
        </w:rPr>
        <w:t>12.5.</w:t>
      </w:r>
      <w:r>
        <w:rPr>
          <w:rFonts w:cs="Arial" w:ascii="Arial" w:hAnsi="Arial"/>
          <w:iCs/>
        </w:rPr>
        <w:t xml:space="preserve"> CRITÉRIO DE JULGAMENTO: MENOR PREÇO POR ITEM.</w:t>
      </w:r>
    </w:p>
    <w:p>
      <w:pPr>
        <w:pStyle w:val="Normal"/>
        <w:tabs>
          <w:tab w:val="clear" w:pos="708"/>
          <w:tab w:val="left" w:pos="567" w:leader="none"/>
        </w:tabs>
        <w:spacing w:lineRule="auto" w:line="240" w:before="0" w:after="0"/>
        <w:jc w:val="both"/>
        <w:rPr/>
      </w:pPr>
      <w:r>
        <w:rPr>
          <w:rFonts w:cs="Arial" w:ascii="Arial" w:hAnsi="Arial"/>
          <w:bCs/>
          <w:iCs/>
        </w:rPr>
        <w:t>12.5.1.</w:t>
      </w:r>
      <w:r>
        <w:rPr>
          <w:rFonts w:cs="Arial" w:ascii="Arial" w:hAnsi="Arial"/>
          <w:b/>
          <w:iCs/>
        </w:rPr>
        <w:t xml:space="preserve"> </w:t>
      </w:r>
      <w:r>
        <w:rPr>
          <w:rFonts w:cs="Arial" w:ascii="Arial" w:hAnsi="Arial"/>
          <w:iCs/>
        </w:rPr>
        <w:t>Para elaboração das propostas o licitante deve:</w:t>
      </w:r>
    </w:p>
    <w:p>
      <w:pPr>
        <w:pStyle w:val="ListParagraph"/>
        <w:widowControl w:val="false"/>
        <w:numPr>
          <w:ilvl w:val="0"/>
          <w:numId w:val="43"/>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Apresentar sua proposta com valor </w:t>
      </w:r>
      <w:r>
        <w:rPr>
          <w:rFonts w:cs="Arial" w:ascii="Arial" w:hAnsi="Arial"/>
          <w:b/>
          <w:bCs/>
          <w:iCs/>
        </w:rPr>
        <w:t>não</w:t>
      </w:r>
      <w:r>
        <w:rPr>
          <w:rFonts w:cs="Arial" w:ascii="Arial" w:hAnsi="Arial"/>
          <w:iCs/>
        </w:rPr>
        <w:t xml:space="preserve"> superior ao valor máximo indicado pela Administração Pública Municipal;</w:t>
      </w:r>
    </w:p>
    <w:p>
      <w:pPr>
        <w:pStyle w:val="ListParagraph"/>
        <w:widowControl w:val="false"/>
        <w:numPr>
          <w:ilvl w:val="0"/>
          <w:numId w:val="43"/>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 xml:space="preserve">Elaborar sua proposta levando em consideração a utilização de mão de obra, materiais, tecnologias e matérias-primas existentes no local da execução, conservação e operação do bem ou serviço </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12.5.2.</w:t>
      </w:r>
      <w:r>
        <w:rPr>
          <w:rFonts w:cs="Arial" w:ascii="Arial" w:hAnsi="Arial"/>
          <w:iCs/>
        </w:rPr>
        <w:t xml:space="preserve"> O conteúdo das propostas é sigiloso até a abertura da sessão pública (art. 13, I da Lei nº 14.133/2021), sob pena de incursão no art. 337-J do </w:t>
      </w:r>
      <w:hyperlink r:id="rId16">
        <w:r>
          <w:rPr>
            <w:rStyle w:val="LinkdaInternet"/>
            <w:rFonts w:cs="Arial" w:ascii="Arial" w:hAnsi="Arial"/>
            <w:iCs/>
          </w:rPr>
          <w:t>Código Penal</w:t>
        </w:r>
        <w:r>
          <w:rPr>
            <w:rStyle w:val="LinkdaInternet"/>
            <w:rStyle w:val="Ncoradanotaderodap"/>
            <w:rFonts w:cs="Arial" w:ascii="Arial" w:hAnsi="Arial"/>
            <w:iCs/>
          </w:rPr>
          <w:footnoteReference w:id="2"/>
        </w:r>
        <w:r>
          <w:rPr>
            <w:rStyle w:val="LinkdaInternet"/>
            <w:rFonts w:cs="Arial" w:ascii="Arial" w:hAnsi="Arial"/>
            <w:iCs/>
          </w:rPr>
          <w:t>.</w:t>
        </w:r>
      </w:hyperlink>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12.5.3.</w:t>
      </w:r>
      <w:r>
        <w:rPr>
          <w:rFonts w:cs="Arial" w:ascii="Arial" w:hAnsi="Arial"/>
          <w:iCs/>
        </w:rPr>
        <w:t xml:space="preserve"> O licitante deverá encaminhar proposta exclusivamente por meio do sistema eletrônico até a data e o horário marcados para abertura da sessão, quando então se encerrará automaticamente a etapa de envio da proposta.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pPr>
      <w:r>
        <w:rPr>
          <w:rFonts w:cs="Arial" w:ascii="Arial" w:hAnsi="Arial"/>
        </w:rPr>
        <w:t xml:space="preserve">12.5.3.1. 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12.5.3.2. Após a fase de lances, a proposta atualizada deverá ser enviada no prazo máximo de até 02 (duas) horas após a convocação do pregoeiro.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12.5.3.3. Não serão aceitas propostas sem a assinatura do representante legal do proponente devidamente identificado.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12.5.3.4. A proposta deverá ser apresentada de acordo com o modelo constante do Anexo VI deste Edital e deverá conter, sob pena de desclassificação: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12.5.3.5. A identificação/descrição do objeto ofertado, de forma a permitir que o Pregoeiro possa facilmente constatar que as especificações no presente Pregão foram ou não atendidas, observadas as especificações constantes nos Anexos do presente Edital;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12.5.3.6. O preço unitário e os preços totais cotados em reais, com no máximo 02 (dois) algarismos decimais após a vírgula;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12.5.3.7.</w:t>
      </w:r>
      <w:r>
        <w:rPr>
          <w:rFonts w:cs="Arial" w:ascii="Arial" w:hAnsi="Arial"/>
          <w:b/>
          <w:bCs/>
        </w:rPr>
        <w:t xml:space="preserve"> </w:t>
      </w:r>
      <w:r>
        <w:rPr>
          <w:rFonts w:cs="Arial" w:ascii="Arial" w:hAnsi="Arial"/>
        </w:rPr>
        <w:t xml:space="preserve">A identificação da marca e do modelo do objeto ofertado;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12.5.3.8. Havendo divergência entre o valor unitário e total, prevalecerá o valor unitário.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12.5.3.9. Serão desconsideradas as propostas que apresentarem alternativas de preços ou qualquer outra condição não prevista neste Edital. </w:t>
      </w:r>
    </w:p>
    <w:p>
      <w:pPr>
        <w:pStyle w:val="Normal"/>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iCs/>
        </w:rPr>
        <w:t xml:space="preserve">12.5.3.10. Se a adjudicação não puder ocorrer dentro do período de validade da proposta, ou seja, 60 (sessenta) dias, e caso persista o interesse do Município, este poderá solicitar a prorrogação da validade da proposta por igual prazo.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12.5.4.</w:t>
      </w:r>
      <w:r>
        <w:rPr>
          <w:rFonts w:cs="Arial" w:ascii="Arial" w:hAnsi="Arial"/>
          <w:iCs/>
        </w:rPr>
        <w:t xml:space="preserve"> Qualquer elemento que possa identificar o licitante importará desclassificação da proposta, sem prejuízo das sanções previstas neste edital.</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12.5.5.</w:t>
      </w:r>
      <w:r>
        <w:rPr>
          <w:rFonts w:cs="Arial" w:ascii="Arial" w:hAnsi="Arial"/>
          <w:iCs/>
        </w:rPr>
        <w:t xml:space="preserve"> Até a abertura da sessão, o licitante poderá retirar ou substituir a proposta anteriormente encaminhada.</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12.5.6.</w:t>
      </w:r>
      <w:r>
        <w:rPr>
          <w:rFonts w:cs="Arial" w:ascii="Arial" w:hAnsi="Arial"/>
          <w:iCs/>
        </w:rPr>
        <w:t xml:space="preserve"> O prazo de validade da proposta n</w:t>
      </w:r>
      <w:r>
        <w:rPr>
          <w:rFonts w:cs="Arial" w:ascii="Arial" w:hAnsi="Arial"/>
        </w:rPr>
        <w:t>ão será inferior a 60 (sessenta) dias, a contar da data de sua apresentação.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12.5.7.</w:t>
      </w:r>
      <w:r>
        <w:rPr>
          <w:rFonts w:cs="Arial" w:ascii="Arial" w:hAnsi="Arial"/>
          <w:iCs/>
        </w:rPr>
        <w:t xml:space="preserve"> Decorrido o prazo de validade das propostas sem convocação para contratação, ficam os licitantes liberados dos compromissos assumidos.</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12.5.8.</w:t>
      </w:r>
      <w:r>
        <w:rPr>
          <w:rFonts w:cs="Arial" w:ascii="Arial" w:hAnsi="Arial"/>
          <w:iCs/>
        </w:rPr>
        <w:t xml:space="preserve"> A abertura da sessão pública ocorrerá na data e nos horários indicados no preâmbulo deste edital, no </w:t>
      </w:r>
      <w:r>
        <w:rPr>
          <w:rFonts w:cs="Arial" w:ascii="Arial" w:hAnsi="Arial"/>
          <w:iCs/>
          <w:color w:val="000000"/>
        </w:rPr>
        <w:t xml:space="preserve">Portal de Compras do Governo Federal </w:t>
      </w:r>
      <w:r>
        <w:rPr>
          <w:rFonts w:cs="Arial" w:ascii="Arial" w:hAnsi="Arial"/>
          <w:color w:val="000000"/>
        </w:rPr>
        <w:t xml:space="preserve">– </w:t>
      </w:r>
      <w:r>
        <w:rPr>
          <w:rFonts w:cs="Arial" w:ascii="Arial" w:hAnsi="Arial"/>
          <w:color w:val="0000FF"/>
        </w:rPr>
        <w:t>compras.gov.br</w:t>
      </w:r>
      <w:r>
        <w:rPr>
          <w:rFonts w:cs="Arial" w:ascii="Arial" w:hAnsi="Arial"/>
          <w:color w:val="000000"/>
        </w:rPr>
        <w:t>. UASG 988157.</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12.5.9.</w:t>
      </w:r>
      <w:r>
        <w:rPr>
          <w:rFonts w:cs="Arial" w:ascii="Arial" w:hAnsi="Arial"/>
        </w:rPr>
        <w:t xml:space="preserve"> Durante a sessão pública, a comunicação entre o </w:t>
      </w:r>
      <w:r>
        <w:rPr>
          <w:rFonts w:cs="Arial" w:ascii="Arial" w:hAnsi="Arial"/>
          <w:b/>
        </w:rPr>
        <w:t>pregoeiro</w:t>
      </w:r>
      <w:r>
        <w:rPr>
          <w:rFonts w:cs="Arial" w:ascii="Arial" w:hAnsi="Arial"/>
        </w:rPr>
        <w:t xml:space="preserve"> e os licitantes ocorrerá </w:t>
      </w:r>
      <w:r>
        <w:rPr>
          <w:rFonts w:cs="Arial" w:ascii="Arial" w:hAnsi="Arial"/>
          <w:b/>
        </w:rPr>
        <w:t>exclusivamente</w:t>
      </w:r>
      <w:r>
        <w:rPr>
          <w:rFonts w:cs="Arial" w:ascii="Arial" w:hAnsi="Arial"/>
        </w:rPr>
        <w:t xml:space="preserve"> mediante troca de mensagens, em campo próprio do sistema eletrônico. </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12.5.10.</w:t>
      </w:r>
      <w:r>
        <w:rPr>
          <w:rFonts w:cs="Arial" w:ascii="Arial" w:hAnsi="Arial"/>
        </w:rPr>
        <w:t xml:space="preserve">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12.5.11.</w:t>
      </w:r>
      <w:r>
        <w:rPr>
          <w:rFonts w:cs="Arial" w:ascii="Arial" w:hAnsi="Arial"/>
          <w:iCs/>
          <w:color w:val="000000"/>
        </w:rPr>
        <w:t xml:space="preserve"> Aberta a etapa de lances, os licitantes poderão encaminhar lances sucessivos exclusivamente por meio do sistema eletrônico, sendo que os lances deverão ser </w:t>
      </w:r>
      <w:r>
        <w:rPr>
          <w:rFonts w:cs="Arial" w:ascii="Arial" w:hAnsi="Arial"/>
          <w:color w:val="000000"/>
        </w:rPr>
        <w:t>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pPr>
      <w:r>
        <w:rPr>
          <w:rFonts w:cs="Arial" w:ascii="Arial" w:hAnsi="Arial"/>
          <w:bCs/>
        </w:rPr>
        <w:t>12.5.12.</w:t>
      </w:r>
      <w:r>
        <w:rPr>
          <w:rFonts w:cs="Arial" w:ascii="Arial" w:hAnsi="Arial"/>
        </w:rPr>
        <w:t xml:space="preserve"> Será adotado para o envio de lances o modo de disputa </w:t>
      </w:r>
    </w:p>
    <w:p>
      <w:pPr>
        <w:pStyle w:val="ListParagraph"/>
        <w:numPr>
          <w:ilvl w:val="0"/>
          <w:numId w:val="41"/>
        </w:numPr>
        <w:tabs>
          <w:tab w:val="clear" w:pos="708"/>
          <w:tab w:val="left" w:pos="1134" w:leader="none"/>
        </w:tabs>
        <w:spacing w:lineRule="auto" w:line="240" w:before="0" w:after="0"/>
        <w:ind w:left="567" w:hanging="0"/>
        <w:contextualSpacing/>
        <w:jc w:val="both"/>
        <w:rPr>
          <w:rFonts w:ascii="Arial" w:hAnsi="Arial" w:cs="Arial"/>
          <w:b/>
          <w:b/>
          <w:color w:val="000000"/>
        </w:rPr>
      </w:pPr>
      <w:r>
        <w:rPr>
          <w:rFonts w:cs="Arial" w:ascii="Arial" w:hAnsi="Arial"/>
          <w:b/>
          <w:color w:val="000000"/>
        </w:rPr>
        <w:t>ABERTO: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10 (dez) minutos de lances sucessivos e, após isso, será prorrogada automaticamente pelo sistema quando houver lance ofertado nos últimos 2 (dois) minutos;</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A prorrogação automática será de 02 (dois) minutos e ocorrerá sucessivamente sempre que houver lances enviados nesse período de prorrogação;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Não havendo novos lances nos últimos 02 (dois) minutos, a sessão pública será encerrada automaticamente;</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Encerrada a etapa de lances, com ou sem prorrogação automática pelo sistema, poderá o </w:t>
      </w:r>
      <w:r>
        <w:rPr>
          <w:rFonts w:cs="Arial" w:ascii="Arial" w:hAnsi="Arial"/>
          <w:b/>
          <w:color w:val="000000"/>
        </w:rPr>
        <w:t>pregoeiro</w:t>
      </w:r>
      <w:r>
        <w:rPr>
          <w:rFonts w:cs="Arial" w:ascii="Arial" w:hAnsi="Arial"/>
          <w:color w:val="000000"/>
        </w:rPr>
        <w:t>, assessorado pela equipe de apoio, justificadamente, admitir o reinício do envio de lances, em prol da consecução do melhor preço;</w:t>
      </w:r>
    </w:p>
    <w:p>
      <w:pPr>
        <w:pStyle w:val="ListParagraph"/>
        <w:numPr>
          <w:ilvl w:val="0"/>
          <w:numId w:val="42"/>
        </w:numPr>
        <w:tabs>
          <w:tab w:val="clear" w:pos="708"/>
          <w:tab w:val="left" w:pos="1701" w:leader="none"/>
        </w:tabs>
        <w:spacing w:lineRule="auto" w:line="240" w:before="0" w:after="0"/>
        <w:ind w:left="1134" w:hanging="0"/>
        <w:contextualSpacing/>
        <w:jc w:val="both"/>
        <w:rPr>
          <w:rFonts w:ascii="Arial" w:hAnsi="Arial" w:cs="Arial"/>
          <w:color w:val="000000"/>
        </w:rPr>
      </w:pPr>
      <w:r>
        <w:rPr>
          <w:rFonts w:cs="Arial" w:ascii="Arial" w:hAnsi="Arial"/>
          <w:color w:val="000000"/>
        </w:rPr>
        <w:t>Os lances apresentados e levados em consideração para efeito de julgamento serão de exclusiva e total responsabilidade do licitante, não lhe cabendo o direito de pleitear qualquer alteração;</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Durante o envio de lances, o </w:t>
      </w:r>
      <w:r>
        <w:rPr>
          <w:rFonts w:cs="Arial" w:ascii="Arial" w:hAnsi="Arial"/>
          <w:b/>
          <w:color w:val="000000"/>
        </w:rPr>
        <w:t>pregoeiro</w:t>
      </w:r>
      <w:r>
        <w:rPr>
          <w:rFonts w:cs="Arial" w:ascii="Arial" w:hAnsi="Arial"/>
          <w:color w:val="000000"/>
        </w:rPr>
        <w:t xml:space="preserve"> poderá excluir, justificadamente, lance cujo valor seja manifestamente inexequível;</w:t>
      </w:r>
    </w:p>
    <w:p>
      <w:pPr>
        <w:pStyle w:val="ListParagraph"/>
        <w:numPr>
          <w:ilvl w:val="0"/>
          <w:numId w:val="42"/>
        </w:numPr>
        <w:tabs>
          <w:tab w:val="clear" w:pos="708"/>
          <w:tab w:val="left" w:pos="1701" w:leader="none"/>
        </w:tabs>
        <w:spacing w:lineRule="auto" w:line="240" w:before="0" w:after="0"/>
        <w:ind w:left="1134" w:hanging="0"/>
        <w:contextualSpacing/>
        <w:jc w:val="both"/>
        <w:rPr/>
      </w:pPr>
      <w:r>
        <w:rPr>
          <w:rFonts w:cs="Arial" w:ascii="Arial" w:hAnsi="Arial"/>
          <w:color w:val="000000"/>
        </w:rPr>
        <w:t xml:space="preserve">Se ocorrer a desconexão do </w:t>
      </w:r>
      <w:r>
        <w:rPr>
          <w:rFonts w:cs="Arial" w:ascii="Arial" w:hAnsi="Arial"/>
          <w:b/>
          <w:color w:val="000000"/>
        </w:rPr>
        <w:t>pregoeiro</w:t>
      </w:r>
      <w:r>
        <w:rPr>
          <w:rFonts w:cs="Arial" w:ascii="Arial" w:hAnsi="Arial"/>
          <w:color w:val="000000"/>
        </w:rPr>
        <w:t xml:space="preserve"> no decorrer do envio de lances, mas o sistema eletrônico permanecer acessível aos licitantes, os lances continuarão sendo recebidos, sem prejuízo dos atos realizados.</w:t>
      </w:r>
    </w:p>
    <w:p>
      <w:pPr>
        <w:pStyle w:val="Normal"/>
        <w:tabs>
          <w:tab w:val="clear" w:pos="708"/>
          <w:tab w:val="left" w:pos="567"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567" w:leader="none"/>
        </w:tabs>
        <w:spacing w:lineRule="auto" w:line="240" w:before="0" w:after="0"/>
        <w:jc w:val="both"/>
        <w:rPr/>
      </w:pPr>
      <w:r>
        <w:rPr>
          <w:rFonts w:cs="Arial" w:ascii="Arial" w:hAnsi="Arial"/>
          <w:bCs/>
        </w:rPr>
        <w:t>12.5.13.</w:t>
      </w:r>
      <w:r>
        <w:rPr>
          <w:rFonts w:cs="Arial" w:ascii="Arial" w:hAnsi="Arial"/>
        </w:rPr>
        <w:t xml:space="preserve"> No caso de a desconexão do </w:t>
      </w:r>
      <w:r>
        <w:rPr>
          <w:rFonts w:cs="Arial" w:ascii="Arial" w:hAnsi="Arial"/>
          <w:b/>
        </w:rPr>
        <w:t>pregoeiro</w:t>
      </w:r>
      <w:r>
        <w:rPr>
          <w:rFonts w:cs="Arial" w:ascii="Arial" w:hAnsi="Arial"/>
        </w:rPr>
        <w:t xml:space="preserve"> persistir por tempo superior a 10 (dez) minutos, a sessão será suspensa automaticamente e terá reinício somente após comunicação expressa aos participantes no sítio </w:t>
      </w:r>
      <w:r>
        <w:rPr>
          <w:rFonts w:cs="Arial" w:ascii="Arial" w:hAnsi="Arial"/>
          <w:color w:val="0000FF"/>
        </w:rPr>
        <w:t>compras.gov.br</w:t>
      </w:r>
      <w:r>
        <w:rPr>
          <w:rFonts w:cs="Arial" w:ascii="Arial" w:hAnsi="Arial"/>
          <w:color w:val="000000"/>
        </w:rPr>
        <w:t>.</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13. VERIFICAÇÃO DE IMPEDIMENTOS NO CEIS E CNEP</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13.1.</w:t>
      </w:r>
      <w:r>
        <w:rPr>
          <w:rFonts w:cs="Arial" w:ascii="Arial" w:hAnsi="Arial"/>
          <w:iCs/>
        </w:rPr>
        <w:t xml:space="preserve"> Encerrada a etapa de lances, o pregoeiro verificará eventual descumprimento das condições de participação, especialmente quanto à existência de sanção que impeça a participação dos licitantes no certame ou futura contratação, mediante consulta aos seguintes cadastros:</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pPr>
      <w:r>
        <w:rPr>
          <w:rFonts w:cs="Arial" w:ascii="Arial" w:hAnsi="Arial"/>
          <w:b/>
          <w:iCs/>
        </w:rPr>
        <w:t>Cadastro Nacional de Empresas Inidôneas e Suspensas – CEIS</w:t>
      </w:r>
      <w:r>
        <w:rPr>
          <w:rFonts w:cs="Arial" w:ascii="Arial" w:hAnsi="Arial"/>
          <w:iCs/>
        </w:rPr>
        <w:t>, mantido pela Controladoria-Geral da União (https://portaldatransparencia.gov.br/sancoes/consulta).</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pPr>
      <w:r>
        <w:rPr>
          <w:rFonts w:cs="Arial" w:ascii="Arial" w:hAnsi="Arial"/>
          <w:b/>
          <w:iCs/>
        </w:rPr>
        <w:t>Cadastro Nacional de Empresas Punidas – CNEP</w:t>
      </w:r>
      <w:r>
        <w:rPr>
          <w:rFonts w:cs="Arial" w:ascii="Arial" w:hAnsi="Arial"/>
          <w:iCs/>
        </w:rPr>
        <w:t>, mantido pela Controladoria-Geral da União (</w:t>
      </w:r>
      <w:hyperlink r:id="rId17">
        <w:r>
          <w:rPr>
            <w:rStyle w:val="LinkdaInternet"/>
            <w:rFonts w:cs="Arial" w:ascii="Arial" w:hAnsi="Arial"/>
            <w:iCs/>
          </w:rPr>
          <w:t>https://portaldatransparencia.gov.br/sancoes/consulta</w:t>
        </w:r>
      </w:hyperlink>
      <w:r>
        <w:rPr>
          <w:rFonts w:cs="Arial" w:ascii="Arial" w:hAnsi="Arial"/>
          <w:iCs/>
        </w:rPr>
        <w:t>).</w:t>
      </w:r>
    </w:p>
    <w:p>
      <w:pPr>
        <w:pStyle w:val="ListParagraph"/>
        <w:widowControl w:val="false"/>
        <w:numPr>
          <w:ilvl w:val="0"/>
          <w:numId w:val="16"/>
        </w:numPr>
        <w:tabs>
          <w:tab w:val="clear" w:pos="708"/>
          <w:tab w:val="left" w:pos="1134" w:leader="none"/>
        </w:tabs>
        <w:spacing w:lineRule="auto" w:line="240" w:before="0" w:after="0"/>
        <w:ind w:left="567" w:hanging="0"/>
        <w:contextualSpacing/>
        <w:jc w:val="both"/>
        <w:textAlignment w:val="baseline"/>
        <w:rPr>
          <w:shd w:fill="auto" w:val="clear"/>
        </w:rPr>
      </w:pPr>
      <w:r>
        <w:rPr>
          <w:rFonts w:cs="Arial" w:ascii="Arial" w:hAnsi="Arial"/>
          <w:b/>
          <w:bCs/>
          <w:iCs/>
          <w:sz w:val="22"/>
          <w:szCs w:val="22"/>
          <w:shd w:fill="auto" w:val="clear"/>
        </w:rPr>
        <w:t>Certidão Negativa d</w:t>
      </w:r>
      <w:r>
        <w:rPr>
          <w:rFonts w:eastAsia="Times New Roman" w:cs="Times New Roman" w:ascii="Arial" w:hAnsi="Arial"/>
          <w:b/>
          <w:bCs/>
          <w:iCs/>
          <w:color w:val="000000"/>
          <w:kern w:val="0"/>
          <w:sz w:val="22"/>
          <w:szCs w:val="22"/>
          <w:shd w:fill="auto" w:val="clear"/>
          <w:lang w:val="pt-BR" w:eastAsia="en-US" w:bidi="ar-SA"/>
        </w:rPr>
        <w:t>o Sistema de Inabilitados e Inidôneos do TCU</w:t>
      </w:r>
      <w:r>
        <w:rPr>
          <w:rFonts w:eastAsia="Times New Roman" w:cs="Times New Roman" w:ascii="Arial" w:hAnsi="Arial"/>
          <w:iCs/>
          <w:color w:val="000000"/>
          <w:kern w:val="0"/>
          <w:sz w:val="22"/>
          <w:szCs w:val="22"/>
          <w:shd w:fill="auto" w:val="clear"/>
          <w:lang w:val="pt-BR" w:eastAsia="en-US" w:bidi="ar-SA"/>
        </w:rPr>
        <w:t>, através do link: https://contas.tcu.gov.br/ords/f?p=704144:1:113283355740824::NO:1::</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rPr>
        <w:t>13.2.</w:t>
      </w:r>
      <w:r>
        <w:rPr>
          <w:rFonts w:cs="Arial" w:ascii="Arial" w:hAnsi="Arial"/>
          <w:b/>
        </w:rPr>
        <w:t xml:space="preserve"> </w:t>
      </w:r>
      <w:r>
        <w:rPr>
          <w:rFonts w:cs="Arial" w:ascii="Arial" w:hAnsi="Arial"/>
        </w:rPr>
        <w:t xml:space="preserve">A consulta aos cadastros acima referidos </w:t>
      </w:r>
      <w:r>
        <w:rPr>
          <w:rFonts w:cs="Arial" w:ascii="Arial" w:hAnsi="Arial"/>
          <w:b/>
        </w:rPr>
        <w:t>será</w:t>
      </w:r>
      <w:r>
        <w:rPr>
          <w:rFonts w:cs="Arial" w:ascii="Arial" w:hAnsi="Arial"/>
        </w:rPr>
        <w:t xml:space="preserve"> realizada </w:t>
      </w:r>
      <w:r>
        <w:rPr>
          <w:rFonts w:cs="Arial" w:ascii="Arial" w:hAnsi="Arial"/>
          <w:b/>
        </w:rPr>
        <w:t xml:space="preserve">em nome do licitante </w:t>
      </w:r>
      <w:r>
        <w:rPr>
          <w:rFonts w:cs="Arial" w:ascii="Arial" w:hAnsi="Arial"/>
          <w:b/>
          <w:u w:val="single"/>
        </w:rPr>
        <w:t>e</w:t>
      </w:r>
      <w:r>
        <w:rPr>
          <w:rFonts w:cs="Arial" w:ascii="Arial" w:hAnsi="Arial"/>
          <w:b/>
        </w:rPr>
        <w:t xml:space="preserve"> também de seu sócio majoritário</w:t>
      </w:r>
      <w:r>
        <w:rPr>
          <w:rFonts w:cs="Arial" w:ascii="Arial" w:hAnsi="Arial"/>
        </w:rPr>
        <w:t xml:space="preserve">, por força do art. 12 da </w:t>
      </w:r>
      <w:hyperlink r:id="rId18">
        <w:r>
          <w:rPr>
            <w:rStyle w:val="LinkdaInternet"/>
            <w:rFonts w:cs="Arial" w:ascii="Arial" w:hAnsi="Arial"/>
          </w:rPr>
          <w:t>Lei nº 8.429/1992</w:t>
        </w:r>
      </w:hyperlink>
      <w:r>
        <w:rPr>
          <w:rFonts w:cs="Arial" w:ascii="Arial" w:hAnsi="Arial"/>
        </w:rPr>
        <w:t xml:space="preserve"> (Dispõe sobre as sanções aplicáveis em virtude da prática de atos de improbidade administrativa, de que trata o § 4º do art. 37 da Constituição Federal; e dá outras providências).</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rPr>
        <w:t>13.3.</w:t>
      </w:r>
      <w:r>
        <w:rPr>
          <w:rFonts w:cs="Arial" w:ascii="Arial" w:hAnsi="Arial"/>
        </w:rPr>
        <w:t xml:space="preserve"> A verificação visa coibir o disposto no art. 337-M do </w:t>
      </w:r>
      <w:hyperlink r:id="rId19">
        <w:r>
          <w:rPr>
            <w:rStyle w:val="LinkdaInternet"/>
            <w:rFonts w:cs="Arial" w:ascii="Arial" w:hAnsi="Arial"/>
          </w:rPr>
          <w:t>Código Penal</w:t>
        </w:r>
        <w:r>
          <w:rPr>
            <w:rStyle w:val="LinkdaInternet"/>
            <w:rStyle w:val="Ncoradanotaderodap"/>
            <w:rFonts w:cs="Arial" w:ascii="Arial" w:hAnsi="Arial"/>
          </w:rPr>
          <w:footnoteReference w:id="3"/>
        </w:r>
        <w:r>
          <w:rPr>
            <w:rStyle w:val="LinkdaInternet"/>
            <w:rFonts w:cs="Arial" w:ascii="Arial" w:hAnsi="Arial"/>
          </w:rPr>
          <w:t>.</w:t>
        </w:r>
      </w:hyperlink>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14. DO JULGAMENTO DAS PROPOSTAS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14.1.</w:t>
      </w:r>
      <w:r>
        <w:rPr>
          <w:rFonts w:cs="Arial" w:ascii="Arial" w:hAnsi="Arial"/>
          <w:iCs/>
        </w:rPr>
        <w:t xml:space="preserve"> Serão desclassificadas as propostas que (art. 59, </w:t>
      </w:r>
      <w:r>
        <w:rPr>
          <w:rFonts w:cs="Arial" w:ascii="Arial" w:hAnsi="Arial"/>
          <w:i/>
          <w:iCs/>
        </w:rPr>
        <w:t>caput</w:t>
      </w:r>
      <w:r>
        <w:rPr>
          <w:rFonts w:cs="Arial" w:ascii="Arial" w:hAnsi="Arial"/>
          <w:iCs/>
        </w:rPr>
        <w:t>, da Lei nº 14.133/2021):</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6" w:name="art59i"/>
      <w:bookmarkEnd w:id="6"/>
      <w:r>
        <w:rPr>
          <w:rFonts w:cs="Arial" w:ascii="Arial" w:hAnsi="Arial"/>
          <w:iCs/>
        </w:rPr>
        <w:t>Contiverem vícios insanáveis;</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7" w:name="art59ii"/>
      <w:bookmarkEnd w:id="7"/>
      <w:r>
        <w:rPr>
          <w:rFonts w:cs="Arial" w:ascii="Arial" w:hAnsi="Arial"/>
          <w:iCs/>
        </w:rPr>
        <w:t>Não obedecerem às especificações técnicas pormenorizadas no edital;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8" w:name="art59iii"/>
      <w:bookmarkEnd w:id="8"/>
      <w:r>
        <w:rPr>
          <w:rFonts w:cs="Arial" w:ascii="Arial" w:hAnsi="Arial"/>
          <w:iCs/>
        </w:rPr>
        <w:t>Apresentarem preços inexequíveis ou permanecerem acima do orçamento estimado para a contratação;</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9" w:name="art59iv"/>
      <w:bookmarkEnd w:id="9"/>
      <w:r>
        <w:rPr>
          <w:rFonts w:cs="Arial" w:ascii="Arial" w:hAnsi="Arial"/>
          <w:iCs/>
        </w:rPr>
        <w:t>Não tiverem sua exequibilidade demonstrada, quando exigido pela Administração Pública Municipal;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10" w:name="art59v"/>
      <w:bookmarkEnd w:id="10"/>
      <w:r>
        <w:rPr>
          <w:rFonts w:cs="Arial" w:ascii="Arial" w:hAnsi="Arial"/>
          <w:iCs/>
        </w:rPr>
        <w:t>Apresentarem desconformidade com quaisquer outras exigências do edital, desde que insanável;</w:t>
      </w:r>
    </w:p>
    <w:p>
      <w:pPr>
        <w:pStyle w:val="ListParagraph"/>
        <w:widowControl w:val="false"/>
        <w:numPr>
          <w:ilvl w:val="0"/>
          <w:numId w:val="17"/>
        </w:numPr>
        <w:tabs>
          <w:tab w:val="clear" w:pos="708"/>
          <w:tab w:val="left" w:pos="1134" w:leader="none"/>
        </w:tabs>
        <w:spacing w:lineRule="auto" w:line="240" w:before="0" w:after="0"/>
        <w:ind w:left="567" w:hanging="0"/>
        <w:contextualSpacing/>
        <w:jc w:val="both"/>
        <w:textAlignment w:val="baseline"/>
        <w:rPr/>
      </w:pPr>
      <w:r>
        <w:rPr>
          <w:rFonts w:cs="Arial" w:ascii="Arial" w:hAnsi="Arial"/>
          <w:iCs/>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1" w:name="art59§1"/>
      <w:bookmarkStart w:id="12" w:name="art59§1"/>
      <w:bookmarkEnd w:id="12"/>
    </w:p>
    <w:p>
      <w:pPr>
        <w:pStyle w:val="Normal"/>
        <w:tabs>
          <w:tab w:val="clear" w:pos="708"/>
          <w:tab w:val="left" w:pos="567" w:leader="none"/>
        </w:tabs>
        <w:spacing w:lineRule="auto" w:line="240" w:before="0" w:after="0"/>
        <w:jc w:val="both"/>
        <w:rPr/>
      </w:pPr>
      <w:r>
        <w:rPr>
          <w:rFonts w:cs="Arial" w:ascii="Arial" w:hAnsi="Arial"/>
          <w:bCs/>
          <w:iCs/>
        </w:rPr>
        <w:t>14.2.</w:t>
      </w:r>
      <w:r>
        <w:rPr>
          <w:rFonts w:cs="Arial" w:ascii="Arial" w:hAnsi="Arial"/>
          <w:iCs/>
        </w:rPr>
        <w:t xml:space="preserve"> A verificação da conformidade das propostas </w:t>
      </w:r>
      <w:r>
        <w:rPr>
          <w:rFonts w:cs="Arial" w:ascii="Arial" w:hAnsi="Arial"/>
          <w:iCs/>
          <w:color w:val="000000"/>
        </w:rPr>
        <w:t>será</w:t>
      </w:r>
      <w:r>
        <w:rPr>
          <w:rFonts w:cs="Arial" w:ascii="Arial" w:hAnsi="Arial"/>
          <w:iCs/>
        </w:rPr>
        <w:t xml:space="preserve"> feita exclusivamente em relação à proposta mais bem classificada (art. 59, § 1º da Lei nº 14.133/2021).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13" w:name="art60"/>
      <w:bookmarkStart w:id="14" w:name="art59§2"/>
      <w:bookmarkStart w:id="15" w:name="art59§5"/>
      <w:bookmarkStart w:id="16" w:name="art60"/>
      <w:bookmarkStart w:id="17" w:name="art59§2"/>
      <w:bookmarkStart w:id="18" w:name="art59§5"/>
      <w:bookmarkEnd w:id="16"/>
      <w:bookmarkEnd w:id="17"/>
      <w:bookmarkEnd w:id="18"/>
    </w:p>
    <w:p>
      <w:pPr>
        <w:pStyle w:val="Normal"/>
        <w:tabs>
          <w:tab w:val="clear" w:pos="708"/>
          <w:tab w:val="left" w:pos="567" w:leader="none"/>
        </w:tabs>
        <w:spacing w:lineRule="auto" w:line="240" w:before="0" w:after="0"/>
        <w:jc w:val="both"/>
        <w:rPr/>
      </w:pPr>
      <w:r>
        <w:rPr>
          <w:rFonts w:cs="Arial" w:ascii="Arial" w:hAnsi="Arial"/>
          <w:bCs/>
          <w:iCs/>
        </w:rPr>
        <w:t>14.3.</w:t>
      </w:r>
      <w:r>
        <w:rPr>
          <w:rFonts w:cs="Arial" w:ascii="Arial" w:hAnsi="Arial"/>
          <w:iCs/>
        </w:rPr>
        <w:t xml:space="preserve"> </w:t>
      </w:r>
      <w:r>
        <w:rPr>
          <w:rFonts w:cs="Arial" w:ascii="Arial" w:hAnsi="Arial"/>
          <w:iCs/>
          <w:u w:val="single"/>
        </w:rPr>
        <w:t>EXEQUIBILIDADE:</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14.3.1.</w:t>
      </w:r>
      <w:r>
        <w:rPr>
          <w:rFonts w:cs="Arial" w:ascii="Arial" w:hAnsi="Arial"/>
          <w:iCs/>
        </w:rPr>
        <w:t xml:space="preserve"> A Administração Pública Municipal </w:t>
      </w:r>
      <w:r>
        <w:rPr>
          <w:rFonts w:cs="Arial" w:ascii="Arial" w:hAnsi="Arial"/>
          <w:iCs/>
          <w:u w:val="single"/>
        </w:rPr>
        <w:t>poderá</w:t>
      </w:r>
      <w:r>
        <w:rPr>
          <w:rFonts w:cs="Arial" w:ascii="Arial" w:hAnsi="Arial"/>
          <w:iCs/>
        </w:rPr>
        <w:t xml:space="preserve"> realizar diligências para aferir a exequibilidade das propostas ou exigir dos licitantes que ela seja demonstrada, conforme disposto em IV do tópico 14.1 (art. 59, § 2º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bookmarkStart w:id="19" w:name="art59§4"/>
      <w:bookmarkStart w:id="20" w:name="art59§3"/>
      <w:bookmarkEnd w:id="19"/>
      <w:bookmarkEnd w:id="20"/>
      <w:r>
        <w:rPr>
          <w:rFonts w:cs="Arial" w:ascii="Arial" w:hAnsi="Arial"/>
          <w:bCs/>
          <w:iCs/>
        </w:rPr>
        <w:t>14.3.2.</w:t>
      </w:r>
      <w:r>
        <w:rPr>
          <w:rFonts w:cs="Arial" w:ascii="Arial" w:hAnsi="Arial"/>
          <w:iCs/>
        </w:rPr>
        <w:t xml:space="preserve"> Serão consideradas inexequíveis as propostas cujos valores forem inferiores a:</w:t>
      </w:r>
    </w:p>
    <w:p>
      <w:pPr>
        <w:pStyle w:val="ListParagraph"/>
        <w:numPr>
          <w:ilvl w:val="0"/>
          <w:numId w:val="44"/>
        </w:numPr>
        <w:tabs>
          <w:tab w:val="clear" w:pos="708"/>
          <w:tab w:val="left" w:pos="567" w:leader="none"/>
        </w:tabs>
        <w:spacing w:lineRule="auto" w:line="240" w:before="0" w:after="0"/>
        <w:contextualSpacing/>
        <w:jc w:val="both"/>
        <w:rPr/>
      </w:pPr>
      <w:r>
        <w:rPr>
          <w:rFonts w:cs="Arial" w:ascii="Arial" w:hAnsi="Arial"/>
          <w:iCs/>
        </w:rPr>
        <w:t xml:space="preserve">BENS E SERVIÇOS QUE NÃO SÃO DE ENGENHARIA: </w:t>
      </w:r>
      <w:r>
        <w:rPr>
          <w:rFonts w:cs="Arial" w:ascii="Arial" w:hAnsi="Arial"/>
          <w:b/>
          <w:bCs/>
          <w:iCs/>
        </w:rPr>
        <w:t>3</w:t>
      </w:r>
      <w:r>
        <w:rPr>
          <w:rFonts w:cs="Arial" w:ascii="Arial" w:hAnsi="Arial"/>
          <w:b/>
          <w:iCs/>
          <w:color w:val="000000"/>
        </w:rPr>
        <w:t>0%</w:t>
      </w:r>
      <w:r>
        <w:rPr>
          <w:rFonts w:cs="Arial" w:ascii="Arial" w:hAnsi="Arial"/>
          <w:iCs/>
          <w:color w:val="FF0000"/>
        </w:rPr>
        <w:t xml:space="preserve"> </w:t>
      </w:r>
      <w:r>
        <w:rPr>
          <w:rFonts w:cs="Arial" w:ascii="Arial" w:hAnsi="Arial"/>
          <w:iCs/>
        </w:rPr>
        <w:t>do valor máximo definido pela Administração Pública Municipal</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14.4.</w:t>
      </w:r>
      <w:r>
        <w:rPr>
          <w:rFonts w:cs="Arial" w:ascii="Arial" w:hAnsi="Arial"/>
          <w:iCs/>
        </w:rPr>
        <w:t xml:space="preserve"> </w:t>
      </w:r>
      <w:r>
        <w:rPr>
          <w:rFonts w:cs="Arial" w:ascii="Arial" w:hAnsi="Arial"/>
          <w:iCs/>
          <w:u w:val="single"/>
        </w:rPr>
        <w:t>EMPATE:</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14.4.1.</w:t>
      </w:r>
      <w:r>
        <w:rPr>
          <w:rFonts w:cs="Arial" w:ascii="Arial" w:hAnsi="Arial"/>
          <w:iCs/>
        </w:rPr>
        <w:t xml:space="preserve"> Em caso de empate entre duas ou mais propostas, serão utilizados os seguintes critérios de desempate, nesta ordem (art. 60, </w:t>
      </w:r>
      <w:r>
        <w:rPr>
          <w:rFonts w:cs="Arial" w:ascii="Arial" w:hAnsi="Arial"/>
          <w:i/>
          <w:iCs/>
        </w:rPr>
        <w:t>caput</w:t>
      </w:r>
      <w:r>
        <w:rPr>
          <w:rFonts w:cs="Arial" w:ascii="Arial" w:hAnsi="Arial"/>
          <w:iCs/>
        </w:rPr>
        <w:t xml:space="preserve"> da Lei nº 14.133/2021).</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1" w:name="art60i"/>
      <w:bookmarkEnd w:id="21"/>
      <w:r>
        <w:rPr>
          <w:rFonts w:cs="Arial" w:ascii="Arial" w:hAnsi="Arial"/>
          <w:iCs/>
        </w:rPr>
        <w:t>Disputa final, hipótese em que os licitantes empatados poderão apresentar nova proposta em ato contínuo à classificação;</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2" w:name="art60ii"/>
      <w:bookmarkEnd w:id="22"/>
      <w:r>
        <w:rPr>
          <w:rFonts w:cs="Arial" w:ascii="Arial" w:hAnsi="Arial"/>
          <w:iCs/>
        </w:rPr>
        <w:t>Avaliação do desempenho contratual prévio dos licitantes, para a qual deverão preferencialmente ser utilizados registros cadastrais para efeito de atesto de cumprimento de obrigações previstos na Lei nº 14.133/2021;</w:t>
      </w:r>
    </w:p>
    <w:p>
      <w:pPr>
        <w:pStyle w:val="ListParagraph"/>
        <w:widowControl w:val="false"/>
        <w:numPr>
          <w:ilvl w:val="0"/>
          <w:numId w:val="18"/>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3" w:name="art60iv"/>
      <w:bookmarkEnd w:id="23"/>
      <w:r>
        <w:rPr>
          <w:rFonts w:cs="Arial" w:ascii="Arial" w:hAnsi="Arial"/>
          <w:iCs/>
        </w:rPr>
        <w:t>Desenvolvimento pelo licitante de programa de integridade, conforme orientações dos órgãos de controle, quando existir.</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24" w:name="art60§1"/>
      <w:bookmarkStart w:id="25" w:name="art60§1"/>
      <w:bookmarkEnd w:id="25"/>
    </w:p>
    <w:p>
      <w:pPr>
        <w:pStyle w:val="Normal"/>
        <w:tabs>
          <w:tab w:val="clear" w:pos="708"/>
          <w:tab w:val="left" w:pos="567" w:leader="none"/>
        </w:tabs>
        <w:spacing w:lineRule="auto" w:line="240" w:before="0" w:after="0"/>
        <w:jc w:val="both"/>
        <w:rPr/>
      </w:pPr>
      <w:r>
        <w:rPr>
          <w:rFonts w:cs="Arial" w:ascii="Arial" w:hAnsi="Arial"/>
          <w:bCs/>
          <w:iCs/>
        </w:rPr>
        <w:t>14.5.</w:t>
      </w:r>
      <w:r>
        <w:rPr>
          <w:rFonts w:cs="Arial" w:ascii="Arial" w:hAnsi="Arial"/>
          <w:b/>
          <w:iCs/>
        </w:rPr>
        <w:t xml:space="preserve"> </w:t>
      </w:r>
      <w:r>
        <w:rPr>
          <w:rFonts w:cs="Arial" w:ascii="Arial" w:hAnsi="Arial"/>
          <w:iCs/>
          <w:u w:val="single"/>
        </w:rPr>
        <w:t>DIREITO DE PREFERÊNCIA:</w:t>
      </w:r>
      <w:r>
        <w:rPr>
          <w:rFonts w:cs="Arial" w:ascii="Arial" w:hAnsi="Arial"/>
          <w:iCs/>
        </w:rPr>
        <w:t xml:space="preserve">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14.5.1.</w:t>
      </w:r>
      <w:r>
        <w:rPr>
          <w:rFonts w:cs="Arial" w:ascii="Arial" w:hAnsi="Arial"/>
          <w:iCs/>
        </w:rPr>
        <w:t xml:space="preserve"> Em igualdade de condições, se não houver desempate, será assegurada preferência, sucessivamente, aos bens e serviços produzidos ou prestados por (art. 60, § 1º da Lei nº 14.133/2021):</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6" w:name="art60§1i"/>
      <w:bookmarkEnd w:id="26"/>
      <w:r>
        <w:rPr>
          <w:rFonts w:cs="Arial" w:ascii="Arial" w:hAnsi="Arial"/>
          <w:iCs/>
        </w:rPr>
        <w:t>Empresas estabelecidas no território do Estado de Santa Catarina;</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7" w:name="art60§1ii"/>
      <w:bookmarkEnd w:id="27"/>
      <w:r>
        <w:rPr>
          <w:rFonts w:cs="Arial" w:ascii="Arial" w:hAnsi="Arial"/>
          <w:iCs/>
        </w:rPr>
        <w:t>Empresas brasileiras;</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8" w:name="art60§1iii"/>
      <w:bookmarkEnd w:id="28"/>
      <w:r>
        <w:rPr>
          <w:rFonts w:cs="Arial" w:ascii="Arial" w:hAnsi="Arial"/>
          <w:iCs/>
        </w:rPr>
        <w:t>Empresas que invistam em pesquisa e no desenvolvimento de tecnologia no País;</w:t>
      </w:r>
    </w:p>
    <w:p>
      <w:pPr>
        <w:pStyle w:val="ListParagraph"/>
        <w:widowControl w:val="false"/>
        <w:numPr>
          <w:ilvl w:val="0"/>
          <w:numId w:val="19"/>
        </w:numPr>
        <w:tabs>
          <w:tab w:val="clear" w:pos="708"/>
          <w:tab w:val="left" w:pos="1134" w:leader="none"/>
        </w:tabs>
        <w:spacing w:lineRule="auto" w:line="240" w:before="0" w:after="0"/>
        <w:ind w:left="567" w:hanging="0"/>
        <w:contextualSpacing/>
        <w:jc w:val="both"/>
        <w:textAlignment w:val="baseline"/>
        <w:rPr>
          <w:rFonts w:ascii="Arial" w:hAnsi="Arial" w:cs="Arial"/>
          <w:iCs/>
        </w:rPr>
      </w:pPr>
      <w:bookmarkStart w:id="29" w:name="art60§1iv"/>
      <w:bookmarkEnd w:id="29"/>
      <w:r>
        <w:rPr>
          <w:rFonts w:cs="Arial" w:ascii="Arial" w:hAnsi="Arial"/>
          <w:iCs/>
        </w:rPr>
        <w:t>Empresas que comprovem a prática de mitigação, nos termos da Lei nº 12.187, de 29 de dezembro de 2009 (Institui a Política Nacional sobre Mudança do Clima - PNMC e dá outras providências).</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0" w:name="art60§2"/>
      <w:bookmarkStart w:id="31" w:name="art60§2"/>
      <w:bookmarkEnd w:id="31"/>
    </w:p>
    <w:p>
      <w:pPr>
        <w:pStyle w:val="Normal"/>
        <w:tabs>
          <w:tab w:val="clear" w:pos="708"/>
          <w:tab w:val="left" w:pos="567" w:leader="none"/>
        </w:tabs>
        <w:spacing w:lineRule="auto" w:line="240" w:before="0" w:after="0"/>
        <w:jc w:val="both"/>
        <w:rPr/>
      </w:pPr>
      <w:r>
        <w:rPr>
          <w:rFonts w:cs="Arial" w:ascii="Arial" w:hAnsi="Arial"/>
          <w:bCs/>
          <w:iCs/>
        </w:rPr>
        <w:t>14.5.2.</w:t>
      </w:r>
      <w:r>
        <w:rPr>
          <w:rFonts w:cs="Arial" w:ascii="Arial" w:hAnsi="Arial"/>
          <w:iCs/>
        </w:rPr>
        <w:t xml:space="preserve"> Ainda, devem ser aplicadas as regras dos arts. 44 e 45 da Lei Complementar nº 123/2006 (art. 60, § 2º da Lei nº 14.133/2021): se a proposta mais bem classificada não tiver sido apresentada por licitante apto a usufruir dos benefícios da Lei Complementar nº 123/2006 (ver tópico 7) e se houver proposta igual ou até 5% (cinco por cento) superior à proposta mais bem classificada, apresentada por licitante que possa usufruir dos benefícios da Lei Complementar nº 123/2006 (ver tópico 7), se procederá da seguinte forma: </w:t>
      </w:r>
    </w:p>
    <w:p>
      <w:pPr>
        <w:pStyle w:val="ListParagraph"/>
        <w:widowControl w:val="false"/>
        <w:numPr>
          <w:ilvl w:val="0"/>
          <w:numId w:val="20"/>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licitante coberto pelos arts. 42 ao 49 da Lei Complementar nº 123/2006 (ver tópico 7) mais bem classificado poderá, no prazo máximo de 5 (cinco) minutos, apresentar proposta de preço inferior à do licitante mais bem classificado e, se atendidas as exigências deste edital, ser adjudicatário; </w:t>
      </w:r>
    </w:p>
    <w:p>
      <w:pPr>
        <w:pStyle w:val="ListParagraph"/>
        <w:widowControl w:val="false"/>
        <w:numPr>
          <w:ilvl w:val="0"/>
          <w:numId w:val="20"/>
        </w:numPr>
        <w:tabs>
          <w:tab w:val="clear" w:pos="708"/>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Não sendo adjudicatário na forma do subitem anterior, e havendo outros licitantes que se enquadrem na condição prevista no caput deste item, estes serão convocados, na ordem classificatória, para o exercício do mesmo direito;</w:t>
      </w:r>
    </w:p>
    <w:p>
      <w:pPr>
        <w:pStyle w:val="ListParagraph"/>
        <w:widowControl w:val="false"/>
        <w:numPr>
          <w:ilvl w:val="0"/>
          <w:numId w:val="20"/>
        </w:numPr>
        <w:tabs>
          <w:tab w:val="clear" w:pos="708"/>
          <w:tab w:val="left" w:pos="993" w:leader="none"/>
          <w:tab w:val="left" w:pos="1134" w:leader="none"/>
        </w:tabs>
        <w:spacing w:lineRule="auto" w:line="240" w:before="0" w:after="0"/>
        <w:ind w:left="567" w:hanging="0"/>
        <w:contextualSpacing/>
        <w:jc w:val="both"/>
        <w:textAlignment w:val="baseline"/>
        <w:rPr>
          <w:rFonts w:ascii="Arial" w:hAnsi="Arial" w:cs="Arial"/>
          <w:iCs/>
        </w:rPr>
      </w:pPr>
      <w:r>
        <w:rPr>
          <w:rFonts w:cs="Arial" w:ascii="Arial" w:hAnsi="Arial"/>
          <w:iCs/>
        </w:rPr>
        <w:t xml:space="preserve">O convocado que não apresentar proposta dentro do prazo de 5 (cinco) minutos, controlado pelo sistema eletrônico, decairá do direito previsto nos arts. 44 e 45 da Lei Complementar nº 123/2006. </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2" w:name="art61"/>
      <w:bookmarkStart w:id="33" w:name="art61"/>
      <w:bookmarkEnd w:id="33"/>
    </w:p>
    <w:p>
      <w:pPr>
        <w:pStyle w:val="Normal"/>
        <w:tabs>
          <w:tab w:val="clear" w:pos="708"/>
          <w:tab w:val="left" w:pos="567" w:leader="none"/>
        </w:tabs>
        <w:spacing w:lineRule="auto" w:line="240" w:before="0" w:after="0"/>
        <w:jc w:val="both"/>
        <w:rPr/>
      </w:pPr>
      <w:r>
        <w:rPr>
          <w:rFonts w:cs="Arial" w:ascii="Arial" w:hAnsi="Arial"/>
          <w:bCs/>
          <w:iCs/>
        </w:rPr>
        <w:t>14.6.</w:t>
      </w:r>
      <w:r>
        <w:rPr>
          <w:rFonts w:cs="Arial" w:ascii="Arial" w:hAnsi="Arial"/>
          <w:iCs/>
        </w:rPr>
        <w:t xml:space="preserve"> </w:t>
      </w:r>
      <w:r>
        <w:rPr>
          <w:rFonts w:cs="Arial" w:ascii="Arial" w:hAnsi="Arial"/>
          <w:iCs/>
          <w:u w:val="single"/>
        </w:rPr>
        <w:t>NEGOCIAÇÃO:</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14.6.1.</w:t>
      </w:r>
      <w:r>
        <w:rPr>
          <w:rFonts w:cs="Arial" w:ascii="Arial" w:hAnsi="Arial"/>
          <w:b/>
          <w:iCs/>
        </w:rPr>
        <w:t xml:space="preserve"> </w:t>
      </w:r>
      <w:r>
        <w:rPr>
          <w:rFonts w:cs="Arial" w:ascii="Arial" w:hAnsi="Arial"/>
          <w:iCs/>
        </w:rPr>
        <w:t xml:space="preserve">Definido o resultado do julgamento, a Administração Pública Municipal poderá negociar condições mais vantajosas com o primeiro colocado (art. 61, </w:t>
      </w:r>
      <w:r>
        <w:rPr>
          <w:rFonts w:cs="Arial" w:ascii="Arial" w:hAnsi="Arial"/>
          <w:i/>
          <w:iCs/>
        </w:rPr>
        <w:t>caput</w:t>
      </w:r>
      <w:r>
        <w:rPr>
          <w:rFonts w:cs="Arial" w:ascii="Arial" w:hAnsi="Arial"/>
          <w:iCs/>
        </w:rPr>
        <w:t xml:space="preserve"> da Lei nº 14.133/2021).</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bookmarkStart w:id="34" w:name="art61§1"/>
      <w:bookmarkStart w:id="35" w:name="art61§1"/>
      <w:bookmarkEnd w:id="35"/>
    </w:p>
    <w:p>
      <w:pPr>
        <w:pStyle w:val="Normal"/>
        <w:tabs>
          <w:tab w:val="clear" w:pos="708"/>
          <w:tab w:val="left" w:pos="567" w:leader="none"/>
        </w:tabs>
        <w:spacing w:lineRule="auto" w:line="240" w:before="0" w:after="0"/>
        <w:jc w:val="both"/>
        <w:rPr/>
      </w:pPr>
      <w:r>
        <w:rPr>
          <w:rFonts w:cs="Arial" w:ascii="Arial" w:hAnsi="Arial"/>
          <w:bCs/>
          <w:iCs/>
        </w:rPr>
        <w:t>14.6.2.</w:t>
      </w:r>
      <w:r>
        <w:rPr>
          <w:rFonts w:cs="Arial" w:ascii="Arial" w:hAnsi="Arial"/>
          <w:iCs/>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bookmarkStart w:id="36" w:name="art61§2"/>
      <w:bookmarkStart w:id="37" w:name="art61§2"/>
      <w:bookmarkEnd w:id="37"/>
    </w:p>
    <w:p>
      <w:pPr>
        <w:pStyle w:val="Normal"/>
        <w:tabs>
          <w:tab w:val="clear" w:pos="708"/>
          <w:tab w:val="left" w:pos="567" w:leader="none"/>
        </w:tabs>
        <w:spacing w:lineRule="auto" w:line="240" w:before="0" w:after="0"/>
        <w:jc w:val="both"/>
        <w:rPr/>
      </w:pPr>
      <w:r>
        <w:rPr>
          <w:rFonts w:cs="Arial" w:ascii="Arial" w:hAnsi="Arial"/>
          <w:bCs/>
          <w:iCs/>
          <w:color w:val="000000"/>
        </w:rPr>
        <w:t>14.6.3.</w:t>
      </w:r>
      <w:r>
        <w:rPr>
          <w:rFonts w:cs="Arial" w:ascii="Arial" w:hAnsi="Arial"/>
          <w:iCs/>
          <w:color w:val="000000"/>
        </w:rPr>
        <w:t xml:space="preserve"> A negociação será conduzida pelo </w:t>
      </w:r>
      <w:r>
        <w:rPr>
          <w:rFonts w:cs="Arial" w:ascii="Arial" w:hAnsi="Arial"/>
          <w:b/>
          <w:iCs/>
          <w:color w:val="000000"/>
        </w:rPr>
        <w:t>pregoeiro</w:t>
      </w:r>
      <w:r>
        <w:rPr>
          <w:rFonts w:cs="Arial" w:ascii="Arial" w:hAnsi="Arial"/>
          <w:iCs/>
          <w:color w:val="000000"/>
        </w:rPr>
        <w:t xml:space="preserve">, conforme Decreto nº 0043/2023, </w:t>
      </w:r>
      <w:r>
        <w:rPr>
          <w:rFonts w:cs="Arial" w:ascii="Arial" w:hAnsi="Arial"/>
          <w:color w:val="000000"/>
        </w:rPr>
        <w:t>realizada por meio do sistema eletrônico e poderá ser acompanhada pelos demais licitantes</w:t>
      </w:r>
      <w:r>
        <w:rPr>
          <w:rFonts w:cs="Arial" w:ascii="Arial" w:hAnsi="Arial"/>
          <w:iCs/>
          <w:color w:val="000000"/>
        </w:rPr>
        <w:t>.</w:t>
      </w:r>
    </w:p>
    <w:p>
      <w:pPr>
        <w:pStyle w:val="Normal"/>
        <w:tabs>
          <w:tab w:val="clear" w:pos="708"/>
          <w:tab w:val="left" w:pos="567"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14.7.</w:t>
      </w:r>
      <w:r>
        <w:rPr>
          <w:rFonts w:cs="Arial" w:ascii="Arial" w:hAnsi="Arial"/>
          <w:iCs/>
        </w:rPr>
        <w:t xml:space="preserve"> Se a proposta for desclassificada o </w:t>
      </w:r>
      <w:r>
        <w:rPr>
          <w:rFonts w:cs="Arial" w:ascii="Arial" w:hAnsi="Arial"/>
          <w:b/>
          <w:iCs/>
        </w:rPr>
        <w:t>pregoeiro</w:t>
      </w:r>
      <w:r>
        <w:rPr>
          <w:rFonts w:cs="Arial" w:ascii="Arial" w:hAnsi="Arial"/>
          <w:iCs/>
        </w:rPr>
        <w:t xml:space="preserve"> examinará a proposta subsequente e assim sucessivamente, na ordem de classificação, até a seleção da proposta que melhor atenda a este edital.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15. DA HABILITAÇÃO</w:t>
      </w:r>
    </w:p>
    <w:p>
      <w:pPr>
        <w:pStyle w:val="Normal"/>
        <w:tabs>
          <w:tab w:val="clear" w:pos="708"/>
          <w:tab w:val="left" w:pos="567" w:leader="none"/>
        </w:tabs>
        <w:spacing w:lineRule="auto" w:line="240" w:before="0" w:after="0"/>
        <w:jc w:val="both"/>
        <w:rPr>
          <w:rFonts w:ascii="Arial" w:hAnsi="Arial" w:cs="Arial"/>
          <w:b/>
          <w:b/>
          <w:iCs/>
          <w:color w:val="000000"/>
        </w:rPr>
      </w:pPr>
      <w:r>
        <w:rPr>
          <w:rFonts w:cs="Arial" w:ascii="Arial" w:hAnsi="Arial"/>
          <w:b/>
          <w:iCs/>
          <w:color w:val="000000"/>
        </w:rPr>
      </w:r>
    </w:p>
    <w:p>
      <w:pPr>
        <w:pStyle w:val="Normal"/>
        <w:tabs>
          <w:tab w:val="clear" w:pos="708"/>
          <w:tab w:val="left" w:pos="567" w:leader="none"/>
        </w:tabs>
        <w:spacing w:lineRule="auto" w:line="240" w:before="0" w:after="0"/>
        <w:jc w:val="both"/>
        <w:rPr/>
      </w:pPr>
      <w:r>
        <w:rPr>
          <w:rFonts w:cs="Arial" w:ascii="Arial" w:hAnsi="Arial"/>
          <w:bCs/>
          <w:iCs/>
          <w:color w:val="000000"/>
        </w:rPr>
        <w:t>15.1.</w:t>
      </w:r>
      <w:r>
        <w:rPr>
          <w:rFonts w:cs="Arial" w:ascii="Arial" w:hAnsi="Arial"/>
          <w:iCs/>
          <w:color w:val="000000"/>
        </w:rPr>
        <w:t xml:space="preserve"> Encerrado o julgamento das propostas, será exigido do licitante com a melhor proposta os documentos de habilitação, o qual terá o tempo máximo de 01 (uma) hora para anexar no sistema.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pPr>
      <w:r>
        <w:rPr>
          <w:rFonts w:cs="Arial" w:ascii="Arial" w:hAnsi="Arial"/>
          <w:iCs/>
          <w:color w:val="000000"/>
        </w:rPr>
        <w:t>15.1.1. O pregoeiro poderá convocar o licitante para enviar documento digital complementar, no prazo de 04 (quatro) horas, sob pena de não aceitação da proposta.</w:t>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567" w:leader="none"/>
        </w:tabs>
        <w:spacing w:lineRule="auto" w:line="240" w:before="0" w:after="0"/>
        <w:jc w:val="both"/>
        <w:rPr>
          <w:rFonts w:ascii="Arial" w:hAnsi="Arial" w:cs="Arial"/>
          <w:iCs/>
          <w:color w:val="000000"/>
        </w:rPr>
      </w:pPr>
      <w:r>
        <w:rPr>
          <w:rFonts w:cs="Arial" w:ascii="Arial" w:hAnsi="Arial"/>
          <w:iCs/>
          <w:color w:val="000000"/>
        </w:rPr>
        <w:t>15.1.1.1. O prazo estabelecido poderá ser prorrogado pelo Pregoeiro por solicitação escrita e justificada do licitante, formulada antes de findo o prazo, e formalmente aceita pelo Pregoeiro.</w:t>
      </w:r>
    </w:p>
    <w:p>
      <w:pPr>
        <w:pStyle w:val="Normal"/>
        <w:tabs>
          <w:tab w:val="clear" w:pos="708"/>
          <w:tab w:val="left" w:pos="567" w:leader="none"/>
        </w:tabs>
        <w:spacing w:lineRule="auto" w:line="240" w:before="0" w:after="0"/>
        <w:jc w:val="both"/>
        <w:rPr>
          <w:rFonts w:ascii="Arial" w:hAnsi="Arial" w:cs="Arial"/>
        </w:rPr>
      </w:pPr>
      <w:r>
        <w:rPr>
          <w:rFonts w:cs="Arial" w:ascii="Arial" w:hAnsi="Arial"/>
        </w:rPr>
      </w:r>
    </w:p>
    <w:p>
      <w:pPr>
        <w:pStyle w:val="Normal"/>
        <w:tabs>
          <w:tab w:val="clear" w:pos="708"/>
          <w:tab w:val="left" w:pos="567" w:leader="none"/>
        </w:tabs>
        <w:spacing w:lineRule="auto" w:line="240" w:before="0" w:after="0"/>
        <w:jc w:val="both"/>
        <w:rPr/>
      </w:pPr>
      <w:r>
        <w:rPr>
          <w:rFonts w:cs="Arial" w:ascii="Arial" w:hAnsi="Arial"/>
          <w:bCs/>
          <w:iCs/>
        </w:rPr>
        <w:t>15.2.</w:t>
      </w:r>
      <w:r>
        <w:rPr>
          <w:rFonts w:cs="Arial" w:ascii="Arial" w:hAnsi="Arial"/>
          <w:iCs/>
        </w:rPr>
        <w:t xml:space="preserve"> O </w:t>
      </w:r>
      <w:r>
        <w:rPr>
          <w:rFonts w:cs="Arial" w:ascii="Arial" w:hAnsi="Arial"/>
          <w:b/>
          <w:iCs/>
        </w:rPr>
        <w:t>pregoeiro</w:t>
      </w:r>
      <w:r>
        <w:rPr>
          <w:rFonts w:cs="Arial" w:ascii="Arial" w:hAnsi="Arial"/>
          <w:iCs/>
        </w:rPr>
        <w:t xml:space="preserve"> poderá consultar sítios oficiais de órgãos e entidades emissores de certidões para verificar as condições de habilitação dos licitantes.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color w:val="000000"/>
        </w:rPr>
        <w:t>15.3.</w:t>
      </w:r>
      <w:r>
        <w:rPr>
          <w:rFonts w:cs="Arial" w:ascii="Arial" w:hAnsi="Arial"/>
          <w:iCs/>
          <w:color w:val="000000"/>
        </w:rPr>
        <w:t xml:space="preserve"> 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 eletrônico, no prazo fixado pelo pregoeiro, sob pena inabilitação, prazo durante o qual a sessão não será suspensa. </w:t>
      </w:r>
    </w:p>
    <w:p>
      <w:pPr>
        <w:pStyle w:val="Normal"/>
        <w:tabs>
          <w:tab w:val="clear" w:pos="708"/>
          <w:tab w:val="left" w:pos="567"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567" w:leader="none"/>
        </w:tabs>
        <w:spacing w:lineRule="auto" w:line="240" w:before="0" w:after="0"/>
        <w:jc w:val="both"/>
        <w:rPr/>
      </w:pPr>
      <w:r>
        <w:rPr>
          <w:rFonts w:cs="Arial" w:ascii="Arial" w:hAnsi="Arial"/>
          <w:bCs/>
          <w:iCs/>
        </w:rPr>
        <w:t>15.4.</w:t>
      </w:r>
      <w:r>
        <w:rPr>
          <w:rFonts w:cs="Arial" w:ascii="Arial" w:hAnsi="Arial"/>
          <w:iCs/>
        </w:rPr>
        <w:t xml:space="preserve"> Sob pena de inabilitação, os documentos encaminhados deverão estar em nome do licitante, com indicação precisa de dados capazes de qualificar inequivocamente o licitante.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15.5.</w:t>
      </w:r>
      <w:r>
        <w:rPr>
          <w:rFonts w:cs="Arial" w:ascii="Arial" w:hAnsi="Arial"/>
          <w:iCs/>
        </w:rPr>
        <w:t xml:space="preserve"> Em se tratando de filial, os documentos de habilitação jurídica e regularidade fiscal deverão estar em nome da filial, exceto aqueles que, pela própria natureza, são emitidos somente em nome da matriz.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15.6.</w:t>
      </w:r>
      <w:r>
        <w:rPr>
          <w:rFonts w:cs="Arial" w:ascii="Arial" w:hAnsi="Arial"/>
          <w:iCs/>
        </w:rPr>
        <w:t xml:space="preserve"> Em se tratando de licitante indicado no tópico 7,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Municipal.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15.7.</w:t>
      </w:r>
      <w:r>
        <w:rPr>
          <w:rFonts w:cs="Arial" w:ascii="Arial" w:hAnsi="Arial"/>
          <w:iCs/>
        </w:rPr>
        <w:t xml:space="preserve"> A não regularização da documentação no prazo previsto anteriormente, implicará decadência do direito à contratação, sem prejuízo das sanções previstas neste edital, e facultará ao pregoeiro convocar os licitantes remanescentes, na ordem de classificação.</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rFonts w:ascii="Arial" w:hAnsi="Arial" w:cs="Arial"/>
          <w:b/>
          <w:b/>
          <w:bCs/>
        </w:rPr>
      </w:pPr>
      <w:r>
        <w:rPr>
          <w:rFonts w:cs="Arial" w:ascii="Arial" w:hAnsi="Arial"/>
          <w:b/>
          <w:bCs/>
        </w:rPr>
        <w:t>15.8. PESSOA JURÍDICA:</w:t>
      </w:r>
    </w:p>
    <w:p>
      <w:pPr>
        <w:pStyle w:val="Normal"/>
        <w:spacing w:lineRule="auto" w:line="240" w:before="0" w:after="0"/>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15.8.1. </w:t>
      </w:r>
      <w:r>
        <w:rPr>
          <w:rFonts w:cs="Arial" w:ascii="Arial" w:hAnsi="Arial"/>
          <w:b/>
          <w:bCs/>
          <w:u w:val="single"/>
        </w:rPr>
        <w:t>Declaração</w:t>
      </w:r>
      <w:r>
        <w:rPr>
          <w:rFonts w:cs="Arial" w:ascii="Arial" w:hAnsi="Arial"/>
        </w:rPr>
        <w:t xml:space="preserve"> de que atende aos requisitos de habilitação, que responderá pela veracidade das informações prestadas, na forma da lei, que tomou conhecimento de todas as informações e das condições locais para o cumprimento das obrigações objeto da licitação e de que os documentos apresentados de origem não eletrônica conferem com os seus respectivos originais, – ANEXO VII; Em caso de declaração falsa, o proponente ficará sujeito às sanções administrativas, civis e penais aplicáveis, nos termos do que dispõe o art. 3°, § 2° da Lei Federal n° 13.726/2018.  </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15.8.2. </w:t>
      </w:r>
      <w:r>
        <w:rPr>
          <w:rFonts w:cs="Arial" w:ascii="Arial" w:hAnsi="Arial"/>
          <w:b/>
          <w:bCs/>
          <w:u w:val="single"/>
        </w:rPr>
        <w:t>Declaração</w:t>
      </w:r>
      <w:r>
        <w:rPr>
          <w:rFonts w:cs="Arial" w:ascii="Arial" w:hAnsi="Arial"/>
        </w:rPr>
        <w:t xml:space="preserve"> de que cumpre as exigências de reserva de cargos para pessoa com deficiência e para reabilitado da Previdência Social, previstas em lei e em outras normas específicas – ANEXO VIII;</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rPr>
        <w:t xml:space="preserve">15.8.3. </w:t>
      </w:r>
      <w:r>
        <w:rPr>
          <w:rFonts w:cs="Arial" w:ascii="Arial" w:hAnsi="Arial"/>
          <w:b/>
          <w:bCs/>
          <w:u w:val="single"/>
        </w:rPr>
        <w:t>Declaração</w:t>
      </w:r>
      <w:r>
        <w:rPr>
          <w:rFonts w:cs="Arial" w:ascii="Arial" w:hAnsi="Arial"/>
        </w:rPr>
        <w:t xml:space="preserve"> que não incorre nos impedimentos - (ANEXO III).</w:t>
      </w:r>
    </w:p>
    <w:p>
      <w:pPr>
        <w:pStyle w:val="ListParagraph"/>
        <w:spacing w:lineRule="auto" w:line="240" w:before="0" w:after="0"/>
        <w:contextualSpacing/>
        <w:jc w:val="both"/>
        <w:rPr>
          <w:rFonts w:ascii="Arial" w:hAnsi="Arial" w:cs="Arial"/>
        </w:rPr>
      </w:pPr>
      <w:r>
        <w:rPr>
          <w:rFonts w:cs="Arial" w:ascii="Arial" w:hAnsi="Arial"/>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 xml:space="preserve">15.8.4. </w:t>
      </w:r>
      <w:r>
        <w:rPr>
          <w:rFonts w:eastAsia="Times New Roman" w:cs="Arial" w:ascii="Arial" w:hAnsi="Arial"/>
          <w:b/>
          <w:bCs/>
          <w:iCs/>
          <w:u w:val="single"/>
          <w:lang w:eastAsia="pt-BR"/>
        </w:rPr>
        <w:t>Declaração</w:t>
      </w:r>
      <w:r>
        <w:rPr>
          <w:rFonts w:eastAsia="Times New Roman" w:cs="Arial" w:ascii="Arial" w:hAnsi="Arial"/>
          <w:iCs/>
          <w:lang w:eastAsia="pt-BR"/>
        </w:rPr>
        <w:t xml:space="preserve">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IV).</w:t>
      </w:r>
    </w:p>
    <w:p>
      <w:pPr>
        <w:pStyle w:val="Normal"/>
        <w:widowControl w:val="false"/>
        <w:tabs>
          <w:tab w:val="clear" w:pos="708"/>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ind w:left="720" w:hanging="0"/>
        <w:jc w:val="both"/>
        <w:textAlignment w:val="baseline"/>
        <w:rPr/>
      </w:pPr>
      <w:r>
        <w:rPr>
          <w:rFonts w:eastAsia="Times New Roman" w:cs="Arial" w:ascii="Arial" w:hAnsi="Arial"/>
          <w:iCs/>
          <w:lang w:eastAsia="pt-BR"/>
        </w:rPr>
        <w:t>15.8.5. Para obtenção dos benefícios, conforme art. 4º, § 2º da Lei nº 14.133/2021, o licitante</w:t>
      </w:r>
      <w:r>
        <w:rPr>
          <w:rFonts w:eastAsia="Times New Roman" w:cs="Arial" w:ascii="Arial" w:hAnsi="Arial"/>
          <w:iCs/>
          <w:u w:val="single"/>
          <w:lang w:eastAsia="pt-BR"/>
        </w:rPr>
        <w:t xml:space="preserve"> </w:t>
      </w:r>
      <w:r>
        <w:rPr>
          <w:rFonts w:eastAsia="Times New Roman" w:cs="Arial" w:ascii="Arial" w:hAnsi="Arial"/>
          <w:b/>
          <w:bCs/>
          <w:iCs/>
          <w:u w:val="single"/>
          <w:lang w:eastAsia="pt-BR"/>
        </w:rPr>
        <w:t>deverá apresentar declaração</w:t>
      </w:r>
      <w:r>
        <w:rPr>
          <w:rFonts w:eastAsia="Times New Roman" w:cs="Arial" w:ascii="Arial" w:hAnsi="Arial"/>
          <w:iCs/>
          <w:u w:val="single"/>
          <w:lang w:eastAsia="pt-BR"/>
        </w:rPr>
        <w:t xml:space="preserve"> </w:t>
      </w:r>
      <w:r>
        <w:rPr>
          <w:rFonts w:eastAsia="Times New Roman" w:cs="Arial" w:ascii="Arial" w:hAnsi="Arial"/>
          <w:iCs/>
          <w:lang w:eastAsia="pt-BR"/>
        </w:rPr>
        <w:t>(ANEXO V) que, no ano-calendário de realização da licitação, ainda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w:t>
      </w:r>
    </w:p>
    <w:p>
      <w:pPr>
        <w:pStyle w:val="Normal"/>
        <w:widowControl w:val="false"/>
        <w:tabs>
          <w:tab w:val="clear" w:pos="708"/>
          <w:tab w:val="left" w:pos="567" w:leader="none"/>
        </w:tabs>
        <w:spacing w:lineRule="auto" w:line="240" w:before="0" w:after="0"/>
        <w:ind w:left="720" w:hanging="0"/>
        <w:jc w:val="both"/>
        <w:textAlignment w:val="baseline"/>
        <w:rPr>
          <w:rFonts w:ascii="Arial" w:hAnsi="Arial" w:eastAsia="Times New Roman" w:cs="Arial"/>
          <w:iCs/>
          <w:lang w:eastAsia="pt-BR"/>
        </w:rPr>
      </w:pPr>
      <w:r>
        <w:rPr>
          <w:rFonts w:eastAsia="Times New Roman" w:cs="Arial" w:ascii="Arial" w:hAnsi="Arial"/>
          <w:iCs/>
          <w:lang w:eastAsia="pt-BR"/>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15.8.6. HABILITAÇÃO JURÍDICA:</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15.8.6.1. Comprovação de existência jurídica da pessoa, através de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pPr>
        <w:pStyle w:val="ListParagraph"/>
        <w:spacing w:lineRule="auto" w:line="240" w:before="0" w:after="0"/>
        <w:ind w:left="709" w:hanging="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15.8.6.2. Quando cabível, de autorização para o exercício da atividade a ser contratada.</w:t>
      </w:r>
    </w:p>
    <w:p>
      <w:pPr>
        <w:pStyle w:val="ListParagraph"/>
        <w:spacing w:lineRule="auto" w:line="240" w:before="0" w:after="0"/>
        <w:ind w:left="709" w:hanging="0"/>
        <w:contextualSpacing/>
        <w:jc w:val="both"/>
        <w:rPr>
          <w:rFonts w:ascii="Arial" w:hAnsi="Arial" w:cs="Arial"/>
        </w:rPr>
      </w:pPr>
      <w:r>
        <w:rPr>
          <w:rFonts w:cs="Arial" w:ascii="Arial" w:hAnsi="Arial"/>
        </w:rPr>
      </w:r>
    </w:p>
    <w:p>
      <w:pPr>
        <w:pStyle w:val="ListParagraph"/>
        <w:spacing w:lineRule="auto" w:line="240" w:before="0" w:after="0"/>
        <w:ind w:left="709" w:hanging="0"/>
        <w:contextualSpacing/>
        <w:jc w:val="both"/>
        <w:rPr>
          <w:rFonts w:ascii="Arial" w:hAnsi="Arial" w:cs="Arial"/>
        </w:rPr>
      </w:pPr>
      <w:r>
        <w:rPr>
          <w:rFonts w:cs="Arial" w:ascii="Arial" w:hAnsi="Arial"/>
        </w:rPr>
        <w:t>15.8.6.3. Documento do representante legal com foto.</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15.8.7. HABILITAÇÃO FISCAL, SOCIAL E TRABALHISTA:</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15.8.7.1. Inscrição no Cadastro Nacional da Pessoa Jurídica (CNPJ);</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15.8.7.2. Inscrição no cadastro de contribuintes estadual e/ou municipal, </w:t>
      </w:r>
      <w:r>
        <w:rPr>
          <w:rFonts w:cs="Arial" w:ascii="Arial" w:hAnsi="Arial"/>
          <w:u w:val="single"/>
        </w:rPr>
        <w:t>se houver</w:t>
      </w:r>
      <w:r>
        <w:rPr>
          <w:rFonts w:cs="Arial" w:ascii="Arial" w:hAnsi="Arial"/>
        </w:rPr>
        <w:t>, relativo ao domicílio ou sede do licitante, pertinente ao seu ramo de atividade e compatível com o objeto contratual;</w:t>
      </w:r>
    </w:p>
    <w:p>
      <w:pPr>
        <w:pStyle w:val="ListParagraph"/>
        <w:spacing w:lineRule="auto" w:line="240" w:before="0" w:after="0"/>
        <w:ind w:left="851" w:hanging="0"/>
        <w:contextualSpacing/>
        <w:jc w:val="both"/>
        <w:rPr/>
      </w:pPr>
      <w:r>
        <w:rPr/>
      </w:r>
    </w:p>
    <w:p>
      <w:pPr>
        <w:pStyle w:val="ListParagraph"/>
        <w:spacing w:lineRule="auto" w:line="240" w:before="0" w:after="0"/>
        <w:ind w:left="851" w:hanging="0"/>
        <w:contextualSpacing/>
        <w:jc w:val="both"/>
        <w:rPr/>
      </w:pPr>
      <w:r>
        <w:rPr>
          <w:rFonts w:cs="Arial" w:ascii="Arial" w:hAnsi="Arial"/>
        </w:rPr>
        <w:t xml:space="preserve">15.8.7.3. Regularidade perante a Fazenda </w:t>
      </w:r>
      <w:r>
        <w:rPr>
          <w:rFonts w:cs="Arial" w:ascii="Arial" w:hAnsi="Arial"/>
          <w:u w:val="single"/>
        </w:rPr>
        <w:t>Federal;</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15.8.7.3.1. Regularidade perante a Fazenda </w:t>
      </w:r>
      <w:r>
        <w:rPr>
          <w:rFonts w:cs="Arial" w:ascii="Arial" w:hAnsi="Arial"/>
          <w:u w:val="single"/>
        </w:rPr>
        <w:t>Estadual</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15.8.7.3.2. Regularidade perante a Fazenda </w:t>
      </w:r>
      <w:r>
        <w:rPr>
          <w:rFonts w:cs="Arial" w:ascii="Arial" w:hAnsi="Arial"/>
          <w:u w:val="single"/>
        </w:rPr>
        <w:t>Municipal</w:t>
      </w:r>
      <w:r>
        <w:rPr>
          <w:rFonts w:cs="Arial" w:ascii="Arial" w:hAnsi="Arial"/>
        </w:rPr>
        <w:t>, relativa ao Munic</w:t>
      </w:r>
      <w:r>
        <w:rPr>
          <w:rFonts w:ascii="Arial" w:hAnsi="Arial"/>
        </w:rPr>
        <w:t>ípio da sede do licitante</w:t>
      </w:r>
      <w:r>
        <w:rPr>
          <w:rFonts w:cs="Arial" w:ascii="Arial" w:hAnsi="Arial"/>
        </w:rPr>
        <w:t>;</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15.8.7.4. Regularidade relativa à Seguridade Social e ao FGTS, que demonstre cumprimento dos encargos sociais instituídos por lei;</w:t>
      </w:r>
    </w:p>
    <w:p>
      <w:pPr>
        <w:pStyle w:val="ListParagraph"/>
        <w:spacing w:lineRule="auto" w:line="240" w:before="0" w:after="0"/>
        <w:ind w:left="851"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15.8.7.5. Regularidade perante a Justiça do Trabalho (certidão negativa de débitos trabalhistas);</w:t>
      </w:r>
    </w:p>
    <w:p>
      <w:pPr>
        <w:pStyle w:val="ListParagraph"/>
        <w:spacing w:lineRule="auto" w:line="240" w:before="0" w:after="0"/>
        <w:ind w:left="1440" w:hanging="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pPr>
      <w:r>
        <w:rPr>
          <w:rFonts w:cs="Arial" w:ascii="Arial" w:hAnsi="Arial"/>
        </w:rPr>
        <w:t xml:space="preserve">15.8.7.6. </w:t>
      </w:r>
      <w:r>
        <w:rPr>
          <w:rFonts w:cs="Arial" w:ascii="Arial" w:hAnsi="Arial"/>
          <w:b/>
          <w:bCs/>
          <w:u w:val="single"/>
        </w:rPr>
        <w:t>Declaração</w:t>
      </w:r>
      <w:r>
        <w:rPr>
          <w:rFonts w:cs="Arial" w:ascii="Arial" w:hAnsi="Arial"/>
        </w:rPr>
        <w:t xml:space="preserve"> de cumprimento do disposto no inciso XXXIII do art. 7º da Constituição Federal.</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contextualSpacing/>
        <w:jc w:val="both"/>
        <w:rPr/>
      </w:pPr>
      <w:r>
        <w:rPr>
          <w:rFonts w:cs="Arial" w:ascii="Arial" w:hAnsi="Arial"/>
          <w:b/>
          <w:bCs/>
        </w:rPr>
        <w:t>Observação:</w:t>
      </w:r>
      <w:r>
        <w:rPr>
          <w:rFonts w:cs="Arial" w:ascii="Arial" w:hAnsi="Arial"/>
        </w:rPr>
        <w:t xml:space="preserve"> Os documentos poderão ser substituídos ou supridos, no todo ou em parte, por outros meios hábeis a comprovar a regularidade do licitante, inclusive por meio eletrônico.</w:t>
      </w:r>
    </w:p>
    <w:p>
      <w:pPr>
        <w:pStyle w:val="ListParagraph"/>
        <w:spacing w:lineRule="auto" w:line="240" w:before="0" w:after="0"/>
        <w:ind w:left="2160" w:hanging="0"/>
        <w:contextualSpacing/>
        <w:jc w:val="both"/>
        <w:rPr>
          <w:rFonts w:ascii="Arial" w:hAnsi="Arial" w:cs="Arial"/>
        </w:rPr>
      </w:pPr>
      <w:r>
        <w:rPr>
          <w:rFonts w:cs="Arial" w:ascii="Arial" w:hAnsi="Arial"/>
        </w:rPr>
      </w:r>
    </w:p>
    <w:p>
      <w:pPr>
        <w:pStyle w:val="ListParagraph"/>
        <w:spacing w:lineRule="auto" w:line="240" w:before="0" w:after="0"/>
        <w:ind w:left="0" w:hanging="0"/>
        <w:contextualSpacing/>
        <w:jc w:val="both"/>
        <w:rPr>
          <w:rFonts w:ascii="Arial" w:hAnsi="Arial" w:cs="Arial"/>
          <w:b/>
          <w:b/>
          <w:bCs/>
        </w:rPr>
      </w:pPr>
      <w:r>
        <w:rPr>
          <w:rFonts w:cs="Arial" w:ascii="Arial" w:hAnsi="Arial"/>
          <w:b/>
          <w:bCs/>
        </w:rPr>
        <w:t>15.8.8. HABILITAÇÃO ECONÔMICO-FINANCEIRA:</w:t>
      </w:r>
    </w:p>
    <w:p>
      <w:pPr>
        <w:pStyle w:val="ListParagraph"/>
        <w:spacing w:lineRule="auto" w:line="240" w:before="0" w:after="0"/>
        <w:contextualSpacing/>
        <w:jc w:val="both"/>
        <w:rPr>
          <w:rFonts w:ascii="Arial" w:hAnsi="Arial" w:cs="Arial"/>
        </w:rPr>
      </w:pPr>
      <w:r>
        <w:rPr>
          <w:rFonts w:cs="Arial" w:ascii="Arial" w:hAnsi="Arial"/>
        </w:rPr>
      </w:r>
    </w:p>
    <w:p>
      <w:pPr>
        <w:pStyle w:val="ListParagraph"/>
        <w:spacing w:lineRule="auto" w:line="240" w:before="0" w:after="0"/>
        <w:ind w:left="851" w:hanging="0"/>
        <w:contextualSpacing/>
        <w:jc w:val="both"/>
        <w:rPr>
          <w:rFonts w:ascii="Arial" w:hAnsi="Arial" w:cs="Arial"/>
        </w:rPr>
      </w:pPr>
      <w:r>
        <w:rPr>
          <w:rFonts w:cs="Arial" w:ascii="Arial" w:hAnsi="Arial"/>
        </w:rPr>
        <w:t>15.8.8.1. Certidão negativa de feitos sobre falência expedida pelo distribuidor da sede do licitante;</w:t>
      </w:r>
    </w:p>
    <w:p>
      <w:pPr>
        <w:pStyle w:val="ListParagraph"/>
        <w:spacing w:lineRule="auto" w:line="240" w:before="0" w:after="0"/>
        <w:ind w:hanging="0"/>
        <w:contextualSpacing/>
        <w:jc w:val="both"/>
        <w:rPr>
          <w:rFonts w:ascii="Arial" w:hAnsi="Arial" w:cs="Arial"/>
          <w:b/>
          <w:b/>
          <w:iCs/>
        </w:rPr>
      </w:pPr>
      <w:r>
        <w:rPr>
          <w:rFonts w:cs="Arial" w:ascii="Arial" w:hAnsi="Arial"/>
          <w:b/>
          <w:iCs/>
        </w:rPr>
      </w:r>
    </w:p>
    <w:p>
      <w:pPr>
        <w:pStyle w:val="Normal"/>
        <w:tabs>
          <w:tab w:val="clear" w:pos="708"/>
          <w:tab w:val="left" w:pos="567" w:leader="none"/>
        </w:tabs>
        <w:spacing w:lineRule="auto" w:line="240" w:before="0" w:after="0"/>
        <w:jc w:val="both"/>
        <w:rPr/>
      </w:pPr>
      <w:r>
        <w:rPr>
          <w:rFonts w:cs="Arial" w:ascii="Arial" w:hAnsi="Arial"/>
          <w:bCs/>
          <w:iCs/>
        </w:rPr>
        <w:t>15.9.</w:t>
      </w:r>
      <w:r>
        <w:rPr>
          <w:rFonts w:cs="Arial" w:ascii="Arial" w:hAnsi="Arial"/>
          <w:iCs/>
        </w:rPr>
        <w:t xml:space="preserve"> Se o licitante não atender às exigências de habilitação, o pregoeiro examinará a proposta subsequente e assim sucessivamente, na ordem de classificação, até a seleção da proposta que melhor atenda a este edital. </w:t>
      </w:r>
    </w:p>
    <w:p>
      <w:pPr>
        <w:pStyle w:val="Normal"/>
        <w:tabs>
          <w:tab w:val="clear" w:pos="708"/>
          <w:tab w:val="left" w:pos="567" w:leader="none"/>
        </w:tabs>
        <w:spacing w:lineRule="auto" w:line="240" w:before="0" w:after="0"/>
        <w:jc w:val="both"/>
        <w:rPr>
          <w:rFonts w:ascii="Arial" w:hAnsi="Arial" w:cs="Arial"/>
          <w:iCs/>
        </w:rPr>
      </w:pPr>
      <w:r>
        <w:rPr>
          <w:rFonts w:cs="Arial" w:ascii="Arial" w:hAnsi="Arial"/>
          <w:iCs/>
        </w:rPr>
      </w:r>
    </w:p>
    <w:p>
      <w:pPr>
        <w:pStyle w:val="Normal"/>
        <w:tabs>
          <w:tab w:val="clear" w:pos="708"/>
          <w:tab w:val="left" w:pos="567" w:leader="none"/>
        </w:tabs>
        <w:spacing w:lineRule="auto" w:line="240" w:before="0" w:after="0"/>
        <w:jc w:val="both"/>
        <w:rPr/>
      </w:pPr>
      <w:r>
        <w:rPr>
          <w:rFonts w:cs="Arial" w:ascii="Arial" w:hAnsi="Arial"/>
          <w:bCs/>
          <w:iCs/>
        </w:rPr>
        <w:t>15.10.</w:t>
      </w:r>
      <w:r>
        <w:rPr>
          <w:rFonts w:cs="Arial" w:ascii="Arial" w:hAnsi="Arial"/>
          <w:iCs/>
        </w:rPr>
        <w:t xml:space="preserve"> Constatado o atendimento às exigências fixadas neste edital, o licitante será declarado o vencedor.</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16. DOS RECURSOS E PEDIDOS DE RECONSIDERAÇÃO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pPr>
      <w:r>
        <w:rPr>
          <w:rFonts w:cs="Arial" w:ascii="Arial" w:hAnsi="Arial"/>
          <w:bCs/>
          <w:iCs/>
        </w:rPr>
        <w:t>16.1.</w:t>
      </w:r>
      <w:r>
        <w:rPr>
          <w:rFonts w:cs="Arial" w:ascii="Arial" w:hAnsi="Arial"/>
          <w:iCs/>
        </w:rPr>
        <w:t xml:space="preserve"> </w:t>
      </w:r>
      <w:r>
        <w:rPr>
          <w:rFonts w:cs="Arial" w:ascii="Arial" w:hAnsi="Arial"/>
        </w:rPr>
        <w:t>Cabe</w:t>
      </w:r>
      <w:bookmarkStart w:id="38" w:name="art165i"/>
      <w:bookmarkEnd w:id="38"/>
      <w:r>
        <w:rPr>
          <w:rFonts w:cs="Arial" w:ascii="Arial" w:hAnsi="Arial"/>
        </w:rPr>
        <w:t xml:space="preserve"> recurso, no prazo de 03 (três) dias úteis, contado da data de intimação ou de lavratura da ata, em face de (art. 165, I da Lei nº 14.133/2021):</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39" w:name="art165ib"/>
      <w:bookmarkStart w:id="40" w:name="art165ia"/>
      <w:bookmarkEnd w:id="39"/>
      <w:bookmarkEnd w:id="40"/>
      <w:r>
        <w:rPr>
          <w:rFonts w:cs="Arial" w:ascii="Arial" w:hAnsi="Arial"/>
        </w:rPr>
        <w:t>Julgamento das propostas;</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1" w:name="art165ic"/>
      <w:bookmarkEnd w:id="41"/>
      <w:r>
        <w:rPr>
          <w:rFonts w:cs="Arial" w:ascii="Arial" w:hAnsi="Arial"/>
        </w:rPr>
        <w:t>Ato de habilitação ou inabilitação de licitante;</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2" w:name="art165id"/>
      <w:bookmarkEnd w:id="42"/>
      <w:r>
        <w:rPr>
          <w:rFonts w:cs="Arial" w:ascii="Arial" w:hAnsi="Arial"/>
        </w:rPr>
        <w:t>Anulação ou revogação da licitação;</w:t>
      </w:r>
    </w:p>
    <w:p>
      <w:pPr>
        <w:pStyle w:val="ListParagraph"/>
        <w:numPr>
          <w:ilvl w:val="0"/>
          <w:numId w:val="21"/>
        </w:numPr>
        <w:tabs>
          <w:tab w:val="clear" w:pos="708"/>
          <w:tab w:val="left" w:pos="1134" w:leader="none"/>
        </w:tabs>
        <w:spacing w:lineRule="auto" w:line="240" w:before="0" w:after="0"/>
        <w:ind w:left="567" w:hanging="0"/>
        <w:contextualSpacing/>
        <w:jc w:val="both"/>
        <w:rPr>
          <w:rFonts w:ascii="Arial" w:hAnsi="Arial" w:cs="Arial"/>
        </w:rPr>
      </w:pPr>
      <w:bookmarkStart w:id="43" w:name="art165ie"/>
      <w:bookmarkEnd w:id="43"/>
      <w:r>
        <w:rPr>
          <w:rFonts w:cs="Arial" w:ascii="Arial" w:hAnsi="Arial"/>
        </w:rPr>
        <w:t>Extinção do contrato, quando determinada por ato unilateral e escrito da Administração.</w:t>
      </w:r>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16.2.</w:t>
      </w:r>
      <w:r>
        <w:rPr>
          <w:rFonts w:cs="Arial" w:ascii="Arial" w:hAnsi="Arial"/>
        </w:rPr>
        <w:t xml:space="preserve"> Se apresentado recurso em virtude do disposto nas letras “a” e “b” do item anterior, serão observadas as seguintes disposições:</w:t>
      </w:r>
    </w:p>
    <w:p>
      <w:pPr>
        <w:pStyle w:val="ListParagraph"/>
        <w:numPr>
          <w:ilvl w:val="0"/>
          <w:numId w:val="2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intenção de recorrer deverá ser manifestada imediatamente, sob pena de preclusão, e o prazo para apresentação das razões recursais será iniciado na data de intimação ou de lavratura da ata de habilitação ou inabilitação ou, na hipótese de adoção da inversão de fases prevista no § 1º do art. 17 da Lei nº 14.133/2021, da ata de julgamento;</w:t>
      </w:r>
    </w:p>
    <w:p>
      <w:pPr>
        <w:pStyle w:val="ListParagraph"/>
        <w:numPr>
          <w:ilvl w:val="0"/>
          <w:numId w:val="22"/>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apreciação dar-se-á em fase única.</w:t>
      </w:r>
      <w:bookmarkStart w:id="44" w:name="art165ii"/>
      <w:bookmarkEnd w:id="44"/>
    </w:p>
    <w:p>
      <w:pPr>
        <w:pStyle w:val="ListParagraph"/>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16.3.</w:t>
      </w:r>
      <w:r>
        <w:rPr>
          <w:rFonts w:cs="Arial" w:ascii="Arial" w:hAnsi="Arial"/>
        </w:rPr>
        <w:t xml:space="preserve"> O recurso será dirigido à autoridade que tiver editado o ato ou proferido a decisão recorrida.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16.4.</w:t>
      </w:r>
      <w:r>
        <w:rPr>
          <w:rFonts w:cs="Arial" w:ascii="Arial" w:hAnsi="Arial"/>
        </w:rPr>
        <w:t xml:space="preserve"> Apresentado recurso, será aberto prazo para apresentação de contrarrazões, será o mesmo do recurso – 03 (três) dias úteis – e terá início na data de intimação pessoal ou de divulgação da interposição do recurso.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16.5.</w:t>
      </w:r>
      <w:r>
        <w:rPr>
          <w:rFonts w:cs="Arial" w:ascii="Arial" w:hAnsi="Arial"/>
        </w:rPr>
        <w:t xml:space="preserve"> Será assegurado ao licitante vista dos elementos indispensáveis à defesa de seus interesses.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16.6.</w:t>
      </w:r>
      <w:r>
        <w:rPr>
          <w:rFonts w:cs="Arial" w:ascii="Arial" w:hAnsi="Arial"/>
        </w:rPr>
        <w:t xml:space="preserve"> Apresentadas as contrarrazões ou findo o prazo para apresentação destas, a autoridade que tiver editado o ato ou proferido a decisão recorrida terá prazo de 3 (três) dias úteis para apreciar o recurso e as contrarrazões.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16.6.1.</w:t>
      </w:r>
      <w:r>
        <w:rPr>
          <w:rFonts w:cs="Arial" w:ascii="Arial" w:hAnsi="Arial"/>
        </w:rPr>
        <w:t xml:space="preserve"> Se não reconsiderar o ato ou a decisão, encaminhará o recurso com a sua motivação à autoridade superior, a qual deverá proferir sua decisão no prazo máximo de 10 (dez) dias úteis, contado do recebimento dos autos.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16.7.</w:t>
      </w:r>
      <w:r>
        <w:rPr>
          <w:rFonts w:cs="Arial" w:ascii="Arial" w:hAnsi="Arial"/>
          <w:b/>
        </w:rPr>
        <w:t xml:space="preserve"> </w:t>
      </w:r>
      <w:r>
        <w:rPr>
          <w:rFonts w:cs="Arial" w:ascii="Arial" w:hAnsi="Arial"/>
        </w:rPr>
        <w:t>O acolhimento do recurso implicará invalidação apenas de ato insuscetível de aproveitamento.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16.8.</w:t>
      </w:r>
      <w:r>
        <w:rPr>
          <w:rFonts w:cs="Arial" w:ascii="Arial" w:hAnsi="Arial"/>
        </w:rPr>
        <w:t xml:space="preserve"> Cabe pedido de reconsideração, no prazo de 3 (três) dias úteis, contado da data de intimação, relativamente a ato do qual não caiba recurso hierárquico.</w:t>
      </w:r>
      <w:bookmarkStart w:id="45" w:name="art165§1"/>
      <w:bookmarkStart w:id="46" w:name="art165§2"/>
      <w:bookmarkStart w:id="47" w:name="art165§3"/>
      <w:bookmarkStart w:id="48" w:name="art165§4"/>
      <w:bookmarkStart w:id="49" w:name="art165§5"/>
      <w:bookmarkStart w:id="50" w:name="art166"/>
      <w:bookmarkEnd w:id="45"/>
      <w:bookmarkEnd w:id="46"/>
      <w:bookmarkEnd w:id="47"/>
      <w:bookmarkEnd w:id="48"/>
      <w:bookmarkEnd w:id="49"/>
      <w:bookmarkEnd w:id="50"/>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16.9.</w:t>
      </w:r>
      <w:r>
        <w:rPr>
          <w:rFonts w:cs="Arial" w:ascii="Arial" w:hAnsi="Arial"/>
        </w:rPr>
        <w:t xml:space="preserve"> Da aplicação das sanções previstas nos incisos I, II e III do </w:t>
      </w:r>
      <w:r>
        <w:rPr>
          <w:rFonts w:cs="Arial" w:ascii="Arial" w:hAnsi="Arial"/>
          <w:bCs/>
          <w:i/>
        </w:rPr>
        <w:t xml:space="preserve">caput </w:t>
      </w:r>
      <w:r>
        <w:rPr>
          <w:rFonts w:cs="Arial" w:ascii="Arial" w:hAnsi="Arial"/>
        </w:rPr>
        <w:t>do art. 156 da Lei nº 14.133/2021</w:t>
      </w:r>
      <w:r>
        <w:rPr>
          <w:rStyle w:val="LinkdaInternet"/>
          <w:rFonts w:cs="Arial" w:ascii="Arial" w:hAnsi="Arial"/>
          <w:u w:val="none"/>
        </w:rPr>
        <w:t xml:space="preserve"> </w:t>
      </w:r>
      <w:r>
        <w:rPr>
          <w:rFonts w:cs="Arial" w:ascii="Arial" w:hAnsi="Arial"/>
        </w:rPr>
        <w:t>caberá recurso no prazo de 15 (quinze) dias úteis, contado da data da intimação</w:t>
      </w:r>
      <w:bookmarkStart w:id="51" w:name="art166p"/>
      <w:bookmarkEnd w:id="51"/>
      <w:r>
        <w:rPr>
          <w:rFonts w:cs="Arial" w:ascii="Arial" w:hAnsi="Arial"/>
        </w:rPr>
        <w:t>.</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16.9.1.</w:t>
      </w:r>
      <w:r>
        <w:rPr>
          <w:rFonts w:cs="Arial" w:ascii="Arial" w:hAnsi="Arial"/>
        </w:rPr>
        <w:t xml:space="preserve">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bookmarkStart w:id="52" w:name="art167"/>
      <w:bookmarkEnd w:id="52"/>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16.10.</w:t>
      </w:r>
      <w:r>
        <w:rPr>
          <w:rFonts w:cs="Arial" w:ascii="Arial" w:hAnsi="Arial"/>
        </w:rPr>
        <w:t xml:space="preserve"> Da aplicação da sanção prevista no inciso IV do </w:t>
      </w:r>
      <w:r>
        <w:rPr>
          <w:rFonts w:cs="Arial" w:ascii="Arial" w:hAnsi="Arial"/>
          <w:bCs/>
          <w:i/>
        </w:rPr>
        <w:t xml:space="preserve">caput </w:t>
      </w:r>
      <w:r>
        <w:rPr>
          <w:rFonts w:cs="Arial" w:ascii="Arial" w:hAnsi="Arial"/>
        </w:rPr>
        <w:t>do art. 156 da Lei nº 14.133/2021 caberá apenas pedido de reconsideração, que deverá ser apresentado no prazo de 15 (quinze) dias úteis, contado da data da intimação, e decidido no prazo máximo de 20 (vinte) dias úteis, contado do seu recebimento.</w:t>
      </w:r>
      <w:bookmarkStart w:id="53" w:name="art168"/>
      <w:bookmarkEnd w:id="5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16.11.</w:t>
      </w:r>
      <w:r>
        <w:rPr>
          <w:rFonts w:cs="Arial" w:ascii="Arial" w:hAnsi="Arial"/>
        </w:rPr>
        <w:t xml:space="preserve"> O recurso e o pedido de reconsideração terão efeito suspensivo do ato ou da decisão recorrida até que sobrevenha decisão final da autoridade competente.</w:t>
      </w:r>
      <w:bookmarkStart w:id="54" w:name="art168p"/>
      <w:bookmarkEnd w:id="54"/>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 xml:space="preserve">16.12. </w:t>
      </w:r>
      <w:r>
        <w:rPr>
          <w:rFonts w:cs="Arial" w:ascii="Arial" w:hAnsi="Arial"/>
        </w:rPr>
        <w:t>Na elaboração de suas decisões, a autoridade competente será auxiliada pelo órgão de assessoramento jurídico, que deverá dirimir dúvidas e subsidiá-la com as informações necessárias.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17. DA ADJUDICAÇÃO E HOMOLOGAÇÃO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tabs>
          <w:tab w:val="clear" w:pos="708"/>
          <w:tab w:val="left" w:pos="1134" w:leader="none"/>
        </w:tabs>
        <w:spacing w:lineRule="auto" w:line="240" w:before="0" w:after="0"/>
        <w:jc w:val="both"/>
        <w:rPr/>
      </w:pPr>
      <w:r>
        <w:rPr>
          <w:rFonts w:cs="Arial" w:ascii="Arial" w:hAnsi="Arial"/>
          <w:bCs/>
          <w:iCs/>
        </w:rPr>
        <w:t>17.1.</w:t>
      </w:r>
      <w:r>
        <w:rPr>
          <w:rFonts w:cs="Arial" w:ascii="Arial" w:hAnsi="Arial"/>
          <w:iCs/>
        </w:rPr>
        <w:t xml:space="preserve"> </w:t>
      </w:r>
      <w:r>
        <w:rPr>
          <w:rFonts w:cs="Arial" w:ascii="Arial" w:hAnsi="Arial"/>
        </w:rPr>
        <w:t>Conforme art. 71 da Lei nº 14.133/2021, encerradas as fases de julgamento e habilitação, e exauridos os recursos administrativos, o processo licitatório será encaminhado à autoridade superior, que poderá:</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5" w:name="art71i"/>
      <w:bookmarkEnd w:id="55"/>
      <w:r>
        <w:rPr>
          <w:rFonts w:cs="Arial" w:ascii="Arial" w:hAnsi="Arial"/>
        </w:rPr>
        <w:t>Determinar o retorno dos autos para saneamento de irregularidades;</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6" w:name="art71ii"/>
      <w:bookmarkEnd w:id="56"/>
      <w:r>
        <w:rPr>
          <w:rFonts w:cs="Arial" w:ascii="Arial" w:hAnsi="Arial"/>
        </w:rPr>
        <w:t>Revogar a licitação por motivo de conveniência e oportunidade;</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7" w:name="art71iii"/>
      <w:bookmarkEnd w:id="57"/>
      <w:r>
        <w:rPr>
          <w:rFonts w:cs="Arial" w:ascii="Arial" w:hAnsi="Arial"/>
        </w:rPr>
        <w:t>Proceder à anulação da licitação, de ofício ou mediante provocação de terceiros, sempre que presente ilegalidade insanável;</w:t>
      </w:r>
    </w:p>
    <w:p>
      <w:pPr>
        <w:pStyle w:val="ListParagraph"/>
        <w:widowControl w:val="false"/>
        <w:numPr>
          <w:ilvl w:val="0"/>
          <w:numId w:val="23"/>
        </w:numPr>
        <w:tabs>
          <w:tab w:val="clear" w:pos="708"/>
          <w:tab w:val="left" w:pos="1134" w:leader="none"/>
        </w:tabs>
        <w:spacing w:lineRule="auto" w:line="240" w:before="0" w:after="0"/>
        <w:ind w:left="567" w:hanging="0"/>
        <w:contextualSpacing/>
        <w:jc w:val="both"/>
        <w:textAlignment w:val="baseline"/>
        <w:rPr>
          <w:rFonts w:ascii="Arial" w:hAnsi="Arial" w:cs="Arial"/>
        </w:rPr>
      </w:pPr>
      <w:bookmarkStart w:id="58" w:name="art71iv"/>
      <w:bookmarkEnd w:id="58"/>
      <w:r>
        <w:rPr>
          <w:rFonts w:cs="Arial" w:ascii="Arial" w:hAnsi="Arial"/>
        </w:rPr>
        <w:t>Adjudicar o objeto e homologar a licitação.</w:t>
      </w:r>
    </w:p>
    <w:p>
      <w:pPr>
        <w:pStyle w:val="ListParagraph"/>
        <w:widowControl w:val="false"/>
        <w:tabs>
          <w:tab w:val="clear" w:pos="708"/>
          <w:tab w:val="left" w:pos="1134" w:leader="none"/>
        </w:tabs>
        <w:spacing w:lineRule="auto" w:line="240" w:before="0" w:after="0"/>
        <w:ind w:left="567" w:hanging="0"/>
        <w:contextualSpacing/>
        <w:jc w:val="both"/>
        <w:textAlignment w:val="baseline"/>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59" w:name="art71§1"/>
      <w:bookmarkEnd w:id="59"/>
      <w:r>
        <w:rPr>
          <w:rFonts w:cs="Arial" w:ascii="Arial" w:hAnsi="Arial"/>
          <w:bCs/>
        </w:rPr>
        <w:t>17.2.</w:t>
      </w:r>
      <w:r>
        <w:rPr>
          <w:rFonts w:cs="Arial" w:ascii="Arial" w:hAnsi="Arial"/>
        </w:rPr>
        <w:t xml:space="preserve"> Ao pronunciar a nulidade, a autoridade indicará expressamente os atos com vícios insanáveis, tornando sem efeito todos os subsequentes que deles dependam, e dará ensejo à apuração de responsabilidade de quem lhes tenha dado.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60" w:name="art71§2"/>
      <w:bookmarkEnd w:id="60"/>
      <w:r>
        <w:rPr>
          <w:rFonts w:cs="Arial" w:ascii="Arial" w:hAnsi="Arial"/>
          <w:bCs/>
        </w:rPr>
        <w:t>17.3.</w:t>
      </w:r>
      <w:r>
        <w:rPr>
          <w:rFonts w:cs="Arial" w:ascii="Arial" w:hAnsi="Arial"/>
        </w:rPr>
        <w:t xml:space="preserve"> O motivo determinante para a revogação do processo licitatório deverá ser resultante de fato superveniente devidamente comprovado.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61" w:name="art71§3"/>
      <w:bookmarkEnd w:id="61"/>
      <w:r>
        <w:rPr>
          <w:rFonts w:cs="Arial" w:ascii="Arial" w:hAnsi="Arial"/>
          <w:bCs/>
        </w:rPr>
        <w:t>17.4.</w:t>
      </w:r>
      <w:r>
        <w:rPr>
          <w:rFonts w:cs="Arial" w:ascii="Arial" w:hAnsi="Arial"/>
        </w:rPr>
        <w:t xml:space="preserve"> Nos casos de anulação e revogação, será assegurada a prévia manifestação dos interessados.</w:t>
      </w:r>
      <w:bookmarkStart w:id="62" w:name="art71§4"/>
      <w:bookmarkEnd w:id="62"/>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17.5.</w:t>
      </w:r>
      <w:r>
        <w:rPr>
          <w:rFonts w:cs="Arial" w:ascii="Arial" w:hAnsi="Arial"/>
          <w:b/>
        </w:rPr>
        <w:t xml:space="preserve"> </w:t>
      </w:r>
      <w:r>
        <w:rPr>
          <w:rFonts w:cs="Arial" w:ascii="Arial" w:hAnsi="Arial"/>
        </w:rPr>
        <w:t>A anulação do processo licitatório induz à da ata de registro de preços e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17.6.</w:t>
      </w:r>
      <w:r>
        <w:rPr>
          <w:rFonts w:cs="Arial" w:ascii="Arial" w:hAnsi="Arial"/>
          <w:b/>
        </w:rPr>
        <w:t xml:space="preserve"> </w:t>
      </w:r>
      <w:r>
        <w:rPr>
          <w:rFonts w:cs="Arial" w:ascii="Arial" w:hAnsi="Arial"/>
        </w:rPr>
        <w:t xml:space="preserve">Os licitantes não terão direito a indenização em decorrência da anulação do processo licitatório, ressalvado o direito do contratado de boa-fé de ser ressarcido pelos encargos que tiver suportado no cumprimento do contrato.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FF0000"/>
          <w:lang w:eastAsia="pt-BR"/>
        </w:rPr>
      </w:pPr>
      <w:r>
        <w:rPr>
          <w:rFonts w:eastAsia="Times New Roman" w:cs="Arial" w:ascii="Arial" w:hAnsi="Arial"/>
          <w:color w:val="FF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18. ATA DE REGISTRO DE PREÇOS</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18.1. REGRAS PARA FORMALIZAÇÃO</w:t>
      </w:r>
    </w:p>
    <w:p>
      <w:pPr>
        <w:pStyle w:val="Normal"/>
        <w:tabs>
          <w:tab w:val="clear" w:pos="708"/>
          <w:tab w:val="left" w:pos="1134" w:leader="none"/>
        </w:tabs>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rPr>
        <w:t>18.1.1.</w:t>
      </w:r>
      <w:r>
        <w:rPr>
          <w:rFonts w:cs="Arial" w:ascii="Arial" w:hAnsi="Arial"/>
        </w:rPr>
        <w:t xml:space="preserve"> O registro de preços observará as regras constantes no Decreto Municipal nº 0043/2023, e entre outras, as seguintes condições:</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Serão registrados na ata de registro de preços os preços e quantitativos do licitante mais bem classificado durante a fase competitiva ou do proponente a ser contratado de forma direta;</w:t>
      </w:r>
    </w:p>
    <w:p>
      <w:pPr>
        <w:pStyle w:val="Normal"/>
        <w:numPr>
          <w:ilvl w:val="0"/>
          <w:numId w:val="24"/>
        </w:numPr>
        <w:tabs>
          <w:tab w:val="clear" w:pos="708"/>
          <w:tab w:val="left" w:pos="1134" w:leader="none"/>
        </w:tabs>
        <w:spacing w:lineRule="auto" w:line="240" w:before="0" w:after="0"/>
        <w:ind w:left="567" w:hanging="0"/>
        <w:contextualSpacing/>
        <w:jc w:val="both"/>
        <w:rPr/>
      </w:pPr>
      <w:r>
        <w:rPr>
          <w:rFonts w:cs="Arial" w:ascii="Arial" w:hAnsi="Arial"/>
        </w:rPr>
        <w:t xml:space="preserve">Será incluído na respectiva ata, na forma de anexo, o registro dos licitantes que aceitarem cotar o objeto com preços iguais aos do licitante vencedor na ordem de classificação do certame, bem como daqueles licitantes que mantiverem sua proposta original, com </w:t>
      </w:r>
      <w:r>
        <w:rPr>
          <w:rFonts w:cs="Arial" w:ascii="Arial" w:hAnsi="Arial"/>
          <w:bCs/>
        </w:rPr>
        <w:t>objetivo a formação de cadastro de reserva no caso de impossibilidade de atendimento pelo primeiro colocado da ata, nas hipóteses de cancelamento do registro do fornecedor</w:t>
      </w:r>
      <w:r>
        <w:rPr>
          <w:rFonts w:cs="Arial" w:ascii="Arial" w:hAnsi="Arial"/>
        </w:rPr>
        <w:t>;</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 preço registrado com indicação dos fornecedores será divulgado no sítio eletrônico oficial do Município e no Portal Nacional de Contratações Públicas – PNCP, bem como ficará disponibilizado durante a vigência da ata de registro de preços;</w:t>
      </w:r>
    </w:p>
    <w:p>
      <w:pPr>
        <w:pStyle w:val="Normal"/>
        <w:numPr>
          <w:ilvl w:val="0"/>
          <w:numId w:val="24"/>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ordem de classificação dos licitantes registrados na ata de registro de preços deverá ser respeitada nas contratações.</w:t>
      </w:r>
    </w:p>
    <w:p>
      <w:pPr>
        <w:pStyle w:val="Normal"/>
        <w:tabs>
          <w:tab w:val="clear" w:pos="708"/>
          <w:tab w:val="left" w:pos="1134" w:leader="none"/>
        </w:tabs>
        <w:spacing w:lineRule="auto" w:line="240" w:before="0" w:after="0"/>
        <w:contextualSpacing/>
        <w:jc w:val="both"/>
        <w:rPr>
          <w:rFonts w:ascii="Arial" w:hAnsi="Arial" w:cs="Arial"/>
        </w:rPr>
      </w:pPr>
      <w:r>
        <w:rPr>
          <w:rFonts w:cs="Arial" w:ascii="Arial" w:hAnsi="Arial"/>
        </w:rPr>
      </w:r>
    </w:p>
    <w:p>
      <w:pPr>
        <w:pStyle w:val="Normal"/>
        <w:tabs>
          <w:tab w:val="clear" w:pos="708"/>
          <w:tab w:val="left" w:pos="851" w:leader="none"/>
        </w:tabs>
        <w:spacing w:lineRule="auto" w:line="240" w:before="0" w:after="0"/>
        <w:contextualSpacing/>
        <w:jc w:val="both"/>
        <w:rPr/>
      </w:pPr>
      <w:r>
        <w:rPr>
          <w:rFonts w:cs="Arial" w:ascii="Arial" w:hAnsi="Arial"/>
        </w:rPr>
        <w:t>18.1.1.1.</w:t>
      </w:r>
      <w:r>
        <w:rPr>
          <w:rFonts w:cs="Arial" w:ascii="Arial" w:hAnsi="Arial"/>
          <w:bCs/>
        </w:rPr>
        <w:t xml:space="preserve"> Se houver mais de um licitante que aceite cotar o objeto com preços iguais aos do licitante vencedor, serão classificados segundo a ordem da última proposta apresentada durante a fase de lances.</w:t>
      </w:r>
    </w:p>
    <w:p>
      <w:pPr>
        <w:pStyle w:val="Normal"/>
        <w:tabs>
          <w:tab w:val="clear" w:pos="708"/>
          <w:tab w:val="left" w:pos="851" w:leader="none"/>
        </w:tabs>
        <w:spacing w:lineRule="auto" w:line="240" w:before="0" w:after="0"/>
        <w:contextualSpacing/>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18.1.1.2.</w:t>
      </w:r>
      <w:r>
        <w:rPr>
          <w:rFonts w:cs="Arial" w:ascii="Arial" w:hAnsi="Arial"/>
          <w:bCs/>
        </w:rPr>
        <w:t xml:space="preserve"> A habilitação dos fornecedores que comporão o cadastro de reserva será efetuada quando houver necessidade de contratação de fornecedor remanescente.</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18.1.1.3</w:t>
      </w:r>
      <w:r>
        <w:rPr>
          <w:rFonts w:cs="Arial" w:ascii="Arial" w:hAnsi="Arial"/>
          <w:bCs/>
        </w:rPr>
        <w:t xml:space="preserve"> O anexo que trata o inciso II do tópico 18.1.1. será preenchido com a informação dos licitantes que aceitarem registrar preços iguais ao do licitante vencedor do certame e daqueles licitantes que mantiverem sua proposta original.</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18.1.2.</w:t>
      </w:r>
      <w:r>
        <w:rPr>
          <w:rFonts w:cs="Arial" w:ascii="Arial" w:hAnsi="Arial"/>
          <w:bCs/>
        </w:rPr>
        <w:t xml:space="preserve"> O prazo de vigência da ata de registro de preços será de </w:t>
      </w:r>
      <w:r>
        <w:rPr>
          <w:rFonts w:cs="Arial" w:ascii="Arial" w:hAnsi="Arial"/>
          <w:bCs/>
          <w:color w:val="000000"/>
        </w:rPr>
        <w:t>1 (um) ano</w:t>
      </w:r>
      <w:r>
        <w:rPr>
          <w:rFonts w:cs="Arial" w:ascii="Arial" w:hAnsi="Arial"/>
          <w:bCs/>
          <w:color w:val="FF0000"/>
        </w:rPr>
        <w:t xml:space="preserve"> </w:t>
      </w:r>
      <w:r>
        <w:rPr>
          <w:rFonts w:cs="Arial" w:ascii="Arial" w:hAnsi="Arial"/>
          <w:bCs/>
        </w:rPr>
        <w:t xml:space="preserve">e poderá ser prorrogado, por igual período, </w:t>
      </w:r>
      <w:r>
        <w:rPr>
          <w:rFonts w:cs="Arial" w:ascii="Arial" w:hAnsi="Arial"/>
          <w:bCs/>
          <w:u w:val="single"/>
        </w:rPr>
        <w:t>desde que comprovado o preço vantajoso</w:t>
      </w:r>
      <w:r>
        <w:rPr>
          <w:rFonts w:cs="Arial" w:ascii="Arial" w:hAnsi="Arial"/>
          <w:bCs/>
        </w:rPr>
        <w:t>.</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color w:val="000000"/>
        </w:rPr>
        <w:t>18.1.3.</w:t>
      </w:r>
      <w:r>
        <w:rPr>
          <w:rFonts w:cs="Arial" w:ascii="Arial" w:hAnsi="Arial"/>
          <w:bCs/>
          <w:color w:val="000000"/>
        </w:rPr>
        <w:t xml:space="preserve"> O fornecedor mais bem classificado será convocado para assinar a ata de registro de preços, no prazo de 03 (três) dias úteis, podendo o prazo ser prorrogado uma vez, por igual período, quando solicitado pelo fornecedor e desde que ocorra motivo justificado aceito pelo Município.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18.1.3.1.</w:t>
      </w:r>
      <w:r>
        <w:rPr>
          <w:rFonts w:cs="Arial" w:ascii="Arial" w:hAnsi="Arial"/>
          <w:bCs/>
        </w:rPr>
        <w:t xml:space="preserve"> É facultado ao Município, quando o convocado não assinar a ata de registro de preços no prazo e condições estabelecidos, convocar os licitantes remanescentes, na ordem de classificação, para fazê-lo em igual prazo e nas mesmas condições propostas pelo primeiro classificado.</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18.1.3.2.</w:t>
      </w:r>
      <w:r>
        <w:rPr>
          <w:rFonts w:cs="Arial" w:ascii="Arial" w:hAnsi="Arial"/>
          <w:bCs/>
        </w:rPr>
        <w:t xml:space="preserve"> Na hipótese de nenhum dos licitantes aceitar a contratação nos termos do tópico anterior, observados o valor estimado e sua eventual atualização nos termos do edital, o Município poderá:</w:t>
      </w:r>
    </w:p>
    <w:p>
      <w:pPr>
        <w:pStyle w:val="Normal"/>
        <w:numPr>
          <w:ilvl w:val="0"/>
          <w:numId w:val="28"/>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Convocar aqueles licitantes que mantiverem sua proposta original para negociação, na ordem de classificação, com vistas à obtenção de preço melhor, mesmo que acima do preço do adjudicatário; ou</w:t>
      </w:r>
    </w:p>
    <w:p>
      <w:pPr>
        <w:pStyle w:val="Normal"/>
        <w:numPr>
          <w:ilvl w:val="0"/>
          <w:numId w:val="28"/>
        </w:numPr>
        <w:tabs>
          <w:tab w:val="clear" w:pos="708"/>
          <w:tab w:val="left" w:pos="1134" w:leader="none"/>
          <w:tab w:val="left" w:pos="1701" w:leader="none"/>
        </w:tabs>
        <w:spacing w:lineRule="auto" w:line="240" w:before="0" w:after="0"/>
        <w:ind w:left="567" w:hanging="0"/>
        <w:contextualSpacing/>
        <w:jc w:val="both"/>
        <w:rPr>
          <w:rFonts w:ascii="Arial" w:hAnsi="Arial" w:cs="Arial"/>
          <w:bCs/>
        </w:rPr>
      </w:pPr>
      <w:r>
        <w:rPr>
          <w:rFonts w:cs="Arial" w:ascii="Arial" w:hAnsi="Arial"/>
          <w:bCs/>
        </w:rPr>
        <w:t>Adjudicar e celebrar a ata de registro de preços nas condições ofertadas pelos licitantes subsequentes, atendida à ordem classificatória, quando frustrada a negociação de melhor condição.</w:t>
      </w:r>
    </w:p>
    <w:p>
      <w:pPr>
        <w:pStyle w:val="Normal"/>
        <w:tabs>
          <w:tab w:val="clear" w:pos="708"/>
          <w:tab w:val="left" w:pos="851" w:leader="none"/>
          <w:tab w:val="left" w:pos="1701" w:leader="none"/>
        </w:tabs>
        <w:spacing w:lineRule="auto" w:line="240" w:before="0" w:after="0"/>
        <w:contextualSpacing/>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bCs/>
        </w:rPr>
        <w:t>18.1.4.</w:t>
      </w:r>
      <w:r>
        <w:rPr>
          <w:rFonts w:cs="Arial" w:ascii="Arial" w:hAnsi="Arial"/>
          <w:b/>
        </w:rPr>
        <w:t xml:space="preserve"> </w:t>
      </w:r>
      <w:r>
        <w:rPr>
          <w:rFonts w:cs="Arial" w:ascii="Arial" w:hAnsi="Arial"/>
        </w:rPr>
        <w:t>A existência de preços registrados implicará compromisso de fornecimento nas condições estabelecidas, mas não obrigará o Município a contratar, facultada a realização de licitação específica para a aquisição pretendida, desde que devidamente motivada.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18.1.4.1.</w:t>
      </w:r>
      <w:r>
        <w:rPr>
          <w:rFonts w:cs="Arial" w:ascii="Arial" w:hAnsi="Arial"/>
          <w:bCs/>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18.1.4.2.</w:t>
      </w:r>
      <w:r>
        <w:rPr>
          <w:rFonts w:cs="Arial" w:ascii="Arial" w:hAnsi="Arial"/>
          <w:bCs/>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18.1.4.3.</w:t>
      </w:r>
      <w:r>
        <w:rPr>
          <w:rFonts w:cs="Arial" w:ascii="Arial" w:hAnsi="Arial"/>
          <w:bCs/>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18.1.5.</w:t>
      </w:r>
      <w:r>
        <w:rPr>
          <w:rFonts w:cs="Arial" w:ascii="Arial" w:hAnsi="Arial"/>
          <w:bCs/>
        </w:rPr>
        <w:t xml:space="preserve"> </w:t>
      </w:r>
      <w:r>
        <w:rPr>
          <w:rFonts w:cs="Arial" w:ascii="Arial" w:hAnsi="Arial"/>
        </w:rPr>
        <w:t>O contrato decorrente da ata de registro de preços terá sua vigência estabelecida em conformidade com as disposições nela contidas, devendo ser deverá ser celebrado no prazo de validade da ata de registro de preços.</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18.1.5.1.</w:t>
      </w:r>
      <w:r>
        <w:rPr>
          <w:rFonts w:cs="Arial" w:ascii="Arial" w:hAnsi="Arial"/>
        </w:rPr>
        <w:t xml:space="preserve"> O instrumento contratual poderá ser substituído nos termos do art. 95, </w:t>
      </w:r>
      <w:r>
        <w:rPr>
          <w:rFonts w:cs="Arial" w:ascii="Arial" w:hAnsi="Arial"/>
          <w:i/>
        </w:rPr>
        <w:t>caput</w:t>
      </w:r>
      <w:r>
        <w:rPr>
          <w:rFonts w:cs="Arial" w:ascii="Arial" w:hAnsi="Arial"/>
        </w:rPr>
        <w:t xml:space="preserve"> da Lei Federal nº 14.133/2021.</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18.1.5.2.</w:t>
      </w:r>
      <w:r>
        <w:rPr>
          <w:rFonts w:cs="Arial" w:ascii="Arial" w:hAnsi="Arial"/>
          <w:bCs/>
        </w:rPr>
        <w:t xml:space="preserve"> O contrato ou outro instrumento que venha substituí-lo observará o disposto no Título III da Lei Federal nº 14.133/2021 (Dos Contratos Administrativos).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bCs/>
        </w:rPr>
        <w:t>18.1.5.3.</w:t>
      </w:r>
      <w:r>
        <w:rPr>
          <w:rFonts w:cs="Arial" w:ascii="Arial" w:hAnsi="Arial"/>
        </w:rPr>
        <w:t xml:space="preserve"> Será reputada firmada a contratação administrativa na data da confirmação de entrega do instrumento contratual ao fornecedor registrado, admitindo-se a entrega do instrumento por qualquer meio que assegure a certeza da ciência do interessado.</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18.1.6.</w:t>
      </w:r>
      <w:r>
        <w:rPr>
          <w:rFonts w:cs="Arial" w:ascii="Arial" w:hAnsi="Arial"/>
        </w:rPr>
        <w:t xml:space="preserve"> </w:t>
      </w:r>
      <w:r>
        <w:rPr>
          <w:rFonts w:cs="Arial" w:ascii="Arial" w:hAnsi="Arial"/>
          <w:bCs/>
        </w:rPr>
        <w:t>Os preços registrados poderão ser revistos em decorrência de eventual redução dos preços praticados no mercado ou de fato que eleve o custo dos serviços ou bens registrados, cabendo ao órgão gerenciador promover as negociações junto aos fornecedores.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18.1.6.1.</w:t>
      </w:r>
      <w:r>
        <w:rPr>
          <w:rFonts w:cs="Arial" w:ascii="Arial" w:hAnsi="Arial"/>
          <w:bCs/>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18.1.6.2.</w:t>
      </w:r>
      <w:r>
        <w:rPr>
          <w:rFonts w:cs="Arial" w:ascii="Arial" w:hAnsi="Arial"/>
          <w:bCs/>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w:t>
      </w:r>
    </w:p>
    <w:p>
      <w:pPr>
        <w:pStyle w:val="Normal"/>
        <w:spacing w:lineRule="auto" w:line="240" w:before="0" w:after="0"/>
        <w:jc w:val="both"/>
        <w:rPr>
          <w:rFonts w:ascii="Arial" w:hAnsi="Arial" w:cs="Arial"/>
          <w:bCs/>
        </w:rPr>
      </w:pPr>
      <w:r>
        <w:rPr>
          <w:rFonts w:cs="Arial" w:ascii="Arial" w:hAnsi="Arial"/>
          <w:bCs/>
        </w:rPr>
      </w:r>
    </w:p>
    <w:p>
      <w:pPr>
        <w:pStyle w:val="Normal"/>
        <w:spacing w:lineRule="auto" w:line="240" w:before="0" w:after="0"/>
        <w:jc w:val="both"/>
        <w:rPr/>
      </w:pPr>
      <w:r>
        <w:rPr>
          <w:rFonts w:cs="Arial" w:ascii="Arial" w:hAnsi="Arial"/>
        </w:rPr>
        <w:t>18.1.7.</w:t>
      </w:r>
      <w:r>
        <w:rPr>
          <w:rFonts w:cs="Arial" w:ascii="Arial" w:hAnsi="Arial"/>
          <w:bCs/>
        </w:rPr>
        <w:t xml:space="preserve"> Quando o preço registrado se tornar superior ao preço praticado no mercado por motivo superveniente, o Município convocará o fornecedor para negociar a redução dos preços aos valores praticados pelo mercado, sendo observado:</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O fornecedor que não aceitar reduzir seus preços aos valores praticados pelo mercado será liberado do compromisso assumido, sem aplicação de penalidade.</w:t>
      </w:r>
    </w:p>
    <w:p>
      <w:pPr>
        <w:pStyle w:val="Normal"/>
        <w:numPr>
          <w:ilvl w:val="0"/>
          <w:numId w:val="25"/>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ordem de classificação dos fornecedores que aceitarem reduzir seus preços aos valores de mercado observará a classificação original.</w:t>
      </w:r>
    </w:p>
    <w:p>
      <w:pPr>
        <w:pStyle w:val="Normal"/>
        <w:spacing w:lineRule="auto" w:line="240" w:before="0" w:after="0"/>
        <w:jc w:val="both"/>
        <w:rPr>
          <w:rFonts w:ascii="Arial" w:hAnsi="Arial" w:cs="Arial"/>
          <w:b/>
          <w:b/>
          <w:bCs/>
        </w:rPr>
      </w:pPr>
      <w:r>
        <w:rPr>
          <w:rFonts w:cs="Arial" w:ascii="Arial" w:hAnsi="Arial"/>
          <w:b/>
          <w:bCs/>
        </w:rPr>
      </w:r>
    </w:p>
    <w:p>
      <w:pPr>
        <w:pStyle w:val="Normal"/>
        <w:spacing w:lineRule="auto" w:line="240" w:before="0" w:after="0"/>
        <w:jc w:val="both"/>
        <w:rPr/>
      </w:pPr>
      <w:r>
        <w:rPr>
          <w:rFonts w:cs="Arial" w:ascii="Arial" w:hAnsi="Arial"/>
        </w:rPr>
        <w:t>18.1.8.</w:t>
      </w:r>
      <w:r>
        <w:rPr>
          <w:rFonts w:cs="Arial" w:ascii="Arial" w:hAnsi="Arial"/>
          <w:b/>
          <w:bCs/>
        </w:rPr>
        <w:t xml:space="preserve"> </w:t>
      </w:r>
      <w:r>
        <w:rPr>
          <w:rFonts w:cs="Arial" w:ascii="Arial" w:hAnsi="Arial"/>
          <w:bCs/>
        </w:rPr>
        <w:t>Quando o preço de mercado tornar-se superior aos preços registrados e o fornecedor não puder cumprir o compromisso, o Município poderá:</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Liberar o fornecedor do compromisso assumido, caso a comunicação ocorra antes do pedido de fornecimento, e sem aplicação da penalidade se confirmada a veracidade dos motivos e comprovantes apresentados;</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 xml:space="preserve">Convocar os demais fornecedores para assegurar igual oportunidade de negociação; </w:t>
      </w:r>
    </w:p>
    <w:p>
      <w:pPr>
        <w:pStyle w:val="Normal"/>
        <w:numPr>
          <w:ilvl w:val="0"/>
          <w:numId w:val="26"/>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Não havendo êxito nas negociações, o órgão gerenciador deverá proceder à revogação da ata de registro de preços, adotando as medidas cabíveis para obtenção da contratação mais vantajosa.</w:t>
      </w:r>
    </w:p>
    <w:p>
      <w:pPr>
        <w:pStyle w:val="Normal"/>
        <w:tabs>
          <w:tab w:val="clear" w:pos="708"/>
          <w:tab w:val="left" w:pos="851" w:leader="none"/>
        </w:tabs>
        <w:spacing w:lineRule="auto" w:line="240" w:before="0" w:after="0"/>
        <w:contextualSpacing/>
        <w:jc w:val="both"/>
        <w:rPr>
          <w:rFonts w:ascii="Arial" w:hAnsi="Arial" w:cs="Arial"/>
          <w:b/>
          <w:b/>
          <w:bCs/>
        </w:rPr>
      </w:pPr>
      <w:r>
        <w:rPr>
          <w:rFonts w:cs="Arial" w:ascii="Arial" w:hAnsi="Arial"/>
          <w:b/>
          <w:bCs/>
        </w:rPr>
      </w:r>
    </w:p>
    <w:p>
      <w:pPr>
        <w:pStyle w:val="Normal"/>
        <w:tabs>
          <w:tab w:val="clear" w:pos="708"/>
          <w:tab w:val="left" w:pos="851" w:leader="none"/>
        </w:tabs>
        <w:spacing w:lineRule="auto" w:line="240" w:before="0" w:after="0"/>
        <w:contextualSpacing/>
        <w:jc w:val="both"/>
        <w:rPr/>
      </w:pPr>
      <w:r>
        <w:rPr>
          <w:rFonts w:cs="Arial" w:ascii="Arial" w:hAnsi="Arial"/>
        </w:rPr>
        <w:t>18.1.9.</w:t>
      </w:r>
      <w:r>
        <w:rPr>
          <w:rFonts w:cs="Arial" w:ascii="Arial" w:hAnsi="Arial"/>
          <w:b/>
          <w:bCs/>
        </w:rPr>
        <w:t xml:space="preserve"> </w:t>
      </w:r>
      <w:r>
        <w:rPr>
          <w:rFonts w:cs="Arial" w:ascii="Arial" w:hAnsi="Arial"/>
          <w:bCs/>
        </w:rPr>
        <w:t>O registro do fornecedor será cancelado quando:</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3" w:name="art20i"/>
      <w:bookmarkEnd w:id="63"/>
      <w:r>
        <w:rPr>
          <w:rFonts w:cs="Arial" w:ascii="Arial" w:hAnsi="Arial"/>
          <w:bCs/>
        </w:rPr>
        <w:t>Por razão de interesse público;</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A pedido do fornecedor;</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Descumprir as condições da ata de registro de preços;</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4" w:name="art20ii"/>
      <w:bookmarkEnd w:id="64"/>
      <w:r>
        <w:rPr>
          <w:rFonts w:cs="Arial" w:ascii="Arial" w:hAnsi="Arial"/>
          <w:bCs/>
        </w:rPr>
        <w:t>Não retirar a nota de empenho ou instrumento equivalente no prazo estabelecido pelo Município, sem justificativa aceitável;</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bookmarkStart w:id="65" w:name="art20iii"/>
      <w:bookmarkEnd w:id="65"/>
      <w:r>
        <w:rPr>
          <w:rFonts w:cs="Arial" w:ascii="Arial" w:hAnsi="Arial"/>
          <w:bCs/>
        </w:rPr>
        <w:t>Não aceitar reduzir o seu preço registrado, na hipótese deste se tornar superior àqueles praticados no mercado;</w:t>
      </w:r>
      <w:bookmarkStart w:id="66" w:name="art20iv"/>
      <w:bookmarkStart w:id="67" w:name="art20p"/>
      <w:bookmarkEnd w:id="66"/>
      <w:bookmarkEnd w:id="67"/>
    </w:p>
    <w:p>
      <w:pPr>
        <w:pStyle w:val="Normal"/>
        <w:numPr>
          <w:ilvl w:val="0"/>
          <w:numId w:val="27"/>
        </w:numPr>
        <w:tabs>
          <w:tab w:val="clear" w:pos="708"/>
          <w:tab w:val="left" w:pos="1134" w:leader="none"/>
        </w:tabs>
        <w:spacing w:lineRule="auto" w:line="240" w:before="0" w:after="0"/>
        <w:ind w:left="567" w:hanging="0"/>
        <w:contextualSpacing/>
        <w:jc w:val="both"/>
        <w:rPr/>
      </w:pPr>
      <w:r>
        <w:rPr>
          <w:rFonts w:cs="Arial" w:ascii="Arial" w:hAnsi="Arial"/>
          <w:bCs/>
        </w:rPr>
        <w:t xml:space="preserve">Sofrer sanção prevista no inciso III ou IV do </w:t>
      </w:r>
      <w:r>
        <w:rPr>
          <w:rFonts w:cs="Arial" w:ascii="Arial" w:hAnsi="Arial"/>
          <w:bCs/>
          <w:i/>
        </w:rPr>
        <w:t>caput</w:t>
      </w:r>
      <w:r>
        <w:rPr>
          <w:rFonts w:cs="Arial" w:ascii="Arial" w:hAnsi="Arial"/>
          <w:bCs/>
        </w:rPr>
        <w:t xml:space="preserve"> do art. 156 da Lei Federal nº 14.133/2021; ou</w:t>
      </w:r>
    </w:p>
    <w:p>
      <w:pPr>
        <w:pStyle w:val="Normal"/>
        <w:numPr>
          <w:ilvl w:val="0"/>
          <w:numId w:val="27"/>
        </w:numPr>
        <w:tabs>
          <w:tab w:val="clear" w:pos="708"/>
          <w:tab w:val="left" w:pos="1134" w:leader="none"/>
        </w:tabs>
        <w:spacing w:lineRule="auto" w:line="240" w:before="0" w:after="0"/>
        <w:ind w:left="567" w:hanging="0"/>
        <w:contextualSpacing/>
        <w:jc w:val="both"/>
        <w:rPr>
          <w:rFonts w:ascii="Arial" w:hAnsi="Arial" w:cs="Arial"/>
          <w:bCs/>
        </w:rPr>
      </w:pPr>
      <w:r>
        <w:rPr>
          <w:rFonts w:cs="Arial" w:ascii="Arial" w:hAnsi="Arial"/>
          <w:bCs/>
        </w:rPr>
        <w:t>For condenado por algum dos crimes previstos no art. 178 da Lei Federal nº 14.133/2021, por sentença transitada em julgado.</w:t>
      </w:r>
    </w:p>
    <w:p>
      <w:pPr>
        <w:pStyle w:val="ListParagraph"/>
        <w:tabs>
          <w:tab w:val="clear" w:pos="708"/>
          <w:tab w:val="left" w:pos="993" w:leader="none"/>
        </w:tabs>
        <w:spacing w:lineRule="auto" w:line="240" w:before="0" w:after="0"/>
        <w:ind w:left="0" w:hanging="0"/>
        <w:contextualSpacing/>
        <w:jc w:val="both"/>
        <w:rPr>
          <w:rFonts w:ascii="Arial" w:hAnsi="Arial" w:cs="Arial"/>
          <w:b/>
          <w:b/>
          <w:bCs/>
        </w:rPr>
      </w:pPr>
      <w:r>
        <w:rPr>
          <w:rFonts w:cs="Arial" w:ascii="Arial" w:hAnsi="Arial"/>
          <w:b/>
          <w:bCs/>
        </w:rPr>
      </w:r>
    </w:p>
    <w:p>
      <w:pPr>
        <w:pStyle w:val="ListParagraph"/>
        <w:tabs>
          <w:tab w:val="clear" w:pos="708"/>
          <w:tab w:val="left" w:pos="993" w:leader="none"/>
        </w:tabs>
        <w:spacing w:lineRule="auto" w:line="240" w:before="0" w:after="0"/>
        <w:ind w:left="0" w:hanging="0"/>
        <w:contextualSpacing/>
        <w:jc w:val="both"/>
        <w:rPr/>
      </w:pPr>
      <w:r>
        <w:rPr>
          <w:rFonts w:cs="Arial" w:ascii="Arial" w:hAnsi="Arial"/>
        </w:rPr>
        <w:t>18.1.9.1.</w:t>
      </w:r>
      <w:r>
        <w:rPr>
          <w:rFonts w:cs="Arial" w:ascii="Arial" w:hAnsi="Arial"/>
          <w:bCs/>
        </w:rPr>
        <w:t xml:space="preserve"> O cancelamento de registros será motivado e formalizado por despacho da autoridade superior, assegurado o contraditório e a ampla defesa.</w:t>
      </w:r>
    </w:p>
    <w:p>
      <w:pPr>
        <w:pStyle w:val="ListParagraph"/>
        <w:tabs>
          <w:tab w:val="clear" w:pos="708"/>
          <w:tab w:val="left" w:pos="993" w:leader="none"/>
        </w:tabs>
        <w:spacing w:lineRule="auto" w:line="240" w:before="0" w:after="0"/>
        <w:ind w:left="0" w:hanging="0"/>
        <w:contextualSpacing/>
        <w:jc w:val="both"/>
        <w:rPr>
          <w:rFonts w:ascii="Arial" w:hAnsi="Arial" w:cs="Arial"/>
          <w:bCs/>
        </w:rPr>
      </w:pPr>
      <w:r>
        <w:rPr>
          <w:rFonts w:cs="Arial" w:ascii="Arial" w:hAnsi="Arial"/>
          <w:bCs/>
        </w:rPr>
      </w:r>
    </w:p>
    <w:p>
      <w:pPr>
        <w:pStyle w:val="Normal"/>
        <w:spacing w:lineRule="auto" w:line="240" w:before="0" w:after="0"/>
        <w:jc w:val="both"/>
        <w:rPr/>
      </w:pPr>
      <w:bookmarkStart w:id="68" w:name="art21"/>
      <w:bookmarkEnd w:id="68"/>
      <w:r>
        <w:rPr>
          <w:rFonts w:cs="Arial" w:ascii="Arial" w:hAnsi="Arial"/>
          <w:bCs/>
        </w:rPr>
        <w:t>18.1.10.</w:t>
      </w:r>
      <w:r>
        <w:rPr>
          <w:rFonts w:cs="Arial" w:ascii="Arial" w:hAnsi="Arial"/>
        </w:rPr>
        <w:t xml:space="preserve"> É vedado aos órgãos e entidades da Administração Pública federal, estadual, distrital e municipal, na condição de </w:t>
      </w:r>
      <w:r>
        <w:rPr>
          <w:rFonts w:cs="Arial" w:ascii="Arial" w:hAnsi="Arial"/>
          <w:u w:val="single"/>
        </w:rPr>
        <w:t>não participantes</w:t>
      </w:r>
      <w:r>
        <w:rPr>
          <w:rFonts w:cs="Arial" w:ascii="Arial" w:hAnsi="Arial"/>
        </w:rPr>
        <w:t>, aderirem à ata de registro de preços gerenciada por este Município.</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18.2. GESTÃO E FISCALIZAÇÃO DA ATA</w:t>
      </w:r>
    </w:p>
    <w:p>
      <w:pPr>
        <w:pStyle w:val="Normal"/>
        <w:tabs>
          <w:tab w:val="clear" w:pos="708"/>
          <w:tab w:val="left" w:pos="1134" w:leader="none"/>
        </w:tabs>
        <w:spacing w:lineRule="auto" w:line="240" w:before="0" w:after="0"/>
        <w:jc w:val="both"/>
        <w:rPr>
          <w:rFonts w:ascii="Arial" w:hAnsi="Arial" w:cs="Arial"/>
          <w:b/>
          <w:b/>
          <w:iCs/>
          <w:color w:val="000000"/>
        </w:rPr>
      </w:pPr>
      <w:r>
        <w:rPr>
          <w:rFonts w:cs="Arial" w:ascii="Arial" w:hAnsi="Arial"/>
          <w:b/>
          <w:iCs/>
          <w:color w:val="000000"/>
        </w:rPr>
      </w:r>
    </w:p>
    <w:p>
      <w:pPr>
        <w:pStyle w:val="Normal"/>
        <w:tabs>
          <w:tab w:val="clear" w:pos="708"/>
          <w:tab w:val="left" w:pos="1134" w:leader="none"/>
        </w:tabs>
        <w:spacing w:lineRule="auto" w:line="240" w:before="0" w:after="0"/>
        <w:jc w:val="both"/>
        <w:rPr/>
      </w:pPr>
      <w:r>
        <w:rPr>
          <w:rFonts w:cs="Arial" w:ascii="Arial" w:hAnsi="Arial"/>
          <w:bCs/>
          <w:iCs/>
          <w:color w:val="000000"/>
        </w:rPr>
        <w:t>18.2.1</w:t>
      </w:r>
      <w:r>
        <w:rPr>
          <w:rFonts w:cs="Arial" w:ascii="Arial" w:hAnsi="Arial"/>
          <w:b/>
          <w:iCs/>
          <w:color w:val="000000"/>
        </w:rPr>
        <w:t xml:space="preserve"> </w:t>
      </w:r>
      <w:r>
        <w:rPr>
          <w:rFonts w:cs="Arial" w:ascii="Arial" w:hAnsi="Arial"/>
          <w:color w:val="000000"/>
        </w:rPr>
        <w:t>A fiscalização e gestão da ata de registro de preços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shd w:fill="C0C0C0" w:val="clear"/>
          <w:lang w:eastAsia="pt-BR"/>
        </w:rPr>
      </w:pPr>
      <w:r>
        <w:rPr>
          <w:rFonts w:eastAsia="Times New Roman" w:cs="Arial" w:ascii="Arial" w:hAnsi="Arial"/>
          <w:b/>
          <w:iCs/>
          <w:color w:val="FF0000"/>
          <w:shd w:fill="C0C0C0" w:val="clear"/>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19. DAS OBRIGAÇÕES DE CONTRATADA E CONTRATANTE</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 xml:space="preserve">19.1. REGRAS GERAIS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19.1.1.</w:t>
      </w:r>
      <w:r>
        <w:rPr>
          <w:rFonts w:cs="Arial" w:ascii="Arial" w:hAnsi="Arial"/>
          <w:iCs/>
        </w:rPr>
        <w:t xml:space="preserve"> O contrato regular-se-á pelas suas cláusulas e pelos preceitos de direito público, e a ele será aplicado, supletivamente, os princípios da teoria geral dos contratos e as disposições de direito privado.</w:t>
      </w:r>
    </w:p>
    <w:p>
      <w:pPr>
        <w:pStyle w:val="Normal"/>
        <w:spacing w:lineRule="auto" w:line="240" w:before="0" w:after="0"/>
        <w:jc w:val="both"/>
        <w:rPr>
          <w:rFonts w:ascii="Arial" w:hAnsi="Arial" w:cs="Arial"/>
          <w:b/>
          <w:b/>
          <w:iCs/>
          <w:color w:val="000000"/>
        </w:rPr>
      </w:pPr>
      <w:r>
        <w:rPr>
          <w:rFonts w:cs="Arial" w:ascii="Arial" w:hAnsi="Arial"/>
          <w:b/>
          <w:iCs/>
          <w:color w:val="000000"/>
        </w:rPr>
      </w:r>
    </w:p>
    <w:p>
      <w:pPr>
        <w:pStyle w:val="Normal"/>
        <w:spacing w:lineRule="auto" w:line="240" w:before="0" w:after="0"/>
        <w:jc w:val="both"/>
        <w:rPr/>
      </w:pPr>
      <w:r>
        <w:rPr>
          <w:rFonts w:cs="Arial" w:ascii="Arial" w:hAnsi="Arial"/>
          <w:bCs/>
          <w:iCs/>
          <w:color w:val="000000"/>
        </w:rPr>
        <w:t>19.1.2.</w:t>
      </w:r>
      <w:r>
        <w:rPr>
          <w:rFonts w:cs="Arial" w:ascii="Arial" w:hAnsi="Arial"/>
          <w:iCs/>
          <w:color w:val="000000"/>
        </w:rPr>
        <w:t xml:space="preserve"> A Administração Pública Municipal convocará o licitante vencedor para assinar o termo de contrato ou para aceitar ou retirar o instrumento equivalente, dentro do prazo máximo de 03 (três) dias úteis, sob pena de decair o direito à contratação, sem prejuízo das sanções previstas na Lei nº 14.133/2021. </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19.1.2.1.</w:t>
      </w:r>
      <w:r>
        <w:rPr>
          <w:rFonts w:cs="Arial" w:ascii="Arial" w:hAnsi="Arial"/>
          <w:iCs/>
        </w:rPr>
        <w:t xml:space="preserve"> O prazo de convocação poderá ser prorrogado 01 (uma) vez, por igual período, mediante solicitação da parte durante seu transcurso, devidamente justificada, e desde que o motivo apresentado seja aceito pela Administração.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19.1.2.2.</w:t>
      </w:r>
      <w:r>
        <w:rPr>
          <w:rFonts w:cs="Arial" w:ascii="Arial" w:hAnsi="Arial"/>
          <w:iCs/>
        </w:rPr>
        <w:t xml:space="preserve"> Poderá a Administração Pública Municipal,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19.1.2.3.</w:t>
      </w:r>
      <w:r>
        <w:rPr>
          <w:rFonts w:cs="Arial" w:ascii="Arial" w:hAnsi="Arial"/>
          <w:iCs/>
        </w:rPr>
        <w:t xml:space="preserve"> Decorrido o prazo de validade da proposta indicado no edital sem convocação para a contratação, ficarão os licitantes liberados dos compromissos assumidos.</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19.1.2.4.</w:t>
      </w:r>
      <w:r>
        <w:rPr>
          <w:rFonts w:cs="Arial" w:ascii="Arial" w:hAnsi="Arial"/>
          <w:iCs/>
        </w:rPr>
        <w:t xml:space="preserve"> Na hipótese de nenhum dos licitantes aceitar a,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 xml:space="preserve">19.1.2.5. </w:t>
      </w:r>
      <w:r>
        <w:rPr>
          <w:rFonts w:cs="Arial" w:ascii="Arial" w:hAnsi="Arial"/>
          <w:iCs/>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w:t>
      </w:r>
    </w:p>
    <w:p>
      <w:pPr>
        <w:pStyle w:val="Normal"/>
        <w:spacing w:lineRule="auto" w:line="240" w:before="0" w:after="0"/>
        <w:jc w:val="both"/>
        <w:rPr>
          <w:rFonts w:ascii="Arial" w:hAnsi="Arial" w:cs="Arial"/>
          <w:iCs/>
        </w:rPr>
      </w:pPr>
      <w:r>
        <w:rPr>
          <w:rFonts w:cs="Arial" w:ascii="Arial" w:hAnsi="Arial"/>
          <w:iCs/>
        </w:rPr>
      </w:r>
    </w:p>
    <w:p>
      <w:pPr>
        <w:pStyle w:val="Normal"/>
        <w:spacing w:lineRule="auto" w:line="240" w:before="0" w:after="0"/>
        <w:jc w:val="both"/>
        <w:rPr/>
      </w:pPr>
      <w:r>
        <w:rPr>
          <w:rFonts w:cs="Arial" w:ascii="Arial" w:hAnsi="Arial"/>
          <w:bCs/>
          <w:iCs/>
        </w:rPr>
        <w:t>19.1.2.6.</w:t>
      </w:r>
      <w:r>
        <w:rPr>
          <w:rFonts w:cs="Arial" w:ascii="Arial" w:hAnsi="Arial"/>
          <w:iCs/>
        </w:rPr>
        <w:t xml:space="preserve"> É possível que a Administração convoque os demais licitantes classificados para a contratação de remanescente de obra, de serviço ou de fornecimento em consequência de rescisão contratual, observados os mesmos critérios estabelecidos nos §§ 2º e 4º do art. 90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 xml:space="preserve">19.1.3. </w:t>
      </w:r>
      <w:r>
        <w:rPr>
          <w:rFonts w:cs="Arial" w:ascii="Arial" w:hAnsi="Arial"/>
          <w:iCs/>
        </w:rPr>
        <w:t>Os contratos e seus aditamentos terão forma escrita e serão juntados ao processo que tiver dado origem à contratação, divulgados e mantidos à disposição do público em sítio eletrônico oficial.</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19.1.3.1.</w:t>
      </w:r>
      <w:r>
        <w:rPr>
          <w:rFonts w:cs="Arial" w:ascii="Arial" w:hAnsi="Arial"/>
          <w:iCs/>
        </w:rPr>
        <w:t xml:space="preserve"> Será admitida a forma eletrônica na celebração de contratos e de termos aditivos, atendidas as exigências previstas em regulamento.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19.1.3.2.</w:t>
      </w:r>
      <w:r>
        <w:rPr>
          <w:rFonts w:cs="Arial" w:ascii="Arial" w:hAnsi="Arial"/>
          <w:b/>
          <w:iCs/>
        </w:rPr>
        <w:t xml:space="preserve"> </w:t>
      </w:r>
      <w:r>
        <w:rPr>
          <w:rFonts w:cs="Arial" w:ascii="Arial" w:hAnsi="Arial"/>
          <w:iCs/>
        </w:rPr>
        <w:t>Antes de formalizar ou prorrogar o prazo de vigência do contrato, a Administração verificará a regularidade fiscal do contratado, consultar o Cadastro Nacional de Empresas Inidôneas e Suspensas (CEIS) e o Cadastro Nacional de Empresas Punidas (CNEP), emitir as certidões negativas de inidoneidade, de impedimento e de débitos trabalhistas e para serem juntadas ao respectivo processo.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w:t>
      </w:r>
      <w:r>
        <w:rPr>
          <w:rFonts w:cs="Arial" w:ascii="Arial" w:hAnsi="Arial"/>
          <w:iCs/>
        </w:rPr>
        <w:t xml:space="preserve"> Os contratos administrativos obedecerão irrestritamente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19.1.4.1.</w:t>
      </w:r>
      <w:r>
        <w:rPr>
          <w:rFonts w:cs="Arial" w:ascii="Arial" w:hAnsi="Arial"/>
          <w:iCs/>
        </w:rPr>
        <w:t xml:space="preserve"> O contrato administrativo poderá ser substituído por outro instrumento hábil, como carta-contrato,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19.1.4.2.</w:t>
      </w:r>
      <w:r>
        <w:rPr>
          <w:rFonts w:cs="Arial" w:ascii="Arial" w:hAnsi="Arial"/>
          <w:iCs/>
        </w:rPr>
        <w:t xml:space="preserve"> O contrato terá seu preço reajustado pelo índice </w:t>
      </w:r>
      <w:r>
        <w:rPr>
          <w:rFonts w:cs="Arial" w:ascii="Arial" w:hAnsi="Arial"/>
          <w:iCs/>
          <w:color w:val="000000"/>
        </w:rPr>
        <w:t>INPC</w:t>
      </w:r>
      <w:r>
        <w:rPr>
          <w:rFonts w:cs="Arial" w:ascii="Arial" w:hAnsi="Arial"/>
          <w:iCs/>
        </w:rPr>
        <w:t xml:space="preserve"> com data-base vinculada à data do orçamento estimado.</w:t>
      </w:r>
    </w:p>
    <w:p>
      <w:pPr>
        <w:pStyle w:val="Normal"/>
        <w:spacing w:lineRule="auto" w:line="240" w:before="0" w:after="0"/>
        <w:jc w:val="both"/>
        <w:rPr>
          <w:rFonts w:ascii="Arial" w:hAnsi="Arial" w:cs="Arial"/>
          <w:b/>
          <w:b/>
          <w:iCs/>
        </w:rPr>
      </w:pPr>
      <w:r>
        <w:rPr>
          <w:rFonts w:cs="Arial" w:ascii="Arial" w:hAnsi="Arial"/>
          <w:b/>
          <w:iCs/>
        </w:rPr>
      </w:r>
    </w:p>
    <w:p>
      <w:pPr>
        <w:pStyle w:val="Normal"/>
        <w:spacing w:lineRule="auto" w:line="240" w:before="0" w:after="0"/>
        <w:jc w:val="both"/>
        <w:rPr/>
      </w:pPr>
      <w:r>
        <w:rPr>
          <w:rFonts w:cs="Arial" w:ascii="Arial" w:hAnsi="Arial"/>
          <w:bCs/>
          <w:iCs/>
        </w:rPr>
        <w:t>19.1.4.2.1.</w:t>
      </w:r>
      <w:r>
        <w:rPr>
          <w:rFonts w:cs="Arial" w:ascii="Arial" w:hAnsi="Arial"/>
          <w:iCs/>
        </w:rPr>
        <w:t xml:space="preserve"> Poderá ser estabelecido mais de um índice específico ou setorial, em conformidade com a realidade de mercado dos respectivos insumos.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 xml:space="preserve">19.1.5. </w:t>
      </w:r>
      <w:r>
        <w:rPr>
          <w:rFonts w:cs="Arial" w:ascii="Arial" w:hAnsi="Arial"/>
        </w:rPr>
        <w:t>O contrato administrativo será publicado no prazo de 20 (vinte) dias úteis, contados da data de sua assinatura.</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19.1.6.</w:t>
      </w:r>
      <w:r>
        <w:rPr>
          <w:rFonts w:cs="Arial" w:ascii="Arial" w:hAnsi="Arial"/>
        </w:rPr>
        <w:t xml:space="preserve"> No caso de consórcio: fica condicionada a assinatura do contrato a:</w:t>
      </w:r>
    </w:p>
    <w:p>
      <w:pPr>
        <w:pStyle w:val="Normal"/>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Comprovação de compromisso público ou particular de constituição de consórcio, subscrito pelos consorciados;</w:t>
      </w:r>
    </w:p>
    <w:p>
      <w:pPr>
        <w:pStyle w:val="Normal"/>
        <w:numPr>
          <w:ilvl w:val="0"/>
          <w:numId w:val="2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Indicação da empresa líder do consórcio, que será responsável por sua representação perante a Administração.</w:t>
      </w:r>
    </w:p>
    <w:p>
      <w:pPr>
        <w:pStyle w:val="Normal"/>
        <w:tabs>
          <w:tab w:val="clear" w:pos="708"/>
          <w:tab w:val="left" w:pos="567" w:leader="none"/>
        </w:tabs>
        <w:spacing w:lineRule="auto" w:line="240" w:before="0" w:after="0"/>
        <w:contextualSpacing/>
        <w:jc w:val="both"/>
        <w:rPr>
          <w:rFonts w:ascii="Arial" w:hAnsi="Arial" w:cs="Arial"/>
        </w:rPr>
      </w:pPr>
      <w:r>
        <w:rPr>
          <w:rFonts w:cs="Arial" w:ascii="Arial" w:hAnsi="Arial"/>
        </w:rPr>
      </w:r>
    </w:p>
    <w:p>
      <w:pPr>
        <w:pStyle w:val="Normal"/>
        <w:tabs>
          <w:tab w:val="clear" w:pos="708"/>
          <w:tab w:val="left" w:pos="567" w:leader="none"/>
        </w:tabs>
        <w:spacing w:lineRule="auto" w:line="240" w:before="0" w:after="0"/>
        <w:contextualSpacing/>
        <w:jc w:val="both"/>
        <w:rPr>
          <w:rFonts w:ascii="Arial" w:hAnsi="Arial" w:cs="Arial"/>
          <w:b/>
          <w:b/>
          <w:bCs/>
          <w:iCs/>
        </w:rPr>
      </w:pPr>
      <w:r>
        <w:rPr>
          <w:rFonts w:cs="Arial" w:ascii="Arial" w:hAnsi="Arial"/>
          <w:b/>
          <w:bCs/>
          <w:iCs/>
        </w:rPr>
        <w:t>19.1.7. Obrigações do CONTRATADO:</w:t>
      </w:r>
    </w:p>
    <w:p>
      <w:pPr>
        <w:pStyle w:val="Normal"/>
        <w:tabs>
          <w:tab w:val="clear" w:pos="708"/>
          <w:tab w:val="left" w:pos="567" w:leader="none"/>
        </w:tabs>
        <w:spacing w:lineRule="auto" w:line="240" w:before="0" w:after="0"/>
        <w:contextualSpacing/>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r>
        <w:rPr>
          <w:rFonts w:cs="Arial" w:ascii="Arial" w:hAnsi="Arial"/>
          <w:color w:val="000000"/>
        </w:rPr>
        <w:t xml:space="preserve">19.1.7.1. </w:t>
      </w:r>
      <w:r>
        <w:rPr>
          <w:rFonts w:cs="Arial" w:ascii="Arial" w:hAnsi="Arial"/>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r>
        <w:rPr>
          <w:rFonts w:cs="Arial" w:ascii="Arial" w:hAnsi="Arial"/>
          <w:color w:val="000000"/>
        </w:rPr>
        <w:t>19.1</w:t>
      </w:r>
      <w:r>
        <w:rPr>
          <w:rFonts w:cs="Arial" w:ascii="Arial" w:hAnsi="Arial"/>
        </w:rPr>
        <w:t xml:space="preserve">.7.2. </w:t>
      </w:r>
      <w:r>
        <w:rPr>
          <w:rFonts w:cs="Arial" w:ascii="Arial" w:hAnsi="Arial"/>
          <w:color w:val="000000"/>
        </w:rPr>
        <w:t xml:space="preserve">Os </w:t>
      </w:r>
      <w:r>
        <w:rPr>
          <w:rFonts w:eastAsia="Calibri" w:cs="Arial" w:ascii="Arial" w:hAnsi="Arial"/>
          <w:color w:val="000000"/>
          <w:kern w:val="0"/>
          <w:sz w:val="22"/>
          <w:szCs w:val="22"/>
          <w:lang w:val="pt-BR" w:eastAsia="en-US" w:bidi="ar-SA"/>
        </w:rPr>
        <w:t>materiais</w:t>
      </w:r>
      <w:r>
        <w:rPr>
          <w:rFonts w:cs="Arial" w:ascii="Arial" w:hAnsi="Arial"/>
          <w:color w:val="000000"/>
        </w:rPr>
        <w:t xml:space="preserve"> deverão ser entregues nos locais indicados pela Secretaria solicitante, </w:t>
      </w:r>
      <w:r>
        <w:rPr>
          <w:rFonts w:cs="Arial" w:ascii="Arial" w:hAnsi="Arial"/>
          <w:b/>
          <w:bCs/>
          <w:color w:val="000000"/>
        </w:rPr>
        <w:t xml:space="preserve">no prazo máximo de </w:t>
      </w:r>
      <w:r>
        <w:rPr>
          <w:rFonts w:eastAsia="Calibri" w:cs="Arial" w:ascii="Arial" w:hAnsi="Arial"/>
          <w:b/>
          <w:bCs/>
          <w:color w:val="000000"/>
          <w:kern w:val="0"/>
          <w:sz w:val="22"/>
          <w:szCs w:val="22"/>
          <w:lang w:val="pt-BR" w:eastAsia="en-US" w:bidi="ar-SA"/>
        </w:rPr>
        <w:t>48</w:t>
      </w:r>
      <w:r>
        <w:rPr>
          <w:rFonts w:cs="Arial" w:ascii="Arial" w:hAnsi="Arial"/>
          <w:b/>
          <w:bCs/>
          <w:color w:val="000000"/>
        </w:rPr>
        <w:t xml:space="preserve"> (</w:t>
      </w:r>
      <w:r>
        <w:rPr>
          <w:rFonts w:eastAsia="Calibri" w:cs="Arial" w:ascii="Arial" w:hAnsi="Arial"/>
          <w:b/>
          <w:bCs/>
          <w:color w:val="000000"/>
          <w:kern w:val="0"/>
          <w:sz w:val="22"/>
          <w:szCs w:val="22"/>
          <w:lang w:val="pt-BR" w:eastAsia="en-US" w:bidi="ar-SA"/>
        </w:rPr>
        <w:t>quarenta e oito</w:t>
      </w:r>
      <w:r>
        <w:rPr>
          <w:rFonts w:cs="Arial" w:ascii="Arial" w:hAnsi="Arial"/>
          <w:b/>
          <w:bCs/>
          <w:color w:val="000000"/>
        </w:rPr>
        <w:t xml:space="preserve">) </w:t>
      </w:r>
      <w:r>
        <w:rPr>
          <w:rFonts w:eastAsia="Calibri" w:cs="Arial" w:ascii="Arial" w:hAnsi="Arial"/>
          <w:b/>
          <w:bCs/>
          <w:color w:val="000000"/>
          <w:kern w:val="0"/>
          <w:sz w:val="22"/>
          <w:szCs w:val="22"/>
          <w:lang w:val="pt-BR" w:eastAsia="en-US" w:bidi="ar-SA"/>
        </w:rPr>
        <w:t xml:space="preserve">horas </w:t>
      </w:r>
      <w:r>
        <w:rPr>
          <w:rFonts w:cs="Arial" w:ascii="Arial" w:hAnsi="Arial"/>
          <w:b/>
          <w:bCs/>
          <w:color w:val="000000"/>
        </w:rPr>
        <w:t>consecutivas</w:t>
      </w:r>
      <w:r>
        <w:rPr>
          <w:rFonts w:cs="Arial" w:ascii="Arial" w:hAnsi="Arial"/>
          <w:color w:val="000000"/>
        </w:rPr>
        <w:t xml:space="preserve"> após a emissão da requisição de compra. Os </w:t>
      </w:r>
      <w:r>
        <w:rPr>
          <w:rFonts w:ascii="Arial" w:hAnsi="Arial"/>
        </w:rPr>
        <w:t xml:space="preserve">valores estimados incluem o custo do objeto/material, transporte, entrega e demais serviços necessários para o correto fornecimento dos objetos, nos locais e horários determinados pela administração. </w:t>
      </w:r>
    </w:p>
    <w:p>
      <w:pPr>
        <w:pStyle w:val="Normal"/>
        <w:tabs>
          <w:tab w:val="clear" w:pos="708"/>
          <w:tab w:val="left" w:pos="1134" w:leader="none"/>
        </w:tabs>
        <w:spacing w:lineRule="auto" w:line="240" w:before="0" w:after="0"/>
        <w:jc w:val="both"/>
        <w:rPr>
          <w:shd w:fill="auto" w:val="clear"/>
        </w:rPr>
      </w:pPr>
      <w:r>
        <w:rPr>
          <w:shd w:fill="auto" w:val="clear"/>
        </w:rPr>
      </w:r>
    </w:p>
    <w:p>
      <w:pPr>
        <w:pStyle w:val="Normal"/>
        <w:tabs>
          <w:tab w:val="clear" w:pos="708"/>
          <w:tab w:val="left" w:pos="1134" w:leader="none"/>
        </w:tabs>
        <w:spacing w:lineRule="auto" w:line="240" w:before="0" w:after="0"/>
        <w:jc w:val="both"/>
        <w:rPr>
          <w:shd w:fill="auto" w:val="clear"/>
        </w:rPr>
      </w:pPr>
      <w:r>
        <w:rPr>
          <w:rFonts w:ascii="Arial" w:hAnsi="Arial"/>
          <w:shd w:fill="auto" w:val="clear"/>
        </w:rPr>
        <w:t xml:space="preserve">19.1.7.2.1. </w:t>
      </w:r>
      <w:r>
        <w:rPr>
          <w:rFonts w:cs="Arial" w:ascii="Arial" w:hAnsi="Arial"/>
          <w:b w:val="false"/>
          <w:bCs w:val="false"/>
          <w:shd w:fill="auto" w:val="clear"/>
        </w:rPr>
        <w:t xml:space="preserve">O prazo para entrega se dá em </w:t>
      </w:r>
      <w:r>
        <w:rPr>
          <w:rFonts w:eastAsia="Times New Roman" w:cs="Arial" w:ascii="Arial" w:hAnsi="Arial"/>
          <w:b w:val="false"/>
          <w:bCs w:val="false"/>
          <w:color w:val="111111"/>
          <w:sz w:val="22"/>
          <w:szCs w:val="22"/>
          <w:shd w:fill="auto" w:val="clear"/>
          <w:lang w:val="pt-BR" w:eastAsia="pt-BR" w:bidi="ar-SA"/>
        </w:rPr>
        <w:t xml:space="preserve">função das necessidades decorrentes, por se tratarem de materiais utilizados em serviços desempenhados de forma contínua e rotineira, advindo a possibilidade de imprevistos e o condicionante do Município não possuir pessoal e local para depósito / almoxarifado. </w:t>
      </w:r>
    </w:p>
    <w:p>
      <w:pPr>
        <w:pStyle w:val="Normal"/>
        <w:tabs>
          <w:tab w:val="clear" w:pos="708"/>
          <w:tab w:val="left" w:pos="1134" w:leader="none"/>
        </w:tabs>
        <w:spacing w:lineRule="auto" w:line="240" w:before="0" w:after="0"/>
        <w:jc w:val="both"/>
        <w:rPr/>
      </w:pPr>
      <w:r>
        <w:rPr/>
      </w:r>
    </w:p>
    <w:p>
      <w:pPr>
        <w:pStyle w:val="Normal"/>
        <w:tabs>
          <w:tab w:val="clear" w:pos="708"/>
          <w:tab w:val="left" w:pos="1134" w:leader="none"/>
        </w:tabs>
        <w:spacing w:lineRule="auto" w:line="240" w:before="0" w:after="0"/>
        <w:jc w:val="both"/>
        <w:rPr/>
      </w:pPr>
      <w:r>
        <w:rPr>
          <w:rFonts w:cs="Arial" w:ascii="Arial" w:hAnsi="Arial"/>
          <w:color w:val="000000"/>
        </w:rPr>
        <w:t>19</w:t>
      </w:r>
      <w:r>
        <w:rPr>
          <w:rFonts w:cs="Arial" w:ascii="Arial" w:hAnsi="Arial"/>
        </w:rPr>
        <w:t xml:space="preserve">.1.7.3. </w:t>
      </w:r>
      <w:r>
        <w:rPr>
          <w:rFonts w:eastAsia="Arial" w:cs="Arial" w:ascii="Arial" w:hAnsi="Arial"/>
        </w:rPr>
        <w:t xml:space="preserve">Acatar e atender as reclamações quanto às especificações e qualidade dos produtos fornecidos, sanando eventuais deficiências no prazo máximo de </w:t>
      </w:r>
      <w:r>
        <w:rPr>
          <w:rFonts w:eastAsia="Arial" w:cs="Arial" w:ascii="Arial" w:hAnsi="Arial"/>
          <w:color w:val="auto"/>
          <w:kern w:val="0"/>
          <w:sz w:val="22"/>
          <w:szCs w:val="22"/>
          <w:lang w:val="pt-BR" w:eastAsia="en-US" w:bidi="ar-SA"/>
        </w:rPr>
        <w:t>24</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vinte e quatro</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horas</w:t>
      </w:r>
      <w:r>
        <w:rPr>
          <w:rFonts w:eastAsia="Arial" w:cs="Arial" w:ascii="Arial" w:hAnsi="Arial"/>
        </w:rPr>
        <w:t>,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rPr>
        <w:t>19.1.7.4.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spacing w:lineRule="auto" w:line="240" w:before="0" w:after="0"/>
        <w:jc w:val="both"/>
        <w:rPr>
          <w:rFonts w:ascii="Arial" w:hAnsi="Arial"/>
        </w:rPr>
      </w:pPr>
      <w:r>
        <w:rPr>
          <w:rFonts w:ascii="Arial" w:hAnsi="Arial"/>
        </w:rPr>
      </w:r>
    </w:p>
    <w:p>
      <w:pPr>
        <w:pStyle w:val="Normal"/>
        <w:spacing w:lineRule="auto" w:line="240" w:before="0" w:after="0"/>
        <w:jc w:val="both"/>
        <w:rPr/>
      </w:pPr>
      <w:r>
        <w:rPr>
          <w:rFonts w:ascii="Arial" w:hAnsi="Arial"/>
        </w:rPr>
        <w:t>19.1.7.5. A empresa contratada será responsável por todos os ônus e obrigações concernentes à legislação fiscal, social, trabalhista e tributária, bem como pelos danos e prejuízos que a qualquer título causar ao contratante, ao meio ambiente e/ou a terceiros, em decorrência da execução dos serviços contratados, respondendo por si e por seus sucessores.</w:t>
      </w:r>
    </w:p>
    <w:p>
      <w:pPr>
        <w:pStyle w:val="Normal"/>
        <w:spacing w:lineRule="auto" w:line="240" w:before="0" w:after="0"/>
        <w:jc w:val="both"/>
        <w:rPr>
          <w:rFonts w:ascii="Arial" w:hAnsi="Arial"/>
        </w:rPr>
      </w:pPr>
      <w:r>
        <w:rPr>
          <w:rFonts w:ascii="Arial" w:hAnsi="Arial"/>
        </w:rPr>
      </w:r>
    </w:p>
    <w:p>
      <w:pPr>
        <w:pStyle w:val="Normal"/>
        <w:spacing w:lineRule="auto" w:line="240" w:before="0" w:after="0"/>
        <w:jc w:val="both"/>
        <w:rPr/>
      </w:pPr>
      <w:r>
        <w:rPr>
          <w:rFonts w:ascii="Arial" w:hAnsi="Arial"/>
        </w:rPr>
        <w:t xml:space="preserve">19.1.7.6. </w:t>
      </w:r>
      <w:r>
        <w:rPr>
          <w:rFonts w:eastAsia="Calibri" w:cs="Arial" w:ascii="Arial" w:hAnsi="Arial"/>
          <w:iCs/>
          <w:color w:val="000000"/>
          <w:lang w:eastAsia="pt-BR"/>
        </w:rPr>
        <w:t>Fornecer os materiais conforme a descrição dos itens constantes no presente edital e nos seus anexos (Estudo Técnico Preliminar e Termo de Referência).</w:t>
      </w:r>
    </w:p>
    <w:p>
      <w:pPr>
        <w:pStyle w:val="Normal"/>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jc w:val="both"/>
        <w:rPr/>
      </w:pPr>
      <w:r>
        <w:rPr>
          <w:rFonts w:eastAsia="Arial" w:cs="Arial" w:ascii="Arial" w:hAnsi="Arial"/>
        </w:rPr>
        <w:t xml:space="preserve">19.1.7.7. </w:t>
      </w:r>
      <w:r>
        <w:rPr>
          <w:rFonts w:eastAsia="Calibri" w:cs="Arial" w:ascii="Arial" w:hAnsi="Arial"/>
          <w:iCs/>
          <w:color w:val="000000"/>
          <w:lang w:eastAsia="pt-BR"/>
        </w:rPr>
        <w:t>Cumprir e se responsabilizar pela entrega de materiais que contenham todos os requisitos de qualidade e segurança necessários para o correto funcionamento dos mesmos, bem como dentro dos parâmetros mínimos de qualidade definidos no presente edital e nos seus anexos.</w:t>
      </w:r>
    </w:p>
    <w:p>
      <w:pPr>
        <w:pStyle w:val="Normal"/>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jc w:val="both"/>
        <w:rPr/>
      </w:pPr>
      <w:r>
        <w:rPr>
          <w:rFonts w:eastAsia="Arial" w:cs="Arial" w:ascii="Arial" w:hAnsi="Arial"/>
        </w:rPr>
        <w:t xml:space="preserve">19.1.7.8. </w:t>
      </w:r>
      <w:r>
        <w:rPr>
          <w:rFonts w:eastAsia="Calibri" w:cs="Arial" w:ascii="Arial" w:hAnsi="Arial"/>
          <w:iCs/>
          <w:color w:val="000000"/>
          <w:lang w:eastAsia="pt-BR"/>
        </w:rPr>
        <w:t>Cumprir com TODAS as demais obrigações, requisitos, características e prazos para entrega e execução dos materiais, objetos desta licitação, de acordo com as regras e definições do presente edital, do Estudo Técnico Preliminar e do Termo de Referência.</w:t>
      </w:r>
    </w:p>
    <w:p>
      <w:pPr>
        <w:pStyle w:val="Normal"/>
        <w:spacing w:lineRule="auto" w:line="240" w:before="0" w:after="0"/>
        <w:rPr>
          <w:rFonts w:ascii="Arial" w:hAnsi="Arial" w:cs="Arial"/>
          <w:b/>
          <w:b/>
          <w:bCs/>
          <w:u w:val="single"/>
        </w:rPr>
      </w:pPr>
      <w:r>
        <w:rPr>
          <w:rFonts w:cs="Arial" w:ascii="Arial" w:hAnsi="Arial"/>
          <w:b/>
          <w:bCs/>
          <w:u w:val="single"/>
        </w:rPr>
      </w:r>
    </w:p>
    <w:p>
      <w:pPr>
        <w:pStyle w:val="Normal"/>
        <w:tabs>
          <w:tab w:val="clear" w:pos="708"/>
          <w:tab w:val="left" w:pos="1134" w:leader="none"/>
        </w:tabs>
        <w:spacing w:lineRule="auto" w:line="240" w:before="0" w:after="0"/>
        <w:jc w:val="both"/>
        <w:rPr>
          <w:b/>
          <w:b/>
          <w:bCs/>
        </w:rPr>
      </w:pPr>
      <w:r>
        <w:rPr>
          <w:rFonts w:cs="Arial" w:ascii="Arial" w:hAnsi="Arial"/>
          <w:b/>
          <w:bCs/>
          <w:iCs/>
        </w:rPr>
        <w:t>19.1.8. Obrigações do CONTRATANTE: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19.1.8.1. Acompanhar e fiscalizar o cumprimento das obrigações da Contratada,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19.1.8.2. Permitir o livre acesso dos empregados, encarregados e/ou prepostos da CONTRATADA para a execução do contrato;</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iCs/>
          <w:color w:val="000000"/>
        </w:rPr>
        <w:t xml:space="preserve">19.1.8.3. Prestar as informações e os esclarecimentos que venham a ser solicitados pelos empregados, encarregados e/ou prepostos da CONTRATADA, desde que inerentes ao objeto do Contrato; </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19.1.9.</w:t>
      </w:r>
      <w:r>
        <w:rPr>
          <w:rFonts w:cs="Arial" w:ascii="Arial" w:hAnsi="Arial"/>
        </w:rPr>
        <w:t xml:space="preserve"> EXTINÇÃO CONTRATUAL: Constituirão motivos para extinção do contrato, devendo ser formalmente motivada nos autos do processo, assegurados o contraditório e a ampla defesa, as seguintes situações: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ou cumprimento irregular de normas editalícias ou de cláusulas contratuais, de especificações, de projetos ou de prazos;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Desatendimento das determinações regulares emitidas pela autoridade designada para acompanhar e fiscalizar sua execução ou por autoridade superior;</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Alteração social ou modificação da finalidade ou da estrutura da empresa que restrinja sua capacidade de concluir o contrato;</w:t>
      </w:r>
    </w:p>
    <w:p>
      <w:pPr>
        <w:pStyle w:val="ListParagraph"/>
        <w:numPr>
          <w:ilvl w:val="0"/>
          <w:numId w:val="45"/>
        </w:numPr>
        <w:tabs>
          <w:tab w:val="clear" w:pos="708"/>
          <w:tab w:val="left" w:pos="1134" w:leader="none"/>
        </w:tabs>
        <w:spacing w:lineRule="auto" w:line="240" w:before="0" w:after="0"/>
        <w:ind w:left="567" w:hanging="0"/>
        <w:contextualSpacing/>
        <w:jc w:val="both"/>
        <w:rPr/>
      </w:pPr>
      <w:r>
        <w:rPr>
          <w:rFonts w:cs="Arial" w:ascii="Arial" w:hAnsi="Arial"/>
        </w:rPr>
        <w:t xml:space="preserve">Decretação de falência ou de insolvência civil, dissolução da sociedade ou falecimento do </w:t>
      </w:r>
      <w:r>
        <w:rPr>
          <w:rFonts w:cs="Arial" w:ascii="Arial" w:hAnsi="Arial"/>
          <w:b/>
        </w:rPr>
        <w:t>CONTRATADO</w:t>
      </w:r>
      <w:r>
        <w:rPr>
          <w:rFonts w:cs="Arial" w:ascii="Arial" w:hAnsi="Arial"/>
        </w:rPr>
        <w:t>;</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Caso fortuito ou força maior, regularmente comprovados, impeditivos da execução do contrato;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obtenção da licença ambiental, ou impossibilidade de obtê-la, ou alteração substancial do anteprojeto que dela resultar, ainda que obtida no prazo previsto;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na liberação das áreas sujeitas a desapropriação, a desocupação ou a servidão administrativa, ou impossibilidade de liberação dessas áreas;</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Razões de interesse público, justificadas pela autoridade máxima do órgão;</w:t>
      </w:r>
    </w:p>
    <w:p>
      <w:pPr>
        <w:pStyle w:val="ListParagraph"/>
        <w:numPr>
          <w:ilvl w:val="0"/>
          <w:numId w:val="4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cumprimento das obrigações relativas à reserva de cargos prevista em lei, bem como em outras normas específicas, para pessoa com deficiência, para reabilitado da Previdência Social ou para aprendiz.</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19.1.9.1.</w:t>
      </w:r>
      <w:r>
        <w:rPr>
          <w:rFonts w:cs="Arial" w:ascii="Arial" w:hAnsi="Arial"/>
          <w:b/>
        </w:rPr>
        <w:t xml:space="preserve"> </w:t>
      </w:r>
      <w:r>
        <w:rPr>
          <w:rFonts w:cs="Arial" w:ascii="Arial" w:hAnsi="Arial"/>
        </w:rPr>
        <w:t>As hipóteses de extinção a que se referem os incisos II, III e IV observarão as seguintes disposições:</w:t>
      </w:r>
    </w:p>
    <w:p>
      <w:pPr>
        <w:pStyle w:val="ListParagraph"/>
        <w:numPr>
          <w:ilvl w:val="0"/>
          <w:numId w:val="47"/>
        </w:numPr>
        <w:tabs>
          <w:tab w:val="clear" w:pos="708"/>
          <w:tab w:val="left" w:pos="1134" w:leader="none"/>
        </w:tabs>
        <w:spacing w:lineRule="auto" w:line="240" w:before="0" w:after="0"/>
        <w:ind w:left="567" w:hanging="0"/>
        <w:contextualSpacing/>
        <w:jc w:val="both"/>
        <w:rPr/>
      </w:pPr>
      <w:r>
        <w:rPr>
          <w:rFonts w:cs="Arial" w:ascii="Arial" w:hAnsi="Arial"/>
        </w:rPr>
        <w:t xml:space="preserve">Não serão admitidas em caso de calamidade pública, de grave perturbação da ordem interna ou de guerra, bem como quando decorrerem de ato ou fato que o </w:t>
      </w:r>
      <w:r>
        <w:rPr>
          <w:rFonts w:cs="Arial" w:ascii="Arial" w:hAnsi="Arial"/>
          <w:b/>
        </w:rPr>
        <w:t>CONTRATADO</w:t>
      </w:r>
      <w:r>
        <w:rPr>
          <w:rFonts w:cs="Arial" w:ascii="Arial" w:hAnsi="Arial"/>
        </w:rPr>
        <w:t xml:space="preserve"> tenha praticado, do qual tenha participado ou para o qual tenha contribuído;</w:t>
      </w:r>
    </w:p>
    <w:p>
      <w:pPr>
        <w:pStyle w:val="ListParagraph"/>
        <w:numPr>
          <w:ilvl w:val="0"/>
          <w:numId w:val="47"/>
        </w:numPr>
        <w:tabs>
          <w:tab w:val="clear" w:pos="708"/>
          <w:tab w:val="left" w:pos="1134" w:leader="none"/>
        </w:tabs>
        <w:spacing w:lineRule="auto" w:line="240" w:before="0" w:after="0"/>
        <w:ind w:left="567" w:hanging="0"/>
        <w:contextualSpacing/>
        <w:jc w:val="both"/>
        <w:rPr/>
      </w:pPr>
      <w:r>
        <w:rPr>
          <w:rFonts w:cs="Arial" w:ascii="Arial" w:hAnsi="Arial"/>
        </w:rPr>
        <w:t xml:space="preserve">Assegurarão ao </w:t>
      </w:r>
      <w:r>
        <w:rPr>
          <w:rFonts w:cs="Arial" w:ascii="Arial" w:hAnsi="Arial"/>
          <w:b/>
        </w:rPr>
        <w:t>CONTRATADO</w:t>
      </w:r>
      <w:r>
        <w:rPr>
          <w:rFonts w:cs="Arial" w:ascii="Arial" w:hAnsi="Arial"/>
        </w:rPr>
        <w:t xml:space="preserve"> o direito de optar pela suspensão do cumprimento das obrigações assumidas até a normalização da situação, admitido o restabelecimento do equilíbrio econômico-financeiro do contrato, na forma da alínea “d” do inciso II do </w:t>
      </w:r>
      <w:r>
        <w:rPr>
          <w:rFonts w:cs="Arial" w:ascii="Arial" w:hAnsi="Arial"/>
          <w:i/>
        </w:rPr>
        <w:t>caput</w:t>
      </w:r>
      <w:r>
        <w:rPr>
          <w:rFonts w:cs="Arial" w:ascii="Arial" w:hAnsi="Arial"/>
        </w:rPr>
        <w:t xml:space="preserve"> do art. 124 da Lei nº 14.133/2021.</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19.1.9.2.</w:t>
      </w:r>
      <w:r>
        <w:rPr>
          <w:rFonts w:cs="Arial" w:ascii="Arial" w:hAnsi="Arial"/>
        </w:rPr>
        <w:t xml:space="preserve"> O </w:t>
      </w:r>
      <w:r>
        <w:rPr>
          <w:rFonts w:cs="Arial" w:ascii="Arial" w:hAnsi="Arial"/>
          <w:b/>
        </w:rPr>
        <w:t>CONTRATADO</w:t>
      </w:r>
      <w:r>
        <w:rPr>
          <w:rFonts w:cs="Arial" w:ascii="Arial" w:hAnsi="Arial"/>
        </w:rPr>
        <w:t xml:space="preserve"> terá direito à extinção do contrato nas seguintes hipóteses: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Supressão, por parte da Administração, de obras, serviços ou compras que acarrete modificação do valor inicial do contrato além do limite permitido no art. 125 da Lei nº 14.133/2021;</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Suspensão de execução do contrato, por ordem escrita da Administração, por prazo superior a 03 (três) meses;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Repetidas suspensões que totalizem 90 (noventa) dias úteis, independentemente do pagamento obrigatório de indenização pelas sucessivas e contratualmente imprevistas desmobilizações e mobilizações e outras previstas;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Atraso superior a 02 (dois) meses, contado da emissão da nota fiscal, dos pagamentos ou de parcelas de pagamentos devidos pela Administração por despesas de obras, serviços ou fornecimentos;</w:t>
      </w:r>
    </w:p>
    <w:p>
      <w:pPr>
        <w:pStyle w:val="ListParagraph"/>
        <w:numPr>
          <w:ilvl w:val="0"/>
          <w:numId w:val="46"/>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
        </w:rPr>
        <w:t>19.1.9.3.</w:t>
      </w:r>
      <w:r>
        <w:rPr>
          <w:rFonts w:cs="Arial" w:ascii="Arial" w:hAnsi="Arial"/>
        </w:rPr>
        <w:t xml:space="preserve"> A extinção do contrato poderá ser:</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ato unilateral e escrito da Administração, exceto no caso de descumprimento decorrente de sua própria conduta;</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Consensual, por acordo entre as partes, por conciliação, por mediação ou por comitê de resolução de disputas, desde que haja interesse da Administração;</w:t>
      </w:r>
    </w:p>
    <w:p>
      <w:pPr>
        <w:pStyle w:val="ListParagraph"/>
        <w:numPr>
          <w:ilvl w:val="0"/>
          <w:numId w:val="48"/>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Determinada por decisão arbitral, em decorrência de cláusula compromissória ou compromisso arbitral, ou por decisão judicial.</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19.1.9.3.1.</w:t>
      </w:r>
      <w:r>
        <w:rPr>
          <w:rFonts w:cs="Arial" w:ascii="Arial" w:hAnsi="Arial"/>
        </w:rPr>
        <w:t xml:space="preserve"> A extinção determinada por ato unilateral da Administração e a extinção consensual serão precedidas de autorização escrita e fundamentada da autoridade competente e reduzidas a termo no respectivo processo.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19.1.9.3.2.</w:t>
      </w:r>
      <w:r>
        <w:rPr>
          <w:rFonts w:cs="Arial" w:ascii="Arial" w:hAnsi="Arial"/>
        </w:rPr>
        <w:t xml:space="preserve"> Quando a extinção decorrer de culpa exclusiva da Administração, o </w:t>
      </w:r>
      <w:r>
        <w:rPr>
          <w:rFonts w:cs="Arial" w:ascii="Arial" w:hAnsi="Arial"/>
          <w:b/>
        </w:rPr>
        <w:t>CONTRATADO</w:t>
      </w:r>
      <w:r>
        <w:rPr>
          <w:rFonts w:cs="Arial" w:ascii="Arial" w:hAnsi="Arial"/>
        </w:rPr>
        <w:t xml:space="preserve"> será ressarcido pelos prejuízos regularmente comprovados que houver sofrido e terá direito a:</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Devolução da garantia;</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Pagamentos devidos pela execução do contrato até a data de extinção;</w:t>
      </w:r>
    </w:p>
    <w:p>
      <w:pPr>
        <w:pStyle w:val="ListParagraph"/>
        <w:numPr>
          <w:ilvl w:val="0"/>
          <w:numId w:val="49"/>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do custo da desmobilização.</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
        </w:rPr>
        <w:t>19.1.9.4.</w:t>
      </w:r>
      <w:r>
        <w:rPr>
          <w:rFonts w:cs="Arial" w:ascii="Arial" w:hAnsi="Arial"/>
        </w:rPr>
        <w:t xml:space="preserve"> A extinção determinada por ato unilateral da Administração poderá acarretar, sem prejuízo das sanções previstas na Lei nº 14.133/2021, as seguintes consequências:</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Assunção imediata do objeto do contrato, no estado e local em que se encontrar, por ato próprio da Administração;</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Ocupação e utilização do local, das instalações, dos equipamentos, do material e do pessoal empregados na execução do contrato e necessários à sua continuidade;</w:t>
      </w:r>
    </w:p>
    <w:p>
      <w:pPr>
        <w:pStyle w:val="ListParagraph"/>
        <w:numPr>
          <w:ilvl w:val="0"/>
          <w:numId w:val="5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Execução da garantia contratual para:</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w:t>
      </w:r>
      <w:r>
        <w:rPr>
          <w:rFonts w:cs="Arial" w:ascii="Arial" w:hAnsi="Arial"/>
        </w:rPr>
        <w:tab/>
        <w:t>Ressarcimento da Administração Pública por prejuízos decorrentes da não execução;</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ii)</w:t>
      </w:r>
      <w:r>
        <w:rPr>
          <w:rFonts w:cs="Arial" w:ascii="Arial" w:hAnsi="Arial"/>
        </w:rPr>
        <w:tab/>
        <w:t>Pagamento de verbas trabalhistas, fundiárias e previdenciárias, quando cabível;</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iii)</w:t>
      </w:r>
      <w:r>
        <w:rPr>
          <w:rFonts w:cs="Arial" w:ascii="Arial" w:hAnsi="Arial"/>
        </w:rPr>
        <w:tab/>
        <w:t>Pagamento das multas devidas à Administração Pública;</w:t>
      </w:r>
    </w:p>
    <w:p>
      <w:pPr>
        <w:pStyle w:val="ListParagraph"/>
        <w:tabs>
          <w:tab w:val="clear" w:pos="708"/>
          <w:tab w:val="left" w:pos="1701" w:leader="none"/>
        </w:tabs>
        <w:spacing w:lineRule="auto" w:line="240" w:before="0" w:after="0"/>
        <w:ind w:left="1134" w:hanging="0"/>
        <w:contextualSpacing/>
        <w:jc w:val="both"/>
        <w:rPr/>
      </w:pPr>
      <w:r>
        <w:rPr>
          <w:rFonts w:cs="Arial" w:ascii="Arial" w:hAnsi="Arial"/>
          <w:b/>
          <w:bCs/>
        </w:rPr>
        <w:t>iv)</w:t>
      </w:r>
      <w:r>
        <w:rPr>
          <w:rFonts w:cs="Arial" w:ascii="Arial" w:hAnsi="Arial"/>
        </w:rPr>
        <w:tab/>
        <w:t>Exigência da assunção da execução e da conclusão do objeto do contrato pela seguradora, quando cabível;</w:t>
      </w:r>
    </w:p>
    <w:p>
      <w:pPr>
        <w:pStyle w:val="ListParagraph"/>
        <w:tabs>
          <w:tab w:val="clear" w:pos="708"/>
          <w:tab w:val="left" w:pos="1134" w:leader="none"/>
        </w:tabs>
        <w:spacing w:lineRule="auto" w:line="240" w:before="0" w:after="0"/>
        <w:ind w:left="1134" w:hanging="0"/>
        <w:contextualSpacing/>
        <w:jc w:val="both"/>
        <w:rPr/>
      </w:pPr>
      <w:r>
        <w:rPr>
          <w:rFonts w:cs="Arial" w:ascii="Arial" w:hAnsi="Arial"/>
          <w:b/>
          <w:bCs/>
        </w:rPr>
        <w:t>v)</w:t>
      </w:r>
      <w:r>
        <w:rPr>
          <w:rFonts w:cs="Arial" w:ascii="Arial" w:hAnsi="Arial"/>
        </w:rPr>
        <w:t xml:space="preserve"> Retenção dos créditos decorrentes do contrato até o limite dos prejuízos causados à Administração Pública e das multas aplicadas.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19.1.9.4.1.</w:t>
      </w:r>
      <w:r>
        <w:rPr>
          <w:rFonts w:cs="Arial" w:ascii="Arial" w:hAnsi="Arial"/>
        </w:rPr>
        <w:t xml:space="preserve"> A aplicação das medidas previstas nos incisos I e II ficará a critério da Administração, que poderá dar continuidade à obra ou ao serviço por execução direta ou indireta.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bCs/>
        </w:rPr>
        <w:t>19.1.9.4.2.</w:t>
      </w:r>
      <w:r>
        <w:rPr>
          <w:rFonts w:cs="Arial" w:ascii="Arial" w:hAnsi="Arial"/>
        </w:rPr>
        <w:t xml:space="preserve"> Na hipótese do inciso II o ato deverá ser precedido de autorização expressa do secretário municipal competente.</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bCs/>
        </w:rPr>
        <w:t>19.1.9.5.</w:t>
      </w:r>
      <w:r>
        <w:rPr>
          <w:rFonts w:cs="Arial" w:ascii="Arial" w:hAnsi="Arial"/>
        </w:rPr>
        <w:t xml:space="preserve"> Os emitentes das garantias previstas no art. 96 da Lei nº 14.133/2021 serão notificados pelo </w:t>
      </w:r>
      <w:r>
        <w:rPr>
          <w:rFonts w:cs="Arial" w:ascii="Arial" w:hAnsi="Arial"/>
          <w:b/>
        </w:rPr>
        <w:t>CONTRATANTE</w:t>
      </w:r>
      <w:r>
        <w:rPr>
          <w:rFonts w:cs="Arial" w:ascii="Arial" w:hAnsi="Arial"/>
        </w:rPr>
        <w:t xml:space="preserve"> quanto ao início de processo administrativo para apuração de descumprimento de cláusulas contratuais.</w:t>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r>
    </w:p>
    <w:p>
      <w:pPr>
        <w:pStyle w:val="Normal"/>
        <w:tabs>
          <w:tab w:val="clear" w:pos="708"/>
          <w:tab w:val="left" w:pos="1134" w:leader="none"/>
        </w:tabs>
        <w:spacing w:lineRule="auto" w:line="240" w:before="0" w:after="0"/>
        <w:jc w:val="both"/>
        <w:rPr>
          <w:rFonts w:ascii="Arial" w:hAnsi="Arial" w:cs="Arial"/>
          <w:b/>
          <w:b/>
          <w:iCs/>
          <w:shd w:fill="C0C0C0" w:val="clear"/>
        </w:rPr>
      </w:pPr>
      <w:r>
        <w:rPr>
          <w:rFonts w:cs="Arial" w:ascii="Arial" w:hAnsi="Arial"/>
          <w:b/>
          <w:iCs/>
          <w:shd w:fill="C0C0C0" w:val="clear"/>
        </w:rPr>
        <w:t>19.2. GESTÃO E FISCALIZAÇÃO DO CONTRATO</w:t>
      </w:r>
    </w:p>
    <w:p>
      <w:pPr>
        <w:pStyle w:val="Normal"/>
        <w:tabs>
          <w:tab w:val="clear" w:pos="708"/>
          <w:tab w:val="left" w:pos="1134" w:leader="none"/>
        </w:tabs>
        <w:spacing w:lineRule="auto" w:line="240" w:before="0" w:after="0"/>
        <w:jc w:val="both"/>
        <w:rPr>
          <w:rFonts w:ascii="Arial" w:hAnsi="Arial" w:cs="Arial"/>
          <w:iCs/>
          <w:color w:val="000000"/>
        </w:rPr>
      </w:pPr>
      <w:r>
        <w:rPr>
          <w:rFonts w:cs="Arial" w:ascii="Arial" w:hAnsi="Arial"/>
          <w:iCs/>
          <w:color w:val="000000"/>
        </w:rPr>
      </w:r>
    </w:p>
    <w:p>
      <w:pPr>
        <w:pStyle w:val="Normal"/>
        <w:tabs>
          <w:tab w:val="clear" w:pos="708"/>
          <w:tab w:val="left" w:pos="1134" w:leader="none"/>
        </w:tabs>
        <w:spacing w:lineRule="auto" w:line="240" w:before="0" w:after="0"/>
        <w:jc w:val="both"/>
        <w:rPr>
          <w:rFonts w:ascii="Arial" w:hAnsi="Arial" w:cs="Arial"/>
          <w:iCs/>
          <w:color w:val="000000"/>
        </w:rPr>
      </w:pPr>
      <w:r>
        <w:rPr>
          <w:rFonts w:cs="Arial" w:ascii="Arial" w:hAnsi="Arial"/>
          <w:iCs/>
          <w:color w:val="000000"/>
        </w:rPr>
        <w:t>19.2.1. A fiscalização e gestão do contrato ocorre através de comissão responsável, formada por servidores do Município, os quais realizam a conferência do recebimento do produto ou serviço.</w:t>
      </w:r>
    </w:p>
    <w:p>
      <w:pPr>
        <w:pStyle w:val="Normal"/>
        <w:tabs>
          <w:tab w:val="clear" w:pos="708"/>
          <w:tab w:val="left" w:pos="1134" w:leader="none"/>
        </w:tabs>
        <w:spacing w:lineRule="auto" w:line="240" w:before="0" w:after="0"/>
        <w:jc w:val="both"/>
        <w:rPr>
          <w:rFonts w:ascii="Arial" w:hAnsi="Arial" w:eastAsia="Times New Roman" w:cs="Arial"/>
          <w:b/>
          <w:b/>
          <w:iCs/>
          <w:color w:val="FF0000"/>
          <w:shd w:fill="C0C0C0" w:val="clear"/>
          <w:lang w:eastAsia="pt-BR"/>
        </w:rPr>
      </w:pPr>
      <w:r>
        <w:rPr>
          <w:rFonts w:eastAsia="Times New Roman" w:cs="Arial" w:ascii="Arial" w:hAnsi="Arial"/>
          <w:b/>
          <w:iCs/>
          <w:color w:val="FF0000"/>
          <w:shd w:fill="C0C0C0" w:val="clear"/>
          <w:lang w:eastAsia="pt-BR"/>
        </w:rPr>
      </w:r>
    </w:p>
    <w:p>
      <w:pPr>
        <w:pStyle w:val="Normal"/>
        <w:widowControl w:val="false"/>
        <w:shd w:val="clear" w:color="auto" w:fill="AEAAAA"/>
        <w:tabs>
          <w:tab w:val="clear" w:pos="708"/>
          <w:tab w:val="left" w:pos="567" w:leader="none"/>
        </w:tabs>
        <w:spacing w:lineRule="auto" w:line="240" w:before="0" w:after="0"/>
        <w:jc w:val="both"/>
        <w:textAlignment w:val="baseline"/>
        <w:rPr>
          <w:rFonts w:ascii="Arial" w:hAnsi="Arial" w:eastAsia="Times New Roman" w:cs="Arial"/>
          <w:b/>
          <w:b/>
          <w:iCs/>
          <w:lang w:eastAsia="pt-BR"/>
        </w:rPr>
      </w:pPr>
      <w:r>
        <w:rPr>
          <w:rFonts w:eastAsia="Times New Roman" w:cs="Arial" w:ascii="Arial" w:hAnsi="Arial"/>
          <w:b/>
          <w:iCs/>
          <w:lang w:eastAsia="pt-BR"/>
        </w:rPr>
        <w:t>20. RECEBIMENTO DO OBJETO</w:t>
      </w:r>
    </w:p>
    <w:p>
      <w:pPr>
        <w:pStyle w:val="Normal"/>
        <w:spacing w:lineRule="auto" w:line="240" w:before="0" w:after="0"/>
        <w:jc w:val="both"/>
        <w:rPr>
          <w:rFonts w:ascii="Arial" w:hAnsi="Arial" w:eastAsia="Times New Roman" w:cs="Arial"/>
          <w:b/>
          <w:b/>
          <w:iCs/>
          <w:lang w:eastAsia="pt-BR"/>
        </w:rPr>
      </w:pPr>
      <w:r>
        <w:rPr>
          <w:rFonts w:eastAsia="Times New Roman" w:cs="Arial" w:ascii="Arial" w:hAnsi="Arial"/>
          <w:b/>
          <w:iCs/>
          <w:lang w:eastAsia="pt-BR"/>
        </w:rPr>
      </w:r>
    </w:p>
    <w:p>
      <w:pPr>
        <w:pStyle w:val="Normal"/>
        <w:spacing w:lineRule="auto" w:line="240" w:before="0" w:after="0"/>
        <w:jc w:val="both"/>
        <w:rPr/>
      </w:pPr>
      <w:r>
        <w:rPr>
          <w:rFonts w:eastAsia="Times New Roman" w:cs="Arial" w:ascii="Arial" w:hAnsi="Arial"/>
          <w:bCs/>
          <w:iCs/>
          <w:lang w:eastAsia="pt-BR"/>
        </w:rPr>
        <w:t>20.1.</w:t>
      </w:r>
      <w:r>
        <w:rPr>
          <w:rFonts w:eastAsia="Times New Roman" w:cs="Arial" w:ascii="Arial" w:hAnsi="Arial"/>
          <w:iCs/>
          <w:lang w:eastAsia="pt-BR"/>
        </w:rPr>
        <w:t xml:space="preserve"> O objeto será recebido </w:t>
      </w:r>
      <w:r>
        <w:rPr>
          <w:rFonts w:cs="Arial" w:ascii="Arial" w:hAnsi="Arial"/>
        </w:rPr>
        <w:t>junto aos departamentos e secretarias municipais, nas datas, horários e locais determinados pelo solicitante.</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b/>
          <w:b/>
          <w:iCs/>
          <w:lang w:eastAsia="pt-BR"/>
        </w:rPr>
      </w:pPr>
      <w:r>
        <w:rPr>
          <w:rFonts w:eastAsia="Times New Roman" w:cs="Arial" w:ascii="Arial" w:hAnsi="Arial"/>
          <w:b/>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lang w:eastAsia="pt-BR"/>
        </w:rPr>
        <w:t>20.2.</w:t>
      </w:r>
      <w:r>
        <w:rPr>
          <w:rFonts w:eastAsia="Times New Roman" w:cs="Arial" w:ascii="Arial" w:hAnsi="Arial"/>
          <w:iCs/>
          <w:lang w:eastAsia="pt-BR"/>
        </w:rPr>
        <w:t xml:space="preserve"> O objeto do contrato poderá ser rejeitado, no todo ou em parte, quando estiver em desacordo com 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lang w:eastAsia="pt-BR"/>
        </w:rPr>
        <w:t>20.3.</w:t>
      </w:r>
      <w:r>
        <w:rPr>
          <w:rFonts w:eastAsia="Times New Roman" w:cs="Arial" w:ascii="Arial" w:hAnsi="Arial"/>
          <w:iCs/>
          <w:lang w:eastAsia="pt-BR"/>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lang w:eastAsia="pt-BR"/>
        </w:rPr>
      </w:pPr>
      <w:r>
        <w:rPr>
          <w:rFonts w:eastAsia="Times New Roman" w:cs="Arial" w:ascii="Arial" w:hAnsi="Arial"/>
          <w:iCs/>
          <w:lang w:eastAsia="pt-BR"/>
        </w:rPr>
      </w:r>
    </w:p>
    <w:p>
      <w:pPr>
        <w:pStyle w:val="Normal"/>
        <w:widowControl w:val="false"/>
        <w:tabs>
          <w:tab w:val="clear" w:pos="708"/>
          <w:tab w:val="left" w:pos="567" w:leader="none"/>
        </w:tabs>
        <w:spacing w:lineRule="auto" w:line="240" w:before="0" w:after="0"/>
        <w:contextualSpacing/>
        <w:jc w:val="both"/>
        <w:textAlignment w:val="baseline"/>
        <w:rPr/>
      </w:pPr>
      <w:r>
        <w:rPr>
          <w:rFonts w:eastAsia="Times New Roman" w:cs="Arial" w:ascii="Arial" w:hAnsi="Arial"/>
          <w:bCs/>
          <w:iCs/>
          <w:color w:val="000000"/>
          <w:lang w:eastAsia="pt-BR"/>
        </w:rPr>
        <w:t>20.4.</w:t>
      </w:r>
      <w:r>
        <w:rPr>
          <w:rFonts w:eastAsia="Times New Roman" w:cs="Arial" w:ascii="Arial" w:hAnsi="Arial"/>
          <w:iCs/>
          <w:color w:val="000000"/>
          <w:lang w:eastAsia="pt-BR"/>
        </w:rPr>
        <w:t xml:space="preserve"> Os prazos e os métodos para a realização dos recebimentos provisório e definitivo serão, conforme regulamento municipal 0041/2023.</w:t>
      </w:r>
    </w:p>
    <w:p>
      <w:pPr>
        <w:pStyle w:val="Normal"/>
        <w:widowControl w:val="false"/>
        <w:tabs>
          <w:tab w:val="clear" w:pos="708"/>
          <w:tab w:val="left" w:pos="567" w:leader="none"/>
        </w:tabs>
        <w:spacing w:lineRule="auto" w:line="240" w:before="0" w:after="0"/>
        <w:contextualSpacing/>
        <w:jc w:val="both"/>
        <w:textAlignment w:val="baseline"/>
        <w:rPr>
          <w:rFonts w:ascii="Arial" w:hAnsi="Arial" w:eastAsia="Times New Roman" w:cs="Arial"/>
          <w:iCs/>
          <w:color w:val="FF0000"/>
          <w:lang w:eastAsia="pt-BR"/>
        </w:rPr>
      </w:pPr>
      <w:r>
        <w:rPr>
          <w:rFonts w:eastAsia="Times New Roman" w:cs="Arial" w:ascii="Arial" w:hAnsi="Arial"/>
          <w:iCs/>
          <w:color w:val="FF0000"/>
          <w:lang w:eastAsia="pt-BR"/>
        </w:rPr>
      </w:r>
    </w:p>
    <w:p>
      <w:pPr>
        <w:pStyle w:val="Normal"/>
        <w:spacing w:lineRule="auto" w:line="240" w:before="0" w:after="0"/>
        <w:jc w:val="both"/>
        <w:rPr/>
      </w:pPr>
      <w:r>
        <w:rPr>
          <w:rFonts w:eastAsia="Times New Roman" w:cs="Arial" w:ascii="Arial" w:hAnsi="Arial"/>
          <w:bCs/>
          <w:iCs/>
          <w:lang w:eastAsia="pt-BR"/>
        </w:rPr>
        <w:t>20.5.</w:t>
      </w:r>
      <w:r>
        <w:rPr>
          <w:rFonts w:eastAsia="Times New Roman" w:cs="Arial" w:ascii="Arial" w:hAnsi="Arial"/>
          <w:iCs/>
          <w:lang w:eastAsia="pt-BR"/>
        </w:rPr>
        <w:t xml:space="preserve"> Os ensaios, os testes e as demais provas para aferição da boa execução do objeto do contrato exigidos por normas técnicas oficiais correrão por conta do contratado.</w:t>
      </w:r>
    </w:p>
    <w:p>
      <w:pPr>
        <w:pStyle w:val="Normal"/>
        <w:spacing w:lineRule="auto" w:line="240" w:before="0" w:after="0"/>
        <w:jc w:val="both"/>
        <w:rPr>
          <w:rFonts w:ascii="Arial" w:hAnsi="Arial" w:eastAsia="Times New Roman" w:cs="Arial"/>
          <w:b/>
          <w:b/>
          <w:iCs/>
          <w:color w:val="000000"/>
          <w:lang w:eastAsia="pt-BR"/>
        </w:rPr>
      </w:pPr>
      <w:r>
        <w:rPr>
          <w:rFonts w:eastAsia="Times New Roman" w:cs="Arial" w:ascii="Arial" w:hAnsi="Arial"/>
          <w:b/>
          <w:iCs/>
          <w:color w:val="000000"/>
          <w:lang w:eastAsia="pt-BR"/>
        </w:rPr>
      </w:r>
    </w:p>
    <w:p>
      <w:pPr>
        <w:pStyle w:val="Normal"/>
        <w:spacing w:lineRule="auto" w:line="240" w:before="0" w:after="0"/>
        <w:jc w:val="both"/>
        <w:rPr/>
      </w:pPr>
      <w:r>
        <w:rPr>
          <w:rFonts w:eastAsia="Times New Roman" w:cs="Arial" w:ascii="Arial" w:hAnsi="Arial"/>
          <w:bCs/>
          <w:iCs/>
          <w:color w:val="000000"/>
          <w:lang w:eastAsia="pt-BR"/>
        </w:rPr>
        <w:t>20.6.</w:t>
      </w:r>
      <w:r>
        <w:rPr>
          <w:rFonts w:eastAsia="Times New Roman" w:cs="Arial" w:ascii="Arial" w:hAnsi="Arial"/>
          <w:iCs/>
          <w:color w:val="000000"/>
          <w:lang w:eastAsia="pt-BR"/>
        </w:rPr>
        <w:t xml:space="preserve"> O recebimento definitivo pela Administração não eximirá o contratado, pelo prazo mínimo de 05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pPr>
        <w:pStyle w:val="Normal"/>
        <w:spacing w:lineRule="auto" w:line="240" w:before="0" w:after="0"/>
        <w:jc w:val="both"/>
        <w:rPr>
          <w:rFonts w:ascii="Arial" w:hAnsi="Arial" w:eastAsia="Times New Roman" w:cs="Arial"/>
          <w:iCs/>
          <w:lang w:eastAsia="pt-BR"/>
        </w:rPr>
      </w:pPr>
      <w:r>
        <w:rPr>
          <w:rFonts w:eastAsia="Times New Roman" w:cs="Arial" w:ascii="Arial" w:hAnsi="Arial"/>
          <w:iCs/>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21. PAGAMENTO DO OBJETO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21.1.</w:t>
      </w:r>
      <w:r>
        <w:rPr>
          <w:rFonts w:cs="Arial" w:ascii="Arial" w:hAnsi="Arial"/>
        </w:rPr>
        <w:t xml:space="preserve"> No dever de pagamento pela Administração Pública Municipal, será observada a ordem cronológica para cada fonte diferenciada de recursos, subdividida nas seguintes categorias de contratos: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Fornecimento de bens;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Locações;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Prestação de serviços;</w:t>
      </w:r>
    </w:p>
    <w:p>
      <w:pPr>
        <w:pStyle w:val="ListParagraph"/>
        <w:numPr>
          <w:ilvl w:val="0"/>
          <w:numId w:val="30"/>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Realização de obras.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21.2.</w:t>
      </w:r>
      <w:r>
        <w:rPr>
          <w:rFonts w:cs="Arial" w:ascii="Arial" w:hAnsi="Arial"/>
        </w:rPr>
        <w:t xml:space="preserve"> A ordem cronológica poderá ser alterada, mediante prévia justificativa da autoridade competente e posterior comunicação ao órgão de controle interno da Administração Pública Municipal e ao Tribunal de Contas de Santa Catarina – TCE/SC, exclusivamente nas seguintes situações:</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Grave perturbação da ordem, situação de emergência ou calamidade pública;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a microempresa, empresa de pequeno porte, agricultor familiar, produtor rural pessoa física, microempreendedor individual e sociedade cooperativa, desde que demonstrado o risco de descontinuidade do cumprimento do objeto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serviços necessários ao funcionamento dos sistemas estruturantes, desde que demonstrado o risco de descontinuidade do cumprimento do objeto do contrato;</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direitos oriundos de contratos em caso de falência, recuperação judicial ou dissolução da empresa contratada;</w:t>
      </w:r>
    </w:p>
    <w:p>
      <w:pPr>
        <w:pStyle w:val="ListParagraph"/>
        <w:numPr>
          <w:ilvl w:val="0"/>
          <w:numId w:val="31"/>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21.3.</w:t>
      </w:r>
      <w:r>
        <w:rPr>
          <w:rFonts w:cs="Arial" w:ascii="Arial" w:hAnsi="Arial"/>
        </w:rPr>
        <w:t xml:space="preserve"> A inobservância imotivada da ordem cronológica ensejará a apuração de responsabilidade do agente responsável, cabendo aos órgãos de controle a sua fiscalização.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21.4.</w:t>
      </w:r>
      <w:r>
        <w:rPr>
          <w:rFonts w:cs="Arial" w:ascii="Arial" w:hAnsi="Arial"/>
        </w:rPr>
        <w:t xml:space="preserve"> A Administração Pública Municipal deverá disponibilizar, mensalmente, em seção específica de acesso à informação em seu sítio na internet, a ordem cronológica de seus pagamentos, bem como as justificativas que fundamentarem a eventual alteração dessa ordem.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21.5.</w:t>
      </w:r>
      <w:r>
        <w:rPr>
          <w:rFonts w:cs="Arial" w:ascii="Arial" w:hAnsi="Arial"/>
          <w:b/>
        </w:rPr>
        <w:t xml:space="preserve"> </w:t>
      </w:r>
      <w:r>
        <w:rPr>
          <w:rFonts w:cs="Arial" w:ascii="Arial" w:hAnsi="Arial"/>
        </w:rPr>
        <w:t>No caso de controvérsia sobre a execução do objeto, quanto a dimensão, qualidade e quantidade, a parcela incontroversa deverá ser liberada no prazo previsto para pagamento.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w:t>
      </w:r>
      <w:r>
        <w:rPr>
          <w:rFonts w:cs="Arial" w:ascii="Arial" w:hAnsi="Arial"/>
        </w:rPr>
        <w:t xml:space="preserve"> Não será permitido pagamento antecipado, parcial ou total, relativo a parcelas contratuais vinculadas ao fornecimento de bens, à execução de obras ou à prestação de serviços.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21.6.1.</w:t>
      </w:r>
      <w:r>
        <w:rPr>
          <w:rFonts w:cs="Arial" w:ascii="Arial" w:hAnsi="Arial"/>
        </w:rPr>
        <w:t xml:space="preserve"> A antecipação de pagamento somente será permitida se propiciar sensível economia de recursos ou se representar condição indispensável para a obtenção do bem ou para a prestação do serviço, hipótese que deverá ser </w:t>
      </w:r>
      <w:r>
        <w:rPr>
          <w:rFonts w:cs="Arial" w:ascii="Arial" w:hAnsi="Arial"/>
          <w:b/>
          <w:u w:val="single"/>
        </w:rPr>
        <w:t>previamente justificada</w:t>
      </w:r>
      <w:r>
        <w:rPr>
          <w:rFonts w:cs="Arial" w:ascii="Arial" w:hAnsi="Arial"/>
        </w:rPr>
        <w:t xml:space="preserve"> no processo licitatório.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21.6.2.</w:t>
      </w:r>
      <w:r>
        <w:rPr>
          <w:rFonts w:cs="Arial" w:ascii="Arial" w:hAnsi="Arial"/>
        </w:rPr>
        <w:t xml:space="preserve"> Caso o objeto não seja executado no prazo contratual, o valor antecipado deverá ser devolvido.</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21.7.</w:t>
      </w:r>
      <w:r>
        <w:rPr>
          <w:rFonts w:cs="Arial" w:ascii="Arial" w:hAnsi="Arial"/>
        </w:rPr>
        <w:t xml:space="preserve"> No ato de liquidação da despesa, os serviços de contabilidade comunicarão aos órgãos da administração tributária as características da despesa e os valores pagos, conforme o disposto no art. 63 da </w:t>
      </w:r>
      <w:hyperlink r:id="rId20">
        <w:r>
          <w:rPr>
            <w:rStyle w:val="LinkdaInternet"/>
            <w:rFonts w:cs="Arial" w:ascii="Arial" w:hAnsi="Arial"/>
          </w:rPr>
          <w:t>Lei nº 4.320, de 17 de março de 1964</w:t>
        </w:r>
      </w:hyperlink>
      <w:r>
        <w:rPr>
          <w:rFonts w:cs="Arial" w:ascii="Arial" w:hAnsi="Arial"/>
        </w:rPr>
        <w:t xml:space="preserve"> – Estatui Normas Gerais de Direito Financeiro para elaboração e controle dos orçamentos e balanços da União, dos Estados, dos Municípios e do Distrito.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t xml:space="preserve">21.8. O pagamento da Nota Fiscal será efetuado em até 30 (trinta) dias após o aceite da medição/produto, de acordo com o Processo SEI de Gestão-Certificação de Documento Fiscal. </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color w:val="000000"/>
          <w:lang w:eastAsia="pt-BR"/>
        </w:rPr>
      </w:pPr>
      <w:r>
        <w:rPr>
          <w:rFonts w:eastAsia="Times New Roman" w:cs="Arial" w:ascii="Arial" w:hAnsi="Arial"/>
          <w:color w:val="000000"/>
          <w:lang w:eastAsia="pt-BR"/>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22. PENALIDADES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22.1.</w:t>
      </w:r>
      <w:r>
        <w:rPr>
          <w:rFonts w:cs="Arial" w:ascii="Arial" w:hAnsi="Arial"/>
          <w:b/>
          <w:bCs/>
        </w:rPr>
        <w:t xml:space="preserve"> </w:t>
      </w:r>
      <w:r>
        <w:rPr>
          <w:rFonts w:cs="Arial" w:ascii="Arial" w:hAnsi="Arial"/>
        </w:rPr>
        <w:t>O licitante ou o contratado será responsabilizado administrativamente pelas seguintes infrações, com aplicação das seguintes sanções:</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69" w:name="art155i"/>
      <w:bookmarkEnd w:id="69"/>
      <w:r>
        <w:rPr>
          <w:rFonts w:cs="Arial" w:ascii="Arial" w:hAnsi="Arial"/>
        </w:rPr>
        <w:t>Dar causa à inexecução parcial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0" w:name="art155ii"/>
      <w:bookmarkEnd w:id="70"/>
      <w:r>
        <w:rPr>
          <w:rFonts w:cs="Arial" w:ascii="Arial" w:hAnsi="Arial"/>
        </w:rPr>
        <w:t>Dar causa à inexecução parcial do contrato que cause grave dano à Administração, ao funcionamento dos serviços públicos ou ao interesse coletivo;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1" w:name="art155iii"/>
      <w:bookmarkEnd w:id="71"/>
      <w:r>
        <w:rPr>
          <w:rFonts w:cs="Arial" w:ascii="Arial" w:hAnsi="Arial"/>
        </w:rPr>
        <w:t>Dar causa à inexecução total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2" w:name="art155iv"/>
      <w:bookmarkEnd w:id="72"/>
      <w:r>
        <w:rPr>
          <w:rFonts w:cs="Arial" w:ascii="Arial" w:hAnsi="Arial"/>
        </w:rPr>
        <w:t>Deixar de entregar a documentação exigida para o certame;</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3" w:name="art155v"/>
      <w:bookmarkEnd w:id="73"/>
      <w:r>
        <w:rPr>
          <w:rFonts w:cs="Arial" w:ascii="Arial" w:hAnsi="Arial"/>
        </w:rPr>
        <w:t>Não manter a proposta, salvo em decorrência de fato superveniente devidamente justificado;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4" w:name="art155vi"/>
      <w:bookmarkEnd w:id="74"/>
      <w:r>
        <w:rPr>
          <w:rFonts w:cs="Arial" w:ascii="Arial" w:hAnsi="Arial"/>
        </w:rPr>
        <w:t>Não celebrar o contrato ou não entregar a documentação exigida para a contratação, quando convocado dentro do prazo de validade de sua proposta;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5" w:name="art155vii"/>
      <w:bookmarkEnd w:id="75"/>
      <w:r>
        <w:rPr>
          <w:rFonts w:cs="Arial" w:ascii="Arial" w:hAnsi="Arial"/>
        </w:rPr>
        <w:t>Ensejar o retardamento da execução ou da entrega do objeto da licitação sem motivo justificado;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6" w:name="art155viii"/>
      <w:bookmarkEnd w:id="76"/>
      <w:r>
        <w:rPr>
          <w:rFonts w:cs="Arial" w:ascii="Arial" w:hAnsi="Arial"/>
        </w:rPr>
        <w:t>Apresentar declaração ou documentação falsa exigida para o certame ou prestar declaração falsa durante a licitação ou a execução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7" w:name="art155ix"/>
      <w:bookmarkEnd w:id="77"/>
      <w:r>
        <w:rPr>
          <w:rFonts w:cs="Arial" w:ascii="Arial" w:hAnsi="Arial"/>
        </w:rPr>
        <w:t>Fraudar a licitação ou praticar ato fraudulento na execução do contrato;</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8" w:name="art155x"/>
      <w:bookmarkEnd w:id="78"/>
      <w:r>
        <w:rPr>
          <w:rFonts w:cs="Arial" w:ascii="Arial" w:hAnsi="Arial"/>
        </w:rPr>
        <w:t>Comportar-se de modo inidôneo ou cometer fraude de qualquer natureza;</w:t>
      </w:r>
    </w:p>
    <w:p>
      <w:pPr>
        <w:pStyle w:val="ListParagraph"/>
        <w:numPr>
          <w:ilvl w:val="0"/>
          <w:numId w:val="32"/>
        </w:numPr>
        <w:tabs>
          <w:tab w:val="clear" w:pos="708"/>
          <w:tab w:val="left" w:pos="1134" w:leader="none"/>
        </w:tabs>
        <w:spacing w:lineRule="auto" w:line="240" w:before="0" w:after="0"/>
        <w:ind w:left="567" w:hanging="0"/>
        <w:contextualSpacing/>
        <w:jc w:val="both"/>
        <w:rPr>
          <w:rFonts w:ascii="Arial" w:hAnsi="Arial" w:cs="Arial"/>
        </w:rPr>
      </w:pPr>
      <w:bookmarkStart w:id="79" w:name="art155xi"/>
      <w:bookmarkEnd w:id="79"/>
      <w:r>
        <w:rPr>
          <w:rFonts w:cs="Arial" w:ascii="Arial" w:hAnsi="Arial"/>
        </w:rPr>
        <w:t>Praticar atos ilícitos com vistas a frustrar os objetivos da licitação;</w:t>
      </w:r>
    </w:p>
    <w:p>
      <w:pPr>
        <w:pStyle w:val="ListParagraph"/>
        <w:numPr>
          <w:ilvl w:val="0"/>
          <w:numId w:val="32"/>
        </w:numPr>
        <w:tabs>
          <w:tab w:val="clear" w:pos="708"/>
          <w:tab w:val="left" w:pos="1134" w:leader="none"/>
        </w:tabs>
        <w:spacing w:lineRule="auto" w:line="240" w:before="0" w:after="0"/>
        <w:ind w:left="567" w:hanging="0"/>
        <w:contextualSpacing/>
        <w:jc w:val="both"/>
        <w:rPr/>
      </w:pPr>
      <w:bookmarkStart w:id="80" w:name="art155xii"/>
      <w:bookmarkEnd w:id="80"/>
      <w:r>
        <w:rPr>
          <w:rFonts w:cs="Arial" w:ascii="Arial" w:hAnsi="Arial"/>
        </w:rPr>
        <w:t xml:space="preserve">Praticar ato lesivo previsto no art. 5º da </w:t>
      </w:r>
      <w:hyperlink r:id="rId21">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81" w:name="art156"/>
      <w:bookmarkStart w:id="82" w:name="art156"/>
      <w:bookmarkEnd w:id="82"/>
    </w:p>
    <w:p>
      <w:pPr>
        <w:pStyle w:val="Normal"/>
        <w:tabs>
          <w:tab w:val="clear" w:pos="708"/>
          <w:tab w:val="left" w:pos="1134" w:leader="none"/>
        </w:tabs>
        <w:spacing w:lineRule="auto" w:line="240" w:before="0" w:after="0"/>
        <w:jc w:val="both"/>
        <w:rPr/>
      </w:pPr>
      <w:r>
        <w:rPr>
          <w:rFonts w:cs="Arial" w:ascii="Arial" w:hAnsi="Arial"/>
          <w:bCs/>
        </w:rPr>
        <w:t>22.2.</w:t>
      </w:r>
      <w:r>
        <w:rPr>
          <w:rFonts w:cs="Arial" w:ascii="Arial" w:hAnsi="Arial"/>
        </w:rPr>
        <w:t xml:space="preserve"> Serão aplicadas as seguintes sanções às penalidades acima indicadas:</w:t>
      </w:r>
    </w:p>
    <w:tbl>
      <w:tblPr>
        <w:tblW w:w="850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561"/>
        <w:gridCol w:w="3687"/>
        <w:gridCol w:w="4252"/>
      </w:tblGrid>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Advertência (art. 156, § 2º).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Quando não se justificar a imposição de penalidade mais grave</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2: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 xml:space="preserve">Multa de </w:t>
            </w:r>
            <w:r>
              <w:rPr>
                <w:rFonts w:cs="Arial" w:ascii="Arial" w:hAnsi="Arial"/>
                <w:color w:val="000000"/>
              </w:rPr>
              <w:t>10%.</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Qualquer infração (art. 156, § 3º).</w:t>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 xml:space="preserve">Impedimento de licitar e contratar no âmbito da Administração Pública direta e indireta do Município de </w:t>
            </w:r>
            <w:r>
              <w:rPr>
                <w:rFonts w:cs="Arial" w:ascii="Arial" w:hAnsi="Arial"/>
                <w:color w:val="000000"/>
              </w:rPr>
              <w:t>Itá-SC</w:t>
            </w:r>
            <w:r>
              <w:rPr>
                <w:rFonts w:cs="Arial" w:ascii="Arial" w:hAnsi="Arial"/>
              </w:rPr>
              <w:t>, pelo prazo máximo de 3 (três) anos (art. 156, § 4º).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IV</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Quando não se justificar a imposição de penalidade mais grave.</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2: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r>
        <w:trPr/>
        <w:tc>
          <w:tcPr>
            <w:tcW w:w="561"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34"/>
              </w:numPr>
              <w:spacing w:lineRule="auto" w:line="240" w:before="0" w:after="0"/>
              <w:ind w:left="299" w:hanging="345"/>
              <w:contextualSpacing/>
              <w:jc w:val="both"/>
              <w:rPr>
                <w:rFonts w:ascii="Arial" w:hAnsi="Arial" w:cs="Arial"/>
              </w:rPr>
            </w:pPr>
            <w:r>
              <w:rPr>
                <w:rFonts w:cs="Arial" w:ascii="Arial" w:hAnsi="Arial"/>
              </w:rPr>
            </w:r>
          </w:p>
        </w:tc>
        <w:tc>
          <w:tcPr>
            <w:tcW w:w="36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Declaração de inidoneidade para licitar ou contratar no âmbito da Administração Pública direta e indireta de todos os entes federativos, pelo prazo mínimo de 3 (três) anos e máximo de 6 (seis) anos (art. 156, § 5º).</w:t>
            </w:r>
          </w:p>
        </w:tc>
        <w:tc>
          <w:tcPr>
            <w:tcW w:w="42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VIII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IX</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XII</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t>Obs. 1: Pode ser aplicada cumulativamente com multa (art. 156, § 7º).</w:t>
            </w:r>
          </w:p>
          <w:p>
            <w:pPr>
              <w:pStyle w:val="Normal"/>
              <w:widowControl w:val="false"/>
              <w:tabs>
                <w:tab w:val="clear" w:pos="708"/>
                <w:tab w:val="left" w:pos="1134" w:leader="none"/>
              </w:tabs>
              <w:spacing w:lineRule="auto" w:line="240" w:before="0" w:after="0"/>
              <w:jc w:val="both"/>
              <w:rPr>
                <w:rFonts w:ascii="Arial" w:hAnsi="Arial" w:cs="Arial"/>
              </w:rPr>
            </w:pPr>
            <w:r>
              <w:rPr>
                <w:rFonts w:cs="Arial" w:ascii="Arial" w:hAnsi="Arial"/>
              </w:rPr>
            </w:r>
          </w:p>
        </w:tc>
      </w:tr>
    </w:tbl>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22.3.</w:t>
      </w:r>
      <w:r>
        <w:rPr>
          <w:rFonts w:cs="Arial" w:ascii="Arial" w:hAnsi="Arial"/>
        </w:rPr>
        <w:t xml:space="preserve"> Na aplicação das sanções serão considerados:</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natureza e a gravidade da infração cometida;</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peculiaridades do caso concreto;</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As circunstâncias agravantes ou atenuantes;</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Os danos que dela provierem para a Administração Pública;</w:t>
      </w:r>
    </w:p>
    <w:p>
      <w:pPr>
        <w:pStyle w:val="ListParagraph"/>
        <w:numPr>
          <w:ilvl w:val="0"/>
          <w:numId w:val="33"/>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A implantação ou o aperfeiçoamento de programa de integridade, conforme normas e orientações dos órgãos de controle.</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22.4.</w:t>
      </w:r>
      <w:r>
        <w:rPr>
          <w:rFonts w:cs="Arial" w:ascii="Arial" w:hAnsi="Arial"/>
        </w:rPr>
        <w:t xml:space="preserve"> Para aplicação das sanções:</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Inciso II do item 22.1: será facultada a defesa do interessado no prazo de 15 (quinze) dias úteis, contado da data de sua intimação;</w:t>
      </w:r>
    </w:p>
    <w:p>
      <w:pPr>
        <w:pStyle w:val="ListParagraph"/>
        <w:numPr>
          <w:ilvl w:val="0"/>
          <w:numId w:val="35"/>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 xml:space="preserve">Incisos III e IV do item 22.1: </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Instauração de processo de responsabilização, a ser conduzido por comissão composta de 2 (dois) ou mais servidores estáveis, que avaliará fatos e circunstâncias conhecidos;</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O licitante ou o contratado será intimada para, no prazo de 15 (quinze) dias úteis, contado da data de intimação, apresentar defesa escrita e especificar as provas que pretenda produzir;</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Serão indeferidas pela comissão, mediante decisão fundamentada, provas ilícitas, impertinentes, desnecessárias, protelatórias ou intempestivas;</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sanção prevista no inciso IV do item 2</w:t>
      </w:r>
      <w:r>
        <w:rPr>
          <w:rFonts w:cs="Arial" w:ascii="Arial" w:hAnsi="Arial"/>
        </w:rPr>
        <w:t>2</w:t>
      </w:r>
      <w:r>
        <w:rPr>
          <w:rFonts w:cs="Arial" w:ascii="Arial" w:hAnsi="Arial"/>
        </w:rPr>
        <w:t>.1 será precedida de análise jurídica e será de competência exclusiva de secretário municipal;</w:t>
      </w:r>
    </w:p>
    <w:p>
      <w:pPr>
        <w:pStyle w:val="ListParagraph"/>
        <w:numPr>
          <w:ilvl w:val="1"/>
          <w:numId w:val="35"/>
        </w:numPr>
        <w:tabs>
          <w:tab w:val="clear" w:pos="708"/>
          <w:tab w:val="left" w:pos="1701" w:leader="none"/>
        </w:tabs>
        <w:spacing w:lineRule="auto" w:line="240" w:before="0" w:after="0"/>
        <w:ind w:left="1134" w:hanging="0"/>
        <w:contextualSpacing/>
        <w:jc w:val="both"/>
        <w:rPr>
          <w:rFonts w:ascii="Arial" w:hAnsi="Arial" w:cs="Arial"/>
        </w:rPr>
      </w:pPr>
      <w:r>
        <w:rPr>
          <w:rFonts w:cs="Arial" w:ascii="Arial" w:hAnsi="Arial"/>
        </w:rPr>
        <w:t>A prescrição ocorrerá em 5 (cinco) anos, contados da ciência da infração pela Administração Pública Municipal, e será:</w:t>
      </w:r>
    </w:p>
    <w:p>
      <w:pPr>
        <w:pStyle w:val="ListParagraph"/>
        <w:numPr>
          <w:ilvl w:val="2"/>
          <w:numId w:val="35"/>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Interrompida pela instauração do processo de responsabilização a que se refere este item;</w:t>
      </w:r>
    </w:p>
    <w:p>
      <w:pPr>
        <w:pStyle w:val="ListParagraph"/>
        <w:numPr>
          <w:ilvl w:val="2"/>
          <w:numId w:val="35"/>
        </w:numPr>
        <w:tabs>
          <w:tab w:val="clear" w:pos="708"/>
          <w:tab w:val="left" w:pos="2268" w:leader="none"/>
        </w:tabs>
        <w:spacing w:lineRule="auto" w:line="240" w:before="0" w:after="0"/>
        <w:ind w:left="1418" w:firstLine="284"/>
        <w:contextualSpacing/>
        <w:jc w:val="both"/>
        <w:rPr/>
      </w:pPr>
      <w:r>
        <w:rPr>
          <w:rFonts w:cs="Arial" w:ascii="Arial" w:hAnsi="Arial"/>
        </w:rPr>
        <w:t xml:space="preserve">Suspensa pela celebração de acordo de leniência previsto na </w:t>
      </w:r>
      <w:hyperlink r:id="rId22">
        <w:r>
          <w:rPr>
            <w:rStyle w:val="LinkdaInternet"/>
            <w:rFonts w:cs="Arial" w:ascii="Arial" w:hAnsi="Arial"/>
          </w:rPr>
          <w:t>Lei nº 12.846, de 1º de agosto de 2013</w:t>
        </w:r>
      </w:hyperlink>
      <w:r>
        <w:rPr>
          <w:rFonts w:cs="Arial" w:ascii="Arial" w:hAnsi="Arial"/>
        </w:rPr>
        <w:t xml:space="preserve"> – Dispõe sobre a responsabilização administrativa e civil de pessoas jurídicas pela prática de atos contra a administração pública, nacional ou estrangeira, e dá outras providências; </w:t>
      </w:r>
    </w:p>
    <w:p>
      <w:pPr>
        <w:pStyle w:val="ListParagraph"/>
        <w:numPr>
          <w:ilvl w:val="2"/>
          <w:numId w:val="35"/>
        </w:numPr>
        <w:tabs>
          <w:tab w:val="clear" w:pos="708"/>
          <w:tab w:val="left" w:pos="2268" w:leader="none"/>
        </w:tabs>
        <w:spacing w:lineRule="auto" w:line="240" w:before="0" w:after="0"/>
        <w:ind w:left="1418" w:firstLine="284"/>
        <w:contextualSpacing/>
        <w:jc w:val="both"/>
        <w:rPr>
          <w:rFonts w:ascii="Arial" w:hAnsi="Arial" w:cs="Arial"/>
        </w:rPr>
      </w:pPr>
      <w:r>
        <w:rPr>
          <w:rFonts w:cs="Arial" w:ascii="Arial" w:hAnsi="Arial"/>
        </w:rPr>
        <w:t>Suspensa por decisão judicial que inviabilize a conclusão da apuração administrativa.</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22.5.</w:t>
      </w:r>
      <w:r>
        <w:rPr>
          <w:rFonts w:cs="Arial" w:ascii="Arial" w:hAnsi="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rPr>
        <w:t>22.6.</w:t>
      </w:r>
      <w:r>
        <w:rPr>
          <w:rFonts w:cs="Arial" w:ascii="Arial" w:hAnsi="Arial"/>
        </w:rPr>
        <w:t xml:space="preserve"> A aplicação das sanções não exclui, em hipótese alguma, a obrigação de reparação integral do dano causado à Administração Pública Municipal.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83" w:name="art157"/>
      <w:bookmarkEnd w:id="83"/>
      <w:r>
        <w:rPr>
          <w:rFonts w:cs="Arial" w:ascii="Arial" w:hAnsi="Arial"/>
          <w:bCs/>
        </w:rPr>
        <w:t>22.7.</w:t>
      </w:r>
      <w:r>
        <w:rPr>
          <w:rFonts w:cs="Arial" w:ascii="Arial" w:hAnsi="Arial"/>
          <w:b/>
        </w:rPr>
        <w:t xml:space="preserve"> </w:t>
      </w:r>
      <w:bookmarkStart w:id="84" w:name="art159"/>
      <w:bookmarkStart w:id="85" w:name="art158§4"/>
      <w:bookmarkStart w:id="86" w:name="art158§3"/>
      <w:bookmarkStart w:id="87" w:name="art158§2"/>
      <w:bookmarkStart w:id="88" w:name="art158§1"/>
      <w:bookmarkStart w:id="89" w:name="art158"/>
      <w:bookmarkEnd w:id="84"/>
      <w:bookmarkEnd w:id="85"/>
      <w:bookmarkEnd w:id="86"/>
      <w:bookmarkEnd w:id="87"/>
      <w:bookmarkEnd w:id="88"/>
      <w:bookmarkEnd w:id="89"/>
      <w:r>
        <w:rPr>
          <w:rFonts w:cs="Arial" w:ascii="Arial" w:hAnsi="Arial"/>
        </w:rPr>
        <w:t>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0" w:name="art160"/>
      <w:bookmarkStart w:id="91" w:name="art159p"/>
      <w:bookmarkEnd w:id="90"/>
      <w:bookmarkEnd w:id="91"/>
      <w:r>
        <w:rPr>
          <w:rFonts w:cs="Arial" w:ascii="Arial" w:hAnsi="Arial"/>
          <w:bCs/>
        </w:rPr>
        <w:t>22.8.</w:t>
      </w:r>
      <w:r>
        <w:rPr>
          <w:rFonts w:cs="Arial" w:ascii="Arial" w:hAnsi="Arial"/>
          <w:b/>
        </w:rPr>
        <w:t xml:space="preserve"> </w:t>
      </w:r>
      <w:r>
        <w:rPr>
          <w:rFonts w:cs="Arial" w:ascii="Arial" w:hAnsi="Arial"/>
        </w:rPr>
        <w:t>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2" w:name="art161"/>
      <w:bookmarkEnd w:id="92"/>
      <w:r>
        <w:rPr>
          <w:rFonts w:cs="Arial" w:ascii="Arial" w:hAnsi="Arial"/>
          <w:bCs/>
        </w:rPr>
        <w:t>22.9.</w:t>
      </w:r>
      <w:r>
        <w:rPr>
          <w:rFonts w:cs="Arial" w:ascii="Arial" w:hAnsi="Arial"/>
        </w:rPr>
        <w:t xml:space="preserve">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r>
        <w:rPr>
          <w:rFonts w:cs="Arial" w:ascii="Arial" w:hAnsi="Arial"/>
          <w:bCs/>
          <w:color w:val="000000"/>
        </w:rPr>
        <w:t>22.10.</w:t>
      </w:r>
      <w:r>
        <w:rPr>
          <w:rFonts w:cs="Arial" w:ascii="Arial" w:hAnsi="Arial"/>
          <w:color w:val="000000"/>
        </w:rPr>
        <w:t xml:space="preserve"> O atraso injustificado na execução do contrato sujeitará o contratado a multa de mora, na forma prevista no inciso II do item 22.2.</w:t>
      </w:r>
    </w:p>
    <w:p>
      <w:pPr>
        <w:pStyle w:val="Normal"/>
        <w:tabs>
          <w:tab w:val="clear" w:pos="708"/>
          <w:tab w:val="left" w:pos="1134" w:leader="none"/>
        </w:tabs>
        <w:spacing w:lineRule="auto" w:line="240" w:before="0" w:after="0"/>
        <w:jc w:val="both"/>
        <w:rPr>
          <w:rFonts w:ascii="Arial" w:hAnsi="Arial" w:cs="Arial"/>
          <w:color w:val="000000"/>
        </w:rPr>
      </w:pPr>
      <w:r>
        <w:rPr>
          <w:rFonts w:cs="Arial" w:ascii="Arial" w:hAnsi="Arial"/>
          <w:color w:val="000000"/>
        </w:rPr>
      </w:r>
    </w:p>
    <w:p>
      <w:pPr>
        <w:pStyle w:val="Normal"/>
        <w:tabs>
          <w:tab w:val="clear" w:pos="708"/>
          <w:tab w:val="left" w:pos="1134" w:leader="none"/>
        </w:tabs>
        <w:spacing w:lineRule="auto" w:line="240" w:before="0" w:after="0"/>
        <w:jc w:val="both"/>
        <w:rPr/>
      </w:pPr>
      <w:bookmarkStart w:id="93" w:name="art162p"/>
      <w:bookmarkEnd w:id="93"/>
      <w:r>
        <w:rPr>
          <w:rFonts w:cs="Arial" w:ascii="Arial" w:hAnsi="Arial"/>
          <w:bCs/>
        </w:rPr>
        <w:t>22.11.</w:t>
      </w:r>
      <w:r>
        <w:rPr>
          <w:rFonts w:cs="Arial" w:ascii="Arial" w:hAnsi="Arial"/>
        </w:rPr>
        <w:t xml:space="preserve"> A aplicação de multa de mora não impedirá que a Administração a converta em compensatória e promova a extinção unilateral do contrato com a aplicação cumulada de outras sanções previstas na Lei nº 14.133/2021.</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tabs>
          <w:tab w:val="clear" w:pos="708"/>
          <w:tab w:val="left" w:pos="1134" w:leader="none"/>
        </w:tabs>
        <w:spacing w:lineRule="auto" w:line="240" w:before="0" w:after="0"/>
        <w:jc w:val="both"/>
        <w:rPr/>
      </w:pPr>
      <w:bookmarkStart w:id="94" w:name="art163"/>
      <w:bookmarkEnd w:id="94"/>
      <w:r>
        <w:rPr>
          <w:rFonts w:cs="Arial" w:ascii="Arial" w:hAnsi="Arial"/>
          <w:bCs/>
        </w:rPr>
        <w:t>22.12.</w:t>
      </w:r>
      <w:r>
        <w:rPr>
          <w:rFonts w:cs="Arial" w:ascii="Arial" w:hAnsi="Arial"/>
        </w:rPr>
        <w:t xml:space="preserve"> É admitida a reabilitação do licitante ou contratado perante o Município de </w:t>
      </w:r>
      <w:r>
        <w:rPr>
          <w:rFonts w:cs="Arial" w:ascii="Arial" w:hAnsi="Arial"/>
          <w:color w:val="000000"/>
        </w:rPr>
        <w:t>Itá-SC</w:t>
      </w:r>
      <w:r>
        <w:rPr>
          <w:rFonts w:cs="Arial" w:ascii="Arial" w:hAnsi="Arial"/>
        </w:rPr>
        <w:t>, exigidos, cumulativamente.</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5" w:name="art163i"/>
      <w:bookmarkEnd w:id="95"/>
      <w:r>
        <w:rPr>
          <w:rFonts w:cs="Arial" w:ascii="Arial" w:hAnsi="Arial"/>
        </w:rPr>
        <w:t>Reparação integral do dano causado à Administração Pública Municipal;</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6" w:name="art163ii"/>
      <w:bookmarkEnd w:id="96"/>
      <w:r>
        <w:rPr>
          <w:rFonts w:cs="Arial" w:ascii="Arial" w:hAnsi="Arial"/>
        </w:rPr>
        <w:t>Pagamento da multa;</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7" w:name="art163iii"/>
      <w:bookmarkEnd w:id="97"/>
      <w:r>
        <w:rPr>
          <w:rFonts w:cs="Arial" w:ascii="Arial" w:hAnsi="Arial"/>
        </w:rPr>
        <w:t>Transcurso do prazo mínimo de 01 (um) ano da aplicação da penalidade, no caso de impedimento de licitar e contratar, ou de 03 (três) anos da aplicação da penalidade, no caso de declaração de inidoneidade;</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8" w:name="art163iv"/>
      <w:bookmarkEnd w:id="98"/>
      <w:r>
        <w:rPr>
          <w:rFonts w:cs="Arial" w:ascii="Arial" w:hAnsi="Arial"/>
        </w:rPr>
        <w:t>Cumprimento das condições de reabilitação definidas no ato punitivo;</w:t>
      </w:r>
    </w:p>
    <w:p>
      <w:pPr>
        <w:pStyle w:val="ListParagraph"/>
        <w:numPr>
          <w:ilvl w:val="0"/>
          <w:numId w:val="36"/>
        </w:numPr>
        <w:tabs>
          <w:tab w:val="clear" w:pos="708"/>
          <w:tab w:val="left" w:pos="1134" w:leader="none"/>
        </w:tabs>
        <w:spacing w:lineRule="auto" w:line="240" w:before="0" w:after="0"/>
        <w:ind w:left="567" w:hanging="0"/>
        <w:contextualSpacing/>
        <w:jc w:val="both"/>
        <w:rPr>
          <w:rFonts w:ascii="Arial" w:hAnsi="Arial" w:cs="Arial"/>
        </w:rPr>
      </w:pPr>
      <w:bookmarkStart w:id="99" w:name="art163v"/>
      <w:bookmarkEnd w:id="99"/>
      <w:r>
        <w:rPr>
          <w:rFonts w:cs="Arial" w:ascii="Arial" w:hAnsi="Arial"/>
        </w:rPr>
        <w:t>Análise jurídica prévia, com posicionamento conclusivo quanto ao cumprimento dos requisitos definidos neste item.</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bookmarkStart w:id="100" w:name="art163p"/>
      <w:bookmarkStart w:id="101" w:name="art163p"/>
      <w:bookmarkEnd w:id="101"/>
    </w:p>
    <w:p>
      <w:pPr>
        <w:pStyle w:val="Normal"/>
        <w:tabs>
          <w:tab w:val="clear" w:pos="708"/>
          <w:tab w:val="left" w:pos="1134" w:leader="none"/>
        </w:tabs>
        <w:spacing w:lineRule="auto" w:line="240" w:before="0" w:after="0"/>
        <w:jc w:val="both"/>
        <w:rPr/>
      </w:pPr>
      <w:r>
        <w:rPr>
          <w:rFonts w:cs="Arial" w:ascii="Arial" w:hAnsi="Arial"/>
          <w:bCs/>
        </w:rPr>
        <w:t>22.12.1.</w:t>
      </w:r>
      <w:r>
        <w:rPr>
          <w:rFonts w:cs="Arial" w:ascii="Arial" w:hAnsi="Arial"/>
        </w:rPr>
        <w:t xml:space="preserve"> A sanção pelas infrações previstas nos incisos VIII (</w:t>
      </w:r>
      <w:r>
        <w:rPr>
          <w:rFonts w:cs="Arial" w:ascii="Arial" w:hAnsi="Arial"/>
          <w:i/>
        </w:rPr>
        <w:t>Apresentar declaração ou documentação falsa exigida para o certame ou prestar declaração falsa durante a licitação ou a execução do contrato</w:t>
      </w:r>
      <w:r>
        <w:rPr>
          <w:rFonts w:cs="Arial" w:ascii="Arial" w:hAnsi="Arial"/>
        </w:rPr>
        <w:t>) e XII (</w:t>
      </w:r>
      <w:r>
        <w:rPr>
          <w:rFonts w:cs="Arial" w:ascii="Arial" w:hAnsi="Arial"/>
          <w:i/>
        </w:rPr>
        <w:t>Praticar ato lesivo previsto no art. 5º da Lei nº 12.846, de 1º de agosto de 2013</w:t>
      </w:r>
      <w:r>
        <w:rPr>
          <w:rFonts w:cs="Arial" w:ascii="Arial" w:hAnsi="Arial"/>
        </w:rPr>
        <w:t xml:space="preserve">) do </w:t>
      </w:r>
      <w:r>
        <w:rPr>
          <w:rFonts w:cs="Arial" w:ascii="Arial" w:hAnsi="Arial"/>
          <w:bCs/>
          <w:i/>
        </w:rPr>
        <w:t xml:space="preserve">caput </w:t>
      </w:r>
      <w:r>
        <w:rPr>
          <w:rFonts w:cs="Arial" w:ascii="Arial" w:hAnsi="Arial"/>
        </w:rPr>
        <w:t>do item 22.1 exigirá, como condição de reabilitação do licitante ou contratado, a implantação ou aperfeiçoamento de programa de integridade pelo responsável.</w:t>
      </w:r>
    </w:p>
    <w:p>
      <w:pPr>
        <w:pStyle w:val="Normal"/>
        <w:tabs>
          <w:tab w:val="clear" w:pos="708"/>
          <w:tab w:val="left" w:pos="1134" w:leader="none"/>
        </w:tabs>
        <w:spacing w:lineRule="auto" w:line="240" w:before="0" w:after="0"/>
        <w:jc w:val="both"/>
        <w:rPr>
          <w:rFonts w:ascii="Arial" w:hAnsi="Arial" w:cs="Arial"/>
        </w:rPr>
      </w:pPr>
      <w:r>
        <w:rPr>
          <w:rFonts w:cs="Arial" w:ascii="Arial" w:hAnsi="Arial"/>
        </w:rPr>
      </w:r>
    </w:p>
    <w:p>
      <w:pPr>
        <w:pStyle w:val="Normal"/>
        <w:shd w:val="clear" w:color="auto" w:fill="AEAAAA"/>
        <w:tabs>
          <w:tab w:val="clear" w:pos="708"/>
          <w:tab w:val="left" w:pos="567" w:leader="none"/>
        </w:tabs>
        <w:spacing w:lineRule="auto" w:line="240" w:before="0" w:after="0"/>
        <w:jc w:val="both"/>
        <w:rPr>
          <w:rFonts w:ascii="Arial" w:hAnsi="Arial" w:cs="Arial"/>
          <w:b/>
          <w:b/>
          <w:iCs/>
        </w:rPr>
      </w:pPr>
      <w:r>
        <w:rPr>
          <w:rFonts w:cs="Arial" w:ascii="Arial" w:hAnsi="Arial"/>
          <w:b/>
          <w:iCs/>
        </w:rPr>
        <w:t>23. DISPOSIÇÕES FINAIS</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23.1.</w:t>
      </w:r>
      <w:r>
        <w:rPr>
          <w:rFonts w:cs="Arial" w:ascii="Arial" w:hAnsi="Arial"/>
        </w:rPr>
        <w:t xml:space="preserve"> É facultado ao </w:t>
      </w:r>
      <w:r>
        <w:rPr>
          <w:rFonts w:cs="Arial" w:ascii="Arial" w:hAnsi="Arial"/>
          <w:b/>
        </w:rPr>
        <w:t>pregoeiro</w:t>
      </w:r>
      <w:r>
        <w:rPr>
          <w:rFonts w:cs="Arial" w:ascii="Arial" w:hAnsi="Arial"/>
        </w:rPr>
        <w:t xml:space="preserve"> ou ao Prefeito Municipal/Gestor(a) do Fundo Municipal de Saúde,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23.2.</w:t>
      </w:r>
      <w:r>
        <w:rPr>
          <w:rFonts w:cs="Arial" w:ascii="Arial" w:hAnsi="Arial"/>
          <w:b/>
        </w:rPr>
        <w:t xml:space="preserve"> </w:t>
      </w:r>
      <w:r>
        <w:rPr>
          <w:rFonts w:cs="Arial" w:ascii="Arial" w:hAnsi="Arial"/>
        </w:rPr>
        <w:t xml:space="preserve">Caso os prazos definidos neste edital não estejam expressamente indicados na proposta, eles serão considerados como aceitos pelos licitantes para efeitos de julgamento deste processo licitatório. </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23.3.</w:t>
      </w:r>
      <w:r>
        <w:rPr>
          <w:rFonts w:cs="Arial" w:ascii="Arial" w:hAnsi="Arial"/>
        </w:rPr>
        <w:t xml:space="preserve"> Só se iniciam e vencem os prazos referidos nesta licitação em dia de expediente no Município de </w:t>
      </w:r>
      <w:r>
        <w:rPr>
          <w:rFonts w:cs="Arial" w:ascii="Arial" w:hAnsi="Arial"/>
          <w:color w:val="000000"/>
        </w:rPr>
        <w:t>Itá-SC</w:t>
      </w:r>
      <w:r>
        <w:rPr>
          <w:rFonts w:cs="Arial" w:ascii="Arial" w:hAnsi="Arial"/>
        </w:rPr>
        <w:t>, portanto serão prorrogados até o próximo dia útil os prazos que vencerem durante o recesso municipal.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23.4.</w:t>
      </w:r>
      <w:r>
        <w:rPr>
          <w:rFonts w:cs="Arial" w:ascii="Arial" w:hAnsi="Arial"/>
        </w:rPr>
        <w:t xml:space="preserve"> Para fins de garantir a ampla publicidade, este edital será divulgado:</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rPr>
      </w:pPr>
      <w:r>
        <w:rPr>
          <w:rFonts w:cs="Arial" w:ascii="Arial" w:hAnsi="Arial"/>
        </w:rPr>
        <w:t>Portal Nacional de Contratações Públicas – PNCP, a partir da adoção pelo Município;</w:t>
      </w:r>
    </w:p>
    <w:p>
      <w:pPr>
        <w:pStyle w:val="ListParagraph"/>
        <w:numPr>
          <w:ilvl w:val="0"/>
          <w:numId w:val="37"/>
        </w:numPr>
        <w:tabs>
          <w:tab w:val="clear" w:pos="708"/>
          <w:tab w:val="left" w:pos="1134" w:leader="none"/>
        </w:tabs>
        <w:spacing w:lineRule="auto" w:line="240" w:before="0" w:after="0"/>
        <w:ind w:left="567" w:hanging="0"/>
        <w:contextualSpacing/>
        <w:jc w:val="both"/>
        <w:rPr/>
      </w:pPr>
      <w:r>
        <w:rPr>
          <w:rFonts w:cs="Arial" w:ascii="Arial" w:hAnsi="Arial"/>
          <w:color w:val="000000"/>
        </w:rPr>
        <w:t>Página do Município de Itá-SC (ita.atende.net);</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color w:val="000000"/>
        </w:rPr>
        <w:t>Diário Oficial dos Municípios – DOM;</w:t>
      </w:r>
    </w:p>
    <w:p>
      <w:pPr>
        <w:pStyle w:val="ListParagraph"/>
        <w:numPr>
          <w:ilvl w:val="0"/>
          <w:numId w:val="37"/>
        </w:numPr>
        <w:tabs>
          <w:tab w:val="clear" w:pos="708"/>
          <w:tab w:val="left" w:pos="1134" w:leader="none"/>
        </w:tabs>
        <w:spacing w:lineRule="auto" w:line="240" w:before="0" w:after="0"/>
        <w:ind w:left="567" w:hanging="0"/>
        <w:contextualSpacing/>
        <w:jc w:val="both"/>
        <w:rPr/>
      </w:pPr>
      <w:r>
        <w:rPr>
          <w:rFonts w:cs="Arial" w:ascii="Arial" w:hAnsi="Arial"/>
          <w:color w:val="000000"/>
        </w:rPr>
        <w:t xml:space="preserve">Plataforma </w:t>
      </w:r>
      <w:r>
        <w:rPr>
          <w:rStyle w:val="LinkdaInternet"/>
          <w:rFonts w:cs="Arial" w:ascii="Arial" w:hAnsi="Arial"/>
        </w:rPr>
        <w:t>compras.gov.br</w:t>
      </w:r>
    </w:p>
    <w:p>
      <w:pPr>
        <w:pStyle w:val="ListParagraph"/>
        <w:numPr>
          <w:ilvl w:val="0"/>
          <w:numId w:val="37"/>
        </w:numPr>
        <w:tabs>
          <w:tab w:val="clear" w:pos="708"/>
          <w:tab w:val="left" w:pos="1134" w:leader="none"/>
        </w:tabs>
        <w:spacing w:lineRule="auto" w:line="240" w:before="0" w:after="0"/>
        <w:ind w:left="567" w:hanging="0"/>
        <w:contextualSpacing/>
        <w:jc w:val="both"/>
        <w:rPr>
          <w:rFonts w:ascii="Arial" w:hAnsi="Arial" w:cs="Arial"/>
          <w:color w:val="000000"/>
        </w:rPr>
      </w:pPr>
      <w:r>
        <w:rPr>
          <w:rFonts w:cs="Arial" w:ascii="Arial" w:hAnsi="Arial"/>
          <w:color w:val="000000"/>
        </w:rPr>
        <w:t>Jornal diário de grande circulação local.</w:t>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23.5.</w:t>
      </w:r>
      <w:r>
        <w:rPr>
          <w:rFonts w:cs="Arial" w:ascii="Arial" w:hAnsi="Arial"/>
          <w:b/>
        </w:rPr>
        <w:t xml:space="preserve"> </w:t>
      </w:r>
      <w:r>
        <w:rPr>
          <w:rFonts w:cs="Arial" w:ascii="Arial" w:hAnsi="Arial"/>
        </w:rPr>
        <w:t xml:space="preserve">São anexos deste edital: </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w:t>
      </w:r>
      <w:r>
        <w:rPr>
          <w:rFonts w:cs="Arial" w:ascii="Arial" w:hAnsi="Arial"/>
        </w:rPr>
        <w:tab/>
        <w:t>Estudo Técnico Preliminar – ETP</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II)</w:t>
      </w:r>
      <w:r>
        <w:rPr>
          <w:rFonts w:cs="Arial" w:ascii="Arial" w:hAnsi="Arial"/>
        </w:rPr>
        <w:tab/>
        <w:t>Termo de Referência – TR</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III)</w:t>
      </w:r>
      <w:r>
        <w:rPr>
          <w:rFonts w:cs="Arial" w:ascii="Arial" w:hAnsi="Arial"/>
        </w:rPr>
        <w:tab/>
        <w:t>Declaração inexistência de impedimentos</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IV)</w:t>
      </w:r>
      <w:r>
        <w:rPr>
          <w:rFonts w:cs="Arial" w:ascii="Arial" w:hAnsi="Arial"/>
        </w:rPr>
        <w:tab/>
        <w:t>Declaração LGPD</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V)</w:t>
      </w:r>
      <w:r>
        <w:rPr>
          <w:rFonts w:cs="Arial" w:ascii="Arial" w:hAnsi="Arial"/>
        </w:rPr>
        <w:tab/>
        <w:t>Declaração para LC 123/2006</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color w:val="000000"/>
        </w:rPr>
        <w:t>VI)</w:t>
      </w:r>
      <w:r>
        <w:rPr>
          <w:rFonts w:cs="Arial" w:ascii="Arial" w:hAnsi="Arial"/>
          <w:color w:val="000000"/>
        </w:rPr>
        <w:tab/>
        <w:t xml:space="preserve">Proposta + Declaração art. 63, § 1º </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color w:val="000000"/>
        </w:rPr>
        <w:t>VII)</w:t>
      </w:r>
      <w:r>
        <w:rPr>
          <w:rFonts w:cs="Arial" w:ascii="Arial" w:hAnsi="Arial"/>
          <w:color w:val="000000"/>
        </w:rPr>
        <w:tab/>
        <w:t>Declaração art. 63, I – atende os requisitos de habilitação e de que documentos eletrônicos conferem com os originais</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VIII)</w:t>
      </w:r>
      <w:r>
        <w:rPr>
          <w:rFonts w:cs="Arial" w:ascii="Arial" w:hAnsi="Arial"/>
        </w:rPr>
        <w:tab/>
        <w:t>Declaração art. 63, IV – PcD e reabilitado da Previdência Social</w:t>
      </w:r>
    </w:p>
    <w:p>
      <w:pPr>
        <w:pStyle w:val="ListParagraph"/>
        <w:widowControl w:val="false"/>
        <w:tabs>
          <w:tab w:val="clear" w:pos="708"/>
          <w:tab w:val="left" w:pos="1134" w:leader="none"/>
        </w:tabs>
        <w:spacing w:lineRule="auto" w:line="240" w:before="0" w:after="0"/>
        <w:ind w:left="1287" w:hanging="0"/>
        <w:contextualSpacing/>
        <w:jc w:val="both"/>
        <w:textAlignment w:val="baseline"/>
        <w:rPr/>
      </w:pPr>
      <w:r>
        <w:rPr>
          <w:rFonts w:cs="Arial" w:ascii="Arial" w:hAnsi="Arial"/>
          <w:b/>
          <w:bCs/>
        </w:rPr>
        <w:t>IX)</w:t>
      </w:r>
      <w:r>
        <w:rPr>
          <w:rFonts w:cs="Arial" w:ascii="Arial" w:hAnsi="Arial"/>
        </w:rPr>
        <w:tab/>
        <w:t>Ata de Registro de Preços</w:t>
      </w:r>
    </w:p>
    <w:p>
      <w:pPr>
        <w:pStyle w:val="ListParagraph"/>
        <w:widowControl w:val="false"/>
        <w:tabs>
          <w:tab w:val="clear" w:pos="708"/>
          <w:tab w:val="left" w:pos="1134" w:leader="none"/>
        </w:tabs>
        <w:spacing w:lineRule="auto" w:line="240" w:before="0" w:after="0"/>
        <w:contextualSpacing/>
        <w:jc w:val="both"/>
        <w:textAlignment w:val="baseline"/>
        <w:rPr/>
      </w:pPr>
      <w:r>
        <w:rPr/>
      </w:r>
    </w:p>
    <w:p>
      <w:pPr>
        <w:pStyle w:val="Normal"/>
        <w:tabs>
          <w:tab w:val="clear" w:pos="708"/>
          <w:tab w:val="left" w:pos="1134" w:leader="none"/>
        </w:tabs>
        <w:spacing w:lineRule="auto" w:line="240" w:before="0" w:after="0"/>
        <w:jc w:val="both"/>
        <w:rPr>
          <w:rFonts w:ascii="Arial" w:hAnsi="Arial" w:cs="Arial"/>
          <w:b/>
          <w:b/>
        </w:rPr>
      </w:pPr>
      <w:r>
        <w:rPr>
          <w:rFonts w:cs="Arial" w:ascii="Arial" w:hAnsi="Arial"/>
          <w:b/>
        </w:rPr>
      </w:r>
    </w:p>
    <w:p>
      <w:pPr>
        <w:pStyle w:val="Normal"/>
        <w:tabs>
          <w:tab w:val="clear" w:pos="708"/>
          <w:tab w:val="left" w:pos="1134" w:leader="none"/>
        </w:tabs>
        <w:spacing w:lineRule="auto" w:line="240" w:before="0" w:after="0"/>
        <w:jc w:val="both"/>
        <w:rPr/>
      </w:pPr>
      <w:r>
        <w:rPr>
          <w:rFonts w:cs="Arial" w:ascii="Arial" w:hAnsi="Arial"/>
          <w:bCs/>
        </w:rPr>
        <w:t>23.6.</w:t>
      </w:r>
      <w:r>
        <w:rPr>
          <w:rFonts w:cs="Arial" w:ascii="Arial" w:hAnsi="Arial"/>
        </w:rPr>
        <w:t xml:space="preserve"> As questões decorrentes das previsões deste edital que não possam ser dirimidas administrativamente serão processadas e julgadas no Foro da Comarca </w:t>
      </w:r>
      <w:r>
        <w:rPr>
          <w:rFonts w:cs="Arial" w:ascii="Arial" w:hAnsi="Arial"/>
          <w:color w:val="000000"/>
        </w:rPr>
        <w:t>Itá-SC</w:t>
      </w:r>
      <w:r>
        <w:rPr>
          <w:rFonts w:cs="Arial" w:ascii="Arial" w:hAnsi="Arial"/>
        </w:rPr>
        <w:t>, com exclusão de qualquer outro, por mais privilegiado que seja.</w:t>
      </w:r>
    </w:p>
    <w:p>
      <w:pPr>
        <w:pStyle w:val="Normal"/>
        <w:tabs>
          <w:tab w:val="clear" w:pos="708"/>
          <w:tab w:val="left" w:pos="1134" w:leader="none"/>
        </w:tabs>
        <w:spacing w:lineRule="auto" w:line="240" w:before="0" w:after="0"/>
        <w:jc w:val="both"/>
        <w:rPr>
          <w:rFonts w:ascii="Arial" w:hAnsi="Arial" w:cs="Arial"/>
          <w:color w:val="000000"/>
          <w:shd w:fill="FFFF00" w:val="clear"/>
        </w:rPr>
      </w:pPr>
      <w:r>
        <w:rPr>
          <w:rFonts w:cs="Arial" w:ascii="Arial" w:hAnsi="Arial"/>
          <w:color w:val="000000"/>
          <w:shd w:fill="FFFF00" w:val="clear"/>
        </w:rPr>
      </w:r>
    </w:p>
    <w:p>
      <w:pPr>
        <w:pStyle w:val="Normal"/>
        <w:spacing w:lineRule="auto" w:line="240" w:before="0" w:after="0"/>
        <w:jc w:val="both"/>
        <w:rPr/>
      </w:pPr>
      <w:r>
        <w:rPr>
          <w:rFonts w:cs="Arial" w:ascii="Arial" w:hAnsi="Arial"/>
          <w:bCs/>
          <w:color w:val="000000"/>
        </w:rPr>
        <w:t xml:space="preserve">Município de Itá-SC, </w:t>
      </w:r>
      <w:r>
        <w:rPr>
          <w:rFonts w:eastAsia="Calibri" w:cs="Arial" w:ascii="Arial" w:hAnsi="Arial"/>
          <w:bCs/>
          <w:color w:val="000000"/>
          <w:kern w:val="0"/>
          <w:sz w:val="22"/>
          <w:szCs w:val="22"/>
          <w:lang w:val="pt-BR" w:eastAsia="en-US" w:bidi="ar-SA"/>
        </w:rPr>
        <w:t>18</w:t>
      </w:r>
      <w:r>
        <w:rPr>
          <w:rFonts w:cs="Arial" w:ascii="Arial" w:hAnsi="Arial"/>
          <w:bCs/>
          <w:color w:val="000000"/>
        </w:rPr>
        <w:t xml:space="preserve"> de </w:t>
      </w:r>
      <w:r>
        <w:rPr>
          <w:rFonts w:eastAsia="Calibri" w:cs="Arial" w:ascii="Arial" w:hAnsi="Arial"/>
          <w:bCs/>
          <w:color w:val="000000"/>
          <w:kern w:val="0"/>
          <w:sz w:val="22"/>
          <w:szCs w:val="22"/>
          <w:lang w:val="pt-BR" w:eastAsia="en-US" w:bidi="ar-SA"/>
        </w:rPr>
        <w:t xml:space="preserve">dezembro </w:t>
      </w:r>
      <w:r>
        <w:rPr>
          <w:rFonts w:cs="Arial" w:ascii="Arial" w:hAnsi="Arial"/>
          <w:bCs/>
          <w:color w:val="000000"/>
        </w:rPr>
        <w:t>de 2023.</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CLEMOR ANTÔNIO BATTISTI</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color w:val="000000"/>
          <w:lang w:eastAsia="pt-BR"/>
        </w:rPr>
      </w:pPr>
      <w:r>
        <w:rPr>
          <w:rFonts w:eastAsia="Times New Roman" w:cs="Arial" w:ascii="Arial" w:hAnsi="Arial"/>
          <w:b/>
          <w:color w:val="000000"/>
          <w:lang w:eastAsia="pt-BR"/>
        </w:rPr>
        <w:t>Prefeito do Município de Itá-SC</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center"/>
        <w:textAlignment w:val="baseline"/>
        <w:rPr/>
      </w:pPr>
      <w:r>
        <w:rPr>
          <w:rFonts w:eastAsia="Times New Roman" w:cs="Arial" w:ascii="Arial" w:hAnsi="Arial"/>
          <w:b/>
          <w:lang w:eastAsia="pt-BR"/>
        </w:rPr>
        <w:t xml:space="preserve">PROCESSO LICITATÓRIO Nº </w:t>
      </w:r>
      <w:r>
        <w:rPr>
          <w:rFonts w:eastAsia="Times New Roman" w:cs="Arial" w:ascii="Arial" w:hAnsi="Arial"/>
          <w:b/>
          <w:color w:val="000000"/>
          <w:kern w:val="0"/>
          <w:sz w:val="22"/>
          <w:szCs w:val="22"/>
          <w:lang w:val="pt-BR" w:eastAsia="pt-BR" w:bidi="ar-SA"/>
        </w:rPr>
        <w:t>225</w:t>
      </w:r>
      <w:r>
        <w:rPr>
          <w:rFonts w:eastAsia="Times New Roman" w:cs="Arial" w:ascii="Arial" w:hAnsi="Arial"/>
          <w:b/>
          <w:color w:val="000000"/>
          <w:lang w:eastAsia="pt-BR"/>
        </w:rPr>
        <w:t>/2023</w:t>
      </w:r>
      <w:r>
        <w:rPr>
          <w:rFonts w:eastAsia="Times New Roman" w:cs="Arial" w:ascii="Arial" w:hAnsi="Arial"/>
          <w:b/>
          <w:lang w:eastAsia="pt-BR"/>
        </w:rPr>
        <w:t xml:space="preserve"> </w:t>
      </w:r>
    </w:p>
    <w:p>
      <w:pPr>
        <w:pStyle w:val="Normal"/>
        <w:widowControl w:val="false"/>
        <w:tabs>
          <w:tab w:val="clear" w:pos="708"/>
          <w:tab w:val="left" w:pos="1701" w:leader="none"/>
        </w:tabs>
        <w:spacing w:lineRule="auto" w:line="240" w:before="0" w:after="0"/>
        <w:jc w:val="center"/>
        <w:textAlignment w:val="baseline"/>
        <w:rPr/>
      </w:pPr>
      <w:r>
        <w:rPr/>
      </w:r>
    </w:p>
    <w:p>
      <w:pPr>
        <w:pStyle w:val="Normal"/>
        <w:widowControl w:val="false"/>
        <w:tabs>
          <w:tab w:val="clear" w:pos="708"/>
          <w:tab w:val="left" w:pos="1701" w:leader="none"/>
        </w:tabs>
        <w:spacing w:lineRule="auto" w:line="240" w:before="0" w:after="0"/>
        <w:jc w:val="center"/>
        <w:textAlignment w:val="baseline"/>
        <w:rPr/>
      </w:pPr>
      <w:r>
        <w:rPr>
          <w:rFonts w:eastAsia="Times New Roman" w:cs="Arial" w:ascii="Arial" w:hAnsi="Arial"/>
          <w:b/>
          <w:lang w:eastAsia="pt-BR"/>
        </w:rPr>
        <w:t xml:space="preserve">EDITAL DE PREGÃO ELETRÔNICO Nº </w:t>
      </w:r>
      <w:r>
        <w:rPr>
          <w:rFonts w:eastAsia="Times New Roman" w:cs="Arial" w:ascii="Arial" w:hAnsi="Arial"/>
          <w:b/>
          <w:color w:val="000000"/>
          <w:kern w:val="0"/>
          <w:sz w:val="22"/>
          <w:szCs w:val="22"/>
          <w:lang w:val="pt-BR" w:eastAsia="pt-BR" w:bidi="ar-SA"/>
        </w:rPr>
        <w:t>090</w:t>
      </w:r>
      <w:r>
        <w:rPr>
          <w:rFonts w:eastAsia="Times New Roman" w:cs="Arial" w:ascii="Arial" w:hAnsi="Arial"/>
          <w:b/>
          <w:color w:val="000000"/>
          <w:lang w:eastAsia="pt-BR"/>
        </w:rPr>
        <w:t>/2023</w:t>
      </w:r>
    </w:p>
    <w:p>
      <w:pPr>
        <w:pStyle w:val="Normal"/>
        <w:widowControl w:val="false"/>
        <w:tabs>
          <w:tab w:val="clear" w:pos="708"/>
          <w:tab w:val="left" w:pos="1701" w:leader="none"/>
        </w:tabs>
        <w:spacing w:lineRule="auto" w:line="240" w:before="0" w:after="0"/>
        <w:jc w:val="center"/>
        <w:textAlignment w:val="baseline"/>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ANEXO 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jc w:val="center"/>
        <w:rPr/>
      </w:pPr>
      <w:r>
        <w:rPr>
          <w:rFonts w:cs="Arial" w:ascii="Arial" w:hAnsi="Arial"/>
          <w:b/>
        </w:rPr>
        <w:t>ESTUDO TÉCNICO PRELIMINAR</w:t>
      </w:r>
    </w:p>
    <w:p>
      <w:pPr>
        <w:pStyle w:val="Normal"/>
        <w:spacing w:lineRule="auto" w:line="240"/>
        <w:jc w:val="center"/>
        <w:rPr>
          <w:rFonts w:ascii="Arial" w:hAnsi="Arial" w:cs="Arial"/>
        </w:rPr>
      </w:pPr>
      <w:r>
        <w:rPr>
          <w:rFonts w:cs="Arial" w:ascii="Arial" w:hAnsi="Arial"/>
        </w:rPr>
      </w:r>
    </w:p>
    <w:p>
      <w:pPr>
        <w:pStyle w:val="Normal"/>
        <w:spacing w:lineRule="auto" w:line="240"/>
        <w:jc w:val="both"/>
        <w:rPr>
          <w:rFonts w:ascii="Arial" w:hAnsi="Arial" w:cs="Calibri"/>
          <w:b/>
          <w:b/>
        </w:rPr>
      </w:pPr>
      <w:r>
        <w:rPr>
          <w:rFonts w:cs="Calibri" w:ascii="Arial" w:hAnsi="Arial"/>
          <w:b/>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lang w:eastAsia="pt-BR"/>
        </w:rPr>
        <w:t xml:space="preserve">Disponível em: </w:t>
      </w:r>
      <w:r>
        <w:rPr>
          <w:rFonts w:cs="Arial" w:ascii="Arial" w:hAnsi="Arial"/>
          <w:color w:val="000000"/>
          <w:lang w:eastAsia="pt-BR"/>
        </w:rPr>
        <w:t xml:space="preserve">ita.atende.net → buscar na aba de licitações → Pregão Eletrônico – Lei 14.133/2021 – Tipo de Objeto: Aquisição de Bens - (Nova Lei de Licitações) - Tipo de Concorrência: Registro de Preços - (Nova Lei de Licitações) → Selecionar Pregão nº </w:t>
      </w:r>
      <w:r>
        <w:rPr>
          <w:rFonts w:eastAsia="Calibri" w:cs="Arial" w:ascii="Arial" w:hAnsi="Arial"/>
          <w:color w:val="000000"/>
          <w:kern w:val="0"/>
          <w:sz w:val="22"/>
          <w:szCs w:val="22"/>
          <w:lang w:val="pt-BR" w:eastAsia="pt-BR" w:bidi="ar-SA"/>
        </w:rPr>
        <w:t>090</w:t>
      </w:r>
      <w:r>
        <w:rPr>
          <w:rFonts w:cs="Arial" w:ascii="Arial" w:hAnsi="Arial"/>
          <w:color w:val="000000"/>
          <w:lang w:eastAsia="pt-BR"/>
        </w:rPr>
        <w:t xml:space="preserve">/2023 e clicar em detalhar → </w:t>
      </w:r>
      <w:r>
        <w:rPr>
          <w:rFonts w:cs="Arial" w:ascii="Arial" w:hAnsi="Arial"/>
          <w:color w:val="000000"/>
        </w:rPr>
        <w:t>Acessar Estudo Técnico Preliminar (PDF).</w:t>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p>
    <w:p>
      <w:pPr>
        <w:pStyle w:val="Normal"/>
        <w:spacing w:lineRule="auto" w:line="240"/>
        <w:jc w:val="both"/>
        <w:rPr>
          <w:rFonts w:ascii="Arial" w:hAnsi="Arial"/>
        </w:rPr>
      </w:pPr>
      <w:r>
        <w:rPr>
          <w:rFonts w:ascii="Arial" w:hAnsi="Arial"/>
        </w:rPr>
      </w:r>
      <w:bookmarkStart w:id="102" w:name="_Hlk133233900"/>
      <w:bookmarkStart w:id="103" w:name="_Hlk133233900"/>
      <w:bookmarkEnd w:id="103"/>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000000"/>
          <w:kern w:val="0"/>
          <w:sz w:val="22"/>
          <w:szCs w:val="22"/>
          <w:lang w:val="pt-BR" w:eastAsia="pt-BR" w:bidi="ar-SA"/>
        </w:rPr>
        <w:t>225</w:t>
      </w:r>
      <w:r>
        <w:rPr>
          <w:rFonts w:cs="Arial" w:ascii="Arial" w:hAnsi="Arial"/>
          <w:b/>
          <w:bCs/>
          <w:color w:val="000000"/>
          <w:lang w:eastAsia="pt-BR"/>
        </w:rPr>
        <w:t>/2023</w:t>
      </w:r>
      <w:r>
        <w:rPr>
          <w:rFonts w:cs="Arial" w:ascii="Arial" w:hAnsi="Arial"/>
          <w:b/>
          <w:bCs/>
          <w:lang w:eastAsia="pt-BR"/>
        </w:rPr>
        <w:t xml:space="preserve">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000000"/>
          <w:kern w:val="0"/>
          <w:sz w:val="22"/>
          <w:szCs w:val="22"/>
          <w:lang w:val="pt-BR" w:eastAsia="en-US" w:bidi="ar-SA"/>
        </w:rPr>
        <w:t>090</w:t>
      </w:r>
      <w:r>
        <w:rPr>
          <w:rFonts w:cs="Arial" w:ascii="Arial" w:hAnsi="Arial"/>
          <w:b/>
          <w:bCs/>
          <w:color w:val="000000"/>
        </w:rPr>
        <w:t>/2023</w:t>
      </w:r>
      <w:r>
        <w:rPr>
          <w:rFonts w:cs="Arial" w:ascii="Arial" w:hAnsi="Arial"/>
          <w:b/>
          <w:bCs/>
        </w:rPr>
        <w:t xml:space="preserve">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rPr>
        <w:t>ANEXO II</w:t>
      </w:r>
    </w:p>
    <w:p>
      <w:pPr>
        <w:pStyle w:val="Normal"/>
        <w:widowControl w:val="false"/>
        <w:spacing w:lineRule="auto" w:line="240" w:before="0" w:after="0"/>
        <w:jc w:val="center"/>
        <w:rPr>
          <w:rFonts w:ascii="Arial" w:hAnsi="Arial" w:cs="Arial"/>
          <w:b/>
          <w:b/>
        </w:rPr>
      </w:pPr>
      <w:r>
        <w:rPr>
          <w:rFonts w:cs="Arial" w:ascii="Arial" w:hAnsi="Arial"/>
          <w:b/>
        </w:rPr>
      </w:r>
    </w:p>
    <w:p>
      <w:pPr>
        <w:pStyle w:val="Normal"/>
        <w:widowControl w:val="false"/>
        <w:spacing w:lineRule="auto" w:line="240" w:before="0" w:after="0"/>
        <w:jc w:val="center"/>
        <w:rPr/>
      </w:pPr>
      <w:r>
        <w:rPr>
          <w:rFonts w:cs="Calibri" w:ascii="Arial" w:hAnsi="Arial"/>
          <w:b/>
        </w:rPr>
        <w:t>TERMO DE REFERÊNCIA</w:t>
      </w:r>
    </w:p>
    <w:p>
      <w:pPr>
        <w:pStyle w:val="Normal"/>
        <w:widowControl w:val="false"/>
        <w:spacing w:lineRule="auto" w:line="240"/>
        <w:jc w:val="center"/>
        <w:rPr>
          <w:rFonts w:ascii="Arial" w:hAnsi="Arial" w:eastAsia="Times New Roman" w:cs="Arial"/>
          <w:b/>
          <w:b/>
          <w:lang w:eastAsia="pt-BR"/>
        </w:rPr>
      </w:pPr>
      <w:r>
        <w:rPr>
          <w:rFonts w:eastAsia="Times New Roman" w:cs="Arial" w:ascii="Arial" w:hAnsi="Arial"/>
          <w:b/>
          <w:lang w:eastAsia="pt-BR"/>
        </w:rPr>
      </w:r>
    </w:p>
    <w:p>
      <w:pPr>
        <w:pStyle w:val="Normal"/>
        <w:widowControl w:val="false"/>
        <w:spacing w:lineRule="auto" w:line="240"/>
        <w:jc w:val="center"/>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pPr>
      <w:r>
        <w:rPr>
          <w:rFonts w:eastAsia="Times New Roman" w:cs="Times New Roman" w:ascii="Arial" w:hAnsi="Arial"/>
          <w:b/>
          <w:lang w:eastAsia="pt-BR"/>
        </w:rPr>
        <w:t xml:space="preserve">Disponível em: </w:t>
      </w:r>
      <w:r>
        <w:rPr>
          <w:rFonts w:cs="Arial" w:ascii="Arial" w:hAnsi="Arial"/>
          <w:color w:val="000000"/>
          <w:lang w:eastAsia="pt-BR"/>
        </w:rPr>
        <w:t xml:space="preserve">ita.atende.net → buscar na aba de licitações → Pregão Eletrônico – Lei 14.133/2021 – Tipo de Objeto: Aquisição de Bens - (Nova Lei de Licitações) - Tipo de Concorrência: Registro de Preços - (Nova Lei de Licitações) → Selecionar Pregão nº </w:t>
      </w:r>
      <w:r>
        <w:rPr>
          <w:rFonts w:eastAsia="Calibri" w:cs="Arial" w:ascii="Arial" w:hAnsi="Arial"/>
          <w:color w:val="000000"/>
          <w:kern w:val="0"/>
          <w:sz w:val="22"/>
          <w:szCs w:val="22"/>
          <w:lang w:val="pt-BR" w:eastAsia="pt-BR" w:bidi="ar-SA"/>
        </w:rPr>
        <w:t>090</w:t>
      </w:r>
      <w:r>
        <w:rPr>
          <w:rFonts w:cs="Arial" w:ascii="Arial" w:hAnsi="Arial"/>
          <w:color w:val="000000"/>
          <w:lang w:eastAsia="pt-BR"/>
        </w:rPr>
        <w:t xml:space="preserve">/2023 e clicar em detalhar → </w:t>
      </w:r>
      <w:r>
        <w:rPr>
          <w:rFonts w:cs="Arial" w:ascii="Arial" w:hAnsi="Arial"/>
          <w:color w:val="000000"/>
        </w:rPr>
        <w:t>Acessar Termo de Referência (PDF).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ANEXO 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INEXISTÊNCIA DE IMPEDIMENTOS</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pPr>
      <w:r>
        <w:rPr>
          <w:rFonts w:cs="Arial" w:ascii="Arial" w:hAnsi="Arial"/>
        </w:rPr>
        <w:tab/>
        <w:t>O licitante ___________________________, inscrito no CPF/CNPJ nº ______________, DECLARA que não incorre nas vedações previstas na Lei nº 14.133/2021, assumindo a responsabilidade de comunicar imediatamente a Administração Pública no caso de incorrer:</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Agente público de órgão ou entidade licitante ou contratante, devendo ser observadas as situações que possam configurar conflito de interesses no exercício ou após o exercício do cargo ou emprego, nos termos da legislação que disciplina a matéria;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se encontre, ao tempo da licitação, impossibilitada de participar da licitação em decorrência de sanção que lhe foi imposta;</w:t>
      </w:r>
    </w:p>
    <w:p>
      <w:pPr>
        <w:pStyle w:val="ListParagraph"/>
        <w:tabs>
          <w:tab w:val="clear" w:pos="708"/>
          <w:tab w:val="left" w:pos="1701" w:leader="none"/>
        </w:tabs>
        <w:spacing w:lineRule="auto" w:line="240" w:before="0" w:after="0"/>
        <w:ind w:left="1418" w:hanging="0"/>
        <w:contextualSpacing/>
        <w:jc w:val="both"/>
        <w:rPr/>
      </w:pPr>
      <w:r>
        <w:rPr>
          <w:rFonts w:cs="Arial" w:ascii="Arial" w:hAnsi="Arial"/>
          <w:b/>
        </w:rPr>
        <w:t>Obs. 1:</w:t>
      </w:r>
      <w:r>
        <w:rPr>
          <w:rFonts w:cs="Arial" w:ascii="Arial" w:hAnsi="Arial"/>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pPr>
      <w:r>
        <w:rPr>
          <w:rFonts w:cs="Arial" w:ascii="Arial" w:hAnsi="Arial"/>
        </w:rPr>
        <w:t xml:space="preserve">Empresas controladoras, controladas ou coligadas, nos termos da </w:t>
      </w:r>
      <w:hyperlink r:id="rId23">
        <w:r>
          <w:rPr>
            <w:rStyle w:val="LinkdaInternet"/>
            <w:rFonts w:cs="Arial" w:ascii="Arial" w:hAnsi="Arial"/>
          </w:rPr>
          <w:t>Lei nº 6.404, de 15 de dezembro de 1976 – Dispõe sobre as Sociedades por Ações</w:t>
        </w:r>
      </w:hyperlink>
      <w:r>
        <w:rPr>
          <w:rFonts w:cs="Arial" w:ascii="Arial" w:hAnsi="Arial"/>
        </w:rPr>
        <w:t>, concorrendo entre si;</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É impedida a empresa consorciada participar, na mesma licitação, de mais de um consórcio ou de forma isolada;</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pPr>
        <w:pStyle w:val="ListParagraph"/>
        <w:widowControl w:val="false"/>
        <w:numPr>
          <w:ilvl w:val="0"/>
          <w:numId w:val="38"/>
        </w:numPr>
        <w:tabs>
          <w:tab w:val="clear" w:pos="708"/>
          <w:tab w:val="left" w:pos="1701" w:leader="none"/>
        </w:tabs>
        <w:spacing w:lineRule="auto" w:line="240" w:before="0" w:after="0"/>
        <w:ind w:left="1134" w:hanging="360"/>
        <w:contextualSpacing/>
        <w:jc w:val="both"/>
        <w:textAlignment w:val="baseline"/>
        <w:rPr>
          <w:rFonts w:ascii="Arial" w:hAnsi="Arial" w:cs="Arial"/>
        </w:rPr>
      </w:pPr>
      <w:r>
        <w:rPr>
          <w:rFonts w:cs="Arial" w:ascii="Arial" w:hAnsi="Arial"/>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IV</w:t>
      </w:r>
    </w:p>
    <w:p>
      <w:pPr>
        <w:pStyle w:val="Normal"/>
        <w:spacing w:lineRule="auto" w:line="240" w:before="0" w:after="0"/>
        <w:jc w:val="center"/>
        <w:rPr>
          <w:rFonts w:ascii="Arial" w:hAnsi="Arial" w:cs="Arial"/>
          <w:b/>
          <w:b/>
        </w:rPr>
      </w:pPr>
      <w:r>
        <w:rPr>
          <w:rFonts w:cs="Arial" w:ascii="Arial" w:hAnsi="Arial"/>
          <w:b/>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INSTRUMENTO PARTICULAR DE CONFIDENCIALIDADE E OUTRAS AVENÇAS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pPr>
      <w:r>
        <w:rPr>
          <w:rFonts w:cs="Arial" w:ascii="Arial" w:hAnsi="Arial"/>
          <w:spacing w:val="2"/>
          <w:sz w:val="22"/>
          <w:szCs w:val="22"/>
        </w:rPr>
        <w:t xml:space="preserve">Por este instrumento, de um lado, </w:t>
      </w:r>
      <w:r>
        <w:rPr>
          <w:rFonts w:cs="Arial" w:ascii="Arial" w:hAnsi="Arial"/>
          <w:b/>
          <w:bCs/>
          <w:spacing w:val="2"/>
          <w:sz w:val="22"/>
          <w:szCs w:val="22"/>
        </w:rPr>
        <w:t>Município de Itá-SC</w:t>
      </w:r>
      <w:r>
        <w:rPr>
          <w:rFonts w:cs="Arial" w:ascii="Arial" w:hAnsi="Arial"/>
          <w:spacing w:val="2"/>
          <w:sz w:val="22"/>
          <w:szCs w:val="22"/>
        </w:rPr>
        <w:t xml:space="preserve">, neste ato representado pelo conforme estabelecido em seu contrato social (“Parte Reveladora”) e, de outro lado, a </w:t>
      </w:r>
      <w:r>
        <w:rPr>
          <w:rFonts w:cs="Arial" w:ascii="Arial" w:hAnsi="Arial"/>
          <w:b/>
          <w:spacing w:val="2"/>
          <w:sz w:val="22"/>
          <w:szCs w:val="22"/>
        </w:rPr>
        <w:t>empresa .........................................................................</w:t>
      </w:r>
      <w:r>
        <w:rPr>
          <w:rFonts w:cs="Arial" w:ascii="Arial" w:hAnsi="Arial"/>
          <w:spacing w:val="2"/>
          <w:sz w:val="22"/>
          <w:szCs w:val="22"/>
        </w:rPr>
        <w:t xml:space="preserve">, inscrita no CNPJ sob o nº ..................................., com sede ..................................................., neste ato representada pelo seu representante legal. ..................................................... CPF .......................(“Parte Receptora”), resolvem, em comum acordo e na melhor forma de direito, celebrar o </w:t>
      </w:r>
      <w:r>
        <w:rPr>
          <w:rFonts w:cs="Arial" w:ascii="Arial" w:hAnsi="Arial"/>
          <w:b/>
          <w:bCs/>
          <w:spacing w:val="2"/>
          <w:sz w:val="22"/>
          <w:szCs w:val="22"/>
        </w:rPr>
        <w:t>Instrumento Particular de Confidencialidade e Outras Avenças</w:t>
      </w:r>
      <w:r>
        <w:rPr>
          <w:rFonts w:cs="Arial" w:ascii="Arial" w:hAnsi="Arial"/>
          <w:spacing w:val="2"/>
          <w:sz w:val="22"/>
          <w:szCs w:val="22"/>
        </w:rPr>
        <w:t>, mediante as cláusulas e condições que seguem:</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pPr>
      <w:r>
        <w:rPr>
          <w:rFonts w:cs="Arial" w:ascii="Arial" w:hAnsi="Arial"/>
          <w:b/>
          <w:bCs/>
          <w:spacing w:val="2"/>
          <w:sz w:val="22"/>
          <w:szCs w:val="22"/>
        </w:rPr>
        <w:t xml:space="preserve">CLÁUSULA PRIMEIRA </w:t>
      </w:r>
      <w:r>
        <w:rPr>
          <w:rFonts w:cs="Arial" w:ascii="Arial" w:hAnsi="Arial"/>
          <w:spacing w:val="2"/>
          <w:sz w:val="22"/>
          <w:szCs w:val="22"/>
        </w:rPr>
        <w:t xml:space="preserve">– </w:t>
      </w:r>
      <w:r>
        <w:rPr>
          <w:rFonts w:cs="Arial" w:ascii="Arial" w:hAnsi="Arial"/>
          <w:b/>
          <w:bCs/>
          <w:spacing w:val="2"/>
          <w:sz w:val="22"/>
          <w:szCs w:val="22"/>
        </w:rPr>
        <w:t>DO OBJETO</w:t>
      </w:r>
    </w:p>
    <w:p>
      <w:pPr>
        <w:pStyle w:val="NormalWeb"/>
        <w:shd w:val="clear" w:color="auto" w:fill="FFFFFF"/>
        <w:spacing w:lineRule="auto" w:line="240" w:before="0" w:after="0"/>
        <w:jc w:val="both"/>
        <w:rPr/>
      </w:pPr>
      <w:r>
        <w:rPr>
          <w:rFonts w:cs="Arial" w:ascii="Arial" w:hAnsi="Arial"/>
          <w:b/>
          <w:spacing w:val="2"/>
          <w:sz w:val="22"/>
          <w:szCs w:val="22"/>
        </w:rPr>
        <w:t>1.1.</w:t>
      </w:r>
      <w:r>
        <w:rPr>
          <w:rFonts w:cs="Arial" w:ascii="Arial" w:hAnsi="Arial"/>
          <w:spacing w:val="2"/>
          <w:sz w:val="22"/>
          <w:szCs w:val="22"/>
        </w:rPr>
        <w:t xml:space="preserve"> É objeto deste instrumento a manuten</w:t>
      </w:r>
      <w:r>
        <w:rPr>
          <w:rFonts w:cs="Arial" w:ascii="Arial" w:hAnsi="Arial"/>
          <w:sz w:val="22"/>
          <w:szCs w:val="22"/>
        </w:rPr>
        <w:t>ção do mais absoluto sigilo em relação a toda e qualquer informação relacionada aos dados fornecidos para a confecção do contrato/ata assinado juntamente com o Município de Itá-SC.</w:t>
      </w:r>
    </w:p>
    <w:p>
      <w:pPr>
        <w:pStyle w:val="NormalWeb"/>
        <w:shd w:val="clear" w:color="auto" w:fill="FFFFFF"/>
        <w:spacing w:lineRule="auto" w:line="240" w:before="0" w:after="0"/>
        <w:jc w:val="both"/>
        <w:rPr>
          <w:rFonts w:ascii="Arial" w:hAnsi="Arial" w:cs="Arial"/>
          <w:sz w:val="22"/>
          <w:szCs w:val="22"/>
        </w:rPr>
      </w:pPr>
      <w:r>
        <w:rPr>
          <w:rFonts w:cs="Arial" w:ascii="Arial" w:hAnsi="Arial"/>
          <w:sz w:val="22"/>
          <w:szCs w:val="22"/>
        </w:rPr>
      </w:r>
    </w:p>
    <w:p>
      <w:pPr>
        <w:pStyle w:val="NormalWeb"/>
        <w:shd w:val="clear" w:color="auto" w:fill="FFFFFF"/>
        <w:spacing w:lineRule="auto" w:line="240" w:before="0" w:after="0"/>
        <w:jc w:val="both"/>
        <w:rPr/>
      </w:pPr>
      <w:r>
        <w:rPr>
          <w:rFonts w:cs="Arial" w:ascii="Arial" w:hAnsi="Arial"/>
          <w:b/>
          <w:bCs/>
          <w:spacing w:val="2"/>
          <w:sz w:val="22"/>
          <w:szCs w:val="22"/>
        </w:rPr>
        <w:t xml:space="preserve">CLÁUSULA SEGUNDA </w:t>
      </w:r>
      <w:r>
        <w:rPr>
          <w:rFonts w:cs="Arial" w:ascii="Arial" w:hAnsi="Arial"/>
          <w:spacing w:val="2"/>
          <w:sz w:val="22"/>
          <w:szCs w:val="22"/>
        </w:rPr>
        <w:t xml:space="preserve">– </w:t>
      </w:r>
      <w:r>
        <w:rPr>
          <w:rFonts w:cs="Arial" w:ascii="Arial" w:hAnsi="Arial"/>
          <w:b/>
          <w:bCs/>
          <w:spacing w:val="2"/>
          <w:sz w:val="22"/>
          <w:szCs w:val="22"/>
        </w:rPr>
        <w:t>DAS INFORMAÇÕES CONFIDENCIAIS</w:t>
      </w:r>
    </w:p>
    <w:p>
      <w:pPr>
        <w:pStyle w:val="NormalWeb"/>
        <w:shd w:val="clear" w:color="auto" w:fill="FFFFFF"/>
        <w:spacing w:lineRule="auto" w:line="240" w:before="0" w:after="0"/>
        <w:jc w:val="both"/>
        <w:rPr/>
      </w:pPr>
      <w:r>
        <w:rPr>
          <w:rFonts w:cs="Arial" w:ascii="Arial" w:hAnsi="Arial"/>
          <w:b/>
          <w:spacing w:val="2"/>
          <w:sz w:val="22"/>
          <w:szCs w:val="22"/>
        </w:rPr>
        <w:t>2.1.</w:t>
      </w:r>
      <w:r>
        <w:rPr>
          <w:rFonts w:cs="Arial" w:ascii="Arial" w:hAnsi="Arial"/>
          <w:spacing w:val="2"/>
          <w:sz w:val="22"/>
          <w:szCs w:val="22"/>
        </w:rPr>
        <w:t xml:space="preserve"> Para todos os efeitos deste instrumento, serão consideradas confidenciais, todas as informações relacionadas ao contrato assinado/ata homologada que a Parte Receptora vier a ter acesso em decorrência dos serviços prestados à Parte Reveladora (“Informações Confidenciais”).</w:t>
      </w:r>
    </w:p>
    <w:p>
      <w:pPr>
        <w:pStyle w:val="NormalWeb"/>
        <w:shd w:val="clear" w:color="auto" w:fill="FFFFFF"/>
        <w:spacing w:lineRule="auto" w:line="240" w:before="0" w:after="0"/>
        <w:jc w:val="both"/>
        <w:rPr/>
      </w:pPr>
      <w:r>
        <w:rPr>
          <w:rFonts w:cs="Arial" w:ascii="Arial" w:hAnsi="Arial"/>
          <w:b/>
          <w:spacing w:val="2"/>
          <w:sz w:val="22"/>
          <w:szCs w:val="22"/>
        </w:rPr>
        <w:t>2.1.1.</w:t>
      </w:r>
      <w:r>
        <w:rPr>
          <w:rFonts w:cs="Arial" w:ascii="Arial" w:hAnsi="Arial"/>
          <w:spacing w:val="2"/>
          <w:sz w:val="22"/>
          <w:szCs w:val="22"/>
        </w:rPr>
        <w:t xml:space="preserve"> Serão, ainda, consideradas Informações Confidenciais todas as informações que assim forem identificadas </w:t>
      </w:r>
      <w:r>
        <w:rPr>
          <w:rFonts w:cs="Arial" w:ascii="Arial" w:hAnsi="Arial"/>
          <w:color w:val="111111"/>
          <w:spacing w:val="2"/>
          <w:sz w:val="22"/>
          <w:szCs w:val="22"/>
        </w:rPr>
        <w:t>pelo</w:t>
      </w:r>
      <w:r>
        <w:rPr>
          <w:rFonts w:cs="Arial" w:ascii="Arial" w:hAnsi="Arial"/>
          <w:b/>
          <w:color w:val="111111"/>
          <w:spacing w:val="2"/>
          <w:sz w:val="22"/>
          <w:szCs w:val="22"/>
        </w:rPr>
        <w:t xml:space="preserve"> Município de Itá-SC</w:t>
      </w:r>
      <w:r>
        <w:rPr>
          <w:rFonts w:cs="Arial" w:ascii="Arial" w:hAnsi="Arial"/>
          <w:spacing w:val="2"/>
          <w:sz w:val="22"/>
          <w:szCs w:val="22"/>
        </w:rPr>
        <w:t>, Parte Reveladora, pelas legislações aplicáveis (inclusive a Lei nº 13.709/2018 – Lei Geral de Proteção de Dados “LGPD”) ou que, devido às circunstâncias da revelação ou à própria natureza da informação devam ser consideradas confidenciais ou de propriedade da Parte Reveladora.</w:t>
      </w:r>
    </w:p>
    <w:p>
      <w:pPr>
        <w:pStyle w:val="NormalWeb"/>
        <w:shd w:val="clear" w:color="auto" w:fill="FFFFFF"/>
        <w:spacing w:lineRule="auto" w:line="240" w:before="0" w:after="0"/>
        <w:jc w:val="both"/>
        <w:rPr/>
      </w:pPr>
      <w:r>
        <w:rPr>
          <w:rFonts w:cs="Arial" w:ascii="Arial" w:hAnsi="Arial"/>
          <w:b/>
          <w:spacing w:val="2"/>
          <w:sz w:val="22"/>
          <w:szCs w:val="22"/>
        </w:rPr>
        <w:t>2.2.</w:t>
      </w:r>
      <w:r>
        <w:rPr>
          <w:rFonts w:cs="Arial" w:ascii="Arial" w:hAnsi="Arial"/>
          <w:spacing w:val="2"/>
          <w:sz w:val="22"/>
          <w:szCs w:val="22"/>
        </w:rPr>
        <w:t xml:space="preserve"> A revelação das Informações Confidenciais não representa a concessão de qualquer tipo de licença explícita ou de qualquer outra natureza, nem de direitos de qualquer espécie para a Parte Receptora.</w:t>
      </w:r>
    </w:p>
    <w:p>
      <w:pPr>
        <w:pStyle w:val="NormalWeb"/>
        <w:shd w:val="clear" w:color="auto" w:fill="FFFFFF"/>
        <w:spacing w:lineRule="auto" w:line="240" w:before="0" w:after="0"/>
        <w:jc w:val="both"/>
        <w:rPr/>
      </w:pPr>
      <w:r>
        <w:rPr>
          <w:rFonts w:cs="Arial" w:ascii="Arial" w:hAnsi="Arial"/>
          <w:b/>
          <w:spacing w:val="2"/>
          <w:sz w:val="22"/>
          <w:szCs w:val="22"/>
        </w:rPr>
        <w:t>2.3.</w:t>
      </w:r>
      <w:r>
        <w:rPr>
          <w:rFonts w:cs="Arial" w:ascii="Arial" w:hAnsi="Arial"/>
          <w:spacing w:val="2"/>
          <w:sz w:val="22"/>
          <w:szCs w:val="22"/>
        </w:rPr>
        <w:t xml:space="preserve"> A Parte Receptora se compromete a:</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Utilizar as Informações Confidenciais com o propósito restrito de desempenhar suas atividades junto à Parte Reveladora;</w:t>
      </w:r>
    </w:p>
    <w:p>
      <w:pPr>
        <w:pStyle w:val="NormalWeb"/>
        <w:widowControl w:val="false"/>
        <w:numPr>
          <w:ilvl w:val="0"/>
          <w:numId w:val="39"/>
        </w:numPr>
        <w:shd w:val="clear" w:color="auto" w:fill="FFFFFF"/>
        <w:spacing w:lineRule="auto" w:line="240" w:before="0" w:after="0"/>
        <w:jc w:val="both"/>
        <w:textAlignment w:val="baseline"/>
        <w:rPr/>
      </w:pPr>
      <w:r>
        <w:rPr>
          <w:rFonts w:cs="Arial" w:ascii="Arial" w:hAnsi="Arial"/>
          <w:spacing w:val="2"/>
          <w:sz w:val="22"/>
          <w:szCs w:val="22"/>
        </w:rPr>
        <w:t>Não utilizar tais informações em seu próprio benefício e/ou para qualquer propósito que não aquele para o qual foram reveladas, abstendo-se de divulgar, publicar, fazer circular, produzir cópia ou efetuar </w:t>
      </w:r>
      <w:r>
        <w:rPr>
          <w:rFonts w:cs="Arial" w:ascii="Arial" w:hAnsi="Arial"/>
          <w:i/>
          <w:iCs/>
          <w:spacing w:val="2"/>
          <w:sz w:val="22"/>
          <w:szCs w:val="22"/>
        </w:rPr>
        <w:t>backup</w:t>
      </w:r>
      <w:r>
        <w:rPr>
          <w:rFonts w:cs="Arial" w:ascii="Arial" w:hAnsi="Arial"/>
          <w:spacing w:val="2"/>
          <w:sz w:val="22"/>
          <w:szCs w:val="22"/>
        </w:rPr>
        <w:t>, por qualquer meio ou forma, de qualquer documento ou informação confidencial;</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Zelar para que referidas informações não sejam divulgadas ou reveladas a terceiros, utilizando-se, no mínimo do mesmo zelo e cuidado que dispensa às suas próprias Informações Confidenciais;</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 não revelar as Informações Confidenciais a quaisquer terceiros, salvo mediante prévia e expressa autorização da Parte Reveladora. Ainda, em caso de revelação das informações, a Parte Receptora se compromete, desde já, a repassar todas as obrigações descritas neste instrumento aos que vierem a ter acesso a tais informações, responsabilizando-se por eventuais descumprimentos; e,</w:t>
      </w:r>
    </w:p>
    <w:p>
      <w:pPr>
        <w:pStyle w:val="NormalWeb"/>
        <w:widowControl w:val="false"/>
        <w:numPr>
          <w:ilvl w:val="0"/>
          <w:numId w:val="39"/>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Informar imediatamente à Parte Reveladora qualquer violação das regras de sigilo ora estabelecidas que tenha ocorrido ou que venha a ocorrer por sua ação ou omissão, independentemente da existência de dolo.</w:t>
      </w:r>
    </w:p>
    <w:p>
      <w:pPr>
        <w:pStyle w:val="NormalWeb"/>
        <w:shd w:val="clear" w:color="auto" w:fill="FFFFFF"/>
        <w:spacing w:lineRule="auto" w:line="240" w:before="0" w:after="0"/>
        <w:jc w:val="both"/>
        <w:rPr/>
      </w:pPr>
      <w:r>
        <w:rPr>
          <w:rFonts w:cs="Arial" w:ascii="Arial" w:hAnsi="Arial"/>
          <w:b/>
          <w:spacing w:val="2"/>
          <w:sz w:val="22"/>
          <w:szCs w:val="22"/>
        </w:rPr>
        <w:t>2.4.</w:t>
      </w:r>
      <w:r>
        <w:rPr>
          <w:rFonts w:cs="Arial" w:ascii="Arial" w:hAnsi="Arial"/>
          <w:spacing w:val="2"/>
          <w:sz w:val="22"/>
          <w:szCs w:val="22"/>
        </w:rPr>
        <w:t xml:space="preserve"> As obrigações estabelecidas neste instrumento não serão aplicáveis a quaisquer Informações Confidenciais que:</w:t>
      </w:r>
    </w:p>
    <w:p>
      <w:pPr>
        <w:pStyle w:val="NormalWeb"/>
        <w:widowControl w:val="false"/>
        <w:numPr>
          <w:ilvl w:val="0"/>
          <w:numId w:val="40"/>
        </w:numPr>
        <w:shd w:val="clear" w:color="auto" w:fill="FFFFFF"/>
        <w:spacing w:lineRule="auto" w:line="240" w:before="0" w:after="0"/>
        <w:jc w:val="both"/>
        <w:textAlignment w:val="baseline"/>
        <w:rPr/>
      </w:pPr>
      <w:r>
        <w:rPr>
          <w:rFonts w:cs="Arial" w:ascii="Arial" w:hAnsi="Arial"/>
          <w:spacing w:val="2"/>
          <w:sz w:val="22"/>
          <w:szCs w:val="22"/>
        </w:rPr>
        <w:t>Anteriormente ao seu recebimento pela Parte Receptora tenham tornado-se públicas ou chegado ao poder da Parte Receptora por uma fonte que não a Parte Reveladora; ou</w:t>
      </w:r>
    </w:p>
    <w:p>
      <w:pPr>
        <w:pStyle w:val="NormalWeb"/>
        <w:widowControl w:val="false"/>
        <w:numPr>
          <w:ilvl w:val="0"/>
          <w:numId w:val="40"/>
        </w:numPr>
        <w:shd w:val="clear" w:color="auto" w:fill="FFFFFF"/>
        <w:spacing w:lineRule="auto" w:line="240" w:before="0" w:after="0"/>
        <w:jc w:val="both"/>
        <w:textAlignment w:val="baseline"/>
        <w:rPr>
          <w:rFonts w:ascii="Arial" w:hAnsi="Arial" w:cs="Arial"/>
          <w:spacing w:val="2"/>
          <w:sz w:val="22"/>
          <w:szCs w:val="22"/>
        </w:rPr>
      </w:pPr>
      <w:r>
        <w:rPr>
          <w:rFonts w:cs="Arial" w:ascii="Arial" w:hAnsi="Arial"/>
          <w:spacing w:val="2"/>
          <w:sz w:val="22"/>
          <w:szCs w:val="22"/>
        </w:rPr>
        <w:t>Após o recebimento pela Parte Receptora, tenham tornado-se públicas por qualquer meio que não como consequência de uma violação de sua obrigação aqui prevista.</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TERCEIRA – DA PROTEÇÃO DE DADOS</w:t>
      </w:r>
    </w:p>
    <w:p>
      <w:pPr>
        <w:pStyle w:val="NormalWeb"/>
        <w:shd w:val="clear" w:color="auto" w:fill="FFFFFF"/>
        <w:spacing w:lineRule="auto" w:line="240" w:before="0" w:after="0"/>
        <w:jc w:val="both"/>
        <w:rPr/>
      </w:pPr>
      <w:r>
        <w:rPr>
          <w:rFonts w:cs="Arial" w:ascii="Arial" w:hAnsi="Arial"/>
          <w:b/>
          <w:spacing w:val="2"/>
          <w:sz w:val="22"/>
          <w:szCs w:val="22"/>
        </w:rPr>
        <w:t>3.1.</w:t>
      </w:r>
      <w:r>
        <w:rPr>
          <w:rFonts w:cs="Arial" w:ascii="Arial" w:hAnsi="Arial"/>
          <w:spacing w:val="2"/>
          <w:sz w:val="22"/>
          <w:szCs w:val="22"/>
        </w:rPr>
        <w:t xml:space="preserve"> Serão aplicáveis a este instrumento, as “Leis Aplicáveis à Proteção de Dados” que significa todas as leis, normas e regulamentos que regem o tratamento de dados pessoais, especialmente a Lei nº </w:t>
        <w:tab/>
        <w:t>13.709/2018 – LGPD, além das normas e dos regulamentos adotados pelas competentes autoridades de proteção de dados.</w:t>
      </w:r>
    </w:p>
    <w:p>
      <w:pPr>
        <w:pStyle w:val="NormalWeb"/>
        <w:shd w:val="clear" w:color="auto" w:fill="FFFFFF"/>
        <w:spacing w:lineRule="auto" w:line="240" w:before="0" w:after="0"/>
        <w:jc w:val="both"/>
        <w:rPr/>
      </w:pPr>
      <w:r>
        <w:rPr>
          <w:rFonts w:cs="Arial" w:ascii="Arial" w:hAnsi="Arial"/>
          <w:b/>
          <w:spacing w:val="2"/>
          <w:sz w:val="22"/>
          <w:szCs w:val="22"/>
        </w:rPr>
        <w:t>3.2.</w:t>
      </w:r>
      <w:r>
        <w:rPr>
          <w:rFonts w:cs="Arial" w:ascii="Arial" w:hAnsi="Arial"/>
          <w:spacing w:val="2"/>
          <w:sz w:val="22"/>
          <w:szCs w:val="22"/>
        </w:rPr>
        <w:t xml:space="preserve"> A Parte Receptora declara-se ciente e concorda que poderá ter acesso, utilizar, manter e processar, eletrônica e manualmente, informações e dados prestados pela Parte Reveladora e seus clientes (“dados protegidos”), exclusivamente para a prestação dos serviços.</w:t>
      </w:r>
    </w:p>
    <w:p>
      <w:pPr>
        <w:pStyle w:val="NormalWeb"/>
        <w:shd w:val="clear" w:color="auto" w:fill="FFFFFF"/>
        <w:spacing w:lineRule="auto" w:line="240" w:before="0" w:after="0"/>
        <w:jc w:val="both"/>
        <w:rPr/>
      </w:pPr>
      <w:r>
        <w:rPr>
          <w:rFonts w:cs="Arial" w:ascii="Arial" w:hAnsi="Arial"/>
          <w:b/>
          <w:spacing w:val="2"/>
          <w:sz w:val="22"/>
          <w:szCs w:val="22"/>
        </w:rPr>
        <w:t>3.3.</w:t>
      </w:r>
      <w:r>
        <w:rPr>
          <w:rFonts w:cs="Arial" w:ascii="Arial" w:hAnsi="Arial"/>
          <w:spacing w:val="2"/>
          <w:sz w:val="22"/>
          <w:szCs w:val="22"/>
        </w:rPr>
        <w:t xml:space="preserve"> As partes declaram-se cientes dos direitos, obrigações e penalidades aplicáveis constantes da Lei nº 13.709/2018 – LGPD e obrigam-se a adotar todas as medidas razoáveis para garantir, por si, bem como seu pessoal, colaboradores, empregados e subcontratados que utilizem os dados protegidos na extensão autorizada na referida LGPD.</w:t>
      </w:r>
    </w:p>
    <w:p>
      <w:pPr>
        <w:pStyle w:val="NormalWeb"/>
        <w:shd w:val="clear" w:color="auto" w:fill="FFFFFF"/>
        <w:spacing w:lineRule="auto" w:line="240" w:before="0" w:after="0"/>
        <w:jc w:val="both"/>
        <w:rPr/>
      </w:pPr>
      <w:r>
        <w:rPr>
          <w:rFonts w:cs="Arial" w:ascii="Arial" w:hAnsi="Arial"/>
          <w:b/>
          <w:spacing w:val="2"/>
          <w:sz w:val="22"/>
          <w:szCs w:val="22"/>
        </w:rPr>
        <w:t>3.4.</w:t>
      </w:r>
      <w:r>
        <w:rPr>
          <w:rFonts w:cs="Arial" w:ascii="Arial" w:hAnsi="Arial"/>
          <w:spacing w:val="2"/>
          <w:sz w:val="22"/>
          <w:szCs w:val="22"/>
        </w:rPr>
        <w:t xml:space="preserve"> A Parte Receptora somente poderá tratar dados pessoais conforme as instruções da Parte Reveladora, a fim de cumprir suas obrigações para a prestação dos serviços, jamais para qualquer outro propósito.</w:t>
      </w:r>
    </w:p>
    <w:p>
      <w:pPr>
        <w:pStyle w:val="NormalWeb"/>
        <w:shd w:val="clear" w:color="auto" w:fill="FFFFFF"/>
        <w:spacing w:lineRule="auto" w:line="240" w:before="0" w:after="0"/>
        <w:jc w:val="both"/>
        <w:rPr/>
      </w:pPr>
      <w:r>
        <w:rPr>
          <w:rFonts w:cs="Arial" w:ascii="Arial" w:hAnsi="Arial"/>
          <w:b/>
          <w:spacing w:val="2"/>
          <w:sz w:val="22"/>
          <w:szCs w:val="22"/>
        </w:rPr>
        <w:t>3.5.</w:t>
      </w:r>
      <w:r>
        <w:rPr>
          <w:rFonts w:cs="Arial" w:ascii="Arial" w:hAnsi="Arial"/>
          <w:spacing w:val="2"/>
          <w:sz w:val="22"/>
          <w:szCs w:val="22"/>
        </w:rPr>
        <w:t xml:space="preserve"> A Parte Receptora tratará os dados pessoais em nome da Parte Reveladora e de acordo com as instruções escritas fornecidas pela Parte Reveladora. Caso a Parte Receptora considere que não possui informações suficientes para o tratamento dos dados pessoais de acordo com este instrumento ou que uma instrução infrinja as Leis Aplicáveis à Proteção de Dados, a Parte Receptora prontamente notificará a Parte Reveladora e aguardará novas instruções.</w:t>
      </w:r>
    </w:p>
    <w:p>
      <w:pPr>
        <w:pStyle w:val="NormalWeb"/>
        <w:shd w:val="clear" w:color="auto" w:fill="FFFFFF"/>
        <w:spacing w:lineRule="auto" w:line="240" w:before="0" w:after="0"/>
        <w:jc w:val="both"/>
        <w:rPr/>
      </w:pPr>
      <w:r>
        <w:rPr>
          <w:rFonts w:cs="Arial" w:ascii="Arial" w:hAnsi="Arial"/>
          <w:b/>
          <w:spacing w:val="2"/>
          <w:sz w:val="22"/>
          <w:szCs w:val="22"/>
        </w:rPr>
        <w:t>3.6.</w:t>
      </w:r>
      <w:r>
        <w:rPr>
          <w:rFonts w:cs="Arial" w:ascii="Arial" w:hAnsi="Arial"/>
          <w:spacing w:val="2"/>
          <w:sz w:val="22"/>
          <w:szCs w:val="22"/>
        </w:rPr>
        <w:t xml:space="preserve"> Se aplicável, a Parte Receptora se certificará que qualquer terceiro sob sua responsabilidade agirá de acordo com este instrumento, as Leis Aplicáveis à Proteção de Dados e as instruções transmitidas pela Parte Reveladora. A Parte Receptora se certificará que as pessoas autorizadas a tratar os dados pessoais assumam um compromisso de confidencialidade ou estejam sujeitas a adequadas obrigações legais de confidencialidade.</w:t>
      </w:r>
    </w:p>
    <w:p>
      <w:pPr>
        <w:pStyle w:val="NormalWeb"/>
        <w:shd w:val="clear" w:color="auto" w:fill="FFFFFF"/>
        <w:spacing w:lineRule="auto" w:line="240" w:before="0" w:after="0"/>
        <w:jc w:val="both"/>
        <w:rPr/>
      </w:pPr>
      <w:r>
        <w:rPr>
          <w:rFonts w:cs="Arial" w:ascii="Arial" w:hAnsi="Arial"/>
          <w:b/>
          <w:spacing w:val="2"/>
          <w:sz w:val="22"/>
          <w:szCs w:val="22"/>
        </w:rPr>
        <w:t>3.7.</w:t>
      </w:r>
      <w:r>
        <w:rPr>
          <w:rFonts w:cs="Arial" w:ascii="Arial" w:hAnsi="Arial"/>
          <w:spacing w:val="2"/>
          <w:sz w:val="22"/>
          <w:szCs w:val="22"/>
        </w:rPr>
        <w:t xml:space="preserve"> Se o titular dos dados, autoridade de proteção de dados ou terceiro solicitar informações diretamente da Parte Receptora relativas ao tratamento de dados pessoais, a Parte Receptora submeterá esse pedido à apreciação da Parte Reveladora. A Parte Receptora não poderá, sem instruções prévias da Parte Reveladora, transferir ou, de qualquer outra forma, compartilhar e/ou garantir acesso aos dados pessoais ou a quaisquer outras informações relativas ao tratamento de dados pessoais a qualquer terceiro.</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QUARTA – DAS DISPOSIÇÕES GERAIS</w:t>
      </w:r>
    </w:p>
    <w:p>
      <w:pPr>
        <w:pStyle w:val="NormalWeb"/>
        <w:shd w:val="clear" w:color="auto" w:fill="FFFFFF"/>
        <w:spacing w:lineRule="auto" w:line="240" w:before="0" w:after="0"/>
        <w:jc w:val="both"/>
        <w:rPr/>
      </w:pPr>
      <w:r>
        <w:rPr>
          <w:rFonts w:cs="Arial" w:ascii="Arial" w:hAnsi="Arial"/>
          <w:b/>
          <w:spacing w:val="2"/>
          <w:sz w:val="22"/>
          <w:szCs w:val="22"/>
        </w:rPr>
        <w:t>4.1.</w:t>
      </w:r>
      <w:r>
        <w:rPr>
          <w:rFonts w:cs="Arial" w:ascii="Arial" w:hAnsi="Arial"/>
          <w:spacing w:val="2"/>
          <w:sz w:val="22"/>
          <w:szCs w:val="22"/>
        </w:rPr>
        <w:t xml:space="preserve"> Este instrumento poderá ser alterado somente mediante a celebração de Termo Aditivo.</w:t>
      </w:r>
    </w:p>
    <w:p>
      <w:pPr>
        <w:pStyle w:val="NormalWeb"/>
        <w:shd w:val="clear" w:color="auto" w:fill="FFFFFF"/>
        <w:spacing w:lineRule="auto" w:line="240" w:before="0" w:after="0"/>
        <w:jc w:val="both"/>
        <w:rPr/>
      </w:pPr>
      <w:r>
        <w:rPr>
          <w:rFonts w:cs="Arial" w:ascii="Arial" w:hAnsi="Arial"/>
          <w:b/>
          <w:spacing w:val="2"/>
          <w:sz w:val="22"/>
          <w:szCs w:val="22"/>
        </w:rPr>
        <w:t>4.2.</w:t>
      </w:r>
      <w:r>
        <w:rPr>
          <w:rFonts w:cs="Arial" w:ascii="Arial" w:hAnsi="Arial"/>
          <w:spacing w:val="2"/>
          <w:sz w:val="22"/>
          <w:szCs w:val="22"/>
        </w:rPr>
        <w:t xml:space="preserve"> A nulidade ou anulação de qualquer cláusula deste instrumento não implicará na nulidade ou anulação das demais cláusulas, que permanecerão em vigor, a menos que expressamente anuladas por decisão judicial.</w:t>
      </w:r>
    </w:p>
    <w:p>
      <w:pPr>
        <w:pStyle w:val="NormalWeb"/>
        <w:shd w:val="clear" w:color="auto" w:fill="FFFFFF"/>
        <w:spacing w:lineRule="auto" w:line="240" w:before="0" w:after="0"/>
        <w:jc w:val="both"/>
        <w:rPr/>
      </w:pPr>
      <w:r>
        <w:rPr>
          <w:rFonts w:cs="Arial" w:ascii="Arial" w:hAnsi="Arial"/>
          <w:b/>
          <w:spacing w:val="2"/>
          <w:sz w:val="22"/>
          <w:szCs w:val="22"/>
        </w:rPr>
        <w:t>4.3.</w:t>
      </w:r>
      <w:r>
        <w:rPr>
          <w:rFonts w:cs="Arial" w:ascii="Arial" w:hAnsi="Arial"/>
          <w:spacing w:val="2"/>
          <w:sz w:val="22"/>
          <w:szCs w:val="22"/>
        </w:rPr>
        <w:t xml:space="preserve"> O não exercício pelas partes de quaisquer dos direitos ou prerrogativas previstos neste instrumento ou na legislação aplicável será tido como ato de mera liberalidade, não constituindo alteração ou novação das obrigações ora estabelecidas, cujo cumprimento poderá ser exigido a qualquer tempo, independentemente de comunicação prévia à parte.</w:t>
      </w:r>
    </w:p>
    <w:p>
      <w:pPr>
        <w:pStyle w:val="NormalWeb"/>
        <w:shd w:val="clear" w:color="auto" w:fill="FFFFFF"/>
        <w:spacing w:lineRule="auto" w:line="240" w:before="0" w:after="0"/>
        <w:jc w:val="both"/>
        <w:rPr/>
      </w:pPr>
      <w:r>
        <w:rPr>
          <w:rFonts w:cs="Arial" w:ascii="Arial" w:hAnsi="Arial"/>
          <w:b/>
          <w:spacing w:val="2"/>
          <w:sz w:val="22"/>
          <w:szCs w:val="22"/>
        </w:rPr>
        <w:t>4.4.</w:t>
      </w:r>
      <w:r>
        <w:rPr>
          <w:rFonts w:cs="Arial" w:ascii="Arial" w:hAnsi="Arial"/>
          <w:spacing w:val="2"/>
          <w:sz w:val="22"/>
          <w:szCs w:val="22"/>
        </w:rPr>
        <w:t xml:space="preserve"> O presente instrumento é celebrado em caráter irrevogável e irretratável, obrigando as partes e seus sucessores, a qualquer título e tempo.</w:t>
      </w:r>
    </w:p>
    <w:p>
      <w:pPr>
        <w:pStyle w:val="NormalWeb"/>
        <w:shd w:val="clear" w:color="auto" w:fill="FFFFFF"/>
        <w:spacing w:lineRule="auto" w:line="240" w:before="0" w:after="0"/>
        <w:jc w:val="both"/>
        <w:rPr/>
      </w:pPr>
      <w:r>
        <w:rPr>
          <w:rFonts w:cs="Arial" w:ascii="Arial" w:hAnsi="Arial"/>
          <w:b/>
          <w:spacing w:val="2"/>
          <w:sz w:val="22"/>
          <w:szCs w:val="22"/>
        </w:rPr>
        <w:t>4.5.</w:t>
      </w:r>
      <w:r>
        <w:rPr>
          <w:rFonts w:cs="Arial" w:ascii="Arial" w:hAnsi="Arial"/>
          <w:spacing w:val="2"/>
          <w:sz w:val="22"/>
          <w:szCs w:val="22"/>
        </w:rPr>
        <w:t xml:space="preserve"> A Parte Receptora declara que os serviços serão prestados de acordo com todas as legislações, princípios e normas aplicáveis, inclusive a Lei nº 13.709/2018 – Lei Geral de Proteção de Dados (LGDP).</w:t>
      </w:r>
    </w:p>
    <w:p>
      <w:pPr>
        <w:pStyle w:val="NormalWeb"/>
        <w:shd w:val="clear" w:color="auto" w:fill="FFFFFF"/>
        <w:spacing w:lineRule="auto" w:line="240" w:before="0" w:after="0"/>
        <w:jc w:val="both"/>
        <w:rPr/>
      </w:pPr>
      <w:r>
        <w:rPr>
          <w:rFonts w:cs="Arial" w:ascii="Arial" w:hAnsi="Arial"/>
          <w:b/>
          <w:spacing w:val="2"/>
          <w:sz w:val="22"/>
          <w:szCs w:val="22"/>
        </w:rPr>
        <w:t>4.6.</w:t>
      </w:r>
      <w:r>
        <w:rPr>
          <w:rFonts w:cs="Arial" w:ascii="Arial" w:hAnsi="Arial"/>
          <w:spacing w:val="2"/>
          <w:sz w:val="22"/>
          <w:szCs w:val="22"/>
        </w:rPr>
        <w:t xml:space="preserve"> Os efeitos deste instrumento retroagem à data que a Parte Receptora teve acesso à primeira informação confidencial relacionada </w:t>
      </w:r>
      <w:r>
        <w:rPr>
          <w:rFonts w:cs="Arial" w:ascii="Arial" w:hAnsi="Arial"/>
          <w:color w:val="111111"/>
          <w:spacing w:val="2"/>
          <w:sz w:val="22"/>
          <w:szCs w:val="22"/>
        </w:rPr>
        <w:t>ao contrato/ata assinado juntamente com o Munic</w:t>
      </w:r>
      <w:r>
        <w:rPr>
          <w:rFonts w:cs="Arial" w:ascii="Arial" w:hAnsi="Arial"/>
          <w:color w:val="111111"/>
          <w:sz w:val="22"/>
          <w:szCs w:val="22"/>
        </w:rPr>
        <w:t xml:space="preserve">ípio de Itá-SC, </w:t>
      </w:r>
      <w:r>
        <w:rPr>
          <w:rFonts w:cs="Arial" w:ascii="Arial" w:hAnsi="Arial"/>
          <w:color w:val="111111"/>
          <w:spacing w:val="2"/>
          <w:sz w:val="22"/>
          <w:szCs w:val="22"/>
        </w:rPr>
        <w:t xml:space="preserve"> sendo que todas as obrigações aqui estabelecidas permanecerão válidas até que a Parte Reveladora autorize (por escrito) a</w:t>
      </w:r>
      <w:r>
        <w:rPr>
          <w:rFonts w:cs="Arial" w:ascii="Arial" w:hAnsi="Arial"/>
          <w:spacing w:val="2"/>
          <w:sz w:val="22"/>
          <w:szCs w:val="22"/>
        </w:rPr>
        <w:t xml:space="preserve"> revelação da informação confidencial, observado, ainda, o disposto nas legislações vigentes (inclusive a Lei nº 13.709/2018 – LGPD).</w:t>
      </w:r>
    </w:p>
    <w:p>
      <w:pPr>
        <w:pStyle w:val="NormalWeb"/>
        <w:shd w:val="clear" w:color="auto" w:fill="FFFFFF"/>
        <w:spacing w:lineRule="auto" w:line="240" w:before="0" w:after="0"/>
        <w:jc w:val="both"/>
        <w:rPr/>
      </w:pPr>
      <w:r>
        <w:rPr>
          <w:rFonts w:cs="Arial" w:ascii="Arial" w:hAnsi="Arial"/>
          <w:b/>
          <w:spacing w:val="2"/>
          <w:sz w:val="22"/>
          <w:szCs w:val="22"/>
        </w:rPr>
        <w:t>4.7.</w:t>
      </w:r>
      <w:r>
        <w:rPr>
          <w:rFonts w:cs="Arial" w:ascii="Arial" w:hAnsi="Arial"/>
          <w:spacing w:val="2"/>
          <w:sz w:val="22"/>
          <w:szCs w:val="22"/>
        </w:rPr>
        <w:t xml:space="preserve"> As partes declaram e reconhecem que são</w:t>
      </w:r>
      <w:r>
        <w:rPr>
          <w:rFonts w:cs="Arial" w:ascii="Arial" w:hAnsi="Arial"/>
          <w:b/>
          <w:spacing w:val="2"/>
          <w:sz w:val="22"/>
          <w:szCs w:val="22"/>
        </w:rPr>
        <w:t xml:space="preserve"> </w:t>
      </w:r>
      <w:r>
        <w:rPr>
          <w:rFonts w:cs="Arial" w:ascii="Arial" w:hAnsi="Arial"/>
          <w:spacing w:val="2"/>
          <w:sz w:val="22"/>
          <w:szCs w:val="22"/>
        </w:rPr>
        <w:t>entidades totalmente independentes entre si, de forma que nenhuma disposição deste instrumento poderá ser interpretada no sentido de criar qualquer vínculo empregatício entre as partes, bem como entre os empregados de uma parte e a outra parte.</w:t>
      </w:r>
    </w:p>
    <w:p>
      <w:pPr>
        <w:pStyle w:val="NormalWeb"/>
        <w:shd w:val="clear" w:color="auto" w:fill="FFFFFF"/>
        <w:spacing w:lineRule="auto" w:line="240" w:before="0" w:after="0"/>
        <w:jc w:val="both"/>
        <w:rPr/>
      </w:pPr>
      <w:r>
        <w:rPr>
          <w:rFonts w:cs="Arial" w:ascii="Arial" w:hAnsi="Arial"/>
          <w:b/>
          <w:spacing w:val="2"/>
          <w:sz w:val="22"/>
          <w:szCs w:val="22"/>
        </w:rPr>
        <w:t>4.8.</w:t>
      </w:r>
      <w:r>
        <w:rPr>
          <w:rFonts w:cs="Arial" w:ascii="Arial" w:hAnsi="Arial"/>
          <w:spacing w:val="2"/>
          <w:sz w:val="22"/>
          <w:szCs w:val="22"/>
        </w:rPr>
        <w:t xml:space="preserve"> Através deste instrumento, a Parte Receptora cede à Parte Reveladora todos os direitos patrimoniais de autor a ela pertencente, decorrentes dos serviços prestados.</w:t>
      </w:r>
    </w:p>
    <w:p>
      <w:pPr>
        <w:pStyle w:val="NormalWeb"/>
        <w:shd w:val="clear" w:color="auto" w:fill="FFFFFF"/>
        <w:spacing w:lineRule="auto" w:line="240" w:before="0" w:after="0"/>
        <w:jc w:val="both"/>
        <w:rPr/>
      </w:pPr>
      <w:r>
        <w:rPr>
          <w:rFonts w:cs="Arial" w:ascii="Arial" w:hAnsi="Arial"/>
          <w:b/>
          <w:spacing w:val="2"/>
          <w:sz w:val="22"/>
          <w:szCs w:val="22"/>
        </w:rPr>
        <w:t>4.9.</w:t>
      </w:r>
      <w:r>
        <w:rPr>
          <w:rFonts w:cs="Arial" w:ascii="Arial" w:hAnsi="Arial"/>
          <w:spacing w:val="2"/>
          <w:sz w:val="22"/>
          <w:szCs w:val="22"/>
        </w:rPr>
        <w:t xml:space="preserve"> A inobservância de qualquer uma das disposições estabelecidas neste instrumento, sujeitará a Parte Receptora ao pagamento ou ressarcimento, de todas as perdas e danos, materiais e morais, lucros cessantes, nos termos das legislações vigentes.</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b/>
          <w:b/>
          <w:bCs/>
          <w:spacing w:val="2"/>
          <w:sz w:val="22"/>
          <w:szCs w:val="22"/>
        </w:rPr>
      </w:pPr>
      <w:r>
        <w:rPr>
          <w:rFonts w:cs="Arial" w:ascii="Arial" w:hAnsi="Arial"/>
          <w:b/>
          <w:bCs/>
          <w:spacing w:val="2"/>
          <w:sz w:val="22"/>
          <w:szCs w:val="22"/>
        </w:rPr>
        <w:t>CLÁUSULA QUINTA – DO FORO</w:t>
      </w:r>
    </w:p>
    <w:p>
      <w:pPr>
        <w:pStyle w:val="NormalWeb"/>
        <w:shd w:val="clear" w:color="auto" w:fill="FFFFFF"/>
        <w:spacing w:lineRule="auto" w:line="240" w:before="0" w:after="0"/>
        <w:jc w:val="both"/>
        <w:rPr/>
      </w:pPr>
      <w:r>
        <w:rPr>
          <w:rFonts w:cs="Arial" w:ascii="Arial" w:hAnsi="Arial"/>
          <w:b/>
          <w:spacing w:val="2"/>
          <w:sz w:val="22"/>
          <w:szCs w:val="22"/>
        </w:rPr>
        <w:t>5.1.</w:t>
      </w:r>
      <w:r>
        <w:rPr>
          <w:rFonts w:cs="Arial" w:ascii="Arial" w:hAnsi="Arial"/>
          <w:spacing w:val="2"/>
          <w:sz w:val="22"/>
          <w:szCs w:val="22"/>
        </w:rPr>
        <w:t xml:space="preserve"> Fica eleito o Foro d</w:t>
      </w:r>
      <w:r>
        <w:rPr>
          <w:rFonts w:cs="Arial" w:ascii="Arial" w:hAnsi="Arial"/>
          <w:color w:val="111111"/>
          <w:spacing w:val="2"/>
          <w:sz w:val="22"/>
          <w:szCs w:val="22"/>
        </w:rPr>
        <w:t>a Comarca de Itá, Estado de Santa Catarina, como único competente para dirimir as controvérsias resultantes deste instrumento, renunciando as partes a qualquer outro, por mais privilegiado que seja ou venha a ser</w:t>
      </w:r>
      <w:r>
        <w:rPr>
          <w:rFonts w:cs="Arial" w:ascii="Arial" w:hAnsi="Arial"/>
          <w:spacing w:val="2"/>
          <w:sz w:val="22"/>
          <w:szCs w:val="22"/>
        </w:rPr>
        <w:t>.</w:t>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(LOCAL), (DATA).</w:t>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center"/>
        <w:rPr>
          <w:rFonts w:ascii="Arial" w:hAnsi="Arial" w:cs="Arial"/>
          <w:color w:val="111111"/>
          <w:sz w:val="22"/>
          <w:szCs w:val="22"/>
        </w:rPr>
      </w:pPr>
      <w:r>
        <w:rPr>
          <w:rFonts w:cs="Arial" w:ascii="Arial" w:hAnsi="Arial"/>
          <w:color w:val="111111"/>
          <w:sz w:val="22"/>
          <w:szCs w:val="22"/>
        </w:rPr>
      </w:r>
    </w:p>
    <w:p>
      <w:pPr>
        <w:pStyle w:val="NormalWeb"/>
        <w:shd w:val="clear" w:color="auto" w:fill="FFFFFF"/>
        <w:spacing w:lineRule="auto" w:line="240" w:before="0" w:after="0"/>
        <w:jc w:val="center"/>
        <w:rPr>
          <w:rFonts w:ascii="Arial" w:hAnsi="Arial" w:cs="Arial"/>
          <w:spacing w:val="2"/>
          <w:sz w:val="22"/>
          <w:szCs w:val="22"/>
        </w:rPr>
      </w:pPr>
      <w:r>
        <w:rPr>
          <w:rFonts w:cs="Arial" w:ascii="Arial" w:hAnsi="Arial"/>
          <w:spacing w:val="2"/>
          <w:sz w:val="22"/>
          <w:szCs w:val="22"/>
        </w:rPr>
        <w:t>______________________________________________________________</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t>Razão Social do Contratado</w:t>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center"/>
        <w:rPr>
          <w:rFonts w:ascii="Arial" w:hAnsi="Arial" w:cs="Arial"/>
          <w:b/>
          <w:b/>
          <w:bCs/>
          <w:spacing w:val="2"/>
          <w:sz w:val="22"/>
          <w:szCs w:val="22"/>
        </w:rPr>
      </w:pPr>
      <w:r>
        <w:rPr>
          <w:rFonts w:cs="Arial" w:ascii="Arial" w:hAnsi="Arial"/>
          <w:b/>
          <w:bCs/>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Web"/>
        <w:shd w:val="clear" w:color="auto" w:fill="FFFFFF"/>
        <w:spacing w:lineRule="auto" w:line="240" w:before="0" w:after="0"/>
        <w:jc w:val="both"/>
        <w:rPr>
          <w:rFonts w:ascii="Arial" w:hAnsi="Arial" w:cs="Arial"/>
          <w:spacing w:val="2"/>
          <w:sz w:val="22"/>
          <w:szCs w:val="22"/>
        </w:rPr>
      </w:pPr>
      <w:r>
        <w:rPr>
          <w:rFonts w:cs="Arial" w:ascii="Arial" w:hAnsi="Arial"/>
          <w:spacing w:val="2"/>
          <w:sz w:val="22"/>
          <w:szCs w:val="22"/>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APLICAÇÃO DOS ARTS. 42 AO 49 DA LEI COMPLEMENTAR Nº 123/2006</w:t>
      </w:r>
    </w:p>
    <w:p>
      <w:pPr>
        <w:pStyle w:val="Normal"/>
        <w:spacing w:lineRule="auto" w:line="240" w:before="0" w:after="0"/>
        <w:ind w:firstLine="708"/>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4º, § 2º da Lei nº 14.133/2021, que para obter os benefícios dos arts.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PROPOSTA</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tbl>
      <w:tblPr>
        <w:tblW w:w="8494"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2808"/>
        <w:gridCol w:w="2950"/>
        <w:gridCol w:w="2736"/>
      </w:tblGrid>
      <w:tr>
        <w:trPr>
          <w:trHeight w:val="886" w:hRule="atLeast"/>
        </w:trPr>
        <w:tc>
          <w:tcPr>
            <w:tcW w:w="28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DEFINIÇÃO</w:t>
            </w:r>
          </w:p>
        </w:tc>
        <w:tc>
          <w:tcPr>
            <w:tcW w:w="29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QUANTIDADE</w:t>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VALOR UNITÁRIO</w:t>
            </w:r>
          </w:p>
        </w:tc>
      </w:tr>
      <w:tr>
        <w:trPr>
          <w:trHeight w:val="903" w:hRule="atLeast"/>
        </w:trPr>
        <w:tc>
          <w:tcPr>
            <w:tcW w:w="280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c>
          <w:tcPr>
            <w:tcW w:w="29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r>
      <w:tr>
        <w:trPr>
          <w:trHeight w:val="886" w:hRule="atLeast"/>
        </w:trPr>
        <w:tc>
          <w:tcPr>
            <w:tcW w:w="575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t>VALOR TOTAL</w:t>
            </w:r>
          </w:p>
        </w:tc>
        <w:tc>
          <w:tcPr>
            <w:tcW w:w="27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rFonts w:ascii="Arial" w:hAnsi="Arial" w:cs="Arial"/>
                <w:b/>
                <w:b/>
              </w:rPr>
            </w:pPr>
            <w:r>
              <w:rPr>
                <w:rFonts w:cs="Arial" w:ascii="Arial" w:hAnsi="Arial"/>
                <w:b/>
              </w:rPr>
            </w:r>
          </w:p>
        </w:tc>
      </w:tr>
    </w:tbl>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tab/>
        <w:t>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0" w:after="0"/>
        <w:jc w:val="both"/>
        <w:rPr/>
      </w:pPr>
      <w:r>
        <w:rPr>
          <w:rFonts w:cs="Arial" w:ascii="Arial" w:hAnsi="Arial"/>
        </w:rPr>
        <w:tab/>
      </w:r>
      <w:r>
        <w:rPr>
          <w:rFonts w:cs="Arial" w:ascii="Arial" w:hAnsi="Arial"/>
          <w:color w:val="111111"/>
        </w:rPr>
        <w:t>Também DECLARA que o cálculo do valor da contratação considera taxa de risco compatível com o objeto da licitação e com os riscos atribuídos ao contratado.</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bCs/>
        </w:rPr>
      </w:pPr>
      <w:r>
        <w:rPr>
          <w:rFonts w:cs="Arial" w:ascii="Arial" w:hAnsi="Arial"/>
          <w:bCs/>
        </w:rPr>
        <w:t>Dados da empresa contendo: nome, CNPJ, endereço completo (com CEP), telefone, e-mail, nome completo do responsável, CPF, endereço completo, função na empresa, demais informações que achar pertinente.</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VII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 xml:space="preserve">ATENDIMENTO AOS REQUISITOS DE HABILITAÇÃO E DECLARAÇÃO DE QUE OS DOCUMENTOS APRESENTADOS PELO PROPONENTE CONFEREM COM O ORIGINAL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pPr>
      <w:r>
        <w:rPr>
          <w:rFonts w:cs="Arial" w:ascii="Arial" w:hAnsi="Arial"/>
        </w:rPr>
        <w:t xml:space="preserve">A empresa ___________________________, inscrita no CPF/CNPJ nº ______________, DECLARA, nos termos do art. 63, I da Lei nº 14.133/2021 que atende aos requisitos de habilitação, respondendo pela veracidade das informações prestadas, na forma da lei. DECLARA ainda, que os documentos apresentados de origem não eletrônica, conferem com seus respectivos originais, nos termos do que dispõe o art. 3°, § 2° da Lei Federal n° 13.726/2018. </w:t>
      </w:r>
      <w:r>
        <w:rPr>
          <w:rFonts w:cs="Times New Roman" w:ascii="Arial" w:hAnsi="Arial"/>
        </w:rPr>
        <w:t xml:space="preserve">DECLARA ainda que </w:t>
      </w:r>
      <w:r>
        <w:rPr>
          <w:rFonts w:cs="Arial" w:ascii="Arial" w:hAnsi="Arial"/>
        </w:rPr>
        <w:t>tomou conhecimento de todas as informações e das condições locais para o cumprimento das obrigações objeto da licitação, comprometendo-se a cumprir com os requisitos e obrigações constantes no Edital do Processo Licitatório, no Estudo Técnico Preliminar, Termo de Referência e demais anexos.</w:t>
      </w:r>
    </w:p>
    <w:p>
      <w:pPr>
        <w:pStyle w:val="Normal"/>
        <w:spacing w:lineRule="auto" w:line="240" w:before="0" w:after="0"/>
        <w:jc w:val="both"/>
        <w:rPr>
          <w:rFonts w:ascii="Arial" w:hAnsi="Arial" w:cs="Arial"/>
        </w:rPr>
      </w:pPr>
      <w:r>
        <w:rPr>
          <w:rFonts w:cs="Arial" w:ascii="Arial" w:hAnsi="Arial"/>
        </w:rPr>
        <w:tab/>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cs="Arial"/>
        </w:rPr>
      </w:pPr>
      <w:r>
        <w:rPr>
          <w:rFonts w:cs="Arial" w:ascii="Arial" w:hAnsi="Arial"/>
        </w:rPr>
      </w:r>
    </w:p>
    <w:p>
      <w:pPr>
        <w:pStyle w:val="Normal"/>
        <w:spacing w:lineRule="auto" w:line="240" w:before="0" w:after="0"/>
        <w:jc w:val="center"/>
        <w:rPr>
          <w:rFonts w:ascii="Arial" w:hAnsi="Arial" w:cs="Arial"/>
          <w:b/>
          <w:b/>
        </w:rPr>
      </w:pPr>
      <w:r>
        <w:rPr>
          <w:rFonts w:cs="Arial" w:ascii="Arial" w:hAnsi="Arial"/>
          <w:b/>
        </w:rPr>
        <w:t>ANEXO VIII</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rFonts w:ascii="Arial" w:hAnsi="Arial" w:cs="Arial"/>
          <w:b/>
          <w:b/>
        </w:rPr>
      </w:pPr>
      <w:r>
        <w:rPr>
          <w:rFonts w:cs="Arial" w:ascii="Arial" w:hAnsi="Arial"/>
          <w:b/>
        </w:rPr>
        <w:t>DECLARAÇÃO DE CUMPRIMENTO DE RESERVA DE CARGOS</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ind w:firstLine="708"/>
        <w:jc w:val="both"/>
        <w:rPr>
          <w:rFonts w:ascii="Arial" w:hAnsi="Arial" w:cs="Arial"/>
        </w:rPr>
      </w:pPr>
      <w:r>
        <w:rPr>
          <w:rFonts w:cs="Arial" w:ascii="Arial" w:hAnsi="Arial"/>
        </w:rPr>
        <w:t>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w:t>
      </w:r>
    </w:p>
    <w:p>
      <w:pPr>
        <w:pStyle w:val="Normal"/>
        <w:spacing w:lineRule="auto" w:line="240" w:before="0" w:after="0"/>
        <w:ind w:firstLine="708"/>
        <w:jc w:val="both"/>
        <w:rPr>
          <w:rFonts w:ascii="Arial" w:hAnsi="Arial" w:cs="Arial"/>
        </w:rPr>
      </w:pPr>
      <w:r>
        <w:rPr>
          <w:rFonts w:cs="Arial" w:ascii="Arial" w:hAnsi="Arial"/>
        </w:rPr>
        <w:t>Por ser expressão da verdade, assumo inteira responsabilidade por esta declaração, sob pena do art. 299 do Código Penal.</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t>(LOCAL), (DATA).</w:t>
      </w:r>
    </w:p>
    <w:p>
      <w:pPr>
        <w:pStyle w:val="Normal"/>
        <w:spacing w:lineRule="auto" w:line="240" w:before="0" w:after="0"/>
        <w:jc w:val="center"/>
        <w:rPr>
          <w:rFonts w:ascii="Arial" w:hAnsi="Arial" w:cs="Arial"/>
        </w:rPr>
      </w:pPr>
      <w:r>
        <w:rPr>
          <w:rFonts w:cs="Arial" w:ascii="Arial" w:hAnsi="Arial"/>
        </w:rPr>
        <w:t>______________________________________</w:t>
      </w:r>
    </w:p>
    <w:p>
      <w:pPr>
        <w:pStyle w:val="Normal"/>
        <w:spacing w:lineRule="auto" w:line="240" w:before="0" w:after="0"/>
        <w:jc w:val="center"/>
        <w:rPr>
          <w:rFonts w:ascii="Arial" w:hAnsi="Arial" w:cs="Arial"/>
        </w:rPr>
      </w:pPr>
      <w:r>
        <w:rPr>
          <w:rFonts w:cs="Arial" w:ascii="Arial" w:hAnsi="Arial"/>
        </w:rPr>
        <w:t>(LICITANTE – CNPJ/CPF)</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jc w:val="center"/>
        <w:rPr/>
      </w:pPr>
      <w:r>
        <w:rPr>
          <w:rFonts w:cs="Arial" w:ascii="Arial" w:hAnsi="Arial"/>
          <w:b/>
          <w:bCs/>
          <w:lang w:eastAsia="pt-BR"/>
        </w:rPr>
        <w:t xml:space="preserve">PROCESSO LICITATÓRIO Nº </w:t>
      </w:r>
      <w:r>
        <w:rPr>
          <w:rFonts w:eastAsia="Calibri" w:cs="Arial" w:ascii="Arial" w:hAnsi="Arial"/>
          <w:b/>
          <w:bCs/>
          <w:color w:val="auto"/>
          <w:kern w:val="0"/>
          <w:sz w:val="22"/>
          <w:szCs w:val="22"/>
          <w:lang w:val="pt-BR" w:eastAsia="pt-BR" w:bidi="ar-SA"/>
        </w:rPr>
        <w:t>225</w:t>
      </w:r>
      <w:r>
        <w:rPr>
          <w:rFonts w:cs="Arial" w:ascii="Arial" w:hAnsi="Arial"/>
          <w:b/>
          <w:bCs/>
          <w:lang w:eastAsia="pt-BR"/>
        </w:rPr>
        <w:t xml:space="preserve">/2023 </w:t>
      </w:r>
    </w:p>
    <w:p>
      <w:pPr>
        <w:pStyle w:val="Normal"/>
        <w:spacing w:lineRule="auto" w:line="240" w:before="0" w:after="0"/>
        <w:jc w:val="center"/>
        <w:rPr>
          <w:rFonts w:ascii="Arial" w:hAnsi="Arial" w:cs="Arial"/>
        </w:rPr>
      </w:pPr>
      <w:r>
        <w:rPr>
          <w:rFonts w:cs="Arial" w:ascii="Arial" w:hAnsi="Arial"/>
        </w:rPr>
      </w:r>
    </w:p>
    <w:p>
      <w:pPr>
        <w:pStyle w:val="Normal"/>
        <w:spacing w:lineRule="auto" w:line="240" w:before="0" w:after="0"/>
        <w:jc w:val="center"/>
        <w:rPr/>
      </w:pPr>
      <w:r>
        <w:rPr>
          <w:rFonts w:cs="Arial" w:ascii="Arial" w:hAnsi="Arial"/>
          <w:b/>
          <w:bCs/>
        </w:rPr>
        <w:t xml:space="preserve">EDITAL DE PREGÃO ELETRÔNICO Nº </w:t>
      </w:r>
      <w:r>
        <w:rPr>
          <w:rFonts w:eastAsia="Calibri" w:cs="Arial" w:ascii="Arial" w:hAnsi="Arial"/>
          <w:b/>
          <w:bCs/>
          <w:color w:val="auto"/>
          <w:kern w:val="0"/>
          <w:sz w:val="22"/>
          <w:szCs w:val="22"/>
          <w:lang w:val="pt-BR" w:eastAsia="en-US" w:bidi="ar-SA"/>
        </w:rPr>
        <w:t>090</w:t>
      </w:r>
      <w:r>
        <w:rPr>
          <w:rFonts w:cs="Arial" w:ascii="Arial" w:hAnsi="Arial"/>
          <w:b/>
          <w:bCs/>
        </w:rPr>
        <w:t xml:space="preserve">/2023 </w:t>
      </w:r>
    </w:p>
    <w:p>
      <w:pPr>
        <w:pStyle w:val="Normal"/>
        <w:widowControl w:val="false"/>
        <w:tabs>
          <w:tab w:val="clear" w:pos="708"/>
          <w:tab w:val="left" w:pos="1701" w:leader="none"/>
        </w:tabs>
        <w:spacing w:lineRule="auto" w:line="240" w:before="0" w:after="0"/>
        <w:jc w:val="center"/>
        <w:textAlignment w:val="baseline"/>
        <w:rPr>
          <w:rFonts w:ascii="Arial" w:hAnsi="Arial" w:eastAsia="Times New Roman" w:cs="Arial"/>
          <w:b/>
          <w:b/>
          <w:lang w:eastAsia="pt-BR"/>
        </w:rPr>
      </w:pPr>
      <w:r>
        <w:rPr>
          <w:rFonts w:eastAsia="Times New Roman" w:cs="Arial" w:ascii="Arial" w:hAnsi="Arial"/>
          <w:b/>
          <w:lang w:eastAsia="pt-BR"/>
        </w:rPr>
      </w:r>
    </w:p>
    <w:p>
      <w:pPr>
        <w:pStyle w:val="Normal"/>
        <w:spacing w:lineRule="auto" w:line="240" w:before="0" w:after="0"/>
        <w:jc w:val="center"/>
        <w:rPr>
          <w:rFonts w:ascii="Arial" w:hAnsi="Arial" w:cs="Arial"/>
          <w:b/>
          <w:b/>
        </w:rPr>
      </w:pPr>
      <w:r>
        <w:rPr>
          <w:rFonts w:cs="Arial" w:ascii="Arial" w:hAnsi="Arial"/>
          <w:b/>
        </w:rPr>
        <w:t>ANEXO IX</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ATA DE REGISTRO DE PREÇOS Nº xxx</w:t>
      </w:r>
      <w:r>
        <w:rPr>
          <w:rFonts w:cs="Arial" w:ascii="Arial" w:hAnsi="Arial"/>
          <w:b/>
          <w:color w:val="111111"/>
        </w:rPr>
        <w:t>/2023</w:t>
      </w:r>
    </w:p>
    <w:p>
      <w:pPr>
        <w:pStyle w:val="Normal"/>
        <w:spacing w:lineRule="auto" w:line="240" w:before="0" w:after="0"/>
        <w:jc w:val="center"/>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center"/>
        <w:rPr/>
      </w:pPr>
      <w:r>
        <w:rPr>
          <w:rFonts w:cs="Arial" w:ascii="Arial" w:hAnsi="Arial"/>
          <w:b/>
        </w:rPr>
        <w:t>MINUTA DA ATA DE REGISTRO DE PREÇOS Nº xxx</w:t>
      </w:r>
      <w:r>
        <w:rPr>
          <w:rFonts w:cs="Arial" w:ascii="Arial" w:hAnsi="Arial"/>
          <w:b/>
          <w:color w:val="111111"/>
        </w:rPr>
        <w:t>/2023</w:t>
      </w:r>
    </w:p>
    <w:p>
      <w:pPr>
        <w:pStyle w:val="Corpodotexto"/>
        <w:spacing w:before="1" w:after="0"/>
        <w:rPr>
          <w:rFonts w:ascii="Arial" w:hAnsi="Arial"/>
          <w:b/>
          <w:b/>
        </w:rPr>
      </w:pPr>
      <w:r>
        <w:rPr>
          <w:rFonts w:ascii="Arial" w:hAnsi="Arial"/>
          <w:b/>
        </w:rPr>
      </w:r>
    </w:p>
    <w:p>
      <w:pPr>
        <w:pStyle w:val="Corpodotexto"/>
        <w:spacing w:lineRule="auto" w:line="240" w:before="0" w:after="0"/>
        <w:jc w:val="both"/>
        <w:rPr>
          <w:rFonts w:ascii="Arial" w:hAnsi="Arial"/>
        </w:rPr>
      </w:pPr>
      <w:r>
        <w:rPr>
          <w:rFonts w:ascii="Arial" w:hAnsi="Arial"/>
        </w:rPr>
        <w:t>Aos</w:t>
      </w:r>
      <w:r>
        <w:rPr>
          <w:rFonts w:ascii="Arial" w:hAnsi="Arial"/>
          <w:spacing w:val="-2"/>
        </w:rPr>
        <w:t xml:space="preserve"> </w:t>
      </w:r>
      <w:r>
        <w:rPr>
          <w:rFonts w:ascii="Arial" w:hAnsi="Arial"/>
          <w:b/>
          <w:bCs/>
          <w:spacing w:val="-2"/>
        </w:rPr>
        <w:t>xxxxxxxx</w:t>
      </w:r>
      <w:r>
        <w:rPr>
          <w:rFonts w:ascii="Arial" w:hAnsi="Arial"/>
          <w:spacing w:val="-1"/>
        </w:rPr>
        <w:t xml:space="preserve"> </w:t>
      </w:r>
      <w:r>
        <w:rPr>
          <w:rFonts w:ascii="Arial" w:hAnsi="Arial"/>
        </w:rPr>
        <w:t>dias</w:t>
      </w:r>
      <w:r>
        <w:rPr>
          <w:rFonts w:ascii="Arial" w:hAnsi="Arial"/>
          <w:spacing w:val="-1"/>
        </w:rPr>
        <w:t xml:space="preserve"> </w:t>
      </w:r>
      <w:r>
        <w:rPr>
          <w:rFonts w:ascii="Arial" w:hAnsi="Arial"/>
        </w:rPr>
        <w:t>do</w:t>
      </w:r>
      <w:r>
        <w:rPr>
          <w:rFonts w:ascii="Arial" w:hAnsi="Arial"/>
          <w:spacing w:val="-2"/>
        </w:rPr>
        <w:t xml:space="preserve"> </w:t>
      </w:r>
      <w:r>
        <w:rPr>
          <w:rFonts w:ascii="Arial" w:hAnsi="Arial"/>
        </w:rPr>
        <w:t>mês</w:t>
      </w:r>
      <w:r>
        <w:rPr>
          <w:rFonts w:ascii="Arial" w:hAnsi="Arial"/>
          <w:spacing w:val="-1"/>
        </w:rPr>
        <w:t xml:space="preserve"> </w:t>
      </w:r>
      <w:r>
        <w:rPr>
          <w:rFonts w:ascii="Arial" w:hAnsi="Arial"/>
        </w:rPr>
        <w:t>de</w:t>
      </w:r>
      <w:r>
        <w:rPr>
          <w:rFonts w:ascii="Arial" w:hAnsi="Arial"/>
          <w:spacing w:val="-1"/>
        </w:rPr>
        <w:t xml:space="preserve"> </w:t>
      </w:r>
      <w:r>
        <w:rPr>
          <w:rFonts w:ascii="Arial" w:hAnsi="Arial"/>
          <w:b/>
          <w:bCs/>
          <w:spacing w:val="-1"/>
        </w:rPr>
        <w:t>xxxxxx</w:t>
      </w:r>
      <w:r>
        <w:rPr>
          <w:rFonts w:ascii="Arial" w:hAnsi="Arial"/>
          <w:spacing w:val="-2"/>
        </w:rPr>
        <w:t xml:space="preserve"> </w:t>
      </w:r>
      <w:r>
        <w:rPr>
          <w:rFonts w:ascii="Arial" w:hAnsi="Arial"/>
        </w:rPr>
        <w:t>do</w:t>
      </w:r>
      <w:r>
        <w:rPr>
          <w:rFonts w:ascii="Arial" w:hAnsi="Arial"/>
          <w:spacing w:val="-1"/>
        </w:rPr>
        <w:t xml:space="preserve"> </w:t>
      </w:r>
      <w:r>
        <w:rPr>
          <w:rFonts w:ascii="Arial" w:hAnsi="Arial"/>
        </w:rPr>
        <w:t>ano</w:t>
      </w:r>
      <w:r>
        <w:rPr>
          <w:rFonts w:ascii="Arial" w:hAnsi="Arial"/>
          <w:spacing w:val="-1"/>
        </w:rPr>
        <w:t xml:space="preserve"> </w:t>
      </w:r>
      <w:r>
        <w:rPr>
          <w:rFonts w:ascii="Arial" w:hAnsi="Arial"/>
        </w:rPr>
        <w:t>de</w:t>
      </w:r>
      <w:r>
        <w:rPr>
          <w:rFonts w:ascii="Arial" w:hAnsi="Arial"/>
          <w:spacing w:val="-2"/>
        </w:rPr>
        <w:t xml:space="preserve"> </w:t>
      </w:r>
      <w:r>
        <w:rPr>
          <w:rFonts w:ascii="Arial" w:hAnsi="Arial"/>
          <w:b/>
          <w:bCs/>
          <w:spacing w:val="-2"/>
        </w:rPr>
        <w:t>xxxxxxxx</w:t>
      </w:r>
      <w:r>
        <w:rPr>
          <w:rFonts w:ascii="Arial" w:hAnsi="Arial"/>
        </w:rPr>
        <w:t>,</w:t>
      </w:r>
      <w:r>
        <w:rPr>
          <w:rFonts w:ascii="Arial" w:hAnsi="Arial"/>
          <w:spacing w:val="-1"/>
        </w:rPr>
        <w:t xml:space="preserve"> </w:t>
      </w:r>
      <w:r>
        <w:rPr>
          <w:rFonts w:ascii="Arial" w:hAnsi="Arial"/>
        </w:rPr>
        <w:t>o(a)</w:t>
      </w:r>
      <w:r>
        <w:rPr>
          <w:rFonts w:ascii="Arial" w:hAnsi="Arial"/>
          <w:spacing w:val="-1"/>
        </w:rPr>
        <w:t xml:space="preserve"> </w:t>
      </w:r>
      <w:r>
        <w:rPr>
          <w:rFonts w:ascii="Arial" w:hAnsi="Arial"/>
          <w:b/>
        </w:rPr>
        <w:t>MUNICÍPIO</w:t>
      </w:r>
      <w:r>
        <w:rPr>
          <w:rFonts w:ascii="Arial" w:hAnsi="Arial"/>
          <w:b/>
          <w:spacing w:val="-2"/>
        </w:rPr>
        <w:t xml:space="preserve"> </w:t>
      </w:r>
      <w:r>
        <w:rPr>
          <w:rFonts w:ascii="Arial" w:hAnsi="Arial"/>
          <w:b/>
        </w:rPr>
        <w:t>DE</w:t>
      </w:r>
      <w:r>
        <w:rPr>
          <w:rFonts w:ascii="Arial" w:hAnsi="Arial"/>
          <w:b/>
          <w:spacing w:val="-1"/>
        </w:rPr>
        <w:t xml:space="preserve"> </w:t>
      </w:r>
      <w:r>
        <w:rPr>
          <w:rFonts w:ascii="Arial" w:hAnsi="Arial"/>
          <w:b/>
        </w:rPr>
        <w:t>ITÁ</w:t>
      </w:r>
      <w:r>
        <w:rPr>
          <w:rFonts w:ascii="Arial" w:hAnsi="Arial"/>
        </w:rPr>
        <w:t>,</w:t>
      </w:r>
      <w:r>
        <w:rPr>
          <w:rFonts w:ascii="Arial" w:hAnsi="Arial"/>
          <w:spacing w:val="-1"/>
        </w:rPr>
        <w:t xml:space="preserve"> </w:t>
      </w:r>
      <w:r>
        <w:rPr>
          <w:rFonts w:ascii="Arial" w:hAnsi="Arial"/>
        </w:rPr>
        <w:t>pessoa</w:t>
      </w:r>
      <w:r>
        <w:rPr>
          <w:rFonts w:ascii="Arial" w:hAnsi="Arial"/>
          <w:spacing w:val="-2"/>
        </w:rPr>
        <w:t xml:space="preserve"> </w:t>
      </w:r>
      <w:r>
        <w:rPr>
          <w:rFonts w:ascii="Arial" w:hAnsi="Arial"/>
        </w:rPr>
        <w:t>jurídica</w:t>
      </w:r>
      <w:r>
        <w:rPr>
          <w:rFonts w:ascii="Arial" w:hAnsi="Arial"/>
          <w:spacing w:val="-1"/>
        </w:rPr>
        <w:t xml:space="preserve"> </w:t>
      </w:r>
      <w:r>
        <w:rPr>
          <w:rFonts w:ascii="Arial" w:hAnsi="Arial"/>
        </w:rPr>
        <w:t>de</w:t>
      </w:r>
      <w:r>
        <w:rPr>
          <w:rFonts w:ascii="Arial" w:hAnsi="Arial"/>
          <w:spacing w:val="-1"/>
        </w:rPr>
        <w:t xml:space="preserve"> </w:t>
      </w:r>
      <w:r>
        <w:rPr>
          <w:rFonts w:ascii="Arial" w:hAnsi="Arial"/>
        </w:rPr>
        <w:t>direito</w:t>
      </w:r>
      <w:r>
        <w:rPr>
          <w:rFonts w:ascii="Arial" w:hAnsi="Arial"/>
          <w:spacing w:val="-2"/>
        </w:rPr>
        <w:t xml:space="preserve"> </w:t>
      </w:r>
      <w:r>
        <w:rPr>
          <w:rFonts w:ascii="Arial" w:hAnsi="Arial"/>
        </w:rPr>
        <w:t>público,</w:t>
      </w:r>
      <w:r>
        <w:rPr>
          <w:rFonts w:ascii="Arial" w:hAnsi="Arial"/>
          <w:spacing w:val="-1"/>
        </w:rPr>
        <w:t xml:space="preserve"> </w:t>
      </w:r>
      <w:r>
        <w:rPr>
          <w:rFonts w:ascii="Arial" w:hAnsi="Arial"/>
        </w:rPr>
        <w:t>situado</w:t>
      </w:r>
      <w:r>
        <w:rPr>
          <w:rFonts w:ascii="Arial" w:hAnsi="Arial"/>
          <w:spacing w:val="-1"/>
        </w:rPr>
        <w:t xml:space="preserve"> </w:t>
      </w:r>
      <w:r>
        <w:rPr>
          <w:rFonts w:ascii="Arial" w:hAnsi="Arial"/>
        </w:rPr>
        <w:t>na</w:t>
      </w:r>
      <w:r>
        <w:rPr>
          <w:rFonts w:ascii="Arial" w:hAnsi="Arial"/>
          <w:spacing w:val="-2"/>
        </w:rPr>
        <w:t xml:space="preserve"> </w:t>
      </w:r>
      <w:r>
        <w:rPr>
          <w:rFonts w:ascii="Arial" w:hAnsi="Arial"/>
        </w:rPr>
        <w:t xml:space="preserve">Praça </w:t>
      </w:r>
      <w:r>
        <w:rPr>
          <w:rFonts w:cs="Arial" w:ascii="Arial" w:hAnsi="Arial"/>
          <w:iCs/>
        </w:rPr>
        <w:t xml:space="preserve">- 100 Urbana, CENTRO, Itá - SC, </w:t>
      </w:r>
      <w:r>
        <w:rPr>
          <w:rFonts w:cs="Arial" w:ascii="Arial" w:hAnsi="Arial"/>
          <w:iCs/>
          <w:shd w:fill="auto" w:val="clear"/>
        </w:rPr>
        <w:t>inscrito no CNPJ Nº. 83.024.240/0001-53, abaixo assinado, nos termos do artigo 40 da Lei Federal nº.</w:t>
      </w:r>
      <w:r>
        <w:rPr>
          <w:rFonts w:cs="Arial" w:ascii="Arial" w:hAnsi="Arial"/>
          <w:iCs/>
          <w:spacing w:val="1"/>
          <w:shd w:fill="auto" w:val="clear"/>
        </w:rPr>
        <w:t xml:space="preserve"> </w:t>
      </w:r>
      <w:r>
        <w:rPr>
          <w:rFonts w:cs="Arial" w:ascii="Arial" w:hAnsi="Arial"/>
          <w:iCs/>
          <w:shd w:fill="auto" w:val="clear"/>
        </w:rPr>
        <w:t>14.333/2021 e alterações e das demais normas legais aplicáveis, em face da classificação das propostas apresentadas para o SISTEMA DE</w:t>
      </w:r>
      <w:r>
        <w:rPr>
          <w:rFonts w:cs="Arial" w:ascii="Arial" w:hAnsi="Arial"/>
          <w:iCs/>
          <w:spacing w:val="1"/>
          <w:shd w:fill="auto" w:val="clear"/>
        </w:rPr>
        <w:t xml:space="preserve"> </w:t>
      </w:r>
      <w:r>
        <w:rPr>
          <w:rFonts w:cs="Arial" w:ascii="Arial" w:hAnsi="Arial"/>
          <w:iCs/>
          <w:shd w:fill="auto" w:val="clear"/>
        </w:rPr>
        <w:t>REGISTRO DE PREÇOS da licitação Pregão Eletrônico Nº. xx/202x, RESOLVE registrar os valores oferecidos</w:t>
      </w:r>
      <w:bookmarkStart w:id="104" w:name="_Hlk1408222531"/>
      <w:r>
        <w:rPr>
          <w:rFonts w:eastAsia="Calibri" w:cs="Times New Roman" w:ascii="Arial" w:hAnsi="Arial" w:eastAsiaTheme="minorHAnsi"/>
          <w:iCs/>
          <w:color w:val="000000"/>
          <w:shd w:fill="auto" w:val="clear"/>
        </w:rPr>
        <w:t xml:space="preserve"> </w:t>
      </w:r>
      <w:bookmarkEnd w:id="104"/>
      <w:r>
        <w:rPr>
          <w:rFonts w:eastAsia="Calibri" w:cs="Times New Roman" w:ascii="Arial" w:hAnsi="Arial" w:eastAsiaTheme="minorHAnsi"/>
          <w:iCs/>
          <w:color w:val="000000"/>
          <w:shd w:fill="auto" w:val="clear"/>
        </w:rPr>
        <w:t xml:space="preserve">visando a </w:t>
      </w:r>
      <w:r>
        <w:rPr>
          <w:rFonts w:eastAsia="Arial" w:cs="Arial" w:ascii="Arial" w:hAnsi="Arial"/>
          <w:iCs/>
          <w:color w:val="000000"/>
          <w:spacing w:val="0"/>
          <w:sz w:val="22"/>
          <w:shd w:fill="FFFFFF" w:val="clear"/>
          <w:lang w:eastAsia="pt-BR"/>
        </w:rPr>
        <w:t>aquisição de materiais hidráulicos a serem utilizados conforme necessidade das secretarias municipais de Itá/SC</w:t>
      </w:r>
      <w:r>
        <w:rPr>
          <w:rFonts w:eastAsia="Arial" w:cs="Arial" w:ascii="Arial" w:hAnsi="Arial"/>
          <w:b w:val="false"/>
          <w:bCs w:val="false"/>
          <w:iCs/>
          <w:color w:val="00000A"/>
          <w:spacing w:val="0"/>
          <w:kern w:val="0"/>
          <w:sz w:val="22"/>
          <w:szCs w:val="22"/>
          <w:shd w:fill="FFFFFF" w:val="clear"/>
          <w:lang w:val="pt-BR" w:eastAsia="pt-BR" w:bidi="ar-SA"/>
        </w:rPr>
        <w:t>, c</w:t>
      </w:r>
      <w:r>
        <w:rPr>
          <w:rFonts w:eastAsia="Arial" w:cs="Arial" w:ascii="Arial" w:hAnsi="Arial"/>
          <w:b w:val="false"/>
          <w:bCs w:val="false"/>
          <w:iCs/>
          <w:color w:val="000000"/>
          <w:spacing w:val="0"/>
          <w:kern w:val="0"/>
          <w:sz w:val="22"/>
          <w:szCs w:val="22"/>
          <w:shd w:fill="FFFFFF" w:val="clear"/>
          <w:lang w:val="pt-BR" w:eastAsia="pt-BR" w:bidi="ar-SA"/>
        </w:rPr>
        <w:t>om vistas ao atendimento das necessidades do Município de Itá</w:t>
      </w:r>
      <w:r>
        <w:rPr>
          <w:rFonts w:eastAsia="Times New Roman" w:cs="Times New Roman" w:ascii="Arial" w:hAnsi="Arial"/>
          <w:iCs/>
          <w:color w:val="000000"/>
          <w:shd w:fill="auto" w:val="clear"/>
          <w:lang w:eastAsia="pt-BR"/>
        </w:rPr>
        <w:t>, de acordo com as demais informações e descritivos constantes no presente contrato</w:t>
      </w:r>
      <w:r>
        <w:rPr>
          <w:rFonts w:cs="Arial" w:ascii="Arial" w:hAnsi="Arial"/>
          <w:iCs/>
          <w:shd w:fill="auto" w:val="clear"/>
        </w:rPr>
        <w:t xml:space="preserve">, pelo período de </w:t>
      </w:r>
      <w:r>
        <w:rPr>
          <w:rFonts w:cs="Arial" w:ascii="Arial" w:hAnsi="Arial"/>
          <w:b/>
          <w:bCs/>
          <w:iCs/>
          <w:shd w:fill="auto" w:val="clear"/>
        </w:rPr>
        <w:t>xxx</w:t>
      </w:r>
      <w:r>
        <w:rPr>
          <w:rFonts w:cs="Arial" w:ascii="Arial" w:hAnsi="Arial"/>
          <w:iCs/>
          <w:shd w:fill="auto" w:val="clear"/>
        </w:rPr>
        <w:t xml:space="preserve"> meses e </w:t>
      </w:r>
      <w:r>
        <w:rPr>
          <w:rFonts w:cs="Arial" w:ascii="Arial" w:hAnsi="Arial"/>
          <w:b/>
          <w:bCs/>
          <w:iCs/>
          <w:shd w:fill="auto" w:val="clear"/>
        </w:rPr>
        <w:t>xxx</w:t>
      </w:r>
      <w:r>
        <w:rPr>
          <w:rFonts w:cs="Arial" w:ascii="Arial" w:hAnsi="Arial"/>
          <w:iCs/>
          <w:shd w:fill="auto" w:val="clear"/>
        </w:rPr>
        <w:t xml:space="preserve"> dias, conforme consta nos Anexos e termos</w:t>
      </w:r>
      <w:r>
        <w:rPr>
          <w:rFonts w:cs="Arial" w:ascii="Arial" w:hAnsi="Arial"/>
          <w:iCs/>
          <w:spacing w:val="14"/>
          <w:shd w:fill="auto" w:val="clear"/>
        </w:rPr>
        <w:t xml:space="preserve"> </w:t>
      </w:r>
      <w:r>
        <w:rPr>
          <w:rFonts w:cs="Arial" w:ascii="Arial" w:hAnsi="Arial"/>
          <w:iCs/>
          <w:shd w:fill="auto" w:val="clear"/>
        </w:rPr>
        <w:t>do</w:t>
      </w:r>
      <w:r>
        <w:rPr>
          <w:rFonts w:cs="Arial" w:ascii="Arial" w:hAnsi="Arial"/>
          <w:iCs/>
          <w:spacing w:val="15"/>
          <w:shd w:fill="auto" w:val="clear"/>
        </w:rPr>
        <w:t xml:space="preserve"> </w:t>
      </w:r>
      <w:r>
        <w:rPr>
          <w:rFonts w:cs="Arial" w:ascii="Arial" w:hAnsi="Arial"/>
          <w:iCs/>
          <w:shd w:fill="auto" w:val="clear"/>
        </w:rPr>
        <w:t>Edital</w:t>
      </w:r>
      <w:r>
        <w:rPr>
          <w:rFonts w:cs="Arial" w:ascii="Arial" w:hAnsi="Arial"/>
          <w:iCs/>
          <w:spacing w:val="15"/>
          <w:shd w:fill="auto" w:val="clear"/>
        </w:rPr>
        <w:t xml:space="preserve"> </w:t>
      </w:r>
      <w:r>
        <w:rPr>
          <w:rFonts w:cs="Arial" w:ascii="Arial" w:hAnsi="Arial"/>
          <w:iCs/>
          <w:shd w:fill="auto" w:val="clear"/>
        </w:rPr>
        <w:t>da</w:t>
      </w:r>
      <w:r>
        <w:rPr>
          <w:rFonts w:cs="Arial" w:ascii="Arial" w:hAnsi="Arial"/>
          <w:iCs/>
          <w:spacing w:val="15"/>
          <w:shd w:fill="auto" w:val="clear"/>
        </w:rPr>
        <w:t xml:space="preserve"> </w:t>
      </w:r>
      <w:r>
        <w:rPr>
          <w:rFonts w:cs="Arial" w:ascii="Arial" w:hAnsi="Arial"/>
          <w:iCs/>
          <w:shd w:fill="auto" w:val="clear"/>
        </w:rPr>
        <w:t>referida</w:t>
      </w:r>
      <w:r>
        <w:rPr>
          <w:rFonts w:cs="Arial" w:ascii="Arial" w:hAnsi="Arial"/>
          <w:iCs/>
          <w:spacing w:val="15"/>
          <w:shd w:fill="auto" w:val="clear"/>
        </w:rPr>
        <w:t xml:space="preserve"> </w:t>
      </w:r>
      <w:r>
        <w:rPr>
          <w:rFonts w:cs="Arial" w:ascii="Arial" w:hAnsi="Arial"/>
          <w:iCs/>
          <w:shd w:fill="auto" w:val="clear"/>
        </w:rPr>
        <w:t>licitação,</w:t>
      </w:r>
      <w:r>
        <w:rPr>
          <w:rFonts w:cs="Arial" w:ascii="Arial" w:hAnsi="Arial"/>
          <w:iCs/>
          <w:spacing w:val="15"/>
          <w:shd w:fill="auto" w:val="clear"/>
        </w:rPr>
        <w:t xml:space="preserve"> </w:t>
      </w:r>
      <w:r>
        <w:rPr>
          <w:rFonts w:cs="Arial" w:ascii="Arial" w:hAnsi="Arial"/>
          <w:iCs/>
          <w:shd w:fill="auto" w:val="clear"/>
        </w:rPr>
        <w:t>que</w:t>
      </w:r>
      <w:r>
        <w:rPr>
          <w:rFonts w:cs="Arial" w:ascii="Arial" w:hAnsi="Arial"/>
          <w:iCs/>
          <w:spacing w:val="15"/>
          <w:shd w:fill="auto" w:val="clear"/>
        </w:rPr>
        <w:t xml:space="preserve"> </w:t>
      </w:r>
      <w:r>
        <w:rPr>
          <w:rFonts w:cs="Arial" w:ascii="Arial" w:hAnsi="Arial"/>
          <w:iCs/>
          <w:shd w:fill="auto" w:val="clear"/>
        </w:rPr>
        <w:t>passa</w:t>
      </w:r>
      <w:r>
        <w:rPr>
          <w:rFonts w:cs="Arial" w:ascii="Arial" w:hAnsi="Arial"/>
          <w:iCs/>
          <w:spacing w:val="15"/>
          <w:shd w:fill="auto" w:val="clear"/>
        </w:rPr>
        <w:t xml:space="preserve"> </w:t>
      </w:r>
      <w:r>
        <w:rPr>
          <w:rFonts w:cs="Arial" w:ascii="Arial" w:hAnsi="Arial"/>
          <w:iCs/>
          <w:shd w:fill="auto" w:val="clear"/>
        </w:rPr>
        <w:t>a</w:t>
      </w:r>
      <w:r>
        <w:rPr>
          <w:rFonts w:cs="Arial" w:ascii="Arial" w:hAnsi="Arial"/>
          <w:iCs/>
          <w:spacing w:val="15"/>
          <w:shd w:fill="auto" w:val="clear"/>
        </w:rPr>
        <w:t xml:space="preserve"> </w:t>
      </w:r>
      <w:r>
        <w:rPr>
          <w:rFonts w:cs="Arial" w:ascii="Arial" w:hAnsi="Arial"/>
          <w:iCs/>
          <w:shd w:fill="auto" w:val="clear"/>
        </w:rPr>
        <w:t>fazer</w:t>
      </w:r>
      <w:r>
        <w:rPr>
          <w:rFonts w:cs="Arial" w:ascii="Arial" w:hAnsi="Arial"/>
          <w:iCs/>
          <w:spacing w:val="15"/>
          <w:shd w:fill="auto" w:val="clear"/>
        </w:rPr>
        <w:t xml:space="preserve"> </w:t>
      </w:r>
      <w:r>
        <w:rPr>
          <w:rFonts w:cs="Arial" w:ascii="Arial" w:hAnsi="Arial"/>
          <w:iCs/>
          <w:shd w:fill="auto" w:val="clear"/>
        </w:rPr>
        <w:t>parte</w:t>
      </w:r>
      <w:r>
        <w:rPr>
          <w:rFonts w:cs="Arial" w:ascii="Arial" w:hAnsi="Arial"/>
          <w:iCs/>
          <w:spacing w:val="15"/>
          <w:shd w:fill="auto" w:val="clear"/>
        </w:rPr>
        <w:t xml:space="preserve"> </w:t>
      </w:r>
      <w:r>
        <w:rPr>
          <w:rFonts w:cs="Arial" w:ascii="Arial" w:hAnsi="Arial"/>
          <w:iCs/>
          <w:shd w:fill="auto" w:val="clear"/>
        </w:rPr>
        <w:t>desta</w:t>
      </w:r>
      <w:r>
        <w:rPr>
          <w:rFonts w:cs="Arial" w:ascii="Arial" w:hAnsi="Arial"/>
          <w:iCs/>
          <w:spacing w:val="15"/>
          <w:shd w:fill="auto" w:val="clear"/>
        </w:rPr>
        <w:t xml:space="preserve"> </w:t>
      </w:r>
      <w:r>
        <w:rPr>
          <w:rFonts w:cs="Arial" w:ascii="Arial" w:hAnsi="Arial"/>
          <w:iCs/>
          <w:shd w:fill="auto" w:val="clear"/>
        </w:rPr>
        <w:t>Ata,</w:t>
      </w:r>
      <w:r>
        <w:rPr>
          <w:rFonts w:cs="Arial" w:ascii="Arial" w:hAnsi="Arial"/>
          <w:iCs/>
          <w:spacing w:val="15"/>
          <w:shd w:fill="auto" w:val="clear"/>
        </w:rPr>
        <w:t xml:space="preserve"> </w:t>
      </w:r>
      <w:r>
        <w:rPr>
          <w:rFonts w:cs="Arial" w:ascii="Arial" w:hAnsi="Arial"/>
          <w:iCs/>
          <w:shd w:fill="auto" w:val="clear"/>
        </w:rPr>
        <w:t>tendo</w:t>
      </w:r>
      <w:r>
        <w:rPr>
          <w:rFonts w:cs="Arial" w:ascii="Arial" w:hAnsi="Arial"/>
          <w:iCs/>
          <w:spacing w:val="15"/>
          <w:shd w:fill="auto" w:val="clear"/>
        </w:rPr>
        <w:t xml:space="preserve"> </w:t>
      </w:r>
      <w:r>
        <w:rPr>
          <w:rFonts w:cs="Arial" w:ascii="Arial" w:hAnsi="Arial"/>
          <w:iCs/>
          <w:shd w:fill="auto" w:val="clear"/>
        </w:rPr>
        <w:t>sido,</w:t>
      </w:r>
      <w:r>
        <w:rPr>
          <w:rFonts w:cs="Arial" w:ascii="Arial" w:hAnsi="Arial"/>
          <w:iCs/>
          <w:spacing w:val="15"/>
          <w:shd w:fill="auto" w:val="clear"/>
        </w:rPr>
        <w:t xml:space="preserve"> </w:t>
      </w:r>
      <w:r>
        <w:rPr>
          <w:rFonts w:cs="Arial" w:ascii="Arial" w:hAnsi="Arial"/>
          <w:iCs/>
          <w:shd w:fill="auto" w:val="clear"/>
        </w:rPr>
        <w:t>os</w:t>
      </w:r>
      <w:r>
        <w:rPr>
          <w:rFonts w:cs="Arial" w:ascii="Arial" w:hAnsi="Arial"/>
          <w:iCs/>
          <w:spacing w:val="15"/>
          <w:shd w:fill="auto" w:val="clear"/>
        </w:rPr>
        <w:t xml:space="preserve"> </w:t>
      </w:r>
      <w:r>
        <w:rPr>
          <w:rFonts w:cs="Arial" w:ascii="Arial" w:hAnsi="Arial"/>
          <w:iCs/>
          <w:shd w:fill="auto" w:val="clear"/>
        </w:rPr>
        <w:t>referidos</w:t>
      </w:r>
      <w:r>
        <w:rPr>
          <w:rFonts w:cs="Arial" w:ascii="Arial" w:hAnsi="Arial"/>
          <w:iCs/>
          <w:spacing w:val="15"/>
          <w:shd w:fill="auto" w:val="clear"/>
        </w:rPr>
        <w:t xml:space="preserve"> </w:t>
      </w:r>
      <w:r>
        <w:rPr>
          <w:rFonts w:cs="Arial" w:ascii="Arial" w:hAnsi="Arial"/>
          <w:iCs/>
          <w:shd w:fill="auto" w:val="clear"/>
        </w:rPr>
        <w:t>valores,</w:t>
      </w:r>
      <w:r>
        <w:rPr>
          <w:rFonts w:cs="Arial" w:ascii="Arial" w:hAnsi="Arial"/>
          <w:iCs/>
          <w:spacing w:val="15"/>
          <w:shd w:fill="auto" w:val="clear"/>
        </w:rPr>
        <w:t xml:space="preserve"> </w:t>
      </w:r>
      <w:r>
        <w:rPr>
          <w:rFonts w:cs="Arial" w:ascii="Arial" w:hAnsi="Arial"/>
          <w:iCs/>
          <w:shd w:fill="auto" w:val="clear"/>
        </w:rPr>
        <w:t>oferecidos</w:t>
      </w:r>
      <w:r>
        <w:rPr>
          <w:rFonts w:cs="Arial" w:ascii="Arial" w:hAnsi="Arial"/>
          <w:iCs/>
          <w:spacing w:val="15"/>
          <w:shd w:fill="auto" w:val="clear"/>
        </w:rPr>
        <w:t xml:space="preserve"> </w:t>
      </w:r>
      <w:r>
        <w:rPr>
          <w:rFonts w:cs="Arial" w:ascii="Arial" w:hAnsi="Arial"/>
          <w:iCs/>
          <w:shd w:fill="auto" w:val="clear"/>
        </w:rPr>
        <w:t>pelas</w:t>
      </w:r>
      <w:r>
        <w:rPr>
          <w:rFonts w:cs="Arial" w:ascii="Arial" w:hAnsi="Arial"/>
          <w:iCs/>
          <w:spacing w:val="15"/>
          <w:shd w:fill="auto" w:val="clear"/>
        </w:rPr>
        <w:t xml:space="preserve"> </w:t>
      </w:r>
      <w:r>
        <w:rPr>
          <w:rFonts w:cs="Arial" w:ascii="Arial" w:hAnsi="Arial"/>
          <w:iCs/>
          <w:shd w:fill="auto" w:val="clear"/>
        </w:rPr>
        <w:t>empresas</w:t>
      </w:r>
      <w:r>
        <w:rPr>
          <w:rFonts w:cs="Arial" w:ascii="Arial" w:hAnsi="Arial"/>
          <w:iCs/>
          <w:spacing w:val="15"/>
          <w:shd w:fill="auto" w:val="clear"/>
        </w:rPr>
        <w:t xml:space="preserve"> </w:t>
      </w:r>
      <w:r>
        <w:rPr>
          <w:rFonts w:cs="Arial" w:ascii="Arial" w:hAnsi="Arial"/>
          <w:iCs/>
          <w:shd w:fill="auto" w:val="clear"/>
        </w:rPr>
        <w:t>cujas</w:t>
      </w:r>
      <w:r>
        <w:rPr>
          <w:rFonts w:cs="Arial" w:ascii="Arial" w:hAnsi="Arial"/>
          <w:iCs/>
          <w:spacing w:val="15"/>
          <w:shd w:fill="auto" w:val="clear"/>
        </w:rPr>
        <w:t xml:space="preserve"> </w:t>
      </w:r>
      <w:r>
        <w:rPr>
          <w:rFonts w:cs="Arial" w:ascii="Arial" w:hAnsi="Arial"/>
          <w:iCs/>
          <w:shd w:fill="auto" w:val="clear"/>
        </w:rPr>
        <w:t>propostas</w:t>
      </w:r>
      <w:r>
        <w:rPr>
          <w:rFonts w:cs="Arial" w:ascii="Arial" w:hAnsi="Arial"/>
          <w:iCs/>
          <w:spacing w:val="1"/>
          <w:shd w:fill="auto" w:val="clear"/>
        </w:rPr>
        <w:t xml:space="preserve"> </w:t>
      </w:r>
      <w:r>
        <w:rPr>
          <w:rFonts w:cs="Arial" w:ascii="Arial" w:hAnsi="Arial"/>
          <w:iCs/>
          <w:shd w:fill="auto" w:val="clear"/>
        </w:rPr>
        <w:t>fora</w:t>
      </w:r>
      <w:r>
        <w:rPr>
          <w:rFonts w:cs="Arial" w:ascii="Arial" w:hAnsi="Arial"/>
          <w:iCs/>
        </w:rPr>
        <w:t>m</w:t>
      </w:r>
      <w:r>
        <w:rPr>
          <w:rFonts w:cs="Arial" w:ascii="Arial" w:hAnsi="Arial"/>
          <w:iCs/>
          <w:spacing w:val="-1"/>
        </w:rPr>
        <w:t xml:space="preserve"> </w:t>
      </w:r>
      <w:r>
        <w:rPr>
          <w:rFonts w:cs="Arial" w:ascii="Arial" w:hAnsi="Arial"/>
          <w:iCs/>
        </w:rPr>
        <w:t>classificadas</w:t>
      </w:r>
      <w:r>
        <w:rPr>
          <w:rFonts w:cs="Arial" w:ascii="Arial" w:hAnsi="Arial"/>
          <w:iCs/>
          <w:spacing w:val="-1"/>
        </w:rPr>
        <w:t xml:space="preserve"> </w:t>
      </w:r>
      <w:r>
        <w:rPr>
          <w:rFonts w:cs="Arial" w:ascii="Arial" w:hAnsi="Arial"/>
          <w:iCs/>
        </w:rPr>
        <w:t>no</w:t>
      </w:r>
      <w:r>
        <w:rPr>
          <w:rFonts w:cs="Arial" w:ascii="Arial" w:hAnsi="Arial"/>
          <w:iCs/>
          <w:spacing w:val="-1"/>
        </w:rPr>
        <w:t xml:space="preserve"> </w:t>
      </w:r>
      <w:r>
        <w:rPr>
          <w:rFonts w:cs="Arial" w:ascii="Arial" w:hAnsi="Arial"/>
          <w:iCs/>
        </w:rPr>
        <w:t>certame.</w:t>
      </w:r>
      <w:r>
        <w:rPr>
          <w:rFonts w:cs="Arial" w:ascii="Arial" w:hAnsi="Arial"/>
          <w:iCs/>
          <w:spacing w:val="-1"/>
        </w:rPr>
        <w:t xml:space="preserve"> </w:t>
      </w:r>
      <w:r>
        <w:rPr>
          <w:rFonts w:cs="Arial" w:ascii="Arial" w:hAnsi="Arial"/>
          <w:iCs/>
        </w:rPr>
        <w:t>Presentes</w:t>
      </w:r>
      <w:r>
        <w:rPr>
          <w:rFonts w:cs="Arial" w:ascii="Arial" w:hAnsi="Arial"/>
          <w:iCs/>
          <w:spacing w:val="-1"/>
        </w:rPr>
        <w:t xml:space="preserve"> </w:t>
      </w:r>
      <w:r>
        <w:rPr>
          <w:rFonts w:cs="Arial" w:ascii="Arial" w:hAnsi="Arial"/>
          <w:iCs/>
        </w:rPr>
        <w:t>às</w:t>
      </w:r>
      <w:r>
        <w:rPr>
          <w:rFonts w:cs="Arial" w:ascii="Arial" w:hAnsi="Arial"/>
          <w:iCs/>
          <w:spacing w:val="-2"/>
        </w:rPr>
        <w:t xml:space="preserve"> </w:t>
      </w:r>
      <w:r>
        <w:rPr>
          <w:rFonts w:cs="Arial" w:ascii="Arial" w:hAnsi="Arial"/>
          <w:iCs/>
        </w:rPr>
        <w:t>empresas</w:t>
      </w:r>
      <w:r>
        <w:rPr>
          <w:rFonts w:cs="Arial" w:ascii="Arial" w:hAnsi="Arial"/>
          <w:iCs/>
          <w:spacing w:val="-1"/>
        </w:rPr>
        <w:t xml:space="preserve"> </w:t>
      </w:r>
      <w:r>
        <w:rPr>
          <w:rFonts w:cs="Arial" w:ascii="Arial" w:hAnsi="Arial"/>
          <w:iCs/>
        </w:rPr>
        <w:t>e</w:t>
      </w:r>
      <w:r>
        <w:rPr>
          <w:rFonts w:cs="Arial" w:ascii="Arial" w:hAnsi="Arial"/>
          <w:iCs/>
          <w:spacing w:val="-1"/>
        </w:rPr>
        <w:t xml:space="preserve"> </w:t>
      </w:r>
      <w:r>
        <w:rPr>
          <w:rFonts w:cs="Arial" w:ascii="Arial" w:hAnsi="Arial"/>
          <w:iCs/>
        </w:rPr>
        <w:t>seus</w:t>
      </w:r>
      <w:r>
        <w:rPr>
          <w:rFonts w:cs="Arial" w:ascii="Arial" w:hAnsi="Arial"/>
          <w:iCs/>
          <w:spacing w:val="-1"/>
        </w:rPr>
        <w:t xml:space="preserve"> </w:t>
      </w:r>
      <w:r>
        <w:rPr>
          <w:rFonts w:cs="Arial" w:ascii="Arial" w:hAnsi="Arial"/>
          <w:iCs/>
        </w:rPr>
        <w:t>representantes:</w:t>
      </w:r>
    </w:p>
    <w:p>
      <w:pPr>
        <w:pStyle w:val="Normal"/>
        <w:spacing w:lineRule="auto" w:line="240" w:before="0" w:after="0"/>
        <w:jc w:val="center"/>
        <w:rPr>
          <w:rFonts w:ascii="Arial" w:hAnsi="Arial" w:cs="Arial"/>
        </w:rPr>
      </w:pPr>
      <w:r>
        <w:rPr>
          <w:rFonts w:cs="Arial" w:ascii="Arial" w:hAnsi="Arial"/>
        </w:rPr>
      </w:r>
    </w:p>
    <w:tbl>
      <w:tblPr>
        <w:tblW w:w="8513" w:type="dxa"/>
        <w:jc w:val="left"/>
        <w:tblInd w:w="46" w:type="dxa"/>
        <w:tblLayout w:type="fixed"/>
        <w:tblCellMar>
          <w:top w:w="0" w:type="dxa"/>
          <w:left w:w="7" w:type="dxa"/>
          <w:bottom w:w="0" w:type="dxa"/>
          <w:right w:w="7" w:type="dxa"/>
        </w:tblCellMar>
        <w:tblLook w:firstRow="1" w:noVBand="0" w:lastRow="1" w:firstColumn="1" w:lastColumn="1" w:noHBand="0" w:val="01e0"/>
      </w:tblPr>
      <w:tblGrid>
        <w:gridCol w:w="3406"/>
        <w:gridCol w:w="5106"/>
      </w:tblGrid>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8339" w:leader="none"/>
              </w:tabs>
              <w:spacing w:before="32" w:after="0"/>
              <w:jc w:val="left"/>
              <w:rPr>
                <w:rFonts w:ascii="Arial" w:hAnsi="Arial"/>
                <w:b/>
                <w:b/>
                <w:sz w:val="16"/>
              </w:rPr>
            </w:pPr>
            <w:r>
              <w:rPr>
                <w:rFonts w:ascii="Arial" w:hAnsi="Arial"/>
                <w:b/>
                <w:sz w:val="16"/>
                <w:shd w:fill="DFDFDF" w:val="clear"/>
              </w:rPr>
              <w:t>Participantes</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627" w:leader="none"/>
                <w:tab w:val="left" w:pos="2020" w:leader="none"/>
              </w:tabs>
              <w:spacing w:before="32" w:after="0"/>
              <w:ind w:left="15" w:hanging="0"/>
              <w:rPr>
                <w:rFonts w:ascii="Arial" w:hAnsi="Arial"/>
                <w:b/>
                <w:b/>
                <w:sz w:val="16"/>
              </w:rPr>
            </w:pPr>
            <w:r>
              <w:rPr>
                <w:rFonts w:ascii="Times New Roman" w:hAnsi="Times New Roman"/>
                <w:sz w:val="16"/>
                <w:shd w:fill="DFDFDF" w:val="clear"/>
              </w:rPr>
              <w:t xml:space="preserve"> </w:t>
            </w:r>
            <w:r>
              <w:rPr>
                <w:rFonts w:ascii="Times New Roman" w:hAnsi="Times New Roman"/>
                <w:sz w:val="16"/>
                <w:shd w:fill="DFDFDF" w:val="clear"/>
              </w:rPr>
              <w:tab/>
            </w:r>
            <w:r>
              <w:rPr>
                <w:rFonts w:ascii="Arial" w:hAnsi="Arial"/>
                <w:b/>
                <w:sz w:val="16"/>
                <w:shd w:fill="DFDFDF" w:val="clear"/>
              </w:rPr>
              <w:t>CPF/CNPJ</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r>
        <w:trPr>
          <w:trHeight w:val="238" w:hRule="atLeast"/>
        </w:trPr>
        <w:tc>
          <w:tcPr>
            <w:tcW w:w="34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jc w:val="left"/>
              <w:rPr>
                <w:sz w:val="16"/>
              </w:rPr>
            </w:pPr>
            <w:r>
              <w:rPr>
                <w:sz w:val="16"/>
              </w:rPr>
              <w:t>XXXXXXXXXXXXXXXXX</w:t>
            </w:r>
          </w:p>
        </w:tc>
        <w:tc>
          <w:tcPr>
            <w:tcW w:w="510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sz w:val="16"/>
              </w:rPr>
            </w:pPr>
            <w:r>
              <w:rPr>
                <w:sz w:val="16"/>
              </w:rPr>
              <w:t>XX.XXX.XXX/XXX-XX</w:t>
            </w:r>
          </w:p>
        </w:tc>
      </w:tr>
    </w:tbl>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Ttulo2"/>
        <w:numPr>
          <w:ilvl w:val="1"/>
          <w:numId w:val="51"/>
        </w:numPr>
        <w:tabs>
          <w:tab w:val="clear" w:pos="708"/>
          <w:tab w:val="left" w:pos="10597" w:leader="none"/>
        </w:tabs>
        <w:spacing w:before="0" w:after="0"/>
        <w:ind w:left="37" w:hanging="37"/>
        <w:rPr>
          <w:rFonts w:ascii="Arial" w:hAnsi="Arial"/>
          <w:sz w:val="22"/>
          <w:szCs w:val="22"/>
        </w:rPr>
      </w:pPr>
      <w:r>
        <w:rPr>
          <w:rFonts w:ascii="Arial" w:hAnsi="Arial"/>
          <w:sz w:val="22"/>
          <w:szCs w:val="22"/>
          <w:shd w:fill="DFDFDF" w:val="clear"/>
        </w:rPr>
        <w:t>CLÁUSULA</w:t>
      </w:r>
      <w:r>
        <w:rPr>
          <w:rFonts w:ascii="Arial" w:hAnsi="Arial"/>
          <w:spacing w:val="-4"/>
          <w:sz w:val="22"/>
          <w:szCs w:val="22"/>
          <w:shd w:fill="DFDFDF" w:val="clear"/>
        </w:rPr>
        <w:t xml:space="preserve"> </w:t>
      </w:r>
      <w:r>
        <w:rPr>
          <w:rFonts w:ascii="Arial" w:hAnsi="Arial"/>
          <w:sz w:val="22"/>
          <w:szCs w:val="22"/>
          <w:shd w:fill="DFDFDF" w:val="clear"/>
        </w:rPr>
        <w:t>I</w:t>
      </w:r>
      <w:r>
        <w:rPr>
          <w:rFonts w:ascii="Arial" w:hAnsi="Arial"/>
          <w:spacing w:val="-3"/>
          <w:sz w:val="22"/>
          <w:szCs w:val="22"/>
          <w:shd w:fill="DFDFDF" w:val="clear"/>
        </w:rPr>
        <w:t xml:space="preserve"> – </w:t>
      </w:r>
      <w:r>
        <w:rPr>
          <w:rFonts w:ascii="Arial" w:hAnsi="Arial"/>
          <w:sz w:val="22"/>
          <w:szCs w:val="22"/>
          <w:shd w:fill="DFDFDF" w:val="clear"/>
        </w:rPr>
        <w:t>DO</w:t>
      </w:r>
      <w:r>
        <w:rPr>
          <w:rFonts w:ascii="Arial" w:hAnsi="Arial"/>
          <w:spacing w:val="-3"/>
          <w:sz w:val="22"/>
          <w:szCs w:val="22"/>
          <w:shd w:fill="DFDFDF" w:val="clear"/>
        </w:rPr>
        <w:t xml:space="preserve"> </w:t>
      </w:r>
      <w:r>
        <w:rPr>
          <w:rFonts w:ascii="Arial" w:hAnsi="Arial"/>
          <w:sz w:val="22"/>
          <w:szCs w:val="22"/>
          <w:shd w:fill="DFDFDF" w:val="clear"/>
        </w:rPr>
        <w:t>OBJETO</w:t>
      </w:r>
    </w:p>
    <w:p>
      <w:pPr>
        <w:pStyle w:val="Ttulo2"/>
        <w:numPr>
          <w:ilvl w:val="1"/>
          <w:numId w:val="51"/>
        </w:numPr>
        <w:tabs>
          <w:tab w:val="clear" w:pos="708"/>
          <w:tab w:val="left" w:pos="10597" w:leader="none"/>
        </w:tabs>
        <w:spacing w:lineRule="auto" w:line="240" w:before="0" w:after="0"/>
        <w:ind w:left="1440" w:hanging="360"/>
        <w:jc w:val="center"/>
        <w:rPr>
          <w:rFonts w:ascii="Arial" w:hAnsi="Arial"/>
          <w:sz w:val="22"/>
          <w:szCs w:val="22"/>
        </w:rPr>
      </w:pPr>
      <w:r>
        <w:rPr>
          <w:rFonts w:ascii="Arial" w:hAnsi="Arial"/>
          <w:sz w:val="22"/>
          <w:szCs w:val="22"/>
        </w:rPr>
      </w:r>
    </w:p>
    <w:p>
      <w:pPr>
        <w:pStyle w:val="ListParagraph"/>
        <w:widowControl w:val="false"/>
        <w:tabs>
          <w:tab w:val="clear" w:pos="708"/>
          <w:tab w:val="left" w:pos="322"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1.</w:t>
        <w:tab/>
      </w:r>
      <w:r>
        <w:rPr>
          <w:rFonts w:eastAsia="Times New Roman" w:cs="Arial" w:ascii="Arial" w:hAnsi="Arial"/>
          <w:b/>
          <w:bCs/>
          <w:lang w:eastAsia="pt-BR"/>
        </w:rPr>
        <w:t>CONTRATAÇÃO:</w:t>
      </w:r>
      <w:r>
        <w:rPr>
          <w:rFonts w:eastAsia="Times New Roman" w:cs="Times New Roman" w:ascii="Arial" w:hAnsi="Arial"/>
          <w:b/>
          <w:bCs/>
          <w:color w:val="000000"/>
          <w:lang w:eastAsia="pt-BR"/>
        </w:rPr>
        <w:t xml:space="preserve"> </w:t>
      </w:r>
      <w:r>
        <w:rPr>
          <w:rFonts w:eastAsia="Times New Roman" w:cs="Times New Roman" w:ascii="Arial" w:hAnsi="Arial"/>
          <w:b/>
          <w:bCs/>
          <w:color w:val="000000"/>
          <w:lang w:eastAsia="pt-BR"/>
        </w:rPr>
        <w:t>A</w:t>
      </w:r>
      <w:r>
        <w:rPr>
          <w:rFonts w:eastAsia="Arial" w:cs="Arial" w:ascii="Arial" w:hAnsi="Arial"/>
          <w:b/>
          <w:bCs/>
          <w:color w:val="000000"/>
          <w:spacing w:val="0"/>
          <w:kern w:val="0"/>
          <w:sz w:val="22"/>
          <w:szCs w:val="22"/>
          <w:shd w:fill="FFFFFF" w:val="clear"/>
          <w:lang w:val="pt-BR" w:eastAsia="pt-BR" w:bidi="ar-SA"/>
        </w:rPr>
        <w:t>quisição de materiais hidráulicos a serem utilizados conforme necessidade das secretarias municipais de Itá/SC</w:t>
      </w:r>
      <w:r>
        <w:rPr>
          <w:rFonts w:eastAsia="Times New Roman" w:cs="Arial" w:ascii="Arial" w:hAnsi="Arial"/>
          <w:lang w:eastAsia="pt-BR"/>
        </w:rPr>
        <w:t>, em</w:t>
      </w:r>
      <w:r>
        <w:rPr>
          <w:rFonts w:eastAsia="Times New Roman" w:cs="Arial" w:ascii="Arial" w:hAnsi="Arial"/>
          <w:spacing w:val="-42"/>
          <w:lang w:eastAsia="pt-BR"/>
        </w:rPr>
        <w:t xml:space="preserve"> </w:t>
      </w:r>
      <w:r>
        <w:rPr>
          <w:rFonts w:eastAsia="Times New Roman" w:cs="Arial" w:ascii="Arial" w:hAnsi="Arial"/>
          <w:lang w:eastAsia="pt-BR"/>
        </w:rPr>
        <w:t>um prazo que se estende até xx/xx/xxxx a partir da assinatura da presente Ata de Registro de Preços, através do Sistema de Registro de Preços, para uso do(a)</w:t>
      </w:r>
      <w:r>
        <w:rPr>
          <w:rFonts w:eastAsia="Times New Roman" w:cs="Arial" w:ascii="Arial" w:hAnsi="Arial"/>
          <w:spacing w:val="1"/>
          <w:lang w:eastAsia="pt-BR"/>
        </w:rPr>
        <w:t xml:space="preserve"> </w:t>
      </w:r>
      <w:r>
        <w:rPr>
          <w:rFonts w:eastAsia="Times New Roman" w:cs="Arial" w:ascii="Arial" w:hAnsi="Arial"/>
          <w:lang w:eastAsia="pt-BR"/>
        </w:rPr>
        <w:t>MUNICÍPIO</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1"/>
          <w:lang w:eastAsia="pt-BR"/>
        </w:rPr>
        <w:t xml:space="preserve"> </w:t>
      </w:r>
      <w:r>
        <w:rPr>
          <w:rFonts w:eastAsia="Times New Roman" w:cs="Arial" w:ascii="Arial" w:hAnsi="Arial"/>
          <w:lang w:eastAsia="pt-BR"/>
        </w:rPr>
        <w:t>ITÁ,</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1"/>
          <w:lang w:eastAsia="pt-BR"/>
        </w:rPr>
        <w:t xml:space="preserve"> </w:t>
      </w:r>
      <w:r>
        <w:rPr>
          <w:rFonts w:eastAsia="Times New Roman" w:cs="Arial" w:ascii="Arial" w:hAnsi="Arial"/>
          <w:lang w:eastAsia="pt-BR"/>
        </w:rPr>
        <w:t>acordo</w:t>
      </w:r>
      <w:r>
        <w:rPr>
          <w:rFonts w:eastAsia="Times New Roman" w:cs="Arial" w:ascii="Arial" w:hAnsi="Arial"/>
          <w:spacing w:val="-2"/>
          <w:lang w:eastAsia="pt-BR"/>
        </w:rPr>
        <w:t xml:space="preserve"> </w:t>
      </w:r>
      <w:r>
        <w:rPr>
          <w:rFonts w:eastAsia="Times New Roman" w:cs="Arial" w:ascii="Arial" w:hAnsi="Arial"/>
          <w:lang w:eastAsia="pt-BR"/>
        </w:rPr>
        <w:t>com</w:t>
      </w:r>
      <w:r>
        <w:rPr>
          <w:rFonts w:eastAsia="Times New Roman" w:cs="Arial" w:ascii="Arial" w:hAnsi="Arial"/>
          <w:spacing w:val="-1"/>
          <w:lang w:eastAsia="pt-BR"/>
        </w:rPr>
        <w:t xml:space="preserve"> </w:t>
      </w:r>
      <w:r>
        <w:rPr>
          <w:rFonts w:eastAsia="Times New Roman" w:cs="Arial" w:ascii="Arial" w:hAnsi="Arial"/>
          <w:lang w:eastAsia="pt-BR"/>
        </w:rPr>
        <w:t>as</w:t>
      </w:r>
      <w:r>
        <w:rPr>
          <w:rFonts w:eastAsia="Times New Roman" w:cs="Arial" w:ascii="Arial" w:hAnsi="Arial"/>
          <w:spacing w:val="-2"/>
          <w:lang w:eastAsia="pt-BR"/>
        </w:rPr>
        <w:t xml:space="preserve"> </w:t>
      </w:r>
      <w:r>
        <w:rPr>
          <w:rFonts w:eastAsia="Times New Roman" w:cs="Arial" w:ascii="Arial" w:hAnsi="Arial"/>
          <w:lang w:eastAsia="pt-BR"/>
        </w:rPr>
        <w:t>especificações</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quantitativos</w:t>
      </w:r>
      <w:r>
        <w:rPr>
          <w:rFonts w:eastAsia="Times New Roman" w:cs="Arial" w:ascii="Arial" w:hAnsi="Arial"/>
          <w:spacing w:val="-1"/>
          <w:lang w:eastAsia="pt-BR"/>
        </w:rPr>
        <w:t xml:space="preserve"> </w:t>
      </w:r>
      <w:r>
        <w:rPr>
          <w:rFonts w:eastAsia="Times New Roman" w:cs="Arial" w:ascii="Arial" w:hAnsi="Arial"/>
          <w:lang w:eastAsia="pt-BR"/>
        </w:rPr>
        <w:t>abaixo</w:t>
      </w:r>
      <w:r>
        <w:rPr>
          <w:rFonts w:eastAsia="Times New Roman" w:cs="Arial" w:ascii="Arial" w:hAnsi="Arial"/>
          <w:spacing w:val="-2"/>
          <w:lang w:eastAsia="pt-BR"/>
        </w:rPr>
        <w:t xml:space="preserve"> </w:t>
      </w:r>
      <w:r>
        <w:rPr>
          <w:rFonts w:eastAsia="Times New Roman" w:cs="Arial" w:ascii="Arial" w:hAnsi="Arial"/>
          <w:lang w:eastAsia="pt-BR"/>
        </w:rPr>
        <w:t>estimados:</w:t>
      </w:r>
    </w:p>
    <w:p>
      <w:pPr>
        <w:pStyle w:val="ListParagraph"/>
        <w:widowControl w:val="false"/>
        <w:tabs>
          <w:tab w:val="clear" w:pos="708"/>
          <w:tab w:val="left" w:pos="322" w:leader="none"/>
        </w:tabs>
        <w:spacing w:lineRule="auto" w:line="240" w:before="0" w:after="0"/>
        <w:ind w:left="2340" w:hanging="0"/>
        <w:contextualSpacing/>
        <w:jc w:val="both"/>
        <w:textAlignment w:val="baseline"/>
        <w:rPr/>
      </w:pPr>
      <w:r>
        <w:rPr/>
      </w:r>
    </w:p>
    <w:tbl>
      <w:tblPr>
        <w:tblW w:w="8736" w:type="dxa"/>
        <w:jc w:val="left"/>
        <w:tblInd w:w="-118" w:type="dxa"/>
        <w:tblLayout w:type="fixed"/>
        <w:tblCellMar>
          <w:top w:w="55" w:type="dxa"/>
          <w:left w:w="55" w:type="dxa"/>
          <w:bottom w:w="55" w:type="dxa"/>
          <w:right w:w="55" w:type="dxa"/>
        </w:tblCellMar>
        <w:tblLook w:firstRow="0" w:noVBand="0" w:lastRow="0" w:firstColumn="0" w:lastColumn="0" w:noHBand="0" w:val="0000"/>
      </w:tblPr>
      <w:tblGrid>
        <w:gridCol w:w="566"/>
        <w:gridCol w:w="4368"/>
        <w:gridCol w:w="850"/>
        <w:gridCol w:w="733"/>
        <w:gridCol w:w="1246"/>
        <w:gridCol w:w="972"/>
      </w:tblGrid>
      <w:tr>
        <w:trPr>
          <w:trHeight w:val="396" w:hRule="atLeast"/>
        </w:trPr>
        <w:tc>
          <w:tcPr>
            <w:tcW w:w="8735" w:type="dxa"/>
            <w:gridSpan w:val="6"/>
            <w:tcBorders>
              <w:top w:val="single" w:sz="2" w:space="0" w:color="000000"/>
              <w:left w:val="single" w:sz="2" w:space="0" w:color="000000"/>
              <w:bottom w:val="single" w:sz="2" w:space="0" w:color="000000"/>
              <w:right w:val="single" w:sz="2" w:space="0" w:color="000000"/>
            </w:tcBorders>
          </w:tcPr>
          <w:p>
            <w:pPr>
              <w:pStyle w:val="TableParagraph"/>
              <w:widowControl w:val="false"/>
              <w:tabs>
                <w:tab w:val="clear" w:pos="708"/>
                <w:tab w:val="left" w:pos="10419" w:leader="none"/>
              </w:tabs>
              <w:spacing w:lineRule="auto" w:line="240" w:before="0" w:after="0"/>
              <w:ind w:left="0" w:hanging="0"/>
              <w:jc w:val="left"/>
              <w:rPr>
                <w:rFonts w:ascii="Arial" w:hAnsi="Arial"/>
                <w:b/>
                <w:b/>
                <w:sz w:val="16"/>
              </w:rPr>
            </w:pPr>
            <w:r>
              <w:rPr>
                <w:rFonts w:ascii="Arial" w:hAnsi="Arial"/>
                <w:b/>
                <w:spacing w:val="-1"/>
                <w:sz w:val="16"/>
                <w:shd w:fill="DFDFDF" w:val="clear"/>
              </w:rPr>
              <w:t>Fornecedor:</w:t>
            </w:r>
            <w:r>
              <w:rPr>
                <w:rFonts w:ascii="Arial" w:hAnsi="Arial"/>
                <w:b/>
                <w:spacing w:val="-8"/>
                <w:sz w:val="16"/>
                <w:shd w:fill="DFDFDF" w:val="clear"/>
              </w:rPr>
              <w:t xml:space="preserve"> </w:t>
            </w:r>
            <w:r>
              <w:rPr>
                <w:rFonts w:ascii="Arial" w:hAnsi="Arial"/>
                <w:b/>
                <w:color w:val="000000"/>
                <w:spacing w:val="-1"/>
                <w:sz w:val="16"/>
                <w:shd w:fill="DFDFDF" w:val="clear"/>
              </w:rPr>
              <w:t>XXXXXXXXXXXXXXXXXXX</w:t>
            </w:r>
          </w:p>
        </w:tc>
      </w:tr>
      <w:tr>
        <w:trPr>
          <w:trHeight w:val="396" w:hRule="atLeast"/>
        </w:trPr>
        <w:tc>
          <w:tcPr>
            <w:tcW w:w="7763" w:type="dxa"/>
            <w:gridSpan w:val="5"/>
            <w:tcBorders>
              <w:left w:val="single" w:sz="2" w:space="0" w:color="000000"/>
              <w:bottom w:val="single" w:sz="2" w:space="0" w:color="000000"/>
            </w:tcBorders>
          </w:tcPr>
          <w:p>
            <w:pPr>
              <w:pStyle w:val="TableParagraph"/>
              <w:widowControl w:val="false"/>
              <w:spacing w:lineRule="auto" w:line="240" w:before="0" w:after="0"/>
              <w:ind w:left="0" w:hanging="0"/>
              <w:rPr>
                <w:rFonts w:ascii="Arial" w:hAnsi="Arial"/>
                <w:b/>
                <w:b/>
                <w:sz w:val="16"/>
              </w:rPr>
            </w:pPr>
            <w:r>
              <w:rPr>
                <w:rFonts w:ascii="Arial" w:hAnsi="Arial"/>
                <w:b/>
                <w:sz w:val="16"/>
              </w:rPr>
              <w:t>LOTE XXX – Caso Houver</w:t>
            </w:r>
          </w:p>
        </w:tc>
        <w:tc>
          <w:tcPr>
            <w:tcW w:w="972" w:type="dxa"/>
            <w:tcBorders>
              <w:left w:val="single" w:sz="2" w:space="0" w:color="000000"/>
              <w:bottom w:val="single" w:sz="2" w:space="0" w:color="000000"/>
              <w:right w:val="single" w:sz="2" w:space="0" w:color="000000"/>
            </w:tcBorders>
          </w:tcPr>
          <w:p>
            <w:pPr>
              <w:pStyle w:val="Normal"/>
              <w:widowControl w:val="false"/>
              <w:spacing w:lineRule="auto" w:line="240" w:before="0" w:after="0"/>
              <w:rPr/>
            </w:pPr>
            <w:r>
              <w:rPr/>
            </w:r>
          </w:p>
        </w:tc>
      </w:tr>
      <w:tr>
        <w:trPr>
          <w:trHeight w:val="396" w:hRule="atLeast"/>
        </w:trPr>
        <w:tc>
          <w:tcPr>
            <w:tcW w:w="566"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Item</w:t>
            </w:r>
          </w:p>
        </w:tc>
        <w:tc>
          <w:tcPr>
            <w:tcW w:w="4368"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Descrição</w:t>
            </w:r>
          </w:p>
        </w:tc>
        <w:tc>
          <w:tcPr>
            <w:tcW w:w="850"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Unid.</w:t>
            </w:r>
          </w:p>
        </w:tc>
        <w:tc>
          <w:tcPr>
            <w:tcW w:w="733"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Quant.</w:t>
            </w:r>
          </w:p>
        </w:tc>
        <w:tc>
          <w:tcPr>
            <w:tcW w:w="1246" w:type="dxa"/>
            <w:tcBorders>
              <w:left w:val="single" w:sz="2" w:space="0" w:color="000000"/>
              <w:bottom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Valor Unit.</w:t>
            </w:r>
          </w:p>
        </w:tc>
        <w:tc>
          <w:tcPr>
            <w:tcW w:w="972" w:type="dxa"/>
            <w:tcBorders>
              <w:left w:val="single" w:sz="2" w:space="0" w:color="000000"/>
              <w:bottom w:val="single" w:sz="2" w:space="0" w:color="000000"/>
              <w:right w:val="single" w:sz="2" w:space="0" w:color="000000"/>
            </w:tcBorders>
          </w:tcPr>
          <w:p>
            <w:pPr>
              <w:pStyle w:val="Contedodatabela"/>
              <w:widowControl w:val="false"/>
              <w:spacing w:lineRule="auto" w:line="240" w:before="0" w:after="0"/>
              <w:jc w:val="center"/>
              <w:rPr>
                <w:rFonts w:ascii="Arial" w:hAnsi="Arial"/>
                <w:sz w:val="20"/>
                <w:szCs w:val="20"/>
              </w:rPr>
            </w:pPr>
            <w:r>
              <w:rPr>
                <w:rFonts w:ascii="Arial" w:hAnsi="Arial"/>
                <w:sz w:val="20"/>
                <w:szCs w:val="20"/>
              </w:rPr>
              <w:t>Valor Total</w:t>
            </w:r>
          </w:p>
        </w:tc>
      </w:tr>
      <w:tr>
        <w:trPr>
          <w:trHeight w:val="396" w:hRule="atLeast"/>
        </w:trPr>
        <w:tc>
          <w:tcPr>
            <w:tcW w:w="566"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cs="Arial" w:ascii="Arial" w:hAnsi="Arial"/>
                <w:color w:val="000000"/>
                <w:sz w:val="20"/>
                <w:szCs w:val="20"/>
                <w:lang w:eastAsia="pt-BR"/>
              </w:rPr>
              <w:t>01</w:t>
            </w:r>
          </w:p>
        </w:tc>
        <w:tc>
          <w:tcPr>
            <w:tcW w:w="4368" w:type="dxa"/>
            <w:tcBorders>
              <w:left w:val="single" w:sz="2" w:space="0" w:color="000000"/>
              <w:bottom w:val="single" w:sz="2" w:space="0" w:color="000000"/>
            </w:tcBorders>
          </w:tcPr>
          <w:p>
            <w:pPr>
              <w:pStyle w:val="Normal"/>
              <w:widowControl w:val="false"/>
              <w:spacing w:lineRule="auto" w:line="240" w:before="0" w:after="0"/>
              <w:jc w:val="both"/>
              <w:rPr>
                <w:rFonts w:ascii="Arial" w:hAnsi="Arial" w:eastAsia="Times New Roman" w:cs="Arial"/>
                <w:color w:val="000000"/>
                <w:sz w:val="20"/>
                <w:szCs w:val="20"/>
                <w:lang w:eastAsia="pt-BR"/>
              </w:rPr>
            </w:pPr>
            <w:r>
              <w:rPr>
                <w:rFonts w:eastAsia="Times New Roman" w:cs="Arial" w:ascii="Arial" w:hAnsi="Arial"/>
                <w:color w:val="000000"/>
                <w:sz w:val="20"/>
                <w:szCs w:val="20"/>
                <w:lang w:eastAsia="pt-BR"/>
              </w:rPr>
              <w:t>xxxxxxxxxxxxxxxxxxxxx</w:t>
            </w:r>
          </w:p>
        </w:tc>
        <w:tc>
          <w:tcPr>
            <w:tcW w:w="850"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cs="Arial"/>
                <w:sz w:val="20"/>
                <w:szCs w:val="20"/>
              </w:rPr>
            </w:pPr>
            <w:r>
              <w:rPr>
                <w:rFonts w:cs="Arial" w:ascii="Arial" w:hAnsi="Arial"/>
                <w:sz w:val="20"/>
                <w:szCs w:val="20"/>
              </w:rPr>
              <w:t>xxx</w:t>
            </w:r>
          </w:p>
        </w:tc>
        <w:tc>
          <w:tcPr>
            <w:tcW w:w="733" w:type="dxa"/>
            <w:tcBorders>
              <w:left w:val="single" w:sz="2" w:space="0" w:color="000000"/>
              <w:bottom w:val="single" w:sz="2" w:space="0" w:color="000000"/>
            </w:tcBorders>
            <w:vAlign w:val="center"/>
          </w:tcPr>
          <w:p>
            <w:pPr>
              <w:pStyle w:val="Normal"/>
              <w:widowControl w:val="false"/>
              <w:tabs>
                <w:tab w:val="clear" w:pos="708"/>
                <w:tab w:val="center" w:pos="4252" w:leader="none"/>
                <w:tab w:val="right" w:pos="8504" w:leader="none"/>
              </w:tabs>
              <w:spacing w:lineRule="auto" w:line="240" w:before="0" w:after="0"/>
              <w:jc w:val="center"/>
              <w:rPr>
                <w:rFonts w:ascii="Arial" w:hAnsi="Arial" w:cs="Arial"/>
                <w:sz w:val="20"/>
                <w:szCs w:val="20"/>
              </w:rPr>
            </w:pPr>
            <w:r>
              <w:rPr>
                <w:rFonts w:cs="Arial" w:ascii="Arial" w:hAnsi="Arial"/>
                <w:sz w:val="20"/>
                <w:szCs w:val="20"/>
              </w:rPr>
              <w:t>xxx</w:t>
            </w:r>
          </w:p>
        </w:tc>
        <w:tc>
          <w:tcPr>
            <w:tcW w:w="1246" w:type="dxa"/>
            <w:tcBorders>
              <w:left w:val="single" w:sz="2" w:space="0" w:color="000000"/>
              <w:bottom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ascii="Arial" w:hAnsi="Arial"/>
                <w:color w:val="000000"/>
                <w:sz w:val="20"/>
                <w:szCs w:val="20"/>
                <w:lang w:eastAsia="pt-BR"/>
              </w:rPr>
              <w:t>***</w:t>
            </w:r>
          </w:p>
        </w:tc>
        <w:tc>
          <w:tcPr>
            <w:tcW w:w="972" w:type="dxa"/>
            <w:tcBorders>
              <w:left w:val="single" w:sz="2" w:space="0" w:color="000000"/>
              <w:bottom w:val="single" w:sz="2" w:space="0" w:color="000000"/>
              <w:right w:val="single" w:sz="2" w:space="0" w:color="000000"/>
            </w:tcBorders>
            <w:vAlign w:val="center"/>
          </w:tcPr>
          <w:p>
            <w:pPr>
              <w:pStyle w:val="Normal"/>
              <w:widowControl w:val="false"/>
              <w:suppressAutoHyphens w:val="false"/>
              <w:spacing w:lineRule="auto" w:line="240" w:before="0" w:after="0"/>
              <w:jc w:val="center"/>
              <w:rPr>
                <w:rFonts w:ascii="Arial" w:hAnsi="Arial" w:eastAsia="Times New Roman"/>
                <w:color w:val="000000"/>
                <w:sz w:val="20"/>
                <w:szCs w:val="20"/>
                <w:lang w:eastAsia="pt-BR"/>
              </w:rPr>
            </w:pPr>
            <w:r>
              <w:rPr>
                <w:rFonts w:eastAsia="Times New Roman" w:ascii="Arial" w:hAnsi="Arial"/>
                <w:color w:val="000000"/>
                <w:sz w:val="20"/>
                <w:szCs w:val="20"/>
                <w:lang w:eastAsia="pt-BR"/>
              </w:rPr>
              <w:t>***</w:t>
            </w:r>
          </w:p>
        </w:tc>
      </w:tr>
    </w:tbl>
    <w:p>
      <w:pPr>
        <w:pStyle w:val="Ttulo2"/>
        <w:widowControl w:val="false"/>
        <w:numPr>
          <w:ilvl w:val="1"/>
          <w:numId w:val="51"/>
        </w:numPr>
        <w:tabs>
          <w:tab w:val="clear" w:pos="708"/>
          <w:tab w:val="left" w:pos="10597" w:leader="none"/>
        </w:tabs>
        <w:spacing w:lineRule="auto" w:line="240" w:before="0" w:after="0"/>
        <w:ind w:left="37" w:hanging="360"/>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w:t>
      </w:r>
      <w:r>
        <w:rPr>
          <w:rFonts w:eastAsia="Times New Roman" w:cs="Arial" w:ascii="Arial" w:hAnsi="Arial"/>
          <w:sz w:val="22"/>
          <w:szCs w:val="22"/>
          <w:shd w:fill="DFDFDF" w:val="clear"/>
          <w:lang w:eastAsia="pt-BR"/>
        </w:rPr>
        <w:t xml:space="preserve">II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DA</w:t>
      </w:r>
      <w:r>
        <w:rPr>
          <w:rFonts w:eastAsia="Times New Roman" w:cs="Arial" w:ascii="Arial" w:hAnsi="Arial"/>
          <w:spacing w:val="-3"/>
          <w:sz w:val="22"/>
          <w:szCs w:val="22"/>
          <w:shd w:fill="DFDFDF" w:val="clear"/>
          <w:lang w:eastAsia="pt-BR"/>
        </w:rPr>
        <w:t xml:space="preserve"> </w:t>
      </w:r>
      <w:r>
        <w:rPr>
          <w:rFonts w:eastAsia="Times New Roman" w:cs="Arial" w:ascii="Arial" w:hAnsi="Arial"/>
          <w:color w:val="000000"/>
          <w:spacing w:val="-3"/>
          <w:sz w:val="22"/>
          <w:szCs w:val="22"/>
          <w:shd w:fill="DFDFDF" w:val="clear"/>
          <w:lang w:eastAsia="pt-BR"/>
        </w:rPr>
        <w:t>VALIDADE DOS PREÇOS</w:t>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t>2.</w:t>
        <w:tab/>
        <w:t>A</w:t>
      </w:r>
      <w:r>
        <w:rPr>
          <w:rFonts w:ascii="Arial" w:hAnsi="Arial"/>
          <w:spacing w:val="-4"/>
        </w:rPr>
        <w:t xml:space="preserve"> </w:t>
      </w:r>
      <w:r>
        <w:rPr>
          <w:rFonts w:ascii="Arial" w:hAnsi="Arial"/>
        </w:rPr>
        <w:t>presente</w:t>
      </w:r>
      <w:r>
        <w:rPr>
          <w:rFonts w:ascii="Arial" w:hAnsi="Arial"/>
          <w:spacing w:val="-3"/>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Registro</w:t>
      </w:r>
      <w:r>
        <w:rPr>
          <w:rFonts w:ascii="Arial" w:hAnsi="Arial"/>
          <w:spacing w:val="-3"/>
        </w:rPr>
        <w:t xml:space="preserve"> </w:t>
      </w:r>
      <w:r>
        <w:rPr>
          <w:rFonts w:ascii="Arial" w:hAnsi="Arial"/>
        </w:rPr>
        <w:t>de</w:t>
      </w:r>
      <w:r>
        <w:rPr>
          <w:rFonts w:ascii="Arial" w:hAnsi="Arial"/>
          <w:spacing w:val="-4"/>
        </w:rPr>
        <w:t xml:space="preserve"> </w:t>
      </w:r>
      <w:r>
        <w:rPr>
          <w:rFonts w:ascii="Arial" w:hAnsi="Arial"/>
        </w:rPr>
        <w:t>Preços</w:t>
      </w:r>
      <w:r>
        <w:rPr>
          <w:rFonts w:ascii="Arial" w:hAnsi="Arial"/>
          <w:spacing w:val="-3"/>
        </w:rPr>
        <w:t xml:space="preserve"> </w:t>
      </w:r>
      <w:r>
        <w:rPr>
          <w:rFonts w:ascii="Arial" w:hAnsi="Arial"/>
        </w:rPr>
        <w:t>terá</w:t>
      </w:r>
      <w:r>
        <w:rPr>
          <w:rFonts w:ascii="Arial" w:hAnsi="Arial"/>
          <w:spacing w:val="-3"/>
        </w:rPr>
        <w:t xml:space="preserve"> </w:t>
      </w:r>
      <w:r>
        <w:rPr>
          <w:rFonts w:ascii="Arial" w:hAnsi="Arial"/>
        </w:rPr>
        <w:t>validade</w:t>
      </w:r>
      <w:r>
        <w:rPr>
          <w:rFonts w:ascii="Arial" w:hAnsi="Arial"/>
          <w:spacing w:val="-4"/>
        </w:rPr>
        <w:t xml:space="preserve"> </w:t>
      </w:r>
      <w:r>
        <w:rPr>
          <w:rFonts w:ascii="Arial" w:hAnsi="Arial"/>
        </w:rPr>
        <w:t>de</w:t>
      </w:r>
      <w:r>
        <w:rPr>
          <w:rFonts w:ascii="Arial" w:hAnsi="Arial"/>
          <w:spacing w:val="-3"/>
        </w:rPr>
        <w:t xml:space="preserve"> </w:t>
      </w:r>
      <w:r>
        <w:rPr>
          <w:rFonts w:ascii="Arial" w:hAnsi="Arial"/>
          <w:b/>
          <w:bCs/>
          <w:spacing w:val="-3"/>
        </w:rPr>
        <w:t>xxx</w:t>
      </w:r>
      <w:r>
        <w:rPr>
          <w:rFonts w:ascii="Arial" w:hAnsi="Arial"/>
          <w:spacing w:val="-3"/>
        </w:rPr>
        <w:t xml:space="preserve"> </w:t>
      </w:r>
      <w:r>
        <w:rPr>
          <w:rFonts w:ascii="Arial" w:hAnsi="Arial"/>
        </w:rPr>
        <w:t>meses</w:t>
      </w:r>
      <w:r>
        <w:rPr>
          <w:rFonts w:ascii="Arial" w:hAnsi="Arial"/>
          <w:spacing w:val="-4"/>
        </w:rPr>
        <w:t xml:space="preserve"> </w:t>
      </w:r>
      <w:r>
        <w:rPr>
          <w:rFonts w:ascii="Arial" w:hAnsi="Arial"/>
        </w:rPr>
        <w:t>e</w:t>
      </w:r>
      <w:r>
        <w:rPr>
          <w:rFonts w:ascii="Arial" w:hAnsi="Arial"/>
          <w:spacing w:val="-3"/>
        </w:rPr>
        <w:t xml:space="preserve"> </w:t>
      </w:r>
      <w:r>
        <w:rPr>
          <w:rFonts w:ascii="Arial" w:hAnsi="Arial"/>
          <w:b/>
          <w:bCs/>
          <w:spacing w:val="-3"/>
        </w:rPr>
        <w:t xml:space="preserve">xxx </w:t>
      </w:r>
      <w:r>
        <w:rPr>
          <w:rFonts w:ascii="Arial" w:hAnsi="Arial"/>
        </w:rPr>
        <w:t>dias,</w:t>
      </w:r>
      <w:r>
        <w:rPr>
          <w:rFonts w:ascii="Arial" w:hAnsi="Arial"/>
          <w:spacing w:val="-4"/>
        </w:rPr>
        <w:t xml:space="preserve"> </w:t>
      </w:r>
      <w:r>
        <w:rPr>
          <w:rFonts w:ascii="Arial" w:hAnsi="Arial"/>
        </w:rPr>
        <w:t>contados</w:t>
      </w:r>
      <w:r>
        <w:rPr>
          <w:rFonts w:ascii="Arial" w:hAnsi="Arial"/>
          <w:spacing w:val="-3"/>
        </w:rPr>
        <w:t xml:space="preserve"> </w:t>
      </w:r>
      <w:r>
        <w:rPr>
          <w:rFonts w:ascii="Arial" w:hAnsi="Arial"/>
        </w:rPr>
        <w:t>a</w:t>
      </w:r>
      <w:r>
        <w:rPr>
          <w:rFonts w:ascii="Arial" w:hAnsi="Arial"/>
          <w:spacing w:val="-4"/>
        </w:rPr>
        <w:t xml:space="preserve"> </w:t>
      </w:r>
      <w:r>
        <w:rPr>
          <w:rFonts w:ascii="Arial" w:hAnsi="Arial"/>
        </w:rPr>
        <w:t>partir</w:t>
      </w:r>
      <w:r>
        <w:rPr>
          <w:rFonts w:ascii="Arial" w:hAnsi="Arial"/>
          <w:spacing w:val="-3"/>
        </w:rPr>
        <w:t xml:space="preserve"> </w:t>
      </w:r>
      <w:r>
        <w:rPr>
          <w:rFonts w:ascii="Arial" w:hAnsi="Arial"/>
        </w:rPr>
        <w:t>da</w:t>
      </w:r>
      <w:r>
        <w:rPr>
          <w:rFonts w:ascii="Arial" w:hAnsi="Arial"/>
          <w:spacing w:val="-3"/>
        </w:rPr>
        <w:t xml:space="preserve"> </w:t>
      </w:r>
      <w:r>
        <w:rPr>
          <w:rFonts w:ascii="Arial" w:hAnsi="Arial"/>
        </w:rPr>
        <w:t>sua</w:t>
      </w:r>
      <w:r>
        <w:rPr>
          <w:rFonts w:ascii="Arial" w:hAnsi="Arial"/>
          <w:spacing w:val="-4"/>
        </w:rPr>
        <w:t xml:space="preserve"> </w:t>
      </w:r>
      <w:r>
        <w:rPr>
          <w:rFonts w:ascii="Arial" w:hAnsi="Arial"/>
        </w:rPr>
        <w:t>assinatura,</w:t>
      </w:r>
      <w:r>
        <w:rPr>
          <w:rFonts w:ascii="Arial" w:hAnsi="Arial"/>
          <w:spacing w:val="-4"/>
        </w:rPr>
        <w:t xml:space="preserve"> </w:t>
      </w:r>
      <w:r>
        <w:rPr>
          <w:rFonts w:ascii="Arial" w:hAnsi="Arial"/>
        </w:rPr>
        <w:t>contados</w:t>
      </w:r>
      <w:r>
        <w:rPr>
          <w:rFonts w:ascii="Arial" w:hAnsi="Arial"/>
          <w:spacing w:val="-3"/>
        </w:rPr>
        <w:t xml:space="preserve"> </w:t>
      </w:r>
      <w:r>
        <w:rPr>
          <w:rFonts w:ascii="Arial" w:hAnsi="Arial"/>
        </w:rPr>
        <w:t>a</w:t>
      </w:r>
      <w:r>
        <w:rPr>
          <w:rFonts w:ascii="Arial" w:hAnsi="Arial"/>
          <w:spacing w:val="-4"/>
        </w:rPr>
        <w:t xml:space="preserve"> </w:t>
      </w:r>
      <w:r>
        <w:rPr>
          <w:rFonts w:ascii="Arial" w:hAnsi="Arial"/>
        </w:rPr>
        <w:t>partir</w:t>
      </w:r>
      <w:r>
        <w:rPr>
          <w:rFonts w:ascii="Arial" w:hAnsi="Arial"/>
          <w:spacing w:val="-3"/>
        </w:rPr>
        <w:t xml:space="preserve"> </w:t>
      </w:r>
      <w:r>
        <w:rPr>
          <w:rFonts w:ascii="Arial" w:hAnsi="Arial"/>
        </w:rPr>
        <w:t>da</w:t>
      </w:r>
      <w:r>
        <w:rPr>
          <w:rFonts w:ascii="Arial" w:hAnsi="Arial"/>
          <w:spacing w:val="-3"/>
        </w:rPr>
        <w:t xml:space="preserve"> </w:t>
      </w:r>
      <w:r>
        <w:rPr>
          <w:rFonts w:ascii="Arial" w:hAnsi="Arial"/>
        </w:rPr>
        <w:t>sua</w:t>
      </w:r>
      <w:r>
        <w:rPr>
          <w:rFonts w:ascii="Arial" w:hAnsi="Arial"/>
          <w:spacing w:val="-4"/>
        </w:rPr>
        <w:t xml:space="preserve"> </w:t>
      </w:r>
      <w:r>
        <w:rPr>
          <w:rFonts w:ascii="Arial" w:hAnsi="Arial"/>
        </w:rPr>
        <w:t xml:space="preserve">assinatura, podendo ser prorrogada, conforme artigo 84. </w:t>
      </w:r>
    </w:p>
    <w:p>
      <w:pPr>
        <w:pStyle w:val="ListParagraph"/>
        <w:widowControl w:val="false"/>
        <w:tabs>
          <w:tab w:val="clear" w:pos="708"/>
          <w:tab w:val="left" w:pos="480"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2.1</w:t>
        <w:tab/>
        <w:tab/>
        <w:t>Durante o prazo de validade desta Ata de Registro de Preços, o Município não será obrigado a contratar o objeto referido na Cláusula I</w:t>
      </w:r>
      <w:r>
        <w:rPr>
          <w:rFonts w:eastAsia="Times New Roman" w:cs="Arial" w:ascii="Arial" w:hAnsi="Arial"/>
          <w:spacing w:val="1"/>
          <w:lang w:eastAsia="pt-BR"/>
        </w:rPr>
        <w:t xml:space="preserve"> </w:t>
      </w:r>
      <w:r>
        <w:rPr>
          <w:rFonts w:eastAsia="Times New Roman" w:cs="Arial" w:ascii="Arial" w:hAnsi="Arial"/>
          <w:lang w:eastAsia="pt-BR"/>
        </w:rPr>
        <w:t>exclusivamente pelo Sistema de Registro de Preços, podendo fazê-lo através de outra licitação quando julgar conveniente, sem que caiba recurso</w:t>
      </w:r>
      <w:r>
        <w:rPr>
          <w:rFonts w:eastAsia="Times New Roman" w:cs="Arial" w:ascii="Arial" w:hAnsi="Arial"/>
          <w:spacing w:val="1"/>
          <w:lang w:eastAsia="pt-BR"/>
        </w:rPr>
        <w:t xml:space="preserve"> </w:t>
      </w:r>
      <w:r>
        <w:rPr>
          <w:rFonts w:eastAsia="Times New Roman" w:cs="Arial" w:ascii="Arial" w:hAnsi="Arial"/>
          <w:lang w:eastAsia="pt-BR"/>
        </w:rPr>
        <w:t>ou indenização de qualquer espécie às empresas detentoras, ou, cancelar a Ata, na ocorrência de alguma das hipóteses legalmente previstas para</w:t>
      </w:r>
      <w:r>
        <w:rPr>
          <w:rFonts w:eastAsia="Times New Roman" w:cs="Arial" w:ascii="Arial" w:hAnsi="Arial"/>
          <w:spacing w:val="1"/>
          <w:lang w:eastAsia="pt-BR"/>
        </w:rPr>
        <w:t xml:space="preserve"> </w:t>
      </w:r>
      <w:r>
        <w:rPr>
          <w:rFonts w:eastAsia="Times New Roman" w:cs="Arial" w:ascii="Arial" w:hAnsi="Arial"/>
          <w:lang w:eastAsia="pt-BR"/>
        </w:rPr>
        <w:t>tanto,</w:t>
      </w:r>
      <w:r>
        <w:rPr>
          <w:rFonts w:eastAsia="Times New Roman" w:cs="Arial" w:ascii="Arial" w:hAnsi="Arial"/>
          <w:spacing w:val="-1"/>
          <w:lang w:eastAsia="pt-BR"/>
        </w:rPr>
        <w:t xml:space="preserve"> </w:t>
      </w:r>
      <w:r>
        <w:rPr>
          <w:rFonts w:eastAsia="Times New Roman" w:cs="Arial" w:ascii="Arial" w:hAnsi="Arial"/>
          <w:lang w:eastAsia="pt-BR"/>
        </w:rPr>
        <w:t>garantidos</w:t>
      </w:r>
      <w:r>
        <w:rPr>
          <w:rFonts w:eastAsia="Times New Roman" w:cs="Arial" w:ascii="Arial" w:hAnsi="Arial"/>
          <w:spacing w:val="-1"/>
          <w:lang w:eastAsia="pt-BR"/>
        </w:rPr>
        <w:t xml:space="preserve"> </w:t>
      </w:r>
      <w:r>
        <w:rPr>
          <w:rFonts w:eastAsia="Times New Roman" w:cs="Arial" w:ascii="Arial" w:hAnsi="Arial"/>
          <w:lang w:eastAsia="pt-BR"/>
        </w:rPr>
        <w:t>à</w:t>
      </w:r>
      <w:r>
        <w:rPr>
          <w:rFonts w:eastAsia="Times New Roman" w:cs="Arial" w:ascii="Arial" w:hAnsi="Arial"/>
          <w:spacing w:val="-1"/>
          <w:lang w:eastAsia="pt-BR"/>
        </w:rPr>
        <w:t xml:space="preserve"> </w:t>
      </w:r>
      <w:r>
        <w:rPr>
          <w:rFonts w:eastAsia="Times New Roman" w:cs="Arial" w:ascii="Arial" w:hAnsi="Arial"/>
          <w:lang w:eastAsia="pt-BR"/>
        </w:rPr>
        <w:t>detentora,</w:t>
      </w:r>
      <w:r>
        <w:rPr>
          <w:rFonts w:eastAsia="Times New Roman" w:cs="Arial" w:ascii="Arial" w:hAnsi="Arial"/>
          <w:spacing w:val="-2"/>
          <w:lang w:eastAsia="pt-BR"/>
        </w:rPr>
        <w:t xml:space="preserve"> </w:t>
      </w:r>
      <w:r>
        <w:rPr>
          <w:rFonts w:eastAsia="Times New Roman" w:cs="Arial" w:ascii="Arial" w:hAnsi="Arial"/>
          <w:lang w:eastAsia="pt-BR"/>
        </w:rPr>
        <w:t>neste</w:t>
      </w:r>
      <w:r>
        <w:rPr>
          <w:rFonts w:eastAsia="Times New Roman" w:cs="Arial" w:ascii="Arial" w:hAnsi="Arial"/>
          <w:spacing w:val="-1"/>
          <w:lang w:eastAsia="pt-BR"/>
        </w:rPr>
        <w:t xml:space="preserve"> </w:t>
      </w:r>
      <w:r>
        <w:rPr>
          <w:rFonts w:eastAsia="Times New Roman" w:cs="Arial" w:ascii="Arial" w:hAnsi="Arial"/>
          <w:lang w:eastAsia="pt-BR"/>
        </w:rPr>
        <w:t>caso,</w:t>
      </w:r>
      <w:r>
        <w:rPr>
          <w:rFonts w:eastAsia="Times New Roman" w:cs="Arial" w:ascii="Arial" w:hAnsi="Arial"/>
          <w:spacing w:val="-1"/>
          <w:lang w:eastAsia="pt-BR"/>
        </w:rPr>
        <w:t xml:space="preserve"> </w:t>
      </w:r>
      <w:r>
        <w:rPr>
          <w:rFonts w:eastAsia="Times New Roman" w:cs="Arial" w:ascii="Arial" w:hAnsi="Arial"/>
          <w:lang w:eastAsia="pt-BR"/>
        </w:rPr>
        <w:t>o</w:t>
      </w:r>
      <w:r>
        <w:rPr>
          <w:rFonts w:eastAsia="Times New Roman" w:cs="Arial" w:ascii="Arial" w:hAnsi="Arial"/>
          <w:spacing w:val="-2"/>
          <w:lang w:eastAsia="pt-BR"/>
        </w:rPr>
        <w:t xml:space="preserve"> </w:t>
      </w:r>
      <w:r>
        <w:rPr>
          <w:rFonts w:eastAsia="Times New Roman" w:cs="Arial" w:ascii="Arial" w:hAnsi="Arial"/>
          <w:lang w:eastAsia="pt-BR"/>
        </w:rPr>
        <w:t>contraditório</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1"/>
          <w:lang w:eastAsia="pt-BR"/>
        </w:rPr>
        <w:t xml:space="preserve"> </w:t>
      </w:r>
      <w:r>
        <w:rPr>
          <w:rFonts w:eastAsia="Times New Roman" w:cs="Arial" w:ascii="Arial" w:hAnsi="Arial"/>
          <w:lang w:eastAsia="pt-BR"/>
        </w:rPr>
        <w:t>a</w:t>
      </w:r>
      <w:r>
        <w:rPr>
          <w:rFonts w:eastAsia="Times New Roman" w:cs="Arial" w:ascii="Arial" w:hAnsi="Arial"/>
          <w:spacing w:val="-1"/>
          <w:lang w:eastAsia="pt-BR"/>
        </w:rPr>
        <w:t xml:space="preserve"> </w:t>
      </w:r>
      <w:r>
        <w:rPr>
          <w:rFonts w:eastAsia="Times New Roman" w:cs="Arial" w:ascii="Arial" w:hAnsi="Arial"/>
          <w:lang w:eastAsia="pt-BR"/>
        </w:rPr>
        <w:t>ampla</w:t>
      </w:r>
      <w:r>
        <w:rPr>
          <w:rFonts w:eastAsia="Times New Roman" w:cs="Arial" w:ascii="Arial" w:hAnsi="Arial"/>
          <w:spacing w:val="-2"/>
          <w:lang w:eastAsia="pt-BR"/>
        </w:rPr>
        <w:t xml:space="preserve"> </w:t>
      </w:r>
      <w:r>
        <w:rPr>
          <w:rFonts w:eastAsia="Times New Roman" w:cs="Arial" w:ascii="Arial" w:hAnsi="Arial"/>
          <w:lang w:eastAsia="pt-BR"/>
        </w:rPr>
        <w:t>defesa.</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w:t>
      </w:r>
      <w:r>
        <w:rPr>
          <w:rFonts w:eastAsia="Times New Roman" w:cs="Arial" w:ascii="Arial" w:hAnsi="Arial"/>
          <w:sz w:val="22"/>
          <w:szCs w:val="22"/>
          <w:shd w:fill="DFDFDF" w:val="clear"/>
          <w:lang w:eastAsia="pt-BR"/>
        </w:rPr>
        <w:t xml:space="preserve">III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DA</w:t>
      </w:r>
      <w:r>
        <w:rPr>
          <w:rFonts w:eastAsia="Times New Roman" w:cs="Arial" w:ascii="Arial" w:hAnsi="Arial"/>
          <w:spacing w:val="-3"/>
          <w:sz w:val="22"/>
          <w:szCs w:val="22"/>
          <w:shd w:fill="DFDFDF" w:val="clear"/>
          <w:lang w:eastAsia="pt-BR"/>
        </w:rPr>
        <w:t xml:space="preserve"> </w:t>
      </w:r>
      <w:r>
        <w:rPr>
          <w:rFonts w:eastAsia="Times New Roman" w:cs="Arial" w:ascii="Arial" w:hAnsi="Arial"/>
          <w:color w:val="000000"/>
          <w:spacing w:val="-3"/>
          <w:sz w:val="22"/>
          <w:szCs w:val="22"/>
          <w:shd w:fill="DFDFDF" w:val="clear"/>
          <w:lang w:eastAsia="pt-BR"/>
        </w:rPr>
        <w:t>UTILIZAÇÃO DA ATA DE REGISTRO DE PREÇOS</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ListParagraph"/>
        <w:tabs>
          <w:tab w:val="clear" w:pos="708"/>
          <w:tab w:val="left" w:pos="336" w:leader="none"/>
        </w:tabs>
        <w:spacing w:lineRule="auto" w:line="240" w:before="0" w:after="0"/>
        <w:ind w:left="0" w:hanging="0"/>
        <w:contextualSpacing/>
        <w:jc w:val="both"/>
        <w:rPr>
          <w:rFonts w:ascii="Arial" w:hAnsi="Arial"/>
        </w:rPr>
      </w:pPr>
      <w:r>
        <w:rPr>
          <w:rFonts w:ascii="Arial" w:hAnsi="Arial"/>
        </w:rPr>
        <w:t>3.</w:t>
        <w:tab/>
        <w:t>A</w:t>
      </w:r>
      <w:r>
        <w:rPr>
          <w:rFonts w:ascii="Arial" w:hAnsi="Arial"/>
          <w:spacing w:val="12"/>
        </w:rPr>
        <w:t xml:space="preserve"> </w:t>
      </w:r>
      <w:r>
        <w:rPr>
          <w:rFonts w:ascii="Arial" w:hAnsi="Arial"/>
        </w:rPr>
        <w:t>presente</w:t>
      </w:r>
      <w:r>
        <w:rPr>
          <w:rFonts w:ascii="Arial" w:hAnsi="Arial"/>
          <w:spacing w:val="13"/>
        </w:rPr>
        <w:t xml:space="preserve"> </w:t>
      </w:r>
      <w:r>
        <w:rPr>
          <w:rFonts w:ascii="Arial" w:hAnsi="Arial"/>
        </w:rPr>
        <w:t>Ata</w:t>
      </w:r>
      <w:r>
        <w:rPr>
          <w:rFonts w:ascii="Arial" w:hAnsi="Arial"/>
          <w:spacing w:val="12"/>
        </w:rPr>
        <w:t xml:space="preserve"> </w:t>
      </w:r>
      <w:r>
        <w:rPr>
          <w:rFonts w:ascii="Arial" w:hAnsi="Arial"/>
        </w:rPr>
        <w:t>de</w:t>
      </w:r>
      <w:r>
        <w:rPr>
          <w:rFonts w:ascii="Arial" w:hAnsi="Arial"/>
          <w:spacing w:val="13"/>
        </w:rPr>
        <w:t xml:space="preserve"> </w:t>
      </w:r>
      <w:r>
        <w:rPr>
          <w:rFonts w:ascii="Arial" w:hAnsi="Arial"/>
        </w:rPr>
        <w:t>Registro</w:t>
      </w:r>
      <w:r>
        <w:rPr>
          <w:rFonts w:ascii="Arial" w:hAnsi="Arial"/>
          <w:spacing w:val="13"/>
        </w:rPr>
        <w:t xml:space="preserve"> </w:t>
      </w:r>
      <w:r>
        <w:rPr>
          <w:rFonts w:ascii="Arial" w:hAnsi="Arial"/>
        </w:rPr>
        <w:t>de</w:t>
      </w:r>
      <w:r>
        <w:rPr>
          <w:rFonts w:ascii="Arial" w:hAnsi="Arial"/>
          <w:spacing w:val="13"/>
        </w:rPr>
        <w:t xml:space="preserve"> </w:t>
      </w:r>
      <w:r>
        <w:rPr>
          <w:rFonts w:ascii="Arial" w:hAnsi="Arial"/>
        </w:rPr>
        <w:t>Preços</w:t>
      </w:r>
      <w:r>
        <w:rPr>
          <w:rFonts w:ascii="Arial" w:hAnsi="Arial"/>
          <w:spacing w:val="12"/>
        </w:rPr>
        <w:t xml:space="preserve"> </w:t>
      </w:r>
      <w:r>
        <w:rPr>
          <w:rFonts w:ascii="Arial" w:hAnsi="Arial"/>
        </w:rPr>
        <w:t>será</w:t>
      </w:r>
      <w:r>
        <w:rPr>
          <w:rFonts w:ascii="Arial" w:hAnsi="Arial"/>
          <w:spacing w:val="13"/>
        </w:rPr>
        <w:t xml:space="preserve"> </w:t>
      </w:r>
      <w:r>
        <w:rPr>
          <w:rFonts w:ascii="Arial" w:hAnsi="Arial"/>
        </w:rPr>
        <w:t>usado</w:t>
      </w:r>
      <w:r>
        <w:rPr>
          <w:rFonts w:ascii="Arial" w:hAnsi="Arial"/>
          <w:spacing w:val="13"/>
        </w:rPr>
        <w:t xml:space="preserve"> </w:t>
      </w:r>
      <w:r>
        <w:rPr>
          <w:rFonts w:ascii="Arial" w:hAnsi="Arial"/>
        </w:rPr>
        <w:t>pelo(a)</w:t>
      </w:r>
      <w:r>
        <w:rPr>
          <w:rFonts w:ascii="Arial" w:hAnsi="Arial"/>
          <w:spacing w:val="13"/>
        </w:rPr>
        <w:t xml:space="preserve"> </w:t>
      </w:r>
      <w:r>
        <w:rPr>
          <w:rFonts w:ascii="Arial" w:hAnsi="Arial"/>
        </w:rPr>
        <w:t>MUNICÍPIO</w:t>
      </w:r>
      <w:r>
        <w:rPr>
          <w:rFonts w:ascii="Arial" w:hAnsi="Arial"/>
          <w:spacing w:val="13"/>
        </w:rPr>
        <w:t xml:space="preserve"> </w:t>
      </w:r>
      <w:r>
        <w:rPr>
          <w:rFonts w:ascii="Arial" w:hAnsi="Arial"/>
        </w:rPr>
        <w:t>DE</w:t>
      </w:r>
      <w:r>
        <w:rPr>
          <w:rFonts w:ascii="Arial" w:hAnsi="Arial"/>
          <w:spacing w:val="13"/>
        </w:rPr>
        <w:t xml:space="preserve"> </w:t>
      </w:r>
      <w:r>
        <w:rPr>
          <w:rFonts w:ascii="Arial" w:hAnsi="Arial"/>
        </w:rPr>
        <w:t>ITÁ,</w:t>
      </w:r>
      <w:r>
        <w:rPr>
          <w:rFonts w:ascii="Arial" w:hAnsi="Arial"/>
          <w:spacing w:val="12"/>
        </w:rPr>
        <w:t xml:space="preserve"> </w:t>
      </w:r>
      <w:r>
        <w:rPr>
          <w:rFonts w:ascii="Arial" w:hAnsi="Arial"/>
        </w:rPr>
        <w:t>que</w:t>
      </w:r>
      <w:r>
        <w:rPr>
          <w:rFonts w:ascii="Arial" w:hAnsi="Arial"/>
          <w:spacing w:val="13"/>
        </w:rPr>
        <w:t xml:space="preserve"> </w:t>
      </w:r>
      <w:r>
        <w:rPr>
          <w:rFonts w:ascii="Arial" w:hAnsi="Arial"/>
        </w:rPr>
        <w:t>será</w:t>
      </w:r>
      <w:r>
        <w:rPr>
          <w:rFonts w:ascii="Arial" w:hAnsi="Arial"/>
          <w:spacing w:val="13"/>
        </w:rPr>
        <w:t xml:space="preserve"> </w:t>
      </w:r>
      <w:r>
        <w:rPr>
          <w:rFonts w:ascii="Arial" w:hAnsi="Arial"/>
        </w:rPr>
        <w:t>o</w:t>
      </w:r>
      <w:r>
        <w:rPr>
          <w:rFonts w:ascii="Arial" w:hAnsi="Arial"/>
          <w:spacing w:val="13"/>
        </w:rPr>
        <w:t xml:space="preserve"> </w:t>
      </w:r>
      <w:r>
        <w:rPr>
          <w:rFonts w:ascii="Arial" w:hAnsi="Arial"/>
        </w:rPr>
        <w:t>órgão</w:t>
      </w:r>
      <w:r>
        <w:rPr>
          <w:rFonts w:ascii="Arial" w:hAnsi="Arial"/>
          <w:spacing w:val="13"/>
        </w:rPr>
        <w:t xml:space="preserve"> </w:t>
      </w:r>
      <w:r>
        <w:rPr>
          <w:rFonts w:ascii="Arial" w:hAnsi="Arial"/>
        </w:rPr>
        <w:t>gerenciador</w:t>
      </w:r>
      <w:r>
        <w:rPr>
          <w:rFonts w:ascii="Arial" w:hAnsi="Arial"/>
          <w:spacing w:val="13"/>
        </w:rPr>
        <w:t xml:space="preserve"> </w:t>
      </w:r>
      <w:r>
        <w:rPr>
          <w:rFonts w:ascii="Arial" w:hAnsi="Arial"/>
        </w:rPr>
        <w:t>da</w:t>
      </w:r>
      <w:r>
        <w:rPr>
          <w:rFonts w:ascii="Arial" w:hAnsi="Arial"/>
          <w:spacing w:val="13"/>
        </w:rPr>
        <w:t xml:space="preserve"> </w:t>
      </w:r>
      <w:r>
        <w:rPr>
          <w:rFonts w:ascii="Arial" w:hAnsi="Arial"/>
        </w:rPr>
        <w:t>presente</w:t>
      </w:r>
      <w:r>
        <w:rPr>
          <w:rFonts w:ascii="Arial" w:hAnsi="Arial"/>
          <w:spacing w:val="13"/>
        </w:rPr>
        <w:t xml:space="preserve"> </w:t>
      </w:r>
      <w:r>
        <w:rPr>
          <w:rFonts w:ascii="Arial" w:hAnsi="Arial"/>
        </w:rPr>
        <w:t>Ata</w:t>
      </w:r>
      <w:r>
        <w:rPr>
          <w:rFonts w:ascii="Arial" w:hAnsi="Arial"/>
          <w:spacing w:val="12"/>
        </w:rPr>
        <w:t xml:space="preserve"> </w:t>
      </w:r>
      <w:r>
        <w:rPr>
          <w:rFonts w:ascii="Arial" w:hAnsi="Arial"/>
        </w:rPr>
        <w:t>de</w:t>
      </w:r>
      <w:r>
        <w:rPr>
          <w:rFonts w:ascii="Arial" w:hAnsi="Arial"/>
          <w:spacing w:val="13"/>
        </w:rPr>
        <w:t xml:space="preserve"> </w:t>
      </w:r>
      <w:r>
        <w:rPr>
          <w:rFonts w:ascii="Arial" w:hAnsi="Arial"/>
        </w:rPr>
        <w:t>Registro</w:t>
      </w:r>
      <w:r>
        <w:rPr>
          <w:rFonts w:ascii="Arial" w:hAnsi="Arial"/>
          <w:spacing w:val="13"/>
        </w:rPr>
        <w:t xml:space="preserve"> </w:t>
      </w:r>
      <w:r>
        <w:rPr>
          <w:rFonts w:ascii="Arial" w:hAnsi="Arial"/>
        </w:rPr>
        <w:t>de</w:t>
      </w:r>
      <w:r>
        <w:rPr>
          <w:rFonts w:ascii="Arial" w:hAnsi="Arial"/>
          <w:spacing w:val="1"/>
        </w:rPr>
        <w:t xml:space="preserve"> </w:t>
      </w:r>
      <w:r>
        <w:rPr>
          <w:rFonts w:ascii="Arial" w:hAnsi="Arial"/>
        </w:rPr>
        <w:t>Preços.</w:t>
      </w:r>
    </w:p>
    <w:p>
      <w:pPr>
        <w:pStyle w:val="ListParagraph"/>
        <w:tabs>
          <w:tab w:val="clear" w:pos="708"/>
          <w:tab w:val="left" w:pos="468" w:leader="none"/>
        </w:tabs>
        <w:spacing w:lineRule="auto" w:line="240" w:before="0" w:after="0"/>
        <w:ind w:left="0" w:hanging="0"/>
        <w:contextualSpacing/>
        <w:jc w:val="both"/>
        <w:rPr>
          <w:rFonts w:ascii="Arial" w:hAnsi="Arial"/>
        </w:rPr>
      </w:pPr>
      <w:r>
        <w:rPr>
          <w:rFonts w:ascii="Arial" w:hAnsi="Arial"/>
        </w:rPr>
        <w:t>3.1</w:t>
        <w:tab/>
        <w:t>O</w:t>
      </w:r>
      <w:r>
        <w:rPr>
          <w:rFonts w:ascii="Arial" w:hAnsi="Arial"/>
          <w:spacing w:val="10"/>
        </w:rPr>
        <w:t xml:space="preserve"> </w:t>
      </w:r>
      <w:r>
        <w:rPr>
          <w:rFonts w:ascii="Arial" w:hAnsi="Arial"/>
        </w:rPr>
        <w:t>valor</w:t>
      </w:r>
      <w:r>
        <w:rPr>
          <w:rFonts w:ascii="Arial" w:hAnsi="Arial"/>
          <w:spacing w:val="11"/>
        </w:rPr>
        <w:t xml:space="preserve"> </w:t>
      </w:r>
      <w:r>
        <w:rPr>
          <w:rFonts w:ascii="Arial" w:hAnsi="Arial"/>
        </w:rPr>
        <w:t>ofertado</w:t>
      </w:r>
      <w:r>
        <w:rPr>
          <w:rFonts w:ascii="Arial" w:hAnsi="Arial"/>
          <w:spacing w:val="10"/>
        </w:rPr>
        <w:t xml:space="preserve"> </w:t>
      </w:r>
      <w:r>
        <w:rPr>
          <w:rFonts w:ascii="Arial" w:hAnsi="Arial"/>
        </w:rPr>
        <w:t>pelas</w:t>
      </w:r>
      <w:r>
        <w:rPr>
          <w:rFonts w:ascii="Arial" w:hAnsi="Arial"/>
          <w:spacing w:val="11"/>
        </w:rPr>
        <w:t xml:space="preserve"> </w:t>
      </w:r>
      <w:r>
        <w:rPr>
          <w:rFonts w:ascii="Arial" w:hAnsi="Arial"/>
        </w:rPr>
        <w:t>empresas</w:t>
      </w:r>
      <w:r>
        <w:rPr>
          <w:rFonts w:ascii="Arial" w:hAnsi="Arial"/>
          <w:spacing w:val="10"/>
        </w:rPr>
        <w:t xml:space="preserve"> </w:t>
      </w:r>
      <w:r>
        <w:rPr>
          <w:rFonts w:ascii="Arial" w:hAnsi="Arial"/>
        </w:rPr>
        <w:t>signatárias</w:t>
      </w:r>
      <w:r>
        <w:rPr>
          <w:rFonts w:ascii="Arial" w:hAnsi="Arial"/>
          <w:spacing w:val="11"/>
        </w:rPr>
        <w:t xml:space="preserve"> </w:t>
      </w:r>
      <w:r>
        <w:rPr>
          <w:rFonts w:ascii="Arial" w:hAnsi="Arial"/>
        </w:rPr>
        <w:t>da</w:t>
      </w:r>
      <w:r>
        <w:rPr>
          <w:rFonts w:ascii="Arial" w:hAnsi="Arial"/>
          <w:spacing w:val="10"/>
        </w:rPr>
        <w:t xml:space="preserve"> </w:t>
      </w:r>
      <w:r>
        <w:rPr>
          <w:rFonts w:ascii="Arial" w:hAnsi="Arial"/>
        </w:rPr>
        <w:t>presente</w:t>
      </w:r>
      <w:r>
        <w:rPr>
          <w:rFonts w:ascii="Arial" w:hAnsi="Arial"/>
          <w:spacing w:val="11"/>
        </w:rPr>
        <w:t xml:space="preserve"> </w:t>
      </w:r>
      <w:r>
        <w:rPr>
          <w:rFonts w:ascii="Arial" w:hAnsi="Arial"/>
        </w:rPr>
        <w:t>Ata</w:t>
      </w:r>
      <w:r>
        <w:rPr>
          <w:rFonts w:ascii="Arial" w:hAnsi="Arial"/>
          <w:spacing w:val="10"/>
        </w:rPr>
        <w:t xml:space="preserve"> </w:t>
      </w:r>
      <w:r>
        <w:rPr>
          <w:rFonts w:ascii="Arial" w:hAnsi="Arial"/>
        </w:rPr>
        <w:t>de</w:t>
      </w:r>
      <w:r>
        <w:rPr>
          <w:rFonts w:ascii="Arial" w:hAnsi="Arial"/>
          <w:spacing w:val="10"/>
        </w:rPr>
        <w:t xml:space="preserve"> </w:t>
      </w:r>
      <w:r>
        <w:rPr>
          <w:rFonts w:ascii="Arial" w:hAnsi="Arial"/>
        </w:rPr>
        <w:t>Registro</w:t>
      </w:r>
      <w:r>
        <w:rPr>
          <w:rFonts w:ascii="Arial" w:hAnsi="Arial"/>
          <w:spacing w:val="11"/>
        </w:rPr>
        <w:t xml:space="preserve"> </w:t>
      </w:r>
      <w:r>
        <w:rPr>
          <w:rFonts w:ascii="Arial" w:hAnsi="Arial"/>
        </w:rPr>
        <w:t>de</w:t>
      </w:r>
      <w:r>
        <w:rPr>
          <w:rFonts w:ascii="Arial" w:hAnsi="Arial"/>
          <w:spacing w:val="10"/>
        </w:rPr>
        <w:t xml:space="preserve"> </w:t>
      </w:r>
      <w:r>
        <w:rPr>
          <w:rFonts w:ascii="Arial" w:hAnsi="Arial"/>
        </w:rPr>
        <w:t>Preços</w:t>
      </w:r>
      <w:r>
        <w:rPr>
          <w:rFonts w:ascii="Arial" w:hAnsi="Arial"/>
          <w:spacing w:val="10"/>
        </w:rPr>
        <w:t xml:space="preserve"> </w:t>
      </w:r>
      <w:r>
        <w:rPr>
          <w:rFonts w:ascii="Arial" w:hAnsi="Arial"/>
        </w:rPr>
        <w:t>é</w:t>
      </w:r>
      <w:r>
        <w:rPr>
          <w:rFonts w:ascii="Arial" w:hAnsi="Arial"/>
          <w:spacing w:val="10"/>
        </w:rPr>
        <w:t xml:space="preserve"> </w:t>
      </w:r>
      <w:r>
        <w:rPr>
          <w:rFonts w:ascii="Arial" w:hAnsi="Arial"/>
        </w:rPr>
        <w:t>o</w:t>
      </w:r>
      <w:r>
        <w:rPr>
          <w:rFonts w:ascii="Arial" w:hAnsi="Arial"/>
          <w:spacing w:val="11"/>
        </w:rPr>
        <w:t xml:space="preserve"> </w:t>
      </w:r>
      <w:r>
        <w:rPr>
          <w:rFonts w:ascii="Arial" w:hAnsi="Arial"/>
        </w:rPr>
        <w:t>relacionado</w:t>
      </w:r>
      <w:r>
        <w:rPr>
          <w:rFonts w:ascii="Arial" w:hAnsi="Arial"/>
          <w:spacing w:val="11"/>
        </w:rPr>
        <w:t xml:space="preserve"> </w:t>
      </w:r>
      <w:r>
        <w:rPr>
          <w:rFonts w:ascii="Arial" w:hAnsi="Arial"/>
        </w:rPr>
        <w:t>na</w:t>
      </w:r>
      <w:r>
        <w:rPr>
          <w:rFonts w:ascii="Arial" w:hAnsi="Arial"/>
          <w:spacing w:val="10"/>
        </w:rPr>
        <w:t xml:space="preserve"> </w:t>
      </w:r>
      <w:r>
        <w:rPr>
          <w:rFonts w:ascii="Arial" w:hAnsi="Arial"/>
        </w:rPr>
        <w:t>Cláusula</w:t>
      </w:r>
      <w:r>
        <w:rPr>
          <w:rFonts w:ascii="Arial" w:hAnsi="Arial"/>
          <w:spacing w:val="10"/>
        </w:rPr>
        <w:t xml:space="preserve"> </w:t>
      </w:r>
      <w:r>
        <w:rPr>
          <w:rFonts w:ascii="Arial" w:hAnsi="Arial"/>
        </w:rPr>
        <w:t>Primeira,</w:t>
      </w:r>
      <w:r>
        <w:rPr>
          <w:rFonts w:ascii="Arial" w:hAnsi="Arial"/>
          <w:spacing w:val="11"/>
        </w:rPr>
        <w:t xml:space="preserve"> </w:t>
      </w:r>
      <w:r>
        <w:rPr>
          <w:rFonts w:ascii="Arial" w:hAnsi="Arial"/>
        </w:rPr>
        <w:t>de</w:t>
      </w:r>
      <w:r>
        <w:rPr>
          <w:rFonts w:ascii="Arial" w:hAnsi="Arial"/>
          <w:spacing w:val="10"/>
        </w:rPr>
        <w:t xml:space="preserve"> </w:t>
      </w:r>
      <w:r>
        <w:rPr>
          <w:rFonts w:ascii="Arial" w:hAnsi="Arial"/>
        </w:rPr>
        <w:t>acordo</w:t>
      </w:r>
      <w:r>
        <w:rPr>
          <w:rFonts w:ascii="Arial" w:hAnsi="Arial"/>
          <w:spacing w:val="10"/>
        </w:rPr>
        <w:t xml:space="preserve"> </w:t>
      </w:r>
      <w:r>
        <w:rPr>
          <w:rFonts w:ascii="Arial" w:hAnsi="Arial"/>
        </w:rPr>
        <w:t>com</w:t>
      </w:r>
      <w:r>
        <w:rPr>
          <w:rFonts w:ascii="Arial" w:hAnsi="Arial"/>
          <w:spacing w:val="11"/>
        </w:rPr>
        <w:t xml:space="preserve"> </w:t>
      </w:r>
      <w:r>
        <w:rPr>
          <w:rFonts w:ascii="Arial" w:hAnsi="Arial"/>
        </w:rPr>
        <w:t>a</w:t>
      </w:r>
      <w:r>
        <w:rPr>
          <w:rFonts w:ascii="Arial" w:hAnsi="Arial"/>
          <w:spacing w:val="1"/>
        </w:rPr>
        <w:t xml:space="preserve"> </w:t>
      </w:r>
      <w:r>
        <w:rPr>
          <w:rFonts w:ascii="Arial" w:hAnsi="Arial"/>
        </w:rPr>
        <w:t>respectiva</w:t>
      </w:r>
      <w:r>
        <w:rPr>
          <w:rFonts w:ascii="Arial" w:hAnsi="Arial"/>
          <w:spacing w:val="-2"/>
        </w:rPr>
        <w:t xml:space="preserve"> </w:t>
      </w:r>
      <w:r>
        <w:rPr>
          <w:rFonts w:ascii="Arial" w:hAnsi="Arial"/>
        </w:rPr>
        <w:t>classificação</w:t>
      </w:r>
      <w:r>
        <w:rPr>
          <w:rFonts w:ascii="Arial" w:hAnsi="Arial"/>
          <w:spacing w:val="-1"/>
        </w:rPr>
        <w:t xml:space="preserve"> </w:t>
      </w:r>
      <w:r>
        <w:rPr>
          <w:rFonts w:ascii="Arial" w:hAnsi="Arial"/>
        </w:rPr>
        <w:t>no(a)</w:t>
      </w:r>
      <w:r>
        <w:rPr>
          <w:rFonts w:ascii="Arial" w:hAnsi="Arial"/>
          <w:spacing w:val="-1"/>
        </w:rPr>
        <w:t xml:space="preserve"> </w:t>
      </w:r>
      <w:r>
        <w:rPr>
          <w:rFonts w:ascii="Arial" w:hAnsi="Arial"/>
        </w:rPr>
        <w:t>Pregão</w:t>
      </w:r>
      <w:r>
        <w:rPr>
          <w:rFonts w:ascii="Arial" w:hAnsi="Arial"/>
          <w:spacing w:val="-1"/>
        </w:rPr>
        <w:t xml:space="preserve"> </w:t>
      </w:r>
      <w:r>
        <w:rPr>
          <w:rFonts w:ascii="Arial" w:hAnsi="Arial"/>
        </w:rPr>
        <w:t>Eletrônico</w:t>
      </w:r>
      <w:r>
        <w:rPr>
          <w:rFonts w:ascii="Arial" w:hAnsi="Arial"/>
          <w:spacing w:val="-1"/>
        </w:rPr>
        <w:t xml:space="preserve"> </w:t>
      </w:r>
      <w:r>
        <w:rPr>
          <w:rFonts w:ascii="Arial" w:hAnsi="Arial"/>
        </w:rPr>
        <w:t>Nº.</w:t>
      </w:r>
      <w:r>
        <w:rPr>
          <w:rFonts w:ascii="Arial" w:hAnsi="Arial"/>
          <w:spacing w:val="-2"/>
        </w:rPr>
        <w:t xml:space="preserve"> </w:t>
      </w:r>
      <w:r>
        <w:rPr>
          <w:rFonts w:ascii="Arial" w:hAnsi="Arial"/>
          <w:b/>
          <w:bCs/>
          <w:spacing w:val="-2"/>
        </w:rPr>
        <w:t>xxx</w:t>
      </w:r>
      <w:r>
        <w:rPr>
          <w:rFonts w:ascii="Arial" w:hAnsi="Arial"/>
        </w:rPr>
        <w:t>/2023</w:t>
      </w:r>
    </w:p>
    <w:p>
      <w:pPr>
        <w:pStyle w:val="ListParagraph"/>
        <w:widowControl w:val="false"/>
        <w:tabs>
          <w:tab w:val="clear" w:pos="708"/>
          <w:tab w:val="left" w:pos="487" w:leader="none"/>
        </w:tabs>
        <w:spacing w:lineRule="auto" w:line="240" w:before="0" w:after="0"/>
        <w:ind w:left="0" w:hanging="0"/>
        <w:contextualSpacing/>
        <w:jc w:val="both"/>
        <w:textAlignment w:val="baseline"/>
        <w:rPr>
          <w:rFonts w:ascii="Arial" w:hAnsi="Arial" w:eastAsia="Times New Roman" w:cs="Arial"/>
          <w:lang w:eastAsia="pt-BR"/>
        </w:rPr>
      </w:pPr>
      <w:r>
        <w:rPr>
          <w:rFonts w:eastAsia="Times New Roman" w:cs="Arial" w:ascii="Arial" w:hAnsi="Arial"/>
          <w:lang w:eastAsia="pt-BR"/>
        </w:rPr>
        <w:t>3.2</w:t>
        <w:tab/>
        <w:t>Em</w:t>
      </w:r>
      <w:r>
        <w:rPr>
          <w:rFonts w:eastAsia="Times New Roman" w:cs="Arial" w:ascii="Arial" w:hAnsi="Arial"/>
          <w:spacing w:val="30"/>
          <w:lang w:eastAsia="pt-BR"/>
        </w:rPr>
        <w:t xml:space="preserve"> </w:t>
      </w:r>
      <w:r>
        <w:rPr>
          <w:rFonts w:eastAsia="Times New Roman" w:cs="Arial" w:ascii="Arial" w:hAnsi="Arial"/>
          <w:lang w:eastAsia="pt-BR"/>
        </w:rPr>
        <w:t>cada</w:t>
      </w:r>
      <w:r>
        <w:rPr>
          <w:rFonts w:eastAsia="Times New Roman" w:cs="Arial" w:ascii="Arial" w:hAnsi="Arial"/>
          <w:spacing w:val="31"/>
          <w:lang w:eastAsia="pt-BR"/>
        </w:rPr>
        <w:t xml:space="preserve"> </w:t>
      </w:r>
      <w:r>
        <w:rPr>
          <w:rFonts w:eastAsia="Times New Roman" w:cs="Arial" w:ascii="Arial" w:hAnsi="Arial"/>
          <w:lang w:eastAsia="pt-BR"/>
        </w:rPr>
        <w:t>fornecimento</w:t>
      </w:r>
      <w:r>
        <w:rPr>
          <w:rFonts w:eastAsia="Times New Roman" w:cs="Arial" w:ascii="Arial" w:hAnsi="Arial"/>
          <w:spacing w:val="31"/>
          <w:lang w:eastAsia="pt-BR"/>
        </w:rPr>
        <w:t xml:space="preserve"> </w:t>
      </w:r>
      <w:r>
        <w:rPr>
          <w:rFonts w:eastAsia="Times New Roman" w:cs="Arial" w:ascii="Arial" w:hAnsi="Arial"/>
          <w:lang w:eastAsia="pt-BR"/>
        </w:rPr>
        <w:t>de</w:t>
      </w:r>
      <w:r>
        <w:rPr>
          <w:rFonts w:eastAsia="Times New Roman" w:cs="Arial" w:ascii="Arial" w:hAnsi="Arial"/>
          <w:spacing w:val="30"/>
          <w:lang w:eastAsia="pt-BR"/>
        </w:rPr>
        <w:t xml:space="preserve"> </w:t>
      </w:r>
      <w:r>
        <w:rPr>
          <w:rFonts w:eastAsia="Times New Roman" w:cs="Arial" w:ascii="Arial" w:hAnsi="Arial"/>
          <w:lang w:eastAsia="pt-BR"/>
        </w:rPr>
        <w:t>serviço(s)</w:t>
      </w:r>
      <w:r>
        <w:rPr>
          <w:rFonts w:eastAsia="Times New Roman" w:cs="Arial" w:ascii="Arial" w:hAnsi="Arial"/>
          <w:spacing w:val="31"/>
          <w:lang w:eastAsia="pt-BR"/>
        </w:rPr>
        <w:t xml:space="preserve"> </w:t>
      </w:r>
      <w:r>
        <w:rPr>
          <w:rFonts w:eastAsia="Times New Roman" w:cs="Arial" w:ascii="Arial" w:hAnsi="Arial"/>
          <w:lang w:eastAsia="pt-BR"/>
        </w:rPr>
        <w:t>decorrente</w:t>
      </w:r>
      <w:r>
        <w:rPr>
          <w:rFonts w:eastAsia="Times New Roman" w:cs="Arial" w:ascii="Arial" w:hAnsi="Arial"/>
          <w:spacing w:val="31"/>
          <w:lang w:eastAsia="pt-BR"/>
        </w:rPr>
        <w:t xml:space="preserve"> </w:t>
      </w:r>
      <w:r>
        <w:rPr>
          <w:rFonts w:eastAsia="Times New Roman" w:cs="Arial" w:ascii="Arial" w:hAnsi="Arial"/>
          <w:lang w:eastAsia="pt-BR"/>
        </w:rPr>
        <w:t>desta</w:t>
      </w:r>
      <w:r>
        <w:rPr>
          <w:rFonts w:eastAsia="Times New Roman" w:cs="Arial" w:ascii="Arial" w:hAnsi="Arial"/>
          <w:spacing w:val="30"/>
          <w:lang w:eastAsia="pt-BR"/>
        </w:rPr>
        <w:t xml:space="preserve"> </w:t>
      </w:r>
      <w:r>
        <w:rPr>
          <w:rFonts w:eastAsia="Times New Roman" w:cs="Arial" w:ascii="Arial" w:hAnsi="Arial"/>
          <w:lang w:eastAsia="pt-BR"/>
        </w:rPr>
        <w:t>Ata,</w:t>
      </w:r>
      <w:r>
        <w:rPr>
          <w:rFonts w:eastAsia="Times New Roman" w:cs="Arial" w:ascii="Arial" w:hAnsi="Arial"/>
          <w:spacing w:val="31"/>
          <w:lang w:eastAsia="pt-BR"/>
        </w:rPr>
        <w:t xml:space="preserve"> </w:t>
      </w:r>
      <w:r>
        <w:rPr>
          <w:rFonts w:eastAsia="Times New Roman" w:cs="Arial" w:ascii="Arial" w:hAnsi="Arial"/>
          <w:lang w:eastAsia="pt-BR"/>
        </w:rPr>
        <w:t>serão</w:t>
      </w:r>
      <w:r>
        <w:rPr>
          <w:rFonts w:eastAsia="Times New Roman" w:cs="Arial" w:ascii="Arial" w:hAnsi="Arial"/>
          <w:spacing w:val="31"/>
          <w:lang w:eastAsia="pt-BR"/>
        </w:rPr>
        <w:t xml:space="preserve"> </w:t>
      </w:r>
      <w:r>
        <w:rPr>
          <w:rFonts w:eastAsia="Times New Roman" w:cs="Arial" w:ascii="Arial" w:hAnsi="Arial"/>
          <w:lang w:eastAsia="pt-BR"/>
        </w:rPr>
        <w:t>observadas</w:t>
      </w:r>
      <w:r>
        <w:rPr>
          <w:rFonts w:eastAsia="Times New Roman" w:cs="Arial" w:ascii="Arial" w:hAnsi="Arial"/>
          <w:spacing w:val="30"/>
          <w:lang w:eastAsia="pt-BR"/>
        </w:rPr>
        <w:t xml:space="preserve"> </w:t>
      </w:r>
      <w:r>
        <w:rPr>
          <w:rFonts w:eastAsia="Times New Roman" w:cs="Arial" w:ascii="Arial" w:hAnsi="Arial"/>
          <w:lang w:eastAsia="pt-BR"/>
        </w:rPr>
        <w:t>as</w:t>
      </w:r>
      <w:r>
        <w:rPr>
          <w:rFonts w:eastAsia="Times New Roman" w:cs="Arial" w:ascii="Arial" w:hAnsi="Arial"/>
          <w:spacing w:val="31"/>
          <w:lang w:eastAsia="pt-BR"/>
        </w:rPr>
        <w:t xml:space="preserve"> </w:t>
      </w:r>
      <w:r>
        <w:rPr>
          <w:rFonts w:eastAsia="Times New Roman" w:cs="Arial" w:ascii="Arial" w:hAnsi="Arial"/>
          <w:lang w:eastAsia="pt-BR"/>
        </w:rPr>
        <w:t>cláusulas</w:t>
      </w:r>
      <w:r>
        <w:rPr>
          <w:rFonts w:eastAsia="Times New Roman" w:cs="Arial" w:ascii="Arial" w:hAnsi="Arial"/>
          <w:spacing w:val="31"/>
          <w:lang w:eastAsia="pt-BR"/>
        </w:rPr>
        <w:t xml:space="preserve"> </w:t>
      </w:r>
      <w:r>
        <w:rPr>
          <w:rFonts w:eastAsia="Times New Roman" w:cs="Arial" w:ascii="Arial" w:hAnsi="Arial"/>
          <w:lang w:eastAsia="pt-BR"/>
        </w:rPr>
        <w:t>e</w:t>
      </w:r>
      <w:r>
        <w:rPr>
          <w:rFonts w:eastAsia="Times New Roman" w:cs="Arial" w:ascii="Arial" w:hAnsi="Arial"/>
          <w:spacing w:val="30"/>
          <w:lang w:eastAsia="pt-BR"/>
        </w:rPr>
        <w:t xml:space="preserve"> </w:t>
      </w:r>
      <w:r>
        <w:rPr>
          <w:rFonts w:eastAsia="Times New Roman" w:cs="Arial" w:ascii="Arial" w:hAnsi="Arial"/>
          <w:lang w:eastAsia="pt-BR"/>
        </w:rPr>
        <w:t>condições</w:t>
      </w:r>
      <w:r>
        <w:rPr>
          <w:rFonts w:eastAsia="Times New Roman" w:cs="Arial" w:ascii="Arial" w:hAnsi="Arial"/>
          <w:spacing w:val="31"/>
          <w:lang w:eastAsia="pt-BR"/>
        </w:rPr>
        <w:t xml:space="preserve"> </w:t>
      </w:r>
      <w:r>
        <w:rPr>
          <w:rFonts w:eastAsia="Times New Roman" w:cs="Arial" w:ascii="Arial" w:hAnsi="Arial"/>
          <w:lang w:eastAsia="pt-BR"/>
        </w:rPr>
        <w:t>constantes</w:t>
      </w:r>
      <w:r>
        <w:rPr>
          <w:rFonts w:eastAsia="Times New Roman" w:cs="Arial" w:ascii="Arial" w:hAnsi="Arial"/>
          <w:spacing w:val="31"/>
          <w:lang w:eastAsia="pt-BR"/>
        </w:rPr>
        <w:t xml:space="preserve"> </w:t>
      </w:r>
      <w:r>
        <w:rPr>
          <w:rFonts w:eastAsia="Times New Roman" w:cs="Arial" w:ascii="Arial" w:hAnsi="Arial"/>
          <w:lang w:eastAsia="pt-BR"/>
        </w:rPr>
        <w:t>do</w:t>
      </w:r>
      <w:r>
        <w:rPr>
          <w:rFonts w:eastAsia="Times New Roman" w:cs="Arial" w:ascii="Arial" w:hAnsi="Arial"/>
          <w:spacing w:val="31"/>
          <w:lang w:eastAsia="pt-BR"/>
        </w:rPr>
        <w:t xml:space="preserve"> </w:t>
      </w:r>
      <w:r>
        <w:rPr>
          <w:rFonts w:eastAsia="Times New Roman" w:cs="Arial" w:ascii="Arial" w:hAnsi="Arial"/>
          <w:lang w:eastAsia="pt-BR"/>
        </w:rPr>
        <w:t>Edital</w:t>
      </w:r>
      <w:r>
        <w:rPr>
          <w:rFonts w:eastAsia="Times New Roman" w:cs="Arial" w:ascii="Arial" w:hAnsi="Arial"/>
          <w:spacing w:val="30"/>
          <w:lang w:eastAsia="pt-BR"/>
        </w:rPr>
        <w:t xml:space="preserve"> </w:t>
      </w:r>
      <w:r>
        <w:rPr>
          <w:rFonts w:eastAsia="Times New Roman" w:cs="Arial" w:ascii="Arial" w:hAnsi="Arial"/>
          <w:lang w:eastAsia="pt-BR"/>
        </w:rPr>
        <w:t>de</w:t>
      </w:r>
      <w:r>
        <w:rPr>
          <w:rFonts w:eastAsia="Times New Roman" w:cs="Arial" w:ascii="Arial" w:hAnsi="Arial"/>
          <w:spacing w:val="32"/>
          <w:lang w:eastAsia="pt-BR"/>
        </w:rPr>
        <w:t xml:space="preserve"> </w:t>
      </w:r>
      <w:r>
        <w:rPr>
          <w:rFonts w:eastAsia="Times New Roman" w:cs="Arial" w:ascii="Arial" w:hAnsi="Arial"/>
          <w:lang w:eastAsia="pt-BR"/>
        </w:rPr>
        <w:t>Pregão</w:t>
      </w:r>
      <w:r>
        <w:rPr>
          <w:rFonts w:eastAsia="Times New Roman" w:cs="Arial" w:ascii="Arial" w:hAnsi="Arial"/>
          <w:spacing w:val="1"/>
          <w:lang w:eastAsia="pt-BR"/>
        </w:rPr>
        <w:t xml:space="preserve"> </w:t>
      </w:r>
      <w:r>
        <w:rPr>
          <w:rFonts w:eastAsia="Times New Roman" w:cs="Arial" w:ascii="Arial" w:hAnsi="Arial"/>
          <w:lang w:eastAsia="pt-BR"/>
        </w:rPr>
        <w:t>Eletrônico Nº.</w:t>
      </w:r>
      <w:r>
        <w:rPr>
          <w:rFonts w:eastAsia="Times New Roman" w:cs="Arial" w:ascii="Arial" w:hAnsi="Arial"/>
          <w:spacing w:val="-2"/>
          <w:lang w:eastAsia="pt-BR"/>
        </w:rPr>
        <w:t xml:space="preserve"> </w:t>
      </w:r>
      <w:r>
        <w:rPr>
          <w:rFonts w:eastAsia="Times New Roman" w:cs="Arial" w:ascii="Arial" w:hAnsi="Arial"/>
          <w:b/>
          <w:bCs/>
          <w:spacing w:val="-2"/>
          <w:lang w:eastAsia="pt-BR"/>
        </w:rPr>
        <w:t>xxx</w:t>
      </w:r>
      <w:r>
        <w:rPr>
          <w:rFonts w:eastAsia="Times New Roman" w:cs="Arial" w:ascii="Arial" w:hAnsi="Arial"/>
          <w:lang w:eastAsia="pt-BR"/>
        </w:rPr>
        <w:t>/2023</w:t>
      </w:r>
      <w:r>
        <w:rPr>
          <w:rFonts w:eastAsia="Times New Roman" w:cs="Arial" w:ascii="Arial" w:hAnsi="Arial"/>
          <w:spacing w:val="-2"/>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seus</w:t>
      </w:r>
      <w:r>
        <w:rPr>
          <w:rFonts w:eastAsia="Times New Roman" w:cs="Arial" w:ascii="Arial" w:hAnsi="Arial"/>
          <w:spacing w:val="-1"/>
          <w:lang w:eastAsia="pt-BR"/>
        </w:rPr>
        <w:t xml:space="preserve"> </w:t>
      </w:r>
      <w:r>
        <w:rPr>
          <w:rFonts w:eastAsia="Times New Roman" w:cs="Arial" w:ascii="Arial" w:hAnsi="Arial"/>
          <w:lang w:eastAsia="pt-BR"/>
        </w:rPr>
        <w:t>Anexos,</w:t>
      </w:r>
      <w:r>
        <w:rPr>
          <w:rFonts w:eastAsia="Times New Roman" w:cs="Arial" w:ascii="Arial" w:hAnsi="Arial"/>
          <w:spacing w:val="-2"/>
          <w:lang w:eastAsia="pt-BR"/>
        </w:rPr>
        <w:t xml:space="preserve"> </w:t>
      </w:r>
      <w:r>
        <w:rPr>
          <w:rFonts w:eastAsia="Times New Roman" w:cs="Arial" w:ascii="Arial" w:hAnsi="Arial"/>
          <w:lang w:eastAsia="pt-BR"/>
        </w:rPr>
        <w:t>que</w:t>
      </w:r>
      <w:r>
        <w:rPr>
          <w:rFonts w:eastAsia="Times New Roman" w:cs="Arial" w:ascii="Arial" w:hAnsi="Arial"/>
          <w:spacing w:val="-2"/>
          <w:lang w:eastAsia="pt-BR"/>
        </w:rPr>
        <w:t xml:space="preserve"> </w:t>
      </w:r>
      <w:r>
        <w:rPr>
          <w:rFonts w:eastAsia="Times New Roman" w:cs="Arial" w:ascii="Arial" w:hAnsi="Arial"/>
          <w:lang w:eastAsia="pt-BR"/>
        </w:rPr>
        <w:t>a</w:t>
      </w:r>
      <w:r>
        <w:rPr>
          <w:rFonts w:eastAsia="Times New Roman" w:cs="Arial" w:ascii="Arial" w:hAnsi="Arial"/>
          <w:spacing w:val="-2"/>
          <w:lang w:eastAsia="pt-BR"/>
        </w:rPr>
        <w:t xml:space="preserve"> </w:t>
      </w:r>
      <w:r>
        <w:rPr>
          <w:rFonts w:eastAsia="Times New Roman" w:cs="Arial" w:ascii="Arial" w:hAnsi="Arial"/>
          <w:lang w:eastAsia="pt-BR"/>
        </w:rPr>
        <w:t>precederam</w:t>
      </w:r>
      <w:r>
        <w:rPr>
          <w:rFonts w:eastAsia="Times New Roman" w:cs="Arial" w:ascii="Arial" w:hAnsi="Arial"/>
          <w:spacing w:val="-1"/>
          <w:lang w:eastAsia="pt-BR"/>
        </w:rPr>
        <w:t xml:space="preserve"> </w:t>
      </w:r>
      <w:r>
        <w:rPr>
          <w:rFonts w:eastAsia="Times New Roman" w:cs="Arial" w:ascii="Arial" w:hAnsi="Arial"/>
          <w:lang w:eastAsia="pt-BR"/>
        </w:rPr>
        <w:t>e</w:t>
      </w:r>
      <w:r>
        <w:rPr>
          <w:rFonts w:eastAsia="Times New Roman" w:cs="Arial" w:ascii="Arial" w:hAnsi="Arial"/>
          <w:spacing w:val="-2"/>
          <w:lang w:eastAsia="pt-BR"/>
        </w:rPr>
        <w:t xml:space="preserve"> </w:t>
      </w:r>
      <w:r>
        <w:rPr>
          <w:rFonts w:eastAsia="Times New Roman" w:cs="Arial" w:ascii="Arial" w:hAnsi="Arial"/>
          <w:lang w:eastAsia="pt-BR"/>
        </w:rPr>
        <w:t>integram</w:t>
      </w:r>
      <w:r>
        <w:rPr>
          <w:rFonts w:eastAsia="Times New Roman" w:cs="Arial" w:ascii="Arial" w:hAnsi="Arial"/>
          <w:spacing w:val="-2"/>
          <w:lang w:eastAsia="pt-BR"/>
        </w:rPr>
        <w:t xml:space="preserve"> </w:t>
      </w:r>
      <w:r>
        <w:rPr>
          <w:rFonts w:eastAsia="Times New Roman" w:cs="Arial" w:ascii="Arial" w:hAnsi="Arial"/>
          <w:lang w:eastAsia="pt-BR"/>
        </w:rPr>
        <w:t>o</w:t>
      </w:r>
      <w:r>
        <w:rPr>
          <w:rFonts w:eastAsia="Times New Roman" w:cs="Arial" w:ascii="Arial" w:hAnsi="Arial"/>
          <w:spacing w:val="-2"/>
          <w:lang w:eastAsia="pt-BR"/>
        </w:rPr>
        <w:t xml:space="preserve"> </w:t>
      </w:r>
      <w:r>
        <w:rPr>
          <w:rFonts w:eastAsia="Times New Roman" w:cs="Arial" w:ascii="Arial" w:hAnsi="Arial"/>
          <w:lang w:eastAsia="pt-BR"/>
        </w:rPr>
        <w:t>presente</w:t>
      </w:r>
      <w:r>
        <w:rPr>
          <w:rFonts w:eastAsia="Times New Roman" w:cs="Arial" w:ascii="Arial" w:hAnsi="Arial"/>
          <w:spacing w:val="-1"/>
          <w:lang w:eastAsia="pt-BR"/>
        </w:rPr>
        <w:t xml:space="preserve"> </w:t>
      </w:r>
      <w:r>
        <w:rPr>
          <w:rFonts w:eastAsia="Times New Roman" w:cs="Arial" w:ascii="Arial" w:hAnsi="Arial"/>
          <w:lang w:eastAsia="pt-BR"/>
        </w:rPr>
        <w:t>instrumento</w:t>
      </w:r>
      <w:r>
        <w:rPr>
          <w:rFonts w:eastAsia="Times New Roman" w:cs="Arial" w:ascii="Arial" w:hAnsi="Arial"/>
          <w:spacing w:val="-2"/>
          <w:lang w:eastAsia="pt-BR"/>
        </w:rPr>
        <w:t xml:space="preserve"> </w:t>
      </w:r>
      <w:r>
        <w:rPr>
          <w:rFonts w:eastAsia="Times New Roman" w:cs="Arial" w:ascii="Arial" w:hAnsi="Arial"/>
          <w:lang w:eastAsia="pt-BR"/>
        </w:rPr>
        <w:t>de</w:t>
      </w:r>
      <w:r>
        <w:rPr>
          <w:rFonts w:eastAsia="Times New Roman" w:cs="Arial" w:ascii="Arial" w:hAnsi="Arial"/>
          <w:spacing w:val="-2"/>
          <w:lang w:eastAsia="pt-BR"/>
        </w:rPr>
        <w:t xml:space="preserve"> </w:t>
      </w:r>
      <w:r>
        <w:rPr>
          <w:rFonts w:eastAsia="Times New Roman" w:cs="Arial" w:ascii="Arial" w:hAnsi="Arial"/>
          <w:lang w:eastAsia="pt-BR"/>
        </w:rPr>
        <w:t>compromisso.</w:t>
      </w:r>
    </w:p>
    <w:p>
      <w:pPr>
        <w:pStyle w:val="Normal"/>
        <w:widowControl w:val="false"/>
        <w:tabs>
          <w:tab w:val="clear" w:pos="708"/>
          <w:tab w:val="left" w:pos="1701" w:leader="none"/>
        </w:tabs>
        <w:spacing w:lineRule="auto" w:line="240" w:before="0" w:after="0"/>
        <w:jc w:val="both"/>
        <w:textAlignment w:val="baseline"/>
        <w:rPr>
          <w:rFonts w:ascii="Arial" w:hAnsi="Arial" w:eastAsia="Times New Roman" w:cs="Arial"/>
          <w:lang w:eastAsia="pt-BR"/>
        </w:rPr>
      </w:pPr>
      <w:r>
        <w:rPr>
          <w:rFonts w:eastAsia="Times New Roman" w:cs="Arial" w:ascii="Arial" w:hAnsi="Arial"/>
          <w:lang w:eastAsia="pt-BR"/>
        </w:rPr>
      </w:r>
    </w:p>
    <w:p>
      <w:pPr>
        <w:pStyle w:val="Ttulo2"/>
        <w:widowControl w:val="false"/>
        <w:numPr>
          <w:ilvl w:val="1"/>
          <w:numId w:val="51"/>
        </w:numPr>
        <w:tabs>
          <w:tab w:val="clear" w:pos="708"/>
          <w:tab w:val="left" w:pos="10597" w:leader="none"/>
        </w:tabs>
        <w:spacing w:lineRule="auto" w:line="240" w:before="0" w:after="0"/>
        <w:ind w:left="37" w:hanging="37"/>
        <w:textAlignment w:val="baseline"/>
        <w:rPr>
          <w:rFonts w:ascii="Arial" w:hAnsi="Arial" w:eastAsia="Times New Roman" w:cs="Arial"/>
          <w:lang w:eastAsia="pt-BR"/>
        </w:rPr>
      </w:pPr>
      <w:r>
        <w:rPr>
          <w:rFonts w:eastAsia="Times New Roman" w:cs="Arial" w:ascii="Arial" w:hAnsi="Arial"/>
          <w:sz w:val="22"/>
          <w:szCs w:val="22"/>
          <w:shd w:fill="DFDFDF" w:val="clear"/>
          <w:lang w:eastAsia="pt-BR"/>
        </w:rPr>
        <w:t>CLÁUSULA</w:t>
      </w:r>
      <w:r>
        <w:rPr>
          <w:rFonts w:eastAsia="Times New Roman" w:cs="Arial" w:ascii="Arial" w:hAnsi="Arial"/>
          <w:spacing w:val="-4"/>
          <w:sz w:val="22"/>
          <w:szCs w:val="22"/>
          <w:shd w:fill="DFDFDF" w:val="clear"/>
          <w:lang w:eastAsia="pt-BR"/>
        </w:rPr>
        <w:t xml:space="preserve"> IV</w:t>
      </w:r>
      <w:r>
        <w:rPr>
          <w:rFonts w:eastAsia="Times New Roman" w:cs="Arial" w:ascii="Arial" w:hAnsi="Arial"/>
          <w:sz w:val="22"/>
          <w:szCs w:val="22"/>
          <w:shd w:fill="DFDFDF" w:val="clear"/>
          <w:lang w:eastAsia="pt-BR"/>
        </w:rPr>
        <w:t xml:space="preserve"> </w:t>
      </w:r>
      <w:r>
        <w:rPr>
          <w:rFonts w:eastAsia="Times New Roman" w:cs="Arial" w:ascii="Arial" w:hAnsi="Arial"/>
          <w:spacing w:val="-3"/>
          <w:sz w:val="22"/>
          <w:szCs w:val="22"/>
          <w:shd w:fill="DFDFDF" w:val="clear"/>
          <w:lang w:eastAsia="pt-BR"/>
        </w:rPr>
        <w:t xml:space="preserve">– </w:t>
      </w:r>
      <w:r>
        <w:rPr>
          <w:rFonts w:eastAsia="Times New Roman" w:cs="Arial" w:ascii="Arial" w:hAnsi="Arial"/>
          <w:sz w:val="22"/>
          <w:szCs w:val="22"/>
          <w:shd w:fill="DFDFDF" w:val="clear"/>
          <w:lang w:eastAsia="pt-BR"/>
        </w:rPr>
        <w:t>D</w:t>
      </w:r>
      <w:r>
        <w:rPr>
          <w:rFonts w:eastAsia="Times New Roman" w:cs="Arial" w:ascii="Arial" w:hAnsi="Arial"/>
          <w:color w:val="000000"/>
          <w:spacing w:val="-3"/>
          <w:sz w:val="22"/>
          <w:szCs w:val="22"/>
          <w:shd w:fill="DFDFDF" w:val="clear"/>
          <w:lang w:eastAsia="pt-BR"/>
        </w:rPr>
        <w:t>O PAGAMENTO</w:t>
      </w:r>
    </w:p>
    <w:p>
      <w:pPr>
        <w:pStyle w:val="Corpodotexto"/>
        <w:widowControl w:val="false"/>
        <w:tabs>
          <w:tab w:val="clear" w:pos="708"/>
          <w:tab w:val="left" w:pos="10597" w:leader="none"/>
        </w:tabs>
        <w:spacing w:lineRule="auto" w:line="240" w:before="0" w:after="0"/>
        <w:textAlignment w:val="baseline"/>
        <w:rPr/>
      </w:pPr>
      <w:r>
        <w:rPr/>
      </w:r>
    </w:p>
    <w:p>
      <w:pPr>
        <w:pStyle w:val="Corpodotexto"/>
        <w:spacing w:lineRule="auto" w:line="240" w:before="0" w:after="0"/>
        <w:rPr>
          <w:rFonts w:ascii="Arial" w:hAnsi="Arial"/>
        </w:rPr>
      </w:pPr>
      <w:r>
        <w:rPr>
          <w:rFonts w:ascii="Arial" w:hAnsi="Arial"/>
        </w:rPr>
        <w:t>4.1.</w:t>
      </w:r>
      <w:r>
        <w:rPr>
          <w:rFonts w:ascii="Arial" w:hAnsi="Arial"/>
          <w:spacing w:val="-5"/>
        </w:rPr>
        <w:t xml:space="preserve"> </w:t>
      </w:r>
      <w:r>
        <w:rPr>
          <w:rFonts w:ascii="Arial" w:hAnsi="Arial"/>
        </w:rPr>
        <w:t>Do</w:t>
      </w:r>
      <w:r>
        <w:rPr>
          <w:rFonts w:ascii="Arial" w:hAnsi="Arial"/>
          <w:spacing w:val="-5"/>
        </w:rPr>
        <w:t xml:space="preserve"> </w:t>
      </w:r>
      <w:r>
        <w:rPr>
          <w:rFonts w:ascii="Arial" w:hAnsi="Arial"/>
        </w:rPr>
        <w:t>Recurso</w:t>
      </w:r>
      <w:r>
        <w:rPr>
          <w:rFonts w:ascii="Arial" w:hAnsi="Arial"/>
          <w:spacing w:val="-5"/>
        </w:rPr>
        <w:t xml:space="preserve"> </w:t>
      </w:r>
      <w:r>
        <w:rPr>
          <w:rFonts w:ascii="Arial" w:hAnsi="Arial"/>
        </w:rPr>
        <w:t>Financeiro</w:t>
      </w:r>
      <w:r>
        <w:rPr>
          <w:rFonts w:ascii="Arial" w:hAnsi="Arial"/>
          <w:spacing w:val="-4"/>
        </w:rPr>
        <w:t xml:space="preserve"> – </w:t>
      </w:r>
      <w:r>
        <w:rPr>
          <w:rFonts w:ascii="Arial" w:hAnsi="Arial"/>
        </w:rPr>
        <w:t>As</w:t>
      </w:r>
      <w:r>
        <w:rPr>
          <w:rFonts w:ascii="Arial" w:hAnsi="Arial"/>
          <w:spacing w:val="-5"/>
        </w:rPr>
        <w:t xml:space="preserve"> </w:t>
      </w:r>
      <w:r>
        <w:rPr>
          <w:rFonts w:ascii="Arial" w:hAnsi="Arial"/>
        </w:rPr>
        <w:t>despesas</w:t>
      </w:r>
      <w:r>
        <w:rPr>
          <w:rFonts w:ascii="Arial" w:hAnsi="Arial"/>
          <w:spacing w:val="-5"/>
        </w:rPr>
        <w:t xml:space="preserve"> </w:t>
      </w:r>
      <w:r>
        <w:rPr>
          <w:rFonts w:ascii="Arial" w:hAnsi="Arial"/>
        </w:rPr>
        <w:t>decorrentes</w:t>
      </w:r>
      <w:r>
        <w:rPr>
          <w:rFonts w:ascii="Arial" w:hAnsi="Arial"/>
          <w:spacing w:val="-4"/>
        </w:rPr>
        <w:t xml:space="preserve"> da presente A</w:t>
      </w:r>
      <w:r>
        <w:rPr>
          <w:rFonts w:cs="Arial" w:ascii="Arial" w:hAnsi="Arial"/>
          <w:spacing w:val="-4"/>
        </w:rPr>
        <w:t>ta de Registro de Preços</w:t>
      </w:r>
      <w:r>
        <w:rPr>
          <w:rFonts w:ascii="Arial" w:hAnsi="Arial"/>
          <w:spacing w:val="-5"/>
        </w:rPr>
        <w:t xml:space="preserve"> </w:t>
      </w:r>
      <w:r>
        <w:rPr>
          <w:rFonts w:ascii="Arial" w:hAnsi="Arial"/>
        </w:rPr>
        <w:t>serão</w:t>
      </w:r>
      <w:r>
        <w:rPr>
          <w:rFonts w:ascii="Arial" w:hAnsi="Arial"/>
          <w:spacing w:val="-4"/>
        </w:rPr>
        <w:t xml:space="preserve"> </w:t>
      </w:r>
      <w:r>
        <w:rPr>
          <w:rFonts w:ascii="Arial" w:hAnsi="Arial"/>
        </w:rPr>
        <w:t>efetuadas</w:t>
      </w:r>
      <w:r>
        <w:rPr>
          <w:rFonts w:ascii="Arial" w:hAnsi="Arial"/>
          <w:spacing w:val="-5"/>
        </w:rPr>
        <w:t xml:space="preserve"> </w:t>
      </w:r>
      <w:r>
        <w:rPr>
          <w:rFonts w:ascii="Arial" w:hAnsi="Arial"/>
        </w:rPr>
        <w:t>à</w:t>
      </w:r>
      <w:r>
        <w:rPr>
          <w:rFonts w:ascii="Arial" w:hAnsi="Arial"/>
          <w:spacing w:val="-5"/>
        </w:rPr>
        <w:t xml:space="preserve"> </w:t>
      </w:r>
      <w:r>
        <w:rPr>
          <w:rFonts w:ascii="Arial" w:hAnsi="Arial"/>
        </w:rPr>
        <w:t>conta</w:t>
      </w:r>
      <w:r>
        <w:rPr>
          <w:rFonts w:ascii="Arial" w:hAnsi="Arial"/>
          <w:spacing w:val="-5"/>
        </w:rPr>
        <w:t xml:space="preserve"> </w:t>
      </w:r>
      <w:r>
        <w:rPr>
          <w:rFonts w:ascii="Arial" w:hAnsi="Arial"/>
        </w:rPr>
        <w:t>do</w:t>
      </w:r>
      <w:r>
        <w:rPr>
          <w:rFonts w:ascii="Arial" w:hAnsi="Arial"/>
          <w:spacing w:val="-4"/>
        </w:rPr>
        <w:t xml:space="preserve"> </w:t>
      </w:r>
      <w:r>
        <w:rPr>
          <w:rFonts w:ascii="Arial" w:hAnsi="Arial"/>
        </w:rPr>
        <w:t>seguinte</w:t>
      </w:r>
      <w:r>
        <w:rPr>
          <w:rFonts w:ascii="Arial" w:hAnsi="Arial"/>
          <w:spacing w:val="-5"/>
        </w:rPr>
        <w:t xml:space="preserve"> </w:t>
      </w:r>
      <w:r>
        <w:rPr>
          <w:rFonts w:ascii="Arial" w:hAnsi="Arial"/>
        </w:rPr>
        <w:t>recurso</w:t>
      </w:r>
      <w:r>
        <w:rPr>
          <w:rFonts w:ascii="Arial" w:hAnsi="Arial"/>
          <w:spacing w:val="-5"/>
        </w:rPr>
        <w:t xml:space="preserve"> </w:t>
      </w:r>
      <w:r>
        <w:rPr>
          <w:rFonts w:ascii="Arial" w:hAnsi="Arial"/>
        </w:rPr>
        <w:t>financeiro:</w:t>
      </w:r>
    </w:p>
    <w:tbl>
      <w:tblPr>
        <w:tblW w:w="8981" w:type="dxa"/>
        <w:jc w:val="left"/>
        <w:tblInd w:w="-26" w:type="dxa"/>
        <w:tblLayout w:type="fixed"/>
        <w:tblCellMar>
          <w:top w:w="0" w:type="dxa"/>
          <w:left w:w="7" w:type="dxa"/>
          <w:bottom w:w="0" w:type="dxa"/>
          <w:right w:w="7" w:type="dxa"/>
        </w:tblCellMar>
        <w:tblLook w:firstRow="1" w:noVBand="0" w:lastRow="1" w:firstColumn="1" w:lastColumn="1" w:noHBand="0" w:val="01e0"/>
      </w:tblPr>
      <w:tblGrid>
        <w:gridCol w:w="1082"/>
        <w:gridCol w:w="900"/>
        <w:gridCol w:w="1076"/>
        <w:gridCol w:w="855"/>
        <w:gridCol w:w="3349"/>
        <w:gridCol w:w="1718"/>
      </w:tblGrid>
      <w:tr>
        <w:trPr>
          <w:trHeight w:val="238" w:hRule="atLeast"/>
        </w:trPr>
        <w:tc>
          <w:tcPr>
            <w:tcW w:w="8980" w:type="dxa"/>
            <w:gridSpan w:val="6"/>
            <w:tcBorders>
              <w:top w:val="single" w:sz="6" w:space="0" w:color="000000"/>
              <w:left w:val="single" w:sz="6" w:space="0" w:color="000000"/>
              <w:bottom w:val="single" w:sz="6" w:space="0" w:color="000000"/>
              <w:right w:val="single" w:sz="6" w:space="0" w:color="000000"/>
            </w:tcBorders>
          </w:tcPr>
          <w:p>
            <w:pPr>
              <w:pStyle w:val="TableParagraph"/>
              <w:widowControl w:val="false"/>
              <w:tabs>
                <w:tab w:val="clear" w:pos="708"/>
                <w:tab w:val="left" w:pos="4379" w:leader="none"/>
                <w:tab w:val="left" w:pos="10419" w:leader="none"/>
              </w:tabs>
              <w:spacing w:before="32" w:after="0"/>
              <w:ind w:left="37" w:hanging="0"/>
              <w:jc w:val="left"/>
              <w:rPr>
                <w:rFonts w:ascii="Arial" w:hAnsi="Arial"/>
                <w:sz w:val="20"/>
                <w:szCs w:val="20"/>
              </w:rPr>
            </w:pPr>
            <w:r>
              <w:rPr>
                <w:rFonts w:ascii="Arial" w:hAnsi="Arial"/>
                <w:sz w:val="20"/>
                <w:szCs w:val="20"/>
                <w:shd w:fill="DFDFDF" w:val="clear"/>
              </w:rPr>
              <w:t xml:space="preserve"> </w:t>
            </w:r>
            <w:r>
              <w:rPr>
                <w:rFonts w:ascii="Arial" w:hAnsi="Arial"/>
                <w:sz w:val="20"/>
                <w:szCs w:val="20"/>
                <w:shd w:fill="DFDFDF" w:val="clear"/>
              </w:rPr>
              <w:tab/>
            </w:r>
            <w:r>
              <w:rPr>
                <w:rFonts w:ascii="Arial" w:hAnsi="Arial"/>
                <w:b/>
                <w:sz w:val="20"/>
                <w:szCs w:val="20"/>
                <w:shd w:fill="DFDFDF" w:val="clear"/>
              </w:rPr>
              <w:t>Dotação</w:t>
            </w:r>
            <w:r>
              <w:rPr>
                <w:rFonts w:ascii="Arial" w:hAnsi="Arial"/>
                <w:b/>
                <w:spacing w:val="-9"/>
                <w:sz w:val="20"/>
                <w:szCs w:val="20"/>
                <w:shd w:fill="DFDFDF" w:val="clear"/>
              </w:rPr>
              <w:t xml:space="preserve"> </w:t>
            </w:r>
            <w:r>
              <w:rPr>
                <w:rFonts w:ascii="Arial" w:hAnsi="Arial"/>
                <w:b/>
                <w:sz w:val="20"/>
                <w:szCs w:val="20"/>
                <w:shd w:fill="DFDFDF" w:val="clear"/>
              </w:rPr>
              <w:t>Orçamentária</w:t>
            </w:r>
          </w:p>
        </w:tc>
      </w:tr>
      <w:tr>
        <w:trPr>
          <w:trHeight w:val="238" w:hRule="atLeast"/>
        </w:trPr>
        <w:tc>
          <w:tcPr>
            <w:tcW w:w="108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39" w:right="114" w:hanging="0"/>
              <w:rPr>
                <w:rFonts w:ascii="Arial" w:hAnsi="Arial"/>
                <w:b/>
                <w:b/>
                <w:sz w:val="20"/>
                <w:szCs w:val="20"/>
              </w:rPr>
            </w:pPr>
            <w:r>
              <w:rPr>
                <w:rFonts w:ascii="Arial" w:hAnsi="Arial"/>
                <w:b/>
                <w:sz w:val="20"/>
                <w:szCs w:val="20"/>
              </w:rPr>
              <w:t>Dotação</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39" w:right="114" w:hanging="0"/>
              <w:rPr>
                <w:rFonts w:ascii="Arial" w:hAnsi="Arial"/>
                <w:b/>
                <w:b/>
                <w:sz w:val="20"/>
                <w:szCs w:val="20"/>
              </w:rPr>
            </w:pPr>
            <w:r>
              <w:rPr>
                <w:rFonts w:ascii="Arial" w:hAnsi="Arial"/>
                <w:b/>
                <w:sz w:val="20"/>
                <w:szCs w:val="20"/>
              </w:rPr>
              <w:t>Órgão</w:t>
            </w:r>
          </w:p>
        </w:tc>
        <w:tc>
          <w:tcPr>
            <w:tcW w:w="107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140" w:right="113" w:hanging="0"/>
              <w:rPr>
                <w:rFonts w:ascii="Arial" w:hAnsi="Arial"/>
                <w:b/>
                <w:b/>
                <w:sz w:val="20"/>
                <w:szCs w:val="20"/>
              </w:rPr>
            </w:pPr>
            <w:r>
              <w:rPr>
                <w:rFonts w:ascii="Arial" w:hAnsi="Arial"/>
                <w:b/>
                <w:sz w:val="20"/>
                <w:szCs w:val="20"/>
              </w:rPr>
              <w:t>Unidade</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0" w:right="252" w:hanging="0"/>
              <w:jc w:val="right"/>
              <w:rPr>
                <w:rFonts w:ascii="Arial" w:hAnsi="Arial"/>
                <w:b/>
                <w:b/>
                <w:sz w:val="20"/>
                <w:szCs w:val="20"/>
              </w:rPr>
            </w:pPr>
            <w:r>
              <w:rPr>
                <w:rFonts w:ascii="Arial" w:hAnsi="Arial"/>
                <w:b/>
                <w:sz w:val="20"/>
                <w:szCs w:val="20"/>
              </w:rPr>
              <w:t>Ação</w:t>
            </w:r>
          </w:p>
        </w:tc>
        <w:tc>
          <w:tcPr>
            <w:tcW w:w="334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42" w:right="1207" w:hanging="0"/>
              <w:rPr>
                <w:rFonts w:ascii="Arial" w:hAnsi="Arial"/>
                <w:b/>
                <w:b/>
                <w:sz w:val="20"/>
                <w:szCs w:val="20"/>
              </w:rPr>
            </w:pPr>
            <w:r>
              <w:rPr>
                <w:rFonts w:ascii="Arial" w:hAnsi="Arial"/>
                <w:b/>
                <w:sz w:val="20"/>
                <w:szCs w:val="20"/>
              </w:rPr>
              <w:t>Elemento</w:t>
            </w:r>
          </w:p>
        </w:tc>
        <w:tc>
          <w:tcPr>
            <w:tcW w:w="1718"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before="32" w:after="0"/>
              <w:ind w:left="42" w:right="672" w:hanging="0"/>
              <w:rPr>
                <w:rFonts w:ascii="Arial" w:hAnsi="Arial"/>
                <w:b/>
                <w:b/>
                <w:sz w:val="20"/>
                <w:szCs w:val="20"/>
              </w:rPr>
            </w:pPr>
            <w:r>
              <w:rPr>
                <w:rFonts w:ascii="Arial" w:hAnsi="Arial"/>
                <w:b/>
                <w:sz w:val="20"/>
                <w:szCs w:val="20"/>
              </w:rPr>
              <w:t>Vínculo</w:t>
            </w:r>
          </w:p>
        </w:tc>
      </w:tr>
      <w:tr>
        <w:trPr>
          <w:trHeight w:val="262" w:hRule="atLeast"/>
        </w:trPr>
        <w:tc>
          <w:tcPr>
            <w:tcW w:w="1082"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139" w:right="114" w:hanging="0"/>
              <w:rPr>
                <w:rFonts w:ascii="Arial" w:hAnsi="Arial"/>
                <w:sz w:val="20"/>
                <w:szCs w:val="20"/>
              </w:rPr>
            </w:pPr>
            <w:r>
              <w:rPr>
                <w:rFonts w:ascii="Arial" w:hAnsi="Arial"/>
                <w:sz w:val="20"/>
                <w:szCs w:val="20"/>
              </w:rPr>
              <w:t>xxx</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5" w:hanging="0"/>
              <w:rPr>
                <w:rFonts w:ascii="Arial" w:hAnsi="Arial"/>
                <w:sz w:val="20"/>
                <w:szCs w:val="20"/>
              </w:rPr>
            </w:pPr>
            <w:r>
              <w:rPr>
                <w:rFonts w:ascii="Arial" w:hAnsi="Arial"/>
                <w:sz w:val="20"/>
                <w:szCs w:val="20"/>
              </w:rPr>
              <w:t>x</w:t>
            </w:r>
          </w:p>
        </w:tc>
        <w:tc>
          <w:tcPr>
            <w:tcW w:w="1076"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26" w:hanging="0"/>
              <w:rPr>
                <w:rFonts w:ascii="Arial" w:hAnsi="Arial"/>
                <w:sz w:val="20"/>
                <w:szCs w:val="20"/>
              </w:rPr>
            </w:pPr>
            <w:r>
              <w:rPr>
                <w:rFonts w:ascii="Arial" w:hAnsi="Arial"/>
                <w:sz w:val="20"/>
                <w:szCs w:val="20"/>
              </w:rPr>
              <w:t>x</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exact" w:line="184" w:before="35" w:after="0"/>
              <w:ind w:left="0" w:right="269" w:hanging="0"/>
              <w:jc w:val="right"/>
              <w:rPr>
                <w:rFonts w:ascii="Arial" w:hAnsi="Arial"/>
                <w:sz w:val="20"/>
                <w:szCs w:val="20"/>
              </w:rPr>
            </w:pPr>
            <w:r>
              <w:rPr>
                <w:rFonts w:ascii="Arial" w:hAnsi="Arial"/>
                <w:sz w:val="20"/>
                <w:szCs w:val="20"/>
              </w:rPr>
              <w:t>xxxx</w:t>
            </w:r>
          </w:p>
        </w:tc>
        <w:tc>
          <w:tcPr>
            <w:tcW w:w="3349"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240" w:before="0" w:after="0"/>
              <w:ind w:left="0" w:hanging="0"/>
              <w:rPr>
                <w:rFonts w:ascii="Arial" w:hAnsi="Arial"/>
                <w:sz w:val="20"/>
                <w:szCs w:val="20"/>
              </w:rPr>
            </w:pPr>
            <w:r>
              <w:rPr>
                <w:rFonts w:ascii="Arial" w:hAnsi="Arial"/>
                <w:sz w:val="20"/>
                <w:szCs w:val="20"/>
              </w:rPr>
              <w:t>xxxxxxxxxxxxxxxx</w:t>
            </w:r>
          </w:p>
        </w:tc>
        <w:tc>
          <w:tcPr>
            <w:tcW w:w="1718" w:type="dxa"/>
            <w:tcBorders>
              <w:top w:val="single" w:sz="6" w:space="0" w:color="000000"/>
              <w:left w:val="single" w:sz="6" w:space="0" w:color="000000"/>
              <w:bottom w:val="single" w:sz="6" w:space="0" w:color="000000"/>
              <w:right w:val="single" w:sz="6" w:space="0" w:color="000000"/>
            </w:tcBorders>
          </w:tcPr>
          <w:p>
            <w:pPr>
              <w:pStyle w:val="TableParagraph"/>
              <w:widowControl w:val="false"/>
              <w:spacing w:lineRule="auto" w:line="240" w:before="0" w:after="0"/>
              <w:ind w:left="0" w:hanging="0"/>
              <w:rPr>
                <w:rFonts w:ascii="Arial" w:hAnsi="Arial"/>
                <w:sz w:val="20"/>
                <w:szCs w:val="20"/>
              </w:rPr>
            </w:pPr>
            <w:r>
              <w:rPr>
                <w:rFonts w:ascii="Arial" w:hAnsi="Arial"/>
                <w:sz w:val="20"/>
                <w:szCs w:val="20"/>
              </w:rPr>
              <w:t>Xxxxxxxxxxxx</w:t>
            </w:r>
          </w:p>
        </w:tc>
      </w:tr>
    </w:tbl>
    <w:p>
      <w:pPr>
        <w:pStyle w:val="Corpodotexto"/>
        <w:widowControl w:val="false"/>
        <w:tabs>
          <w:tab w:val="clear" w:pos="708"/>
          <w:tab w:val="left" w:pos="1701" w:leader="none"/>
        </w:tabs>
        <w:spacing w:lineRule="auto" w:line="240" w:before="4" w:after="0"/>
        <w:jc w:val="both"/>
        <w:textAlignment w:val="baseline"/>
        <w:rPr>
          <w:rFonts w:ascii="Arial" w:hAnsi="Arial" w:eastAsia="Times New Roman" w:cs="Arial"/>
          <w:b/>
          <w:b/>
          <w:lang w:eastAsia="pt-BR"/>
        </w:rPr>
      </w:pPr>
      <w:r>
        <w:rPr>
          <w:rFonts w:eastAsia="Times New Roman" w:cs="Arial" w:ascii="Arial" w:hAnsi="Arial"/>
          <w:b/>
          <w:lang w:eastAsia="pt-BR"/>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shd w:fill="auto" w:val="clear"/>
        </w:rPr>
      </w:pPr>
      <w:r>
        <w:rPr>
          <w:rFonts w:eastAsia="Times New Roman" w:cs="Arial" w:ascii="Arial" w:hAnsi="Arial"/>
          <w:sz w:val="22"/>
          <w:szCs w:val="22"/>
          <w:shd w:fill="auto" w:val="clear"/>
          <w:lang w:eastAsia="pt-BR"/>
        </w:rPr>
        <w:t>CLÁUSULA</w:t>
      </w:r>
      <w:r>
        <w:rPr>
          <w:rFonts w:eastAsia="Times New Roman" w:cs="Arial" w:ascii="Arial" w:hAnsi="Arial"/>
          <w:spacing w:val="-4"/>
          <w:sz w:val="22"/>
          <w:szCs w:val="22"/>
          <w:shd w:fill="auto" w:val="clear"/>
          <w:lang w:eastAsia="pt-BR"/>
        </w:rPr>
        <w:t xml:space="preserve"> V</w:t>
      </w:r>
      <w:r>
        <w:rPr>
          <w:rFonts w:eastAsia="Times New Roman" w:cs="Arial" w:ascii="Arial" w:hAnsi="Arial"/>
          <w:sz w:val="22"/>
          <w:szCs w:val="22"/>
          <w:shd w:fill="auto" w:val="clear"/>
          <w:lang w:eastAsia="pt-BR"/>
        </w:rPr>
        <w:t xml:space="preserve"> </w:t>
      </w:r>
      <w:r>
        <w:rPr>
          <w:rFonts w:eastAsia="Times New Roman" w:cs="Arial" w:ascii="Arial" w:hAnsi="Arial"/>
          <w:spacing w:val="-3"/>
          <w:sz w:val="22"/>
          <w:szCs w:val="22"/>
          <w:shd w:fill="auto" w:val="clear"/>
          <w:lang w:eastAsia="pt-BR"/>
        </w:rPr>
        <w:t xml:space="preserve">– </w:t>
      </w:r>
      <w:r>
        <w:rPr>
          <w:rFonts w:eastAsia="Times New Roman" w:cs="Arial" w:ascii="Arial" w:hAnsi="Arial"/>
          <w:sz w:val="22"/>
          <w:szCs w:val="22"/>
          <w:shd w:fill="auto" w:val="clear"/>
          <w:lang w:eastAsia="pt-BR"/>
        </w:rPr>
        <w:t>D</w:t>
      </w:r>
      <w:r>
        <w:rPr>
          <w:rFonts w:eastAsia="Times New Roman" w:cs="Arial" w:ascii="Arial" w:hAnsi="Arial"/>
          <w:color w:val="000000"/>
          <w:spacing w:val="-3"/>
          <w:sz w:val="22"/>
          <w:szCs w:val="22"/>
          <w:shd w:fill="auto" w:val="clear"/>
          <w:lang w:eastAsia="pt-BR"/>
        </w:rPr>
        <w:t>AS CONDIÇÕES DE FORNECIMENTO, LOCAL E PRAZO DE ENTREGA E PAGAMENTO</w:t>
      </w:r>
    </w:p>
    <w:p>
      <w:pPr>
        <w:pStyle w:val="Corpodotexto"/>
        <w:spacing w:lineRule="auto" w:line="240" w:before="0" w:after="0"/>
        <w:rPr>
          <w:shd w:fill="auto" w:val="clear"/>
          <w:lang w:eastAsia="pt-BR"/>
        </w:rPr>
      </w:pPr>
      <w:r>
        <w:rPr>
          <w:shd w:fill="auto" w:val="clear"/>
          <w:lang w:eastAsia="pt-BR"/>
        </w:rPr>
      </w:r>
    </w:p>
    <w:p>
      <w:pPr>
        <w:pStyle w:val="Normal"/>
        <w:tabs>
          <w:tab w:val="clear" w:pos="708"/>
          <w:tab w:val="left" w:pos="0" w:leader="none"/>
        </w:tabs>
        <w:spacing w:lineRule="auto" w:line="240" w:before="0" w:after="0"/>
        <w:jc w:val="both"/>
        <w:rPr>
          <w:shd w:fill="auto" w:val="clear"/>
        </w:rPr>
      </w:pPr>
      <w:r>
        <w:rPr>
          <w:rFonts w:ascii="Arial" w:hAnsi="Arial"/>
          <w:shd w:fill="auto" w:val="clear"/>
        </w:rPr>
        <w:t xml:space="preserve">5. </w:t>
      </w:r>
      <w:r>
        <w:rPr>
          <w:rFonts w:cs="Arial" w:ascii="Arial" w:hAnsi="Arial"/>
          <w:color w:val="000000"/>
          <w:shd w:fill="auto" w:val="clear"/>
        </w:rPr>
        <w:t xml:space="preserve">Os </w:t>
      </w:r>
      <w:r>
        <w:rPr>
          <w:rFonts w:eastAsia="Calibri" w:cs="Arial" w:ascii="Arial" w:hAnsi="Arial"/>
          <w:color w:val="000000"/>
          <w:kern w:val="0"/>
          <w:sz w:val="22"/>
          <w:szCs w:val="22"/>
          <w:shd w:fill="auto" w:val="clear"/>
          <w:lang w:val="pt-BR" w:eastAsia="en-US" w:bidi="ar-SA"/>
        </w:rPr>
        <w:t>materiais</w:t>
      </w:r>
      <w:r>
        <w:rPr>
          <w:rFonts w:cs="Arial" w:ascii="Arial" w:hAnsi="Arial"/>
          <w:color w:val="000000"/>
          <w:shd w:fill="auto" w:val="clear"/>
        </w:rPr>
        <w:t xml:space="preserve"> deverão ser entregues nos locais indicados pela Secretaria solicitante, </w:t>
      </w:r>
      <w:r>
        <w:rPr>
          <w:rFonts w:cs="Arial" w:ascii="Arial" w:hAnsi="Arial"/>
          <w:b/>
          <w:bCs/>
          <w:color w:val="000000"/>
          <w:shd w:fill="auto" w:val="clear"/>
        </w:rPr>
        <w:t xml:space="preserve">no prazo máximo de </w:t>
      </w:r>
      <w:r>
        <w:rPr>
          <w:rFonts w:eastAsia="Calibri" w:cs="Arial" w:ascii="Arial" w:hAnsi="Arial"/>
          <w:b/>
          <w:bCs/>
          <w:color w:val="000000"/>
          <w:kern w:val="0"/>
          <w:sz w:val="22"/>
          <w:szCs w:val="22"/>
          <w:shd w:fill="auto" w:val="clear"/>
          <w:lang w:val="pt-BR" w:eastAsia="en-US" w:bidi="ar-SA"/>
        </w:rPr>
        <w:t>48</w:t>
      </w:r>
      <w:r>
        <w:rPr>
          <w:rFonts w:cs="Arial" w:ascii="Arial" w:hAnsi="Arial"/>
          <w:b/>
          <w:bCs/>
          <w:color w:val="000000"/>
          <w:shd w:fill="auto" w:val="clear"/>
        </w:rPr>
        <w:t xml:space="preserve"> (</w:t>
      </w:r>
      <w:r>
        <w:rPr>
          <w:rFonts w:eastAsia="Calibri" w:cs="Arial" w:ascii="Arial" w:hAnsi="Arial"/>
          <w:b/>
          <w:bCs/>
          <w:color w:val="000000"/>
          <w:kern w:val="0"/>
          <w:sz w:val="22"/>
          <w:szCs w:val="22"/>
          <w:shd w:fill="auto" w:val="clear"/>
          <w:lang w:val="pt-BR" w:eastAsia="en-US" w:bidi="ar-SA"/>
        </w:rPr>
        <w:t>quarenta e oito</w:t>
      </w:r>
      <w:r>
        <w:rPr>
          <w:rFonts w:cs="Arial" w:ascii="Arial" w:hAnsi="Arial"/>
          <w:b/>
          <w:bCs/>
          <w:color w:val="000000"/>
          <w:shd w:fill="auto" w:val="clear"/>
        </w:rPr>
        <w:t xml:space="preserve">) </w:t>
      </w:r>
      <w:r>
        <w:rPr>
          <w:rFonts w:eastAsia="Calibri" w:cs="Arial" w:ascii="Arial" w:hAnsi="Arial"/>
          <w:b/>
          <w:bCs/>
          <w:color w:val="000000"/>
          <w:kern w:val="0"/>
          <w:sz w:val="22"/>
          <w:szCs w:val="22"/>
          <w:shd w:fill="auto" w:val="clear"/>
          <w:lang w:val="pt-BR" w:eastAsia="en-US" w:bidi="ar-SA"/>
        </w:rPr>
        <w:t xml:space="preserve">horas </w:t>
      </w:r>
      <w:r>
        <w:rPr>
          <w:rFonts w:cs="Arial" w:ascii="Arial" w:hAnsi="Arial"/>
          <w:b/>
          <w:bCs/>
          <w:color w:val="000000"/>
          <w:shd w:fill="auto" w:val="clear"/>
        </w:rPr>
        <w:t>consecutivas</w:t>
      </w:r>
      <w:r>
        <w:rPr>
          <w:rFonts w:cs="Arial" w:ascii="Arial" w:hAnsi="Arial"/>
          <w:color w:val="000000"/>
          <w:shd w:fill="auto" w:val="clear"/>
        </w:rPr>
        <w:t xml:space="preserve"> após a emissão da requisição de compra. Os </w:t>
      </w:r>
      <w:r>
        <w:rPr>
          <w:rFonts w:ascii="Arial" w:hAnsi="Arial"/>
          <w:shd w:fill="auto" w:val="clear"/>
        </w:rPr>
        <w:t>valores estimados incluem o custo do objeto/material, transporte, entrega e demais serviços necessários para o correto fornecimento dos objetos, nos locais e horários determinados pela administração.</w:t>
      </w:r>
    </w:p>
    <w:p>
      <w:pPr>
        <w:pStyle w:val="Normal"/>
        <w:tabs>
          <w:tab w:val="clear" w:pos="708"/>
          <w:tab w:val="left" w:pos="0" w:leader="none"/>
        </w:tabs>
        <w:spacing w:lineRule="auto" w:line="240" w:before="0" w:after="0"/>
        <w:jc w:val="both"/>
        <w:rPr>
          <w:shd w:fill="auto" w:val="clear"/>
        </w:rPr>
      </w:pPr>
      <w:r>
        <w:rPr>
          <w:rFonts w:ascii="Arial" w:hAnsi="Arial"/>
          <w:shd w:fill="auto" w:val="clear"/>
        </w:rPr>
        <w:t xml:space="preserve">5.1. </w:t>
      </w:r>
      <w:r>
        <w:rPr>
          <w:rFonts w:cs="Arial" w:ascii="Arial" w:hAnsi="Arial"/>
          <w:b w:val="false"/>
          <w:bCs w:val="false"/>
          <w:shd w:fill="auto" w:val="clear"/>
        </w:rPr>
        <w:t xml:space="preserve">O prazo para entrega se dá em </w:t>
      </w:r>
      <w:r>
        <w:rPr>
          <w:rFonts w:eastAsia="Times New Roman" w:cs="Arial" w:ascii="Arial" w:hAnsi="Arial"/>
          <w:b w:val="false"/>
          <w:bCs w:val="false"/>
          <w:color w:val="111111"/>
          <w:sz w:val="22"/>
          <w:szCs w:val="22"/>
          <w:shd w:fill="auto" w:val="clear"/>
          <w:lang w:val="pt-BR" w:eastAsia="pt-BR" w:bidi="ar-SA"/>
        </w:rPr>
        <w:t xml:space="preserve">função das necessidades decorrentes, por se tratarem de materiais utilizados em serviços desempenhados de forma contínua e </w:t>
      </w:r>
      <w:r>
        <w:rPr>
          <w:rFonts w:eastAsia="Times New Roman" w:cs="Arial" w:ascii="Arial" w:hAnsi="Arial"/>
          <w:b w:val="false"/>
          <w:bCs w:val="false"/>
          <w:color w:val="111111"/>
          <w:sz w:val="22"/>
          <w:szCs w:val="22"/>
          <w:shd w:fill="auto" w:val="clear"/>
          <w:lang w:val="pt-BR" w:eastAsia="pt-BR" w:bidi="ar-SA"/>
        </w:rPr>
        <w:t>rotineira, advindo a possibilidade de imprevistos e o condicionante do Município não possuir pessoal e local para depósito / almoxarifado</w:t>
      </w:r>
    </w:p>
    <w:p>
      <w:pPr>
        <w:pStyle w:val="ListParagraph"/>
        <w:tabs>
          <w:tab w:val="clear" w:pos="708"/>
          <w:tab w:val="left" w:pos="337" w:leader="none"/>
        </w:tabs>
        <w:spacing w:lineRule="auto" w:line="240" w:before="0" w:after="0"/>
        <w:ind w:left="0" w:hanging="0"/>
        <w:contextualSpacing/>
        <w:jc w:val="both"/>
        <w:rPr>
          <w:rFonts w:ascii="Arial" w:hAnsi="Arial"/>
        </w:rPr>
      </w:pPr>
      <w:r>
        <w:rPr>
          <w:rFonts w:ascii="Arial" w:hAnsi="Arial"/>
        </w:rPr>
        <w:t xml:space="preserve">5.1.1. </w:t>
      </w:r>
      <w:r>
        <w:rPr>
          <w:rFonts w:ascii="Arial" w:hAnsi="Arial"/>
          <w:sz w:val="22"/>
        </w:rPr>
        <w:t>O pagamento será efetuado seguindo a ordem cronológica, no prazo máximo de até 30 (trinta) dias, após o efetivo recebimento dos materiais e/ou serviços prestados</w:t>
      </w:r>
    </w:p>
    <w:p>
      <w:pPr>
        <w:pStyle w:val="Normal"/>
        <w:widowControl w:val="false"/>
        <w:tabs>
          <w:tab w:val="clear" w:pos="708"/>
          <w:tab w:val="left" w:pos="453" w:leader="none"/>
        </w:tabs>
        <w:spacing w:lineRule="auto" w:line="240" w:before="0" w:after="0"/>
        <w:jc w:val="both"/>
        <w:textAlignment w:val="baseline"/>
        <w:rPr>
          <w:highlight w:val="yellow"/>
        </w:rPr>
      </w:pPr>
      <w:r>
        <w:rPr>
          <w:highlight w:val="yellow"/>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sz w:val="22"/>
          <w:szCs w:val="22"/>
          <w:shd w:fill="CCCCCC" w:val="clear"/>
          <w:lang w:eastAsia="pt-BR"/>
        </w:rPr>
        <w:t>CLÁUSULA</w:t>
      </w:r>
      <w:r>
        <w:rPr>
          <w:rFonts w:eastAsia="Times New Roman" w:cs="Arial" w:ascii="Arial" w:hAnsi="Arial"/>
          <w:bCs w:val="false"/>
          <w:spacing w:val="-4"/>
          <w:sz w:val="22"/>
          <w:szCs w:val="22"/>
          <w:shd w:fill="CCCCCC" w:val="clear"/>
          <w:lang w:eastAsia="pt-BR"/>
        </w:rPr>
        <w:t xml:space="preserve"> VI</w:t>
      </w:r>
      <w:r>
        <w:rPr>
          <w:rFonts w:eastAsia="Times New Roman" w:cs="Arial" w:ascii="Arial" w:hAnsi="Arial"/>
          <w:bCs w:val="false"/>
          <w:sz w:val="22"/>
          <w:szCs w:val="22"/>
          <w:shd w:fill="CCCCCC" w:val="clear"/>
          <w:lang w:eastAsia="pt-BR"/>
        </w:rPr>
        <w:t xml:space="preserve"> </w:t>
      </w:r>
      <w:r>
        <w:rPr>
          <w:rFonts w:eastAsia="Times New Roman" w:cs="Arial" w:ascii="Arial" w:hAnsi="Arial"/>
          <w:bCs w:val="false"/>
          <w:spacing w:val="-3"/>
          <w:sz w:val="22"/>
          <w:szCs w:val="22"/>
          <w:shd w:fill="CCCCCC" w:val="clear"/>
          <w:lang w:eastAsia="pt-BR"/>
        </w:rPr>
        <w:t xml:space="preserve">– </w:t>
      </w:r>
      <w:r>
        <w:rPr>
          <w:rFonts w:eastAsia="Times New Roman" w:cs="Arial" w:ascii="Arial" w:hAnsi="Arial"/>
          <w:bCs w:val="false"/>
          <w:color w:val="000000"/>
          <w:spacing w:val="-3"/>
          <w:sz w:val="22"/>
          <w:szCs w:val="22"/>
          <w:shd w:fill="CCCCCC" w:val="clear"/>
          <w:lang w:eastAsia="pt-BR"/>
        </w:rPr>
        <w:t>DAS PENALIDADES</w:t>
      </w:r>
    </w:p>
    <w:p>
      <w:pPr>
        <w:pStyle w:val="Corpodotexto"/>
        <w:widowControl w:val="false"/>
        <w:tabs>
          <w:tab w:val="clear" w:pos="708"/>
          <w:tab w:val="left" w:pos="10597" w:leader="none"/>
        </w:tabs>
        <w:spacing w:lineRule="auto" w:line="240" w:before="0" w:after="0"/>
        <w:textAlignment w:val="baseline"/>
        <w:rPr>
          <w:rFonts w:ascii="Arial" w:hAnsi="Arial" w:eastAsia="Times New Roman" w:cs="Arial"/>
          <w:b/>
          <w:b/>
          <w:spacing w:val="-3"/>
          <w:shd w:fill="CCCCCC" w:val="clear"/>
          <w:lang w:eastAsia="pt-BR"/>
        </w:rPr>
      </w:pPr>
      <w:r>
        <w:rPr>
          <w:rFonts w:eastAsia="Times New Roman" w:cs="Arial" w:ascii="Arial" w:hAnsi="Arial"/>
          <w:b/>
          <w:spacing w:val="-3"/>
          <w:shd w:fill="CCCCCC" w:val="clear"/>
          <w:lang w:eastAsia="pt-BR"/>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ascii="Arial" w:hAnsi="Arial"/>
        </w:rPr>
        <w:t>6.</w:t>
        <w:tab/>
        <w:t>A recusa injustificada da empresa com proposta classificada na licitação e indicada para registro dos respectivos preços ensejará a aplicação das</w:t>
      </w:r>
      <w:r>
        <w:rPr>
          <w:rFonts w:ascii="Arial" w:hAnsi="Arial"/>
          <w:spacing w:val="-42"/>
        </w:rPr>
        <w:t xml:space="preserve"> </w:t>
      </w:r>
      <w:r>
        <w:rPr>
          <w:rFonts w:ascii="Arial" w:hAnsi="Arial"/>
        </w:rPr>
        <w:t>penalidades</w:t>
      </w:r>
      <w:r>
        <w:rPr>
          <w:rFonts w:ascii="Arial" w:hAnsi="Arial"/>
          <w:spacing w:val="-1"/>
        </w:rPr>
        <w:t xml:space="preserve"> </w:t>
      </w:r>
      <w:r>
        <w:rPr>
          <w:rFonts w:ascii="Arial" w:hAnsi="Arial"/>
        </w:rPr>
        <w:t>enunciadas</w:t>
      </w:r>
      <w:r>
        <w:rPr>
          <w:rFonts w:ascii="Arial" w:hAnsi="Arial"/>
          <w:spacing w:val="-1"/>
        </w:rPr>
        <w:t xml:space="preserve"> </w:t>
      </w:r>
      <w:r>
        <w:rPr>
          <w:rFonts w:ascii="Arial" w:hAnsi="Arial"/>
        </w:rPr>
        <w:t>no</w:t>
      </w:r>
      <w:r>
        <w:rPr>
          <w:rFonts w:ascii="Arial" w:hAnsi="Arial"/>
          <w:spacing w:val="-2"/>
        </w:rPr>
        <w:t xml:space="preserve"> </w:t>
      </w:r>
      <w:r>
        <w:rPr>
          <w:rFonts w:ascii="Arial" w:hAnsi="Arial"/>
        </w:rPr>
        <w:t>artigo</w:t>
      </w:r>
      <w:r>
        <w:rPr>
          <w:rFonts w:ascii="Arial" w:hAnsi="Arial"/>
          <w:spacing w:val="-1"/>
        </w:rPr>
        <w:t xml:space="preserve"> </w:t>
      </w:r>
      <w:r>
        <w:rPr>
          <w:rFonts w:ascii="Arial" w:hAnsi="Arial"/>
        </w:rPr>
        <w:t>156</w:t>
      </w:r>
      <w:r>
        <w:rPr>
          <w:rFonts w:ascii="Arial" w:hAnsi="Arial"/>
          <w:spacing w:val="-2"/>
        </w:rPr>
        <w:t xml:space="preserve"> </w:t>
      </w:r>
      <w:r>
        <w:rPr>
          <w:rFonts w:ascii="Arial" w:hAnsi="Arial"/>
        </w:rPr>
        <w:t>da</w:t>
      </w:r>
      <w:r>
        <w:rPr>
          <w:rFonts w:ascii="Arial" w:hAnsi="Arial"/>
          <w:spacing w:val="-1"/>
        </w:rPr>
        <w:t xml:space="preserve"> </w:t>
      </w:r>
      <w:r>
        <w:rPr>
          <w:rFonts w:ascii="Arial" w:hAnsi="Arial"/>
        </w:rPr>
        <w:t>Lei</w:t>
      </w:r>
      <w:r>
        <w:rPr>
          <w:rFonts w:ascii="Arial" w:hAnsi="Arial"/>
          <w:spacing w:val="-2"/>
        </w:rPr>
        <w:t xml:space="preserve"> </w:t>
      </w:r>
      <w:r>
        <w:rPr>
          <w:rFonts w:ascii="Arial" w:hAnsi="Arial"/>
        </w:rPr>
        <w:t>Federal</w:t>
      </w:r>
      <w:r>
        <w:rPr>
          <w:rFonts w:ascii="Arial" w:hAnsi="Arial"/>
          <w:spacing w:val="-1"/>
        </w:rPr>
        <w:t xml:space="preserve"> </w:t>
      </w:r>
      <w:r>
        <w:rPr>
          <w:rFonts w:ascii="Arial" w:hAnsi="Arial"/>
        </w:rPr>
        <w:t>nº.</w:t>
      </w:r>
      <w:r>
        <w:rPr>
          <w:rFonts w:ascii="Arial" w:hAnsi="Arial"/>
          <w:spacing w:val="-2"/>
        </w:rPr>
        <w:t xml:space="preserve"> </w:t>
      </w:r>
      <w:r>
        <w:rPr>
          <w:rFonts w:ascii="Arial" w:hAnsi="Arial"/>
        </w:rPr>
        <w:t>14.133/2021</w:t>
      </w:r>
      <w:r>
        <w:rPr>
          <w:rFonts w:ascii="Arial" w:hAnsi="Arial"/>
          <w:spacing w:val="-1"/>
        </w:rPr>
        <w:t xml:space="preserve"> </w:t>
      </w:r>
      <w:r>
        <w:rPr>
          <w:rFonts w:ascii="Arial" w:hAnsi="Arial"/>
        </w:rPr>
        <w:t>e</w:t>
      </w:r>
      <w:r>
        <w:rPr>
          <w:rFonts w:ascii="Arial" w:hAnsi="Arial"/>
          <w:spacing w:val="-2"/>
        </w:rPr>
        <w:t xml:space="preserve"> </w:t>
      </w:r>
      <w:r>
        <w:rPr>
          <w:rFonts w:ascii="Arial" w:hAnsi="Arial"/>
        </w:rPr>
        <w:t>alterações.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6.1.1.</w:t>
        <w:tab/>
        <w:t>Impedimento</w:t>
      </w:r>
      <w:r>
        <w:rPr>
          <w:rFonts w:ascii="Arial" w:hAnsi="Arial"/>
          <w:spacing w:val="-5"/>
        </w:rPr>
        <w:t xml:space="preserve"> </w:t>
      </w:r>
      <w:r>
        <w:rPr>
          <w:rFonts w:ascii="Arial" w:hAnsi="Arial"/>
        </w:rPr>
        <w:t>para</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se</w:t>
      </w:r>
      <w:r>
        <w:rPr>
          <w:rFonts w:ascii="Arial" w:hAnsi="Arial"/>
          <w:spacing w:val="-4"/>
        </w:rPr>
        <w:t xml:space="preserve"> </w:t>
      </w:r>
      <w:r>
        <w:rPr>
          <w:rFonts w:ascii="Arial" w:hAnsi="Arial"/>
        </w:rPr>
        <w:t>concluída</w:t>
      </w:r>
      <w:r>
        <w:rPr>
          <w:rFonts w:ascii="Arial" w:hAnsi="Arial"/>
          <w:spacing w:val="-4"/>
        </w:rPr>
        <w:t xml:space="preserve"> </w:t>
      </w:r>
      <w:r>
        <w:rPr>
          <w:rFonts w:ascii="Arial" w:hAnsi="Arial"/>
        </w:rPr>
        <w:t>a</w:t>
      </w:r>
      <w:r>
        <w:rPr>
          <w:rFonts w:ascii="Arial" w:hAnsi="Arial"/>
          <w:spacing w:val="-5"/>
        </w:rPr>
        <w:t xml:space="preserve"> </w:t>
      </w:r>
      <w:r>
        <w:rPr>
          <w:rFonts w:ascii="Arial" w:hAnsi="Arial"/>
        </w:rPr>
        <w:t>fase</w:t>
      </w:r>
      <w:r>
        <w:rPr>
          <w:rFonts w:ascii="Arial" w:hAnsi="Arial"/>
          <w:spacing w:val="-4"/>
        </w:rPr>
        <w:t xml:space="preserve"> </w:t>
      </w:r>
      <w:r>
        <w:rPr>
          <w:rFonts w:ascii="Arial" w:hAnsi="Arial"/>
        </w:rPr>
        <w:t>licitatória;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6.1.2.</w:t>
        <w:tab/>
        <w:t>Cancelamento</w:t>
      </w:r>
      <w:r>
        <w:rPr>
          <w:rFonts w:ascii="Arial" w:hAnsi="Arial"/>
          <w:spacing w:val="-5"/>
        </w:rPr>
        <w:t xml:space="preserve"> </w:t>
      </w:r>
      <w:r>
        <w:rPr>
          <w:rFonts w:ascii="Arial" w:hAnsi="Arial"/>
        </w:rPr>
        <w:t>do</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Ata;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6.1.3.</w:t>
        <w:tab/>
        <w:t>Advertência</w:t>
      </w:r>
      <w:r>
        <w:rPr>
          <w:rFonts w:ascii="Arial" w:hAnsi="Arial"/>
          <w:spacing w:val="-7"/>
        </w:rPr>
        <w:t xml:space="preserve"> </w:t>
      </w:r>
      <w:r>
        <w:rPr>
          <w:rFonts w:ascii="Arial" w:hAnsi="Arial"/>
        </w:rPr>
        <w:t>e</w:t>
      </w:r>
      <w:r>
        <w:rPr>
          <w:rFonts w:ascii="Arial" w:hAnsi="Arial"/>
          <w:spacing w:val="-7"/>
        </w:rPr>
        <w:t xml:space="preserve"> </w:t>
      </w:r>
      <w:r>
        <w:rPr>
          <w:rFonts w:ascii="Arial" w:hAnsi="Arial"/>
        </w:rPr>
        <w:t>anotação</w:t>
      </w:r>
      <w:r>
        <w:rPr>
          <w:rFonts w:ascii="Arial" w:hAnsi="Arial"/>
          <w:spacing w:val="-6"/>
        </w:rPr>
        <w:t xml:space="preserve"> </w:t>
      </w:r>
      <w:r>
        <w:rPr>
          <w:rFonts w:ascii="Arial" w:hAnsi="Arial"/>
        </w:rPr>
        <w:t>restritiva</w:t>
      </w:r>
      <w:r>
        <w:rPr>
          <w:rFonts w:ascii="Arial" w:hAnsi="Arial"/>
          <w:spacing w:val="-7"/>
        </w:rPr>
        <w:t xml:space="preserve"> </w:t>
      </w:r>
      <w:r>
        <w:rPr>
          <w:rFonts w:ascii="Arial" w:hAnsi="Arial"/>
        </w:rPr>
        <w:t>no</w:t>
      </w:r>
      <w:r>
        <w:rPr>
          <w:rFonts w:ascii="Arial" w:hAnsi="Arial"/>
          <w:spacing w:val="-6"/>
        </w:rPr>
        <w:t xml:space="preserve"> </w:t>
      </w:r>
      <w:r>
        <w:rPr>
          <w:rFonts w:ascii="Arial" w:hAnsi="Arial"/>
        </w:rPr>
        <w:t>Cadastro</w:t>
      </w:r>
      <w:r>
        <w:rPr>
          <w:rFonts w:ascii="Arial" w:hAnsi="Arial"/>
          <w:spacing w:val="-7"/>
        </w:rPr>
        <w:t xml:space="preserve"> </w:t>
      </w:r>
      <w:r>
        <w:rPr>
          <w:rFonts w:ascii="Arial" w:hAnsi="Arial"/>
        </w:rPr>
        <w:t>de</w:t>
      </w:r>
      <w:r>
        <w:rPr>
          <w:rFonts w:ascii="Arial" w:hAnsi="Arial"/>
          <w:spacing w:val="-6"/>
        </w:rPr>
        <w:t xml:space="preserve"> </w:t>
      </w:r>
      <w:r>
        <w:rPr>
          <w:rFonts w:ascii="Arial" w:hAnsi="Arial"/>
        </w:rPr>
        <w:t>Fornecedores;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6.1.4.</w:t>
        <w:tab/>
        <w:t>Multa</w:t>
      </w:r>
      <w:r>
        <w:rPr>
          <w:rFonts w:ascii="Arial" w:hAnsi="Arial"/>
          <w:spacing w:val="-3"/>
        </w:rPr>
        <w:t xml:space="preserve"> </w:t>
      </w:r>
      <w:r>
        <w:rPr>
          <w:rFonts w:ascii="Arial" w:hAnsi="Arial"/>
        </w:rPr>
        <w:t>de</w:t>
      </w:r>
      <w:r>
        <w:rPr>
          <w:rFonts w:ascii="Arial" w:hAnsi="Arial"/>
          <w:spacing w:val="-2"/>
        </w:rPr>
        <w:t xml:space="preserve"> </w:t>
      </w:r>
      <w:r>
        <w:rPr>
          <w:rFonts w:ascii="Arial" w:hAnsi="Arial"/>
        </w:rPr>
        <w:t>10%</w:t>
      </w:r>
      <w:r>
        <w:rPr>
          <w:rFonts w:ascii="Arial" w:hAnsi="Arial"/>
          <w:spacing w:val="-3"/>
        </w:rPr>
        <w:t xml:space="preserve"> </w:t>
      </w:r>
      <w:r>
        <w:rPr>
          <w:rFonts w:ascii="Arial" w:hAnsi="Arial"/>
        </w:rPr>
        <w:t>(dez</w:t>
      </w:r>
      <w:r>
        <w:rPr>
          <w:rFonts w:ascii="Arial" w:hAnsi="Arial"/>
          <w:spacing w:val="-2"/>
        </w:rPr>
        <w:t xml:space="preserve"> </w:t>
      </w:r>
      <w:r>
        <w:rPr>
          <w:rFonts w:ascii="Arial" w:hAnsi="Arial"/>
        </w:rPr>
        <w:t>por</w:t>
      </w:r>
      <w:r>
        <w:rPr>
          <w:rFonts w:ascii="Arial" w:hAnsi="Arial"/>
          <w:spacing w:val="-2"/>
        </w:rPr>
        <w:t xml:space="preserve"> </w:t>
      </w:r>
      <w:r>
        <w:rPr>
          <w:rFonts w:ascii="Arial" w:hAnsi="Arial"/>
        </w:rPr>
        <w:t>cento)</w:t>
      </w:r>
      <w:r>
        <w:rPr>
          <w:rFonts w:ascii="Arial" w:hAnsi="Arial"/>
          <w:spacing w:val="-3"/>
        </w:rPr>
        <w:t xml:space="preserve"> </w:t>
      </w:r>
      <w:r>
        <w:rPr>
          <w:rFonts w:ascii="Arial" w:hAnsi="Arial"/>
        </w:rPr>
        <w:t>do</w:t>
      </w:r>
      <w:r>
        <w:rPr>
          <w:rFonts w:ascii="Arial" w:hAnsi="Arial"/>
          <w:spacing w:val="-2"/>
        </w:rPr>
        <w:t xml:space="preserve"> </w:t>
      </w:r>
      <w:r>
        <w:rPr>
          <w:rFonts w:ascii="Arial" w:hAnsi="Arial"/>
        </w:rPr>
        <w:t>valor</w:t>
      </w:r>
      <w:r>
        <w:rPr>
          <w:rFonts w:ascii="Arial" w:hAnsi="Arial"/>
          <w:spacing w:val="-3"/>
        </w:rPr>
        <w:t xml:space="preserve"> </w:t>
      </w:r>
      <w:r>
        <w:rPr>
          <w:rFonts w:ascii="Arial" w:hAnsi="Arial"/>
        </w:rPr>
        <w:t>estimado</w:t>
      </w:r>
      <w:r>
        <w:rPr>
          <w:rFonts w:ascii="Arial" w:hAnsi="Arial"/>
          <w:spacing w:val="-2"/>
        </w:rPr>
        <w:t xml:space="preserve"> </w:t>
      </w:r>
      <w:r>
        <w:rPr>
          <w:rFonts w:ascii="Arial" w:hAnsi="Arial"/>
        </w:rPr>
        <w:t>da</w:t>
      </w:r>
      <w:r>
        <w:rPr>
          <w:rFonts w:ascii="Arial" w:hAnsi="Arial"/>
          <w:spacing w:val="-2"/>
        </w:rPr>
        <w:t xml:space="preserve"> </w:t>
      </w:r>
      <w:r>
        <w:rPr>
          <w:rFonts w:ascii="Arial" w:hAnsi="Arial"/>
        </w:rPr>
        <w:t>contratação;</w:t>
      </w:r>
    </w:p>
    <w:p>
      <w:pPr>
        <w:pStyle w:val="ListParagraph"/>
        <w:tabs>
          <w:tab w:val="clear" w:pos="708"/>
          <w:tab w:val="left" w:pos="567" w:leader="none"/>
        </w:tabs>
        <w:spacing w:lineRule="auto" w:line="240" w:before="0" w:after="0"/>
        <w:ind w:left="0" w:hanging="0"/>
        <w:contextualSpacing/>
        <w:jc w:val="both"/>
        <w:rPr>
          <w:rFonts w:ascii="Arial" w:hAnsi="Arial"/>
        </w:rPr>
      </w:pPr>
      <w:r>
        <w:rPr>
          <w:rFonts w:ascii="Arial" w:hAnsi="Arial"/>
        </w:rPr>
        <w:t>6.1.5.</w:t>
        <w:tab/>
        <w:tab/>
        <w:t>Suspensão</w:t>
      </w:r>
      <w:r>
        <w:rPr>
          <w:rFonts w:ascii="Arial" w:hAnsi="Arial"/>
          <w:spacing w:val="21"/>
        </w:rPr>
        <w:t xml:space="preserve"> </w:t>
      </w:r>
      <w:r>
        <w:rPr>
          <w:rFonts w:ascii="Arial" w:hAnsi="Arial"/>
        </w:rPr>
        <w:t>temporária</w:t>
      </w:r>
      <w:r>
        <w:rPr>
          <w:rFonts w:ascii="Arial" w:hAnsi="Arial"/>
          <w:spacing w:val="21"/>
        </w:rPr>
        <w:t xml:space="preserve"> </w:t>
      </w:r>
      <w:r>
        <w:rPr>
          <w:rFonts w:ascii="Arial" w:hAnsi="Arial"/>
        </w:rPr>
        <w:t>do</w:t>
      </w:r>
      <w:r>
        <w:rPr>
          <w:rFonts w:ascii="Arial" w:hAnsi="Arial"/>
          <w:spacing w:val="21"/>
        </w:rPr>
        <w:t xml:space="preserve"> </w:t>
      </w:r>
      <w:r>
        <w:rPr>
          <w:rFonts w:ascii="Arial" w:hAnsi="Arial"/>
        </w:rPr>
        <w:t>direito</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licitar</w:t>
      </w:r>
      <w:r>
        <w:rPr>
          <w:rFonts w:ascii="Arial" w:hAnsi="Arial"/>
          <w:spacing w:val="21"/>
        </w:rPr>
        <w:t xml:space="preserve"> </w:t>
      </w:r>
      <w:r>
        <w:rPr>
          <w:rFonts w:ascii="Arial" w:hAnsi="Arial"/>
        </w:rPr>
        <w:t>ou</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contratar</w:t>
      </w:r>
      <w:r>
        <w:rPr>
          <w:rFonts w:ascii="Arial" w:hAnsi="Arial"/>
          <w:spacing w:val="21"/>
        </w:rPr>
        <w:t xml:space="preserve"> </w:t>
      </w:r>
      <w:r>
        <w:rPr>
          <w:rFonts w:ascii="Arial" w:hAnsi="Arial"/>
        </w:rPr>
        <w:t>com</w:t>
      </w:r>
      <w:r>
        <w:rPr>
          <w:rFonts w:ascii="Arial" w:hAnsi="Arial"/>
          <w:spacing w:val="21"/>
        </w:rPr>
        <w:t xml:space="preserve"> </w:t>
      </w:r>
      <w:r>
        <w:rPr>
          <w:rFonts w:ascii="Arial" w:hAnsi="Arial"/>
        </w:rPr>
        <w:t>a</w:t>
      </w:r>
      <w:r>
        <w:rPr>
          <w:rFonts w:ascii="Arial" w:hAnsi="Arial"/>
          <w:spacing w:val="21"/>
        </w:rPr>
        <w:t xml:space="preserve"> </w:t>
      </w:r>
      <w:r>
        <w:rPr>
          <w:rFonts w:ascii="Arial" w:hAnsi="Arial"/>
        </w:rPr>
        <w:t>Administração</w:t>
      </w:r>
      <w:r>
        <w:rPr>
          <w:rFonts w:ascii="Arial" w:hAnsi="Arial"/>
          <w:spacing w:val="21"/>
        </w:rPr>
        <w:t xml:space="preserve"> </w:t>
      </w:r>
      <w:r>
        <w:rPr>
          <w:rFonts w:ascii="Arial" w:hAnsi="Arial"/>
        </w:rPr>
        <w:t>Pública,</w:t>
      </w:r>
      <w:r>
        <w:rPr>
          <w:rFonts w:ascii="Arial" w:hAnsi="Arial"/>
          <w:spacing w:val="21"/>
        </w:rPr>
        <w:t xml:space="preserve"> </w:t>
      </w:r>
      <w:r>
        <w:rPr>
          <w:rFonts w:ascii="Arial" w:hAnsi="Arial"/>
        </w:rPr>
        <w:t>pelo</w:t>
      </w:r>
      <w:r>
        <w:rPr>
          <w:rFonts w:ascii="Arial" w:hAnsi="Arial"/>
          <w:spacing w:val="22"/>
        </w:rPr>
        <w:t xml:space="preserve"> </w:t>
      </w:r>
      <w:r>
        <w:rPr>
          <w:rFonts w:ascii="Arial" w:hAnsi="Arial"/>
        </w:rPr>
        <w:t>prazo</w:t>
      </w:r>
      <w:r>
        <w:rPr>
          <w:rFonts w:ascii="Arial" w:hAnsi="Arial"/>
          <w:spacing w:val="21"/>
        </w:rPr>
        <w:t xml:space="preserve"> </w:t>
      </w:r>
      <w:r>
        <w:rPr>
          <w:rFonts w:ascii="Arial" w:hAnsi="Arial"/>
        </w:rPr>
        <w:t>de</w:t>
      </w:r>
      <w:r>
        <w:rPr>
          <w:rFonts w:ascii="Arial" w:hAnsi="Arial"/>
          <w:spacing w:val="21"/>
        </w:rPr>
        <w:t xml:space="preserve"> </w:t>
      </w:r>
      <w:r>
        <w:rPr>
          <w:rFonts w:ascii="Arial" w:hAnsi="Arial"/>
        </w:rPr>
        <w:t>até</w:t>
      </w:r>
      <w:r>
        <w:rPr>
          <w:rFonts w:ascii="Arial" w:hAnsi="Arial"/>
          <w:spacing w:val="21"/>
        </w:rPr>
        <w:t xml:space="preserve"> </w:t>
      </w:r>
      <w:r>
        <w:rPr>
          <w:rFonts w:ascii="Arial" w:hAnsi="Arial"/>
        </w:rPr>
        <w:t>05</w:t>
      </w:r>
      <w:r>
        <w:rPr>
          <w:rFonts w:ascii="Arial" w:hAnsi="Arial"/>
          <w:spacing w:val="21"/>
        </w:rPr>
        <w:t xml:space="preserve"> </w:t>
      </w:r>
      <w:r>
        <w:rPr>
          <w:rFonts w:ascii="Arial" w:hAnsi="Arial"/>
        </w:rPr>
        <w:t>(cinco)</w:t>
      </w:r>
      <w:r>
        <w:rPr>
          <w:rFonts w:ascii="Arial" w:hAnsi="Arial"/>
          <w:spacing w:val="21"/>
        </w:rPr>
        <w:t xml:space="preserve"> </w:t>
      </w:r>
      <w:r>
        <w:rPr>
          <w:rFonts w:ascii="Arial" w:hAnsi="Arial"/>
        </w:rPr>
        <w:t>anos</w:t>
      </w:r>
      <w:r>
        <w:rPr>
          <w:rFonts w:ascii="Arial" w:hAnsi="Arial"/>
          <w:spacing w:val="21"/>
        </w:rPr>
        <w:t xml:space="preserve"> </w:t>
      </w:r>
      <w:r>
        <w:rPr>
          <w:rFonts w:ascii="Arial" w:hAnsi="Arial"/>
        </w:rPr>
        <w:t>ou</w:t>
      </w:r>
      <w:r>
        <w:rPr>
          <w:rFonts w:ascii="Arial" w:hAnsi="Arial"/>
          <w:spacing w:val="21"/>
        </w:rPr>
        <w:t xml:space="preserve"> </w:t>
      </w:r>
      <w:r>
        <w:rPr>
          <w:rFonts w:ascii="Arial" w:hAnsi="Arial"/>
        </w:rPr>
        <w:t>enquanto</w:t>
      </w:r>
      <w:r>
        <w:rPr>
          <w:rFonts w:ascii="Arial" w:hAnsi="Arial"/>
          <w:spacing w:val="1"/>
        </w:rPr>
        <w:t xml:space="preserve"> </w:t>
      </w:r>
      <w:r>
        <w:rPr>
          <w:rFonts w:ascii="Arial" w:hAnsi="Arial"/>
        </w:rPr>
        <w:t>perdurarem</w:t>
      </w:r>
      <w:r>
        <w:rPr>
          <w:rFonts w:ascii="Arial" w:hAnsi="Arial"/>
          <w:spacing w:val="-4"/>
        </w:rPr>
        <w:t xml:space="preserve"> </w:t>
      </w:r>
      <w:r>
        <w:rPr>
          <w:rFonts w:ascii="Arial" w:hAnsi="Arial"/>
        </w:rPr>
        <w:t>os</w:t>
      </w:r>
      <w:r>
        <w:rPr>
          <w:rFonts w:ascii="Arial" w:hAnsi="Arial"/>
          <w:spacing w:val="-4"/>
        </w:rPr>
        <w:t xml:space="preserve"> </w:t>
      </w:r>
      <w:r>
        <w:rPr>
          <w:rFonts w:ascii="Arial" w:hAnsi="Arial"/>
        </w:rPr>
        <w:t>motivos</w:t>
      </w:r>
      <w:r>
        <w:rPr>
          <w:rFonts w:ascii="Arial" w:hAnsi="Arial"/>
          <w:spacing w:val="-4"/>
        </w:rPr>
        <w:t xml:space="preserve"> </w:t>
      </w:r>
      <w:r>
        <w:rPr>
          <w:rFonts w:ascii="Arial" w:hAnsi="Arial"/>
        </w:rPr>
        <w:t>determinantes</w:t>
      </w:r>
      <w:r>
        <w:rPr>
          <w:rFonts w:ascii="Arial" w:hAnsi="Arial"/>
          <w:spacing w:val="-4"/>
        </w:rPr>
        <w:t xml:space="preserve"> </w:t>
      </w:r>
      <w:r>
        <w:rPr>
          <w:rFonts w:ascii="Arial" w:hAnsi="Arial"/>
        </w:rPr>
        <w:t>da</w:t>
      </w:r>
      <w:r>
        <w:rPr>
          <w:rFonts w:ascii="Arial" w:hAnsi="Arial"/>
          <w:spacing w:val="-4"/>
        </w:rPr>
        <w:t xml:space="preserve"> </w:t>
      </w:r>
      <w:r>
        <w:rPr>
          <w:rFonts w:ascii="Arial" w:hAnsi="Arial"/>
        </w:rPr>
        <w:t>punição</w:t>
      </w:r>
      <w:r>
        <w:rPr>
          <w:rFonts w:ascii="Arial" w:hAnsi="Arial"/>
          <w:spacing w:val="-4"/>
        </w:rPr>
        <w:t xml:space="preserve"> </w:t>
      </w:r>
      <w:r>
        <w:rPr>
          <w:rFonts w:ascii="Arial" w:hAnsi="Arial"/>
        </w:rPr>
        <w:t>ou,</w:t>
      </w:r>
      <w:r>
        <w:rPr>
          <w:rFonts w:ascii="Arial" w:hAnsi="Arial"/>
          <w:spacing w:val="-5"/>
        </w:rPr>
        <w:t xml:space="preserve"> </w:t>
      </w:r>
      <w:r>
        <w:rPr>
          <w:rFonts w:ascii="Arial" w:hAnsi="Arial"/>
        </w:rPr>
        <w:t>ainda,</w:t>
      </w:r>
      <w:r>
        <w:rPr>
          <w:rFonts w:ascii="Arial" w:hAnsi="Arial"/>
          <w:spacing w:val="-4"/>
        </w:rPr>
        <w:t xml:space="preserve"> </w:t>
      </w:r>
      <w:r>
        <w:rPr>
          <w:rFonts w:ascii="Arial" w:hAnsi="Arial"/>
        </w:rPr>
        <w:t>até</w:t>
      </w:r>
      <w:r>
        <w:rPr>
          <w:rFonts w:ascii="Arial" w:hAnsi="Arial"/>
          <w:spacing w:val="-4"/>
        </w:rPr>
        <w:t xml:space="preserve"> </w:t>
      </w:r>
      <w:r>
        <w:rPr>
          <w:rFonts w:ascii="Arial" w:hAnsi="Arial"/>
        </w:rPr>
        <w:t>que</w:t>
      </w:r>
      <w:r>
        <w:rPr>
          <w:rFonts w:ascii="Arial" w:hAnsi="Arial"/>
          <w:spacing w:val="-4"/>
        </w:rPr>
        <w:t xml:space="preserve"> </w:t>
      </w:r>
      <w:r>
        <w:rPr>
          <w:rFonts w:ascii="Arial" w:hAnsi="Arial"/>
        </w:rPr>
        <w:t>seja</w:t>
      </w:r>
      <w:r>
        <w:rPr>
          <w:rFonts w:ascii="Arial" w:hAnsi="Arial"/>
          <w:spacing w:val="-4"/>
        </w:rPr>
        <w:t xml:space="preserve"> </w:t>
      </w:r>
      <w:r>
        <w:rPr>
          <w:rFonts w:ascii="Arial" w:hAnsi="Arial"/>
        </w:rPr>
        <w:t>promovida</w:t>
      </w:r>
      <w:r>
        <w:rPr>
          <w:rFonts w:ascii="Arial" w:hAnsi="Arial"/>
          <w:spacing w:val="-4"/>
        </w:rPr>
        <w:t xml:space="preserve"> </w:t>
      </w:r>
      <w:r>
        <w:rPr>
          <w:rFonts w:ascii="Arial" w:hAnsi="Arial"/>
        </w:rPr>
        <w:t>a</w:t>
      </w:r>
      <w:r>
        <w:rPr>
          <w:rFonts w:ascii="Arial" w:hAnsi="Arial"/>
          <w:spacing w:val="-4"/>
        </w:rPr>
        <w:t xml:space="preserve"> </w:t>
      </w:r>
      <w:r>
        <w:rPr>
          <w:rFonts w:ascii="Arial" w:hAnsi="Arial"/>
        </w:rPr>
        <w:t>reabilitação</w:t>
      </w:r>
      <w:r>
        <w:rPr>
          <w:rFonts w:ascii="Arial" w:hAnsi="Arial"/>
          <w:spacing w:val="-5"/>
        </w:rPr>
        <w:t xml:space="preserve"> </w:t>
      </w:r>
      <w:r>
        <w:rPr>
          <w:rFonts w:ascii="Arial" w:hAnsi="Arial"/>
        </w:rPr>
        <w:t>perante</w:t>
      </w:r>
      <w:r>
        <w:rPr>
          <w:rFonts w:ascii="Arial" w:hAnsi="Arial"/>
          <w:spacing w:val="-4"/>
        </w:rPr>
        <w:t xml:space="preserve"> </w:t>
      </w:r>
      <w:r>
        <w:rPr>
          <w:rFonts w:ascii="Arial" w:hAnsi="Arial"/>
        </w:rPr>
        <w:t>a</w:t>
      </w:r>
      <w:r>
        <w:rPr>
          <w:rFonts w:ascii="Arial" w:hAnsi="Arial"/>
          <w:spacing w:val="-4"/>
        </w:rPr>
        <w:t xml:space="preserve"> </w:t>
      </w:r>
      <w:r>
        <w:rPr>
          <w:rFonts w:ascii="Arial" w:hAnsi="Arial"/>
        </w:rPr>
        <w:t>autoridade</w:t>
      </w:r>
      <w:r>
        <w:rPr>
          <w:rFonts w:ascii="Arial" w:hAnsi="Arial"/>
          <w:spacing w:val="-4"/>
        </w:rPr>
        <w:t xml:space="preserve"> </w:t>
      </w:r>
      <w:r>
        <w:rPr>
          <w:rFonts w:ascii="Arial" w:hAnsi="Arial"/>
        </w:rPr>
        <w:t>que</w:t>
      </w:r>
      <w:r>
        <w:rPr>
          <w:rFonts w:ascii="Arial" w:hAnsi="Arial"/>
          <w:spacing w:val="-4"/>
        </w:rPr>
        <w:t xml:space="preserve"> </w:t>
      </w:r>
      <w:r>
        <w:rPr>
          <w:rFonts w:ascii="Arial" w:hAnsi="Arial"/>
        </w:rPr>
        <w:t>aplicou</w:t>
      </w:r>
      <w:r>
        <w:rPr>
          <w:rFonts w:ascii="Arial" w:hAnsi="Arial"/>
          <w:spacing w:val="-4"/>
        </w:rPr>
        <w:t xml:space="preserve"> </w:t>
      </w:r>
      <w:r>
        <w:rPr>
          <w:rFonts w:ascii="Arial" w:hAnsi="Arial"/>
        </w:rPr>
        <w:t>a</w:t>
      </w:r>
      <w:r>
        <w:rPr>
          <w:rFonts w:ascii="Arial" w:hAnsi="Arial"/>
          <w:spacing w:val="-4"/>
        </w:rPr>
        <w:t xml:space="preserve"> </w:t>
      </w:r>
      <w:r>
        <w:rPr>
          <w:rFonts w:ascii="Arial" w:hAnsi="Arial"/>
        </w:rPr>
        <w:t>penalidade.</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6.1.6.</w:t>
        <w:tab/>
        <w:t>Declaração</w:t>
      </w:r>
      <w:r>
        <w:rPr>
          <w:rFonts w:ascii="Arial" w:hAnsi="Arial"/>
          <w:spacing w:val="-6"/>
        </w:rPr>
        <w:t xml:space="preserve"> </w:t>
      </w:r>
      <w:r>
        <w:rPr>
          <w:rFonts w:ascii="Arial" w:hAnsi="Arial"/>
        </w:rPr>
        <w:t>de</w:t>
      </w:r>
      <w:r>
        <w:rPr>
          <w:rFonts w:ascii="Arial" w:hAnsi="Arial"/>
          <w:spacing w:val="-6"/>
        </w:rPr>
        <w:t xml:space="preserve"> </w:t>
      </w:r>
      <w:r>
        <w:rPr>
          <w:rFonts w:ascii="Arial" w:hAnsi="Arial"/>
        </w:rPr>
        <w:t>inidoneidade</w:t>
      </w:r>
      <w:r>
        <w:rPr>
          <w:rFonts w:ascii="Arial" w:hAnsi="Arial"/>
          <w:spacing w:val="-5"/>
        </w:rPr>
        <w:t xml:space="preserve"> </w:t>
      </w:r>
      <w:r>
        <w:rPr>
          <w:rFonts w:ascii="Arial" w:hAnsi="Arial"/>
        </w:rPr>
        <w:t>para</w:t>
      </w:r>
      <w:r>
        <w:rPr>
          <w:rFonts w:ascii="Arial" w:hAnsi="Arial"/>
          <w:spacing w:val="-6"/>
        </w:rPr>
        <w:t xml:space="preserve"> </w:t>
      </w:r>
      <w:r>
        <w:rPr>
          <w:rFonts w:ascii="Arial" w:hAnsi="Arial"/>
        </w:rPr>
        <w:t>licitar</w:t>
      </w:r>
      <w:r>
        <w:rPr>
          <w:rFonts w:ascii="Arial" w:hAnsi="Arial"/>
          <w:spacing w:val="-5"/>
        </w:rPr>
        <w:t xml:space="preserve"> </w:t>
      </w:r>
      <w:r>
        <w:rPr>
          <w:rFonts w:ascii="Arial" w:hAnsi="Arial"/>
        </w:rPr>
        <w:t>ou</w:t>
      </w:r>
      <w:r>
        <w:rPr>
          <w:rFonts w:ascii="Arial" w:hAnsi="Arial"/>
          <w:spacing w:val="-6"/>
        </w:rPr>
        <w:t xml:space="preserve"> </w:t>
      </w:r>
      <w:r>
        <w:rPr>
          <w:rFonts w:ascii="Arial" w:hAnsi="Arial"/>
        </w:rPr>
        <w:t>contratar</w:t>
      </w:r>
      <w:r>
        <w:rPr>
          <w:rFonts w:ascii="Arial" w:hAnsi="Arial"/>
          <w:spacing w:val="-5"/>
        </w:rPr>
        <w:t xml:space="preserve"> </w:t>
      </w:r>
      <w:r>
        <w:rPr>
          <w:rFonts w:ascii="Arial" w:hAnsi="Arial"/>
        </w:rPr>
        <w:t>com</w:t>
      </w:r>
      <w:r>
        <w:rPr>
          <w:rFonts w:ascii="Arial" w:hAnsi="Arial"/>
          <w:spacing w:val="-6"/>
        </w:rPr>
        <w:t xml:space="preserve"> </w:t>
      </w:r>
      <w:r>
        <w:rPr>
          <w:rFonts w:ascii="Arial" w:hAnsi="Arial"/>
        </w:rPr>
        <w:t>a</w:t>
      </w:r>
      <w:r>
        <w:rPr>
          <w:rFonts w:ascii="Arial" w:hAnsi="Arial"/>
          <w:spacing w:val="-5"/>
        </w:rPr>
        <w:t xml:space="preserve"> </w:t>
      </w:r>
      <w:r>
        <w:rPr>
          <w:rFonts w:ascii="Arial" w:hAnsi="Arial"/>
        </w:rPr>
        <w:t>Administração</w:t>
      </w:r>
      <w:r>
        <w:rPr>
          <w:rFonts w:ascii="Arial" w:hAnsi="Arial"/>
          <w:spacing w:val="-6"/>
        </w:rPr>
        <w:t xml:space="preserve"> </w:t>
      </w:r>
      <w:r>
        <w:rPr>
          <w:rFonts w:ascii="Arial" w:hAnsi="Arial"/>
        </w:rPr>
        <w:t>Pública.</w:t>
      </w:r>
    </w:p>
    <w:p>
      <w:pPr>
        <w:pStyle w:val="ListParagraph"/>
        <w:tabs>
          <w:tab w:val="clear" w:pos="708"/>
          <w:tab w:val="left" w:pos="410" w:leader="none"/>
        </w:tabs>
        <w:spacing w:lineRule="auto" w:line="240" w:before="0" w:after="0"/>
        <w:ind w:left="0" w:hanging="0"/>
        <w:contextualSpacing/>
        <w:jc w:val="both"/>
        <w:rPr>
          <w:rFonts w:ascii="Arial" w:hAnsi="Arial"/>
        </w:rPr>
      </w:pPr>
      <w:r>
        <w:rPr>
          <w:rFonts w:ascii="Arial" w:hAnsi="Arial"/>
        </w:rPr>
        <w:t>6.2.</w:t>
        <w:tab/>
        <w:tab/>
        <w:t>A aplicação das penalidades ocorrerá depois de defesa prévia do interessado, no prazo estabelecido na Lei de Licitações, a contar da intimação</w:t>
      </w:r>
      <w:r>
        <w:rPr>
          <w:rFonts w:ascii="Arial" w:hAnsi="Arial"/>
          <w:spacing w:val="-42"/>
        </w:rPr>
        <w:t xml:space="preserve"> </w:t>
      </w:r>
      <w:r>
        <w:rPr>
          <w:rFonts w:ascii="Arial" w:hAnsi="Arial"/>
        </w:rPr>
        <w:t>do</w:t>
      </w:r>
      <w:r>
        <w:rPr>
          <w:rFonts w:ascii="Arial" w:hAnsi="Arial"/>
          <w:spacing w:val="-2"/>
        </w:rPr>
        <w:t xml:space="preserve"> </w:t>
      </w:r>
      <w:r>
        <w:rPr>
          <w:rFonts w:ascii="Arial" w:hAnsi="Arial"/>
        </w:rPr>
        <w:t>ato.</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6.3.</w:t>
        <w:tab/>
        <w:tab/>
        <w:t>Não</w:t>
      </w:r>
      <w:r>
        <w:rPr>
          <w:rFonts w:ascii="Arial" w:hAnsi="Arial"/>
          <w:spacing w:val="-4"/>
        </w:rPr>
        <w:t xml:space="preserve"> </w:t>
      </w:r>
      <w:r>
        <w:rPr>
          <w:rFonts w:ascii="Arial" w:hAnsi="Arial"/>
        </w:rPr>
        <w:t>será</w:t>
      </w:r>
      <w:r>
        <w:rPr>
          <w:rFonts w:ascii="Arial" w:hAnsi="Arial"/>
          <w:spacing w:val="-3"/>
        </w:rPr>
        <w:t xml:space="preserve"> </w:t>
      </w:r>
      <w:r>
        <w:rPr>
          <w:rFonts w:ascii="Arial" w:hAnsi="Arial"/>
        </w:rPr>
        <w:t>aplicada</w:t>
      </w:r>
      <w:r>
        <w:rPr>
          <w:rFonts w:ascii="Arial" w:hAnsi="Arial"/>
          <w:spacing w:val="-3"/>
        </w:rPr>
        <w:t xml:space="preserve"> </w:t>
      </w:r>
      <w:r>
        <w:rPr>
          <w:rFonts w:ascii="Arial" w:hAnsi="Arial"/>
        </w:rPr>
        <w:t>multa</w:t>
      </w:r>
      <w:r>
        <w:rPr>
          <w:rFonts w:ascii="Arial" w:hAnsi="Arial"/>
          <w:spacing w:val="-4"/>
        </w:rPr>
        <w:t xml:space="preserve"> </w:t>
      </w:r>
      <w:r>
        <w:rPr>
          <w:rFonts w:ascii="Arial" w:hAnsi="Arial"/>
        </w:rPr>
        <w:t>se,</w:t>
      </w:r>
      <w:r>
        <w:rPr>
          <w:rFonts w:ascii="Arial" w:hAnsi="Arial"/>
          <w:spacing w:val="-3"/>
        </w:rPr>
        <w:t xml:space="preserve"> </w:t>
      </w:r>
      <w:r>
        <w:rPr>
          <w:rFonts w:ascii="Arial" w:hAnsi="Arial"/>
        </w:rPr>
        <w:t>comprovadamente,</w:t>
      </w:r>
      <w:r>
        <w:rPr>
          <w:rFonts w:ascii="Arial" w:hAnsi="Arial"/>
          <w:spacing w:val="-3"/>
        </w:rPr>
        <w:t xml:space="preserve"> </w:t>
      </w:r>
      <w:r>
        <w:rPr>
          <w:rFonts w:ascii="Arial" w:hAnsi="Arial"/>
        </w:rPr>
        <w:t>o</w:t>
      </w:r>
      <w:r>
        <w:rPr>
          <w:rFonts w:ascii="Arial" w:hAnsi="Arial"/>
          <w:spacing w:val="-4"/>
        </w:rPr>
        <w:t xml:space="preserve"> </w:t>
      </w:r>
      <w:r>
        <w:rPr>
          <w:rFonts w:ascii="Arial" w:hAnsi="Arial"/>
        </w:rPr>
        <w:t>atraso</w:t>
      </w:r>
      <w:r>
        <w:rPr>
          <w:rFonts w:ascii="Arial" w:hAnsi="Arial"/>
          <w:spacing w:val="-3"/>
        </w:rPr>
        <w:t xml:space="preserve"> </w:t>
      </w:r>
      <w:r>
        <w:rPr>
          <w:rFonts w:ascii="Arial" w:hAnsi="Arial"/>
        </w:rPr>
        <w:t>do</w:t>
      </w:r>
      <w:r>
        <w:rPr>
          <w:rFonts w:ascii="Arial" w:hAnsi="Arial"/>
          <w:spacing w:val="-3"/>
        </w:rPr>
        <w:t xml:space="preserve"> </w:t>
      </w:r>
      <w:r>
        <w:rPr>
          <w:rFonts w:ascii="Arial" w:hAnsi="Arial"/>
        </w:rPr>
        <w:t>atendimento,</w:t>
      </w:r>
      <w:r>
        <w:rPr>
          <w:rFonts w:ascii="Arial" w:hAnsi="Arial"/>
          <w:spacing w:val="-3"/>
        </w:rPr>
        <w:t xml:space="preserve"> </w:t>
      </w:r>
      <w:r>
        <w:rPr>
          <w:rFonts w:ascii="Arial" w:hAnsi="Arial"/>
        </w:rPr>
        <w:t>advir</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caso</w:t>
      </w:r>
      <w:r>
        <w:rPr>
          <w:rFonts w:ascii="Arial" w:hAnsi="Arial"/>
          <w:spacing w:val="-3"/>
        </w:rPr>
        <w:t xml:space="preserve"> </w:t>
      </w:r>
      <w:r>
        <w:rPr>
          <w:rFonts w:ascii="Arial" w:hAnsi="Arial"/>
        </w:rPr>
        <w:t>fortuito</w:t>
      </w:r>
      <w:r>
        <w:rPr>
          <w:rFonts w:ascii="Arial" w:hAnsi="Arial"/>
          <w:spacing w:val="-4"/>
        </w:rPr>
        <w:t xml:space="preserve"> </w:t>
      </w:r>
      <w:r>
        <w:rPr>
          <w:rFonts w:ascii="Arial" w:hAnsi="Arial"/>
        </w:rPr>
        <w:t>ou</w:t>
      </w:r>
      <w:r>
        <w:rPr>
          <w:rFonts w:ascii="Arial" w:hAnsi="Arial"/>
          <w:spacing w:val="-3"/>
        </w:rPr>
        <w:t xml:space="preserve"> </w:t>
      </w:r>
      <w:r>
        <w:rPr>
          <w:rFonts w:ascii="Arial" w:hAnsi="Arial"/>
        </w:rPr>
        <w:t>motivo</w:t>
      </w:r>
      <w:r>
        <w:rPr>
          <w:rFonts w:ascii="Arial" w:hAnsi="Arial"/>
          <w:spacing w:val="-3"/>
        </w:rPr>
        <w:t xml:space="preserve"> </w:t>
      </w:r>
      <w:r>
        <w:rPr>
          <w:rFonts w:ascii="Arial" w:hAnsi="Arial"/>
        </w:rPr>
        <w:t>de</w:t>
      </w:r>
      <w:r>
        <w:rPr>
          <w:rFonts w:ascii="Arial" w:hAnsi="Arial"/>
          <w:spacing w:val="-3"/>
        </w:rPr>
        <w:t xml:space="preserve"> </w:t>
      </w:r>
      <w:r>
        <w:rPr>
          <w:rFonts w:ascii="Arial" w:hAnsi="Arial"/>
        </w:rPr>
        <w:t>força</w:t>
      </w:r>
      <w:r>
        <w:rPr>
          <w:rFonts w:ascii="Arial" w:hAnsi="Arial"/>
          <w:spacing w:val="-4"/>
        </w:rPr>
        <w:t xml:space="preserve"> </w:t>
      </w:r>
      <w:r>
        <w:rPr>
          <w:rFonts w:ascii="Arial" w:hAnsi="Arial"/>
        </w:rPr>
        <w:t>maior.</w:t>
      </w:r>
    </w:p>
    <w:p>
      <w:pPr>
        <w:pStyle w:val="ListParagraph"/>
        <w:tabs>
          <w:tab w:val="clear" w:pos="708"/>
          <w:tab w:val="left" w:pos="424" w:leader="none"/>
        </w:tabs>
        <w:spacing w:lineRule="auto" w:line="240" w:before="0" w:after="0"/>
        <w:ind w:left="0" w:hanging="0"/>
        <w:contextualSpacing/>
        <w:jc w:val="both"/>
        <w:rPr>
          <w:rFonts w:ascii="Arial" w:hAnsi="Arial"/>
        </w:rPr>
      </w:pPr>
      <w:r>
        <w:rPr>
          <w:rFonts w:ascii="Arial" w:hAnsi="Arial"/>
        </w:rPr>
        <w:t>6.4.</w:t>
        <w:tab/>
        <w:tab/>
        <w:t>O descumprimento total ou parcial das obrigações assumidas pelo fornecedor no momento da execução da Ata de Registro de Preços, sem</w:t>
      </w:r>
      <w:r>
        <w:rPr>
          <w:rFonts w:ascii="Arial" w:hAnsi="Arial"/>
          <w:spacing w:val="1"/>
        </w:rPr>
        <w:t xml:space="preserve"> </w:t>
      </w:r>
      <w:r>
        <w:rPr>
          <w:rFonts w:ascii="Arial" w:hAnsi="Arial"/>
        </w:rPr>
        <w:t>justificativa</w:t>
      </w:r>
      <w:r>
        <w:rPr>
          <w:rFonts w:ascii="Arial" w:hAnsi="Arial"/>
          <w:spacing w:val="1"/>
        </w:rPr>
        <w:t xml:space="preserve"> </w:t>
      </w:r>
      <w:r>
        <w:rPr>
          <w:rFonts w:ascii="Arial" w:hAnsi="Arial"/>
        </w:rPr>
        <w:t>aceita</w:t>
      </w:r>
      <w:r>
        <w:rPr>
          <w:rFonts w:ascii="Arial" w:hAnsi="Arial"/>
          <w:spacing w:val="1"/>
        </w:rPr>
        <w:t xml:space="preserve"> </w:t>
      </w:r>
      <w:r>
        <w:rPr>
          <w:rFonts w:ascii="Arial" w:hAnsi="Arial"/>
        </w:rPr>
        <w:t>pelo</w:t>
      </w:r>
      <w:r>
        <w:rPr>
          <w:rFonts w:ascii="Arial" w:hAnsi="Arial"/>
          <w:spacing w:val="1"/>
        </w:rPr>
        <w:t xml:space="preserve"> </w:t>
      </w:r>
      <w:r>
        <w:rPr>
          <w:rFonts w:ascii="Arial" w:hAnsi="Arial"/>
        </w:rPr>
        <w:t>órgão</w:t>
      </w:r>
      <w:r>
        <w:rPr>
          <w:rFonts w:ascii="Arial" w:hAnsi="Arial"/>
          <w:spacing w:val="1"/>
        </w:rPr>
        <w:t xml:space="preserve"> </w:t>
      </w:r>
      <w:r>
        <w:rPr>
          <w:rFonts w:ascii="Arial" w:hAnsi="Arial"/>
        </w:rPr>
        <w:t>ou</w:t>
      </w:r>
      <w:r>
        <w:rPr>
          <w:rFonts w:ascii="Arial" w:hAnsi="Arial"/>
          <w:spacing w:val="1"/>
        </w:rPr>
        <w:t xml:space="preserve"> </w:t>
      </w:r>
      <w:r>
        <w:rPr>
          <w:rFonts w:ascii="Arial" w:hAnsi="Arial"/>
        </w:rPr>
        <w:t>entidade</w:t>
      </w:r>
      <w:r>
        <w:rPr>
          <w:rFonts w:ascii="Arial" w:hAnsi="Arial"/>
          <w:spacing w:val="1"/>
        </w:rPr>
        <w:t xml:space="preserve"> </w:t>
      </w:r>
      <w:r>
        <w:rPr>
          <w:rFonts w:ascii="Arial" w:hAnsi="Arial"/>
        </w:rPr>
        <w:t>usuária,</w:t>
      </w:r>
      <w:r>
        <w:rPr>
          <w:rFonts w:ascii="Arial" w:hAnsi="Arial"/>
          <w:spacing w:val="1"/>
        </w:rPr>
        <w:t xml:space="preserve"> </w:t>
      </w:r>
      <w:r>
        <w:rPr>
          <w:rFonts w:ascii="Arial" w:hAnsi="Arial"/>
        </w:rPr>
        <w:t>resguardados</w:t>
      </w:r>
      <w:r>
        <w:rPr>
          <w:rFonts w:ascii="Arial" w:hAnsi="Arial"/>
          <w:spacing w:val="1"/>
        </w:rPr>
        <w:t xml:space="preserve"> </w:t>
      </w:r>
      <w:r>
        <w:rPr>
          <w:rFonts w:ascii="Arial" w:hAnsi="Arial"/>
        </w:rPr>
        <w:t>os</w:t>
      </w:r>
      <w:r>
        <w:rPr>
          <w:rFonts w:ascii="Arial" w:hAnsi="Arial"/>
          <w:spacing w:val="1"/>
        </w:rPr>
        <w:t xml:space="preserve"> </w:t>
      </w:r>
      <w:r>
        <w:rPr>
          <w:rFonts w:ascii="Arial" w:hAnsi="Arial"/>
        </w:rPr>
        <w:t>procedimentos</w:t>
      </w:r>
      <w:r>
        <w:rPr>
          <w:rFonts w:ascii="Arial" w:hAnsi="Arial"/>
          <w:spacing w:val="1"/>
        </w:rPr>
        <w:t xml:space="preserve"> </w:t>
      </w:r>
      <w:r>
        <w:rPr>
          <w:rFonts w:ascii="Arial" w:hAnsi="Arial"/>
        </w:rPr>
        <w:t>legais</w:t>
      </w:r>
      <w:r>
        <w:rPr>
          <w:rFonts w:ascii="Arial" w:hAnsi="Arial"/>
          <w:spacing w:val="1"/>
        </w:rPr>
        <w:t xml:space="preserve"> </w:t>
      </w:r>
      <w:r>
        <w:rPr>
          <w:rFonts w:ascii="Arial" w:hAnsi="Arial"/>
        </w:rPr>
        <w:t>pertinentes,</w:t>
      </w:r>
      <w:r>
        <w:rPr>
          <w:rFonts w:ascii="Arial" w:hAnsi="Arial"/>
          <w:spacing w:val="1"/>
        </w:rPr>
        <w:t xml:space="preserve"> </w:t>
      </w:r>
      <w:r>
        <w:rPr>
          <w:rFonts w:ascii="Arial" w:hAnsi="Arial"/>
        </w:rPr>
        <w:t>poderá</w:t>
      </w:r>
      <w:r>
        <w:rPr>
          <w:rFonts w:ascii="Arial" w:hAnsi="Arial"/>
          <w:spacing w:val="1"/>
        </w:rPr>
        <w:t xml:space="preserve"> </w:t>
      </w:r>
      <w:r>
        <w:rPr>
          <w:rFonts w:ascii="Arial" w:hAnsi="Arial"/>
        </w:rPr>
        <w:t>acarretar,</w:t>
      </w:r>
      <w:r>
        <w:rPr>
          <w:rFonts w:ascii="Arial" w:hAnsi="Arial"/>
          <w:spacing w:val="1"/>
        </w:rPr>
        <w:t xml:space="preserve"> </w:t>
      </w:r>
      <w:r>
        <w:rPr>
          <w:rFonts w:ascii="Arial" w:hAnsi="Arial"/>
        </w:rPr>
        <w:t>isolada</w:t>
      </w:r>
      <w:r>
        <w:rPr>
          <w:rFonts w:ascii="Arial" w:hAnsi="Arial"/>
          <w:spacing w:val="44"/>
        </w:rPr>
        <w:t xml:space="preserve"> </w:t>
      </w:r>
      <w:r>
        <w:rPr>
          <w:rFonts w:ascii="Arial" w:hAnsi="Arial"/>
        </w:rPr>
        <w:t>ou</w:t>
      </w:r>
      <w:r>
        <w:rPr>
          <w:rFonts w:ascii="Arial" w:hAnsi="Arial"/>
          <w:spacing w:val="1"/>
        </w:rPr>
        <w:t xml:space="preserve"> </w:t>
      </w:r>
      <w:r>
        <w:rPr>
          <w:rFonts w:ascii="Arial" w:hAnsi="Arial"/>
        </w:rPr>
        <w:t>cumulativamente,</w:t>
      </w:r>
      <w:r>
        <w:rPr>
          <w:rFonts w:ascii="Arial" w:hAnsi="Arial"/>
          <w:spacing w:val="-2"/>
        </w:rPr>
        <w:t xml:space="preserve"> </w:t>
      </w:r>
      <w:r>
        <w:rPr>
          <w:rFonts w:ascii="Arial" w:hAnsi="Arial"/>
        </w:rPr>
        <w:t>nas</w:t>
      </w:r>
      <w:r>
        <w:rPr>
          <w:rFonts w:ascii="Arial" w:hAnsi="Arial"/>
          <w:spacing w:val="-1"/>
        </w:rPr>
        <w:t xml:space="preserve"> </w:t>
      </w:r>
      <w:r>
        <w:rPr>
          <w:rFonts w:ascii="Arial" w:hAnsi="Arial"/>
        </w:rPr>
        <w:t>seguintes</w:t>
      </w:r>
      <w:r>
        <w:rPr>
          <w:rFonts w:ascii="Arial" w:hAnsi="Arial"/>
          <w:spacing w:val="-1"/>
        </w:rPr>
        <w:t xml:space="preserve"> </w:t>
      </w:r>
      <w:r>
        <w:rPr>
          <w:rFonts w:ascii="Arial" w:hAnsi="Arial"/>
        </w:rPr>
        <w:t>sanções: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6.4.1.</w:t>
        <w:tab/>
        <w:t>Advertência;</w:t>
      </w:r>
    </w:p>
    <w:p>
      <w:pPr>
        <w:pStyle w:val="ListParagraph"/>
        <w:tabs>
          <w:tab w:val="clear" w:pos="708"/>
          <w:tab w:val="left" w:pos="548" w:leader="none"/>
        </w:tabs>
        <w:spacing w:lineRule="auto" w:line="240" w:before="0" w:after="0"/>
        <w:ind w:left="0" w:hanging="0"/>
        <w:contextualSpacing/>
        <w:jc w:val="both"/>
        <w:rPr>
          <w:rFonts w:ascii="Arial" w:hAnsi="Arial"/>
        </w:rPr>
      </w:pPr>
      <w:r>
        <w:rPr>
          <w:rFonts w:ascii="Arial" w:hAnsi="Arial"/>
        </w:rPr>
        <w:t>6.4.2.</w:t>
        <w:tab/>
        <w:t>Multa de 10% (dez por cento) sobre o valor estimado total do contrato/</w:t>
      </w:r>
      <w:r>
        <w:rPr>
          <w:rFonts w:cs="Arial" w:ascii="Arial" w:hAnsi="Arial"/>
        </w:rPr>
        <w:t>ata de registro de preços</w:t>
      </w:r>
      <w:r>
        <w:rPr>
          <w:rFonts w:ascii="Arial" w:hAnsi="Arial"/>
        </w:rPr>
        <w:t>, em caso de recusa do 1.º colocada de cada item em assinar a Ata de</w:t>
      </w:r>
      <w:r>
        <w:rPr>
          <w:rFonts w:ascii="Arial" w:hAnsi="Arial"/>
          <w:spacing w:val="1"/>
        </w:rPr>
        <w:t xml:space="preserve"> </w:t>
      </w:r>
      <w:r>
        <w:rPr>
          <w:rFonts w:ascii="Arial" w:hAnsi="Arial"/>
        </w:rPr>
        <w:t>Registro</w:t>
      </w:r>
      <w:r>
        <w:rPr>
          <w:rFonts w:ascii="Arial" w:hAnsi="Arial"/>
          <w:spacing w:val="-2"/>
        </w:rPr>
        <w:t xml:space="preserve"> </w:t>
      </w:r>
      <w:r>
        <w:rPr>
          <w:rFonts w:ascii="Arial" w:hAnsi="Arial"/>
        </w:rPr>
        <w:t>de</w:t>
      </w:r>
      <w:r>
        <w:rPr>
          <w:rFonts w:ascii="Arial" w:hAnsi="Arial"/>
          <w:spacing w:val="-1"/>
        </w:rPr>
        <w:t xml:space="preserve"> </w:t>
      </w:r>
      <w:r>
        <w:rPr>
          <w:rFonts w:ascii="Arial" w:hAnsi="Arial"/>
        </w:rPr>
        <w:t>Preços.</w:t>
      </w:r>
    </w:p>
    <w:p>
      <w:pPr>
        <w:pStyle w:val="ListParagraph"/>
        <w:tabs>
          <w:tab w:val="clear" w:pos="708"/>
          <w:tab w:val="left" w:pos="546" w:leader="none"/>
        </w:tabs>
        <w:spacing w:lineRule="auto" w:line="240" w:before="0" w:after="0"/>
        <w:ind w:left="0" w:hanging="0"/>
        <w:contextualSpacing/>
        <w:jc w:val="both"/>
        <w:rPr>
          <w:rFonts w:ascii="Arial" w:hAnsi="Arial"/>
        </w:rPr>
      </w:pPr>
      <w:r>
        <w:rPr>
          <w:rFonts w:ascii="Arial" w:hAnsi="Arial"/>
        </w:rPr>
        <w:t>6.4.3.</w:t>
        <w:tab/>
        <w:t>Multa de 10% (dez por cento) por dia de inadimplência, até o trigésimo dia de fornecimento incompleto ou em atraso, incidentes sobre o valor</w:t>
      </w:r>
      <w:r>
        <w:rPr>
          <w:rFonts w:ascii="Arial" w:hAnsi="Arial"/>
          <w:spacing w:val="1"/>
        </w:rPr>
        <w:t xml:space="preserve"> </w:t>
      </w:r>
      <w:r>
        <w:rPr>
          <w:rFonts w:ascii="Arial" w:hAnsi="Arial"/>
        </w:rPr>
        <w:t>estimado</w:t>
      </w:r>
      <w:r>
        <w:rPr>
          <w:rFonts w:ascii="Arial" w:hAnsi="Arial"/>
          <w:spacing w:val="-2"/>
        </w:rPr>
        <w:t xml:space="preserve"> </w:t>
      </w:r>
      <w:r>
        <w:rPr>
          <w:rFonts w:ascii="Arial" w:hAnsi="Arial"/>
        </w:rPr>
        <w:t>mensal</w:t>
      </w:r>
      <w:r>
        <w:rPr>
          <w:rFonts w:ascii="Arial" w:hAnsi="Arial"/>
          <w:spacing w:val="-2"/>
        </w:rPr>
        <w:t xml:space="preserve"> </w:t>
      </w:r>
      <w:r>
        <w:rPr>
          <w:rFonts w:ascii="Arial" w:hAnsi="Arial"/>
        </w:rPr>
        <w:t>da</w:t>
      </w:r>
      <w:r>
        <w:rPr>
          <w:rFonts w:ascii="Arial" w:hAnsi="Arial"/>
          <w:spacing w:val="-2"/>
        </w:rPr>
        <w:t xml:space="preserve"> </w:t>
      </w:r>
      <w:r>
        <w:rPr>
          <w:rFonts w:ascii="Arial" w:hAnsi="Arial"/>
        </w:rPr>
        <w:t>contratação,</w:t>
      </w:r>
      <w:r>
        <w:rPr>
          <w:rFonts w:ascii="Arial" w:hAnsi="Arial"/>
          <w:spacing w:val="-1"/>
        </w:rPr>
        <w:t xml:space="preserve"> </w:t>
      </w:r>
      <w:r>
        <w:rPr>
          <w:rFonts w:ascii="Arial" w:hAnsi="Arial"/>
        </w:rPr>
        <w:t>além</w:t>
      </w:r>
      <w:r>
        <w:rPr>
          <w:rFonts w:ascii="Arial" w:hAnsi="Arial"/>
          <w:spacing w:val="-2"/>
        </w:rPr>
        <w:t xml:space="preserve"> </w:t>
      </w:r>
      <w:r>
        <w:rPr>
          <w:rFonts w:ascii="Arial" w:hAnsi="Arial"/>
        </w:rPr>
        <w:t>do</w:t>
      </w:r>
      <w:r>
        <w:rPr>
          <w:rFonts w:ascii="Arial" w:hAnsi="Arial"/>
          <w:spacing w:val="-2"/>
        </w:rPr>
        <w:t xml:space="preserve"> </w:t>
      </w:r>
      <w:r>
        <w:rPr>
          <w:rFonts w:ascii="Arial" w:hAnsi="Arial"/>
        </w:rPr>
        <w:t>desconto</w:t>
      </w:r>
      <w:r>
        <w:rPr>
          <w:rFonts w:ascii="Arial" w:hAnsi="Arial"/>
          <w:spacing w:val="-1"/>
        </w:rPr>
        <w:t xml:space="preserve"> </w:t>
      </w:r>
      <w:r>
        <w:rPr>
          <w:rFonts w:ascii="Arial" w:hAnsi="Arial"/>
        </w:rPr>
        <w:t>do</w:t>
      </w:r>
      <w:r>
        <w:rPr>
          <w:rFonts w:ascii="Arial" w:hAnsi="Arial"/>
          <w:spacing w:val="-2"/>
        </w:rPr>
        <w:t xml:space="preserve"> </w:t>
      </w:r>
      <w:r>
        <w:rPr>
          <w:rFonts w:ascii="Arial" w:hAnsi="Arial"/>
        </w:rPr>
        <w:t>valor</w:t>
      </w:r>
      <w:r>
        <w:rPr>
          <w:rFonts w:ascii="Arial" w:hAnsi="Arial"/>
          <w:spacing w:val="-2"/>
        </w:rPr>
        <w:t xml:space="preserve"> </w:t>
      </w:r>
      <w:r>
        <w:rPr>
          <w:rFonts w:ascii="Arial" w:hAnsi="Arial"/>
        </w:rPr>
        <w:t>correspondente</w:t>
      </w:r>
      <w:r>
        <w:rPr>
          <w:rFonts w:ascii="Arial" w:hAnsi="Arial"/>
          <w:spacing w:val="-1"/>
        </w:rPr>
        <w:t xml:space="preserve"> </w:t>
      </w:r>
      <w:r>
        <w:rPr>
          <w:rFonts w:ascii="Arial" w:hAnsi="Arial"/>
        </w:rPr>
        <w:t>ao</w:t>
      </w:r>
      <w:r>
        <w:rPr>
          <w:rFonts w:ascii="Arial" w:hAnsi="Arial"/>
          <w:spacing w:val="-2"/>
        </w:rPr>
        <w:t xml:space="preserve"> </w:t>
      </w:r>
      <w:r>
        <w:rPr>
          <w:rFonts w:ascii="Arial" w:hAnsi="Arial"/>
        </w:rPr>
        <w:t>serviço</w:t>
      </w:r>
      <w:r>
        <w:rPr>
          <w:rFonts w:ascii="Arial" w:hAnsi="Arial"/>
          <w:spacing w:val="-2"/>
        </w:rPr>
        <w:t xml:space="preserve"> </w:t>
      </w:r>
      <w:r>
        <w:rPr>
          <w:rFonts w:ascii="Arial" w:hAnsi="Arial"/>
        </w:rPr>
        <w:t>não</w:t>
      </w:r>
      <w:r>
        <w:rPr>
          <w:rFonts w:ascii="Arial" w:hAnsi="Arial"/>
          <w:spacing w:val="-1"/>
        </w:rPr>
        <w:t xml:space="preserve"> </w:t>
      </w:r>
      <w:r>
        <w:rPr>
          <w:rFonts w:ascii="Arial" w:hAnsi="Arial"/>
        </w:rPr>
        <w:t>realizado</w:t>
      </w:r>
      <w:r>
        <w:rPr>
          <w:rFonts w:ascii="Arial" w:hAnsi="Arial"/>
          <w:spacing w:val="-2"/>
        </w:rPr>
        <w:t xml:space="preserve"> </w:t>
      </w:r>
      <w:r>
        <w:rPr>
          <w:rFonts w:ascii="Arial" w:hAnsi="Arial"/>
        </w:rPr>
        <w:t>pela</w:t>
      </w:r>
      <w:r>
        <w:rPr>
          <w:rFonts w:ascii="Arial" w:hAnsi="Arial"/>
          <w:spacing w:val="-2"/>
        </w:rPr>
        <w:t xml:space="preserve"> </w:t>
      </w:r>
      <w:r>
        <w:rPr>
          <w:rFonts w:ascii="Arial" w:hAnsi="Arial"/>
        </w:rPr>
        <w:t>detentora</w:t>
      </w:r>
      <w:r>
        <w:rPr>
          <w:rFonts w:ascii="Arial" w:hAnsi="Arial"/>
          <w:spacing w:val="-1"/>
        </w:rPr>
        <w:t xml:space="preserve"> </w:t>
      </w:r>
      <w:r>
        <w:rPr>
          <w:rFonts w:ascii="Arial" w:hAnsi="Arial"/>
        </w:rPr>
        <w:t>da</w:t>
      </w:r>
      <w:r>
        <w:rPr>
          <w:rFonts w:ascii="Arial" w:hAnsi="Arial"/>
          <w:spacing w:val="-2"/>
        </w:rPr>
        <w:t xml:space="preserve"> </w:t>
      </w:r>
      <w:r>
        <w:rPr>
          <w:rFonts w:ascii="Arial" w:hAnsi="Arial"/>
        </w:rPr>
        <w:t>Ata.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6.4.4</w:t>
        <w:tab/>
        <w:tab/>
        <w:t>Suspensão</w:t>
      </w:r>
      <w:r>
        <w:rPr>
          <w:rFonts w:ascii="Arial" w:hAnsi="Arial"/>
          <w:spacing w:val="-5"/>
        </w:rPr>
        <w:t xml:space="preserve"> </w:t>
      </w:r>
      <w:r>
        <w:rPr>
          <w:rFonts w:ascii="Arial" w:hAnsi="Arial"/>
        </w:rPr>
        <w:t>temporária</w:t>
      </w:r>
      <w:r>
        <w:rPr>
          <w:rFonts w:ascii="Arial" w:hAnsi="Arial"/>
          <w:spacing w:val="-5"/>
        </w:rPr>
        <w:t xml:space="preserve"> </w:t>
      </w:r>
      <w:r>
        <w:rPr>
          <w:rFonts w:ascii="Arial" w:hAnsi="Arial"/>
        </w:rPr>
        <w:t>do</w:t>
      </w:r>
      <w:r>
        <w:rPr>
          <w:rFonts w:ascii="Arial" w:hAnsi="Arial"/>
          <w:spacing w:val="-6"/>
        </w:rPr>
        <w:t xml:space="preserve"> </w:t>
      </w:r>
      <w:r>
        <w:rPr>
          <w:rFonts w:ascii="Arial" w:hAnsi="Arial"/>
        </w:rPr>
        <w:t>direito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participar</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licitação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fornecer</w:t>
      </w:r>
      <w:r>
        <w:rPr>
          <w:rFonts w:ascii="Arial" w:hAnsi="Arial"/>
          <w:spacing w:val="-5"/>
        </w:rPr>
        <w:t xml:space="preserve"> </w:t>
      </w:r>
      <w:r>
        <w:rPr>
          <w:rFonts w:ascii="Arial" w:hAnsi="Arial"/>
        </w:rPr>
        <w:t>à</w:t>
      </w:r>
      <w:r>
        <w:rPr>
          <w:rFonts w:ascii="Arial" w:hAnsi="Arial"/>
          <w:spacing w:val="-5"/>
        </w:rPr>
        <w:t xml:space="preserve"> </w:t>
      </w:r>
      <w:r>
        <w:rPr>
          <w:rFonts w:ascii="Arial" w:hAnsi="Arial"/>
        </w:rPr>
        <w:t>Administração</w:t>
      </w:r>
      <w:r>
        <w:rPr>
          <w:rFonts w:ascii="Arial" w:hAnsi="Arial"/>
          <w:spacing w:val="-5"/>
        </w:rPr>
        <w:t xml:space="preserve"> </w:t>
      </w:r>
      <w:r>
        <w:rPr>
          <w:rFonts w:ascii="Arial" w:hAnsi="Arial"/>
        </w:rPr>
        <w:t>Pública,</w:t>
      </w:r>
      <w:r>
        <w:rPr>
          <w:rFonts w:ascii="Arial" w:hAnsi="Arial"/>
          <w:spacing w:val="-5"/>
        </w:rPr>
        <w:t xml:space="preserve"> </w:t>
      </w:r>
      <w:r>
        <w:rPr>
          <w:rFonts w:ascii="Arial" w:hAnsi="Arial"/>
        </w:rPr>
        <w:t>por</w:t>
      </w:r>
      <w:r>
        <w:rPr>
          <w:rFonts w:ascii="Arial" w:hAnsi="Arial"/>
          <w:spacing w:val="-5"/>
        </w:rPr>
        <w:t xml:space="preserve"> </w:t>
      </w:r>
      <w:r>
        <w:rPr>
          <w:rFonts w:ascii="Arial" w:hAnsi="Arial"/>
        </w:rPr>
        <w:t>prazo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até</w:t>
      </w:r>
      <w:r>
        <w:rPr>
          <w:rFonts w:ascii="Arial" w:hAnsi="Arial"/>
          <w:spacing w:val="-5"/>
        </w:rPr>
        <w:t xml:space="preserve"> </w:t>
      </w:r>
      <w:r>
        <w:rPr>
          <w:rFonts w:ascii="Arial" w:hAnsi="Arial"/>
        </w:rPr>
        <w:t>05</w:t>
      </w:r>
      <w:r>
        <w:rPr>
          <w:rFonts w:ascii="Arial" w:hAnsi="Arial"/>
          <w:spacing w:val="-5"/>
        </w:rPr>
        <w:t xml:space="preserve"> </w:t>
      </w:r>
      <w:r>
        <w:rPr>
          <w:rFonts w:ascii="Arial" w:hAnsi="Arial"/>
        </w:rPr>
        <w:t>(cinco)</w:t>
      </w:r>
      <w:r>
        <w:rPr>
          <w:rFonts w:ascii="Arial" w:hAnsi="Arial"/>
          <w:spacing w:val="-5"/>
        </w:rPr>
        <w:t xml:space="preserve"> </w:t>
      </w:r>
      <w:r>
        <w:rPr>
          <w:rFonts w:ascii="Arial" w:hAnsi="Arial"/>
        </w:rPr>
        <w:t>anos;</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6.5.</w:t>
        <w:tab/>
        <w:tab/>
        <w:t>Em</w:t>
      </w:r>
      <w:r>
        <w:rPr>
          <w:rFonts w:ascii="Arial" w:hAnsi="Arial"/>
          <w:spacing w:val="-5"/>
        </w:rPr>
        <w:t xml:space="preserve"> </w:t>
      </w:r>
      <w:r>
        <w:rPr>
          <w:rFonts w:ascii="Arial" w:hAnsi="Arial"/>
        </w:rPr>
        <w:t>qualquer</w:t>
      </w:r>
      <w:r>
        <w:rPr>
          <w:rFonts w:ascii="Arial" w:hAnsi="Arial"/>
          <w:spacing w:val="-6"/>
        </w:rPr>
        <w:t xml:space="preserve"> </w:t>
      </w:r>
      <w:r>
        <w:rPr>
          <w:rFonts w:ascii="Arial" w:hAnsi="Arial"/>
        </w:rPr>
        <w:t>hipótese</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aplicação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penalidades</w:t>
      </w:r>
      <w:r>
        <w:rPr>
          <w:rFonts w:ascii="Arial" w:hAnsi="Arial"/>
          <w:spacing w:val="-5"/>
        </w:rPr>
        <w:t xml:space="preserve"> </w:t>
      </w:r>
      <w:r>
        <w:rPr>
          <w:rFonts w:ascii="Arial" w:hAnsi="Arial"/>
        </w:rPr>
        <w:t>será</w:t>
      </w:r>
      <w:r>
        <w:rPr>
          <w:rFonts w:ascii="Arial" w:hAnsi="Arial"/>
          <w:spacing w:val="-5"/>
        </w:rPr>
        <w:t xml:space="preserve"> </w:t>
      </w:r>
      <w:r>
        <w:rPr>
          <w:rFonts w:ascii="Arial" w:hAnsi="Arial"/>
        </w:rPr>
        <w:t>assegurado</w:t>
      </w:r>
      <w:r>
        <w:rPr>
          <w:rFonts w:ascii="Arial" w:hAnsi="Arial"/>
          <w:spacing w:val="-5"/>
        </w:rPr>
        <w:t xml:space="preserve"> </w:t>
      </w:r>
      <w:r>
        <w:rPr>
          <w:rFonts w:ascii="Arial" w:hAnsi="Arial"/>
        </w:rPr>
        <w:t>ao</w:t>
      </w:r>
      <w:r>
        <w:rPr>
          <w:rFonts w:ascii="Arial" w:hAnsi="Arial"/>
          <w:spacing w:val="-5"/>
        </w:rPr>
        <w:t xml:space="preserve"> </w:t>
      </w:r>
      <w:r>
        <w:rPr>
          <w:rFonts w:ascii="Arial" w:hAnsi="Arial"/>
        </w:rPr>
        <w:t>fornecedor</w:t>
      </w:r>
      <w:r>
        <w:rPr>
          <w:rFonts w:ascii="Arial" w:hAnsi="Arial"/>
          <w:spacing w:val="-5"/>
        </w:rPr>
        <w:t xml:space="preserve"> </w:t>
      </w:r>
      <w:r>
        <w:rPr>
          <w:rFonts w:ascii="Arial" w:hAnsi="Arial"/>
        </w:rPr>
        <w:t>o</w:t>
      </w:r>
      <w:r>
        <w:rPr>
          <w:rFonts w:ascii="Arial" w:hAnsi="Arial"/>
          <w:spacing w:val="-5"/>
        </w:rPr>
        <w:t xml:space="preserve"> </w:t>
      </w:r>
      <w:r>
        <w:rPr>
          <w:rFonts w:ascii="Arial" w:hAnsi="Arial"/>
        </w:rPr>
        <w:t>contraditório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ampla</w:t>
      </w:r>
      <w:r>
        <w:rPr>
          <w:rFonts w:ascii="Arial" w:hAnsi="Arial"/>
          <w:spacing w:val="-5"/>
        </w:rPr>
        <w:t xml:space="preserve"> </w:t>
      </w:r>
      <w:r>
        <w:rPr>
          <w:rFonts w:ascii="Arial" w:hAnsi="Arial"/>
        </w:rPr>
        <w:t>defesa.</w:t>
      </w:r>
    </w:p>
    <w:p>
      <w:pPr>
        <w:pStyle w:val="ListParagraph"/>
        <w:tabs>
          <w:tab w:val="clear" w:pos="708"/>
          <w:tab w:val="left" w:pos="412" w:leader="none"/>
        </w:tabs>
        <w:spacing w:lineRule="auto" w:line="240" w:before="0" w:after="0"/>
        <w:ind w:left="0" w:hanging="0"/>
        <w:contextualSpacing/>
        <w:jc w:val="both"/>
        <w:rPr>
          <w:rFonts w:ascii="Arial" w:hAnsi="Arial"/>
        </w:rPr>
      </w:pPr>
      <w:r>
        <w:rPr>
          <w:rFonts w:ascii="Arial" w:hAnsi="Arial"/>
        </w:rPr>
        <w:t>6.6.</w:t>
        <w:tab/>
        <w:tab/>
        <w:t>A aplicação das sanções previstas nesta Ata não exclui a possibilidade de aplicação de outras, previstas em Lei, inclusive responsabilização do</w:t>
      </w:r>
      <w:r>
        <w:rPr>
          <w:rFonts w:ascii="Arial" w:hAnsi="Arial"/>
          <w:spacing w:val="1"/>
        </w:rPr>
        <w:t xml:space="preserve"> </w:t>
      </w:r>
      <w:r>
        <w:rPr>
          <w:rFonts w:ascii="Arial" w:hAnsi="Arial"/>
        </w:rPr>
        <w:t>fornecedor por</w:t>
      </w:r>
      <w:r>
        <w:rPr>
          <w:rFonts w:ascii="Arial" w:hAnsi="Arial"/>
          <w:spacing w:val="-1"/>
        </w:rPr>
        <w:t xml:space="preserve"> </w:t>
      </w:r>
      <w:r>
        <w:rPr>
          <w:rFonts w:ascii="Arial" w:hAnsi="Arial"/>
        </w:rPr>
        <w:t>eventuais</w:t>
      </w:r>
      <w:r>
        <w:rPr>
          <w:rFonts w:ascii="Arial" w:hAnsi="Arial"/>
          <w:spacing w:val="-1"/>
        </w:rPr>
        <w:t xml:space="preserve"> </w:t>
      </w:r>
      <w:r>
        <w:rPr>
          <w:rFonts w:ascii="Arial" w:hAnsi="Arial"/>
        </w:rPr>
        <w:t>perdas</w:t>
      </w:r>
      <w:r>
        <w:rPr>
          <w:rFonts w:ascii="Arial" w:hAnsi="Arial"/>
          <w:spacing w:val="-2"/>
        </w:rPr>
        <w:t xml:space="preserve"> </w:t>
      </w:r>
      <w:r>
        <w:rPr>
          <w:rFonts w:ascii="Arial" w:hAnsi="Arial"/>
        </w:rPr>
        <w:t>e</w:t>
      </w:r>
      <w:r>
        <w:rPr>
          <w:rFonts w:ascii="Arial" w:hAnsi="Arial"/>
          <w:spacing w:val="-1"/>
        </w:rPr>
        <w:t xml:space="preserve"> </w:t>
      </w:r>
      <w:r>
        <w:rPr>
          <w:rFonts w:ascii="Arial" w:hAnsi="Arial"/>
        </w:rPr>
        <w:t>danos</w:t>
      </w:r>
      <w:r>
        <w:rPr>
          <w:rFonts w:ascii="Arial" w:hAnsi="Arial"/>
          <w:spacing w:val="-1"/>
        </w:rPr>
        <w:t xml:space="preserve"> </w:t>
      </w:r>
      <w:r>
        <w:rPr>
          <w:rFonts w:ascii="Arial" w:hAnsi="Arial"/>
        </w:rPr>
        <w:t>causados</w:t>
      </w:r>
      <w:r>
        <w:rPr>
          <w:rFonts w:ascii="Arial" w:hAnsi="Arial"/>
          <w:spacing w:val="-2"/>
        </w:rPr>
        <w:t xml:space="preserve"> </w:t>
      </w:r>
      <w:r>
        <w:rPr>
          <w:rFonts w:ascii="Arial" w:hAnsi="Arial"/>
        </w:rPr>
        <w:t>à</w:t>
      </w:r>
      <w:r>
        <w:rPr>
          <w:rFonts w:ascii="Arial" w:hAnsi="Arial"/>
          <w:spacing w:val="-1"/>
        </w:rPr>
        <w:t xml:space="preserve"> </w:t>
      </w:r>
      <w:r>
        <w:rPr>
          <w:rFonts w:ascii="Arial" w:hAnsi="Arial"/>
        </w:rPr>
        <w:t>Administração.</w:t>
      </w:r>
    </w:p>
    <w:p>
      <w:pPr>
        <w:pStyle w:val="ListParagraph"/>
        <w:tabs>
          <w:tab w:val="clear" w:pos="708"/>
          <w:tab w:val="left" w:pos="412" w:leader="none"/>
        </w:tabs>
        <w:spacing w:lineRule="auto" w:line="240" w:before="0" w:after="0"/>
        <w:ind w:left="0" w:hanging="0"/>
        <w:contextualSpacing/>
        <w:jc w:val="both"/>
        <w:rPr>
          <w:rFonts w:ascii="Arial" w:hAnsi="Arial"/>
        </w:rPr>
      </w:pPr>
      <w:r>
        <w:rPr>
          <w:rFonts w:ascii="Arial" w:hAnsi="Arial"/>
        </w:rPr>
        <w:t>6.7.</w:t>
        <w:tab/>
        <w:tab/>
        <w:t>As importâncias relativas a multas serão descontadas dos pagamentos a serem efetuados à detentora da Ata, podendo, entretanto, conforme o</w:t>
      </w:r>
      <w:r>
        <w:rPr>
          <w:rFonts w:ascii="Arial" w:hAnsi="Arial"/>
          <w:spacing w:val="1"/>
        </w:rPr>
        <w:t xml:space="preserve"> </w:t>
      </w:r>
      <w:r>
        <w:rPr>
          <w:rFonts w:ascii="Arial" w:hAnsi="Arial"/>
        </w:rPr>
        <w:t>caso,</w:t>
      </w:r>
      <w:r>
        <w:rPr>
          <w:rFonts w:ascii="Arial" w:hAnsi="Arial"/>
          <w:spacing w:val="-2"/>
        </w:rPr>
        <w:t xml:space="preserve"> </w:t>
      </w:r>
      <w:r>
        <w:rPr>
          <w:rFonts w:ascii="Arial" w:hAnsi="Arial"/>
        </w:rPr>
        <w:t>processar-se</w:t>
      </w:r>
      <w:r>
        <w:rPr>
          <w:rFonts w:ascii="Arial" w:hAnsi="Arial"/>
          <w:spacing w:val="-1"/>
        </w:rPr>
        <w:t xml:space="preserve"> </w:t>
      </w:r>
      <w:r>
        <w:rPr>
          <w:rFonts w:ascii="Arial" w:hAnsi="Arial"/>
        </w:rPr>
        <w:t>a</w:t>
      </w:r>
      <w:r>
        <w:rPr>
          <w:rFonts w:ascii="Arial" w:hAnsi="Arial"/>
          <w:spacing w:val="-1"/>
        </w:rPr>
        <w:t xml:space="preserve"> </w:t>
      </w:r>
      <w:r>
        <w:rPr>
          <w:rFonts w:ascii="Arial" w:hAnsi="Arial"/>
        </w:rPr>
        <w:t>cobrança</w:t>
      </w:r>
      <w:r>
        <w:rPr>
          <w:rFonts w:ascii="Arial" w:hAnsi="Arial"/>
          <w:spacing w:val="-1"/>
        </w:rPr>
        <w:t xml:space="preserve"> </w:t>
      </w:r>
      <w:r>
        <w:rPr>
          <w:rFonts w:ascii="Arial" w:hAnsi="Arial"/>
        </w:rPr>
        <w:t>judicialmente.</w:t>
      </w:r>
    </w:p>
    <w:p>
      <w:pPr>
        <w:pStyle w:val="ListParagraph"/>
        <w:widowControl w:val="false"/>
        <w:tabs>
          <w:tab w:val="clear" w:pos="708"/>
          <w:tab w:val="left" w:pos="444" w:leader="none"/>
        </w:tabs>
        <w:spacing w:lineRule="auto" w:line="240" w:before="0" w:after="0"/>
        <w:ind w:left="0" w:hanging="0"/>
        <w:contextualSpacing/>
        <w:jc w:val="both"/>
        <w:textAlignment w:val="baseline"/>
        <w:rPr>
          <w:rFonts w:ascii="Arial" w:hAnsi="Arial"/>
        </w:rPr>
      </w:pPr>
      <w:r>
        <w:rPr>
          <w:rFonts w:eastAsia="Times New Roman" w:cs="Arial" w:ascii="Arial" w:hAnsi="Arial"/>
          <w:color w:val="000000"/>
          <w:spacing w:val="-3"/>
          <w:lang w:eastAsia="pt-BR"/>
        </w:rPr>
        <w:t>6.8.</w:t>
        <w:tab/>
        <w:tab/>
        <w:t>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penalidades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serão</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aplicadas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sem</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prejuízo</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das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demais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sanções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cabíveis,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sejam</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estas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administrativas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penais,</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previstas</w:t>
      </w:r>
      <w:r>
        <w:rPr>
          <w:rFonts w:eastAsia="Times New Roman" w:cs="Arial" w:ascii="Arial" w:hAnsi="Arial"/>
          <w:color w:val="000000"/>
          <w:spacing w:val="30"/>
          <w:lang w:eastAsia="pt-BR"/>
        </w:rPr>
        <w:t xml:space="preserve"> </w:t>
      </w:r>
      <w:r>
        <w:rPr>
          <w:rFonts w:eastAsia="Times New Roman" w:cs="Arial" w:ascii="Arial" w:hAnsi="Arial"/>
          <w:color w:val="000000"/>
          <w:spacing w:val="-3"/>
          <w:lang w:eastAsia="pt-BR"/>
        </w:rPr>
        <w:t>na</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Lei</w:t>
      </w:r>
      <w:r>
        <w:rPr>
          <w:rFonts w:eastAsia="Times New Roman" w:cs="Arial" w:ascii="Arial" w:hAnsi="Arial"/>
          <w:color w:val="000000"/>
          <w:spacing w:val="31"/>
          <w:lang w:eastAsia="pt-BR"/>
        </w:rPr>
        <w:t xml:space="preserve"> </w:t>
      </w:r>
      <w:r>
        <w:rPr>
          <w:rFonts w:eastAsia="Times New Roman" w:cs="Arial" w:ascii="Arial" w:hAnsi="Arial"/>
          <w:color w:val="000000"/>
          <w:spacing w:val="-3"/>
          <w:lang w:eastAsia="pt-BR"/>
        </w:rPr>
        <w:t>nº.</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14.133/2021</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alterações.</w:t>
      </w:r>
    </w:p>
    <w:p>
      <w:pPr>
        <w:pStyle w:val="ListParagraph"/>
        <w:widowControl w:val="false"/>
        <w:tabs>
          <w:tab w:val="clear" w:pos="708"/>
          <w:tab w:val="left" w:pos="444" w:leader="none"/>
        </w:tabs>
        <w:spacing w:lineRule="auto" w:line="240" w:before="0" w:after="0"/>
        <w:ind w:left="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VII</w:t>
      </w:r>
      <w:r>
        <w:rPr>
          <w:rFonts w:eastAsia="Times New Roman" w:cs="Arial" w:ascii="Arial" w:hAnsi="Arial"/>
          <w:bCs w:val="false"/>
          <w:color w:val="000000"/>
          <w:spacing w:val="-3"/>
          <w:sz w:val="22"/>
          <w:szCs w:val="22"/>
          <w:shd w:fill="CCCCCC" w:val="clear"/>
          <w:lang w:eastAsia="pt-BR"/>
        </w:rPr>
        <w:t xml:space="preserve"> – DO REAJUSTAMENTO DE PREÇOS E REEQUILÍBRIO ECONÔMICO</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ListParagraph"/>
        <w:tabs>
          <w:tab w:val="clear" w:pos="708"/>
          <w:tab w:val="left" w:pos="330" w:leader="none"/>
        </w:tabs>
        <w:spacing w:lineRule="auto" w:line="240" w:before="0" w:after="0"/>
        <w:ind w:left="0" w:hanging="0"/>
        <w:contextualSpacing/>
        <w:jc w:val="both"/>
        <w:rPr>
          <w:rFonts w:ascii="Arial" w:hAnsi="Arial"/>
        </w:rPr>
      </w:pPr>
      <w:r>
        <w:rPr>
          <w:rFonts w:ascii="Arial" w:hAnsi="Arial"/>
        </w:rPr>
        <w:t>7.</w:t>
        <w:tab/>
        <w:tab/>
        <w:t>Considerando</w:t>
      </w:r>
      <w:r>
        <w:rPr>
          <w:rFonts w:ascii="Arial" w:hAnsi="Arial"/>
          <w:spacing w:val="5"/>
        </w:rPr>
        <w:t xml:space="preserve"> </w:t>
      </w:r>
      <w:r>
        <w:rPr>
          <w:rFonts w:ascii="Arial" w:hAnsi="Arial"/>
        </w:rPr>
        <w:t>o</w:t>
      </w:r>
      <w:r>
        <w:rPr>
          <w:rFonts w:ascii="Arial" w:hAnsi="Arial"/>
          <w:spacing w:val="6"/>
        </w:rPr>
        <w:t xml:space="preserve"> </w:t>
      </w:r>
      <w:r>
        <w:rPr>
          <w:rFonts w:ascii="Arial" w:hAnsi="Arial"/>
        </w:rPr>
        <w:t>disposto</w:t>
      </w:r>
      <w:r>
        <w:rPr>
          <w:rFonts w:ascii="Arial" w:hAnsi="Arial"/>
          <w:spacing w:val="5"/>
        </w:rPr>
        <w:t xml:space="preserve"> </w:t>
      </w:r>
      <w:r>
        <w:rPr>
          <w:rFonts w:ascii="Arial" w:hAnsi="Arial"/>
        </w:rPr>
        <w:t>no</w:t>
      </w:r>
      <w:r>
        <w:rPr>
          <w:rFonts w:ascii="Arial" w:hAnsi="Arial"/>
          <w:spacing w:val="6"/>
        </w:rPr>
        <w:t xml:space="preserve"> </w:t>
      </w:r>
      <w:r>
        <w:rPr>
          <w:rFonts w:ascii="Arial" w:hAnsi="Arial"/>
        </w:rPr>
        <w:t>artigo</w:t>
      </w:r>
      <w:r>
        <w:rPr>
          <w:rFonts w:ascii="Arial" w:hAnsi="Arial"/>
          <w:spacing w:val="6"/>
        </w:rPr>
        <w:t xml:space="preserve"> </w:t>
      </w:r>
      <w:r>
        <w:rPr>
          <w:rFonts w:ascii="Arial" w:hAnsi="Arial"/>
        </w:rPr>
        <w:t>82,</w:t>
      </w:r>
      <w:r>
        <w:rPr>
          <w:rFonts w:ascii="Arial" w:hAnsi="Arial"/>
          <w:spacing w:val="5"/>
        </w:rPr>
        <w:t xml:space="preserve"> </w:t>
      </w:r>
      <w:r>
        <w:rPr>
          <w:rFonts w:ascii="Arial" w:hAnsi="Arial"/>
        </w:rPr>
        <w:t>§5º,</w:t>
      </w:r>
      <w:r>
        <w:rPr>
          <w:rFonts w:ascii="Arial" w:hAnsi="Arial"/>
          <w:spacing w:val="6"/>
        </w:rPr>
        <w:t xml:space="preserve"> </w:t>
      </w:r>
      <w:r>
        <w:rPr>
          <w:rFonts w:ascii="Arial" w:hAnsi="Arial"/>
        </w:rPr>
        <w:t>inciso</w:t>
      </w:r>
      <w:r>
        <w:rPr>
          <w:rFonts w:ascii="Arial" w:hAnsi="Arial"/>
          <w:spacing w:val="6"/>
        </w:rPr>
        <w:t xml:space="preserve"> </w:t>
      </w:r>
      <w:r>
        <w:rPr>
          <w:rFonts w:ascii="Arial" w:hAnsi="Arial"/>
        </w:rPr>
        <w:t>IV</w:t>
      </w:r>
      <w:r>
        <w:rPr>
          <w:rFonts w:ascii="Arial" w:hAnsi="Arial"/>
          <w:spacing w:val="5"/>
        </w:rPr>
        <w:t xml:space="preserve"> </w:t>
      </w:r>
      <w:r>
        <w:rPr>
          <w:rFonts w:ascii="Arial" w:hAnsi="Arial"/>
        </w:rPr>
        <w:t>e</w:t>
      </w:r>
      <w:r>
        <w:rPr>
          <w:rFonts w:ascii="Arial" w:hAnsi="Arial"/>
          <w:spacing w:val="6"/>
        </w:rPr>
        <w:t xml:space="preserve"> </w:t>
      </w:r>
      <w:r>
        <w:rPr>
          <w:rFonts w:ascii="Arial" w:hAnsi="Arial"/>
        </w:rPr>
        <w:t>artigo</w:t>
      </w:r>
      <w:r>
        <w:rPr>
          <w:rFonts w:ascii="Arial" w:hAnsi="Arial"/>
          <w:spacing w:val="6"/>
        </w:rPr>
        <w:t xml:space="preserve"> </w:t>
      </w:r>
      <w:r>
        <w:rPr>
          <w:rFonts w:ascii="Arial" w:hAnsi="Arial"/>
        </w:rPr>
        <w:t>84</w:t>
      </w:r>
      <w:r>
        <w:rPr>
          <w:rFonts w:ascii="Arial" w:hAnsi="Arial"/>
          <w:spacing w:val="5"/>
        </w:rPr>
        <w:t xml:space="preserve"> </w:t>
      </w:r>
      <w:r>
        <w:rPr>
          <w:rFonts w:ascii="Arial" w:hAnsi="Arial"/>
        </w:rPr>
        <w:t>da</w:t>
      </w:r>
      <w:r>
        <w:rPr>
          <w:rFonts w:ascii="Arial" w:hAnsi="Arial"/>
          <w:spacing w:val="6"/>
        </w:rPr>
        <w:t xml:space="preserve"> </w:t>
      </w:r>
      <w:r>
        <w:rPr>
          <w:rFonts w:ascii="Arial" w:hAnsi="Arial"/>
        </w:rPr>
        <w:t>Lei</w:t>
      </w:r>
      <w:r>
        <w:rPr>
          <w:rFonts w:ascii="Arial" w:hAnsi="Arial"/>
          <w:spacing w:val="6"/>
        </w:rPr>
        <w:t xml:space="preserve"> </w:t>
      </w:r>
      <w:r>
        <w:rPr>
          <w:rFonts w:ascii="Arial" w:hAnsi="Arial"/>
        </w:rPr>
        <w:t>14.133/2021,</w:t>
      </w:r>
      <w:r>
        <w:rPr>
          <w:rFonts w:ascii="Arial" w:hAnsi="Arial"/>
          <w:spacing w:val="5"/>
        </w:rPr>
        <w:t xml:space="preserve"> </w:t>
      </w:r>
      <w:r>
        <w:rPr>
          <w:rFonts w:ascii="Arial" w:hAnsi="Arial"/>
        </w:rPr>
        <w:t>em</w:t>
      </w:r>
      <w:r>
        <w:rPr>
          <w:rFonts w:ascii="Arial" w:hAnsi="Arial"/>
          <w:spacing w:val="6"/>
        </w:rPr>
        <w:t xml:space="preserve"> </w:t>
      </w:r>
      <w:r>
        <w:rPr>
          <w:rFonts w:ascii="Arial" w:hAnsi="Arial"/>
        </w:rPr>
        <w:t>caso</w:t>
      </w:r>
      <w:r>
        <w:rPr>
          <w:rFonts w:ascii="Arial" w:hAnsi="Arial"/>
          <w:spacing w:val="5"/>
        </w:rPr>
        <w:t xml:space="preserve"> </w:t>
      </w:r>
      <w:r>
        <w:rPr>
          <w:rFonts w:ascii="Arial" w:hAnsi="Arial"/>
        </w:rPr>
        <w:t>de</w:t>
      </w:r>
      <w:r>
        <w:rPr>
          <w:rFonts w:ascii="Arial" w:hAnsi="Arial"/>
          <w:spacing w:val="6"/>
        </w:rPr>
        <w:t xml:space="preserve"> </w:t>
      </w:r>
      <w:r>
        <w:rPr>
          <w:rFonts w:ascii="Arial" w:hAnsi="Arial"/>
        </w:rPr>
        <w:t>eventual</w:t>
      </w:r>
      <w:r>
        <w:rPr>
          <w:rFonts w:ascii="Arial" w:hAnsi="Arial"/>
          <w:spacing w:val="6"/>
        </w:rPr>
        <w:t xml:space="preserve"> </w:t>
      </w:r>
      <w:r>
        <w:rPr>
          <w:rFonts w:ascii="Arial" w:hAnsi="Arial"/>
        </w:rPr>
        <w:t>prorrogação</w:t>
      </w:r>
      <w:r>
        <w:rPr>
          <w:rFonts w:ascii="Arial" w:hAnsi="Arial"/>
          <w:spacing w:val="5"/>
        </w:rPr>
        <w:t xml:space="preserve"> </w:t>
      </w:r>
      <w:r>
        <w:rPr>
          <w:rFonts w:ascii="Arial" w:hAnsi="Arial"/>
        </w:rPr>
        <w:t>da</w:t>
      </w:r>
      <w:r>
        <w:rPr>
          <w:rFonts w:ascii="Arial" w:hAnsi="Arial"/>
          <w:spacing w:val="6"/>
        </w:rPr>
        <w:t xml:space="preserve"> </w:t>
      </w:r>
      <w:r>
        <w:rPr>
          <w:rFonts w:ascii="Arial" w:hAnsi="Arial"/>
        </w:rPr>
        <w:t>vigência</w:t>
      </w:r>
      <w:r>
        <w:rPr>
          <w:rFonts w:ascii="Arial" w:hAnsi="Arial"/>
          <w:spacing w:val="6"/>
        </w:rPr>
        <w:t xml:space="preserve"> </w:t>
      </w:r>
      <w:r>
        <w:rPr>
          <w:rFonts w:ascii="Arial" w:hAnsi="Arial"/>
        </w:rPr>
        <w:t>da</w:t>
      </w:r>
      <w:r>
        <w:rPr>
          <w:rFonts w:ascii="Arial" w:hAnsi="Arial"/>
          <w:spacing w:val="5"/>
        </w:rPr>
        <w:t xml:space="preserve"> </w:t>
      </w:r>
      <w:r>
        <w:rPr>
          <w:rFonts w:ascii="Arial" w:hAnsi="Arial"/>
        </w:rPr>
        <w:t>presente</w:t>
      </w:r>
      <w:r>
        <w:rPr>
          <w:rFonts w:ascii="Arial" w:hAnsi="Arial"/>
          <w:spacing w:val="1"/>
        </w:rPr>
        <w:t xml:space="preserve"> </w:t>
      </w:r>
      <w:r>
        <w:rPr>
          <w:rFonts w:ascii="Arial" w:hAnsi="Arial"/>
        </w:rPr>
        <w:t>ata</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registros</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os</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poderão</w:t>
      </w:r>
      <w:r>
        <w:rPr>
          <w:rFonts w:ascii="Arial" w:hAnsi="Arial"/>
          <w:spacing w:val="-5"/>
        </w:rPr>
        <w:t xml:space="preserve"> </w:t>
      </w:r>
      <w:r>
        <w:rPr>
          <w:rFonts w:ascii="Arial" w:hAnsi="Arial"/>
        </w:rPr>
        <w:t>ser</w:t>
      </w:r>
      <w:r>
        <w:rPr>
          <w:rFonts w:ascii="Arial" w:hAnsi="Arial"/>
          <w:spacing w:val="-4"/>
        </w:rPr>
        <w:t xml:space="preserve"> </w:t>
      </w:r>
      <w:r>
        <w:rPr>
          <w:rFonts w:ascii="Arial" w:hAnsi="Arial"/>
        </w:rPr>
        <w:t>atualizados</w:t>
      </w:r>
      <w:r>
        <w:rPr>
          <w:rFonts w:ascii="Arial" w:hAnsi="Arial"/>
          <w:spacing w:val="-4"/>
        </w:rPr>
        <w:t xml:space="preserve"> </w:t>
      </w:r>
      <w:r>
        <w:rPr>
          <w:rFonts w:ascii="Arial" w:hAnsi="Arial"/>
        </w:rPr>
        <w:t>com</w:t>
      </w:r>
      <w:r>
        <w:rPr>
          <w:rFonts w:ascii="Arial" w:hAnsi="Arial"/>
          <w:spacing w:val="-4"/>
        </w:rPr>
        <w:t xml:space="preserve"> </w:t>
      </w:r>
      <w:r>
        <w:rPr>
          <w:rFonts w:ascii="Arial" w:hAnsi="Arial"/>
        </w:rPr>
        <w:t>base</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acumulado</w:t>
      </w:r>
      <w:r>
        <w:rPr>
          <w:rFonts w:ascii="Arial" w:hAnsi="Arial"/>
          <w:spacing w:val="-4"/>
        </w:rPr>
        <w:t xml:space="preserve"> </w:t>
      </w:r>
      <w:r>
        <w:rPr>
          <w:rFonts w:ascii="Arial" w:hAnsi="Arial"/>
        </w:rPr>
        <w:t>do</w:t>
      </w:r>
      <w:r>
        <w:rPr>
          <w:rFonts w:ascii="Arial" w:hAnsi="Arial"/>
          <w:spacing w:val="-4"/>
        </w:rPr>
        <w:t xml:space="preserve"> </w:t>
      </w:r>
      <w:r>
        <w:rPr>
          <w:rFonts w:ascii="Arial" w:hAnsi="Arial"/>
        </w:rPr>
        <w:t>índice</w:t>
      </w:r>
      <w:r>
        <w:rPr>
          <w:rFonts w:ascii="Arial" w:hAnsi="Arial"/>
          <w:spacing w:val="-5"/>
        </w:rPr>
        <w:t xml:space="preserve"> </w:t>
      </w:r>
      <w:r>
        <w:rPr>
          <w:rFonts w:ascii="Arial" w:hAnsi="Arial"/>
        </w:rPr>
        <w:t>inflacionário</w:t>
      </w:r>
      <w:r>
        <w:rPr>
          <w:rFonts w:ascii="Arial" w:hAnsi="Arial"/>
          <w:spacing w:val="-4"/>
        </w:rPr>
        <w:t xml:space="preserve"> </w:t>
      </w:r>
      <w:r>
        <w:rPr>
          <w:rFonts w:ascii="Arial" w:hAnsi="Arial"/>
        </w:rPr>
        <w:t>IPCA</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período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vigência</w:t>
      </w:r>
      <w:r>
        <w:rPr>
          <w:rFonts w:ascii="Arial" w:hAnsi="Arial"/>
          <w:spacing w:val="-4"/>
        </w:rPr>
        <w:t xml:space="preserve"> </w:t>
      </w:r>
      <w:r>
        <w:rPr>
          <w:rFonts w:ascii="Arial" w:hAnsi="Arial"/>
        </w:rPr>
        <w:t>original.</w:t>
      </w:r>
    </w:p>
    <w:p>
      <w:pPr>
        <w:pStyle w:val="ListParagraph"/>
        <w:tabs>
          <w:tab w:val="clear" w:pos="708"/>
          <w:tab w:val="left" w:pos="330" w:leader="none"/>
        </w:tabs>
        <w:spacing w:lineRule="auto" w:line="240" w:before="0" w:after="0"/>
        <w:ind w:left="0" w:hanging="0"/>
        <w:contextualSpacing/>
        <w:jc w:val="both"/>
        <w:rPr>
          <w:rFonts w:ascii="Arial" w:hAnsi="Arial"/>
        </w:rPr>
      </w:pPr>
      <w:r>
        <w:rPr>
          <w:rFonts w:ascii="Arial" w:hAnsi="Arial"/>
        </w:rPr>
        <w:t>7.1.</w:t>
        <w:tab/>
        <w:t>Fica ressalvada a possibilidade de alteração das condições para a concessão de reajustes em face da superveniência de normas federais</w:t>
      </w:r>
      <w:r>
        <w:rPr>
          <w:rFonts w:ascii="Arial" w:hAnsi="Arial"/>
          <w:spacing w:val="1"/>
        </w:rPr>
        <w:t xml:space="preserve"> </w:t>
      </w:r>
      <w:r>
        <w:rPr>
          <w:rFonts w:ascii="Arial" w:hAnsi="Arial"/>
        </w:rPr>
        <w:t>aplicáveis</w:t>
      </w:r>
      <w:r>
        <w:rPr>
          <w:rFonts w:ascii="Arial" w:hAnsi="Arial"/>
          <w:spacing w:val="-1"/>
        </w:rPr>
        <w:t xml:space="preserve"> </w:t>
      </w:r>
      <w:r>
        <w:rPr>
          <w:rFonts w:ascii="Arial" w:hAnsi="Arial"/>
        </w:rPr>
        <w:t>à</w:t>
      </w:r>
      <w:r>
        <w:rPr>
          <w:rFonts w:ascii="Arial" w:hAnsi="Arial"/>
          <w:spacing w:val="-1"/>
        </w:rPr>
        <w:t xml:space="preserve"> </w:t>
      </w:r>
      <w:r>
        <w:rPr>
          <w:rFonts w:ascii="Arial" w:hAnsi="Arial"/>
        </w:rPr>
        <w:t>espécie.</w:t>
      </w:r>
    </w:p>
    <w:p>
      <w:pPr>
        <w:pStyle w:val="ListParagraph"/>
        <w:tabs>
          <w:tab w:val="clear" w:pos="708"/>
          <w:tab w:val="left" w:pos="418" w:leader="none"/>
        </w:tabs>
        <w:spacing w:lineRule="auto" w:line="240" w:before="0" w:after="0"/>
        <w:ind w:left="0" w:hanging="0"/>
        <w:contextualSpacing/>
        <w:jc w:val="both"/>
        <w:rPr>
          <w:rFonts w:ascii="Arial" w:hAnsi="Arial"/>
        </w:rPr>
      </w:pPr>
      <w:r>
        <w:rPr>
          <w:rFonts w:ascii="Arial" w:hAnsi="Arial"/>
        </w:rPr>
        <w:t>7.2.</w:t>
        <w:tab/>
        <w:tab/>
        <w:t>Se</w:t>
      </w:r>
      <w:r>
        <w:rPr>
          <w:rFonts w:ascii="Arial" w:hAnsi="Arial"/>
          <w:spacing w:val="4"/>
        </w:rPr>
        <w:t xml:space="preserve"> </w:t>
      </w:r>
      <w:r>
        <w:rPr>
          <w:rFonts w:ascii="Arial" w:hAnsi="Arial"/>
        </w:rPr>
        <w:t>no</w:t>
      </w:r>
      <w:r>
        <w:rPr>
          <w:rFonts w:ascii="Arial" w:hAnsi="Arial"/>
          <w:spacing w:val="5"/>
        </w:rPr>
        <w:t xml:space="preserve"> </w:t>
      </w:r>
      <w:r>
        <w:rPr>
          <w:rFonts w:ascii="Arial" w:hAnsi="Arial"/>
        </w:rPr>
        <w:t>decorrer</w:t>
      </w:r>
      <w:r>
        <w:rPr>
          <w:rFonts w:ascii="Arial" w:hAnsi="Arial"/>
          <w:spacing w:val="5"/>
        </w:rPr>
        <w:t xml:space="preserve"> </w:t>
      </w:r>
      <w:r>
        <w:rPr>
          <w:rFonts w:ascii="Arial" w:hAnsi="Arial"/>
        </w:rPr>
        <w:t>dos</w:t>
      </w:r>
      <w:r>
        <w:rPr>
          <w:rFonts w:ascii="Arial" w:hAnsi="Arial"/>
          <w:spacing w:val="4"/>
        </w:rPr>
        <w:t xml:space="preserve"> </w:t>
      </w:r>
      <w:r>
        <w:rPr>
          <w:rFonts w:ascii="Arial" w:hAnsi="Arial"/>
        </w:rPr>
        <w:t>fornecimentos</w:t>
      </w:r>
      <w:r>
        <w:rPr>
          <w:rFonts w:ascii="Arial" w:hAnsi="Arial"/>
          <w:spacing w:val="5"/>
        </w:rPr>
        <w:t xml:space="preserve"> </w:t>
      </w:r>
      <w:r>
        <w:rPr>
          <w:rFonts w:ascii="Arial" w:hAnsi="Arial"/>
        </w:rPr>
        <w:t>oriundos</w:t>
      </w:r>
      <w:r>
        <w:rPr>
          <w:rFonts w:ascii="Arial" w:hAnsi="Arial"/>
          <w:spacing w:val="5"/>
        </w:rPr>
        <w:t xml:space="preserve"> </w:t>
      </w:r>
      <w:r>
        <w:rPr>
          <w:rFonts w:ascii="Arial" w:hAnsi="Arial"/>
        </w:rPr>
        <w:t>da</w:t>
      </w:r>
      <w:r>
        <w:rPr>
          <w:rFonts w:ascii="Arial" w:hAnsi="Arial"/>
          <w:spacing w:val="4"/>
        </w:rPr>
        <w:t xml:space="preserve"> </w:t>
      </w:r>
      <w:r>
        <w:rPr>
          <w:rFonts w:ascii="Arial" w:hAnsi="Arial"/>
        </w:rPr>
        <w:t>Ata</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Preços,</w:t>
      </w:r>
      <w:r>
        <w:rPr>
          <w:rFonts w:ascii="Arial" w:hAnsi="Arial"/>
          <w:spacing w:val="5"/>
        </w:rPr>
        <w:t xml:space="preserve"> </w:t>
      </w:r>
      <w:r>
        <w:rPr>
          <w:rFonts w:ascii="Arial" w:hAnsi="Arial"/>
        </w:rPr>
        <w:t>ficar</w:t>
      </w:r>
      <w:r>
        <w:rPr>
          <w:rFonts w:ascii="Arial" w:hAnsi="Arial"/>
          <w:spacing w:val="4"/>
        </w:rPr>
        <w:t xml:space="preserve"> </w:t>
      </w:r>
      <w:r>
        <w:rPr>
          <w:rFonts w:ascii="Arial" w:hAnsi="Arial"/>
        </w:rPr>
        <w:t>comprovado</w:t>
      </w:r>
      <w:r>
        <w:rPr>
          <w:rFonts w:ascii="Arial" w:hAnsi="Arial"/>
          <w:spacing w:val="5"/>
        </w:rPr>
        <w:t xml:space="preserve"> </w:t>
      </w:r>
      <w:r>
        <w:rPr>
          <w:rFonts w:ascii="Arial" w:hAnsi="Arial"/>
        </w:rPr>
        <w:t>que</w:t>
      </w:r>
      <w:r>
        <w:rPr>
          <w:rFonts w:ascii="Arial" w:hAnsi="Arial"/>
          <w:spacing w:val="5"/>
        </w:rPr>
        <w:t xml:space="preserve"> </w:t>
      </w:r>
      <w:r>
        <w:rPr>
          <w:rFonts w:ascii="Arial" w:hAnsi="Arial"/>
        </w:rPr>
        <w:t>os</w:t>
      </w:r>
      <w:r>
        <w:rPr>
          <w:rFonts w:ascii="Arial" w:hAnsi="Arial"/>
          <w:spacing w:val="4"/>
        </w:rPr>
        <w:t xml:space="preserve"> </w:t>
      </w:r>
      <w:r>
        <w:rPr>
          <w:rFonts w:ascii="Arial" w:hAnsi="Arial"/>
        </w:rPr>
        <w:t>preços</w:t>
      </w:r>
      <w:r>
        <w:rPr>
          <w:rFonts w:ascii="Arial" w:hAnsi="Arial"/>
          <w:spacing w:val="5"/>
        </w:rPr>
        <w:t xml:space="preserve"> </w:t>
      </w:r>
      <w:r>
        <w:rPr>
          <w:rFonts w:ascii="Arial" w:hAnsi="Arial"/>
        </w:rPr>
        <w:t>registrados</w:t>
      </w:r>
      <w:r>
        <w:rPr>
          <w:rFonts w:ascii="Arial" w:hAnsi="Arial"/>
          <w:spacing w:val="5"/>
        </w:rPr>
        <w:t xml:space="preserve"> </w:t>
      </w:r>
      <w:r>
        <w:rPr>
          <w:rFonts w:ascii="Arial" w:hAnsi="Arial"/>
        </w:rPr>
        <w:t>são</w:t>
      </w:r>
      <w:r>
        <w:rPr>
          <w:rFonts w:ascii="Arial" w:hAnsi="Arial"/>
          <w:spacing w:val="4"/>
        </w:rPr>
        <w:t xml:space="preserve"> </w:t>
      </w:r>
      <w:r>
        <w:rPr>
          <w:rFonts w:ascii="Arial" w:hAnsi="Arial"/>
        </w:rPr>
        <w:t>incompatíveis</w:t>
      </w:r>
      <w:r>
        <w:rPr>
          <w:rFonts w:ascii="Arial" w:hAnsi="Arial"/>
          <w:spacing w:val="5"/>
        </w:rPr>
        <w:t xml:space="preserve"> </w:t>
      </w:r>
      <w:r>
        <w:rPr>
          <w:rFonts w:ascii="Arial" w:hAnsi="Arial"/>
        </w:rPr>
        <w:t>com</w:t>
      </w:r>
      <w:r>
        <w:rPr>
          <w:rFonts w:ascii="Arial" w:hAnsi="Arial"/>
          <w:spacing w:val="1"/>
        </w:rPr>
        <w:t xml:space="preserve"> </w:t>
      </w:r>
      <w:r>
        <w:rPr>
          <w:rFonts w:ascii="Arial" w:hAnsi="Arial"/>
        </w:rPr>
        <w:t>os fixados por órgãos oficiais ou com os praticados no mercado, a Administração reserva-se o direito de aplicar o disposto no artigo 75, inciso III,</w:t>
      </w:r>
      <w:r>
        <w:rPr>
          <w:rFonts w:ascii="Arial" w:hAnsi="Arial"/>
          <w:spacing w:val="1"/>
        </w:rPr>
        <w:t xml:space="preserve"> </w:t>
      </w:r>
      <w:r>
        <w:rPr>
          <w:rFonts w:ascii="Arial" w:hAnsi="Arial"/>
        </w:rPr>
        <w:t>alínea b da Lei nº. 14.133/2021 e alterações, efetuando a compra direta, por valor não superior ao constante da Ata de Registro de Preços. Tal</w:t>
      </w:r>
      <w:r>
        <w:rPr>
          <w:rFonts w:ascii="Arial" w:hAnsi="Arial"/>
          <w:spacing w:val="1"/>
        </w:rPr>
        <w:t xml:space="preserve"> </w:t>
      </w:r>
      <w:r>
        <w:rPr>
          <w:rFonts w:ascii="Arial" w:hAnsi="Arial"/>
        </w:rPr>
        <w:t>comprovação</w:t>
      </w:r>
      <w:r>
        <w:rPr>
          <w:rFonts w:ascii="Arial" w:hAnsi="Arial"/>
          <w:spacing w:val="-2"/>
        </w:rPr>
        <w:t xml:space="preserve"> </w:t>
      </w:r>
      <w:r>
        <w:rPr>
          <w:rFonts w:ascii="Arial" w:hAnsi="Arial"/>
        </w:rPr>
        <w:t>será</w:t>
      </w:r>
      <w:r>
        <w:rPr>
          <w:rFonts w:ascii="Arial" w:hAnsi="Arial"/>
          <w:spacing w:val="-1"/>
        </w:rPr>
        <w:t xml:space="preserve"> </w:t>
      </w:r>
      <w:r>
        <w:rPr>
          <w:rFonts w:ascii="Arial" w:hAnsi="Arial"/>
        </w:rPr>
        <w:t>feita</w:t>
      </w:r>
      <w:r>
        <w:rPr>
          <w:rFonts w:ascii="Arial" w:hAnsi="Arial"/>
          <w:spacing w:val="-1"/>
        </w:rPr>
        <w:t xml:space="preserve"> </w:t>
      </w:r>
      <w:r>
        <w:rPr>
          <w:rFonts w:ascii="Arial" w:hAnsi="Arial"/>
        </w:rPr>
        <w:t>através</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tabelas</w:t>
      </w:r>
      <w:r>
        <w:rPr>
          <w:rFonts w:ascii="Arial" w:hAnsi="Arial"/>
          <w:spacing w:val="-1"/>
        </w:rPr>
        <w:t xml:space="preserve"> </w:t>
      </w:r>
      <w:r>
        <w:rPr>
          <w:rFonts w:ascii="Arial" w:hAnsi="Arial"/>
        </w:rPr>
        <w:t>oficiais</w:t>
      </w:r>
      <w:r>
        <w:rPr>
          <w:rFonts w:ascii="Arial" w:hAnsi="Arial"/>
          <w:spacing w:val="-1"/>
        </w:rPr>
        <w:t xml:space="preserve"> </w:t>
      </w:r>
      <w:r>
        <w:rPr>
          <w:rFonts w:ascii="Arial" w:hAnsi="Arial"/>
        </w:rPr>
        <w:t>e/ou</w:t>
      </w:r>
      <w:r>
        <w:rPr>
          <w:rFonts w:ascii="Arial" w:hAnsi="Arial"/>
          <w:spacing w:val="-1"/>
        </w:rPr>
        <w:t xml:space="preserve"> </w:t>
      </w:r>
      <w:r>
        <w:rPr>
          <w:rFonts w:ascii="Arial" w:hAnsi="Arial"/>
        </w:rPr>
        <w:t>cotações</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mercado.</w:t>
      </w:r>
    </w:p>
    <w:p>
      <w:pPr>
        <w:pStyle w:val="Default"/>
        <w:jc w:val="both"/>
        <w:rPr>
          <w:rFonts w:ascii="Arial" w:hAnsi="Arial"/>
          <w:sz w:val="22"/>
        </w:rPr>
      </w:pPr>
      <w:r>
        <w:rPr>
          <w:rFonts w:eastAsia="Arial MT" w:cs="Arial MT" w:ascii="Arial" w:hAnsi="Arial"/>
          <w:color w:val="auto"/>
          <w:sz w:val="22"/>
          <w:lang w:val="pt-PT"/>
        </w:rPr>
        <w:t xml:space="preserve">7.3. O reequilíbrio econômico poderá ser solicitado a qualquer tempo pelo Contratado,  desde que comprovado caso de força maior, caso fortuito ou fato do príncipe ou em decorrência de fatos imprevisíveis ou previsíveis de consequências incalculáveis, que inviabilizem a execução da presente ata tal como pactuado, nos termos do art. 124, inciso II, alínea “d” da lei nº 14.133/21, sendo que a resposta de deferimento ou indeferimento do pedido ocorrerá sempre no primeiro dia do mês subsequente a requisição. </w:t>
      </w:r>
    </w:p>
    <w:p>
      <w:pPr>
        <w:pStyle w:val="Normal"/>
        <w:widowControl w:val="false"/>
        <w:tabs>
          <w:tab w:val="clear" w:pos="708"/>
          <w:tab w:val="left" w:pos="10597" w:leader="none"/>
        </w:tabs>
        <w:spacing w:lineRule="auto" w:line="240" w:before="0" w:after="0"/>
        <w:jc w:val="both"/>
        <w:textAlignment w:val="baseline"/>
        <w:rPr>
          <w:rFonts w:ascii="Arial" w:hAnsi="Arial"/>
        </w:rPr>
      </w:pPr>
      <w:r>
        <w:rPr>
          <w:rFonts w:eastAsia="Times New Roman" w:cs="Arial" w:ascii="Arial" w:hAnsi="Arial"/>
          <w:color w:val="000000"/>
          <w:spacing w:val="-3"/>
          <w:lang w:eastAsia="pt-BR"/>
        </w:rPr>
        <w:t>7.3.1 Se concedido o reequilíbrio este atingirá somente compras futuras, posteriores ao pedido, não recaindo nas compras já solicitadas e empenhadas. Devendo o fornecedor entregar os bens já empenhados pelo valor da licitação.</w:t>
      </w:r>
    </w:p>
    <w:p>
      <w:pPr>
        <w:pStyle w:val="Normal"/>
        <w:widowControl w:val="false"/>
        <w:tabs>
          <w:tab w:val="clear" w:pos="708"/>
          <w:tab w:val="left" w:pos="10597" w:leader="none"/>
        </w:tabs>
        <w:spacing w:lineRule="auto" w:line="240" w:before="0" w:after="0"/>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VIII</w:t>
      </w:r>
      <w:r>
        <w:rPr>
          <w:rFonts w:eastAsia="Times New Roman" w:cs="Arial" w:ascii="Arial" w:hAnsi="Arial"/>
          <w:bCs w:val="false"/>
          <w:color w:val="000000"/>
          <w:spacing w:val="-3"/>
          <w:sz w:val="22"/>
          <w:szCs w:val="22"/>
          <w:shd w:fill="CCCCCC" w:val="clear"/>
          <w:lang w:eastAsia="pt-BR"/>
        </w:rPr>
        <w:t xml:space="preserve"> – DO CANCELAMENTO DA ATA DE REGISTRO DE PREÇOS</w:t>
      </w:r>
    </w:p>
    <w:p>
      <w:pPr>
        <w:pStyle w:val="ListParagraph"/>
        <w:tabs>
          <w:tab w:val="clear" w:pos="708"/>
          <w:tab w:val="left" w:pos="320" w:leader="none"/>
        </w:tabs>
        <w:spacing w:lineRule="auto" w:line="240" w:before="0" w:after="0"/>
        <w:contextualSpacing/>
        <w:rPr>
          <w:rFonts w:eastAsia="Times New Roman" w:cs="Arial"/>
          <w:spacing w:val="-3"/>
          <w:lang w:eastAsia="pt-BR"/>
        </w:rPr>
      </w:pPr>
      <w:r>
        <w:rPr>
          <w:rFonts w:eastAsia="Times New Roman" w:cs="Arial"/>
          <w:spacing w:val="-3"/>
          <w:lang w:eastAsia="pt-BR"/>
        </w:rPr>
      </w:r>
    </w:p>
    <w:p>
      <w:pPr>
        <w:pStyle w:val="ListParagraph"/>
        <w:tabs>
          <w:tab w:val="clear" w:pos="708"/>
          <w:tab w:val="left" w:pos="320" w:leader="none"/>
        </w:tabs>
        <w:spacing w:lineRule="auto" w:line="240" w:before="0" w:after="0"/>
        <w:ind w:left="0" w:hanging="0"/>
        <w:contextualSpacing/>
        <w:jc w:val="both"/>
        <w:rPr>
          <w:rFonts w:ascii="Arial" w:hAnsi="Arial"/>
        </w:rPr>
      </w:pPr>
      <w:r>
        <w:rPr>
          <w:rFonts w:eastAsia="Times New Roman" w:cs="Arial" w:ascii="Arial" w:hAnsi="Arial"/>
          <w:color w:val="000000"/>
          <w:spacing w:val="-3"/>
          <w:lang w:eastAsia="pt-BR"/>
        </w:rPr>
        <w:t xml:space="preserve">8. </w:t>
      </w:r>
      <w:r>
        <w:rPr>
          <w:rFonts w:ascii="Arial" w:hAnsi="Arial"/>
        </w:rPr>
        <w:t>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Preços</w:t>
      </w:r>
      <w:r>
        <w:rPr>
          <w:rFonts w:ascii="Arial" w:hAnsi="Arial"/>
          <w:spacing w:val="-4"/>
        </w:rPr>
        <w:t xml:space="preserve"> </w:t>
      </w:r>
      <w:r>
        <w:rPr>
          <w:rFonts w:ascii="Arial" w:hAnsi="Arial"/>
        </w:rPr>
        <w:t>poderá</w:t>
      </w:r>
      <w:r>
        <w:rPr>
          <w:rFonts w:ascii="Arial" w:hAnsi="Arial"/>
          <w:spacing w:val="-4"/>
        </w:rPr>
        <w:t xml:space="preserve"> </w:t>
      </w:r>
      <w:r>
        <w:rPr>
          <w:rFonts w:ascii="Arial" w:hAnsi="Arial"/>
        </w:rPr>
        <w:t>ser</w:t>
      </w:r>
      <w:r>
        <w:rPr>
          <w:rFonts w:ascii="Arial" w:hAnsi="Arial"/>
          <w:spacing w:val="-4"/>
        </w:rPr>
        <w:t xml:space="preserve"> </w:t>
      </w:r>
      <w:r>
        <w:rPr>
          <w:rFonts w:ascii="Arial" w:hAnsi="Arial"/>
        </w:rPr>
        <w:t>cancelada,</w:t>
      </w:r>
      <w:r>
        <w:rPr>
          <w:rFonts w:ascii="Arial" w:hAnsi="Arial"/>
          <w:spacing w:val="-4"/>
        </w:rPr>
        <w:t xml:space="preserve"> </w:t>
      </w:r>
      <w:r>
        <w:rPr>
          <w:rFonts w:ascii="Arial" w:hAnsi="Arial"/>
        </w:rPr>
        <w:t>de</w:t>
      </w:r>
      <w:r>
        <w:rPr>
          <w:rFonts w:ascii="Arial" w:hAnsi="Arial"/>
          <w:spacing w:val="-3"/>
        </w:rPr>
        <w:t xml:space="preserve"> </w:t>
      </w:r>
      <w:r>
        <w:rPr>
          <w:rFonts w:ascii="Arial" w:hAnsi="Arial"/>
        </w:rPr>
        <w:t>pleno</w:t>
      </w:r>
      <w:r>
        <w:rPr>
          <w:rFonts w:ascii="Arial" w:hAnsi="Arial"/>
          <w:spacing w:val="-4"/>
        </w:rPr>
        <w:t xml:space="preserve"> </w:t>
      </w:r>
      <w:r>
        <w:rPr>
          <w:rFonts w:ascii="Arial" w:hAnsi="Arial"/>
        </w:rPr>
        <w:t>direito:</w:t>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8.1.</w:t>
        <w:tab/>
        <w:t>Pela</w:t>
      </w:r>
      <w:r>
        <w:rPr>
          <w:rFonts w:ascii="Arial" w:hAnsi="Arial"/>
          <w:spacing w:val="-7"/>
        </w:rPr>
        <w:t xml:space="preserve"> </w:t>
      </w:r>
      <w:r>
        <w:rPr>
          <w:rFonts w:ascii="Arial" w:hAnsi="Arial"/>
        </w:rPr>
        <w:t>Administração</w:t>
      </w:r>
      <w:r>
        <w:rPr>
          <w:rFonts w:ascii="Arial" w:hAnsi="Arial"/>
          <w:spacing w:val="-6"/>
        </w:rPr>
        <w:t xml:space="preserve"> </w:t>
      </w:r>
      <w:r>
        <w:rPr>
          <w:rFonts w:ascii="Arial" w:hAnsi="Arial"/>
        </w:rPr>
        <w:t>Municipal,</w:t>
      </w:r>
      <w:r>
        <w:rPr>
          <w:rFonts w:ascii="Arial" w:hAnsi="Arial"/>
          <w:spacing w:val="-6"/>
        </w:rPr>
        <w:t xml:space="preserve"> </w:t>
      </w:r>
      <w:r>
        <w:rPr>
          <w:rFonts w:ascii="Arial" w:hAnsi="Arial"/>
        </w:rPr>
        <w:t>quando:</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8.1.1. A</w:t>
      </w:r>
      <w:r>
        <w:rPr>
          <w:rFonts w:ascii="Arial" w:hAnsi="Arial"/>
          <w:spacing w:val="-5"/>
        </w:rPr>
        <w:t xml:space="preserve"> </w:t>
      </w:r>
      <w:r>
        <w:rPr>
          <w:rFonts w:ascii="Arial" w:hAnsi="Arial"/>
        </w:rPr>
        <w:t>detentora</w:t>
      </w:r>
      <w:r>
        <w:rPr>
          <w:rFonts w:ascii="Arial" w:hAnsi="Arial"/>
          <w:spacing w:val="-4"/>
        </w:rPr>
        <w:t xml:space="preserve"> </w:t>
      </w:r>
      <w:r>
        <w:rPr>
          <w:rFonts w:ascii="Arial" w:hAnsi="Arial"/>
        </w:rPr>
        <w:t>não</w:t>
      </w:r>
      <w:r>
        <w:rPr>
          <w:rFonts w:ascii="Arial" w:hAnsi="Arial"/>
          <w:spacing w:val="-4"/>
        </w:rPr>
        <w:t xml:space="preserve"> </w:t>
      </w:r>
      <w:r>
        <w:rPr>
          <w:rFonts w:ascii="Arial" w:hAnsi="Arial"/>
        </w:rPr>
        <w:t>cumprir</w:t>
      </w:r>
      <w:r>
        <w:rPr>
          <w:rFonts w:ascii="Arial" w:hAnsi="Arial"/>
          <w:spacing w:val="-4"/>
        </w:rPr>
        <w:t xml:space="preserve"> </w:t>
      </w:r>
      <w:r>
        <w:rPr>
          <w:rFonts w:ascii="Arial" w:hAnsi="Arial"/>
        </w:rPr>
        <w:t>as</w:t>
      </w:r>
      <w:r>
        <w:rPr>
          <w:rFonts w:ascii="Arial" w:hAnsi="Arial"/>
          <w:spacing w:val="-4"/>
        </w:rPr>
        <w:t xml:space="preserve"> </w:t>
      </w:r>
      <w:r>
        <w:rPr>
          <w:rFonts w:ascii="Arial" w:hAnsi="Arial"/>
        </w:rPr>
        <w:t>obrigações</w:t>
      </w:r>
      <w:r>
        <w:rPr>
          <w:rFonts w:ascii="Arial" w:hAnsi="Arial"/>
          <w:spacing w:val="-5"/>
        </w:rPr>
        <w:t xml:space="preserve"> </w:t>
      </w:r>
      <w:r>
        <w:rPr>
          <w:rFonts w:ascii="Arial" w:hAnsi="Arial"/>
        </w:rPr>
        <w:t>constantes</w:t>
      </w:r>
      <w:r>
        <w:rPr>
          <w:rFonts w:ascii="Arial" w:hAnsi="Arial"/>
          <w:spacing w:val="-4"/>
        </w:rPr>
        <w:t xml:space="preserve"> </w:t>
      </w:r>
      <w:r>
        <w:rPr>
          <w:rFonts w:ascii="Arial" w:hAnsi="Arial"/>
        </w:rPr>
        <w:t>desta</w:t>
      </w:r>
      <w:r>
        <w:rPr>
          <w:rFonts w:ascii="Arial" w:hAnsi="Arial"/>
          <w:spacing w:val="-4"/>
        </w:rPr>
        <w:t xml:space="preserve"> </w:t>
      </w:r>
      <w:r>
        <w:rPr>
          <w:rFonts w:ascii="Arial" w:hAnsi="Arial"/>
        </w:rPr>
        <w:t>Ata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8.1.2. A</w:t>
      </w:r>
      <w:r>
        <w:rPr>
          <w:rFonts w:ascii="Arial" w:hAnsi="Arial"/>
          <w:spacing w:val="-5"/>
        </w:rPr>
        <w:t xml:space="preserve"> </w:t>
      </w:r>
      <w:r>
        <w:rPr>
          <w:rFonts w:ascii="Arial" w:hAnsi="Arial"/>
        </w:rPr>
        <w:t>detentora</w:t>
      </w:r>
      <w:r>
        <w:rPr>
          <w:rFonts w:ascii="Arial" w:hAnsi="Arial"/>
          <w:spacing w:val="-5"/>
        </w:rPr>
        <w:t xml:space="preserve"> </w:t>
      </w:r>
      <w:r>
        <w:rPr>
          <w:rFonts w:ascii="Arial" w:hAnsi="Arial"/>
        </w:rPr>
        <w:t>não</w:t>
      </w:r>
      <w:r>
        <w:rPr>
          <w:rFonts w:ascii="Arial" w:hAnsi="Arial"/>
          <w:spacing w:val="-5"/>
        </w:rPr>
        <w:t xml:space="preserve"> </w:t>
      </w:r>
      <w:r>
        <w:rPr>
          <w:rFonts w:ascii="Arial" w:hAnsi="Arial"/>
        </w:rPr>
        <w:t>retirar</w:t>
      </w:r>
      <w:r>
        <w:rPr>
          <w:rFonts w:ascii="Arial" w:hAnsi="Arial"/>
          <w:spacing w:val="-5"/>
        </w:rPr>
        <w:t xml:space="preserve"> </w:t>
      </w:r>
      <w:r>
        <w:rPr>
          <w:rFonts w:ascii="Arial" w:hAnsi="Arial"/>
        </w:rPr>
        <w:t>a</w:t>
      </w:r>
      <w:r>
        <w:rPr>
          <w:rFonts w:ascii="Arial" w:hAnsi="Arial"/>
          <w:spacing w:val="-5"/>
        </w:rPr>
        <w:t xml:space="preserve"> </w:t>
      </w:r>
      <w:r>
        <w:rPr>
          <w:rFonts w:ascii="Arial" w:hAnsi="Arial"/>
        </w:rPr>
        <w:t>Nota</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Empenho</w:t>
      </w:r>
      <w:r>
        <w:rPr>
          <w:rFonts w:ascii="Arial" w:hAnsi="Arial"/>
          <w:spacing w:val="-5"/>
        </w:rPr>
        <w:t xml:space="preserve"> </w:t>
      </w:r>
      <w:r>
        <w:rPr>
          <w:rFonts w:ascii="Arial" w:hAnsi="Arial"/>
        </w:rPr>
        <w:t>no</w:t>
      </w:r>
      <w:r>
        <w:rPr>
          <w:rFonts w:ascii="Arial" w:hAnsi="Arial"/>
          <w:spacing w:val="-5"/>
        </w:rPr>
        <w:t xml:space="preserve"> </w:t>
      </w:r>
      <w:r>
        <w:rPr>
          <w:rFonts w:ascii="Arial" w:hAnsi="Arial"/>
        </w:rPr>
        <w:t>prazo</w:t>
      </w:r>
      <w:r>
        <w:rPr>
          <w:rFonts w:ascii="Arial" w:hAnsi="Arial"/>
          <w:spacing w:val="-5"/>
        </w:rPr>
        <w:t xml:space="preserve"> </w:t>
      </w:r>
      <w:r>
        <w:rPr>
          <w:rFonts w:ascii="Arial" w:hAnsi="Arial"/>
        </w:rPr>
        <w:t>estabelecido</w:t>
      </w:r>
      <w:r>
        <w:rPr>
          <w:rFonts w:ascii="Arial" w:hAnsi="Arial"/>
          <w:spacing w:val="-5"/>
        </w:rPr>
        <w:t xml:space="preserve"> </w:t>
      </w:r>
      <w:r>
        <w:rPr>
          <w:rFonts w:ascii="Arial" w:hAnsi="Arial"/>
        </w:rPr>
        <w:t>e</w:t>
      </w:r>
      <w:r>
        <w:rPr>
          <w:rFonts w:ascii="Arial" w:hAnsi="Arial"/>
          <w:spacing w:val="-5"/>
        </w:rPr>
        <w:t xml:space="preserve"> </w:t>
      </w:r>
      <w:r>
        <w:rPr>
          <w:rFonts w:ascii="Arial" w:hAnsi="Arial"/>
        </w:rPr>
        <w:t>a</w:t>
      </w:r>
      <w:r>
        <w:rPr>
          <w:rFonts w:ascii="Arial" w:hAnsi="Arial"/>
          <w:spacing w:val="-4"/>
        </w:rPr>
        <w:t xml:space="preserve"> </w:t>
      </w:r>
      <w:r>
        <w:rPr>
          <w:rFonts w:ascii="Arial" w:hAnsi="Arial"/>
        </w:rPr>
        <w:t>Administração</w:t>
      </w:r>
      <w:r>
        <w:rPr>
          <w:rFonts w:ascii="Arial" w:hAnsi="Arial"/>
          <w:spacing w:val="-5"/>
        </w:rPr>
        <w:t xml:space="preserve"> </w:t>
      </w:r>
      <w:r>
        <w:rPr>
          <w:rFonts w:ascii="Arial" w:hAnsi="Arial"/>
        </w:rPr>
        <w:t>não</w:t>
      </w:r>
      <w:r>
        <w:rPr>
          <w:rFonts w:ascii="Arial" w:hAnsi="Arial"/>
          <w:spacing w:val="-5"/>
        </w:rPr>
        <w:t xml:space="preserve"> </w:t>
      </w:r>
      <w:r>
        <w:rPr>
          <w:rFonts w:ascii="Arial" w:hAnsi="Arial"/>
        </w:rPr>
        <w:t>aceitar</w:t>
      </w:r>
      <w:r>
        <w:rPr>
          <w:rFonts w:ascii="Arial" w:hAnsi="Arial"/>
          <w:spacing w:val="-5"/>
        </w:rPr>
        <w:t xml:space="preserve"> </w:t>
      </w:r>
      <w:r>
        <w:rPr>
          <w:rFonts w:ascii="Arial" w:hAnsi="Arial"/>
        </w:rPr>
        <w:t>sua</w:t>
      </w:r>
      <w:r>
        <w:rPr>
          <w:rFonts w:ascii="Arial" w:hAnsi="Arial"/>
          <w:spacing w:val="-5"/>
        </w:rPr>
        <w:t xml:space="preserve"> </w:t>
      </w:r>
      <w:r>
        <w:rPr>
          <w:rFonts w:ascii="Arial" w:hAnsi="Arial"/>
        </w:rPr>
        <w:t>justificativa;</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8.1.3. A</w:t>
      </w:r>
      <w:r>
        <w:rPr>
          <w:rFonts w:ascii="Arial" w:hAnsi="Arial"/>
          <w:spacing w:val="-4"/>
        </w:rPr>
        <w:t xml:space="preserve"> </w:t>
      </w:r>
      <w:r>
        <w:rPr>
          <w:rFonts w:ascii="Arial" w:hAnsi="Arial"/>
        </w:rPr>
        <w:t>detentora</w:t>
      </w:r>
      <w:r>
        <w:rPr>
          <w:rFonts w:ascii="Arial" w:hAnsi="Arial"/>
          <w:spacing w:val="-4"/>
        </w:rPr>
        <w:t xml:space="preserve"> </w:t>
      </w:r>
      <w:r>
        <w:rPr>
          <w:rFonts w:ascii="Arial" w:hAnsi="Arial"/>
        </w:rPr>
        <w:t>der</w:t>
      </w:r>
      <w:r>
        <w:rPr>
          <w:rFonts w:ascii="Arial" w:hAnsi="Arial"/>
          <w:spacing w:val="-4"/>
        </w:rPr>
        <w:t xml:space="preserve"> </w:t>
      </w:r>
      <w:r>
        <w:rPr>
          <w:rFonts w:ascii="Arial" w:hAnsi="Arial"/>
        </w:rPr>
        <w:t>causa</w:t>
      </w:r>
      <w:r>
        <w:rPr>
          <w:rFonts w:ascii="Arial" w:hAnsi="Arial"/>
          <w:spacing w:val="-4"/>
        </w:rPr>
        <w:t xml:space="preserve"> </w:t>
      </w:r>
      <w:r>
        <w:rPr>
          <w:rFonts w:ascii="Arial" w:hAnsi="Arial"/>
        </w:rPr>
        <w:t>a</w:t>
      </w:r>
      <w:r>
        <w:rPr>
          <w:rFonts w:ascii="Arial" w:hAnsi="Arial"/>
          <w:spacing w:val="-4"/>
        </w:rPr>
        <w:t xml:space="preserve"> </w:t>
      </w:r>
      <w:r>
        <w:rPr>
          <w:rFonts w:ascii="Arial" w:hAnsi="Arial"/>
        </w:rPr>
        <w:t>rescisão</w:t>
      </w:r>
      <w:r>
        <w:rPr>
          <w:rFonts w:ascii="Arial" w:hAnsi="Arial"/>
          <w:spacing w:val="-4"/>
        </w:rPr>
        <w:t xml:space="preserve"> </w:t>
      </w:r>
      <w:r>
        <w:rPr>
          <w:rFonts w:ascii="Arial" w:hAnsi="Arial"/>
        </w:rPr>
        <w:t>administrativa</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contrato</w:t>
      </w:r>
      <w:r>
        <w:rPr>
          <w:rFonts w:ascii="Arial" w:hAnsi="Arial"/>
          <w:spacing w:val="-4"/>
        </w:rPr>
        <w:t xml:space="preserve"> </w:t>
      </w:r>
      <w:r>
        <w:rPr>
          <w:rFonts w:ascii="Arial" w:hAnsi="Arial"/>
        </w:rPr>
        <w:t>decorrente</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8.1.4. Em</w:t>
      </w:r>
      <w:r>
        <w:rPr>
          <w:rFonts w:ascii="Arial" w:hAnsi="Arial"/>
          <w:spacing w:val="-5"/>
        </w:rPr>
        <w:t xml:space="preserve"> </w:t>
      </w:r>
      <w:r>
        <w:rPr>
          <w:rFonts w:ascii="Arial" w:hAnsi="Arial"/>
        </w:rPr>
        <w:t>qualquer</w:t>
      </w:r>
      <w:r>
        <w:rPr>
          <w:rFonts w:ascii="Arial" w:hAnsi="Arial"/>
          <w:spacing w:val="-4"/>
        </w:rPr>
        <w:t xml:space="preserve"> </w:t>
      </w:r>
      <w:r>
        <w:rPr>
          <w:rFonts w:ascii="Arial" w:hAnsi="Arial"/>
        </w:rPr>
        <w:t>das</w:t>
      </w:r>
      <w:r>
        <w:rPr>
          <w:rFonts w:ascii="Arial" w:hAnsi="Arial"/>
          <w:spacing w:val="-4"/>
        </w:rPr>
        <w:t xml:space="preserve"> </w:t>
      </w:r>
      <w:r>
        <w:rPr>
          <w:rFonts w:ascii="Arial" w:hAnsi="Arial"/>
        </w:rPr>
        <w:t>hipóteses</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recusa</w:t>
      </w:r>
      <w:r>
        <w:rPr>
          <w:rFonts w:ascii="Arial" w:hAnsi="Arial"/>
          <w:spacing w:val="-4"/>
        </w:rPr>
        <w:t xml:space="preserve"> </w:t>
      </w:r>
      <w:r>
        <w:rPr>
          <w:rFonts w:ascii="Arial" w:hAnsi="Arial"/>
        </w:rPr>
        <w:t>na</w:t>
      </w:r>
      <w:r>
        <w:rPr>
          <w:rFonts w:ascii="Arial" w:hAnsi="Arial"/>
          <w:spacing w:val="-4"/>
        </w:rPr>
        <w:t xml:space="preserve"> </w:t>
      </w:r>
      <w:r>
        <w:rPr>
          <w:rFonts w:ascii="Arial" w:hAnsi="Arial"/>
        </w:rPr>
        <w:t>entrega</w:t>
      </w:r>
      <w:r>
        <w:rPr>
          <w:rFonts w:ascii="Arial" w:hAnsi="Arial"/>
          <w:spacing w:val="-4"/>
        </w:rPr>
        <w:t xml:space="preserve"> </w:t>
      </w:r>
      <w:r>
        <w:rPr>
          <w:rFonts w:ascii="Arial" w:hAnsi="Arial"/>
        </w:rPr>
        <w:t>total</w:t>
      </w:r>
      <w:r>
        <w:rPr>
          <w:rFonts w:ascii="Arial" w:hAnsi="Arial"/>
          <w:spacing w:val="-4"/>
        </w:rPr>
        <w:t xml:space="preserve"> </w:t>
      </w:r>
      <w:r>
        <w:rPr>
          <w:rFonts w:ascii="Arial" w:hAnsi="Arial"/>
        </w:rPr>
        <w:t>ou</w:t>
      </w:r>
      <w:r>
        <w:rPr>
          <w:rFonts w:ascii="Arial" w:hAnsi="Arial"/>
          <w:spacing w:val="-4"/>
        </w:rPr>
        <w:t xml:space="preserve"> </w:t>
      </w:r>
      <w:r>
        <w:rPr>
          <w:rFonts w:ascii="Arial" w:hAnsi="Arial"/>
        </w:rPr>
        <w:t>parcial</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contrato</w:t>
      </w:r>
      <w:r>
        <w:rPr>
          <w:rFonts w:ascii="Arial" w:hAnsi="Arial"/>
          <w:spacing w:val="-4"/>
        </w:rPr>
        <w:t xml:space="preserve"> </w:t>
      </w:r>
      <w:r>
        <w:rPr>
          <w:rFonts w:ascii="Arial" w:hAnsi="Arial"/>
        </w:rPr>
        <w:t>decorrente</w:t>
      </w:r>
      <w:r>
        <w:rPr>
          <w:rFonts w:ascii="Arial" w:hAnsi="Arial"/>
          <w:spacing w:val="-5"/>
        </w:rPr>
        <w:t xml:space="preserve"> </w:t>
      </w:r>
      <w:r>
        <w:rPr>
          <w:rFonts w:ascii="Arial" w:hAnsi="Arial"/>
        </w:rPr>
        <w:t>de</w:t>
      </w:r>
      <w:r>
        <w:rPr>
          <w:rFonts w:ascii="Arial" w:hAnsi="Arial"/>
          <w:spacing w:val="-4"/>
        </w:rPr>
        <w:t xml:space="preserve"> </w:t>
      </w:r>
      <w:r>
        <w:rPr>
          <w:rFonts w:ascii="Arial" w:hAnsi="Arial"/>
        </w:rPr>
        <w:t>registro</w:t>
      </w:r>
      <w:r>
        <w:rPr>
          <w:rFonts w:ascii="Arial" w:hAnsi="Arial"/>
          <w:spacing w:val="-4"/>
        </w:rPr>
        <w:t xml:space="preserve"> </w:t>
      </w:r>
      <w:r>
        <w:rPr>
          <w:rFonts w:ascii="Arial" w:hAnsi="Arial"/>
        </w:rPr>
        <w:t>de</w:t>
      </w:r>
      <w:r>
        <w:rPr>
          <w:rFonts w:ascii="Arial" w:hAnsi="Arial"/>
          <w:spacing w:val="-4"/>
        </w:rPr>
        <w:t xml:space="preserve"> </w:t>
      </w:r>
      <w:r>
        <w:rPr>
          <w:rFonts w:ascii="Arial" w:hAnsi="Arial"/>
        </w:rPr>
        <w:t>preços;</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8.1.5. Os</w:t>
      </w:r>
      <w:r>
        <w:rPr>
          <w:rFonts w:ascii="Arial" w:hAnsi="Arial"/>
          <w:spacing w:val="-4"/>
        </w:rPr>
        <w:t xml:space="preserve"> </w:t>
      </w:r>
      <w:r>
        <w:rPr>
          <w:rFonts w:ascii="Arial" w:hAnsi="Arial"/>
        </w:rPr>
        <w:t>preços</w:t>
      </w:r>
      <w:r>
        <w:rPr>
          <w:rFonts w:ascii="Arial" w:hAnsi="Arial"/>
          <w:spacing w:val="-4"/>
        </w:rPr>
        <w:t xml:space="preserve"> </w:t>
      </w:r>
      <w:r>
        <w:rPr>
          <w:rFonts w:ascii="Arial" w:hAnsi="Arial"/>
        </w:rPr>
        <w:t>registrados</w:t>
      </w:r>
      <w:r>
        <w:rPr>
          <w:rFonts w:ascii="Arial" w:hAnsi="Arial"/>
          <w:spacing w:val="-4"/>
        </w:rPr>
        <w:t xml:space="preserve"> </w:t>
      </w:r>
      <w:r>
        <w:rPr>
          <w:rFonts w:ascii="Arial" w:hAnsi="Arial"/>
        </w:rPr>
        <w:t>se</w:t>
      </w:r>
      <w:r>
        <w:rPr>
          <w:rFonts w:ascii="Arial" w:hAnsi="Arial"/>
          <w:spacing w:val="-4"/>
        </w:rPr>
        <w:t xml:space="preserve"> </w:t>
      </w:r>
      <w:r>
        <w:rPr>
          <w:rFonts w:ascii="Arial" w:hAnsi="Arial"/>
        </w:rPr>
        <w:t>apresentarem</w:t>
      </w:r>
      <w:r>
        <w:rPr>
          <w:rFonts w:ascii="Arial" w:hAnsi="Arial"/>
          <w:spacing w:val="-4"/>
        </w:rPr>
        <w:t xml:space="preserve"> </w:t>
      </w:r>
      <w:r>
        <w:rPr>
          <w:rFonts w:ascii="Arial" w:hAnsi="Arial"/>
        </w:rPr>
        <w:t>superiores</w:t>
      </w:r>
      <w:r>
        <w:rPr>
          <w:rFonts w:ascii="Arial" w:hAnsi="Arial"/>
          <w:spacing w:val="-4"/>
        </w:rPr>
        <w:t xml:space="preserve"> </w:t>
      </w:r>
      <w:r>
        <w:rPr>
          <w:rFonts w:ascii="Arial" w:hAnsi="Arial"/>
        </w:rPr>
        <w:t>aos</w:t>
      </w:r>
      <w:r>
        <w:rPr>
          <w:rFonts w:ascii="Arial" w:hAnsi="Arial"/>
          <w:spacing w:val="-3"/>
        </w:rPr>
        <w:t xml:space="preserve"> </w:t>
      </w:r>
      <w:r>
        <w:rPr>
          <w:rFonts w:ascii="Arial" w:hAnsi="Arial"/>
        </w:rPr>
        <w:t>praticados</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mercado;</w:t>
      </w:r>
    </w:p>
    <w:p>
      <w:pPr>
        <w:pStyle w:val="ListParagraph"/>
        <w:tabs>
          <w:tab w:val="clear" w:pos="708"/>
          <w:tab w:val="left" w:pos="542" w:leader="none"/>
        </w:tabs>
        <w:spacing w:lineRule="auto" w:line="240" w:before="0" w:after="0"/>
        <w:ind w:left="0" w:hanging="0"/>
        <w:contextualSpacing/>
        <w:jc w:val="both"/>
        <w:rPr>
          <w:rFonts w:ascii="Arial" w:hAnsi="Arial"/>
        </w:rPr>
      </w:pPr>
      <w:r>
        <w:rPr>
          <w:rFonts w:ascii="Arial" w:hAnsi="Arial"/>
        </w:rPr>
        <w:t>8.1.6. Por</w:t>
      </w:r>
      <w:r>
        <w:rPr>
          <w:rFonts w:ascii="Arial" w:hAnsi="Arial"/>
          <w:spacing w:val="-7"/>
        </w:rPr>
        <w:t xml:space="preserve"> </w:t>
      </w:r>
      <w:r>
        <w:rPr>
          <w:rFonts w:ascii="Arial" w:hAnsi="Arial"/>
        </w:rPr>
        <w:t>razões</w:t>
      </w:r>
      <w:r>
        <w:rPr>
          <w:rFonts w:ascii="Arial" w:hAnsi="Arial"/>
          <w:spacing w:val="-7"/>
        </w:rPr>
        <w:t xml:space="preserve"> </w:t>
      </w:r>
      <w:r>
        <w:rPr>
          <w:rFonts w:ascii="Arial" w:hAnsi="Arial"/>
        </w:rPr>
        <w:t>de</w:t>
      </w:r>
      <w:r>
        <w:rPr>
          <w:rFonts w:ascii="Arial" w:hAnsi="Arial"/>
          <w:spacing w:val="-7"/>
        </w:rPr>
        <w:t xml:space="preserve"> </w:t>
      </w:r>
      <w:r>
        <w:rPr>
          <w:rFonts w:ascii="Arial" w:hAnsi="Arial"/>
        </w:rPr>
        <w:t>interesse</w:t>
      </w:r>
      <w:r>
        <w:rPr>
          <w:rFonts w:ascii="Arial" w:hAnsi="Arial"/>
          <w:spacing w:val="-7"/>
        </w:rPr>
        <w:t xml:space="preserve"> </w:t>
      </w:r>
      <w:r>
        <w:rPr>
          <w:rFonts w:ascii="Arial" w:hAnsi="Arial"/>
        </w:rPr>
        <w:t>público</w:t>
      </w:r>
      <w:r>
        <w:rPr>
          <w:rFonts w:ascii="Arial" w:hAnsi="Arial"/>
          <w:spacing w:val="-7"/>
        </w:rPr>
        <w:t xml:space="preserve"> </w:t>
      </w:r>
      <w:r>
        <w:rPr>
          <w:rFonts w:ascii="Arial" w:hAnsi="Arial"/>
        </w:rPr>
        <w:t>devidamente</w:t>
      </w:r>
      <w:r>
        <w:rPr>
          <w:rFonts w:ascii="Arial" w:hAnsi="Arial"/>
          <w:spacing w:val="-7"/>
        </w:rPr>
        <w:t xml:space="preserve"> </w:t>
      </w:r>
      <w:r>
        <w:rPr>
          <w:rFonts w:ascii="Arial" w:hAnsi="Arial"/>
        </w:rPr>
        <w:t>demonstradas</w:t>
      </w:r>
      <w:r>
        <w:rPr>
          <w:rFonts w:ascii="Arial" w:hAnsi="Arial"/>
          <w:spacing w:val="-7"/>
        </w:rPr>
        <w:t xml:space="preserve"> </w:t>
      </w:r>
      <w:r>
        <w:rPr>
          <w:rFonts w:ascii="Arial" w:hAnsi="Arial"/>
        </w:rPr>
        <w:t>e</w:t>
      </w:r>
      <w:r>
        <w:rPr>
          <w:rFonts w:ascii="Arial" w:hAnsi="Arial"/>
          <w:spacing w:val="-7"/>
        </w:rPr>
        <w:t xml:space="preserve"> </w:t>
      </w:r>
      <w:r>
        <w:rPr>
          <w:rFonts w:ascii="Arial" w:hAnsi="Arial"/>
        </w:rPr>
        <w:t>justificadas</w:t>
      </w:r>
      <w:r>
        <w:rPr>
          <w:rFonts w:ascii="Arial" w:hAnsi="Arial"/>
          <w:spacing w:val="-6"/>
        </w:rPr>
        <w:t xml:space="preserve"> </w:t>
      </w:r>
      <w:r>
        <w:rPr>
          <w:rFonts w:ascii="Arial" w:hAnsi="Arial"/>
        </w:rPr>
        <w:t>pela</w:t>
      </w:r>
      <w:r>
        <w:rPr>
          <w:rFonts w:ascii="Arial" w:hAnsi="Arial"/>
          <w:spacing w:val="-7"/>
        </w:rPr>
        <w:t xml:space="preserve"> </w:t>
      </w:r>
      <w:r>
        <w:rPr>
          <w:rFonts w:ascii="Arial" w:hAnsi="Arial"/>
        </w:rPr>
        <w:t>Administração;</w:t>
      </w:r>
    </w:p>
    <w:p>
      <w:pPr>
        <w:pStyle w:val="ListParagraph"/>
        <w:tabs>
          <w:tab w:val="clear" w:pos="708"/>
          <w:tab w:val="left" w:pos="441" w:leader="none"/>
        </w:tabs>
        <w:spacing w:lineRule="auto" w:line="240" w:before="0" w:after="0"/>
        <w:ind w:left="0" w:hanging="0"/>
        <w:contextualSpacing/>
        <w:jc w:val="both"/>
        <w:rPr>
          <w:rFonts w:ascii="Arial" w:hAnsi="Arial"/>
        </w:rPr>
      </w:pPr>
      <w:r>
        <w:rPr>
          <w:rFonts w:ascii="Arial" w:hAnsi="Arial"/>
        </w:rPr>
        <w:t>8.2. No</w:t>
      </w:r>
      <w:r>
        <w:rPr>
          <w:rFonts w:ascii="Arial" w:hAnsi="Arial"/>
          <w:spacing w:val="27"/>
        </w:rPr>
        <w:t xml:space="preserve"> </w:t>
      </w:r>
      <w:r>
        <w:rPr>
          <w:rFonts w:ascii="Arial" w:hAnsi="Arial"/>
        </w:rPr>
        <w:t>caso</w:t>
      </w:r>
      <w:r>
        <w:rPr>
          <w:rFonts w:ascii="Arial" w:hAnsi="Arial"/>
          <w:spacing w:val="28"/>
        </w:rPr>
        <w:t xml:space="preserve"> </w:t>
      </w:r>
      <w:r>
        <w:rPr>
          <w:rFonts w:ascii="Arial" w:hAnsi="Arial"/>
        </w:rPr>
        <w:t>de</w:t>
      </w:r>
      <w:r>
        <w:rPr>
          <w:rFonts w:ascii="Arial" w:hAnsi="Arial"/>
          <w:spacing w:val="28"/>
        </w:rPr>
        <w:t xml:space="preserve"> </w:t>
      </w:r>
      <w:r>
        <w:rPr>
          <w:rFonts w:ascii="Arial" w:hAnsi="Arial"/>
        </w:rPr>
        <w:t>ser</w:t>
      </w:r>
      <w:r>
        <w:rPr>
          <w:rFonts w:ascii="Arial" w:hAnsi="Arial"/>
          <w:spacing w:val="28"/>
        </w:rPr>
        <w:t xml:space="preserve"> </w:t>
      </w:r>
      <w:r>
        <w:rPr>
          <w:rFonts w:ascii="Arial" w:hAnsi="Arial"/>
        </w:rPr>
        <w:t>ignorado,</w:t>
      </w:r>
      <w:r>
        <w:rPr>
          <w:rFonts w:ascii="Arial" w:hAnsi="Arial"/>
          <w:spacing w:val="28"/>
        </w:rPr>
        <w:t xml:space="preserve"> </w:t>
      </w:r>
      <w:r>
        <w:rPr>
          <w:rFonts w:ascii="Arial" w:hAnsi="Arial"/>
        </w:rPr>
        <w:t>incerto</w:t>
      </w:r>
      <w:r>
        <w:rPr>
          <w:rFonts w:ascii="Arial" w:hAnsi="Arial"/>
          <w:spacing w:val="28"/>
        </w:rPr>
        <w:t xml:space="preserve"> </w:t>
      </w:r>
      <w:r>
        <w:rPr>
          <w:rFonts w:ascii="Arial" w:hAnsi="Arial"/>
        </w:rPr>
        <w:t>ou</w:t>
      </w:r>
      <w:r>
        <w:rPr>
          <w:rFonts w:ascii="Arial" w:hAnsi="Arial"/>
          <w:spacing w:val="28"/>
        </w:rPr>
        <w:t xml:space="preserve"> </w:t>
      </w:r>
      <w:r>
        <w:rPr>
          <w:rFonts w:ascii="Arial" w:hAnsi="Arial"/>
        </w:rPr>
        <w:t>inacessível</w:t>
      </w:r>
      <w:r>
        <w:rPr>
          <w:rFonts w:ascii="Arial" w:hAnsi="Arial"/>
          <w:spacing w:val="28"/>
        </w:rPr>
        <w:t xml:space="preserve"> </w:t>
      </w:r>
      <w:r>
        <w:rPr>
          <w:rFonts w:ascii="Arial" w:hAnsi="Arial"/>
        </w:rPr>
        <w:t>o</w:t>
      </w:r>
      <w:r>
        <w:rPr>
          <w:rFonts w:ascii="Arial" w:hAnsi="Arial"/>
          <w:spacing w:val="28"/>
        </w:rPr>
        <w:t xml:space="preserve"> </w:t>
      </w:r>
      <w:r>
        <w:rPr>
          <w:rFonts w:ascii="Arial" w:hAnsi="Arial"/>
        </w:rPr>
        <w:t>endereço</w:t>
      </w:r>
      <w:r>
        <w:rPr>
          <w:rFonts w:ascii="Arial" w:hAnsi="Arial"/>
          <w:spacing w:val="28"/>
        </w:rPr>
        <w:t xml:space="preserve"> </w:t>
      </w:r>
      <w:r>
        <w:rPr>
          <w:rFonts w:ascii="Arial" w:hAnsi="Arial"/>
        </w:rPr>
        <w:t>da</w:t>
      </w:r>
      <w:r>
        <w:rPr>
          <w:rFonts w:ascii="Arial" w:hAnsi="Arial"/>
          <w:spacing w:val="28"/>
        </w:rPr>
        <w:t xml:space="preserve"> </w:t>
      </w:r>
      <w:r>
        <w:rPr>
          <w:rFonts w:ascii="Arial" w:hAnsi="Arial"/>
        </w:rPr>
        <w:t>detentora,</w:t>
      </w:r>
      <w:r>
        <w:rPr>
          <w:rFonts w:ascii="Arial" w:hAnsi="Arial"/>
          <w:spacing w:val="28"/>
        </w:rPr>
        <w:t xml:space="preserve"> </w:t>
      </w:r>
      <w:r>
        <w:rPr>
          <w:rFonts w:ascii="Arial" w:hAnsi="Arial"/>
        </w:rPr>
        <w:t>a</w:t>
      </w:r>
      <w:r>
        <w:rPr>
          <w:rFonts w:ascii="Arial" w:hAnsi="Arial"/>
          <w:spacing w:val="27"/>
        </w:rPr>
        <w:t xml:space="preserve"> </w:t>
      </w:r>
      <w:r>
        <w:rPr>
          <w:rFonts w:ascii="Arial" w:hAnsi="Arial"/>
        </w:rPr>
        <w:t>comunicação</w:t>
      </w:r>
      <w:r>
        <w:rPr>
          <w:rFonts w:ascii="Arial" w:hAnsi="Arial"/>
          <w:spacing w:val="28"/>
        </w:rPr>
        <w:t xml:space="preserve"> </w:t>
      </w:r>
      <w:r>
        <w:rPr>
          <w:rFonts w:ascii="Arial" w:hAnsi="Arial"/>
        </w:rPr>
        <w:t>será</w:t>
      </w:r>
      <w:r>
        <w:rPr>
          <w:rFonts w:ascii="Arial" w:hAnsi="Arial"/>
          <w:spacing w:val="28"/>
        </w:rPr>
        <w:t xml:space="preserve"> </w:t>
      </w:r>
      <w:r>
        <w:rPr>
          <w:rFonts w:ascii="Arial" w:hAnsi="Arial"/>
        </w:rPr>
        <w:t>feita</w:t>
      </w:r>
      <w:r>
        <w:rPr>
          <w:rFonts w:ascii="Arial" w:hAnsi="Arial"/>
          <w:spacing w:val="28"/>
        </w:rPr>
        <w:t xml:space="preserve"> </w:t>
      </w:r>
      <w:r>
        <w:rPr>
          <w:rFonts w:ascii="Arial" w:hAnsi="Arial"/>
        </w:rPr>
        <w:t>por</w:t>
      </w:r>
      <w:r>
        <w:rPr>
          <w:rFonts w:ascii="Arial" w:hAnsi="Arial"/>
          <w:spacing w:val="28"/>
        </w:rPr>
        <w:t xml:space="preserve"> </w:t>
      </w:r>
      <w:r>
        <w:rPr>
          <w:rFonts w:ascii="Arial" w:hAnsi="Arial"/>
        </w:rPr>
        <w:t>publicação</w:t>
      </w:r>
      <w:r>
        <w:rPr>
          <w:rFonts w:ascii="Arial" w:hAnsi="Arial"/>
          <w:spacing w:val="28"/>
        </w:rPr>
        <w:t xml:space="preserve"> </w:t>
      </w:r>
      <w:r>
        <w:rPr>
          <w:rFonts w:ascii="Arial" w:hAnsi="Arial"/>
        </w:rPr>
        <w:t>na</w:t>
      </w:r>
      <w:r>
        <w:rPr>
          <w:rFonts w:ascii="Arial" w:hAnsi="Arial"/>
          <w:spacing w:val="28"/>
        </w:rPr>
        <w:t xml:space="preserve"> </w:t>
      </w:r>
      <w:r>
        <w:rPr>
          <w:rFonts w:ascii="Arial" w:hAnsi="Arial"/>
        </w:rPr>
        <w:t>Imprensa</w:t>
      </w:r>
      <w:r>
        <w:rPr>
          <w:rFonts w:ascii="Arial" w:hAnsi="Arial"/>
          <w:spacing w:val="28"/>
        </w:rPr>
        <w:t xml:space="preserve"> </w:t>
      </w:r>
      <w:r>
        <w:rPr>
          <w:rFonts w:ascii="Arial" w:hAnsi="Arial"/>
        </w:rPr>
        <w:t>Oficial,</w:t>
      </w:r>
      <w:r>
        <w:rPr>
          <w:rFonts w:ascii="Arial" w:hAnsi="Arial"/>
          <w:spacing w:val="1"/>
        </w:rPr>
        <w:t xml:space="preserve"> </w:t>
      </w:r>
      <w:r>
        <w:rPr>
          <w:rFonts w:ascii="Arial" w:hAnsi="Arial"/>
        </w:rPr>
        <w:t>considerando-se</w:t>
      </w:r>
      <w:r>
        <w:rPr>
          <w:rFonts w:ascii="Arial" w:hAnsi="Arial"/>
          <w:spacing w:val="-2"/>
        </w:rPr>
        <w:t xml:space="preserve"> </w:t>
      </w:r>
      <w:r>
        <w:rPr>
          <w:rFonts w:ascii="Arial" w:hAnsi="Arial"/>
        </w:rPr>
        <w:t>cancelado</w:t>
      </w:r>
      <w:r>
        <w:rPr>
          <w:rFonts w:ascii="Arial" w:hAnsi="Arial"/>
          <w:spacing w:val="-1"/>
        </w:rPr>
        <w:t xml:space="preserve"> </w:t>
      </w:r>
      <w:r>
        <w:rPr>
          <w:rFonts w:ascii="Arial" w:hAnsi="Arial"/>
        </w:rPr>
        <w:t>o</w:t>
      </w:r>
      <w:r>
        <w:rPr>
          <w:rFonts w:ascii="Arial" w:hAnsi="Arial"/>
          <w:spacing w:val="-1"/>
        </w:rPr>
        <w:t xml:space="preserve"> </w:t>
      </w:r>
      <w:r>
        <w:rPr>
          <w:rFonts w:ascii="Arial" w:hAnsi="Arial"/>
        </w:rPr>
        <w:t>preço</w:t>
      </w:r>
      <w:r>
        <w:rPr>
          <w:rFonts w:ascii="Arial" w:hAnsi="Arial"/>
          <w:spacing w:val="-1"/>
        </w:rPr>
        <w:t xml:space="preserve"> </w:t>
      </w:r>
      <w:r>
        <w:rPr>
          <w:rFonts w:ascii="Arial" w:hAnsi="Arial"/>
        </w:rPr>
        <w:t>registrado</w:t>
      </w:r>
      <w:r>
        <w:rPr>
          <w:rFonts w:ascii="Arial" w:hAnsi="Arial"/>
          <w:spacing w:val="-2"/>
        </w:rPr>
        <w:t xml:space="preserve"> </w:t>
      </w:r>
      <w:r>
        <w:rPr>
          <w:rFonts w:ascii="Arial" w:hAnsi="Arial"/>
        </w:rPr>
        <w:t>após</w:t>
      </w:r>
      <w:r>
        <w:rPr>
          <w:rFonts w:ascii="Arial" w:hAnsi="Arial"/>
          <w:spacing w:val="-1"/>
        </w:rPr>
        <w:t xml:space="preserve"> </w:t>
      </w:r>
      <w:r>
        <w:rPr>
          <w:rFonts w:ascii="Arial" w:hAnsi="Arial"/>
        </w:rPr>
        <w:t>01(um)</w:t>
      </w:r>
      <w:r>
        <w:rPr>
          <w:rFonts w:ascii="Arial" w:hAnsi="Arial"/>
          <w:spacing w:val="-1"/>
        </w:rPr>
        <w:t xml:space="preserve"> </w:t>
      </w:r>
      <w:r>
        <w:rPr>
          <w:rFonts w:ascii="Arial" w:hAnsi="Arial"/>
        </w:rPr>
        <w:t>dia</w:t>
      </w:r>
      <w:r>
        <w:rPr>
          <w:rFonts w:ascii="Arial" w:hAnsi="Arial"/>
          <w:spacing w:val="-1"/>
        </w:rPr>
        <w:t xml:space="preserve"> </w:t>
      </w:r>
      <w:r>
        <w:rPr>
          <w:rFonts w:ascii="Arial" w:hAnsi="Arial"/>
        </w:rPr>
        <w:t>da</w:t>
      </w:r>
      <w:r>
        <w:rPr>
          <w:rFonts w:ascii="Arial" w:hAnsi="Arial"/>
          <w:spacing w:val="-1"/>
        </w:rPr>
        <w:t xml:space="preserve"> </w:t>
      </w:r>
      <w:r>
        <w:rPr>
          <w:rFonts w:ascii="Arial" w:hAnsi="Arial"/>
        </w:rPr>
        <w:t>publicação.</w:t>
      </w:r>
    </w:p>
    <w:p>
      <w:pPr>
        <w:pStyle w:val="ListParagraph"/>
        <w:tabs>
          <w:tab w:val="clear" w:pos="708"/>
          <w:tab w:val="left" w:pos="413" w:leader="none"/>
        </w:tabs>
        <w:spacing w:lineRule="auto" w:line="240" w:before="0" w:after="0"/>
        <w:ind w:left="0" w:hanging="0"/>
        <w:contextualSpacing/>
        <w:jc w:val="both"/>
        <w:rPr>
          <w:rFonts w:ascii="Arial" w:hAnsi="Arial"/>
        </w:rPr>
      </w:pPr>
      <w:r>
        <w:rPr>
          <w:rFonts w:ascii="Arial" w:hAnsi="Arial"/>
        </w:rPr>
        <w:t>8.3. Pelas detentoras, quando, mediante solicitação por escrito, comprovarem estar impossibilitadas de cumprir as exigências desta Ata de Registro</w:t>
      </w:r>
      <w:r>
        <w:rPr>
          <w:rFonts w:ascii="Arial" w:hAnsi="Arial"/>
          <w:spacing w:val="1"/>
        </w:rPr>
        <w:t xml:space="preserve"> </w:t>
      </w:r>
      <w:r>
        <w:rPr>
          <w:rFonts w:ascii="Arial" w:hAnsi="Arial"/>
        </w:rPr>
        <w:t>de</w:t>
      </w:r>
      <w:r>
        <w:rPr>
          <w:rFonts w:ascii="Arial" w:hAnsi="Arial"/>
          <w:spacing w:val="-2"/>
        </w:rPr>
        <w:t xml:space="preserve"> </w:t>
      </w:r>
      <w:r>
        <w:rPr>
          <w:rFonts w:ascii="Arial" w:hAnsi="Arial"/>
        </w:rPr>
        <w:t>Preços.</w:t>
      </w:r>
    </w:p>
    <w:p>
      <w:pPr>
        <w:pStyle w:val="ListParagraph"/>
        <w:tabs>
          <w:tab w:val="clear" w:pos="708"/>
          <w:tab w:val="left" w:pos="410" w:leader="none"/>
        </w:tabs>
        <w:spacing w:lineRule="auto" w:line="240" w:before="0" w:after="0"/>
        <w:ind w:left="0" w:hanging="0"/>
        <w:contextualSpacing/>
        <w:jc w:val="both"/>
        <w:rPr>
          <w:rFonts w:ascii="Arial" w:hAnsi="Arial"/>
        </w:rPr>
      </w:pPr>
      <w:r>
        <w:rPr>
          <w:rFonts w:ascii="Arial" w:hAnsi="Arial"/>
        </w:rPr>
        <w:t>8.4. A solicitação das detentoras para cancelamento dos preços registrados deverá ser formulada com a antecedência de 30 (trinta) dias, cabendo a</w:t>
      </w:r>
      <w:r>
        <w:rPr>
          <w:rFonts w:ascii="Arial" w:hAnsi="Arial"/>
          <w:spacing w:val="-42"/>
        </w:rPr>
        <w:t xml:space="preserve"> </w:t>
      </w:r>
      <w:r>
        <w:rPr>
          <w:rFonts w:ascii="Arial" w:hAnsi="Arial"/>
        </w:rPr>
        <w:t>Administração</w:t>
      </w:r>
      <w:r>
        <w:rPr>
          <w:rFonts w:ascii="Arial" w:hAnsi="Arial"/>
          <w:spacing w:val="2"/>
        </w:rPr>
        <w:t xml:space="preserve"> </w:t>
      </w:r>
      <w:r>
        <w:rPr>
          <w:rFonts w:ascii="Arial" w:hAnsi="Arial"/>
        </w:rPr>
        <w:t>a</w:t>
      </w:r>
      <w:r>
        <w:rPr>
          <w:rFonts w:ascii="Arial" w:hAnsi="Arial"/>
          <w:spacing w:val="-1"/>
        </w:rPr>
        <w:t xml:space="preserve"> </w:t>
      </w:r>
      <w:r>
        <w:rPr>
          <w:rFonts w:ascii="Arial" w:hAnsi="Arial"/>
        </w:rPr>
        <w:t>aplicação</w:t>
      </w:r>
      <w:r>
        <w:rPr>
          <w:rFonts w:ascii="Arial" w:hAnsi="Arial"/>
          <w:spacing w:val="-1"/>
        </w:rPr>
        <w:t xml:space="preserve"> </w:t>
      </w:r>
      <w:r>
        <w:rPr>
          <w:rFonts w:ascii="Arial" w:hAnsi="Arial"/>
        </w:rPr>
        <w:t>das</w:t>
      </w:r>
      <w:r>
        <w:rPr>
          <w:rFonts w:ascii="Arial" w:hAnsi="Arial"/>
          <w:spacing w:val="-2"/>
        </w:rPr>
        <w:t xml:space="preserve"> </w:t>
      </w:r>
      <w:r>
        <w:rPr>
          <w:rFonts w:ascii="Arial" w:hAnsi="Arial"/>
        </w:rPr>
        <w:t>penalidades</w:t>
      </w:r>
      <w:r>
        <w:rPr>
          <w:rFonts w:ascii="Arial" w:hAnsi="Arial"/>
          <w:spacing w:val="-1"/>
        </w:rPr>
        <w:t xml:space="preserve"> </w:t>
      </w:r>
      <w:r>
        <w:rPr>
          <w:rFonts w:ascii="Arial" w:hAnsi="Arial"/>
        </w:rPr>
        <w:t>previstas</w:t>
      </w:r>
      <w:r>
        <w:rPr>
          <w:rFonts w:ascii="Arial" w:hAnsi="Arial"/>
          <w:spacing w:val="-1"/>
        </w:rPr>
        <w:t xml:space="preserve"> </w:t>
      </w:r>
      <w:r>
        <w:rPr>
          <w:rFonts w:ascii="Arial" w:hAnsi="Arial"/>
        </w:rPr>
        <w:t>em</w:t>
      </w:r>
      <w:r>
        <w:rPr>
          <w:rFonts w:ascii="Arial" w:hAnsi="Arial"/>
          <w:spacing w:val="-2"/>
        </w:rPr>
        <w:t xml:space="preserve"> </w:t>
      </w:r>
      <w:r>
        <w:rPr>
          <w:rFonts w:ascii="Arial" w:hAnsi="Arial"/>
        </w:rPr>
        <w:t>lei.</w:t>
      </w:r>
    </w:p>
    <w:p>
      <w:pPr>
        <w:pStyle w:val="Corpodotexto"/>
        <w:widowControl w:val="false"/>
        <w:tabs>
          <w:tab w:val="clear" w:pos="708"/>
          <w:tab w:val="left" w:pos="10597" w:leader="none"/>
        </w:tabs>
        <w:spacing w:lineRule="auto" w:line="240" w:before="0" w:after="0"/>
        <w:textAlignment w:val="baseline"/>
        <w:rPr>
          <w:rFonts w:ascii="Arial" w:hAnsi="Arial"/>
        </w:rPr>
      </w:pPr>
      <w:r>
        <w:rPr>
          <w:rFonts w:ascii="Arial" w:hAnsi="Arial"/>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IX</w:t>
      </w:r>
      <w:r>
        <w:rPr>
          <w:rFonts w:eastAsia="Times New Roman" w:cs="Arial" w:ascii="Arial" w:hAnsi="Arial"/>
          <w:bCs w:val="false"/>
          <w:color w:val="000000"/>
          <w:spacing w:val="-3"/>
          <w:sz w:val="22"/>
          <w:szCs w:val="22"/>
          <w:shd w:fill="CCCCCC" w:val="clear"/>
          <w:lang w:eastAsia="pt-BR"/>
        </w:rPr>
        <w:t xml:space="preserve"> – DA AUTORIZAÇÃO PARA CONTRATAÇÃO E EMISSÃO DAS NOTAS DE EMPENHO</w:t>
      </w:r>
    </w:p>
    <w:p>
      <w:pPr>
        <w:pStyle w:val="ListParagraph"/>
        <w:tabs>
          <w:tab w:val="clear" w:pos="708"/>
          <w:tab w:val="left" w:pos="343" w:leader="none"/>
        </w:tabs>
        <w:spacing w:lineRule="auto" w:line="240" w:before="0" w:after="0"/>
        <w:contextualSpacing/>
        <w:jc w:val="both"/>
        <w:rPr>
          <w:rFonts w:eastAsia="Times New Roman" w:cs="Arial"/>
          <w:spacing w:val="-3"/>
          <w:lang w:eastAsia="pt-BR"/>
        </w:rPr>
      </w:pPr>
      <w:r>
        <w:rPr>
          <w:rFonts w:eastAsia="Times New Roman" w:cs="Arial"/>
          <w:spacing w:val="-3"/>
          <w:lang w:eastAsia="pt-BR"/>
        </w:rPr>
      </w:r>
    </w:p>
    <w:p>
      <w:pPr>
        <w:pStyle w:val="ListParagraph"/>
        <w:tabs>
          <w:tab w:val="clear" w:pos="708"/>
          <w:tab w:val="left" w:pos="343" w:leader="none"/>
        </w:tabs>
        <w:spacing w:lineRule="auto" w:line="240" w:before="0" w:after="0"/>
        <w:ind w:left="0" w:hanging="0"/>
        <w:contextualSpacing/>
        <w:jc w:val="both"/>
        <w:rPr/>
      </w:pPr>
      <w:r>
        <w:rPr>
          <w:rFonts w:eastAsia="Times New Roman" w:cs="Arial" w:ascii="Arial" w:hAnsi="Arial"/>
          <w:color w:val="000000"/>
          <w:spacing w:val="-3"/>
          <w:lang w:eastAsia="pt-BR"/>
        </w:rPr>
        <w:t>9.</w:t>
        <w:tab/>
      </w:r>
      <w:r>
        <w:rPr>
          <w:rFonts w:ascii="Arial" w:hAnsi="Arial"/>
        </w:rPr>
        <w:t>O</w:t>
      </w:r>
      <w:r>
        <w:rPr>
          <w:rFonts w:ascii="Arial" w:hAnsi="Arial"/>
          <w:spacing w:val="19"/>
        </w:rPr>
        <w:t xml:space="preserve"> </w:t>
      </w:r>
      <w:r>
        <w:rPr>
          <w:rFonts w:ascii="Arial" w:hAnsi="Arial"/>
        </w:rPr>
        <w:t>fornecimento</w:t>
      </w:r>
      <w:r>
        <w:rPr>
          <w:rFonts w:ascii="Arial" w:hAnsi="Arial"/>
          <w:spacing w:val="20"/>
        </w:rPr>
        <w:t xml:space="preserve"> </w:t>
      </w:r>
      <w:r>
        <w:rPr>
          <w:rFonts w:ascii="Arial" w:hAnsi="Arial"/>
        </w:rPr>
        <w:t>do</w:t>
      </w:r>
      <w:r>
        <w:rPr>
          <w:rFonts w:ascii="Arial" w:hAnsi="Arial"/>
          <w:spacing w:val="19"/>
        </w:rPr>
        <w:t xml:space="preserve"> </w:t>
      </w:r>
      <w:r>
        <w:rPr>
          <w:rFonts w:ascii="Arial" w:hAnsi="Arial"/>
        </w:rPr>
        <w:t>objeto</w:t>
      </w:r>
      <w:r>
        <w:rPr>
          <w:rFonts w:ascii="Arial" w:hAnsi="Arial"/>
          <w:spacing w:val="20"/>
        </w:rPr>
        <w:t xml:space="preserve"> </w:t>
      </w:r>
      <w:r>
        <w:rPr>
          <w:rFonts w:ascii="Arial" w:hAnsi="Arial"/>
        </w:rPr>
        <w:t>da</w:t>
      </w:r>
      <w:r>
        <w:rPr>
          <w:rFonts w:ascii="Arial" w:hAnsi="Arial"/>
          <w:spacing w:val="20"/>
        </w:rPr>
        <w:t xml:space="preserve"> </w:t>
      </w:r>
      <w:r>
        <w:rPr>
          <w:rFonts w:ascii="Arial" w:hAnsi="Arial"/>
        </w:rPr>
        <w:t>presente</w:t>
      </w:r>
      <w:r>
        <w:rPr>
          <w:rFonts w:ascii="Arial" w:hAnsi="Arial"/>
          <w:spacing w:val="19"/>
        </w:rPr>
        <w:t xml:space="preserve"> </w:t>
      </w:r>
      <w:r>
        <w:rPr>
          <w:rFonts w:ascii="Arial" w:hAnsi="Arial"/>
        </w:rPr>
        <w:t>Ata</w:t>
      </w:r>
      <w:r>
        <w:rPr>
          <w:rFonts w:ascii="Arial" w:hAnsi="Arial"/>
          <w:spacing w:val="20"/>
        </w:rPr>
        <w:t xml:space="preserve"> </w:t>
      </w:r>
      <w:r>
        <w:rPr>
          <w:rFonts w:ascii="Arial" w:hAnsi="Arial"/>
        </w:rPr>
        <w:t>de</w:t>
      </w:r>
      <w:r>
        <w:rPr>
          <w:rFonts w:ascii="Arial" w:hAnsi="Arial"/>
          <w:spacing w:val="20"/>
        </w:rPr>
        <w:t xml:space="preserve"> </w:t>
      </w:r>
      <w:r>
        <w:rPr>
          <w:rFonts w:ascii="Arial" w:hAnsi="Arial"/>
        </w:rPr>
        <w:t>Registro</w:t>
      </w:r>
      <w:r>
        <w:rPr>
          <w:rFonts w:ascii="Arial" w:hAnsi="Arial"/>
          <w:spacing w:val="19"/>
        </w:rPr>
        <w:t xml:space="preserve"> </w:t>
      </w:r>
      <w:r>
        <w:rPr>
          <w:rFonts w:ascii="Arial" w:hAnsi="Arial"/>
        </w:rPr>
        <w:t>de</w:t>
      </w:r>
      <w:r>
        <w:rPr>
          <w:rFonts w:ascii="Arial" w:hAnsi="Arial"/>
          <w:spacing w:val="20"/>
        </w:rPr>
        <w:t xml:space="preserve"> </w:t>
      </w:r>
      <w:r>
        <w:rPr>
          <w:rFonts w:ascii="Arial" w:hAnsi="Arial"/>
        </w:rPr>
        <w:t>Preços</w:t>
      </w:r>
      <w:r>
        <w:rPr>
          <w:rFonts w:ascii="Arial" w:hAnsi="Arial"/>
          <w:spacing w:val="20"/>
        </w:rPr>
        <w:t xml:space="preserve"> </w:t>
      </w:r>
      <w:r>
        <w:rPr>
          <w:rFonts w:ascii="Arial" w:hAnsi="Arial"/>
        </w:rPr>
        <w:t>será</w:t>
      </w:r>
      <w:r>
        <w:rPr>
          <w:rFonts w:ascii="Arial" w:hAnsi="Arial"/>
          <w:spacing w:val="19"/>
        </w:rPr>
        <w:t xml:space="preserve"> </w:t>
      </w:r>
      <w:r>
        <w:rPr>
          <w:rFonts w:ascii="Arial" w:hAnsi="Arial"/>
        </w:rPr>
        <w:t>autorizado,</w:t>
      </w:r>
      <w:r>
        <w:rPr>
          <w:rFonts w:ascii="Arial" w:hAnsi="Arial"/>
          <w:spacing w:val="20"/>
        </w:rPr>
        <w:t xml:space="preserve"> </w:t>
      </w:r>
      <w:r>
        <w:rPr>
          <w:rFonts w:ascii="Arial" w:hAnsi="Arial"/>
        </w:rPr>
        <w:t>caso</w:t>
      </w:r>
      <w:r>
        <w:rPr>
          <w:rFonts w:ascii="Arial" w:hAnsi="Arial"/>
          <w:spacing w:val="19"/>
        </w:rPr>
        <w:t xml:space="preserve"> </w:t>
      </w:r>
      <w:r>
        <w:rPr>
          <w:rFonts w:ascii="Arial" w:hAnsi="Arial"/>
        </w:rPr>
        <w:t>a</w:t>
      </w:r>
      <w:r>
        <w:rPr>
          <w:rFonts w:ascii="Arial" w:hAnsi="Arial"/>
          <w:spacing w:val="20"/>
        </w:rPr>
        <w:t xml:space="preserve"> </w:t>
      </w:r>
      <w:r>
        <w:rPr>
          <w:rFonts w:ascii="Arial" w:hAnsi="Arial"/>
        </w:rPr>
        <w:t>caso,</w:t>
      </w:r>
      <w:r>
        <w:rPr>
          <w:rFonts w:ascii="Arial" w:hAnsi="Arial"/>
          <w:spacing w:val="20"/>
        </w:rPr>
        <w:t xml:space="preserve"> </w:t>
      </w:r>
      <w:r>
        <w:rPr>
          <w:rFonts w:ascii="Arial" w:hAnsi="Arial"/>
        </w:rPr>
        <w:t>pelo(a)</w:t>
      </w:r>
      <w:r>
        <w:rPr>
          <w:rFonts w:ascii="Arial" w:hAnsi="Arial"/>
          <w:spacing w:val="19"/>
        </w:rPr>
        <w:t xml:space="preserve"> </w:t>
      </w:r>
      <w:r>
        <w:rPr>
          <w:rFonts w:ascii="Arial" w:hAnsi="Arial"/>
        </w:rPr>
        <w:t>MUNICÍPIO</w:t>
      </w:r>
      <w:r>
        <w:rPr>
          <w:rFonts w:ascii="Arial" w:hAnsi="Arial"/>
          <w:spacing w:val="20"/>
        </w:rPr>
        <w:t xml:space="preserve"> </w:t>
      </w:r>
      <w:r>
        <w:rPr>
          <w:rFonts w:ascii="Arial" w:hAnsi="Arial"/>
        </w:rPr>
        <w:t>DE</w:t>
      </w:r>
      <w:r>
        <w:rPr>
          <w:rFonts w:ascii="Arial" w:hAnsi="Arial"/>
          <w:spacing w:val="20"/>
        </w:rPr>
        <w:t xml:space="preserve"> </w:t>
      </w:r>
      <w:r>
        <w:rPr>
          <w:rFonts w:ascii="Arial" w:hAnsi="Arial"/>
        </w:rPr>
        <w:t>ITÁ,</w:t>
      </w:r>
      <w:r>
        <w:rPr>
          <w:rFonts w:ascii="Arial" w:hAnsi="Arial"/>
          <w:spacing w:val="19"/>
        </w:rPr>
        <w:t xml:space="preserve"> </w:t>
      </w:r>
      <w:r>
        <w:rPr>
          <w:rFonts w:ascii="Arial" w:hAnsi="Arial"/>
        </w:rPr>
        <w:t>que</w:t>
      </w:r>
      <w:r>
        <w:rPr>
          <w:rFonts w:ascii="Arial" w:hAnsi="Arial"/>
          <w:spacing w:val="20"/>
        </w:rPr>
        <w:t xml:space="preserve"> </w:t>
      </w:r>
      <w:r>
        <w:rPr>
          <w:rFonts w:ascii="Arial" w:hAnsi="Arial"/>
        </w:rPr>
        <w:t>é</w:t>
      </w:r>
      <w:r>
        <w:rPr>
          <w:rFonts w:ascii="Arial" w:hAnsi="Arial"/>
          <w:spacing w:val="20"/>
        </w:rPr>
        <w:t xml:space="preserve"> </w:t>
      </w:r>
      <w:r>
        <w:rPr>
          <w:rFonts w:ascii="Arial" w:hAnsi="Arial"/>
        </w:rPr>
        <w:t>o</w:t>
      </w:r>
      <w:r>
        <w:rPr>
          <w:rFonts w:ascii="Arial" w:hAnsi="Arial"/>
          <w:spacing w:val="19"/>
        </w:rPr>
        <w:t xml:space="preserve"> </w:t>
      </w:r>
      <w:r>
        <w:rPr>
          <w:rFonts w:ascii="Arial" w:hAnsi="Arial"/>
        </w:rPr>
        <w:t>órgão</w:t>
      </w:r>
      <w:r>
        <w:rPr>
          <w:rFonts w:ascii="Arial" w:hAnsi="Arial"/>
          <w:spacing w:val="1"/>
        </w:rPr>
        <w:t xml:space="preserve"> </w:t>
      </w:r>
      <w:r>
        <w:rPr>
          <w:rFonts w:ascii="Arial" w:hAnsi="Arial"/>
        </w:rPr>
        <w:t>gerenciador</w:t>
      </w:r>
      <w:r>
        <w:rPr>
          <w:rFonts w:ascii="Arial" w:hAnsi="Arial"/>
          <w:spacing w:val="-1"/>
        </w:rPr>
        <w:t xml:space="preserve"> </w:t>
      </w:r>
      <w:r>
        <w:rPr>
          <w:rFonts w:ascii="Arial" w:hAnsi="Arial"/>
        </w:rPr>
        <w:t>da</w:t>
      </w:r>
      <w:r>
        <w:rPr>
          <w:rFonts w:ascii="Arial" w:hAnsi="Arial"/>
          <w:spacing w:val="-1"/>
        </w:rPr>
        <w:t xml:space="preserve"> </w:t>
      </w:r>
      <w:r>
        <w:rPr>
          <w:rFonts w:ascii="Arial" w:hAnsi="Arial"/>
        </w:rPr>
        <w:t>mesma</w:t>
      </w:r>
      <w:r>
        <w:rPr>
          <w:rFonts w:ascii="Arial" w:hAnsi="Arial"/>
          <w:spacing w:val="-2"/>
        </w:rPr>
        <w:t xml:space="preserve"> </w:t>
      </w:r>
      <w:r>
        <w:rPr>
          <w:rFonts w:ascii="Arial" w:hAnsi="Arial"/>
        </w:rPr>
        <w:t>e</w:t>
      </w:r>
      <w:r>
        <w:rPr>
          <w:rFonts w:ascii="Arial" w:hAnsi="Arial"/>
          <w:spacing w:val="-1"/>
        </w:rPr>
        <w:t xml:space="preserve"> </w:t>
      </w:r>
      <w:r>
        <w:rPr>
          <w:rFonts w:ascii="Arial" w:hAnsi="Arial"/>
        </w:rPr>
        <w:t>também</w:t>
      </w:r>
      <w:r>
        <w:rPr>
          <w:rFonts w:ascii="Arial" w:hAnsi="Arial"/>
          <w:spacing w:val="-2"/>
        </w:rPr>
        <w:t xml:space="preserve"> </w:t>
      </w:r>
      <w:r>
        <w:rPr>
          <w:rFonts w:ascii="Arial" w:hAnsi="Arial"/>
        </w:rPr>
        <w:t>pela</w:t>
      </w:r>
      <w:r>
        <w:rPr>
          <w:rFonts w:ascii="Arial" w:hAnsi="Arial"/>
          <w:spacing w:val="-1"/>
        </w:rPr>
        <w:t xml:space="preserve"> </w:t>
      </w:r>
      <w:r>
        <w:rPr>
          <w:rFonts w:ascii="Arial" w:hAnsi="Arial"/>
        </w:rPr>
        <w:t>unidade</w:t>
      </w:r>
      <w:r>
        <w:rPr>
          <w:rFonts w:ascii="Arial" w:hAnsi="Arial"/>
          <w:spacing w:val="-2"/>
        </w:rPr>
        <w:t xml:space="preserve"> </w:t>
      </w:r>
      <w:r>
        <w:rPr>
          <w:rFonts w:ascii="Arial" w:hAnsi="Arial"/>
        </w:rPr>
        <w:t>financeira</w:t>
      </w:r>
      <w:r>
        <w:rPr>
          <w:rFonts w:ascii="Arial" w:hAnsi="Arial"/>
          <w:spacing w:val="-1"/>
        </w:rPr>
        <w:t xml:space="preserve"> </w:t>
      </w:r>
      <w:r>
        <w:rPr>
          <w:rFonts w:ascii="Arial" w:hAnsi="Arial"/>
        </w:rPr>
        <w:t>competente</w:t>
      </w:r>
      <w:r>
        <w:rPr>
          <w:rFonts w:ascii="Arial" w:hAnsi="Arial"/>
          <w:spacing w:val="-2"/>
        </w:rPr>
        <w:t xml:space="preserve"> </w:t>
      </w:r>
      <w:r>
        <w:rPr>
          <w:rFonts w:ascii="Arial" w:hAnsi="Arial"/>
        </w:rPr>
        <w:t>para</w:t>
      </w:r>
      <w:r>
        <w:rPr>
          <w:rFonts w:ascii="Arial" w:hAnsi="Arial"/>
          <w:spacing w:val="-1"/>
        </w:rPr>
        <w:t xml:space="preserve"> </w:t>
      </w:r>
      <w:r>
        <w:rPr>
          <w:rFonts w:ascii="Arial" w:hAnsi="Arial"/>
        </w:rPr>
        <w:t>os</w:t>
      </w:r>
      <w:r>
        <w:rPr>
          <w:rFonts w:ascii="Arial" w:hAnsi="Arial"/>
          <w:spacing w:val="-2"/>
        </w:rPr>
        <w:t xml:space="preserve"> </w:t>
      </w:r>
      <w:r>
        <w:rPr>
          <w:rFonts w:ascii="Arial" w:hAnsi="Arial"/>
        </w:rPr>
        <w:t>pagamentos.</w:t>
      </w:r>
    </w:p>
    <w:p>
      <w:pPr>
        <w:pStyle w:val="Corpodotexto"/>
        <w:widowControl w:val="false"/>
        <w:tabs>
          <w:tab w:val="clear" w:pos="708"/>
          <w:tab w:val="left" w:pos="10597" w:leader="none"/>
        </w:tabs>
        <w:spacing w:lineRule="auto" w:line="240" w:before="0" w:after="0"/>
        <w:jc w:val="both"/>
        <w:textAlignment w:val="baseline"/>
        <w:rPr/>
      </w:pPr>
      <w:r>
        <w:rPr>
          <w:rFonts w:eastAsia="Times New Roman" w:cs="Arial" w:ascii="Arial" w:hAnsi="Arial"/>
          <w:color w:val="000000"/>
          <w:spacing w:val="-3"/>
          <w:lang w:eastAsia="pt-BR"/>
        </w:rPr>
        <w:t>9.1.</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A</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emissão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pedidos,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sua</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retificação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cancelamento,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autorizados</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pelo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órgão</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requisitante</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total</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parcial,</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serão</w:t>
      </w:r>
      <w:r>
        <w:rPr>
          <w:rFonts w:eastAsia="Times New Roman" w:cs="Arial" w:ascii="Arial" w:hAnsi="Arial"/>
          <w:color w:val="000000"/>
          <w:spacing w:val="16"/>
          <w:lang w:eastAsia="pt-BR"/>
        </w:rPr>
        <w:t xml:space="preserve"> </w:t>
      </w:r>
      <w:r>
        <w:rPr>
          <w:rFonts w:eastAsia="Times New Roman" w:cs="Arial" w:ascii="Arial" w:hAnsi="Arial"/>
          <w:color w:val="000000"/>
          <w:spacing w:val="-3"/>
          <w:lang w:eastAsia="pt-BR"/>
        </w:rPr>
        <w:t>igualmente,</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quando</w:t>
      </w:r>
      <w:r>
        <w:rPr>
          <w:rFonts w:eastAsia="Times New Roman" w:cs="Arial" w:ascii="Arial" w:hAnsi="Arial"/>
          <w:color w:val="000000"/>
          <w:spacing w:val="17"/>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solicitação.</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w:t>
      </w:r>
      <w:r>
        <w:rPr>
          <w:rFonts w:eastAsia="Times New Roman" w:cs="Arial" w:ascii="Arial" w:hAnsi="Arial"/>
          <w:bCs w:val="false"/>
          <w:color w:val="000000"/>
          <w:spacing w:val="-3"/>
          <w:sz w:val="22"/>
          <w:szCs w:val="22"/>
          <w:shd w:fill="CCCCCC" w:val="clear"/>
          <w:lang w:eastAsia="pt-BR"/>
        </w:rPr>
        <w:t xml:space="preserve"> – DAS OBRIGAÇÕES DO CONTRATANTE:</w:t>
      </w:r>
    </w:p>
    <w:p>
      <w:pPr>
        <w:pStyle w:val="Corpodotexto"/>
        <w:widowControl w:val="false"/>
        <w:tabs>
          <w:tab w:val="clear" w:pos="708"/>
          <w:tab w:val="left" w:pos="10597" w:leader="none"/>
        </w:tabs>
        <w:spacing w:lineRule="auto" w:line="240" w:before="0" w:after="0"/>
        <w:textAlignment w:val="baseline"/>
        <w:rPr>
          <w:rFonts w:eastAsia="Times New Roman" w:cs="Arial"/>
          <w:spacing w:val="-3"/>
          <w:lang w:eastAsia="pt-BR"/>
        </w:rPr>
      </w:pPr>
      <w:r>
        <w:rPr>
          <w:rFonts w:eastAsia="Times New Roman" w:cs="Arial"/>
          <w:spacing w:val="-3"/>
          <w:lang w:eastAsia="pt-BR"/>
        </w:rPr>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10.</w:t>
        <w:tab/>
        <w:tab/>
        <w:t>Compete</w:t>
      </w:r>
      <w:r>
        <w:rPr>
          <w:rFonts w:ascii="Arial" w:hAnsi="Arial"/>
          <w:spacing w:val="-7"/>
        </w:rPr>
        <w:t xml:space="preserve"> ao </w:t>
      </w:r>
      <w:r>
        <w:rPr>
          <w:rFonts w:ascii="Arial" w:hAnsi="Arial"/>
        </w:rPr>
        <w:t>Contratante:</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10.1.</w:t>
        <w:tab/>
        <w:tab/>
        <w:t>Indicar previamente os locais da prestação de serviços.</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10.2.</w:t>
        <w:tab/>
        <w:tab/>
        <w:t>Efetuar</w:t>
      </w:r>
      <w:r>
        <w:rPr>
          <w:rFonts w:ascii="Arial" w:hAnsi="Arial"/>
          <w:spacing w:val="-6"/>
        </w:rPr>
        <w:t xml:space="preserve"> </w:t>
      </w:r>
      <w:r>
        <w:rPr>
          <w:rFonts w:ascii="Arial" w:hAnsi="Arial"/>
        </w:rPr>
        <w:t>o</w:t>
      </w:r>
      <w:r>
        <w:rPr>
          <w:rFonts w:ascii="Arial" w:hAnsi="Arial"/>
          <w:spacing w:val="-5"/>
        </w:rPr>
        <w:t xml:space="preserve"> </w:t>
      </w:r>
      <w:r>
        <w:rPr>
          <w:rFonts w:ascii="Arial" w:hAnsi="Arial"/>
        </w:rPr>
        <w:t>pagamento</w:t>
      </w:r>
      <w:r>
        <w:rPr>
          <w:rFonts w:ascii="Arial" w:hAnsi="Arial"/>
          <w:spacing w:val="-5"/>
        </w:rPr>
        <w:t xml:space="preserve"> </w:t>
      </w:r>
      <w:r>
        <w:rPr>
          <w:rFonts w:ascii="Arial" w:hAnsi="Arial"/>
        </w:rPr>
        <w:t>nas</w:t>
      </w:r>
      <w:r>
        <w:rPr>
          <w:rFonts w:ascii="Arial" w:hAnsi="Arial"/>
          <w:spacing w:val="-5"/>
        </w:rPr>
        <w:t xml:space="preserve"> </w:t>
      </w:r>
      <w:r>
        <w:rPr>
          <w:rFonts w:ascii="Arial" w:hAnsi="Arial"/>
        </w:rPr>
        <w:t>condições</w:t>
      </w:r>
      <w:r>
        <w:rPr>
          <w:rFonts w:ascii="Arial" w:hAnsi="Arial"/>
          <w:spacing w:val="-5"/>
        </w:rPr>
        <w:t xml:space="preserve"> </w:t>
      </w:r>
      <w:r>
        <w:rPr>
          <w:rFonts w:ascii="Arial" w:hAnsi="Arial"/>
        </w:rPr>
        <w:t>pactuadas.</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10.3.</w:t>
        <w:tab/>
        <w:tab/>
        <w:t>Notificar</w:t>
      </w:r>
      <w:r>
        <w:rPr>
          <w:rFonts w:ascii="Arial" w:hAnsi="Arial"/>
          <w:spacing w:val="-6"/>
        </w:rPr>
        <w:t xml:space="preserve"> o </w:t>
      </w:r>
      <w:r>
        <w:rPr>
          <w:rFonts w:ascii="Arial" w:hAnsi="Arial"/>
        </w:rPr>
        <w:t>Contratado</w:t>
      </w:r>
      <w:r>
        <w:rPr>
          <w:rFonts w:ascii="Arial" w:hAnsi="Arial"/>
          <w:spacing w:val="-6"/>
        </w:rPr>
        <w:t xml:space="preserve"> </w:t>
      </w:r>
      <w:r>
        <w:rPr>
          <w:rFonts w:ascii="Arial" w:hAnsi="Arial"/>
        </w:rPr>
        <w:t>relativamente</w:t>
      </w:r>
      <w:r>
        <w:rPr>
          <w:rFonts w:ascii="Arial" w:hAnsi="Arial"/>
          <w:spacing w:val="-6"/>
        </w:rPr>
        <w:t xml:space="preserve"> </w:t>
      </w:r>
      <w:r>
        <w:rPr>
          <w:rFonts w:ascii="Arial" w:hAnsi="Arial"/>
        </w:rPr>
        <w:t>a</w:t>
      </w:r>
      <w:r>
        <w:rPr>
          <w:rFonts w:ascii="Arial" w:hAnsi="Arial"/>
          <w:spacing w:val="-6"/>
        </w:rPr>
        <w:t xml:space="preserve"> </w:t>
      </w:r>
      <w:r>
        <w:rPr>
          <w:rFonts w:ascii="Arial" w:hAnsi="Arial"/>
        </w:rPr>
        <w:t>qualquer</w:t>
      </w:r>
      <w:r>
        <w:rPr>
          <w:rFonts w:ascii="Arial" w:hAnsi="Arial"/>
          <w:spacing w:val="-6"/>
        </w:rPr>
        <w:t xml:space="preserve"> </w:t>
      </w:r>
      <w:r>
        <w:rPr>
          <w:rFonts w:ascii="Arial" w:hAnsi="Arial"/>
        </w:rPr>
        <w:t>irregularidade</w:t>
      </w:r>
      <w:r>
        <w:rPr>
          <w:rFonts w:ascii="Arial" w:hAnsi="Arial"/>
          <w:spacing w:val="-6"/>
        </w:rPr>
        <w:t xml:space="preserve"> </w:t>
      </w:r>
      <w:r>
        <w:rPr>
          <w:rFonts w:ascii="Arial" w:hAnsi="Arial"/>
        </w:rPr>
        <w:t>encontrada</w:t>
      </w:r>
      <w:r>
        <w:rPr>
          <w:rFonts w:ascii="Arial" w:hAnsi="Arial"/>
          <w:spacing w:val="-6"/>
        </w:rPr>
        <w:t xml:space="preserve"> </w:t>
      </w:r>
      <w:r>
        <w:rPr>
          <w:rFonts w:ascii="Arial" w:hAnsi="Arial"/>
        </w:rPr>
        <w:t>no</w:t>
      </w:r>
      <w:r>
        <w:rPr>
          <w:rFonts w:ascii="Arial" w:hAnsi="Arial"/>
          <w:spacing w:val="-6"/>
        </w:rPr>
        <w:t xml:space="preserve"> </w:t>
      </w:r>
      <w:r>
        <w:rPr>
          <w:rFonts w:ascii="Arial" w:hAnsi="Arial"/>
        </w:rPr>
        <w:t>fornecimento</w:t>
      </w:r>
      <w:r>
        <w:rPr>
          <w:rFonts w:ascii="Arial" w:hAnsi="Arial"/>
          <w:spacing w:val="-6"/>
        </w:rPr>
        <w:t xml:space="preserve"> </w:t>
      </w:r>
      <w:r>
        <w:rPr>
          <w:rFonts w:ascii="Arial" w:hAnsi="Arial"/>
        </w:rPr>
        <w:t>do objeto.</w:t>
      </w:r>
    </w:p>
    <w:p>
      <w:pPr>
        <w:pStyle w:val="ListParagraph"/>
        <w:tabs>
          <w:tab w:val="clear" w:pos="708"/>
          <w:tab w:val="left" w:pos="142" w:leader="none"/>
        </w:tabs>
        <w:spacing w:lineRule="auto" w:line="240" w:before="0" w:after="0"/>
        <w:ind w:left="0" w:hanging="0"/>
        <w:contextualSpacing/>
        <w:jc w:val="both"/>
        <w:rPr>
          <w:rFonts w:ascii="Arial" w:hAnsi="Arial"/>
        </w:rPr>
      </w:pPr>
      <w:r>
        <w:rPr>
          <w:rFonts w:ascii="Arial" w:hAnsi="Arial"/>
        </w:rPr>
        <w:t>10.4.</w:t>
        <w:tab/>
        <w:t>Acompanhar e fiscalizar o cumprimento das obrigações do Contratado, através de comissão/servidor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ListParagraph"/>
        <w:tabs>
          <w:tab w:val="clear" w:pos="708"/>
          <w:tab w:val="left" w:pos="142" w:leader="none"/>
        </w:tabs>
        <w:spacing w:lineRule="auto" w:line="240" w:before="0" w:after="0"/>
        <w:ind w:left="0" w:hanging="0"/>
        <w:contextualSpacing/>
        <w:jc w:val="both"/>
        <w:rPr>
          <w:rFonts w:ascii="Arial" w:hAnsi="Arial"/>
        </w:rPr>
      </w:pPr>
      <w:r>
        <w:rPr>
          <w:rFonts w:ascii="Arial" w:hAnsi="Arial"/>
        </w:rPr>
        <w:t>10.5.</w:t>
        <w:tab/>
        <w:t xml:space="preserve">Prestar as informações e os esclarecimentos que venham a ser solicitados pelos empregados, encarregados e/ou prepostos do Contratado, desde que inerentes ao objeto contratado. </w:t>
      </w:r>
    </w:p>
    <w:p>
      <w:pPr>
        <w:pStyle w:val="ListParagraph"/>
        <w:tabs>
          <w:tab w:val="clear" w:pos="708"/>
          <w:tab w:val="left" w:pos="498" w:leader="none"/>
        </w:tabs>
        <w:spacing w:lineRule="auto" w:line="240" w:before="0" w:after="0"/>
        <w:ind w:left="0" w:hanging="0"/>
        <w:contextualSpacing/>
        <w:jc w:val="both"/>
        <w:rPr>
          <w:rFonts w:ascii="Arial" w:hAnsi="Arial"/>
        </w:rPr>
      </w:pPr>
      <w:r>
        <w:rPr>
          <w:rFonts w:ascii="Arial" w:hAnsi="Arial"/>
        </w:rPr>
        <w:t>10.6.</w:t>
        <w:tab/>
        <w:tab/>
        <w:t>Permitir o livre acesso dos empregados, encarregados e/ou prepostos do Contratado para a execução do objeto.</w:t>
      </w:r>
    </w:p>
    <w:p>
      <w:pPr>
        <w:pStyle w:val="ListParagraph"/>
        <w:widowControl w:val="false"/>
        <w:tabs>
          <w:tab w:val="clear" w:pos="708"/>
          <w:tab w:val="left" w:pos="142" w:leader="none"/>
        </w:tabs>
        <w:spacing w:lineRule="auto" w:line="240" w:before="0" w:after="0"/>
        <w:ind w:left="0" w:hanging="0"/>
        <w:contextualSpacing/>
        <w:jc w:val="both"/>
        <w:textAlignment w:val="baseline"/>
        <w:rPr>
          <w:rFonts w:ascii="Arial" w:hAnsi="Arial"/>
        </w:rPr>
      </w:pPr>
      <w:r>
        <w:rPr>
          <w:rFonts w:eastAsia="Times New Roman" w:cs="Arial" w:ascii="Arial" w:hAnsi="Arial"/>
          <w:color w:val="000000"/>
          <w:spacing w:val="-3"/>
          <w:lang w:eastAsia="pt-BR"/>
        </w:rPr>
        <w:t>10.7.</w:t>
        <w:tab/>
        <w:t>O Município</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não</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será</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responsável</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por</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quaisquer</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ônus,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direitos</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obrigações</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vinculadas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à</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legislação</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trabalhista,</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tributárias</w:t>
      </w:r>
      <w:r>
        <w:rPr>
          <w:rFonts w:eastAsia="Times New Roman" w:cs="Arial" w:ascii="Arial" w:hAnsi="Arial"/>
          <w:color w:val="000000"/>
          <w:spacing w:val="14"/>
          <w:lang w:eastAsia="pt-BR"/>
        </w:rPr>
        <w:t xml:space="preserve"> </w:t>
      </w:r>
      <w:r>
        <w:rPr>
          <w:rFonts w:eastAsia="Times New Roman" w:cs="Arial" w:ascii="Arial" w:hAnsi="Arial"/>
          <w:color w:val="000000"/>
          <w:spacing w:val="-3"/>
          <w:lang w:eastAsia="pt-BR"/>
        </w:rPr>
        <w:t>ou</w:t>
      </w:r>
      <w:r>
        <w:rPr>
          <w:rFonts w:eastAsia="Times New Roman" w:cs="Arial" w:ascii="Arial" w:hAnsi="Arial"/>
          <w:color w:val="000000"/>
          <w:spacing w:val="13"/>
          <w:lang w:eastAsia="pt-BR"/>
        </w:rPr>
        <w:t xml:space="preserve"> </w:t>
      </w:r>
      <w:r>
        <w:rPr>
          <w:rFonts w:eastAsia="Times New Roman" w:cs="Arial" w:ascii="Arial" w:hAnsi="Arial"/>
          <w:color w:val="000000"/>
          <w:spacing w:val="-3"/>
          <w:lang w:eastAsia="pt-BR"/>
        </w:rPr>
        <w:t>securitárias</w:t>
      </w:r>
      <w:r>
        <w:rPr>
          <w:rFonts w:eastAsia="Times New Roman" w:cs="Arial" w:ascii="Arial" w:hAnsi="Arial"/>
          <w:color w:val="000000"/>
          <w:spacing w:val="1"/>
          <w:lang w:eastAsia="pt-BR"/>
        </w:rPr>
        <w:t xml:space="preserve"> </w:t>
      </w:r>
      <w:r>
        <w:rPr>
          <w:rFonts w:eastAsia="Times New Roman" w:cs="Arial" w:ascii="Arial" w:hAnsi="Arial"/>
          <w:color w:val="000000"/>
          <w:spacing w:val="-3"/>
          <w:lang w:eastAsia="pt-BR"/>
        </w:rPr>
        <w:t>decorrentes</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execução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da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presente ata,</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cujo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cumprimento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responsabilidade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caberão,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exclusivamente,</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ao</w:t>
      </w:r>
      <w:r>
        <w:rPr>
          <w:rFonts w:eastAsia="Times New Roman" w:cs="Arial" w:ascii="Arial" w:hAnsi="Arial"/>
          <w:color w:val="000000"/>
          <w:spacing w:val="-2"/>
          <w:lang w:eastAsia="pt-BR"/>
        </w:rPr>
        <w:t xml:space="preserve"> </w:t>
      </w:r>
      <w:r>
        <w:rPr>
          <w:rFonts w:eastAsia="Times New Roman" w:cs="Arial" w:ascii="Arial" w:hAnsi="Arial"/>
          <w:color w:val="000000"/>
          <w:spacing w:val="-3"/>
          <w:lang w:eastAsia="pt-BR"/>
        </w:rPr>
        <w:t>Contratado.</w:t>
      </w:r>
    </w:p>
    <w:p>
      <w:pPr>
        <w:pStyle w:val="ListParagraph"/>
        <w:widowControl w:val="false"/>
        <w:tabs>
          <w:tab w:val="clear" w:pos="708"/>
          <w:tab w:val="left" w:pos="142" w:leader="none"/>
        </w:tabs>
        <w:spacing w:lineRule="auto" w:line="240" w:before="0" w:after="0"/>
        <w:ind w:left="144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highlight w:val="lightGray"/>
        </w:rPr>
      </w:pPr>
      <w:r>
        <w:rPr>
          <w:rFonts w:eastAsia="Times New Roman" w:cs="Arial" w:ascii="Arial" w:hAnsi="Arial"/>
          <w:bCs w:val="false"/>
          <w:color w:val="000000"/>
          <w:spacing w:val="-3"/>
          <w:sz w:val="22"/>
          <w:szCs w:val="22"/>
          <w:highlight w:val="lightGray"/>
          <w:lang w:eastAsia="pt-BR"/>
        </w:rPr>
        <w:t>CLÁUSULA</w:t>
      </w:r>
      <w:r>
        <w:rPr>
          <w:rFonts w:eastAsia="Times New Roman" w:cs="Arial" w:ascii="Arial" w:hAnsi="Arial"/>
          <w:bCs w:val="false"/>
          <w:color w:val="000000"/>
          <w:spacing w:val="-4"/>
          <w:sz w:val="22"/>
          <w:szCs w:val="22"/>
          <w:highlight w:val="lightGray"/>
          <w:lang w:eastAsia="pt-BR"/>
        </w:rPr>
        <w:t xml:space="preserve"> XI</w:t>
      </w:r>
      <w:r>
        <w:rPr>
          <w:rFonts w:eastAsia="Times New Roman" w:cs="Arial" w:ascii="Arial" w:hAnsi="Arial"/>
          <w:bCs w:val="false"/>
          <w:color w:val="000000"/>
          <w:spacing w:val="-3"/>
          <w:sz w:val="22"/>
          <w:szCs w:val="22"/>
          <w:highlight w:val="lightGray"/>
          <w:lang w:eastAsia="pt-BR"/>
        </w:rPr>
        <w:t xml:space="preserve"> – DAS OBRIGAÇÕES DO CONTRATADO:</w:t>
      </w:r>
    </w:p>
    <w:p>
      <w:pPr>
        <w:pStyle w:val="Corpodotexto"/>
        <w:widowControl w:val="false"/>
        <w:tabs>
          <w:tab w:val="clear" w:pos="708"/>
          <w:tab w:val="left" w:pos="10597" w:leader="none"/>
        </w:tabs>
        <w:spacing w:lineRule="auto" w:line="240" w:before="0" w:after="0"/>
        <w:textAlignment w:val="baseline"/>
        <w:rPr>
          <w:rFonts w:eastAsia="Times New Roman" w:cs="Arial"/>
          <w:spacing w:val="-3"/>
          <w:lang w:eastAsia="pt-BR"/>
        </w:rPr>
      </w:pPr>
      <w:r>
        <w:rPr>
          <w:rFonts w:eastAsia="Times New Roman" w:cs="Arial"/>
          <w:spacing w:val="-3"/>
          <w:lang w:eastAsia="pt-BR"/>
        </w:rPr>
      </w:r>
    </w:p>
    <w:p>
      <w:pPr>
        <w:pStyle w:val="Normal"/>
        <w:tabs>
          <w:tab w:val="clear" w:pos="708"/>
          <w:tab w:val="left" w:pos="1134" w:leader="none"/>
        </w:tabs>
        <w:spacing w:lineRule="auto" w:line="240" w:before="0" w:after="0"/>
        <w:jc w:val="both"/>
        <w:rPr/>
      </w:pPr>
      <w:r>
        <w:rPr>
          <w:rFonts w:ascii="Arial" w:hAnsi="Arial"/>
        </w:rPr>
        <w:t xml:space="preserve">11.1. </w:t>
      </w:r>
      <w:r>
        <w:rPr>
          <w:rFonts w:cs="Arial" w:ascii="Arial" w:hAnsi="Arial"/>
        </w:rPr>
        <w:t>A CONTRATADA deve cumprir todas as obrigações constantes no Edital, seus anexos e sua proposta, assumindo como exclusivamente seus os riscos e as despesas decorrentes da boa e perfeita execução do objeto e, ainda:</w:t>
      </w:r>
    </w:p>
    <w:p>
      <w:pPr>
        <w:pStyle w:val="Normal"/>
        <w:tabs>
          <w:tab w:val="clear" w:pos="708"/>
          <w:tab w:val="left" w:pos="1134" w:leader="none"/>
        </w:tabs>
        <w:spacing w:lineRule="auto" w:line="240" w:before="0" w:after="0"/>
        <w:jc w:val="both"/>
        <w:rPr/>
      </w:pPr>
      <w:r>
        <w:rPr>
          <w:rFonts w:cs="Arial" w:ascii="Arial" w:hAnsi="Arial"/>
          <w:color w:val="000000"/>
        </w:rPr>
        <w:t>11</w:t>
      </w:r>
      <w:r>
        <w:rPr>
          <w:rFonts w:cs="Arial" w:ascii="Arial" w:hAnsi="Arial"/>
        </w:rPr>
        <w:t xml:space="preserve">.2. </w:t>
      </w:r>
      <w:r>
        <w:rPr>
          <w:rFonts w:cs="Arial" w:ascii="Arial" w:hAnsi="Arial"/>
          <w:color w:val="000000"/>
        </w:rPr>
        <w:t xml:space="preserve">Os </w:t>
      </w:r>
      <w:r>
        <w:rPr>
          <w:rFonts w:eastAsia="Calibri" w:cs="Arial" w:ascii="Arial" w:hAnsi="Arial"/>
          <w:color w:val="000000"/>
          <w:kern w:val="0"/>
          <w:sz w:val="22"/>
          <w:szCs w:val="22"/>
          <w:lang w:val="pt-BR" w:eastAsia="en-US" w:bidi="ar-SA"/>
        </w:rPr>
        <w:t>materiais</w:t>
      </w:r>
      <w:r>
        <w:rPr>
          <w:rFonts w:cs="Arial" w:ascii="Arial" w:hAnsi="Arial"/>
          <w:color w:val="000000"/>
        </w:rPr>
        <w:t xml:space="preserve"> deverão ser entregues nos locais indicados pela Secretaria solicitante, </w:t>
      </w:r>
      <w:r>
        <w:rPr>
          <w:rFonts w:cs="Arial" w:ascii="Arial" w:hAnsi="Arial"/>
          <w:b/>
          <w:bCs/>
          <w:color w:val="000000"/>
        </w:rPr>
        <w:t xml:space="preserve">no prazo máximo de </w:t>
      </w:r>
      <w:r>
        <w:rPr>
          <w:rFonts w:eastAsia="Calibri" w:cs="Arial" w:ascii="Arial" w:hAnsi="Arial"/>
          <w:b/>
          <w:bCs/>
          <w:color w:val="000000"/>
          <w:kern w:val="0"/>
          <w:sz w:val="22"/>
          <w:szCs w:val="22"/>
          <w:lang w:val="pt-BR" w:eastAsia="en-US" w:bidi="ar-SA"/>
        </w:rPr>
        <w:t>48</w:t>
      </w:r>
      <w:r>
        <w:rPr>
          <w:rFonts w:cs="Arial" w:ascii="Arial" w:hAnsi="Arial"/>
          <w:b/>
          <w:bCs/>
          <w:color w:val="000000"/>
        </w:rPr>
        <w:t xml:space="preserve"> (</w:t>
      </w:r>
      <w:r>
        <w:rPr>
          <w:rFonts w:eastAsia="Calibri" w:cs="Arial" w:ascii="Arial" w:hAnsi="Arial"/>
          <w:b/>
          <w:bCs/>
          <w:color w:val="000000"/>
          <w:kern w:val="0"/>
          <w:sz w:val="22"/>
          <w:szCs w:val="22"/>
          <w:lang w:val="pt-BR" w:eastAsia="en-US" w:bidi="ar-SA"/>
        </w:rPr>
        <w:t>quarenta e oito</w:t>
      </w:r>
      <w:r>
        <w:rPr>
          <w:rFonts w:cs="Arial" w:ascii="Arial" w:hAnsi="Arial"/>
          <w:b/>
          <w:bCs/>
          <w:color w:val="000000"/>
        </w:rPr>
        <w:t xml:space="preserve">) </w:t>
      </w:r>
      <w:r>
        <w:rPr>
          <w:rFonts w:eastAsia="Calibri" w:cs="Arial" w:ascii="Arial" w:hAnsi="Arial"/>
          <w:b/>
          <w:bCs/>
          <w:color w:val="000000"/>
          <w:kern w:val="0"/>
          <w:sz w:val="22"/>
          <w:szCs w:val="22"/>
          <w:lang w:val="pt-BR" w:eastAsia="en-US" w:bidi="ar-SA"/>
        </w:rPr>
        <w:t xml:space="preserve">horas </w:t>
      </w:r>
      <w:r>
        <w:rPr>
          <w:rFonts w:cs="Arial" w:ascii="Arial" w:hAnsi="Arial"/>
          <w:b/>
          <w:bCs/>
          <w:color w:val="000000"/>
        </w:rPr>
        <w:t>consecutivas</w:t>
      </w:r>
      <w:r>
        <w:rPr>
          <w:rFonts w:cs="Arial" w:ascii="Arial" w:hAnsi="Arial"/>
          <w:color w:val="000000"/>
        </w:rPr>
        <w:t xml:space="preserve"> após a </w:t>
      </w:r>
      <w:r>
        <w:rPr>
          <w:rFonts w:cs="Arial" w:ascii="Arial" w:hAnsi="Arial"/>
          <w:color w:val="000000"/>
          <w:shd w:fill="auto" w:val="clear"/>
        </w:rPr>
        <w:t xml:space="preserve">emissão da requisição de compra. Os </w:t>
      </w:r>
      <w:r>
        <w:rPr>
          <w:rFonts w:ascii="Arial" w:hAnsi="Arial"/>
          <w:shd w:fill="auto" w:val="clear"/>
        </w:rPr>
        <w:t xml:space="preserve">valores estimados incluem o custo do objeto/material, transporte, entrega e demais serviços necessários para o correto fornecimento dos objetos, nos locais e horários determinados pela administração. </w:t>
      </w:r>
    </w:p>
    <w:p>
      <w:pPr>
        <w:pStyle w:val="Normal"/>
        <w:tabs>
          <w:tab w:val="clear" w:pos="708"/>
          <w:tab w:val="left" w:pos="1134" w:leader="none"/>
        </w:tabs>
        <w:spacing w:lineRule="auto" w:line="240" w:before="0" w:after="0"/>
        <w:jc w:val="both"/>
        <w:rPr>
          <w:shd w:fill="auto" w:val="clear"/>
        </w:rPr>
      </w:pPr>
      <w:r>
        <w:rPr>
          <w:rFonts w:ascii="Arial" w:hAnsi="Arial"/>
          <w:shd w:fill="auto" w:val="clear"/>
        </w:rPr>
        <w:t xml:space="preserve">11.2.1. </w:t>
      </w:r>
      <w:r>
        <w:rPr>
          <w:rFonts w:cs="Arial" w:ascii="Arial" w:hAnsi="Arial"/>
          <w:b w:val="false"/>
          <w:bCs w:val="false"/>
          <w:shd w:fill="auto" w:val="clear"/>
        </w:rPr>
        <w:t xml:space="preserve">O prazo para entrega se dá em </w:t>
      </w:r>
      <w:r>
        <w:rPr>
          <w:rFonts w:eastAsia="Times New Roman" w:cs="Arial" w:ascii="Arial" w:hAnsi="Arial"/>
          <w:b w:val="false"/>
          <w:bCs w:val="false"/>
          <w:color w:val="111111"/>
          <w:sz w:val="22"/>
          <w:szCs w:val="22"/>
          <w:shd w:fill="auto" w:val="clear"/>
          <w:lang w:val="pt-BR" w:eastAsia="pt-BR" w:bidi="ar-SA"/>
        </w:rPr>
        <w:t>função das necessidades decorrentes, por se tratarem de materiais utilizados em serviços desempenhados de forma contínua e rotineira, advindo a possibilidade de imprevistos e o condicionante do Município não possuir pessoal e local para depósito / almoxarifado.</w:t>
      </w:r>
    </w:p>
    <w:p>
      <w:pPr>
        <w:pStyle w:val="Normal"/>
        <w:tabs>
          <w:tab w:val="clear" w:pos="708"/>
          <w:tab w:val="left" w:pos="1134" w:leader="none"/>
        </w:tabs>
        <w:spacing w:lineRule="auto" w:line="240" w:before="0" w:after="0"/>
        <w:jc w:val="both"/>
        <w:rPr/>
      </w:pPr>
      <w:r>
        <w:rPr>
          <w:rFonts w:cs="Arial" w:ascii="Arial" w:hAnsi="Arial"/>
          <w:color w:val="000000"/>
        </w:rPr>
        <w:t>11</w:t>
      </w:r>
      <w:r>
        <w:rPr>
          <w:rFonts w:cs="Arial" w:ascii="Arial" w:hAnsi="Arial"/>
        </w:rPr>
        <w:t xml:space="preserve">.3. </w:t>
      </w:r>
      <w:r>
        <w:rPr>
          <w:rFonts w:eastAsia="Arial" w:cs="Arial" w:ascii="Arial" w:hAnsi="Arial"/>
        </w:rPr>
        <w:t xml:space="preserve">Acatar e atender as reclamações quanto às especificações e qualidade dos produtos fornecidos, sanando eventuais deficiências no prazo máximo de </w:t>
      </w:r>
      <w:r>
        <w:rPr>
          <w:rFonts w:eastAsia="Arial" w:cs="Arial" w:ascii="Arial" w:hAnsi="Arial"/>
          <w:color w:val="auto"/>
          <w:kern w:val="0"/>
          <w:sz w:val="22"/>
          <w:szCs w:val="22"/>
          <w:lang w:val="pt-BR" w:eastAsia="en-US" w:bidi="ar-SA"/>
        </w:rPr>
        <w:t>24</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vinte e quatro</w:t>
      </w:r>
      <w:r>
        <w:rPr>
          <w:rFonts w:eastAsia="Arial" w:cs="Arial" w:ascii="Arial" w:hAnsi="Arial"/>
          <w:shd w:fill="FFFFFF" w:val="clear"/>
          <w14:ligatures w14:val="standardContextual"/>
        </w:rPr>
        <w:t xml:space="preserve">) </w:t>
      </w:r>
      <w:r>
        <w:rPr>
          <w:rFonts w:eastAsia="Arial" w:cs="Arial" w:ascii="Arial" w:hAnsi="Arial"/>
          <w:color w:val="000000"/>
          <w:kern w:val="2"/>
          <w:sz w:val="22"/>
          <w:szCs w:val="22"/>
          <w:shd w:fill="FFFFFF" w:val="clear"/>
          <w:lang w:val="pt-BR" w:eastAsia="pt-BR" w:bidi="ar-SA"/>
          <w14:ligatures w14:val="standardContextual"/>
        </w:rPr>
        <w:t>horas</w:t>
      </w:r>
      <w:r>
        <w:rPr>
          <w:rFonts w:eastAsia="Arial" w:cs="Arial" w:ascii="Arial" w:hAnsi="Arial"/>
        </w:rPr>
        <w:t>, a contar da notificação da contratada, às suas custas, sem prejuízo da aplicação das penalidades, o que não atenda às especificações do contrato e cumprimento dos prazos previamente estabelecidos;</w:t>
      </w:r>
    </w:p>
    <w:p>
      <w:pPr>
        <w:pStyle w:val="Normal"/>
        <w:tabs>
          <w:tab w:val="clear" w:pos="708"/>
          <w:tab w:val="left" w:pos="1134" w:leader="none"/>
        </w:tabs>
        <w:spacing w:lineRule="auto" w:line="240" w:before="0" w:after="0"/>
        <w:jc w:val="both"/>
        <w:rPr/>
      </w:pPr>
      <w:r>
        <w:rPr>
          <w:rFonts w:cs="Arial" w:ascii="Arial" w:hAnsi="Arial"/>
        </w:rPr>
        <w:t>11.4. Serão de inteira responsabilidade da proponente vencedora, as despesas diretas ou indiretas tais como: transporte, encargos sociais, fiscais, trabalhistas, previdenciários ou de classe, indenizações civis e qualquer outra que for devido a empregados no desempenho dos serviços de entrega do objeto deste Contrato, ficando ainda o Contratante, isento de qualquer vínculo empregatício com os mesmos.</w:t>
      </w:r>
    </w:p>
    <w:p>
      <w:pPr>
        <w:pStyle w:val="Normal"/>
        <w:spacing w:lineRule="auto" w:line="240" w:before="0" w:after="0"/>
        <w:jc w:val="both"/>
        <w:rPr/>
      </w:pPr>
      <w:r>
        <w:rPr>
          <w:rFonts w:ascii="Arial" w:hAnsi="Arial"/>
        </w:rPr>
        <w:t>11.5. A empresa contratada será responsável por todos os ônus e obrigações concernentes à legislação fiscal, social, trabalhista e tributária, bem como pelos danos e prejuízos que a qualquer título causar ao contratante, ao meio ambiente e/ou a terceiros, em decorrência da execução dos serviços contratados, respondendo por si e por seus sucessores.</w:t>
      </w:r>
    </w:p>
    <w:p>
      <w:pPr>
        <w:pStyle w:val="Normal"/>
        <w:spacing w:lineRule="auto" w:line="240" w:before="0" w:after="0"/>
        <w:jc w:val="both"/>
        <w:rPr/>
      </w:pPr>
      <w:r>
        <w:rPr>
          <w:rFonts w:ascii="Arial" w:hAnsi="Arial"/>
        </w:rPr>
        <w:t xml:space="preserve">11.6. </w:t>
      </w:r>
      <w:r>
        <w:rPr>
          <w:rFonts w:eastAsia="Calibri" w:cs="Arial" w:ascii="Arial" w:hAnsi="Arial"/>
          <w:iCs/>
          <w:color w:val="000000"/>
          <w:lang w:eastAsia="pt-BR"/>
        </w:rPr>
        <w:t xml:space="preserve">Fornecer os materiais conforme a descrição dos itens constantes </w:t>
      </w:r>
      <w:r>
        <w:rPr>
          <w:rFonts w:eastAsia="Calibri" w:cs="Arial" w:ascii="Arial" w:hAnsi="Arial"/>
          <w:iCs/>
          <w:color w:val="000000"/>
          <w:kern w:val="0"/>
          <w:sz w:val="22"/>
          <w:szCs w:val="22"/>
          <w:lang w:val="pt-BR" w:eastAsia="pt-BR" w:bidi="ar-SA"/>
        </w:rPr>
        <w:t>na presente Ata, no Edital do Processo Licitatório</w:t>
      </w:r>
      <w:r>
        <w:rPr>
          <w:rFonts w:eastAsia="Calibri" w:cs="Arial" w:ascii="Arial" w:hAnsi="Arial"/>
          <w:iCs/>
          <w:color w:val="000000"/>
          <w:lang w:eastAsia="pt-BR"/>
        </w:rPr>
        <w:t xml:space="preserve"> e nos seus anexos (Estudo Técnico Preliminar e Termo de Referência).</w:t>
      </w:r>
    </w:p>
    <w:p>
      <w:pPr>
        <w:pStyle w:val="Normal"/>
        <w:spacing w:lineRule="auto" w:line="240" w:before="0" w:after="0"/>
        <w:jc w:val="both"/>
        <w:rPr/>
      </w:pPr>
      <w:r>
        <w:rPr>
          <w:rFonts w:eastAsia="Arial" w:cs="Arial" w:ascii="Arial" w:hAnsi="Arial"/>
        </w:rPr>
        <w:t xml:space="preserve">11.7. </w:t>
      </w:r>
      <w:r>
        <w:rPr>
          <w:rFonts w:eastAsia="Calibri" w:cs="Arial" w:ascii="Arial" w:hAnsi="Arial"/>
          <w:iCs/>
          <w:color w:val="000000"/>
          <w:lang w:eastAsia="pt-BR"/>
        </w:rPr>
        <w:t>Cumprir e se responsabilizar pela entrega de materiais que contenham todos os requisitos de qualidade e segurança necessários para o correto funcionamento dos mesmos, bem como dentro dos parâmetros mínimos de qualidade definidos na presente Ata, no Edital e nos seus anexos.</w:t>
      </w:r>
    </w:p>
    <w:p>
      <w:pPr>
        <w:pStyle w:val="Normal"/>
        <w:tabs>
          <w:tab w:val="clear" w:pos="708"/>
          <w:tab w:val="left" w:pos="1134" w:leader="none"/>
        </w:tabs>
        <w:spacing w:lineRule="auto" w:line="240" w:before="0" w:after="0"/>
        <w:jc w:val="both"/>
        <w:rPr/>
      </w:pPr>
      <w:r>
        <w:rPr>
          <w:rFonts w:eastAsia="Arial" w:cs="Arial" w:ascii="Arial" w:hAnsi="Arial"/>
        </w:rPr>
        <w:t xml:space="preserve">11.8. </w:t>
      </w:r>
      <w:r>
        <w:rPr>
          <w:rFonts w:eastAsia="Calibri" w:cs="Arial" w:ascii="Arial" w:hAnsi="Arial"/>
          <w:iCs/>
          <w:color w:val="000000"/>
          <w:lang w:eastAsia="pt-BR"/>
        </w:rPr>
        <w:t xml:space="preserve">Cumprir com TODAS as demais obrigações, requisitos, características e prazos para entrega e execução dos materiais, objetos desta licitação, de acordo com as regras e definições </w:t>
      </w:r>
      <w:r>
        <w:rPr>
          <w:rFonts w:eastAsia="Calibri" w:cs="Arial" w:ascii="Arial" w:hAnsi="Arial"/>
          <w:iCs/>
          <w:color w:val="000000"/>
          <w:kern w:val="0"/>
          <w:sz w:val="22"/>
          <w:szCs w:val="22"/>
          <w:lang w:val="pt-BR" w:eastAsia="pt-BR" w:bidi="ar-SA"/>
        </w:rPr>
        <w:t>da presente Ata, do Edital do Processo Licitatório</w:t>
      </w:r>
      <w:r>
        <w:rPr>
          <w:rFonts w:eastAsia="Calibri" w:cs="Arial" w:ascii="Arial" w:hAnsi="Arial"/>
          <w:iCs/>
          <w:color w:val="000000"/>
          <w:lang w:eastAsia="pt-BR"/>
        </w:rPr>
        <w:t>, do Estudo Técnico Preliminar e do Termo de Referência.</w:t>
      </w:r>
    </w:p>
    <w:p>
      <w:pPr>
        <w:pStyle w:val="ListParagraph"/>
        <w:tabs>
          <w:tab w:val="clear" w:pos="708"/>
          <w:tab w:val="left" w:pos="409" w:leader="none"/>
        </w:tabs>
        <w:spacing w:lineRule="auto" w:line="240" w:before="0" w:after="0"/>
        <w:ind w:left="0" w:hanging="0"/>
        <w:contextualSpacing/>
        <w:jc w:val="both"/>
        <w:rPr>
          <w:sz w:val="16"/>
        </w:rPr>
      </w:pPr>
      <w:r>
        <w:rPr>
          <w:sz w:val="16"/>
        </w:rPr>
      </w:r>
    </w:p>
    <w:p>
      <w:pPr>
        <w:pStyle w:val="Ttulo2"/>
        <w:widowControl w:val="false"/>
        <w:numPr>
          <w:ilvl w:val="1"/>
          <w:numId w:val="51"/>
        </w:numPr>
        <w:tabs>
          <w:tab w:val="clear" w:pos="708"/>
          <w:tab w:val="left" w:pos="10597" w:leader="none"/>
        </w:tabs>
        <w:spacing w:lineRule="auto" w:line="240" w:before="0" w:after="0"/>
        <w:ind w:hanging="22"/>
        <w:jc w:val="both"/>
        <w:textAlignment w:val="baseline"/>
        <w:rPr>
          <w:shd w:fill="CCCCCC" w:val="clea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XII</w:t>
      </w:r>
      <w:r>
        <w:rPr>
          <w:rFonts w:eastAsia="Times New Roman" w:cs="Arial" w:ascii="Arial" w:hAnsi="Arial"/>
          <w:bCs w:val="false"/>
          <w:color w:val="000000"/>
          <w:spacing w:val="-3"/>
          <w:sz w:val="22"/>
          <w:szCs w:val="22"/>
          <w:shd w:fill="CCCCCC" w:val="clear"/>
          <w:lang w:eastAsia="pt-BR"/>
        </w:rPr>
        <w:t xml:space="preserve"> – DA FISCALIZAÇÃO:</w:t>
      </w:r>
    </w:p>
    <w:p>
      <w:pPr>
        <w:pStyle w:val="Corpodotexto"/>
        <w:widowControl w:val="false"/>
        <w:tabs>
          <w:tab w:val="clear" w:pos="708"/>
          <w:tab w:val="left" w:pos="10597" w:leader="none"/>
        </w:tabs>
        <w:spacing w:lineRule="auto" w:line="240" w:before="0" w:after="0"/>
        <w:jc w:val="both"/>
        <w:textAlignment w:val="baseline"/>
        <w:rPr>
          <w:rFonts w:ascii="Arial" w:hAnsi="Arial" w:eastAsia="Times New Roman" w:cs="Arial"/>
          <w:spacing w:val="-3"/>
          <w:lang w:eastAsia="pt-BR"/>
        </w:rPr>
      </w:pPr>
      <w:r>
        <w:rPr>
          <w:rFonts w:eastAsia="Times New Roman" w:cs="Arial" w:ascii="Arial" w:hAnsi="Arial"/>
          <w:spacing w:val="-3"/>
          <w:lang w:eastAsia="pt-BR"/>
        </w:rPr>
      </w:r>
    </w:p>
    <w:p>
      <w:pPr>
        <w:pStyle w:val="Corpodotexto"/>
        <w:widowControl w:val="false"/>
        <w:tabs>
          <w:tab w:val="clear" w:pos="708"/>
          <w:tab w:val="left" w:pos="10597" w:leader="none"/>
        </w:tabs>
        <w:spacing w:lineRule="auto" w:line="240" w:before="0" w:after="0"/>
        <w:jc w:val="both"/>
        <w:textAlignment w:val="baseline"/>
        <w:rPr/>
      </w:pPr>
      <w:r>
        <w:rPr>
          <w:rFonts w:eastAsia="Times New Roman" w:cs="Arial" w:ascii="Arial" w:hAnsi="Arial"/>
          <w:color w:val="000000"/>
          <w:spacing w:val="-3"/>
          <w:lang w:eastAsia="pt-BR"/>
        </w:rPr>
        <w:t>12.1. A fiscalização da execução do objeto da presente ata será exercida pelo servidor, *****************, o qual acompanhará e fiscalizar a presente contratação, documentando as ocorrências havidas, orientando eventuais medidas corretivas.</w:t>
      </w:r>
    </w:p>
    <w:p>
      <w:pPr>
        <w:pStyle w:val="Corpodotexto"/>
        <w:widowControl w:val="false"/>
        <w:tabs>
          <w:tab w:val="clear" w:pos="708"/>
          <w:tab w:val="left" w:pos="10597" w:leader="none"/>
        </w:tabs>
        <w:spacing w:lineRule="auto" w:line="240" w:before="0" w:after="0"/>
        <w:jc w:val="both"/>
        <w:textAlignment w:val="baseline"/>
        <w:rPr>
          <w:rFonts w:ascii="Arial" w:hAnsi="Arial" w:eastAsia="Times New Roman" w:cs="Arial"/>
          <w:spacing w:val="-3"/>
          <w:lang w:eastAsia="pt-BR"/>
        </w:rPr>
      </w:pPr>
      <w:r>
        <w:rPr>
          <w:rFonts w:eastAsia="Times New Roman" w:cs="Arial" w:ascii="Arial" w:hAnsi="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XIII</w:t>
      </w:r>
      <w:r>
        <w:rPr>
          <w:rFonts w:eastAsia="Times New Roman" w:cs="Arial" w:ascii="Arial" w:hAnsi="Arial"/>
          <w:bCs w:val="false"/>
          <w:color w:val="000000"/>
          <w:spacing w:val="-3"/>
          <w:sz w:val="22"/>
          <w:szCs w:val="22"/>
          <w:shd w:fill="CCCCCC" w:val="clear"/>
          <w:lang w:eastAsia="pt-BR"/>
        </w:rPr>
        <w:t xml:space="preserve"> – DA PUBLICAÇÃO:</w:t>
      </w:r>
    </w:p>
    <w:p>
      <w:pPr>
        <w:pStyle w:val="Corpodotexto"/>
        <w:widowControl w:val="false"/>
        <w:tabs>
          <w:tab w:val="clear" w:pos="708"/>
          <w:tab w:val="left" w:pos="10597" w:leader="none"/>
        </w:tabs>
        <w:spacing w:lineRule="auto" w:line="240" w:before="0" w:after="0"/>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Corpodotexto"/>
        <w:spacing w:lineRule="auto" w:line="240" w:before="0" w:after="0"/>
        <w:jc w:val="both"/>
        <w:rPr>
          <w:rFonts w:ascii="Arial" w:hAnsi="Arial"/>
        </w:rPr>
      </w:pPr>
      <w:r>
        <w:rPr>
          <w:rFonts w:ascii="Arial" w:hAnsi="Arial"/>
        </w:rPr>
        <w:t>13.</w:t>
        <w:tab/>
      </w:r>
      <w:r>
        <w:rPr>
          <w:rFonts w:cs="Arial" w:ascii="Arial" w:hAnsi="Arial"/>
        </w:rPr>
        <w:t>Esta ata será publicado no prazo máximo de 20 (vinte) dias úteis a contar da assinatura das partes.</w:t>
      </w:r>
    </w:p>
    <w:p>
      <w:pPr>
        <w:pStyle w:val="Normal"/>
        <w:spacing w:lineRule="auto" w:line="240" w:before="0" w:after="0"/>
        <w:jc w:val="both"/>
        <w:rPr>
          <w:rFonts w:ascii="Arial" w:hAnsi="Arial"/>
        </w:rPr>
      </w:pPr>
      <w:r>
        <w:rPr>
          <w:rFonts w:cs="Arial" w:ascii="Arial" w:hAnsi="Arial"/>
        </w:rPr>
        <w:t>13.1.</w:t>
        <w:tab/>
        <w:t>Para fins de garantir a ampla publicidade, esta ata e/ou seu extrato será divulgado:</w:t>
      </w:r>
    </w:p>
    <w:p>
      <w:pPr>
        <w:pStyle w:val="ListParagraph"/>
        <w:tabs>
          <w:tab w:val="clear" w:pos="708"/>
          <w:tab w:val="left" w:pos="567" w:leader="none"/>
        </w:tabs>
        <w:spacing w:lineRule="auto" w:line="240" w:before="0" w:after="0"/>
        <w:contextualSpacing/>
        <w:jc w:val="both"/>
        <w:rPr>
          <w:rFonts w:ascii="Arial" w:hAnsi="Arial"/>
        </w:rPr>
      </w:pPr>
      <w:r>
        <w:rPr>
          <w:rFonts w:cs="Arial" w:ascii="Arial" w:hAnsi="Arial"/>
          <w:b/>
          <w:bCs/>
        </w:rPr>
        <w:t>a)</w:t>
      </w:r>
      <w:r>
        <w:rPr>
          <w:rFonts w:cs="Arial" w:ascii="Arial" w:hAnsi="Arial"/>
        </w:rPr>
        <w:tab/>
        <w:t>Portal Nacional de Contratações Públicas – PNCP, a partir da adoção pelo Município;</w:t>
      </w:r>
    </w:p>
    <w:p>
      <w:pPr>
        <w:pStyle w:val="ListParagraph"/>
        <w:tabs>
          <w:tab w:val="clear" w:pos="708"/>
          <w:tab w:val="left" w:pos="567" w:leader="none"/>
        </w:tabs>
        <w:spacing w:lineRule="auto" w:line="240" w:before="0" w:after="0"/>
        <w:contextualSpacing/>
        <w:jc w:val="both"/>
        <w:rPr>
          <w:rFonts w:ascii="Arial" w:hAnsi="Arial"/>
        </w:rPr>
      </w:pPr>
      <w:r>
        <w:rPr>
          <w:rFonts w:cs="Arial" w:ascii="Arial" w:hAnsi="Arial"/>
          <w:b/>
          <w:bCs/>
        </w:rPr>
        <w:t>b)</w:t>
      </w:r>
      <w:r>
        <w:rPr>
          <w:rFonts w:cs="Arial" w:ascii="Arial" w:hAnsi="Arial"/>
        </w:rPr>
        <w:tab/>
        <w:t>Página do Município de Itá-SC (ita.atende.net);</w:t>
      </w:r>
    </w:p>
    <w:p>
      <w:pPr>
        <w:pStyle w:val="ListParagraph"/>
        <w:tabs>
          <w:tab w:val="clear" w:pos="708"/>
          <w:tab w:val="left" w:pos="567" w:leader="none"/>
        </w:tabs>
        <w:spacing w:lineRule="auto" w:line="240" w:before="0" w:after="0"/>
        <w:contextualSpacing/>
        <w:jc w:val="both"/>
        <w:textAlignment w:val="baseline"/>
        <w:rPr>
          <w:rFonts w:ascii="Arial" w:hAnsi="Arial"/>
        </w:rPr>
      </w:pPr>
      <w:r>
        <w:rPr>
          <w:rFonts w:eastAsia="Times New Roman" w:cs="Arial" w:ascii="Arial" w:hAnsi="Arial"/>
          <w:b/>
          <w:bCs/>
          <w:color w:val="000000"/>
          <w:spacing w:val="-3"/>
          <w:lang w:eastAsia="pt-BR"/>
        </w:rPr>
        <w:t>c)</w:t>
      </w:r>
      <w:r>
        <w:rPr>
          <w:rFonts w:eastAsia="Times New Roman" w:cs="Arial" w:ascii="Arial" w:hAnsi="Arial"/>
          <w:color w:val="000000"/>
          <w:spacing w:val="-3"/>
          <w:lang w:eastAsia="pt-BR"/>
        </w:rPr>
        <w:tab/>
        <w:t>Diário Oficial dos Municípios – DOM.</w:t>
      </w:r>
    </w:p>
    <w:p>
      <w:pPr>
        <w:pStyle w:val="ListParagraph"/>
        <w:tabs>
          <w:tab w:val="clear" w:pos="708"/>
          <w:tab w:val="left" w:pos="567" w:leader="none"/>
        </w:tabs>
        <w:spacing w:lineRule="auto" w:line="240" w:before="0" w:after="0"/>
        <w:ind w:left="0" w:hanging="0"/>
        <w:contextualSpacing/>
        <w:jc w:val="both"/>
        <w:textAlignment w:val="baseline"/>
        <w:rPr>
          <w:rFonts w:eastAsia="Times New Roman" w:cs="Arial"/>
          <w:spacing w:val="-3"/>
          <w:lang w:eastAsia="pt-BR"/>
        </w:rPr>
      </w:pPr>
      <w:r>
        <w:rPr>
          <w:rFonts w:eastAsia="Times New Roman" w:cs="Arial"/>
          <w:spacing w:val="-3"/>
          <w:lang w:eastAsia="pt-BR"/>
        </w:rPr>
      </w:r>
    </w:p>
    <w:p>
      <w:pPr>
        <w:pStyle w:val="Ttulo2"/>
        <w:widowControl w:val="false"/>
        <w:numPr>
          <w:ilvl w:val="1"/>
          <w:numId w:val="51"/>
        </w:numPr>
        <w:tabs>
          <w:tab w:val="clear" w:pos="708"/>
          <w:tab w:val="left" w:pos="10597" w:leader="none"/>
        </w:tabs>
        <w:spacing w:lineRule="auto" w:line="240" w:before="0" w:after="0"/>
        <w:ind w:hanging="22"/>
        <w:textAlignment w:val="baseline"/>
        <w:rPr>
          <w:rFonts w:ascii="Arial" w:hAnsi="Arial" w:eastAsia="Times New Roman" w:cs="Arial"/>
          <w:bCs w:val="false"/>
          <w:sz w:val="22"/>
          <w:szCs w:val="22"/>
          <w:shd w:fill="CCCCCC" w:val="clear"/>
          <w:lang w:eastAsia="pt-BR"/>
        </w:rPr>
      </w:pPr>
      <w:r>
        <w:rPr>
          <w:rFonts w:eastAsia="Times New Roman" w:cs="Arial" w:ascii="Arial" w:hAnsi="Arial"/>
          <w:bCs w:val="false"/>
          <w:color w:val="000000"/>
          <w:spacing w:val="-3"/>
          <w:sz w:val="22"/>
          <w:szCs w:val="22"/>
          <w:shd w:fill="CCCCCC" w:val="clear"/>
          <w:lang w:eastAsia="pt-BR"/>
        </w:rPr>
        <w:t>CLÁUSULA</w:t>
      </w:r>
      <w:r>
        <w:rPr>
          <w:rFonts w:eastAsia="Times New Roman" w:cs="Arial" w:ascii="Arial" w:hAnsi="Arial"/>
          <w:bCs w:val="false"/>
          <w:color w:val="000000"/>
          <w:spacing w:val="-4"/>
          <w:sz w:val="22"/>
          <w:szCs w:val="22"/>
          <w:shd w:fill="CCCCCC" w:val="clear"/>
          <w:lang w:eastAsia="pt-BR"/>
        </w:rPr>
        <w:t xml:space="preserve"> XIV</w:t>
      </w:r>
      <w:r>
        <w:rPr>
          <w:rFonts w:eastAsia="Times New Roman" w:cs="Arial" w:ascii="Arial" w:hAnsi="Arial"/>
          <w:bCs w:val="false"/>
          <w:color w:val="000000"/>
          <w:spacing w:val="-3"/>
          <w:sz w:val="22"/>
          <w:szCs w:val="22"/>
          <w:shd w:fill="CCCCCC" w:val="clear"/>
          <w:lang w:eastAsia="pt-BR"/>
        </w:rPr>
        <w:t xml:space="preserve"> – DAS DISPOSIÇÕES FINAIS:</w:t>
      </w:r>
    </w:p>
    <w:p>
      <w:pPr>
        <w:pStyle w:val="Corpodotexto"/>
        <w:widowControl w:val="false"/>
        <w:tabs>
          <w:tab w:val="clear" w:pos="708"/>
          <w:tab w:val="left" w:pos="10597" w:leader="none"/>
        </w:tabs>
        <w:spacing w:lineRule="auto" w:line="240" w:before="0" w:after="0"/>
        <w:jc w:val="both"/>
        <w:textAlignment w:val="baseline"/>
        <w:rPr>
          <w:rFonts w:eastAsia="Times New Roman" w:cs="Arial"/>
          <w:spacing w:val="-3"/>
          <w:shd w:fill="CCCCCC" w:val="clear"/>
          <w:lang w:eastAsia="pt-BR"/>
        </w:rPr>
      </w:pPr>
      <w:r>
        <w:rPr>
          <w:rFonts w:eastAsia="Times New Roman" w:cs="Arial"/>
          <w:spacing w:val="-3"/>
          <w:shd w:fill="CCCCCC" w:val="clear"/>
          <w:lang w:eastAsia="pt-BR"/>
        </w:rPr>
      </w:r>
    </w:p>
    <w:p>
      <w:pPr>
        <w:pStyle w:val="ListParagraph"/>
        <w:tabs>
          <w:tab w:val="clear" w:pos="708"/>
          <w:tab w:val="left" w:pos="409" w:leader="none"/>
        </w:tabs>
        <w:spacing w:lineRule="auto" w:line="240" w:before="0" w:after="0"/>
        <w:ind w:left="0" w:hanging="0"/>
        <w:contextualSpacing/>
        <w:jc w:val="both"/>
        <w:rPr>
          <w:rFonts w:ascii="Arial" w:hAnsi="Arial"/>
        </w:rPr>
      </w:pPr>
      <w:r>
        <w:rPr>
          <w:rFonts w:ascii="Arial" w:hAnsi="Arial"/>
        </w:rPr>
        <w:t>14.</w:t>
        <w:tab/>
        <w:tab/>
        <w:t>Integram</w:t>
      </w:r>
      <w:r>
        <w:rPr>
          <w:rFonts w:ascii="Arial" w:hAnsi="Arial"/>
          <w:spacing w:val="-5"/>
        </w:rPr>
        <w:t xml:space="preserve"> </w:t>
      </w:r>
      <w:r>
        <w:rPr>
          <w:rFonts w:ascii="Arial" w:hAnsi="Arial"/>
        </w:rPr>
        <w:t>esta</w:t>
      </w:r>
      <w:r>
        <w:rPr>
          <w:rFonts w:ascii="Arial" w:hAnsi="Arial"/>
          <w:spacing w:val="-4"/>
        </w:rPr>
        <w:t xml:space="preserve"> </w:t>
      </w:r>
      <w:r>
        <w:rPr>
          <w:rFonts w:ascii="Arial" w:hAnsi="Arial"/>
        </w:rPr>
        <w:t>Ata,</w:t>
      </w:r>
      <w:r>
        <w:rPr>
          <w:rFonts w:ascii="Arial" w:hAnsi="Arial"/>
          <w:spacing w:val="-5"/>
        </w:rPr>
        <w:t xml:space="preserve"> </w:t>
      </w:r>
      <w:r>
        <w:rPr>
          <w:rFonts w:ascii="Arial" w:hAnsi="Arial"/>
        </w:rPr>
        <w:t>o</w:t>
      </w:r>
      <w:r>
        <w:rPr>
          <w:rFonts w:ascii="Arial" w:hAnsi="Arial"/>
          <w:spacing w:val="-4"/>
        </w:rPr>
        <w:t xml:space="preserve"> </w:t>
      </w:r>
      <w:r>
        <w:rPr>
          <w:rFonts w:ascii="Arial" w:hAnsi="Arial"/>
        </w:rPr>
        <w:t>Edital</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Pregão</w:t>
      </w:r>
      <w:r>
        <w:rPr>
          <w:rFonts w:ascii="Arial" w:hAnsi="Arial"/>
          <w:spacing w:val="-4"/>
        </w:rPr>
        <w:t xml:space="preserve"> </w:t>
      </w:r>
      <w:r>
        <w:rPr>
          <w:rFonts w:ascii="Arial" w:hAnsi="Arial"/>
        </w:rPr>
        <w:t>Eletrônico</w:t>
      </w:r>
      <w:r>
        <w:rPr>
          <w:rFonts w:ascii="Arial" w:hAnsi="Arial"/>
          <w:spacing w:val="-4"/>
        </w:rPr>
        <w:t xml:space="preserve"> </w:t>
      </w:r>
      <w:r>
        <w:rPr>
          <w:rFonts w:ascii="Arial" w:hAnsi="Arial"/>
        </w:rPr>
        <w:t>Nº.</w:t>
      </w:r>
      <w:r>
        <w:rPr>
          <w:rFonts w:ascii="Arial" w:hAnsi="Arial"/>
          <w:spacing w:val="-5"/>
        </w:rPr>
        <w:t xml:space="preserve"> </w:t>
      </w:r>
      <w:r>
        <w:rPr>
          <w:rFonts w:ascii="Arial" w:hAnsi="Arial"/>
          <w:b/>
          <w:bCs/>
          <w:spacing w:val="-5"/>
        </w:rPr>
        <w:t>xxx</w:t>
      </w:r>
      <w:r>
        <w:rPr>
          <w:rFonts w:ascii="Arial" w:hAnsi="Arial"/>
        </w:rPr>
        <w:t>/2023,</w:t>
      </w:r>
      <w:r>
        <w:rPr>
          <w:rFonts w:ascii="Arial" w:hAnsi="Arial"/>
          <w:spacing w:val="-4"/>
        </w:rPr>
        <w:t xml:space="preserve"> </w:t>
      </w:r>
      <w:r>
        <w:rPr>
          <w:rFonts w:ascii="Arial" w:hAnsi="Arial"/>
        </w:rPr>
        <w:t>e</w:t>
      </w:r>
      <w:r>
        <w:rPr>
          <w:rFonts w:ascii="Arial" w:hAnsi="Arial"/>
          <w:spacing w:val="-4"/>
        </w:rPr>
        <w:t xml:space="preserve"> </w:t>
      </w:r>
      <w:r>
        <w:rPr>
          <w:rFonts w:ascii="Arial" w:hAnsi="Arial"/>
        </w:rPr>
        <w:t>as</w:t>
      </w:r>
      <w:r>
        <w:rPr>
          <w:rFonts w:ascii="Arial" w:hAnsi="Arial"/>
          <w:spacing w:val="-5"/>
        </w:rPr>
        <w:t xml:space="preserve"> </w:t>
      </w:r>
      <w:r>
        <w:rPr>
          <w:rFonts w:ascii="Arial" w:hAnsi="Arial"/>
        </w:rPr>
        <w:t>propostas</w:t>
      </w:r>
      <w:r>
        <w:rPr>
          <w:rFonts w:ascii="Arial" w:hAnsi="Arial"/>
          <w:spacing w:val="-4"/>
        </w:rPr>
        <w:t xml:space="preserve"> </w:t>
      </w:r>
      <w:r>
        <w:rPr>
          <w:rFonts w:ascii="Arial" w:hAnsi="Arial"/>
        </w:rPr>
        <w:t>das</w:t>
      </w:r>
      <w:r>
        <w:rPr>
          <w:rFonts w:ascii="Arial" w:hAnsi="Arial"/>
          <w:spacing w:val="-4"/>
        </w:rPr>
        <w:t xml:space="preserve"> </w:t>
      </w:r>
      <w:r>
        <w:rPr>
          <w:rFonts w:ascii="Arial" w:hAnsi="Arial"/>
        </w:rPr>
        <w:t>empresas</w:t>
      </w:r>
      <w:r>
        <w:rPr>
          <w:rFonts w:ascii="Arial" w:hAnsi="Arial"/>
          <w:spacing w:val="-5"/>
        </w:rPr>
        <w:t xml:space="preserve"> </w:t>
      </w:r>
      <w:r>
        <w:rPr>
          <w:rFonts w:ascii="Arial" w:hAnsi="Arial"/>
        </w:rPr>
        <w:t>classificadas</w:t>
      </w:r>
      <w:r>
        <w:rPr>
          <w:rFonts w:ascii="Arial" w:hAnsi="Arial"/>
          <w:spacing w:val="-4"/>
        </w:rPr>
        <w:t xml:space="preserve"> </w:t>
      </w:r>
      <w:r>
        <w:rPr>
          <w:rFonts w:ascii="Arial" w:hAnsi="Arial"/>
        </w:rPr>
        <w:t>no</w:t>
      </w:r>
      <w:r>
        <w:rPr>
          <w:rFonts w:ascii="Arial" w:hAnsi="Arial"/>
          <w:spacing w:val="-4"/>
        </w:rPr>
        <w:t xml:space="preserve"> </w:t>
      </w:r>
      <w:r>
        <w:rPr>
          <w:rFonts w:ascii="Arial" w:hAnsi="Arial"/>
        </w:rPr>
        <w:t>mesmo.</w:t>
      </w:r>
    </w:p>
    <w:p>
      <w:pPr>
        <w:pStyle w:val="ListParagraph"/>
        <w:numPr>
          <w:ilvl w:val="1"/>
          <w:numId w:val="52"/>
        </w:numPr>
        <w:tabs>
          <w:tab w:val="clear" w:pos="708"/>
          <w:tab w:val="left" w:pos="498" w:leader="none"/>
        </w:tabs>
        <w:overflowPunct w:val="true"/>
        <w:spacing w:lineRule="auto" w:line="240" w:before="0" w:after="0"/>
        <w:contextualSpacing/>
        <w:jc w:val="both"/>
        <w:rPr>
          <w:rFonts w:ascii="Arial" w:hAnsi="Arial"/>
        </w:rPr>
      </w:pPr>
      <w:r>
        <w:rPr>
          <w:rFonts w:ascii="Arial" w:hAnsi="Arial"/>
        </w:rPr>
        <w:t>14.1.</w:t>
        <w:tab/>
        <w:tab/>
        <w:t>Fica</w:t>
      </w:r>
      <w:r>
        <w:rPr>
          <w:rFonts w:ascii="Arial" w:hAnsi="Arial"/>
          <w:spacing w:val="-5"/>
        </w:rPr>
        <w:t xml:space="preserve"> </w:t>
      </w:r>
      <w:r>
        <w:rPr>
          <w:rFonts w:ascii="Arial" w:hAnsi="Arial"/>
        </w:rPr>
        <w:t>eleito</w:t>
      </w:r>
      <w:r>
        <w:rPr>
          <w:rFonts w:ascii="Arial" w:hAnsi="Arial"/>
          <w:spacing w:val="-5"/>
        </w:rPr>
        <w:t xml:space="preserve"> </w:t>
      </w:r>
      <w:r>
        <w:rPr>
          <w:rFonts w:ascii="Arial" w:hAnsi="Arial"/>
        </w:rPr>
        <w:t>o</w:t>
      </w:r>
      <w:r>
        <w:rPr>
          <w:rFonts w:ascii="Arial" w:hAnsi="Arial"/>
          <w:spacing w:val="-5"/>
        </w:rPr>
        <w:t xml:space="preserve"> </w:t>
      </w:r>
      <w:r>
        <w:rPr>
          <w:rFonts w:ascii="Arial" w:hAnsi="Arial"/>
        </w:rPr>
        <w:t>foro</w:t>
      </w:r>
      <w:r>
        <w:rPr>
          <w:rFonts w:ascii="Arial" w:hAnsi="Arial"/>
          <w:spacing w:val="-5"/>
        </w:rPr>
        <w:t xml:space="preserve"> </w:t>
      </w:r>
      <w:r>
        <w:rPr>
          <w:rFonts w:ascii="Arial" w:hAnsi="Arial"/>
        </w:rPr>
        <w:t>de</w:t>
      </w:r>
      <w:r>
        <w:rPr>
          <w:rFonts w:ascii="Arial" w:hAnsi="Arial"/>
          <w:spacing w:val="-5"/>
        </w:rPr>
        <w:t xml:space="preserve"> </w:t>
      </w:r>
      <w:r>
        <w:rPr>
          <w:rFonts w:ascii="Arial" w:hAnsi="Arial"/>
        </w:rPr>
        <w:t>Itá</w:t>
      </w:r>
      <w:r>
        <w:rPr>
          <w:rFonts w:ascii="Arial" w:hAnsi="Arial"/>
          <w:spacing w:val="-5"/>
        </w:rPr>
        <w:t xml:space="preserve"> </w:t>
      </w:r>
      <w:r>
        <w:rPr>
          <w:rFonts w:ascii="Arial" w:hAnsi="Arial"/>
        </w:rPr>
        <w:t>-</w:t>
      </w:r>
      <w:r>
        <w:rPr>
          <w:rFonts w:ascii="Arial" w:hAnsi="Arial"/>
          <w:spacing w:val="-5"/>
        </w:rPr>
        <w:t xml:space="preserve"> </w:t>
      </w:r>
      <w:r>
        <w:rPr>
          <w:rFonts w:ascii="Arial" w:hAnsi="Arial"/>
        </w:rPr>
        <w:t>SC,</w:t>
      </w:r>
      <w:r>
        <w:rPr>
          <w:rFonts w:ascii="Arial" w:hAnsi="Arial"/>
          <w:spacing w:val="-5"/>
        </w:rPr>
        <w:t xml:space="preserve"> </w:t>
      </w:r>
      <w:r>
        <w:rPr>
          <w:rFonts w:ascii="Arial" w:hAnsi="Arial"/>
        </w:rPr>
        <w:t>para</w:t>
      </w:r>
      <w:r>
        <w:rPr>
          <w:rFonts w:ascii="Arial" w:hAnsi="Arial"/>
          <w:spacing w:val="-5"/>
        </w:rPr>
        <w:t xml:space="preserve"> </w:t>
      </w:r>
      <w:r>
        <w:rPr>
          <w:rFonts w:ascii="Arial" w:hAnsi="Arial"/>
        </w:rPr>
        <w:t>dirimir</w:t>
      </w:r>
      <w:r>
        <w:rPr>
          <w:rFonts w:ascii="Arial" w:hAnsi="Arial"/>
          <w:spacing w:val="-5"/>
        </w:rPr>
        <w:t xml:space="preserve"> </w:t>
      </w:r>
      <w:r>
        <w:rPr>
          <w:rFonts w:ascii="Arial" w:hAnsi="Arial"/>
        </w:rPr>
        <w:t>quaisquer</w:t>
      </w:r>
      <w:r>
        <w:rPr>
          <w:rFonts w:ascii="Arial" w:hAnsi="Arial"/>
          <w:spacing w:val="-5"/>
        </w:rPr>
        <w:t xml:space="preserve"> </w:t>
      </w:r>
      <w:r>
        <w:rPr>
          <w:rFonts w:ascii="Arial" w:hAnsi="Arial"/>
        </w:rPr>
        <w:t>questões</w:t>
      </w:r>
      <w:r>
        <w:rPr>
          <w:rFonts w:ascii="Arial" w:hAnsi="Arial"/>
          <w:spacing w:val="-5"/>
        </w:rPr>
        <w:t xml:space="preserve"> </w:t>
      </w:r>
      <w:r>
        <w:rPr>
          <w:rFonts w:ascii="Arial" w:hAnsi="Arial"/>
        </w:rPr>
        <w:t>decorrentes</w:t>
      </w:r>
      <w:r>
        <w:rPr>
          <w:rFonts w:ascii="Arial" w:hAnsi="Arial"/>
          <w:spacing w:val="-5"/>
        </w:rPr>
        <w:t xml:space="preserve"> </w:t>
      </w:r>
      <w:r>
        <w:rPr>
          <w:rFonts w:ascii="Arial" w:hAnsi="Arial"/>
        </w:rPr>
        <w:t>da</w:t>
      </w:r>
      <w:r>
        <w:rPr>
          <w:rFonts w:ascii="Arial" w:hAnsi="Arial"/>
          <w:spacing w:val="-5"/>
        </w:rPr>
        <w:t xml:space="preserve"> </w:t>
      </w:r>
      <w:r>
        <w:rPr>
          <w:rFonts w:ascii="Arial" w:hAnsi="Arial"/>
        </w:rPr>
        <w:t>utilização</w:t>
      </w:r>
      <w:r>
        <w:rPr>
          <w:rFonts w:ascii="Arial" w:hAnsi="Arial"/>
          <w:spacing w:val="-5"/>
        </w:rPr>
        <w:t xml:space="preserve"> </w:t>
      </w:r>
      <w:r>
        <w:rPr>
          <w:rFonts w:ascii="Arial" w:hAnsi="Arial"/>
        </w:rPr>
        <w:t>da</w:t>
      </w:r>
      <w:r>
        <w:rPr>
          <w:rFonts w:ascii="Arial" w:hAnsi="Arial"/>
          <w:spacing w:val="-5"/>
        </w:rPr>
        <w:t xml:space="preserve"> </w:t>
      </w:r>
      <w:r>
        <w:rPr>
          <w:rFonts w:ascii="Arial" w:hAnsi="Arial"/>
        </w:rPr>
        <w:t>presente</w:t>
      </w:r>
      <w:r>
        <w:rPr>
          <w:rFonts w:ascii="Arial" w:hAnsi="Arial"/>
          <w:spacing w:val="-5"/>
        </w:rPr>
        <w:t xml:space="preserve"> </w:t>
      </w:r>
      <w:r>
        <w:rPr>
          <w:rFonts w:ascii="Arial" w:hAnsi="Arial"/>
        </w:rPr>
        <w:t>Ata.</w:t>
      </w:r>
    </w:p>
    <w:p>
      <w:pPr>
        <w:pStyle w:val="ListParagraph"/>
        <w:numPr>
          <w:ilvl w:val="1"/>
          <w:numId w:val="52"/>
        </w:numPr>
        <w:tabs>
          <w:tab w:val="clear" w:pos="708"/>
          <w:tab w:val="left" w:pos="498" w:leader="none"/>
        </w:tabs>
        <w:overflowPunct w:val="true"/>
        <w:spacing w:lineRule="auto" w:line="240" w:before="0" w:after="0"/>
        <w:contextualSpacing/>
        <w:jc w:val="both"/>
        <w:rPr>
          <w:rFonts w:ascii="Arial" w:hAnsi="Arial"/>
        </w:rPr>
      </w:pPr>
      <w:r>
        <w:rPr>
          <w:rFonts w:ascii="Arial" w:hAnsi="Arial"/>
        </w:rPr>
        <w:t>14.2.</w:t>
        <w:tab/>
        <w:tab/>
        <w:t>Os</w:t>
      </w:r>
      <w:r>
        <w:rPr>
          <w:rFonts w:ascii="Arial" w:hAnsi="Arial"/>
          <w:spacing w:val="-5"/>
        </w:rPr>
        <w:t xml:space="preserve"> </w:t>
      </w:r>
      <w:r>
        <w:rPr>
          <w:rFonts w:ascii="Arial" w:hAnsi="Arial"/>
        </w:rPr>
        <w:t>casos</w:t>
      </w:r>
      <w:r>
        <w:rPr>
          <w:rFonts w:ascii="Arial" w:hAnsi="Arial"/>
          <w:spacing w:val="-4"/>
        </w:rPr>
        <w:t xml:space="preserve"> </w:t>
      </w:r>
      <w:r>
        <w:rPr>
          <w:rFonts w:ascii="Arial" w:hAnsi="Arial"/>
        </w:rPr>
        <w:t>omissos</w:t>
      </w:r>
      <w:r>
        <w:rPr>
          <w:rFonts w:ascii="Arial" w:hAnsi="Arial"/>
          <w:spacing w:val="-4"/>
        </w:rPr>
        <w:t xml:space="preserve"> </w:t>
      </w:r>
      <w:r>
        <w:rPr>
          <w:rFonts w:ascii="Arial" w:hAnsi="Arial"/>
        </w:rPr>
        <w:t>serão</w:t>
      </w:r>
      <w:r>
        <w:rPr>
          <w:rFonts w:ascii="Arial" w:hAnsi="Arial"/>
          <w:spacing w:val="-4"/>
        </w:rPr>
        <w:t xml:space="preserve"> </w:t>
      </w:r>
      <w:r>
        <w:rPr>
          <w:rFonts w:ascii="Arial" w:hAnsi="Arial"/>
        </w:rPr>
        <w:t>resolvidos</w:t>
      </w:r>
      <w:r>
        <w:rPr>
          <w:rFonts w:ascii="Arial" w:hAnsi="Arial"/>
          <w:spacing w:val="-4"/>
        </w:rPr>
        <w:t xml:space="preserve"> </w:t>
      </w:r>
      <w:r>
        <w:rPr>
          <w:rFonts w:ascii="Arial" w:hAnsi="Arial"/>
        </w:rPr>
        <w:t>de</w:t>
      </w:r>
      <w:r>
        <w:rPr>
          <w:rFonts w:ascii="Arial" w:hAnsi="Arial"/>
          <w:spacing w:val="-5"/>
        </w:rPr>
        <w:t xml:space="preserve"> </w:t>
      </w:r>
      <w:r>
        <w:rPr>
          <w:rFonts w:ascii="Arial" w:hAnsi="Arial"/>
        </w:rPr>
        <w:t>acordo</w:t>
      </w:r>
      <w:r>
        <w:rPr>
          <w:rFonts w:ascii="Arial" w:hAnsi="Arial"/>
          <w:spacing w:val="-4"/>
        </w:rPr>
        <w:t xml:space="preserve"> </w:t>
      </w:r>
      <w:r>
        <w:rPr>
          <w:rFonts w:ascii="Arial" w:hAnsi="Arial"/>
        </w:rPr>
        <w:t>com</w:t>
      </w:r>
      <w:r>
        <w:rPr>
          <w:rFonts w:ascii="Arial" w:hAnsi="Arial"/>
          <w:spacing w:val="-4"/>
        </w:rPr>
        <w:t xml:space="preserve"> </w:t>
      </w:r>
      <w:r>
        <w:rPr>
          <w:rFonts w:ascii="Arial" w:hAnsi="Arial"/>
        </w:rPr>
        <w:t>a</w:t>
      </w:r>
      <w:r>
        <w:rPr>
          <w:rFonts w:ascii="Arial" w:hAnsi="Arial"/>
          <w:spacing w:val="-4"/>
        </w:rPr>
        <w:t xml:space="preserve"> </w:t>
      </w:r>
      <w:r>
        <w:rPr>
          <w:rFonts w:ascii="Arial" w:hAnsi="Arial"/>
        </w:rPr>
        <w:t>Lei</w:t>
      </w:r>
      <w:r>
        <w:rPr>
          <w:rFonts w:ascii="Arial" w:hAnsi="Arial"/>
          <w:spacing w:val="-4"/>
        </w:rPr>
        <w:t xml:space="preserve"> </w:t>
      </w:r>
      <w:r>
        <w:rPr>
          <w:rFonts w:ascii="Arial" w:hAnsi="Arial"/>
        </w:rPr>
        <w:t>nº.</w:t>
      </w:r>
      <w:r>
        <w:rPr>
          <w:rFonts w:ascii="Arial" w:hAnsi="Arial"/>
          <w:spacing w:val="-4"/>
        </w:rPr>
        <w:t xml:space="preserve"> </w:t>
      </w:r>
      <w:r>
        <w:rPr>
          <w:rFonts w:ascii="Arial" w:hAnsi="Arial"/>
        </w:rPr>
        <w:t>14.133/2021</w:t>
      </w:r>
      <w:r>
        <w:rPr>
          <w:rFonts w:ascii="Arial" w:hAnsi="Arial"/>
          <w:spacing w:val="-5"/>
        </w:rPr>
        <w:t xml:space="preserve"> </w:t>
      </w:r>
      <w:r>
        <w:rPr>
          <w:rFonts w:ascii="Arial" w:hAnsi="Arial"/>
        </w:rPr>
        <w:t>e</w:t>
      </w:r>
      <w:r>
        <w:rPr>
          <w:rFonts w:ascii="Arial" w:hAnsi="Arial"/>
          <w:spacing w:val="-4"/>
        </w:rPr>
        <w:t xml:space="preserve"> </w:t>
      </w:r>
      <w:r>
        <w:rPr>
          <w:rFonts w:ascii="Arial" w:hAnsi="Arial"/>
        </w:rPr>
        <w:t>alterações,</w:t>
      </w:r>
      <w:r>
        <w:rPr>
          <w:rFonts w:ascii="Arial" w:hAnsi="Arial"/>
          <w:spacing w:val="-4"/>
        </w:rPr>
        <w:t xml:space="preserve"> </w:t>
      </w:r>
      <w:r>
        <w:rPr>
          <w:rFonts w:ascii="Arial" w:hAnsi="Arial"/>
        </w:rPr>
        <w:t>e</w:t>
      </w:r>
      <w:r>
        <w:rPr>
          <w:rFonts w:ascii="Arial" w:hAnsi="Arial"/>
          <w:spacing w:val="-4"/>
        </w:rPr>
        <w:t xml:space="preserve"> </w:t>
      </w:r>
      <w:r>
        <w:rPr>
          <w:rFonts w:ascii="Arial" w:hAnsi="Arial"/>
        </w:rPr>
        <w:t>demais</w:t>
      </w:r>
      <w:r>
        <w:rPr>
          <w:rFonts w:ascii="Arial" w:hAnsi="Arial"/>
          <w:spacing w:val="-4"/>
        </w:rPr>
        <w:t xml:space="preserve"> </w:t>
      </w:r>
      <w:r>
        <w:rPr>
          <w:rFonts w:ascii="Arial" w:hAnsi="Arial"/>
        </w:rPr>
        <w:t>normas</w:t>
      </w:r>
      <w:r>
        <w:rPr>
          <w:rFonts w:ascii="Arial" w:hAnsi="Arial"/>
          <w:spacing w:val="-5"/>
        </w:rPr>
        <w:t xml:space="preserve"> </w:t>
      </w:r>
      <w:r>
        <w:rPr>
          <w:rFonts w:ascii="Arial" w:hAnsi="Arial"/>
        </w:rPr>
        <w:t>aplicáveis.</w:t>
      </w:r>
    </w:p>
    <w:p>
      <w:pPr>
        <w:pStyle w:val="Corpodotexto"/>
        <w:ind w:right="100" w:hanging="0"/>
        <w:jc w:val="right"/>
        <w:rPr>
          <w:rFonts w:ascii="Arial" w:hAnsi="Arial"/>
        </w:rPr>
      </w:pPr>
      <w:r>
        <w:rPr>
          <w:rFonts w:ascii="Arial" w:hAnsi="Arial"/>
        </w:rPr>
        <w:t>Itá</w:t>
      </w:r>
      <w:r>
        <w:rPr>
          <w:rFonts w:ascii="Arial" w:hAnsi="Arial"/>
          <w:spacing w:val="-4"/>
        </w:rPr>
        <w:t xml:space="preserve"> – </w:t>
      </w:r>
      <w:r>
        <w:rPr>
          <w:rFonts w:ascii="Arial" w:hAnsi="Arial"/>
        </w:rPr>
        <w:t>SC,xx</w:t>
      </w:r>
      <w:r>
        <w:rPr>
          <w:rFonts w:ascii="Arial" w:hAnsi="Arial"/>
          <w:spacing w:val="-4"/>
        </w:rPr>
        <w:t xml:space="preserve"> </w:t>
      </w:r>
      <w:r>
        <w:rPr>
          <w:rFonts w:ascii="Arial" w:hAnsi="Arial"/>
        </w:rPr>
        <w:t>de</w:t>
      </w:r>
      <w:r>
        <w:rPr>
          <w:rFonts w:ascii="Arial" w:hAnsi="Arial"/>
          <w:spacing w:val="-3"/>
        </w:rPr>
        <w:t xml:space="preserve"> </w:t>
      </w:r>
      <w:r>
        <w:rPr>
          <w:rFonts w:ascii="Arial" w:hAnsi="Arial"/>
          <w:spacing w:val="-4"/>
        </w:rPr>
        <w:t xml:space="preserve">xxxxxx </w:t>
      </w:r>
      <w:r>
        <w:rPr>
          <w:rFonts w:ascii="Arial" w:hAnsi="Arial"/>
        </w:rPr>
        <w:t>de</w:t>
      </w:r>
      <w:r>
        <w:rPr>
          <w:rFonts w:ascii="Arial" w:hAnsi="Arial"/>
          <w:spacing w:val="-3"/>
        </w:rPr>
        <w:t xml:space="preserve"> </w:t>
      </w:r>
      <w:r>
        <w:rPr>
          <w:rFonts w:ascii="Arial" w:hAnsi="Arial"/>
        </w:rPr>
        <w:t>202x.</w:t>
      </w:r>
    </w:p>
    <w:p>
      <w:pPr>
        <w:pStyle w:val="Corpodotexto"/>
        <w:spacing w:lineRule="auto" w:line="240" w:before="0" w:after="0"/>
        <w:jc w:val="center"/>
        <w:rPr>
          <w:sz w:val="20"/>
        </w:rPr>
      </w:pPr>
      <w:r>
        <w:rPr>
          <w:sz w:val="20"/>
        </w:rPr>
        <w:t>_____________________________</w:t>
      </w:r>
    </w:p>
    <w:p>
      <w:pPr>
        <w:pStyle w:val="Corpodotexto"/>
        <w:spacing w:lineRule="auto" w:line="240" w:before="0" w:after="0"/>
        <w:jc w:val="center"/>
        <w:rPr>
          <w:rFonts w:ascii="Arial" w:hAnsi="Arial" w:cs="Arial"/>
        </w:rPr>
      </w:pPr>
      <w:r>
        <w:rPr>
          <w:rFonts w:cs="Arial" w:ascii="Arial" w:hAnsi="Arial"/>
        </w:rPr>
        <w:t>Contratante</w:t>
      </w:r>
    </w:p>
    <w:p>
      <w:pPr>
        <w:pStyle w:val="Corpodotexto"/>
        <w:spacing w:lineRule="auto" w:line="240" w:before="0" w:after="0"/>
        <w:jc w:val="center"/>
        <w:rPr>
          <w:sz w:val="20"/>
        </w:rPr>
      </w:pPr>
      <w:r>
        <w:rPr>
          <w:sz w:val="20"/>
        </w:rPr>
      </w:r>
    </w:p>
    <w:p>
      <w:pPr>
        <w:pStyle w:val="Corpodotexto"/>
        <w:spacing w:lineRule="auto" w:line="240" w:before="0" w:after="0"/>
        <w:jc w:val="center"/>
        <w:rPr>
          <w:sz w:val="20"/>
        </w:rPr>
      </w:pPr>
      <w:r>
        <w:rPr>
          <w:sz w:val="20"/>
        </w:rPr>
        <w:t>_________________________</w:t>
      </w:r>
    </w:p>
    <w:p>
      <w:pPr>
        <w:pStyle w:val="Corpodotexto"/>
        <w:spacing w:lineRule="auto" w:line="240" w:before="0" w:after="0"/>
        <w:jc w:val="center"/>
        <w:rPr>
          <w:rFonts w:ascii="Arial" w:hAnsi="Arial" w:cs="Arial"/>
        </w:rPr>
      </w:pPr>
      <w:r>
        <w:rPr>
          <w:rFonts w:cs="Arial" w:ascii="Arial" w:hAnsi="Arial"/>
        </w:rPr>
        <w:t>Contratada</w:t>
      </w:r>
    </w:p>
    <w:sectPr>
      <w:headerReference w:type="default" r:id="rId24"/>
      <w:footerReference w:type="default" r:id="rId25"/>
      <w:footnotePr>
        <w:numFmt w:val="decimal"/>
      </w:footnotePr>
      <w:type w:val="nextPage"/>
      <w:pgSz w:w="11906" w:h="16838"/>
      <w:pgMar w:left="1701" w:right="1701" w:header="708" w:top="1417" w:footer="708" w:bottom="1417" w:gutter="0"/>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both"/>
      <w:rPr/>
    </w:pPr>
    <w:r>
      <w:rPr>
        <w:rFonts w:cs="Arial" w:ascii="Arial" w:hAnsi="Arial"/>
        <w:sz w:val="16"/>
        <w:szCs w:val="16"/>
        <w:shd w:fill="auto" w:val="clear"/>
      </w:rPr>
      <w:t xml:space="preserve">Pregão Eletrônico nº </w:t>
    </w:r>
    <w:r>
      <w:rPr>
        <w:rFonts w:eastAsia="Calibri" w:cs="Arial" w:ascii="Arial" w:hAnsi="Arial"/>
        <w:color w:val="000000"/>
        <w:kern w:val="0"/>
        <w:sz w:val="16"/>
        <w:szCs w:val="16"/>
        <w:shd w:fill="auto" w:val="clear"/>
        <w:lang w:val="pt-BR" w:eastAsia="en-US" w:bidi="ar-SA"/>
      </w:rPr>
      <w:t>090</w:t>
    </w:r>
    <w:r>
      <w:rPr>
        <w:rFonts w:cs="Arial" w:ascii="Arial" w:hAnsi="Arial"/>
        <w:color w:val="000000"/>
        <w:sz w:val="16"/>
        <w:szCs w:val="16"/>
        <w:shd w:fill="auto" w:val="clear"/>
      </w:rPr>
      <w:t>/2023</w:t>
    </w:r>
    <w:r>
      <w:rPr>
        <w:rFonts w:cs="Arial" w:ascii="Arial" w:hAnsi="Arial"/>
        <w:sz w:val="16"/>
        <w:szCs w:val="16"/>
        <w:shd w:fill="auto" w:val="clear"/>
      </w:rPr>
      <w:t xml:space="preserve"> </w:t>
    </w:r>
    <w:r>
      <w:rPr>
        <w:rFonts w:cs="Arial" w:ascii="Arial" w:hAnsi="Arial"/>
        <w:sz w:val="16"/>
        <w:szCs w:val="16"/>
      </w:rPr>
      <w:tab/>
      <w:t xml:space="preserve">Página </w:t>
    </w:r>
    <w:r>
      <w:rPr>
        <w:rFonts w:cs="Arial" w:ascii="Arial" w:hAnsi="Arial"/>
        <w:sz w:val="16"/>
        <w:szCs w:val="16"/>
      </w:rPr>
      <w:fldChar w:fldCharType="begin"/>
    </w:r>
    <w:r>
      <w:rPr>
        <w:sz w:val="16"/>
        <w:szCs w:val="16"/>
        <w:rFonts w:cs="Arial" w:ascii="Arial" w:hAnsi="Arial"/>
      </w:rPr>
      <w:instrText> PAGE </w:instrText>
    </w:r>
    <w:r>
      <w:rPr>
        <w:sz w:val="16"/>
        <w:szCs w:val="16"/>
        <w:rFonts w:cs="Arial" w:ascii="Arial" w:hAnsi="Arial"/>
      </w:rPr>
      <w:fldChar w:fldCharType="separate"/>
    </w:r>
    <w:r>
      <w:rPr>
        <w:sz w:val="16"/>
        <w:szCs w:val="16"/>
        <w:rFonts w:cs="Arial" w:ascii="Arial" w:hAnsi="Arial"/>
      </w:rPr>
      <w:t>9</w:t>
    </w:r>
    <w:r>
      <w:rPr>
        <w:sz w:val="16"/>
        <w:szCs w:val="16"/>
        <w:rFonts w:cs="Arial" w:ascii="Arial" w:hAnsi="Arial"/>
      </w:rPr>
      <w:fldChar w:fldCharType="end"/>
    </w:r>
    <w:r>
      <w:rPr>
        <w:rFonts w:cs="Arial" w:ascii="Arial" w:hAnsi="Arial"/>
        <w:sz w:val="16"/>
        <w:szCs w:val="16"/>
      </w:rPr>
      <w:t xml:space="preserve"> de </w:t>
    </w:r>
    <w:r>
      <w:rPr>
        <w:rFonts w:cs="Arial" w:ascii="Arial" w:hAnsi="Arial"/>
        <w:sz w:val="16"/>
        <w:szCs w:val="16"/>
      </w:rPr>
      <w:fldChar w:fldCharType="begin"/>
    </w:r>
    <w:r>
      <w:rPr>
        <w:sz w:val="16"/>
        <w:szCs w:val="16"/>
        <w:rFonts w:cs="Arial" w:ascii="Arial" w:hAnsi="Arial"/>
      </w:rPr>
      <w:instrText> NUMPAGES </w:instrText>
    </w:r>
    <w:r>
      <w:rPr>
        <w:sz w:val="16"/>
        <w:szCs w:val="16"/>
        <w:rFonts w:cs="Arial" w:ascii="Arial" w:hAnsi="Arial"/>
      </w:rPr>
      <w:fldChar w:fldCharType="separate"/>
    </w:r>
    <w:r>
      <w:rPr>
        <w:sz w:val="16"/>
        <w:szCs w:val="16"/>
        <w:rFonts w:cs="Arial" w:ascii="Arial" w:hAnsi="Arial"/>
      </w:rPr>
      <w:t>61</w:t>
    </w:r>
    <w:r>
      <w:rPr>
        <w:sz w:val="16"/>
        <w:szCs w:val="16"/>
        <w:rFonts w:cs="Arial" w:ascii="Arial" w:hAnsi="Arial"/>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Notaderodap"/>
        <w:rPr/>
      </w:pPr>
      <w:r>
        <w:rPr>
          <w:rStyle w:val="Caracteresdenotaderodap"/>
        </w:rPr>
        <w:footnoteRef/>
      </w:r>
      <w:r>
        <w:rPr>
          <w:sz w:val="16"/>
          <w:szCs w:val="16"/>
        </w:rPr>
        <w:t xml:space="preserve"> </w:t>
      </w:r>
      <w:r>
        <w:rPr>
          <w:b/>
          <w:bCs/>
          <w:sz w:val="16"/>
          <w:szCs w:val="16"/>
        </w:rPr>
        <w:t>Violação de sigilo em licitação</w:t>
      </w:r>
    </w:p>
    <w:p>
      <w:pPr>
        <w:pStyle w:val="Notaderodap"/>
        <w:rPr/>
      </w:pPr>
      <w:r>
        <w:fldChar w:fldCharType="begin"/>
      </w:r>
      <w:r>
        <w:rPr>
          <w:rStyle w:val="LinkdaInternet"/>
          <w:sz w:val="16"/>
          <w:szCs w:val="16"/>
        </w:rPr>
        <w:instrText> HYPERLINK "http://www.planalto.gov.br/ccivil_03/Decreto-Lei/Del2848.htm" \l "art337j"</w:instrText>
      </w:r>
      <w:r>
        <w:rPr>
          <w:rStyle w:val="LinkdaInternet"/>
          <w:sz w:val="16"/>
          <w:szCs w:val="16"/>
        </w:rPr>
        <w:fldChar w:fldCharType="separate"/>
      </w:r>
      <w:r>
        <w:rPr>
          <w:rStyle w:val="LinkdaInternet"/>
          <w:sz w:val="16"/>
          <w:szCs w:val="16"/>
        </w:rPr>
        <w:t>Art. 337-J</w:t>
      </w:r>
      <w:r>
        <w:rPr>
          <w:rStyle w:val="LinkdaInternet"/>
          <w:sz w:val="16"/>
          <w:szCs w:val="16"/>
        </w:rPr>
        <w:fldChar w:fldCharType="end"/>
      </w:r>
      <w:r>
        <w:rPr>
          <w:sz w:val="16"/>
          <w:szCs w:val="16"/>
        </w:rPr>
        <w:t>. Devassar o sigilo de proposta apresentada em processo licitatório ou proporcionar a terceiro o ensejo de devassá-lo:</w:t>
      </w:r>
    </w:p>
    <w:p>
      <w:pPr>
        <w:pStyle w:val="Notaderodap"/>
        <w:rPr>
          <w:sz w:val="16"/>
          <w:szCs w:val="16"/>
        </w:rPr>
      </w:pPr>
      <w:r>
        <w:rPr>
          <w:sz w:val="16"/>
          <w:szCs w:val="16"/>
        </w:rPr>
        <w:t>Pena - detenção, de 2 (dois) anos a 3 (três) anos, e multa.</w:t>
      </w:r>
    </w:p>
  </w:footnote>
  <w:footnote w:id="3">
    <w:p>
      <w:pPr>
        <w:pStyle w:val="Notaderodap"/>
        <w:rPr/>
      </w:pPr>
      <w:r>
        <w:rPr>
          <w:rStyle w:val="Caracteresdenotaderodap"/>
        </w:rPr>
        <w:footnoteRef/>
      </w:r>
      <w:r>
        <w:rPr>
          <w:sz w:val="16"/>
          <w:szCs w:val="16"/>
        </w:rPr>
        <w:t xml:space="preserve"> </w:t>
      </w:r>
      <w:r>
        <w:rPr>
          <w:b/>
          <w:bCs/>
          <w:i/>
          <w:sz w:val="16"/>
          <w:szCs w:val="16"/>
        </w:rPr>
        <w:t>Contratação inidônea</w:t>
      </w:r>
    </w:p>
    <w:p>
      <w:pPr>
        <w:pStyle w:val="Notaderodap"/>
        <w:rPr>
          <w:i/>
          <w:i/>
          <w:sz w:val="16"/>
          <w:szCs w:val="16"/>
        </w:rPr>
      </w:pPr>
      <w:r>
        <w:rPr>
          <w:i/>
          <w:sz w:val="16"/>
          <w:szCs w:val="16"/>
        </w:rPr>
        <w:t>Art. 337-M. Admitir à licitação empresa ou profissional declarado inidôneo:</w:t>
      </w:r>
    </w:p>
    <w:p>
      <w:pPr>
        <w:pStyle w:val="Notaderodap"/>
        <w:rPr>
          <w:i/>
          <w:i/>
          <w:sz w:val="16"/>
          <w:szCs w:val="16"/>
        </w:rPr>
      </w:pPr>
      <w:r>
        <w:rPr>
          <w:i/>
          <w:sz w:val="16"/>
          <w:szCs w:val="16"/>
        </w:rPr>
        <w:t>Pena - reclusão, de 1 (um) ano a 3 (três) anos, e multa.</w:t>
      </w:r>
    </w:p>
    <w:p>
      <w:pPr>
        <w:pStyle w:val="Notaderodap"/>
        <w:rPr>
          <w:i/>
          <w:i/>
          <w:sz w:val="16"/>
          <w:szCs w:val="16"/>
        </w:rPr>
      </w:pPr>
      <w:r>
        <w:rPr>
          <w:i/>
          <w:sz w:val="16"/>
          <w:szCs w:val="16"/>
        </w:rPr>
        <w:t>§ 1º Celebrar contrato com empresa ou profissional declarado inidôneo:</w:t>
      </w:r>
    </w:p>
    <w:p>
      <w:pPr>
        <w:pStyle w:val="Notaderodap"/>
        <w:rPr>
          <w:i/>
          <w:i/>
          <w:sz w:val="16"/>
          <w:szCs w:val="16"/>
        </w:rPr>
      </w:pPr>
      <w:r>
        <w:rPr>
          <w:i/>
          <w:sz w:val="16"/>
          <w:szCs w:val="16"/>
        </w:rPr>
        <w:t>Pena - reclusão, de 3 (três) anos a 6 (seis) anos, e multa.</w:t>
      </w:r>
    </w:p>
    <w:p>
      <w:pPr>
        <w:pStyle w:val="Notaderodap"/>
        <w:rPr/>
      </w:pPr>
      <w:r>
        <w:rPr>
          <w:i/>
          <w:sz w:val="16"/>
          <w:szCs w:val="16"/>
        </w:rPr>
        <w:t>§ 2º Incide na mesma pena do </w:t>
      </w:r>
      <w:r>
        <w:rPr>
          <w:b/>
          <w:bCs/>
          <w:i/>
          <w:sz w:val="16"/>
          <w:szCs w:val="16"/>
        </w:rPr>
        <w:t>caput</w:t>
      </w:r>
      <w:r>
        <w:rPr>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both"/>
      <w:rPr/>
    </w:pPr>
    <w:r>
      <w:drawing>
        <wp:anchor behindDoc="1" distT="0" distB="0" distL="114935" distR="114935" simplePos="0" locked="0" layoutInCell="0" allowOverlap="1" relativeHeight="62">
          <wp:simplePos x="0" y="0"/>
          <wp:positionH relativeFrom="column">
            <wp:posOffset>0</wp:posOffset>
          </wp:positionH>
          <wp:positionV relativeFrom="paragraph">
            <wp:posOffset>-111125</wp:posOffset>
          </wp:positionV>
          <wp:extent cx="987425" cy="98869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rcRect l="-419" t="-409" r="-419" b="-409"/>
                  <a:stretch>
                    <a:fillRect/>
                  </a:stretch>
                </pic:blipFill>
                <pic:spPr bwMode="auto">
                  <a:xfrm>
                    <a:off x="0" y="0"/>
                    <a:ext cx="987425" cy="988695"/>
                  </a:xfrm>
                  <a:prstGeom prst="rect">
                    <a:avLst/>
                  </a:prstGeom>
                </pic:spPr>
              </pic:pic>
            </a:graphicData>
          </a:graphic>
        </wp:anchor>
      </w:drawing>
    </w:r>
    <w:r>
      <w:rPr>
        <w:rFonts w:eastAsia="Verdana" w:cs="Verdana" w:ascii="Verdana" w:hAnsi="Verdana"/>
        <w:b/>
        <w:sz w:val="20"/>
      </w:rPr>
      <w:t xml:space="preserve">                        </w:t>
    </w:r>
    <w:r>
      <w:rPr>
        <w:rFonts w:cs="Verdana" w:ascii="Verdana" w:hAnsi="Verdana"/>
        <w:b/>
        <w:sz w:val="20"/>
      </w:rPr>
      <w:t>ESTADO DE SANTA CATARINA</w:t>
    </w:r>
  </w:p>
  <w:p>
    <w:pPr>
      <w:pStyle w:val="Cabealho"/>
      <w:jc w:val="both"/>
      <w:rPr/>
    </w:pPr>
    <w:r>
      <w:rPr>
        <w:rFonts w:eastAsia="Verdana" w:cs="Verdana" w:ascii="Verdana" w:hAnsi="Verdana"/>
        <w:b/>
        <w:sz w:val="20"/>
      </w:rPr>
      <w:t xml:space="preserve">                        </w:t>
    </w:r>
    <w:r>
      <w:rPr>
        <w:rFonts w:cs="Verdana" w:ascii="Verdana" w:hAnsi="Verdana"/>
        <w:b/>
        <w:sz w:val="20"/>
      </w:rPr>
      <w:t>MUNICÍPIO DE ITÁ</w:t>
    </w:r>
  </w:p>
  <w:p>
    <w:pPr>
      <w:pStyle w:val="Cabealho"/>
      <w:rPr/>
    </w:pPr>
    <w:r>
      <w:rPr>
        <w:rFonts w:eastAsia="Verdana" w:cs="Verdana" w:ascii="Verdana" w:hAnsi="Verdana"/>
        <w:sz w:val="20"/>
      </w:rPr>
      <w:t xml:space="preserve">                       </w:t>
    </w:r>
    <w:r>
      <w:rPr>
        <w:rFonts w:cs="Verdana" w:ascii="Verdana" w:hAnsi="Verdana"/>
        <w:b/>
        <w:sz w:val="20"/>
      </w:rPr>
      <w:t>Praça Dr. Aldo Ivo Stumpf, 100 - Fone</w:t>
    </w:r>
    <w:r>
      <w:rPr>
        <w:rFonts w:cs="Verdana" w:ascii="Verdana" w:hAnsi="Verdana"/>
        <w:b/>
        <w:sz w:val="20"/>
        <w:lang w:eastAsia="pt-BR"/>
      </w:rPr>
      <w:t xml:space="preserve"> (</w:t>
    </w:r>
    <w:r>
      <w:rPr>
        <w:rFonts w:cs="Verdana" w:ascii="Verdana" w:hAnsi="Verdana"/>
        <w:b/>
        <w:sz w:val="20"/>
      </w:rPr>
      <w:t>49) 3458-9500.</w:t>
    </w:r>
  </w:p>
  <w:p>
    <w:pPr>
      <w:pStyle w:val="Cabealho"/>
      <w:rPr/>
    </w:pPr>
    <w:r>
      <w:rPr>
        <w:rFonts w:eastAsia="Verdana" w:cs="Verdana" w:ascii="Verdana" w:hAnsi="Verdana"/>
        <w:b/>
        <w:sz w:val="20"/>
      </w:rPr>
      <w:t xml:space="preserve">                        </w:t>
    </w:r>
    <w:r>
      <w:rPr>
        <w:rFonts w:cs="Verdana" w:ascii="Verdana" w:hAnsi="Verdana"/>
        <w:b/>
        <w:sz w:val="20"/>
      </w:rPr>
      <w:t>CEP: 89760-000 – ITÁ – Santa Catarina</w:t>
    </w:r>
  </w:p>
  <w:p>
    <w:pPr>
      <w:pStyle w:val="Cabealho"/>
      <w:rPr/>
    </w:pPr>
    <w:r>
      <w:rPr>
        <w:rFonts w:eastAsia="Verdana" w:cs="Verdana" w:ascii="Verdana" w:hAnsi="Verdana"/>
        <w:b/>
        <w:sz w:val="20"/>
      </w:rPr>
      <w:t xml:space="preserve">               </w:t>
    </w:r>
    <w:r>
      <w:rPr>
        <w:rFonts w:cs="Verdana" w:ascii="Verdana" w:hAnsi="Verdana"/>
        <w:b/>
        <w:sz w:val="20"/>
      </w:rPr>
      <w:t xml:space="preserve">E       E-mail: </w:t>
    </w:r>
    <w:hyperlink r:id="rId2">
      <w:r>
        <w:rPr>
          <w:rStyle w:val="LinkdaInternet"/>
          <w:rFonts w:cs="Verdana" w:ascii="Verdana" w:hAnsi="Verdana"/>
          <w:b/>
          <w:sz w:val="20"/>
        </w:rPr>
        <w:t>licitacao@ita.sc.gov.br</w:t>
      </w:r>
    </w:hyperlink>
    <w:r>
      <w:rPr>
        <w:rFonts w:cs="Verdana" w:ascii="Verdana" w:hAnsi="Verdana"/>
        <w:b/>
        <w:sz w:val="20"/>
      </w:rPr>
      <w:t xml:space="preserve"> - site: </w:t>
    </w:r>
    <w:hyperlink r:id="rId3">
      <w:r>
        <w:rPr>
          <w:rStyle w:val="LinkdaInternet"/>
          <w:rFonts w:cs="Verdana" w:ascii="Verdana" w:hAnsi="Verdana"/>
          <w:b/>
          <w:sz w:val="20"/>
        </w:rPr>
        <w:t>ita.atende.net</w:t>
      </w:r>
    </w:hyperlink>
  </w:p>
  <w:p>
    <w:pPr>
      <w:pStyle w:val="Cabealho"/>
      <w:widowControl w:val="false"/>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w:r>
  </w:p>
  <w:p>
    <w:pPr>
      <w:pStyle w:val="Normal"/>
      <w:widowControl w:val="false"/>
      <w:tabs>
        <w:tab w:val="clear" w:pos="708"/>
        <w:tab w:val="center" w:pos="4252" w:leader="none"/>
        <w:tab w:val="right" w:pos="8504" w:leader="none"/>
      </w:tabs>
      <w:spacing w:lineRule="auto" w:line="240" w:before="0" w:after="0"/>
      <w:jc w:val="both"/>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mc:AlternateContent>
        <mc:Choice Requires="wps">
          <w:drawing>
            <wp:anchor behindDoc="1" distT="28575" distB="28575" distL="28575" distR="28575" simplePos="0" locked="0" layoutInCell="0" allowOverlap="1" relativeHeight="123">
              <wp:simplePos x="0" y="0"/>
              <wp:positionH relativeFrom="column">
                <wp:posOffset>655320</wp:posOffset>
              </wp:positionH>
              <wp:positionV relativeFrom="paragraph">
                <wp:posOffset>33020</wp:posOffset>
              </wp:positionV>
              <wp:extent cx="4591685" cy="27305"/>
              <wp:effectExtent l="0" t="0" r="0" b="0"/>
              <wp:wrapNone/>
              <wp:docPr id="2" name="Figura1"/>
              <a:graphic xmlns:a="http://schemas.openxmlformats.org/drawingml/2006/main">
                <a:graphicData uri="http://schemas.microsoft.com/office/word/2010/wordprocessingShape">
                  <wps:wsp>
                    <wps:cNvSpPr/>
                    <wps:spPr>
                      <a:xfrm>
                        <a:off x="0" y="0"/>
                        <a:ext cx="4591080" cy="1908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id="shape_0" from="51.6pt,2.6pt" to="413.05pt,4.05pt" ID="Figura1" stroked="t" style="position:absolute">
              <v:stroke color="black" weight="57240" joinstyle="miter"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color w:val="FF0000"/>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lvl w:ilvl="0">
      <w:start w:val="1"/>
      <w:numFmt w:val="upperRoman"/>
      <w:lvlText w:val="%1"/>
      <w:lvlJc w:val="left"/>
      <w:pPr>
        <w:tabs>
          <w:tab w:val="num" w:pos="0"/>
        </w:tabs>
        <w:ind w:left="720" w:hanging="360"/>
      </w:pPr>
      <w:rPr>
        <w:b/>
      </w:rPr>
    </w:lvl>
    <w:lvl w:ilvl="1">
      <w:start w:val="1"/>
      <w:numFmt w:val="lowerRoman"/>
      <w:lvlText w:val="%1.%2"/>
      <w:lvlJc w:val="righ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rPr>
        <w:b/>
      </w:rPr>
    </w:lvl>
    <w:lvl w:ilvl="2">
      <w:start w:val="1"/>
      <w:numFmt w:val="lowerLetter"/>
      <w:lvlText w:val="%2.%3"/>
      <w:lvlJc w:val="lef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6">
    <w:lvl w:ilvl="0">
      <w:start w:val="1"/>
      <w:numFmt w:val="lowerLetter"/>
      <w:lvlText w:val="%1"/>
      <w:lvlJc w:val="left"/>
      <w:pPr>
        <w:tabs>
          <w:tab w:val="num" w:pos="0"/>
        </w:tabs>
        <w:ind w:left="720" w:hanging="360"/>
      </w:pPr>
    </w:lvl>
    <w:lvl w:ilvl="1">
      <w:start w:val="1"/>
      <w:numFmt w:val="upperRoman"/>
      <w:lvlText w:val="%1.%2"/>
      <w:lvlJc w:val="left"/>
      <w:pPr>
        <w:tabs>
          <w:tab w:val="num" w:pos="0"/>
        </w:tabs>
        <w:ind w:left="1440" w:hanging="360"/>
      </w:pPr>
      <w:rPr>
        <w:b/>
      </w:rPr>
    </w:lvl>
    <w:lvl w:ilvl="2">
      <w:start w:val="1"/>
      <w:numFmt w:val="lowerLetter"/>
      <w:lvlText w:val="%2.%3"/>
      <w:lvlJc w:val="lef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lvl w:ilvl="0">
      <w:start w:val="1"/>
      <w:numFmt w:val="upperRoman"/>
      <w:lvlText w:val="%1"/>
      <w:lvlJc w:val="left"/>
      <w:pPr>
        <w:tabs>
          <w:tab w:val="num" w:pos="0"/>
        </w:tabs>
        <w:ind w:left="2340" w:hanging="360"/>
      </w:pPr>
      <w:rPr>
        <w:b/>
      </w:rPr>
    </w:lvl>
    <w:lvl w:ilvl="1">
      <w:start w:val="1"/>
      <w:numFmt w:val="lowerLetter"/>
      <w:lvlText w:val="%1.%2"/>
      <w:lvlJc w:val="left"/>
      <w:pPr>
        <w:tabs>
          <w:tab w:val="num" w:pos="0"/>
        </w:tabs>
        <w:ind w:left="3060" w:hanging="360"/>
      </w:pPr>
    </w:lvl>
    <w:lvl w:ilvl="2">
      <w:start w:val="1"/>
      <w:numFmt w:val="lowerRoman"/>
      <w:lvlText w:val="%2.%3"/>
      <w:lvlJc w:val="right"/>
      <w:pPr>
        <w:tabs>
          <w:tab w:val="num" w:pos="0"/>
        </w:tabs>
        <w:ind w:left="3780" w:hanging="180"/>
      </w:pPr>
    </w:lvl>
    <w:lvl w:ilvl="3">
      <w:start w:val="1"/>
      <w:numFmt w:val="decimal"/>
      <w:lvlText w:val="%3.%4"/>
      <w:lvlJc w:val="left"/>
      <w:pPr>
        <w:tabs>
          <w:tab w:val="num" w:pos="0"/>
        </w:tabs>
        <w:ind w:left="4500" w:hanging="360"/>
      </w:pPr>
    </w:lvl>
    <w:lvl w:ilvl="4">
      <w:start w:val="1"/>
      <w:numFmt w:val="lowerLetter"/>
      <w:lvlText w:val="%4.%5"/>
      <w:lvlJc w:val="left"/>
      <w:pPr>
        <w:tabs>
          <w:tab w:val="num" w:pos="0"/>
        </w:tabs>
        <w:ind w:left="5220" w:hanging="360"/>
      </w:pPr>
    </w:lvl>
    <w:lvl w:ilvl="5">
      <w:start w:val="1"/>
      <w:numFmt w:val="lowerRoman"/>
      <w:lvlText w:val="%5.%6"/>
      <w:lvlJc w:val="right"/>
      <w:pPr>
        <w:tabs>
          <w:tab w:val="num" w:pos="0"/>
        </w:tabs>
        <w:ind w:left="5940" w:hanging="180"/>
      </w:pPr>
    </w:lvl>
    <w:lvl w:ilvl="6">
      <w:start w:val="1"/>
      <w:numFmt w:val="decimal"/>
      <w:lvlText w:val="%6.%7"/>
      <w:lvlJc w:val="left"/>
      <w:pPr>
        <w:tabs>
          <w:tab w:val="num" w:pos="0"/>
        </w:tabs>
        <w:ind w:left="6660" w:hanging="360"/>
      </w:pPr>
    </w:lvl>
    <w:lvl w:ilvl="7">
      <w:start w:val="1"/>
      <w:numFmt w:val="lowerLetter"/>
      <w:lvlText w:val="%7.%8"/>
      <w:lvlJc w:val="left"/>
      <w:pPr>
        <w:tabs>
          <w:tab w:val="num" w:pos="0"/>
        </w:tabs>
        <w:ind w:left="7380" w:hanging="360"/>
      </w:pPr>
    </w:lvl>
    <w:lvl w:ilvl="8">
      <w:start w:val="1"/>
      <w:numFmt w:val="lowerRoman"/>
      <w:lvlText w:val="%8.%9"/>
      <w:lvlJc w:val="right"/>
      <w:pPr>
        <w:tabs>
          <w:tab w:val="num" w:pos="0"/>
        </w:tabs>
        <w:ind w:left="8100" w:hanging="180"/>
      </w:pPr>
    </w:lvl>
  </w:abstractNum>
  <w:abstractNum w:abstractNumId="9">
    <w:lvl w:ilvl="0">
      <w:start w:val="1"/>
      <w:numFmt w:val="upperRoman"/>
      <w:lvlText w:val="%1"/>
      <w:lvlJc w:val="left"/>
      <w:pPr>
        <w:tabs>
          <w:tab w:val="num" w:pos="0"/>
        </w:tabs>
        <w:ind w:left="2340" w:hanging="360"/>
      </w:pPr>
      <w:rPr>
        <w:b/>
      </w:rPr>
    </w:lvl>
    <w:lvl w:ilvl="1">
      <w:start w:val="1"/>
      <w:numFmt w:val="lowerLetter"/>
      <w:lvlText w:val="%1.%2"/>
      <w:lvlJc w:val="left"/>
      <w:pPr>
        <w:tabs>
          <w:tab w:val="num" w:pos="0"/>
        </w:tabs>
        <w:ind w:left="3060" w:hanging="360"/>
      </w:pPr>
    </w:lvl>
    <w:lvl w:ilvl="2">
      <w:start w:val="1"/>
      <w:numFmt w:val="lowerRoman"/>
      <w:lvlText w:val="%2.%3"/>
      <w:lvlJc w:val="right"/>
      <w:pPr>
        <w:tabs>
          <w:tab w:val="num" w:pos="0"/>
        </w:tabs>
        <w:ind w:left="3780" w:hanging="180"/>
      </w:pPr>
    </w:lvl>
    <w:lvl w:ilvl="3">
      <w:start w:val="1"/>
      <w:numFmt w:val="decimal"/>
      <w:lvlText w:val="%3.%4"/>
      <w:lvlJc w:val="left"/>
      <w:pPr>
        <w:tabs>
          <w:tab w:val="num" w:pos="0"/>
        </w:tabs>
        <w:ind w:left="4500" w:hanging="360"/>
      </w:pPr>
    </w:lvl>
    <w:lvl w:ilvl="4">
      <w:start w:val="1"/>
      <w:numFmt w:val="lowerLetter"/>
      <w:lvlText w:val="%4.%5"/>
      <w:lvlJc w:val="left"/>
      <w:pPr>
        <w:tabs>
          <w:tab w:val="num" w:pos="0"/>
        </w:tabs>
        <w:ind w:left="5220" w:hanging="360"/>
      </w:pPr>
    </w:lvl>
    <w:lvl w:ilvl="5">
      <w:start w:val="1"/>
      <w:numFmt w:val="lowerRoman"/>
      <w:lvlText w:val="%5.%6"/>
      <w:lvlJc w:val="right"/>
      <w:pPr>
        <w:tabs>
          <w:tab w:val="num" w:pos="0"/>
        </w:tabs>
        <w:ind w:left="5940" w:hanging="180"/>
      </w:pPr>
    </w:lvl>
    <w:lvl w:ilvl="6">
      <w:start w:val="1"/>
      <w:numFmt w:val="decimal"/>
      <w:lvlText w:val="%6.%7"/>
      <w:lvlJc w:val="left"/>
      <w:pPr>
        <w:tabs>
          <w:tab w:val="num" w:pos="0"/>
        </w:tabs>
        <w:ind w:left="6660" w:hanging="360"/>
      </w:pPr>
    </w:lvl>
    <w:lvl w:ilvl="7">
      <w:start w:val="1"/>
      <w:numFmt w:val="lowerLetter"/>
      <w:lvlText w:val="%7.%8"/>
      <w:lvlJc w:val="left"/>
      <w:pPr>
        <w:tabs>
          <w:tab w:val="num" w:pos="0"/>
        </w:tabs>
        <w:ind w:left="7380" w:hanging="360"/>
      </w:pPr>
    </w:lvl>
    <w:lvl w:ilvl="8">
      <w:start w:val="1"/>
      <w:numFmt w:val="lowerRoman"/>
      <w:lvlText w:val="%8.%9"/>
      <w:lvlJc w:val="right"/>
      <w:pPr>
        <w:tabs>
          <w:tab w:val="num" w:pos="0"/>
        </w:tabs>
        <w:ind w:left="8100" w:hanging="180"/>
      </w:pPr>
    </w:lvl>
  </w:abstractNum>
  <w:abstractNum w:abstractNumId="10">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1">
    <w:lvl w:ilvl="0">
      <w:start w:val="1"/>
      <w:numFmt w:val="lowerLetter"/>
      <w:lvlText w:val="%1"/>
      <w:lvlJc w:val="left"/>
      <w:pPr>
        <w:tabs>
          <w:tab w:val="num" w:pos="0"/>
        </w:tabs>
        <w:ind w:left="1080" w:hanging="360"/>
      </w:pPr>
      <w:rPr>
        <w:b/>
      </w:r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1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4">
    <w:lvl w:ilvl="0">
      <w:start w:val="1"/>
      <w:numFmt w:val="lowerLetter"/>
      <w:lvlText w:val="%1"/>
      <w:lvlJc w:val="left"/>
      <w:pPr>
        <w:tabs>
          <w:tab w:val="num" w:pos="0"/>
        </w:tabs>
        <w:ind w:left="1500" w:hanging="360"/>
      </w:pPr>
      <w:rPr>
        <w:b/>
      </w:rPr>
    </w:lvl>
    <w:lvl w:ilvl="1">
      <w:start w:val="1"/>
      <w:numFmt w:val="upperRoman"/>
      <w:lvlText w:val="%1.%2"/>
      <w:lvlJc w:val="left"/>
      <w:pPr>
        <w:tabs>
          <w:tab w:val="num" w:pos="0"/>
        </w:tabs>
        <w:ind w:left="2580" w:hanging="720"/>
      </w:pPr>
    </w:lvl>
    <w:lvl w:ilvl="2">
      <w:start w:val="1"/>
      <w:numFmt w:val="lowerRoman"/>
      <w:lvlText w:val="%2.%3"/>
      <w:lvlJc w:val="right"/>
      <w:pPr>
        <w:tabs>
          <w:tab w:val="num" w:pos="0"/>
        </w:tabs>
        <w:ind w:left="2940" w:hanging="180"/>
      </w:pPr>
    </w:lvl>
    <w:lvl w:ilvl="3">
      <w:start w:val="1"/>
      <w:numFmt w:val="decimal"/>
      <w:lvlText w:val="%3.%4"/>
      <w:lvlJc w:val="left"/>
      <w:pPr>
        <w:tabs>
          <w:tab w:val="num" w:pos="0"/>
        </w:tabs>
        <w:ind w:left="3660" w:hanging="360"/>
      </w:pPr>
    </w:lvl>
    <w:lvl w:ilvl="4">
      <w:start w:val="1"/>
      <w:numFmt w:val="lowerLetter"/>
      <w:lvlText w:val="%4.%5"/>
      <w:lvlJc w:val="left"/>
      <w:pPr>
        <w:tabs>
          <w:tab w:val="num" w:pos="0"/>
        </w:tabs>
        <w:ind w:left="4380" w:hanging="360"/>
      </w:pPr>
    </w:lvl>
    <w:lvl w:ilvl="5">
      <w:start w:val="1"/>
      <w:numFmt w:val="lowerRoman"/>
      <w:lvlText w:val="%5.%6"/>
      <w:lvlJc w:val="right"/>
      <w:pPr>
        <w:tabs>
          <w:tab w:val="num" w:pos="0"/>
        </w:tabs>
        <w:ind w:left="5100" w:hanging="180"/>
      </w:pPr>
    </w:lvl>
    <w:lvl w:ilvl="6">
      <w:start w:val="1"/>
      <w:numFmt w:val="decimal"/>
      <w:lvlText w:val="%6.%7"/>
      <w:lvlJc w:val="left"/>
      <w:pPr>
        <w:tabs>
          <w:tab w:val="num" w:pos="0"/>
        </w:tabs>
        <w:ind w:left="5820" w:hanging="360"/>
      </w:pPr>
    </w:lvl>
    <w:lvl w:ilvl="7">
      <w:start w:val="1"/>
      <w:numFmt w:val="lowerLetter"/>
      <w:lvlText w:val="%7.%8"/>
      <w:lvlJc w:val="left"/>
      <w:pPr>
        <w:tabs>
          <w:tab w:val="num" w:pos="0"/>
        </w:tabs>
        <w:ind w:left="6540" w:hanging="360"/>
      </w:pPr>
    </w:lvl>
    <w:lvl w:ilvl="8">
      <w:start w:val="1"/>
      <w:numFmt w:val="lowerRoman"/>
      <w:lvlText w:val="%8.%9"/>
      <w:lvlJc w:val="right"/>
      <w:pPr>
        <w:tabs>
          <w:tab w:val="num" w:pos="0"/>
        </w:tabs>
        <w:ind w:left="7260" w:hanging="180"/>
      </w:pPr>
    </w:lvl>
  </w:abstractNum>
  <w:abstractNum w:abstractNumId="15">
    <w:lvl w:ilvl="0">
      <w:start w:val="1"/>
      <w:numFmt w:val="upperRoman"/>
      <w:lvlText w:val="%1"/>
      <w:lvlJc w:val="left"/>
      <w:pPr>
        <w:tabs>
          <w:tab w:val="num" w:pos="0"/>
        </w:tabs>
        <w:ind w:left="720" w:hanging="360"/>
      </w:pPr>
      <w:rPr>
        <w:b/>
        <w:color w:val="auto"/>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8">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9">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0">
    <w:lvl w:ilvl="0">
      <w:start w:val="1"/>
      <w:numFmt w:val="upperRoman"/>
      <w:lvlText w:val="%1"/>
      <w:lvlJc w:val="left"/>
      <w:pPr>
        <w:tabs>
          <w:tab w:val="num" w:pos="0"/>
        </w:tabs>
        <w:ind w:left="144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4">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7">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8">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9">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0">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2">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3">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4">
    <w:lvl w:ilvl="0">
      <w:start w:val="1"/>
      <w:numFmt w:val="upperRoman"/>
      <w:lvlText w:val="%1"/>
      <w:lvlJc w:val="left"/>
      <w:pPr>
        <w:tabs>
          <w:tab w:val="num" w:pos="0"/>
        </w:tabs>
        <w:ind w:left="786" w:hanging="360"/>
      </w:pPr>
      <w:rPr>
        <w:b/>
      </w:rPr>
    </w:lvl>
    <w:lvl w:ilvl="1">
      <w:start w:val="1"/>
      <w:numFmt w:val="lowerLetter"/>
      <w:lvlText w:val="%1.%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3.%4"/>
      <w:lvlJc w:val="left"/>
      <w:pPr>
        <w:tabs>
          <w:tab w:val="num" w:pos="0"/>
        </w:tabs>
        <w:ind w:left="2946" w:hanging="360"/>
      </w:pPr>
    </w:lvl>
    <w:lvl w:ilvl="4">
      <w:start w:val="1"/>
      <w:numFmt w:val="lowerLetter"/>
      <w:lvlText w:val="%4.%5"/>
      <w:lvlJc w:val="left"/>
      <w:pPr>
        <w:tabs>
          <w:tab w:val="num" w:pos="0"/>
        </w:tabs>
        <w:ind w:left="3666" w:hanging="360"/>
      </w:pPr>
    </w:lvl>
    <w:lvl w:ilvl="5">
      <w:start w:val="1"/>
      <w:numFmt w:val="lowerRoman"/>
      <w:lvlText w:val="%5.%6"/>
      <w:lvlJc w:val="right"/>
      <w:pPr>
        <w:tabs>
          <w:tab w:val="num" w:pos="0"/>
        </w:tabs>
        <w:ind w:left="4386" w:hanging="180"/>
      </w:pPr>
    </w:lvl>
    <w:lvl w:ilvl="6">
      <w:start w:val="1"/>
      <w:numFmt w:val="decimal"/>
      <w:lvlText w:val="%6.%7"/>
      <w:lvlJc w:val="left"/>
      <w:pPr>
        <w:tabs>
          <w:tab w:val="num" w:pos="0"/>
        </w:tabs>
        <w:ind w:left="5106" w:hanging="360"/>
      </w:pPr>
    </w:lvl>
    <w:lvl w:ilvl="7">
      <w:start w:val="1"/>
      <w:numFmt w:val="lowerLetter"/>
      <w:lvlText w:val="%7.%8"/>
      <w:lvlJc w:val="left"/>
      <w:pPr>
        <w:tabs>
          <w:tab w:val="num" w:pos="0"/>
        </w:tabs>
        <w:ind w:left="5826" w:hanging="360"/>
      </w:pPr>
    </w:lvl>
    <w:lvl w:ilvl="8">
      <w:start w:val="1"/>
      <w:numFmt w:val="lowerRoman"/>
      <w:lvlText w:val="%8.%9"/>
      <w:lvlJc w:val="right"/>
      <w:pPr>
        <w:tabs>
          <w:tab w:val="num" w:pos="0"/>
        </w:tabs>
        <w:ind w:left="6546" w:hanging="180"/>
      </w:pPr>
    </w:lvl>
  </w:abstractNum>
  <w:abstractNum w:abstractNumId="35">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rPr>
        <w:b/>
      </w:r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6">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7">
    <w:lvl w:ilvl="0">
      <w:start w:val="1"/>
      <w:numFmt w:val="upperRoman"/>
      <w:lvlText w:val="%1"/>
      <w:lvlJc w:val="left"/>
      <w:pPr>
        <w:tabs>
          <w:tab w:val="num" w:pos="0"/>
        </w:tabs>
        <w:ind w:left="1080" w:hanging="360"/>
      </w:pPr>
      <w:rPr>
        <w:b/>
      </w:rPr>
    </w:lvl>
    <w:lvl w:ilvl="1">
      <w:start w:val="1"/>
      <w:numFmt w:val="lowerLetter"/>
      <w:lvlText w:val="%1.%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3.%4"/>
      <w:lvlJc w:val="left"/>
      <w:pPr>
        <w:tabs>
          <w:tab w:val="num" w:pos="0"/>
        </w:tabs>
        <w:ind w:left="3240" w:hanging="360"/>
      </w:pPr>
    </w:lvl>
    <w:lvl w:ilvl="4">
      <w:start w:val="1"/>
      <w:numFmt w:val="lowerLetter"/>
      <w:lvlText w:val="%4.%5"/>
      <w:lvlJc w:val="left"/>
      <w:pPr>
        <w:tabs>
          <w:tab w:val="num" w:pos="0"/>
        </w:tabs>
        <w:ind w:left="3960" w:hanging="360"/>
      </w:pPr>
    </w:lvl>
    <w:lvl w:ilvl="5">
      <w:start w:val="1"/>
      <w:numFmt w:val="lowerRoman"/>
      <w:lvlText w:val="%5.%6"/>
      <w:lvlJc w:val="right"/>
      <w:pPr>
        <w:tabs>
          <w:tab w:val="num" w:pos="0"/>
        </w:tabs>
        <w:ind w:left="4680" w:hanging="180"/>
      </w:pPr>
    </w:lvl>
    <w:lvl w:ilvl="6">
      <w:start w:val="1"/>
      <w:numFmt w:val="decimal"/>
      <w:lvlText w:val="%6.%7"/>
      <w:lvlJc w:val="left"/>
      <w:pPr>
        <w:tabs>
          <w:tab w:val="num" w:pos="0"/>
        </w:tabs>
        <w:ind w:left="5400" w:hanging="360"/>
      </w:pPr>
    </w:lvl>
    <w:lvl w:ilvl="7">
      <w:start w:val="1"/>
      <w:numFmt w:val="lowerLetter"/>
      <w:lvlText w:val="%7.%8"/>
      <w:lvlJc w:val="left"/>
      <w:pPr>
        <w:tabs>
          <w:tab w:val="num" w:pos="0"/>
        </w:tabs>
        <w:ind w:left="6120" w:hanging="360"/>
      </w:pPr>
    </w:lvl>
    <w:lvl w:ilvl="8">
      <w:start w:val="1"/>
      <w:numFmt w:val="lowerRoman"/>
      <w:lvlText w:val="%8.%9"/>
      <w:lvlJc w:val="right"/>
      <w:pPr>
        <w:tabs>
          <w:tab w:val="num" w:pos="0"/>
        </w:tabs>
        <w:ind w:left="6840" w:hanging="180"/>
      </w:pPr>
    </w:lvl>
  </w:abstractNum>
  <w:abstractNum w:abstractNumId="38">
    <w:lvl w:ilvl="0">
      <w:start w:val="1"/>
      <w:numFmt w:val="upperRoman"/>
      <w:lvlText w:val="%1"/>
      <w:lvlJc w:val="left"/>
      <w:pPr>
        <w:tabs>
          <w:tab w:val="num" w:pos="0"/>
        </w:tabs>
        <w:ind w:left="780" w:hanging="360"/>
      </w:pPr>
      <w:rPr>
        <w:b/>
      </w:rPr>
    </w:lvl>
    <w:lvl w:ilvl="1">
      <w:start w:val="1"/>
      <w:numFmt w:val="lowerLetter"/>
      <w:lvlText w:val="%1.%2"/>
      <w:lvlJc w:val="left"/>
      <w:pPr>
        <w:tabs>
          <w:tab w:val="num" w:pos="0"/>
        </w:tabs>
        <w:ind w:left="1500" w:hanging="360"/>
      </w:pPr>
    </w:lvl>
    <w:lvl w:ilvl="2">
      <w:start w:val="1"/>
      <w:numFmt w:val="lowerRoman"/>
      <w:lvlText w:val="%2.%3"/>
      <w:lvlJc w:val="right"/>
      <w:pPr>
        <w:tabs>
          <w:tab w:val="num" w:pos="0"/>
        </w:tabs>
        <w:ind w:left="2220" w:hanging="180"/>
      </w:pPr>
    </w:lvl>
    <w:lvl w:ilvl="3">
      <w:start w:val="1"/>
      <w:numFmt w:val="decimal"/>
      <w:lvlText w:val="%3.%4"/>
      <w:lvlJc w:val="left"/>
      <w:pPr>
        <w:tabs>
          <w:tab w:val="num" w:pos="0"/>
        </w:tabs>
        <w:ind w:left="2940" w:hanging="360"/>
      </w:pPr>
    </w:lvl>
    <w:lvl w:ilvl="4">
      <w:start w:val="1"/>
      <w:numFmt w:val="lowerLetter"/>
      <w:lvlText w:val="%4.%5"/>
      <w:lvlJc w:val="left"/>
      <w:pPr>
        <w:tabs>
          <w:tab w:val="num" w:pos="0"/>
        </w:tabs>
        <w:ind w:left="3660" w:hanging="360"/>
      </w:pPr>
    </w:lvl>
    <w:lvl w:ilvl="5">
      <w:start w:val="1"/>
      <w:numFmt w:val="lowerRoman"/>
      <w:lvlText w:val="%5.%6"/>
      <w:lvlJc w:val="right"/>
      <w:pPr>
        <w:tabs>
          <w:tab w:val="num" w:pos="0"/>
        </w:tabs>
        <w:ind w:left="4380" w:hanging="180"/>
      </w:pPr>
    </w:lvl>
    <w:lvl w:ilvl="6">
      <w:start w:val="1"/>
      <w:numFmt w:val="decimal"/>
      <w:lvlText w:val="%6.%7"/>
      <w:lvlJc w:val="left"/>
      <w:pPr>
        <w:tabs>
          <w:tab w:val="num" w:pos="0"/>
        </w:tabs>
        <w:ind w:left="5100" w:hanging="360"/>
      </w:pPr>
    </w:lvl>
    <w:lvl w:ilvl="7">
      <w:start w:val="1"/>
      <w:numFmt w:val="lowerLetter"/>
      <w:lvlText w:val="%7.%8"/>
      <w:lvlJc w:val="left"/>
      <w:pPr>
        <w:tabs>
          <w:tab w:val="num" w:pos="0"/>
        </w:tabs>
        <w:ind w:left="5820" w:hanging="360"/>
      </w:pPr>
    </w:lvl>
    <w:lvl w:ilvl="8">
      <w:start w:val="1"/>
      <w:numFmt w:val="lowerRoman"/>
      <w:lvlText w:val="%8.%9"/>
      <w:lvlJc w:val="right"/>
      <w:pPr>
        <w:tabs>
          <w:tab w:val="num" w:pos="0"/>
        </w:tabs>
        <w:ind w:left="6540" w:hanging="180"/>
      </w:pPr>
    </w:lvl>
  </w:abstractNum>
  <w:abstractNum w:abstractNumId="39">
    <w:lvl w:ilvl="0">
      <w:start w:val="1"/>
      <w:numFmt w:val="lowerLetter"/>
      <w:lvlText w:val="%1"/>
      <w:lvlJc w:val="left"/>
      <w:pPr>
        <w:tabs>
          <w:tab w:val="num" w:pos="0"/>
        </w:tabs>
        <w:ind w:left="720" w:hanging="360"/>
      </w:pPr>
      <w:rPr>
        <w:b/>
      </w:rPr>
    </w:lvl>
    <w:lvl w:ilvl="1">
      <w:start w:val="1"/>
      <w:numFmt w:val="lowerRoman"/>
      <w:lvlText w:val="%1.%2"/>
      <w:lvlJc w:val="righ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0">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1">
    <w:lvl w:ilvl="0">
      <w:start w:val="1"/>
      <w:numFmt w:val="upperRoman"/>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2">
    <w:lvl w:ilvl="0">
      <w:start w:val="1"/>
      <w:numFmt w:val="upperRoman"/>
      <w:lvlText w:val="%1"/>
      <w:lvlJc w:val="left"/>
      <w:pPr>
        <w:tabs>
          <w:tab w:val="num" w:pos="0"/>
        </w:tabs>
        <w:ind w:left="720" w:hanging="360"/>
      </w:pPr>
    </w:lvl>
    <w:lvl w:ilvl="1">
      <w:start w:val="1"/>
      <w:numFmt w:val="lowerLetter"/>
      <w:lvlText w:val="%1.%2"/>
      <w:lvlJc w:val="lef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3">
    <w:lvl w:ilvl="0">
      <w:start w:val="1"/>
      <w:numFmt w:val="lowerLetter"/>
      <w:lvlText w:val="%1"/>
      <w:lvlJc w:val="left"/>
      <w:pPr>
        <w:tabs>
          <w:tab w:val="num" w:pos="0"/>
        </w:tabs>
        <w:ind w:left="1440" w:hanging="360"/>
      </w:pPr>
      <w:rPr>
        <w:b/>
        <w:rFonts w:ascii="Arial" w:hAnsi="Arial" w:cs="Arial"/>
      </w:rPr>
    </w:lvl>
    <w:lvl w:ilvl="1">
      <w:start w:val="1"/>
      <w:numFmt w:val="lowerLetter"/>
      <w:lvlText w:val="%1.%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3.%4"/>
      <w:lvlJc w:val="left"/>
      <w:pPr>
        <w:tabs>
          <w:tab w:val="num" w:pos="0"/>
        </w:tabs>
        <w:ind w:left="3600" w:hanging="360"/>
      </w:pPr>
    </w:lvl>
    <w:lvl w:ilvl="4">
      <w:start w:val="1"/>
      <w:numFmt w:val="lowerLetter"/>
      <w:lvlText w:val="%4.%5"/>
      <w:lvlJc w:val="left"/>
      <w:pPr>
        <w:tabs>
          <w:tab w:val="num" w:pos="0"/>
        </w:tabs>
        <w:ind w:left="4320" w:hanging="360"/>
      </w:pPr>
    </w:lvl>
    <w:lvl w:ilvl="5">
      <w:start w:val="1"/>
      <w:numFmt w:val="lowerRoman"/>
      <w:lvlText w:val="%5.%6"/>
      <w:lvlJc w:val="right"/>
      <w:pPr>
        <w:tabs>
          <w:tab w:val="num" w:pos="0"/>
        </w:tabs>
        <w:ind w:left="5040" w:hanging="180"/>
      </w:pPr>
    </w:lvl>
    <w:lvl w:ilvl="6">
      <w:start w:val="1"/>
      <w:numFmt w:val="decimal"/>
      <w:lvlText w:val="%6.%7"/>
      <w:lvlJc w:val="left"/>
      <w:pPr>
        <w:tabs>
          <w:tab w:val="num" w:pos="0"/>
        </w:tabs>
        <w:ind w:left="5760" w:hanging="360"/>
      </w:pPr>
    </w:lvl>
    <w:lvl w:ilvl="7">
      <w:start w:val="1"/>
      <w:numFmt w:val="lowerLetter"/>
      <w:lvlText w:val="%7.%8"/>
      <w:lvlJc w:val="left"/>
      <w:pPr>
        <w:tabs>
          <w:tab w:val="num" w:pos="0"/>
        </w:tabs>
        <w:ind w:left="6480" w:hanging="360"/>
      </w:pPr>
    </w:lvl>
    <w:lvl w:ilvl="8">
      <w:start w:val="1"/>
      <w:numFmt w:val="lowerRoman"/>
      <w:lvlText w:val="%8.%9"/>
      <w:lvlJc w:val="right"/>
      <w:pPr>
        <w:tabs>
          <w:tab w:val="num" w:pos="0"/>
        </w:tabs>
        <w:ind w:left="7200" w:hanging="180"/>
      </w:pPr>
    </w:lvl>
  </w:abstractNum>
  <w:abstractNum w:abstractNumId="44">
    <w:lvl w:ilvl="0">
      <w:start w:val="1"/>
      <w:numFmt w:val="upperRoman"/>
      <w:lvlText w:val="%1"/>
      <w:lvlJc w:val="left"/>
      <w:pPr>
        <w:tabs>
          <w:tab w:val="num" w:pos="0"/>
        </w:tabs>
        <w:ind w:left="766" w:hanging="360"/>
      </w:pPr>
      <w:rPr>
        <w:b/>
      </w:rPr>
    </w:lvl>
    <w:lvl w:ilvl="1">
      <w:start w:val="1"/>
      <w:numFmt w:val="lowerLetter"/>
      <w:lvlText w:val="%1.%2"/>
      <w:lvlJc w:val="left"/>
      <w:pPr>
        <w:tabs>
          <w:tab w:val="num" w:pos="0"/>
        </w:tabs>
        <w:ind w:left="1486" w:hanging="360"/>
      </w:pPr>
    </w:lvl>
    <w:lvl w:ilvl="2">
      <w:start w:val="1"/>
      <w:numFmt w:val="lowerRoman"/>
      <w:lvlText w:val="%2.%3"/>
      <w:lvlJc w:val="right"/>
      <w:pPr>
        <w:tabs>
          <w:tab w:val="num" w:pos="0"/>
        </w:tabs>
        <w:ind w:left="2206" w:hanging="180"/>
      </w:pPr>
    </w:lvl>
    <w:lvl w:ilvl="3">
      <w:start w:val="1"/>
      <w:numFmt w:val="decimal"/>
      <w:lvlText w:val="%3.%4"/>
      <w:lvlJc w:val="left"/>
      <w:pPr>
        <w:tabs>
          <w:tab w:val="num" w:pos="0"/>
        </w:tabs>
        <w:ind w:left="2926" w:hanging="360"/>
      </w:pPr>
    </w:lvl>
    <w:lvl w:ilvl="4">
      <w:start w:val="1"/>
      <w:numFmt w:val="lowerLetter"/>
      <w:lvlText w:val="%4.%5"/>
      <w:lvlJc w:val="left"/>
      <w:pPr>
        <w:tabs>
          <w:tab w:val="num" w:pos="0"/>
        </w:tabs>
        <w:ind w:left="3646" w:hanging="360"/>
      </w:pPr>
    </w:lvl>
    <w:lvl w:ilvl="5">
      <w:start w:val="1"/>
      <w:numFmt w:val="lowerRoman"/>
      <w:lvlText w:val="%5.%6"/>
      <w:lvlJc w:val="right"/>
      <w:pPr>
        <w:tabs>
          <w:tab w:val="num" w:pos="0"/>
        </w:tabs>
        <w:ind w:left="4366" w:hanging="180"/>
      </w:pPr>
    </w:lvl>
    <w:lvl w:ilvl="6">
      <w:start w:val="1"/>
      <w:numFmt w:val="decimal"/>
      <w:lvlText w:val="%6.%7"/>
      <w:lvlJc w:val="left"/>
      <w:pPr>
        <w:tabs>
          <w:tab w:val="num" w:pos="0"/>
        </w:tabs>
        <w:ind w:left="5086" w:hanging="360"/>
      </w:pPr>
    </w:lvl>
    <w:lvl w:ilvl="7">
      <w:start w:val="1"/>
      <w:numFmt w:val="lowerLetter"/>
      <w:lvlText w:val="%7.%8"/>
      <w:lvlJc w:val="left"/>
      <w:pPr>
        <w:tabs>
          <w:tab w:val="num" w:pos="0"/>
        </w:tabs>
        <w:ind w:left="5806" w:hanging="360"/>
      </w:pPr>
    </w:lvl>
    <w:lvl w:ilvl="8">
      <w:start w:val="1"/>
      <w:numFmt w:val="lowerRoman"/>
      <w:lvlText w:val="%8.%9"/>
      <w:lvlJc w:val="right"/>
      <w:pPr>
        <w:tabs>
          <w:tab w:val="num" w:pos="0"/>
        </w:tabs>
        <w:ind w:left="6526" w:hanging="180"/>
      </w:pPr>
    </w:lvl>
  </w:abstractNum>
  <w:abstractNum w:abstractNumId="45">
    <w:lvl w:ilvl="0">
      <w:start w:val="1"/>
      <w:numFmt w:val="upperRoman"/>
      <w:lvlText w:val="%1"/>
      <w:lvlJc w:val="left"/>
      <w:pPr>
        <w:tabs>
          <w:tab w:val="num" w:pos="0"/>
        </w:tabs>
        <w:ind w:left="766" w:hanging="360"/>
      </w:pPr>
      <w:rPr>
        <w:b/>
      </w:rPr>
    </w:lvl>
    <w:lvl w:ilvl="1">
      <w:start w:val="1"/>
      <w:numFmt w:val="lowerLetter"/>
      <w:lvlText w:val="%1.%2"/>
      <w:lvlJc w:val="left"/>
      <w:pPr>
        <w:tabs>
          <w:tab w:val="num" w:pos="0"/>
        </w:tabs>
        <w:ind w:left="1486" w:hanging="360"/>
      </w:pPr>
    </w:lvl>
    <w:lvl w:ilvl="2">
      <w:start w:val="1"/>
      <w:numFmt w:val="lowerRoman"/>
      <w:lvlText w:val="%2.%3"/>
      <w:lvlJc w:val="right"/>
      <w:pPr>
        <w:tabs>
          <w:tab w:val="num" w:pos="0"/>
        </w:tabs>
        <w:ind w:left="2206" w:hanging="180"/>
      </w:pPr>
    </w:lvl>
    <w:lvl w:ilvl="3">
      <w:start w:val="1"/>
      <w:numFmt w:val="decimal"/>
      <w:lvlText w:val="%3.%4"/>
      <w:lvlJc w:val="left"/>
      <w:pPr>
        <w:tabs>
          <w:tab w:val="num" w:pos="0"/>
        </w:tabs>
        <w:ind w:left="2926" w:hanging="360"/>
      </w:pPr>
    </w:lvl>
    <w:lvl w:ilvl="4">
      <w:start w:val="1"/>
      <w:numFmt w:val="lowerLetter"/>
      <w:lvlText w:val="%4.%5"/>
      <w:lvlJc w:val="left"/>
      <w:pPr>
        <w:tabs>
          <w:tab w:val="num" w:pos="0"/>
        </w:tabs>
        <w:ind w:left="3646" w:hanging="360"/>
      </w:pPr>
    </w:lvl>
    <w:lvl w:ilvl="5">
      <w:start w:val="1"/>
      <w:numFmt w:val="lowerRoman"/>
      <w:lvlText w:val="%5.%6"/>
      <w:lvlJc w:val="right"/>
      <w:pPr>
        <w:tabs>
          <w:tab w:val="num" w:pos="0"/>
        </w:tabs>
        <w:ind w:left="4366" w:hanging="180"/>
      </w:pPr>
    </w:lvl>
    <w:lvl w:ilvl="6">
      <w:start w:val="1"/>
      <w:numFmt w:val="decimal"/>
      <w:lvlText w:val="%6.%7"/>
      <w:lvlJc w:val="left"/>
      <w:pPr>
        <w:tabs>
          <w:tab w:val="num" w:pos="0"/>
        </w:tabs>
        <w:ind w:left="5086" w:hanging="360"/>
      </w:pPr>
    </w:lvl>
    <w:lvl w:ilvl="7">
      <w:start w:val="1"/>
      <w:numFmt w:val="lowerLetter"/>
      <w:lvlText w:val="%7.%8"/>
      <w:lvlJc w:val="left"/>
      <w:pPr>
        <w:tabs>
          <w:tab w:val="num" w:pos="0"/>
        </w:tabs>
        <w:ind w:left="5806" w:hanging="360"/>
      </w:pPr>
    </w:lvl>
    <w:lvl w:ilvl="8">
      <w:start w:val="1"/>
      <w:numFmt w:val="lowerRoman"/>
      <w:lvlText w:val="%8.%9"/>
      <w:lvlJc w:val="right"/>
      <w:pPr>
        <w:tabs>
          <w:tab w:val="num" w:pos="0"/>
        </w:tabs>
        <w:ind w:left="6526" w:hanging="180"/>
      </w:pPr>
    </w:lvl>
  </w:abstractNum>
  <w:abstractNum w:abstractNumId="46">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7">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8">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9">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0">
    <w:lvl w:ilvl="0">
      <w:start w:val="1"/>
      <w:numFmt w:val="lowerLetter"/>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w="http://schemas.openxmlformats.org/wordprocessingml/2006/main">
  <w:zoom w:percent="9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lineRule="auto" w:line="259" w:before="0" w:after="160"/>
      <w:jc w:val="left"/>
    </w:pPr>
    <w:rPr>
      <w:rFonts w:ascii="Calibri" w:hAnsi="Calibri" w:eastAsia="Calibri" w:cs="Tahoma"/>
      <w:color w:val="auto"/>
      <w:kern w:val="0"/>
      <w:sz w:val="22"/>
      <w:szCs w:val="22"/>
      <w:lang w:val="pt-BR" w:eastAsia="en-US" w:bidi="ar-SA"/>
    </w:rPr>
  </w:style>
  <w:style w:type="paragraph" w:styleId="Ttulo2">
    <w:name w:val="Heading 2"/>
    <w:basedOn w:val="Ttulododocumento"/>
    <w:next w:val="Corpodotexto"/>
    <w:uiPriority w:val="9"/>
    <w:semiHidden/>
    <w:unhideWhenUsed/>
    <w:qFormat/>
    <w:pPr>
      <w:numPr>
        <w:ilvl w:val="1"/>
        <w:numId w:val="1"/>
      </w:num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qFormat/>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sz w:val="20"/>
      <w:szCs w:val="20"/>
    </w:rPr>
  </w:style>
  <w:style w:type="character" w:styleId="AssuntodocomentrioChar" w:customStyle="1">
    <w:name w:val="Assunto do comentário Char"/>
    <w:basedOn w:val="TextodecomentrioChar"/>
    <w:qFormat/>
    <w:rPr>
      <w:b/>
      <w:bCs/>
      <w:sz w:val="20"/>
      <w:szCs w:val="20"/>
    </w:rPr>
  </w:style>
  <w:style w:type="character" w:styleId="TextodebaloChar" w:customStyle="1">
    <w:name w:val="Texto de balão Char"/>
    <w:basedOn w:val="DefaultParagraphFont"/>
    <w:qFormat/>
    <w:rPr>
      <w:rFonts w:ascii="Segoe UI" w:hAnsi="Segoe UI" w:cs="Segoe UI"/>
      <w:sz w:val="18"/>
      <w:szCs w:val="18"/>
    </w:rPr>
  </w:style>
  <w:style w:type="character" w:styleId="LinkdaInternet" w:customStyle="1">
    <w:name w:val="Link da Internet"/>
    <w:basedOn w:val="DefaultParagraphFont"/>
    <w:rPr>
      <w:color w:val="0563C1"/>
      <w:u w:val="single"/>
    </w:rPr>
  </w:style>
  <w:style w:type="character" w:styleId="TextodenotaderodapChar" w:customStyle="1">
    <w:name w:val="Texto de nota de rodapé Char"/>
    <w:basedOn w:val="DefaultParagraphFont"/>
    <w:qFormat/>
    <w:rPr>
      <w:rFonts w:ascii="Times New Roman" w:hAnsi="Times New Roman" w:eastAsia="Times New Roman" w:cs="Times New Roman"/>
      <w:sz w:val="20"/>
      <w:szCs w:val="20"/>
      <w:lang w:eastAsia="pt-BR"/>
    </w:rPr>
  </w:style>
  <w:style w:type="character" w:styleId="Ncoradanotaderodap" w:customStyle="1">
    <w:name w:val="Âncora da nota de rodapé"/>
    <w:rPr>
      <w:vertAlign w:val="superscript"/>
    </w:rPr>
  </w:style>
  <w:style w:type="character" w:styleId="FootnoteCharacters" w:customStyle="1">
    <w:name w:val="Footnote Characters"/>
    <w:basedOn w:val="DefaultParagraphFont"/>
    <w:qFormat/>
    <w:rPr>
      <w:vertAlign w:val="superscript"/>
    </w:rPr>
  </w:style>
  <w:style w:type="character" w:styleId="Caracteresdenotaderodap" w:customStyle="1">
    <w:name w:val="Caracteres de nota de rodapé"/>
    <w:qFormat/>
    <w:rPr/>
  </w:style>
  <w:style w:type="character" w:styleId="Ncoradanotadefim" w:customStyle="1">
    <w:name w:val="Âncora da nota de fim"/>
    <w:rPr>
      <w:vertAlign w:val="superscript"/>
    </w:rPr>
  </w:style>
  <w:style w:type="character" w:styleId="Caracteresdenotadefim" w:customStyle="1">
    <w:name w:val="Caracteres de nota de fim"/>
    <w:qFormat/>
    <w:rPr/>
  </w:style>
  <w:style w:type="character" w:styleId="UnresolvedMention">
    <w:name w:val="Unresolved Mention"/>
    <w:basedOn w:val="DefaultParagraphFont"/>
    <w:qFormat/>
    <w:rPr>
      <w:color w:val="605E5C"/>
      <w:shd w:fill="E1DFDD" w:val="clear"/>
    </w:rPr>
  </w:style>
  <w:style w:type="character" w:styleId="Smbolosdenumerao" w:customStyle="1">
    <w:name w:val="Símbolos de numeração"/>
    <w:qFormat/>
    <w:rPr/>
  </w:style>
  <w:style w:type="character" w:styleId="Strong">
    <w:name w:val="Strong"/>
    <w:basedOn w:val="DefaultParagraphFont"/>
    <w:qFormat/>
    <w:rPr>
      <w:b/>
      <w:bCs/>
    </w:rPr>
  </w:style>
  <w:style w:type="character" w:styleId="Markedcontent" w:customStyle="1">
    <w:name w:val="markedcontent"/>
    <w:basedOn w:val="DefaultParagraphFont"/>
    <w:qFormat/>
    <w:rPr/>
  </w:style>
  <w:style w:type="character" w:styleId="Hgkelc" w:customStyle="1">
    <w:name w:val="hgkelc"/>
    <w:basedOn w:val="DefaultParagraphFont"/>
    <w:qFormat/>
    <w:rPr/>
  </w:style>
  <w:style w:type="character" w:styleId="Nfase">
    <w:name w:val="Ênfase"/>
    <w:basedOn w:val="DefaultParagraphFont"/>
    <w:qFormat/>
    <w:rPr>
      <w:i/>
      <w:iCs/>
    </w:rPr>
  </w:style>
  <w:style w:type="character" w:styleId="E24kjd" w:customStyle="1">
    <w:name w:val="e24kjd"/>
    <w:basedOn w:val="DefaultParagraphFont"/>
    <w:qFormat/>
    <w:rPr/>
  </w:style>
  <w:style w:type="character" w:styleId="Recuodecorpodetexto2Char" w:customStyle="1">
    <w:name w:val="Recuo de corpo de texto 2 Char"/>
    <w:basedOn w:val="DefaultParagraphFont"/>
    <w:uiPriority w:val="99"/>
    <w:semiHidden/>
    <w:qFormat/>
    <w:rsid w:val="005968fd"/>
    <w:rPr/>
  </w:style>
  <w:style w:type="character" w:styleId="Recuodecorpodetexto2Char1" w:customStyle="1">
    <w:name w:val="Recuo de corpo de texto 2 Char1"/>
    <w:link w:val="Recuodecorpodetexto2"/>
    <w:uiPriority w:val="99"/>
    <w:qFormat/>
    <w:rsid w:val="005968fd"/>
    <w:rPr>
      <w:rFonts w:ascii="Times New Roman" w:hAnsi="Times New Roman" w:eastAsia="Lucida Sans Unicode" w:cs="Calibri"/>
      <w:kern w:val="2"/>
      <w:sz w:val="24"/>
      <w:szCs w:val="24"/>
      <w:lang w:eastAsia="ar-SA"/>
    </w:rPr>
  </w:style>
  <w:style w:type="character" w:styleId="Recuodecorpodetexto2Char2" w:customStyle="1">
    <w:name w:val="Recuo de corpo de texto 2 Char2"/>
    <w:basedOn w:val="DefaultParagraphFont"/>
    <w:uiPriority w:val="99"/>
    <w:semiHidden/>
    <w:qFormat/>
    <w:rsid w:val="005968fd"/>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uiPriority w:val="10"/>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pPr>
      <w:spacing w:before="0" w:after="160"/>
      <w:ind w:left="720" w:hanging="0"/>
      <w:contextualSpacing/>
    </w:pPr>
    <w:rPr/>
  </w:style>
  <w:style w:type="paragraph" w:styleId="CabealhoeRodap" w:customStyle="1">
    <w:name w:val="Cabeçalho e Rodapé"/>
    <w:basedOn w:val="Normal"/>
    <w:qFormat/>
    <w:pPr/>
    <w:rPr/>
  </w:style>
  <w:style w:type="paragraph" w:styleId="Cabealho">
    <w:name w:val="Header"/>
    <w:basedOn w:val="Normal"/>
    <w:pPr>
      <w:tabs>
        <w:tab w:val="clear" w:pos="708"/>
        <w:tab w:val="center" w:pos="4252" w:leader="none"/>
        <w:tab w:val="right" w:pos="8504" w:leader="none"/>
      </w:tabs>
      <w:spacing w:lineRule="auto" w:line="240" w:before="0" w:after="0"/>
    </w:pPr>
    <w:rPr/>
  </w:style>
  <w:style w:type="paragraph" w:styleId="Rodap">
    <w:name w:val="Footer"/>
    <w:basedOn w:val="Normal"/>
    <w:pPr>
      <w:tabs>
        <w:tab w:val="clear" w:pos="708"/>
        <w:tab w:val="center" w:pos="4252" w:leader="none"/>
        <w:tab w:val="right" w:pos="8504" w:leader="none"/>
      </w:tabs>
      <w:spacing w:lineRule="auto" w:line="240" w:before="0" w:after="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NormalWeb">
    <w:name w:val="Normal (Web)"/>
    <w:basedOn w:val="Normal"/>
    <w:qFormat/>
    <w:pPr/>
    <w:rPr>
      <w:rFonts w:ascii="Times New Roman" w:hAnsi="Times New Roman" w:cs="Times New Roman"/>
      <w:sz w:val="24"/>
      <w:szCs w:val="24"/>
    </w:rPr>
  </w:style>
  <w:style w:type="paragraph" w:styleId="Notaderodap">
    <w:name w:val="Footnote Text"/>
    <w:basedOn w:val="Normal"/>
    <w:pPr>
      <w:widowControl w:val="false"/>
      <w:spacing w:lineRule="auto" w:line="240" w:before="0" w:after="0"/>
      <w:jc w:val="both"/>
      <w:textAlignment w:val="baseline"/>
    </w:pPr>
    <w:rPr>
      <w:rFonts w:ascii="Times New Roman" w:hAnsi="Times New Roman" w:eastAsia="Times New Roman" w:cs="Times New Roman"/>
      <w:sz w:val="20"/>
      <w:szCs w:val="20"/>
      <w:lang w:eastAsia="pt-BR"/>
    </w:rPr>
  </w:style>
  <w:style w:type="paragraph" w:styleId="Ttulo1" w:customStyle="1">
    <w:name w:val="Título1"/>
    <w:basedOn w:val="Normal"/>
    <w:next w:val="Corpodotexto"/>
    <w:qFormat/>
    <w:pPr>
      <w:widowControl w:val="false"/>
      <w:jc w:val="center"/>
    </w:pPr>
    <w:rPr>
      <w:rFonts w:ascii="Arial" w:hAnsi="Arial" w:cs="Arial"/>
      <w:b/>
      <w:sz w:val="32"/>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Default" w:customStyle="1">
    <w:name w:val="Default"/>
    <w:qFormat/>
    <w:pPr>
      <w:widowControl/>
      <w:suppressAutoHyphens w:val="true"/>
      <w:overflowPunct w:val="false"/>
      <w:bidi w:val="0"/>
      <w:spacing w:before="0" w:after="0"/>
      <w:jc w:val="left"/>
    </w:pPr>
    <w:rPr>
      <w:rFonts w:ascii="Times New Roman" w:hAnsi="Times New Roman" w:eastAsia="Calibri" w:cs="Tahoma"/>
      <w:color w:val="000000"/>
      <w:kern w:val="0"/>
      <w:sz w:val="24"/>
      <w:szCs w:val="22"/>
      <w:lang w:val="pt-BR" w:eastAsia="en-US" w:bidi="ar-SA"/>
    </w:rPr>
  </w:style>
  <w:style w:type="paragraph" w:styleId="TableParagraph" w:customStyle="1">
    <w:name w:val="Table Paragraph"/>
    <w:basedOn w:val="Normal"/>
    <w:qFormat/>
    <w:rsid w:val="005968fd"/>
    <w:pPr>
      <w:overflowPunct w:val="true"/>
      <w:spacing w:before="35" w:after="0"/>
      <w:ind w:left="42" w:hanging="0"/>
      <w:jc w:val="center"/>
    </w:pPr>
    <w:rPr/>
  </w:style>
  <w:style w:type="paragraph" w:styleId="BodyTextIndent2">
    <w:name w:val="Body Text Indent 2"/>
    <w:basedOn w:val="Normal"/>
    <w:link w:val="Recuodecorpodetexto2Char1"/>
    <w:uiPriority w:val="99"/>
    <w:unhideWhenUsed/>
    <w:qFormat/>
    <w:rsid w:val="005968fd"/>
    <w:pPr>
      <w:widowControl w:val="false"/>
      <w:overflowPunct w:val="true"/>
      <w:spacing w:lineRule="auto" w:line="480" w:before="0" w:after="120"/>
      <w:ind w:left="283" w:hanging="0"/>
    </w:pPr>
    <w:rPr>
      <w:rFonts w:ascii="Times New Roman" w:hAnsi="Times New Roman" w:eastAsia="Lucida Sans Unicode" w:cs="Calibri"/>
      <w:kern w:val="2"/>
      <w:sz w:val="24"/>
      <w:szCs w:val="24"/>
      <w:lang w:eastAsia="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comprasgovernamentais.gov.br/" TargetMode="External"/><Relationship Id="rId4" Type="http://schemas.openxmlformats.org/officeDocument/2006/relationships/hyperlink" Target="http://www.planalto.gov.br/ccivil_03/leis/L6404compilada.htm" TargetMode="External"/><Relationship Id="rId5" Type="http://schemas.openxmlformats.org/officeDocument/2006/relationships/hyperlink" Target="https://www.planalto.gov.br/ccivil_03/_ato2015-2018/2018/lei/L13709compilado.htm" TargetMode="External"/><Relationship Id="rId6" Type="http://schemas.openxmlformats.org/officeDocument/2006/relationships/hyperlink" Target="mailto:controleinterno@ita.sc.gov.br" TargetMode="External"/><Relationship Id="rId7" Type="http://schemas.openxmlformats.org/officeDocument/2006/relationships/hyperlink" Target="http://www.planalto.gov.br/ccivil_03/leis/lcp/lcp123.htm" TargetMode="External"/><Relationship Id="rId8" Type="http://schemas.openxmlformats.org/officeDocument/2006/relationships/hyperlink" Target="https://www.planalto.gov.br/ccivil_03/leis/2002/l10406compilada.htm" TargetMode="External"/><Relationship Id="rId9" Type="http://schemas.openxmlformats.org/officeDocument/2006/relationships/hyperlink" Target="https://www.planalto.gov.br/ccivil_03/leis/2002/l10406compilada.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leis/l5764.htm" TargetMode="External"/><Relationship Id="rId12" Type="http://schemas.openxmlformats.org/officeDocument/2006/relationships/hyperlink" Target="https://www.planalto.gov.br/ccivil_03/_ato2011-2014/2012/lei/l12690.htm" TargetMode="External"/><Relationship Id="rId13" Type="http://schemas.openxmlformats.org/officeDocument/2006/relationships/hyperlink" Target="http://www.planalto.gov.br/ccivil_03/leis/lcp/lcp130.htm" TargetMode="External"/><Relationship Id="rId14" Type="http://schemas.openxmlformats.org/officeDocument/2006/relationships/hyperlink" Target="https://www.planalto.gov.br/ccivil_03/_ato2011-2014/2012/lei/l12690.htm" TargetMode="External"/><Relationship Id="rId15" Type="http://schemas.openxmlformats.org/officeDocument/2006/relationships/hyperlink" Target="https://www.planalto.gov.br/ccivil_03/_ato2007-2010/2007/lei/l11488.htm" TargetMode="External"/><Relationship Id="rId16" Type="http://schemas.openxmlformats.org/officeDocument/2006/relationships/hyperlink" Target="https://www.planalto.gov.br/ccivil_03/decreto-lei/del2848compilado.htm" TargetMode="External"/><Relationship Id="rId17" Type="http://schemas.openxmlformats.org/officeDocument/2006/relationships/hyperlink" Target="https://portaldatransparencia.gov.br/sancoes/consulta" TargetMode="External"/><Relationship Id="rId18" Type="http://schemas.openxmlformats.org/officeDocument/2006/relationships/hyperlink" Target="https://www.planalto.gov.br/ccivil_03/leis/L8429compilada.htm" TargetMode="External"/><Relationship Id="rId19" Type="http://schemas.openxmlformats.org/officeDocument/2006/relationships/hyperlink" Target="https://www.planalto.gov.br/ccivil_03/decreto-lei/del2848compilado.htm" TargetMode="External"/><Relationship Id="rId20" Type="http://schemas.openxmlformats.org/officeDocument/2006/relationships/hyperlink" Target="https://www.planalto.gov.br/ccivil_03/LEIS/L4320compilado.htm" TargetMode="External"/><Relationship Id="rId21"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leis/L6404compilada.htm"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notes" Target="footnotes.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mailto:licitacao@ita.sc.gov.br" TargetMode="External"/><Relationship Id="rId3" Type="http://schemas.openxmlformats.org/officeDocument/2006/relationships/hyperlink" Target="http://www.ita.sc.gov.br/"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4902</TotalTime>
  <Application>LibreOffice/7.1.4.2$Windows_X86_64 LibreOffice_project/a529a4fab45b75fefc5b6226684193eb000654f6</Application>
  <AppVersion>15.0000</AppVersion>
  <Pages>61</Pages>
  <Words>21939</Words>
  <Characters>119537</Characters>
  <CharactersWithSpaces>139870</CharactersWithSpaces>
  <Paragraphs>1810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2023-03-03T09:38:00Z</dcterms:created>
  <dc:creator>Usuario</dc:creator>
  <dc:description/>
  <dc:language>pt-BR</dc:language>
  <cp:lastModifiedBy/>
  <cp:lastPrinted>2023-10-03T13:01:00Z</cp:lastPrinted>
  <dcterms:modified xsi:type="dcterms:W3CDTF">2023-12-18T13:56:10Z</dcterms:modified>
  <cp:revision>789</cp:revision>
  <dc:subject/>
  <dc:title/>
</cp:coreProperties>
</file>

<file path=docProps/custom.xml><?xml version="1.0" encoding="utf-8"?>
<Properties xmlns="http://schemas.openxmlformats.org/officeDocument/2006/custom-properties" xmlns:vt="http://schemas.openxmlformats.org/officeDocument/2006/docPropsVTypes"/>
</file>