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shd w:fill="auto" w:val="clear"/>
        </w:rPr>
      </w:pPr>
      <w:r>
        <w:rPr>
          <w:rFonts w:cs="Arial" w:ascii="Arial" w:hAnsi="Arial"/>
          <w:b/>
          <w:bCs/>
          <w:shd w:fill="auto" w:val="clear"/>
          <w:lang w:eastAsia="pt-BR"/>
        </w:rPr>
        <w:t xml:space="preserve">PROCESSO LICITATÓRIO Nº </w:t>
      </w:r>
      <w:r>
        <w:rPr>
          <w:rFonts w:eastAsia="Calibri" w:cs="Arial" w:ascii="Arial" w:hAnsi="Arial" w:eastAsiaTheme="minorHAnsi"/>
          <w:b/>
          <w:bCs/>
          <w:color w:val="000000"/>
          <w:kern w:val="0"/>
          <w:sz w:val="22"/>
          <w:szCs w:val="22"/>
          <w:shd w:fill="auto" w:val="clear"/>
          <w:lang w:val="pt-BR" w:eastAsia="pt-BR" w:bidi="ar-SA"/>
        </w:rPr>
        <w:t>110</w:t>
      </w:r>
      <w:r>
        <w:rPr>
          <w:rFonts w:cs="Arial" w:ascii="Arial" w:hAnsi="Arial"/>
          <w:b/>
          <w:bCs/>
          <w:shd w:fill="auto" w:val="clear"/>
          <w:lang w:eastAsia="pt-BR"/>
        </w:rPr>
        <w:t xml:space="preserve">/2023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center"/>
        <w:rPr>
          <w:shd w:fill="auto" w:val="clear"/>
        </w:rPr>
      </w:pPr>
      <w:r>
        <w:rPr>
          <w:rFonts w:cs="Arial" w:ascii="Arial" w:hAnsi="Arial"/>
          <w:b/>
          <w:bCs/>
          <w:shd w:fill="auto" w:val="clear"/>
        </w:rPr>
        <w:t xml:space="preserve">EDITAL DE PREGÃO ELETRÔNICO Nº </w:t>
      </w:r>
      <w:r>
        <w:rPr>
          <w:rFonts w:eastAsia="Calibri" w:cs="Arial" w:ascii="Arial" w:hAnsi="Arial" w:eastAsiaTheme="minorHAnsi"/>
          <w:b/>
          <w:bCs/>
          <w:color w:val="000000"/>
          <w:kern w:val="0"/>
          <w:sz w:val="22"/>
          <w:szCs w:val="22"/>
          <w:shd w:fill="auto" w:val="clear"/>
          <w:lang w:val="pt-BR" w:eastAsia="en-US" w:bidi="ar-SA"/>
        </w:rPr>
        <w:t>04</w:t>
      </w:r>
      <w:r>
        <w:rPr>
          <w:rFonts w:eastAsia="Calibri" w:cs="Arial" w:ascii="Arial" w:hAnsi="Arial" w:eastAsiaTheme="minorHAnsi"/>
          <w:b/>
          <w:bCs/>
          <w:color w:val="000000"/>
          <w:kern w:val="0"/>
          <w:sz w:val="22"/>
          <w:szCs w:val="22"/>
          <w:shd w:fill="auto" w:val="clear"/>
          <w:lang w:val="pt-BR" w:eastAsia="en-US" w:bidi="ar-SA"/>
        </w:rPr>
        <w:t>2</w:t>
      </w:r>
      <w:r>
        <w:rPr>
          <w:rFonts w:cs="Arial" w:ascii="Arial" w:hAnsi="Arial"/>
          <w:b/>
          <w:bCs/>
          <w:shd w:fill="auto" w:val="clear"/>
        </w:rPr>
        <w:t xml:space="preserve">/2023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center"/>
        <w:rPr>
          <w:shd w:fill="auto" w:val="clear"/>
        </w:rPr>
      </w:pPr>
      <w:r>
        <w:rPr>
          <w:rFonts w:cs="Arial" w:ascii="Arial" w:hAnsi="Arial"/>
          <w:b/>
          <w:bCs/>
          <w:shd w:fill="auto" w:val="clear"/>
        </w:rPr>
        <w:t>SISTEMA DE REGISTRO DE PREÇOS</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both"/>
        <w:rPr>
          <w:rFonts w:ascii="Arial" w:hAnsi="Arial" w:cs="Arial"/>
          <w:sz w:val="20"/>
          <w:szCs w:val="20"/>
        </w:rPr>
      </w:pPr>
      <w:r>
        <w:rPr>
          <w:rFonts w:cs="Arial" w:ascii="Arial" w:hAnsi="Arial"/>
          <w:sz w:val="20"/>
          <w:szCs w:val="20"/>
        </w:rPr>
        <w:t xml:space="preserve">Registrado no TCE/SC sob código n° </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rPr>
      </w:pPr>
      <w:r>
        <w:rPr>
          <w:rFonts w:cs="Arial" w:ascii="Arial" w:hAnsi="Arial"/>
        </w:rPr>
      </w:r>
    </w:p>
    <w:p>
      <w:pPr>
        <w:pStyle w:val="Normal"/>
        <w:widowControl w:val="false"/>
        <w:shd w:val="clear" w:color="auto" w:fill="BFBFBF" w:themeFill="background1" w:themeFillShade="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1. PREÂMBULO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
          <w:lang w:eastAsia="pt-BR"/>
        </w:rPr>
        <w:t>1.1.</w:t>
      </w:r>
      <w:r>
        <w:rPr>
          <w:rFonts w:eastAsia="Times New Roman" w:cs="Arial" w:ascii="Arial" w:hAnsi="Arial"/>
          <w:lang w:eastAsia="pt-BR"/>
        </w:rPr>
        <w:t xml:space="preserve"> O Município de </w:t>
      </w:r>
      <w:r>
        <w:rPr>
          <w:rFonts w:eastAsia="Times New Roman" w:cs="Arial" w:ascii="Arial" w:hAnsi="Arial"/>
          <w:color w:val="000000"/>
          <w:lang w:eastAsia="pt-BR"/>
        </w:rPr>
        <w:t>Itá,</w:t>
      </w:r>
      <w:r>
        <w:rPr>
          <w:rFonts w:eastAsia="Times New Roman" w:cs="Arial" w:ascii="Arial" w:hAnsi="Arial"/>
          <w:lang w:eastAsia="pt-BR"/>
        </w:rPr>
        <w:t xml:space="preserve"> Estado de Santa Catarina, pessoa jurídica de direito público interno inscrito no CNPJ so</w:t>
      </w:r>
      <w:r>
        <w:rPr>
          <w:rFonts w:eastAsia="Times New Roman" w:cs="Arial" w:ascii="Arial" w:hAnsi="Arial"/>
          <w:color w:val="000000"/>
          <w:lang w:eastAsia="pt-BR"/>
        </w:rPr>
        <w:t xml:space="preserve">b nº </w:t>
      </w:r>
      <w:r>
        <w:rPr>
          <w:rFonts w:eastAsia="Times New Roman" w:cs="Arial" w:ascii="Arial" w:hAnsi="Arial"/>
          <w:color w:val="202124"/>
          <w:lang w:eastAsia="pt-BR"/>
        </w:rPr>
        <w:t>83.024.240/0001-53</w:t>
      </w:r>
      <w:r>
        <w:rPr>
          <w:rFonts w:eastAsia="Times New Roman" w:cs="Arial" w:ascii="Arial" w:hAnsi="Arial"/>
          <w:lang w:eastAsia="pt-BR"/>
        </w:rPr>
        <w:t>, leva ao conhecimento dos interessados a realização do seguinte processo licitatório:</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eastAsia="Times New Roman" w:cs="Arial" w:ascii="Arial" w:hAnsi="Arial"/>
          <w:b/>
          <w:lang w:eastAsia="pt-BR"/>
        </w:rPr>
        <w:t>Regime legal:</w:t>
      </w:r>
      <w:r>
        <w:rPr>
          <w:rFonts w:eastAsia="Times New Roman" w:cs="Arial" w:ascii="Arial" w:hAnsi="Arial"/>
          <w:lang w:eastAsia="pt-BR"/>
        </w:rPr>
        <w:t xml:space="preserve"> </w:t>
      </w:r>
      <w:hyperlink r:id="rId2">
        <w:r>
          <w:rPr>
            <w:rStyle w:val="LinkdaInternet"/>
            <w:rFonts w:eastAsia="Times New Roman" w:cs="Arial" w:ascii="Arial" w:hAnsi="Arial"/>
            <w:lang w:eastAsia="pt-BR"/>
          </w:rPr>
          <w:t>Lei nº 14.133/2021</w:t>
        </w:r>
      </w:hyperlink>
      <w:r>
        <w:rPr>
          <w:rFonts w:eastAsia="Times New Roman" w:cs="Arial" w:ascii="Arial" w:hAnsi="Arial"/>
          <w:lang w:eastAsia="pt-BR"/>
        </w:rPr>
        <w:t xml:space="preserve">, Lei Complementar nº 123/2006 </w:t>
      </w:r>
      <w:r>
        <w:rPr>
          <w:rFonts w:eastAsia="Times New Roman" w:cs="Arial" w:ascii="Arial" w:hAnsi="Arial"/>
          <w:color w:val="000000"/>
          <w:lang w:eastAsia="pt-BR"/>
        </w:rPr>
        <w:t>e o Decreto Municipal nº 0036/2023.</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rFonts w:ascii="Arial" w:hAnsi="Arial" w:eastAsia="Times New Roman" w:cs="Arial"/>
          <w:lang w:eastAsia="pt-BR"/>
        </w:rPr>
      </w:pPr>
      <w:r>
        <w:rPr>
          <w:rFonts w:eastAsia="Times New Roman" w:cs="Arial" w:ascii="Arial" w:hAnsi="Arial"/>
          <w:b/>
          <w:lang w:eastAsia="pt-BR"/>
        </w:rPr>
        <w:t>Modalidade:</w:t>
      </w:r>
      <w:r>
        <w:rPr>
          <w:rFonts w:eastAsia="Times New Roman" w:cs="Arial" w:ascii="Arial" w:hAnsi="Arial"/>
          <w:lang w:eastAsia="pt-BR"/>
        </w:rPr>
        <w:t xml:space="preserve"> Pregão </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rFonts w:ascii="Arial" w:hAnsi="Arial" w:eastAsia="Times New Roman" w:cs="Arial"/>
          <w:lang w:eastAsia="pt-BR"/>
        </w:rPr>
      </w:pPr>
      <w:r>
        <w:rPr>
          <w:rFonts w:eastAsia="Times New Roman" w:cs="Arial" w:ascii="Arial" w:hAnsi="Arial"/>
          <w:b/>
          <w:lang w:eastAsia="pt-BR"/>
        </w:rPr>
        <w:t xml:space="preserve">Critério de Julgamento: </w:t>
      </w:r>
      <w:r>
        <w:rPr>
          <w:rFonts w:eastAsia="Times New Roman" w:cs="Arial" w:ascii="Arial" w:hAnsi="Arial"/>
          <w:color w:val="000000"/>
          <w:lang w:eastAsia="pt-BR"/>
        </w:rPr>
        <w:t xml:space="preserve">Menor preço </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Modo de disput</w:t>
      </w:r>
      <w:r>
        <w:rPr>
          <w:rFonts w:eastAsia="Times New Roman" w:cs="Arial" w:ascii="Arial" w:hAnsi="Arial"/>
          <w:b/>
          <w:shd w:fill="auto" w:val="clear"/>
          <w:lang w:eastAsia="pt-BR"/>
        </w:rPr>
        <w:t xml:space="preserve">a: </w:t>
      </w:r>
      <w:r>
        <w:rPr>
          <w:rFonts w:eastAsia="Times New Roman" w:cs="Arial" w:ascii="Arial" w:hAnsi="Arial"/>
          <w:color w:val="000000"/>
          <w:shd w:fill="auto" w:val="clear"/>
          <w:lang w:eastAsia="pt-BR"/>
        </w:rPr>
        <w:t xml:space="preserve">Aberto </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Forma:</w:t>
      </w:r>
      <w:r>
        <w:rPr>
          <w:rFonts w:eastAsia="Times New Roman" w:cs="Arial" w:ascii="Arial" w:hAnsi="Arial"/>
          <w:shd w:fill="auto" w:val="clear"/>
          <w:lang w:eastAsia="pt-BR"/>
        </w:rPr>
        <w:t xml:space="preserve"> Eletrônica </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shd w:fill="auto" w:val="clear"/>
          <w:lang w:eastAsia="pt-BR"/>
        </w:rPr>
        <w:t xml:space="preserve">Plataforma: </w:t>
      </w:r>
      <w:r>
        <w:rPr>
          <w:rFonts w:eastAsia="Times New Roman" w:cs="Arial" w:ascii="Arial" w:hAnsi="Arial"/>
          <w:color w:val="000000"/>
          <w:shd w:fill="auto" w:val="clear"/>
          <w:lang w:eastAsia="pt-BR"/>
        </w:rPr>
        <w:t xml:space="preserve">Portal de Compras do Governo Federal – </w:t>
      </w:r>
      <w:hyperlink r:id="rId3">
        <w:r>
          <w:rPr>
            <w:rStyle w:val="LinkdaInternet"/>
            <w:rFonts w:eastAsia="Times New Roman" w:cs="Arial" w:ascii="Arial" w:hAnsi="Arial"/>
            <w:color w:val="000000"/>
            <w:shd w:fill="auto" w:val="clear"/>
            <w:lang w:eastAsia="pt-BR"/>
          </w:rPr>
          <w:t>www.comprasgovernamentais.gov.br</w:t>
        </w:r>
      </w:hyperlink>
      <w:r>
        <w:rPr>
          <w:rFonts w:eastAsia="Times New Roman" w:cs="Arial" w:ascii="Arial" w:hAnsi="Arial"/>
          <w:color w:val="000000"/>
          <w:shd w:fill="auto" w:val="clear"/>
          <w:lang w:eastAsia="pt-BR"/>
        </w:rPr>
        <w:t>. UASG 988157.</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Data da Sessão Pública:</w:t>
      </w:r>
      <w:r>
        <w:rPr>
          <w:rFonts w:eastAsia="Times New Roman" w:cs="Arial" w:ascii="Arial" w:hAnsi="Arial"/>
          <w:b/>
          <w:i/>
          <w:iCs/>
          <w:u w:val="none"/>
          <w:shd w:fill="auto" w:val="clear"/>
          <w:lang w:eastAsia="pt-BR"/>
        </w:rPr>
        <w:t xml:space="preserve"> </w:t>
      </w:r>
      <w:r>
        <w:rPr>
          <w:rFonts w:eastAsia="Times New Roman" w:cs="Arial" w:ascii="Arial" w:hAnsi="Arial"/>
          <w:b/>
          <w:i/>
          <w:iCs/>
          <w:color w:val="000000"/>
          <w:kern w:val="0"/>
          <w:sz w:val="22"/>
          <w:szCs w:val="22"/>
          <w:u w:val="single"/>
          <w:shd w:fill="auto" w:val="clear"/>
          <w:lang w:val="pt-BR" w:eastAsia="pt-BR" w:bidi="ar-SA"/>
        </w:rPr>
        <w:t>19</w:t>
      </w:r>
      <w:r>
        <w:rPr>
          <w:rFonts w:eastAsia="Times New Roman" w:cs="Arial" w:ascii="Arial" w:hAnsi="Arial"/>
          <w:b/>
          <w:i/>
          <w:iCs/>
          <w:u w:val="single"/>
          <w:shd w:fill="auto" w:val="clear"/>
          <w:lang w:eastAsia="pt-BR"/>
        </w:rPr>
        <w:t>/</w:t>
      </w:r>
      <w:r>
        <w:rPr>
          <w:rFonts w:eastAsia="Times New Roman" w:cs="Arial" w:ascii="Arial" w:hAnsi="Arial"/>
          <w:b/>
          <w:i/>
          <w:iCs/>
          <w:color w:val="000000"/>
          <w:kern w:val="0"/>
          <w:sz w:val="22"/>
          <w:szCs w:val="22"/>
          <w:u w:val="single"/>
          <w:shd w:fill="auto" w:val="clear"/>
          <w:lang w:val="pt-BR" w:eastAsia="pt-BR" w:bidi="ar-SA"/>
        </w:rPr>
        <w:t>07</w:t>
      </w:r>
      <w:r>
        <w:rPr>
          <w:rFonts w:eastAsia="Times New Roman" w:cs="Arial" w:ascii="Arial" w:hAnsi="Arial"/>
          <w:b/>
          <w:i/>
          <w:iCs/>
          <w:u w:val="single"/>
          <w:shd w:fill="auto" w:val="clear"/>
          <w:lang w:eastAsia="pt-BR"/>
        </w:rPr>
        <w:t>/2023</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rFonts w:ascii="Arial" w:hAnsi="Arial" w:eastAsia="Times New Roman" w:cs="Arial"/>
          <w:lang w:eastAsia="pt-BR"/>
        </w:rPr>
      </w:pPr>
      <w:r>
        <w:rPr>
          <w:rFonts w:eastAsia="Times New Roman" w:cs="Arial" w:ascii="Arial" w:hAnsi="Arial"/>
          <w:b/>
          <w:lang w:eastAsia="pt-BR"/>
        </w:rPr>
        <w:t>Horário de início da Sessão Pública:</w:t>
      </w:r>
      <w:r>
        <w:rPr>
          <w:rFonts w:eastAsia="Times New Roman" w:cs="Arial" w:ascii="Arial" w:hAnsi="Arial"/>
          <w:color w:val="000000"/>
          <w:lang w:eastAsia="pt-BR"/>
        </w:rPr>
        <w:t xml:space="preserve"> 08h30min (horário de Brasília/DF)</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rFonts w:ascii="Arial" w:hAnsi="Arial" w:cs="Arial"/>
          <w:color w:val="000000"/>
        </w:rPr>
      </w:pPr>
      <w:r>
        <w:rPr>
          <w:rFonts w:eastAsia="Times New Roman" w:cs="Arial" w:ascii="Arial" w:hAnsi="Arial"/>
          <w:b/>
          <w:color w:val="000000"/>
          <w:lang w:eastAsia="pt-BR"/>
        </w:rPr>
        <w:t xml:space="preserve">Código do Município: </w:t>
      </w:r>
      <w:r>
        <w:rPr>
          <w:rFonts w:eastAsia="Times New Roman" w:cs="Arial" w:ascii="Arial" w:hAnsi="Arial"/>
          <w:color w:val="000000"/>
          <w:lang w:eastAsia="pt-BR"/>
        </w:rPr>
        <w:t>UASG 988157</w:t>
      </w:r>
    </w:p>
    <w:p>
      <w:pPr>
        <w:pStyle w:val="Normal"/>
        <w:widowControl w:val="false"/>
        <w:numPr>
          <w:ilvl w:val="0"/>
          <w:numId w:val="1"/>
        </w:numPr>
        <w:tabs>
          <w:tab w:val="clear" w:pos="708"/>
          <w:tab w:val="left" w:pos="1134" w:leader="none"/>
        </w:tabs>
        <w:spacing w:lineRule="auto" w:line="240" w:before="0" w:after="0"/>
        <w:ind w:left="567" w:hanging="0"/>
        <w:contextualSpacing/>
        <w:jc w:val="both"/>
        <w:textAlignment w:val="baseline"/>
        <w:rPr>
          <w:rFonts w:ascii="Arial" w:hAnsi="Arial" w:eastAsia="Times New Roman" w:cs="Arial"/>
          <w:lang w:eastAsia="pt-BR"/>
        </w:rPr>
      </w:pPr>
      <w:r>
        <w:rPr>
          <w:rFonts w:eastAsia="Times New Roman" w:cs="Arial" w:ascii="Arial" w:hAnsi="Arial"/>
          <w:b/>
          <w:lang w:eastAsia="pt-BR"/>
        </w:rPr>
        <w:t>Condução do processo licitatório:</w:t>
      </w:r>
      <w:r>
        <w:rPr>
          <w:rFonts w:eastAsia="Times New Roman" w:cs="Arial" w:ascii="Arial" w:hAnsi="Arial"/>
          <w:lang w:eastAsia="pt-BR"/>
        </w:rPr>
        <w:t xml:space="preserve"> Pregoeiro Delso Minski e Equipe de Apoio – </w:t>
      </w:r>
      <w:r>
        <w:rPr>
          <w:rFonts w:eastAsia="Times New Roman" w:cs="Arial" w:ascii="Arial" w:hAnsi="Arial"/>
          <w:color w:val="000000"/>
          <w:lang w:eastAsia="pt-BR"/>
        </w:rPr>
        <w:t xml:space="preserve">Servidores Designados pelo Decreto Municipal nº </w:t>
      </w:r>
      <w:r>
        <w:rPr>
          <w:rFonts w:eastAsia="Times New Roman" w:cs="Arial" w:ascii="Arial" w:hAnsi="Arial"/>
          <w:color w:val="000000"/>
          <w:kern w:val="0"/>
          <w:sz w:val="22"/>
          <w:szCs w:val="22"/>
          <w:lang w:val="pt-BR" w:eastAsia="pt-BR" w:bidi="ar-SA"/>
        </w:rPr>
        <w:t>078</w:t>
      </w:r>
      <w:r>
        <w:rPr>
          <w:rFonts w:eastAsia="Times New Roman" w:cs="Arial" w:ascii="Arial" w:hAnsi="Arial"/>
          <w:color w:val="000000"/>
          <w:lang w:eastAsia="pt-BR"/>
        </w:rPr>
        <w:t>/2023.</w:t>
      </w:r>
    </w:p>
    <w:p>
      <w:pPr>
        <w:pStyle w:val="Normal"/>
        <w:widowControl w:val="false"/>
        <w:numPr>
          <w:ilvl w:val="0"/>
          <w:numId w:val="1"/>
        </w:numPr>
        <w:tabs>
          <w:tab w:val="clear" w:pos="708"/>
          <w:tab w:val="left" w:pos="1134" w:leader="none"/>
        </w:tabs>
        <w:spacing w:lineRule="auto" w:line="240" w:before="0" w:after="160"/>
        <w:ind w:left="567" w:hanging="0"/>
        <w:contextualSpacing/>
        <w:jc w:val="both"/>
        <w:textAlignment w:val="baseline"/>
        <w:rPr>
          <w:rFonts w:ascii="Arial" w:hAnsi="Arial"/>
        </w:rPr>
      </w:pPr>
      <w:r>
        <w:rPr>
          <w:rFonts w:eastAsia="Times New Roman" w:cs="Times New Roman" w:ascii="Arial" w:hAnsi="Arial"/>
          <w:b/>
          <w:bCs/>
          <w:color w:val="000000"/>
          <w:lang w:eastAsia="pt-BR"/>
        </w:rPr>
        <w:t>Especificações dos Itens:</w:t>
      </w:r>
      <w:r>
        <w:rPr>
          <w:rFonts w:eastAsia="Times New Roman" w:cs="Times New Roman" w:ascii="Arial" w:hAnsi="Arial"/>
          <w:color w:val="000000"/>
          <w:lang w:eastAsia="pt-BR"/>
        </w:rPr>
        <w:t xml:space="preserve"> </w:t>
      </w:r>
      <w:r>
        <w:rPr>
          <w:rFonts w:eastAsia="Times New Roman" w:cs="Times New Roman" w:ascii="Arial" w:hAnsi="Arial"/>
          <w:color w:val="000000"/>
          <w:u w:val="single"/>
          <w:lang w:eastAsia="pt-BR"/>
        </w:rPr>
        <w:t>a descrição dos itens constantes no portal compras.gov.br são apenas aproximações da descrição dos itens reais. Desta maneira, prevalecerão as descrições detalhadas constantes neste edital de processo licitatório.</w:t>
      </w:r>
    </w:p>
    <w:p>
      <w:pPr>
        <w:pStyle w:val="Normal"/>
        <w:widowControl w:val="false"/>
        <w:tabs>
          <w:tab w:val="clear" w:pos="708"/>
          <w:tab w:val="left" w:pos="1134"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418"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418"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hemeFill="background1" w:themeFillShade="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2. OBJETO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rPr>
      </w:pPr>
      <w:r>
        <w:rPr>
          <w:rFonts w:eastAsia="Times New Roman" w:cs="Arial" w:ascii="Arial" w:hAnsi="Arial"/>
          <w:bCs/>
          <w:lang w:eastAsia="pt-BR"/>
        </w:rPr>
        <w:t>2.1.</w:t>
      </w:r>
      <w:r>
        <w:rPr>
          <w:rFonts w:eastAsia="Times New Roman" w:cs="Arial" w:ascii="Arial" w:hAnsi="Arial"/>
          <w:lang w:eastAsia="pt-BR"/>
        </w:rPr>
        <w:t xml:space="preserve"> O objeto deste processo licitatório é </w:t>
      </w:r>
      <w:r>
        <w:rPr>
          <w:rFonts w:eastAsia="Times New Roman" w:cs="Arial" w:ascii="Arial" w:hAnsi="Arial"/>
          <w:color w:val="000000"/>
          <w:lang w:eastAsia="pt-BR"/>
        </w:rPr>
        <w:t xml:space="preserve">o Registro de Preços, </w:t>
      </w:r>
      <w:r>
        <w:rPr>
          <w:rFonts w:eastAsia="Times New Roman" w:cs="Arial" w:ascii="Arial" w:hAnsi="Arial"/>
          <w:color w:val="000000"/>
          <w:kern w:val="0"/>
          <w:sz w:val="22"/>
          <w:szCs w:val="22"/>
          <w:lang w:val="pt-BR" w:eastAsia="pt-BR" w:bidi="ar-SA"/>
        </w:rPr>
        <w:t>objetivando a</w:t>
      </w:r>
      <w:r>
        <w:rPr>
          <w:rFonts w:eastAsia="Times New Roman" w:cs="Calibri" w:ascii="Arial" w:hAnsi="Arial" w:cstheme="minorHAnsi"/>
          <w:color w:val="000000"/>
          <w:kern w:val="0"/>
          <w:sz w:val="22"/>
          <w:szCs w:val="22"/>
          <w:lang w:val="pt-BR" w:eastAsia="pt-BR" w:bidi="ar-SA"/>
        </w:rPr>
        <w:t xml:space="preserve"> contratação de empresa para o fornecimento de produto alimentício, visando a manutenção das atividades da Polícia Civil e Militar do Município de Itá-SC.</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t>2.1.1. O objeto é composto pelos seguintes itens: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tbl>
      <w:tblPr>
        <w:tblW w:w="8508" w:type="dxa"/>
        <w:jc w:val="left"/>
        <w:tblInd w:w="30" w:type="dxa"/>
        <w:tblLayout w:type="fixed"/>
        <w:tblCellMar>
          <w:top w:w="28" w:type="dxa"/>
          <w:left w:w="28" w:type="dxa"/>
          <w:bottom w:w="28" w:type="dxa"/>
          <w:right w:w="28" w:type="dxa"/>
        </w:tblCellMar>
        <w:tblLook w:firstRow="1" w:noVBand="1" w:lastRow="0" w:firstColumn="1" w:lastColumn="0" w:noHBand="0" w:val="04a0"/>
      </w:tblPr>
      <w:tblGrid>
        <w:gridCol w:w="564"/>
        <w:gridCol w:w="4305"/>
        <w:gridCol w:w="851"/>
        <w:gridCol w:w="1311"/>
        <w:gridCol w:w="1477"/>
      </w:tblGrid>
      <w:tr>
        <w:trPr/>
        <w:tc>
          <w:tcPr>
            <w:tcW w:w="564" w:type="dxa"/>
            <w:tcBorders>
              <w:top w:val="single" w:sz="2" w:space="0" w:color="000000"/>
              <w:left w:val="single" w:sz="2" w:space="0" w:color="000000"/>
              <w:bottom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Item</w:t>
            </w:r>
          </w:p>
        </w:tc>
        <w:tc>
          <w:tcPr>
            <w:tcW w:w="4305" w:type="dxa"/>
            <w:tcBorders>
              <w:top w:val="single" w:sz="2" w:space="0" w:color="000000"/>
              <w:left w:val="single" w:sz="2" w:space="0" w:color="000000"/>
              <w:bottom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Especificação</w:t>
            </w:r>
          </w:p>
        </w:tc>
        <w:tc>
          <w:tcPr>
            <w:tcW w:w="851" w:type="dxa"/>
            <w:tcBorders>
              <w:top w:val="single" w:sz="2" w:space="0" w:color="000000"/>
              <w:left w:val="single" w:sz="2" w:space="0" w:color="000000"/>
              <w:bottom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Quant.</w:t>
            </w:r>
          </w:p>
        </w:tc>
        <w:tc>
          <w:tcPr>
            <w:tcW w:w="1311" w:type="dxa"/>
            <w:tcBorders>
              <w:top w:val="single" w:sz="2" w:space="0" w:color="000000"/>
              <w:left w:val="single" w:sz="2" w:space="0" w:color="000000"/>
              <w:bottom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Valor Unit.</w:t>
            </w:r>
          </w:p>
        </w:tc>
        <w:tc>
          <w:tcPr>
            <w:tcW w:w="1477"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Valor Total</w:t>
            </w:r>
          </w:p>
        </w:tc>
      </w:tr>
      <w:tr>
        <w:trPr/>
        <w:tc>
          <w:tcPr>
            <w:tcW w:w="564"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cs="Arial" w:ascii="Arial" w:hAnsi="Arial"/>
                <w:sz w:val="21"/>
                <w:szCs w:val="21"/>
                <w:shd w:fill="auto" w:val="clear"/>
              </w:rPr>
              <w:t>01</w:t>
            </w:r>
          </w:p>
        </w:tc>
        <w:tc>
          <w:tcPr>
            <w:tcW w:w="4305" w:type="dxa"/>
            <w:tcBorders>
              <w:left w:val="single" w:sz="2" w:space="0" w:color="000000"/>
              <w:bottom w:val="single" w:sz="2" w:space="0" w:color="000000"/>
            </w:tcBorders>
            <w:vAlign w:val="center"/>
          </w:tcPr>
          <w:p>
            <w:pPr>
              <w:pStyle w:val="Normal"/>
              <w:widowControl w:val="false"/>
              <w:spacing w:lineRule="auto" w:line="240" w:before="0" w:after="0"/>
              <w:jc w:val="both"/>
              <w:rPr>
                <w:rFonts w:ascii="Arial" w:hAnsi="Arial"/>
                <w:sz w:val="21"/>
                <w:szCs w:val="21"/>
              </w:rPr>
            </w:pPr>
            <w:r>
              <w:rPr>
                <w:rFonts w:cs="Arial" w:ascii="Arial" w:hAnsi="Arial"/>
                <w:color w:val="000000"/>
                <w:sz w:val="21"/>
                <w:szCs w:val="21"/>
                <w:shd w:fill="auto" w:val="clear"/>
              </w:rPr>
              <w:t>Caf</w:t>
            </w:r>
            <w:r>
              <w:rPr>
                <w:rFonts w:cs="Arial" w:ascii="Arial" w:hAnsi="Arial"/>
                <w:sz w:val="21"/>
                <w:szCs w:val="21"/>
              </w:rPr>
              <w:t xml:space="preserve">é torrado em grãos, do tipo Superior, de primeira qualidade. </w:t>
            </w:r>
            <w:r>
              <w:rPr>
                <w:rFonts w:ascii="Arial" w:hAnsi="Arial"/>
                <w:sz w:val="21"/>
                <w:szCs w:val="21"/>
              </w:rPr>
              <w:t>Espécie: 100% de café arábica. Bebida (sabor): do tipo intenso, bebida dura para melhor;</w:t>
            </w:r>
          </w:p>
          <w:p>
            <w:pPr>
              <w:pStyle w:val="Normal"/>
              <w:widowControl w:val="false"/>
              <w:spacing w:lineRule="auto" w:line="240" w:before="0" w:after="160"/>
              <w:jc w:val="both"/>
              <w:rPr>
                <w:rFonts w:ascii="Arial" w:hAnsi="Arial"/>
                <w:sz w:val="21"/>
                <w:szCs w:val="21"/>
              </w:rPr>
            </w:pPr>
            <w:r>
              <w:rPr>
                <w:rFonts w:ascii="Arial" w:hAnsi="Arial"/>
                <w:sz w:val="21"/>
                <w:szCs w:val="21"/>
              </w:rPr>
              <w:t>Aspecto: Grãos de café dos tipos 2 a 6, da COB – Classificação; Características físicas: grãos torrados, com o ponto de torra variando entre 50 e 65 pontos de Disco Agtron, ou equivalente, correspondendo ao intervalo médio moderadamente escuro e médio cla</w:t>
            </w:r>
            <w:r>
              <w:rPr>
                <w:rFonts w:ascii="Arial" w:hAnsi="Arial"/>
                <w:sz w:val="21"/>
                <w:szCs w:val="21"/>
                <w:shd w:fill="auto" w:val="clear"/>
              </w:rPr>
              <w:t>ro.</w:t>
            </w:r>
            <w:r>
              <w:rPr>
                <w:rFonts w:cs="" w:ascii="Arial" w:hAnsi="Arial" w:cstheme="minorBidi"/>
                <w:sz w:val="21"/>
                <w:szCs w:val="21"/>
                <w:shd w:fill="auto" w:val="clear"/>
              </w:rPr>
              <w:t xml:space="preserve"> </w:t>
            </w:r>
            <w:r>
              <w:rPr>
                <w:rFonts w:ascii="Arial" w:hAnsi="Arial"/>
                <w:sz w:val="21"/>
                <w:szCs w:val="21"/>
                <w:shd w:fill="auto" w:val="clear"/>
              </w:rPr>
              <w:t>C</w:t>
            </w:r>
            <w:r>
              <w:rPr>
                <w:rFonts w:ascii="Arial" w:hAnsi="Arial"/>
                <w:sz w:val="21"/>
                <w:szCs w:val="21"/>
              </w:rPr>
              <w:t xml:space="preserve">aracterísticas Organolépticas: Aroma característico; acidez baixa a moderada; amargor moderado; sabor característico e equilibrado; livre de sabor fermentado, mofado, terra; baixa adstringência; razoavelmente encorpado; qualidade global maior que 6,00 pontos da escala sensorial, de bom a muito bom. Embalagem: Tipo Alto Vácuo ou Vácuo Puro em pacotes de 500 gramas a 1000 gramas; Com a identificação do produto, a marca do fabricante, a data de fabricação e prazo de validade, que deverá ser de, no mínimo, 12 meses. No ato da entrega do produto, poderão ter transcorrido, no máximo, 90 </w:t>
            </w:r>
            <w:r>
              <w:rPr>
                <w:rFonts w:cs="Arial" w:ascii="Arial" w:hAnsi="Arial"/>
                <w:sz w:val="21"/>
                <w:szCs w:val="21"/>
              </w:rPr>
              <w:t>dias da data de sua fabricação.</w:t>
            </w:r>
          </w:p>
        </w:tc>
        <w:tc>
          <w:tcPr>
            <w:tcW w:w="851"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eastAsia="Calibri" w:cs="Arial" w:ascii="Arial" w:hAnsi="Arial" w:eastAsiaTheme="minorHAnsi"/>
                <w:color w:val="000000"/>
                <w:kern w:val="0"/>
                <w:sz w:val="21"/>
                <w:szCs w:val="21"/>
                <w:shd w:fill="auto" w:val="clear"/>
                <w:lang w:val="pt-BR" w:eastAsia="en-US" w:bidi="ar-SA"/>
              </w:rPr>
              <w:t xml:space="preserve">16 </w:t>
            </w:r>
            <w:r>
              <w:rPr>
                <w:rFonts w:eastAsia="Calibri" w:cs="Arial" w:ascii="Arial" w:hAnsi="Arial"/>
                <w:color w:val="000000"/>
                <w:kern w:val="0"/>
                <w:sz w:val="21"/>
                <w:szCs w:val="21"/>
                <w:shd w:fill="auto" w:val="clear"/>
                <w:lang w:val="pt-BR" w:eastAsia="en-US" w:bidi="ar-SA"/>
              </w:rPr>
              <w:t>kg</w:t>
            </w:r>
          </w:p>
        </w:tc>
        <w:tc>
          <w:tcPr>
            <w:tcW w:w="1311"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cs="Arial" w:ascii="Arial" w:hAnsi="Arial"/>
                <w:sz w:val="21"/>
                <w:szCs w:val="21"/>
                <w:shd w:fill="auto" w:val="clear"/>
              </w:rPr>
              <w:t xml:space="preserve">R$ </w:t>
            </w:r>
            <w:r>
              <w:rPr>
                <w:rFonts w:eastAsia="Calibri" w:cs="Arial" w:ascii="Arial" w:hAnsi="Arial" w:eastAsiaTheme="minorHAnsi"/>
                <w:color w:val="000000"/>
                <w:kern w:val="0"/>
                <w:sz w:val="21"/>
                <w:szCs w:val="21"/>
                <w:shd w:fill="auto" w:val="clear"/>
                <w:lang w:val="pt-BR" w:eastAsia="en-US" w:bidi="ar-SA"/>
              </w:rPr>
              <w:t>69,50/kg</w:t>
            </w:r>
          </w:p>
        </w:tc>
        <w:tc>
          <w:tcPr>
            <w:tcW w:w="1477" w:type="dxa"/>
            <w:tcBorders>
              <w:left w:val="single" w:sz="2" w:space="0" w:color="000000"/>
              <w:bottom w:val="single" w:sz="2"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cs="Arial" w:ascii="Arial" w:hAnsi="Arial"/>
                <w:sz w:val="21"/>
                <w:szCs w:val="21"/>
                <w:shd w:fill="auto" w:val="clear"/>
              </w:rPr>
              <w:t xml:space="preserve">R$ </w:t>
            </w:r>
            <w:r>
              <w:rPr>
                <w:rFonts w:eastAsia="Calibri" w:cs="Arial" w:ascii="Arial" w:hAnsi="Arial" w:eastAsiaTheme="minorHAnsi"/>
                <w:color w:val="000000"/>
                <w:kern w:val="0"/>
                <w:sz w:val="21"/>
                <w:szCs w:val="21"/>
                <w:shd w:fill="auto" w:val="clear"/>
                <w:lang w:val="pt-BR" w:eastAsia="en-US" w:bidi="ar-SA"/>
              </w:rPr>
              <w:t>1.112,00</w:t>
            </w:r>
          </w:p>
        </w:tc>
      </w:tr>
      <w:tr>
        <w:trPr>
          <w:trHeight w:val="624" w:hRule="atLeast"/>
        </w:trPr>
        <w:tc>
          <w:tcPr>
            <w:tcW w:w="564"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b w:val="false"/>
                <w:b w:val="false"/>
                <w:bCs w:val="false"/>
                <w:sz w:val="21"/>
                <w:szCs w:val="21"/>
                <w:u w:val="none"/>
                <w:shd w:fill="auto" w:val="clear"/>
              </w:rPr>
            </w:pPr>
            <w:r>
              <w:rPr>
                <w:rFonts w:cs="Arial" w:ascii="Arial" w:hAnsi="Arial"/>
                <w:b w:val="false"/>
                <w:bCs w:val="false"/>
                <w:sz w:val="21"/>
                <w:szCs w:val="21"/>
                <w:u w:val="none"/>
                <w:shd w:fill="auto" w:val="clear"/>
              </w:rPr>
              <w:t>02</w:t>
            </w:r>
          </w:p>
        </w:tc>
        <w:tc>
          <w:tcPr>
            <w:tcW w:w="4305" w:type="dxa"/>
            <w:tcBorders>
              <w:left w:val="single" w:sz="2" w:space="0" w:color="000000"/>
              <w:bottom w:val="single" w:sz="2" w:space="0" w:color="000000"/>
            </w:tcBorders>
            <w:vAlign w:val="center"/>
          </w:tcPr>
          <w:p>
            <w:pPr>
              <w:pStyle w:val="Normal"/>
              <w:widowControl w:val="false"/>
              <w:spacing w:lineRule="auto" w:line="240" w:before="0" w:after="0"/>
              <w:jc w:val="both"/>
              <w:rPr>
                <w:rFonts w:ascii="Arial" w:hAnsi="Arial"/>
                <w:sz w:val="21"/>
                <w:szCs w:val="21"/>
              </w:rPr>
            </w:pPr>
            <w:r>
              <w:rPr>
                <w:rFonts w:cs="Arial" w:ascii="Arial" w:hAnsi="Arial"/>
                <w:color w:val="000000"/>
                <w:sz w:val="21"/>
                <w:szCs w:val="21"/>
                <w:shd w:fill="auto" w:val="clear"/>
              </w:rPr>
              <w:t>Caf</w:t>
            </w:r>
            <w:r>
              <w:rPr>
                <w:rFonts w:cs="Arial" w:ascii="Arial" w:hAnsi="Arial"/>
                <w:sz w:val="21"/>
                <w:szCs w:val="21"/>
              </w:rPr>
              <w:t xml:space="preserve">é torrado e moído, do tipo Superior, de primeira qualidade. </w:t>
            </w:r>
            <w:r>
              <w:rPr>
                <w:rFonts w:ascii="Arial" w:hAnsi="Arial"/>
                <w:sz w:val="21"/>
                <w:szCs w:val="21"/>
              </w:rPr>
              <w:t xml:space="preserve">Espécie: 100% de café </w:t>
            </w:r>
            <w:r>
              <w:rPr>
                <w:rFonts w:ascii="Arial" w:hAnsi="Arial"/>
                <w:sz w:val="21"/>
                <w:szCs w:val="21"/>
                <w:shd w:fill="auto" w:val="clear"/>
              </w:rPr>
              <w:t>arábica. Bebida (sabor): do tipo intenso, bebida dura para melhor;</w:t>
            </w:r>
          </w:p>
          <w:p>
            <w:pPr>
              <w:pStyle w:val="Normal"/>
              <w:widowControl w:val="false"/>
              <w:spacing w:lineRule="auto" w:line="240" w:before="0" w:after="0"/>
              <w:jc w:val="both"/>
              <w:rPr>
                <w:rFonts w:ascii="Arial" w:hAnsi="Arial" w:cs="Arial"/>
                <w:sz w:val="21"/>
                <w:szCs w:val="21"/>
              </w:rPr>
            </w:pPr>
            <w:r>
              <w:rPr>
                <w:rFonts w:cs="Arial" w:ascii="Arial" w:hAnsi="Arial"/>
                <w:b w:val="false"/>
                <w:bCs w:val="false"/>
                <w:color w:val="000000"/>
                <w:sz w:val="21"/>
                <w:szCs w:val="21"/>
                <w:u w:val="none"/>
                <w:shd w:fill="auto" w:val="clear"/>
              </w:rPr>
              <w:t xml:space="preserve">Aspecto: Grãos de café dos tipos 2 a 6, da COB – Classificação; Características físicas: grãos torrados e moídos, com o ponto de torra variando entre 50 e 65 pontos de Disco Agtron, ou equivalente, correspondendo ao intervalo médio moderadamente escuro e médio claro. </w:t>
            </w:r>
            <w:r>
              <w:rPr>
                <w:rFonts w:eastAsia="Calibri" w:cs="Arial" w:ascii="Arial" w:hAnsi="Arial" w:eastAsiaTheme="minorHAnsi"/>
                <w:b w:val="false"/>
                <w:bCs w:val="false"/>
                <w:color w:val="000000"/>
                <w:kern w:val="0"/>
                <w:sz w:val="21"/>
                <w:szCs w:val="21"/>
                <w:u w:val="none"/>
                <w:shd w:fill="auto" w:val="clear"/>
                <w:lang w:val="pt-BR" w:eastAsia="en-US" w:bidi="ar-SA"/>
              </w:rPr>
              <w:t>Moagem média a média fina.</w:t>
            </w:r>
            <w:r>
              <w:rPr>
                <w:rFonts w:cs="Arial" w:ascii="Arial" w:hAnsi="Arial"/>
                <w:b w:val="false"/>
                <w:bCs w:val="false"/>
                <w:color w:val="000000"/>
                <w:sz w:val="21"/>
                <w:szCs w:val="21"/>
                <w:u w:val="none"/>
                <w:shd w:fill="auto" w:val="clear"/>
              </w:rPr>
              <w:t xml:space="preserve"> Características Organolépticas: Aroma característico; acidez baixa a moderada; amargor moderado; sabor característico e equilibrado; livre de sabor fermentado, mofado, terra; baixa adstringência; razoavelmente encorpado; qualidade global maior que 6,00 pontos da escala sensorial, de bom a muito bom. Embalagem: Tipo Alto Vácuo ou Vácuo Puro em pacotes de 500 gramas a 1000 gramas; Com a identificação do produto, a marca do fabricante, a data de fabricação e prazo de validade, que deverá ser de, no mínimo, 12 meses. No ato da entrega do produto, poderão ter transcorrido, no máximo, 90 dias da data de sua fabricação.</w:t>
            </w:r>
          </w:p>
        </w:tc>
        <w:tc>
          <w:tcPr>
            <w:tcW w:w="851"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eastAsia="Calibri" w:cs="Arial" w:ascii="Arial" w:hAnsi="Arial" w:eastAsiaTheme="minorHAnsi"/>
                <w:color w:val="000000"/>
                <w:kern w:val="0"/>
                <w:sz w:val="21"/>
                <w:szCs w:val="21"/>
                <w:shd w:fill="auto" w:val="clear"/>
                <w:lang w:val="pt-BR" w:eastAsia="en-US" w:bidi="ar-SA"/>
              </w:rPr>
              <w:t>16</w:t>
            </w:r>
            <w:r>
              <w:rPr>
                <w:rFonts w:eastAsia="Calibri" w:cs="Arial" w:ascii="Arial" w:hAnsi="Arial"/>
                <w:color w:val="000000"/>
                <w:kern w:val="0"/>
                <w:sz w:val="21"/>
                <w:szCs w:val="21"/>
                <w:shd w:fill="auto" w:val="clear"/>
                <w:lang w:val="pt-BR" w:eastAsia="en-US" w:bidi="ar-SA"/>
              </w:rPr>
              <w:t xml:space="preserve"> kg</w:t>
            </w:r>
          </w:p>
        </w:tc>
        <w:tc>
          <w:tcPr>
            <w:tcW w:w="1311"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cs="Arial" w:ascii="Arial" w:hAnsi="Arial"/>
                <w:sz w:val="21"/>
                <w:szCs w:val="21"/>
                <w:shd w:fill="auto" w:val="clear"/>
              </w:rPr>
              <w:t xml:space="preserve">R$ </w:t>
            </w:r>
            <w:r>
              <w:rPr>
                <w:rFonts w:eastAsia="Calibri" w:cs="Arial" w:ascii="Arial" w:hAnsi="Arial" w:eastAsiaTheme="minorHAnsi"/>
                <w:color w:val="000000"/>
                <w:kern w:val="0"/>
                <w:sz w:val="21"/>
                <w:szCs w:val="21"/>
                <w:shd w:fill="auto" w:val="clear"/>
                <w:lang w:val="pt-BR" w:eastAsia="en-US" w:bidi="ar-SA"/>
              </w:rPr>
              <w:t>69,50</w:t>
            </w:r>
            <w:r>
              <w:rPr>
                <w:rFonts w:eastAsia="Calibri" w:cs="Arial" w:ascii="Arial" w:hAnsi="Arial"/>
                <w:color w:val="000000"/>
                <w:kern w:val="0"/>
                <w:sz w:val="21"/>
                <w:szCs w:val="21"/>
                <w:shd w:fill="auto" w:val="clear"/>
                <w:lang w:val="pt-BR" w:eastAsia="en-US" w:bidi="ar-SA"/>
              </w:rPr>
              <w:t>/kg</w:t>
            </w:r>
          </w:p>
        </w:tc>
        <w:tc>
          <w:tcPr>
            <w:tcW w:w="1477" w:type="dxa"/>
            <w:tcBorders>
              <w:left w:val="single" w:sz="2" w:space="0" w:color="000000"/>
              <w:bottom w:val="single" w:sz="2"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eastAsia="Calibri" w:cs="Arial" w:ascii="Arial" w:hAnsi="Arial"/>
                <w:color w:val="000000"/>
                <w:kern w:val="0"/>
                <w:sz w:val="21"/>
                <w:szCs w:val="21"/>
                <w:shd w:fill="auto" w:val="clear"/>
                <w:lang w:val="pt-BR" w:eastAsia="en-US" w:bidi="ar-SA"/>
              </w:rPr>
              <w:t xml:space="preserve">R$ </w:t>
            </w:r>
            <w:r>
              <w:rPr>
                <w:rFonts w:eastAsia="Calibri" w:cs="Arial" w:ascii="Arial" w:hAnsi="Arial" w:eastAsiaTheme="minorHAnsi"/>
                <w:color w:val="000000"/>
                <w:kern w:val="0"/>
                <w:sz w:val="21"/>
                <w:szCs w:val="21"/>
                <w:shd w:fill="auto" w:val="clear"/>
                <w:lang w:val="pt-BR" w:eastAsia="en-US" w:bidi="ar-SA"/>
              </w:rPr>
              <w:t>1.112,00</w:t>
            </w:r>
          </w:p>
        </w:tc>
      </w:tr>
      <w:tr>
        <w:trPr/>
        <w:tc>
          <w:tcPr>
            <w:tcW w:w="564"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cs="Arial" w:ascii="Arial" w:hAnsi="Arial"/>
                <w:sz w:val="21"/>
                <w:szCs w:val="21"/>
                <w:shd w:fill="auto" w:val="clear"/>
              </w:rPr>
              <w:t>03</w:t>
            </w:r>
          </w:p>
        </w:tc>
        <w:tc>
          <w:tcPr>
            <w:tcW w:w="4305" w:type="dxa"/>
            <w:tcBorders>
              <w:left w:val="single" w:sz="2" w:space="0" w:color="000000"/>
              <w:bottom w:val="single" w:sz="2" w:space="0" w:color="000000"/>
            </w:tcBorders>
            <w:vAlign w:val="center"/>
          </w:tcPr>
          <w:p>
            <w:pPr>
              <w:pStyle w:val="Normal"/>
              <w:widowControl w:val="false"/>
              <w:spacing w:lineRule="auto" w:line="240" w:before="0" w:after="0"/>
              <w:jc w:val="both"/>
              <w:rPr>
                <w:rFonts w:ascii="Arial" w:hAnsi="Arial"/>
                <w:sz w:val="21"/>
                <w:szCs w:val="21"/>
              </w:rPr>
            </w:pPr>
            <w:r>
              <w:rPr>
                <w:rFonts w:eastAsia="Calibri" w:cs="Arial" w:ascii="Arial" w:hAnsi="Arial"/>
                <w:b w:val="false"/>
                <w:i w:val="false"/>
                <w:caps w:val="false"/>
                <w:smallCaps w:val="false"/>
                <w:color w:val="000000"/>
                <w:spacing w:val="0"/>
                <w:kern w:val="0"/>
                <w:sz w:val="21"/>
                <w:szCs w:val="21"/>
                <w:shd w:fill="auto" w:val="clear"/>
                <w:lang w:val="pt-BR" w:eastAsia="en-US" w:bidi="ar-SA"/>
              </w:rPr>
              <w:t>Caf</w:t>
            </w:r>
            <w:r>
              <w:rPr>
                <w:rFonts w:eastAsia="Calibri" w:cs="Arial" w:ascii="Arial" w:hAnsi="Arial"/>
                <w:color w:val="000000"/>
                <w:kern w:val="0"/>
                <w:sz w:val="21"/>
                <w:szCs w:val="21"/>
                <w:shd w:fill="auto" w:val="clear"/>
                <w:lang w:val="pt-BR" w:eastAsia="en-US" w:bidi="ar-SA"/>
              </w:rPr>
              <w:t xml:space="preserve">é solúvel instantâneo granulado, tipo tradicional. </w:t>
            </w:r>
            <w:r>
              <w:rPr>
                <w:rFonts w:ascii="Arial" w:hAnsi="Arial"/>
                <w:sz w:val="21"/>
                <w:szCs w:val="21"/>
              </w:rPr>
              <w:t xml:space="preserve">Características físicas: Café granulado tipo tradicional. Preparado com grãos de café são e limpos, recentemente torrados e moídos, isentos de matéria terrosa, parasitos, detritos vegetais e animais, em perfeito estado de conservação; com água potável; e sem quaisquer adições de conservadores ou outros aditivos. Características Organolépticas: aspecto - granulado, cor castanha escura, aroma e sabor característico; livre de sujidades, parasitas e larvas. Embalagem: Tipo Alto Vácuo ou Vácuo Puro em pacotes de 500 gramas a 1000 gramas. Com a identificação do produto, a marca do fabricante, a data de fabricação e prazo de validade, que deverá ser de, no mínimo, 12 meses. No ato da entrega do produto, poderão ter transcorrido, no máximo, 90 </w:t>
            </w:r>
            <w:r>
              <w:rPr>
                <w:rFonts w:eastAsia="Calibri" w:cs="Arial" w:ascii="Arial" w:hAnsi="Arial"/>
                <w:color w:val="000000"/>
                <w:kern w:val="0"/>
                <w:sz w:val="21"/>
                <w:szCs w:val="21"/>
                <w:shd w:fill="auto" w:val="clear"/>
                <w:lang w:val="pt-BR" w:eastAsia="en-US" w:bidi="ar-SA"/>
              </w:rPr>
              <w:t>dias da data de sua fabricação.</w:t>
            </w:r>
          </w:p>
        </w:tc>
        <w:tc>
          <w:tcPr>
            <w:tcW w:w="851"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eastAsia="Calibri" w:cs="Arial" w:ascii="Arial" w:hAnsi="Arial"/>
                <w:color w:val="000000"/>
                <w:kern w:val="0"/>
                <w:sz w:val="21"/>
                <w:szCs w:val="21"/>
                <w:shd w:fill="auto" w:val="clear"/>
                <w:lang w:val="pt-BR" w:eastAsia="en-US" w:bidi="ar-SA"/>
              </w:rPr>
              <w:t>16 kg</w:t>
            </w:r>
          </w:p>
        </w:tc>
        <w:tc>
          <w:tcPr>
            <w:tcW w:w="1311"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cs="Arial" w:ascii="Arial" w:hAnsi="Arial"/>
                <w:sz w:val="21"/>
                <w:szCs w:val="21"/>
                <w:shd w:fill="auto" w:val="clear"/>
              </w:rPr>
              <w:t xml:space="preserve">R$ </w:t>
            </w:r>
            <w:r>
              <w:rPr>
                <w:rFonts w:eastAsia="Calibri" w:cs="Arial" w:ascii="Arial" w:hAnsi="Arial" w:eastAsiaTheme="minorHAnsi"/>
                <w:color w:val="000000"/>
                <w:kern w:val="0"/>
                <w:sz w:val="21"/>
                <w:szCs w:val="21"/>
                <w:shd w:fill="auto" w:val="clear"/>
                <w:lang w:val="pt-BR" w:eastAsia="en-US" w:bidi="ar-SA"/>
              </w:rPr>
              <w:t>116,00</w:t>
            </w:r>
            <w:r>
              <w:rPr>
                <w:rFonts w:eastAsia="Calibri" w:cs="Arial" w:ascii="Arial" w:hAnsi="Arial"/>
                <w:color w:val="000000"/>
                <w:kern w:val="0"/>
                <w:sz w:val="21"/>
                <w:szCs w:val="21"/>
                <w:shd w:fill="auto" w:val="clear"/>
                <w:lang w:val="pt-BR" w:eastAsia="en-US" w:bidi="ar-SA"/>
              </w:rPr>
              <w:t>/kg</w:t>
            </w:r>
          </w:p>
        </w:tc>
        <w:tc>
          <w:tcPr>
            <w:tcW w:w="1477" w:type="dxa"/>
            <w:tcBorders>
              <w:left w:val="single" w:sz="2" w:space="0" w:color="000000"/>
              <w:bottom w:val="single" w:sz="2"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cs="Arial" w:ascii="Arial" w:hAnsi="Arial"/>
                <w:sz w:val="21"/>
                <w:szCs w:val="21"/>
                <w:shd w:fill="auto" w:val="clear"/>
              </w:rPr>
              <w:t xml:space="preserve">R$ </w:t>
            </w:r>
            <w:r>
              <w:rPr>
                <w:rFonts w:eastAsia="Calibri" w:cs="Arial" w:ascii="Arial" w:hAnsi="Arial" w:eastAsiaTheme="minorHAnsi"/>
                <w:color w:val="000000"/>
                <w:kern w:val="0"/>
                <w:sz w:val="21"/>
                <w:szCs w:val="21"/>
                <w:shd w:fill="auto" w:val="clear"/>
                <w:lang w:val="pt-BR" w:eastAsia="en-US" w:bidi="ar-SA"/>
              </w:rPr>
              <w:t>1.856,00</w:t>
            </w:r>
          </w:p>
        </w:tc>
      </w:tr>
      <w:tr>
        <w:trPr/>
        <w:tc>
          <w:tcPr>
            <w:tcW w:w="564" w:type="dxa"/>
            <w:tcBorders>
              <w:left w:val="single" w:sz="2" w:space="0" w:color="000000"/>
              <w:bottom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cs="Arial" w:ascii="Arial" w:hAnsi="Arial"/>
                <w:sz w:val="21"/>
                <w:szCs w:val="21"/>
                <w:shd w:fill="auto" w:val="clear"/>
              </w:rPr>
              <w:t>04</w:t>
            </w:r>
          </w:p>
        </w:tc>
        <w:tc>
          <w:tcPr>
            <w:tcW w:w="4305" w:type="dxa"/>
            <w:tcBorders>
              <w:left w:val="single" w:sz="2" w:space="0" w:color="000000"/>
              <w:bottom w:val="single" w:sz="4" w:space="0" w:color="000000"/>
            </w:tcBorders>
            <w:vAlign w:val="center"/>
          </w:tcPr>
          <w:p>
            <w:pPr>
              <w:pStyle w:val="Normal"/>
              <w:widowControl w:val="false"/>
              <w:spacing w:lineRule="auto" w:line="240" w:before="0" w:after="0"/>
              <w:jc w:val="both"/>
              <w:rPr>
                <w:rFonts w:ascii="Arial" w:hAnsi="Arial"/>
                <w:sz w:val="21"/>
                <w:szCs w:val="21"/>
              </w:rPr>
            </w:pPr>
            <w:r>
              <w:rPr>
                <w:rFonts w:eastAsia="Times New Roman" w:cs="Calibri" w:ascii="Arial" w:hAnsi="Arial" w:cstheme="minorHAnsi"/>
                <w:color w:val="000000"/>
                <w:kern w:val="0"/>
                <w:sz w:val="21"/>
                <w:szCs w:val="21"/>
                <w:shd w:fill="auto" w:val="clear"/>
                <w:lang w:val="pt-PT" w:eastAsia="pt-BR" w:bidi="ar-SA"/>
              </w:rPr>
              <w:t>Preparo em p</w:t>
            </w:r>
            <w:r>
              <w:rPr>
                <w:rFonts w:ascii="Arial" w:hAnsi="Arial"/>
                <w:sz w:val="21"/>
                <w:szCs w:val="21"/>
              </w:rPr>
              <w:t>ó solúvel para cappuccino Características físicas: Preparo em pó solúvel para cappuccino, sabor tradicional.</w:t>
            </w:r>
          </w:p>
          <w:p>
            <w:pPr>
              <w:pStyle w:val="Normal"/>
              <w:widowControl w:val="false"/>
              <w:spacing w:lineRule="auto" w:line="240" w:before="0" w:after="0"/>
              <w:jc w:val="both"/>
              <w:rPr>
                <w:rFonts w:ascii="Arial" w:hAnsi="Arial"/>
                <w:sz w:val="21"/>
                <w:szCs w:val="21"/>
              </w:rPr>
            </w:pPr>
            <w:r>
              <w:rPr>
                <w:rFonts w:ascii="Arial" w:hAnsi="Arial"/>
                <w:sz w:val="21"/>
                <w:szCs w:val="21"/>
              </w:rPr>
              <w:t>Características Organolépticas: aspecto - pó, cor, aroma e sabor característicos; livre de sujidades, parasitas e larvas. Embalagem: Tipo Alto Vácuo ou Vácuo Puro em pacotes de 400 gramas a 1000 gramas. Com a identificação do produto, a marca do fabricante, a data de fabricação e prazo de validade, que deverá ser de, no mínimo, 6 meses. No ato da entrega do produto, poderão ter transcorrido, no máximo, 60 dias da data de sua fabricação. deverá ser de, no mínimo, 6 meses. No ato da entrega do produto, poderão ter transcorrido, no máximo, 60 dias da data de sua fabricação.</w:t>
            </w:r>
          </w:p>
        </w:tc>
        <w:tc>
          <w:tcPr>
            <w:tcW w:w="851" w:type="dxa"/>
            <w:tcBorders>
              <w:left w:val="single" w:sz="2" w:space="0" w:color="000000"/>
              <w:bottom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eastAsia="Calibri" w:cs="Arial" w:ascii="Arial" w:hAnsi="Arial"/>
                <w:color w:val="000000"/>
                <w:kern w:val="0"/>
                <w:sz w:val="21"/>
                <w:szCs w:val="21"/>
                <w:shd w:fill="auto" w:val="clear"/>
                <w:lang w:val="pt-BR" w:eastAsia="en-US" w:bidi="ar-SA"/>
              </w:rPr>
              <w:t>16 kg</w:t>
            </w:r>
          </w:p>
        </w:tc>
        <w:tc>
          <w:tcPr>
            <w:tcW w:w="1311" w:type="dxa"/>
            <w:tcBorders>
              <w:left w:val="single" w:sz="2" w:space="0" w:color="000000"/>
              <w:bottom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eastAsia="Calibri" w:cs="Arial" w:ascii="Arial" w:hAnsi="Arial" w:eastAsiaTheme="minorHAnsi"/>
                <w:color w:val="000000"/>
                <w:kern w:val="0"/>
                <w:sz w:val="21"/>
                <w:szCs w:val="21"/>
                <w:shd w:fill="auto" w:val="clear"/>
                <w:lang w:val="pt-BR" w:eastAsia="en-US" w:bidi="ar-SA"/>
              </w:rPr>
              <w:t>R$ 47,00/kg</w:t>
            </w:r>
          </w:p>
        </w:tc>
        <w:tc>
          <w:tcPr>
            <w:tcW w:w="1477" w:type="dxa"/>
            <w:tcBorders>
              <w:left w:val="single" w:sz="2" w:space="0" w:color="000000"/>
              <w:bottom w:val="single" w:sz="4"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eastAsia="Calibri" w:cs="Arial" w:ascii="Arial" w:hAnsi="Arial"/>
                <w:color w:val="000000"/>
                <w:kern w:val="0"/>
                <w:sz w:val="21"/>
                <w:szCs w:val="21"/>
                <w:shd w:fill="auto" w:val="clear"/>
                <w:lang w:val="pt-BR" w:eastAsia="en-US" w:bidi="ar-SA"/>
              </w:rPr>
              <w:t>R$ 752,00</w:t>
            </w:r>
          </w:p>
        </w:tc>
      </w:tr>
    </w:tbl>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shd w:fill="auto" w:val="clear"/>
          <w:lang w:eastAsia="pt-BR"/>
        </w:rPr>
      </w:pPr>
      <w:r>
        <w:rPr>
          <w:rFonts w:eastAsia="Times New Roman" w:cs="Arial" w:ascii="Arial" w:hAnsi="Arial"/>
          <w:shd w:fill="auto" w:val="clear"/>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shd w:fill="auto" w:val="clear"/>
          <w:lang w:eastAsia="pt-BR"/>
        </w:rPr>
      </w:pPr>
      <w:r>
        <w:rPr>
          <w:rFonts w:eastAsia="Times New Roman" w:cs="Arial" w:ascii="Arial" w:hAnsi="Arial"/>
          <w:lang w:eastAsia="pt-BR"/>
        </w:rPr>
        <w:t>2.1.2. Os cafés descritos no tópico anterior devem ser compatíveis com as seguintes máquinas: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shd w:fill="auto" w:val="clear"/>
          <w:lang w:eastAsia="pt-BR"/>
        </w:rPr>
      </w:pPr>
      <w:r>
        <w:rPr>
          <w:rFonts w:eastAsia="Times New Roman" w:cs="Arial" w:ascii="Arial" w:hAnsi="Arial"/>
          <w:lang w:eastAsia="pt-BR"/>
        </w:rPr>
        <w:t xml:space="preserve">Para o </w:t>
      </w:r>
      <w:r>
        <w:rPr>
          <w:rFonts w:eastAsia="Times New Roman" w:cs="Arial" w:ascii="Arial" w:hAnsi="Arial"/>
          <w:b/>
          <w:bCs/>
          <w:u w:val="single"/>
          <w:lang w:eastAsia="pt-BR"/>
        </w:rPr>
        <w:t>item 01</w:t>
      </w:r>
      <w:r>
        <w:rPr>
          <w:rFonts w:eastAsia="Times New Roman" w:cs="Arial" w:ascii="Arial" w:hAnsi="Arial"/>
          <w:lang w:eastAsia="pt-BR"/>
        </w:rPr>
        <w:t>: Máquina de café expresso – Saeko Lirika;</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shd w:fill="auto" w:val="clear"/>
          <w:lang w:eastAsia="pt-BR"/>
        </w:rPr>
      </w:pPr>
      <w:r>
        <w:rPr>
          <w:rFonts w:eastAsia="Times New Roman" w:cs="Arial" w:ascii="Arial" w:hAnsi="Arial"/>
          <w:lang w:eastAsia="pt-BR"/>
        </w:rPr>
        <w:t xml:space="preserve">Para os </w:t>
      </w:r>
      <w:r>
        <w:rPr>
          <w:rFonts w:eastAsia="Times New Roman" w:cs="Arial" w:ascii="Arial" w:hAnsi="Arial"/>
          <w:b/>
          <w:bCs/>
          <w:u w:val="single"/>
          <w:lang w:eastAsia="pt-BR"/>
        </w:rPr>
        <w:t>itens 03 e 04</w:t>
      </w:r>
      <w:r>
        <w:rPr>
          <w:rFonts w:eastAsia="Times New Roman" w:cs="Arial" w:ascii="Arial" w:hAnsi="Arial"/>
          <w:lang w:eastAsia="pt-BR"/>
        </w:rPr>
        <w:t xml:space="preserve">: Máquina </w:t>
      </w:r>
      <w:r>
        <w:rPr>
          <w:rFonts w:eastAsia="Times New Roman" w:cs="Arial" w:ascii="Arial" w:hAnsi="Arial"/>
          <w:sz w:val="22"/>
          <w:szCs w:val="22"/>
          <w:lang w:eastAsia="pt-BR"/>
        </w:rPr>
        <w:t>Bianchi Vending – Caldaia Presurizzatta - Lara I2S.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shd w:fill="auto" w:val="clear"/>
          <w:lang w:eastAsia="pt-BR"/>
        </w:rPr>
      </w:pPr>
      <w:r>
        <w:rPr>
          <w:rFonts w:eastAsia="Times New Roman" w:cs="Arial" w:ascii="Arial" w:hAnsi="Arial"/>
          <w:shd w:fill="auto" w:val="clear"/>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i/>
          <w:iCs/>
          <w:lang w:eastAsia="pt-BR"/>
        </w:rPr>
        <w:t>2.2.</w:t>
      </w:r>
      <w:r>
        <w:rPr>
          <w:rFonts w:eastAsia="Times New Roman" w:cs="Arial" w:ascii="Arial" w:hAnsi="Arial"/>
          <w:b/>
          <w:lang w:eastAsia="pt-BR"/>
        </w:rPr>
        <w:t xml:space="preserve"> </w:t>
      </w:r>
      <w:r>
        <w:rPr>
          <w:rFonts w:eastAsia="Times New Roman" w:cs="Arial" w:ascii="Arial" w:hAnsi="Arial"/>
          <w:lang w:eastAsia="pt-BR"/>
        </w:rPr>
        <w:t>O objeto está fundamentado no Estudo Técnico Preliminar – ETP (ANEXO I) e no Termo de Referência</w:t>
      </w:r>
      <w:r>
        <w:rPr>
          <w:rFonts w:eastAsia="Times New Roman" w:cs="Arial" w:ascii="Arial" w:hAnsi="Arial"/>
          <w:color w:val="FF0000"/>
          <w:lang w:eastAsia="pt-BR"/>
        </w:rPr>
        <w:t xml:space="preserve"> </w:t>
      </w:r>
      <w:r>
        <w:rPr>
          <w:rFonts w:eastAsia="Times New Roman" w:cs="Arial" w:ascii="Arial" w:hAnsi="Arial"/>
          <w:lang w:eastAsia="pt-BR"/>
        </w:rPr>
        <w:t>(ANEXO II).</w:t>
      </w:r>
    </w:p>
    <w:p>
      <w:pPr>
        <w:pStyle w:val="Normal"/>
        <w:widowControl w:val="false"/>
        <w:tabs>
          <w:tab w:val="clear" w:pos="708"/>
          <w:tab w:val="left" w:pos="1701" w:leader="none"/>
        </w:tabs>
        <w:spacing w:lineRule="auto" w:line="240" w:before="0" w:after="0"/>
        <w:jc w:val="both"/>
        <w:textAlignment w:val="baseline"/>
        <w:rPr>
          <w:rFonts w:ascii="Arial" w:hAnsi="Arial" w:cs="Arial"/>
          <w:shd w:fill="auto" w:val="clear"/>
        </w:rPr>
      </w:pPr>
      <w:r>
        <w:rPr>
          <w:rFonts w:cs="Arial" w:ascii="Arial" w:hAnsi="Arial"/>
          <w:shd w:fill="auto" w:val="clear"/>
        </w:rPr>
      </w:r>
    </w:p>
    <w:p>
      <w:pPr>
        <w:pStyle w:val="Normal"/>
        <w:widowControl w:val="false"/>
        <w:tabs>
          <w:tab w:val="clear" w:pos="708"/>
          <w:tab w:val="left" w:pos="1701" w:leader="none"/>
        </w:tabs>
        <w:spacing w:lineRule="auto" w:line="240" w:before="0" w:after="0"/>
        <w:jc w:val="both"/>
        <w:textAlignment w:val="baseline"/>
        <w:rPr>
          <w:shd w:fill="auto" w:val="clear"/>
        </w:rPr>
      </w:pPr>
      <w:r>
        <w:rPr>
          <w:rFonts w:eastAsia="Times New Roman" w:cs="Arial" w:ascii="Arial" w:hAnsi="Arial"/>
          <w:bCs/>
          <w:shd w:fill="auto" w:val="clear"/>
          <w:lang w:eastAsia="pt-BR"/>
        </w:rPr>
        <w:t>2.3.</w:t>
      </w:r>
      <w:r>
        <w:rPr>
          <w:rFonts w:eastAsia="Times New Roman" w:cs="Arial" w:ascii="Arial" w:hAnsi="Arial"/>
          <w:shd w:fill="auto" w:val="clear"/>
          <w:lang w:eastAsia="pt-BR"/>
        </w:rPr>
        <w:t xml:space="preserve"> Valor do objeto: </w:t>
      </w:r>
      <w:r>
        <w:rPr>
          <w:rFonts w:eastAsia="Times New Roman" w:cs="Arial" w:ascii="Arial" w:hAnsi="Arial"/>
          <w:color w:val="000000"/>
          <w:shd w:fill="auto" w:val="clear"/>
          <w:lang w:eastAsia="pt-BR"/>
        </w:rPr>
        <w:t xml:space="preserve">R$ </w:t>
      </w:r>
      <w:r>
        <w:rPr>
          <w:rFonts w:eastAsia="Times New Roman" w:cs="Arial" w:ascii="Arial" w:hAnsi="Arial"/>
          <w:color w:val="000000"/>
          <w:kern w:val="0"/>
          <w:sz w:val="22"/>
          <w:szCs w:val="22"/>
          <w:shd w:fill="auto" w:val="clear"/>
          <w:lang w:val="pt-BR" w:eastAsia="pt-BR" w:bidi="ar-SA"/>
        </w:rPr>
        <w:t xml:space="preserve">4.832,00 </w:t>
      </w:r>
      <w:r>
        <w:rPr>
          <w:rFonts w:eastAsia="Times New Roman" w:cs="Arial" w:ascii="Arial" w:hAnsi="Arial"/>
          <w:color w:val="000000"/>
          <w:shd w:fill="auto" w:val="clear"/>
          <w:lang w:eastAsia="pt-BR"/>
        </w:rPr>
        <w:t>(</w:t>
      </w:r>
      <w:r>
        <w:rPr>
          <w:rFonts w:eastAsia="Times New Roman" w:cs="Arial" w:ascii="Arial" w:hAnsi="Arial"/>
          <w:color w:val="000000"/>
          <w:kern w:val="0"/>
          <w:sz w:val="22"/>
          <w:szCs w:val="22"/>
          <w:shd w:fill="auto" w:val="clear"/>
          <w:lang w:val="pt-BR" w:eastAsia="pt-BR" w:bidi="ar-SA"/>
        </w:rPr>
        <w:t>quatro mil oitocentos e trinta e dois reais</w:t>
      </w:r>
      <w:r>
        <w:rPr>
          <w:rFonts w:eastAsia="Times New Roman" w:cs="Arial" w:ascii="Arial" w:hAnsi="Arial"/>
          <w:color w:val="000000"/>
          <w:shd w:fill="auto" w:val="clear"/>
          <w:lang w:eastAsia="pt-BR"/>
        </w:rPr>
        <w:t>).</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cs="Arial"/>
          <w:color w:val="000000"/>
        </w:rPr>
      </w:pPr>
      <w:r>
        <w:rPr>
          <w:rFonts w:eastAsia="Times New Roman" w:cs="Arial" w:ascii="Arial" w:hAnsi="Arial"/>
          <w:bCs/>
          <w:color w:val="000000"/>
          <w:lang w:eastAsia="pt-BR"/>
        </w:rPr>
        <w:t>2.4.</w:t>
      </w:r>
      <w:r>
        <w:rPr>
          <w:rFonts w:eastAsia="Times New Roman" w:cs="Arial" w:ascii="Arial" w:hAnsi="Arial"/>
          <w:color w:val="000000"/>
          <w:lang w:eastAsia="pt-BR"/>
        </w:rPr>
        <w:t xml:space="preserve"> SUBCONTRATAÇÃO: Na execução do contrato É VEDADA ao CONTRATADO a subcontratação do objeto.</w:t>
      </w:r>
    </w:p>
    <w:p>
      <w:pPr>
        <w:pStyle w:val="Normal"/>
        <w:widowControl w:val="false"/>
        <w:tabs>
          <w:tab w:val="clear" w:pos="708"/>
          <w:tab w:val="left" w:pos="1701" w:leader="none"/>
        </w:tabs>
        <w:spacing w:lineRule="auto" w:line="240" w:before="0" w:after="0"/>
        <w:jc w:val="both"/>
        <w:textAlignment w:val="baseline"/>
        <w:rPr>
          <w:rFonts w:ascii="Arial" w:hAnsi="Arial" w:cs="Arial"/>
          <w:color w:val="000000"/>
        </w:rPr>
      </w:pPr>
      <w:r>
        <w:rPr>
          <w:rFonts w:cs="Arial" w:ascii="Arial" w:hAnsi="Arial"/>
          <w:color w:val="000000"/>
        </w:rPr>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eastAsia="Times New Roman" w:cs="Arial" w:ascii="Arial" w:hAnsi="Arial"/>
          <w:color w:val="000000"/>
          <w:lang w:eastAsia="pt-BR"/>
        </w:rPr>
        <w:t xml:space="preserve">2.5. Em caso de discordância existente entre as especificações deste objeto descritas no endereço eletrônico </w:t>
      </w:r>
      <w:r>
        <w:rPr>
          <w:rFonts w:eastAsia="Times New Roman" w:cs="Arial" w:ascii="Arial" w:hAnsi="Arial"/>
          <w:i/>
          <w:iCs/>
          <w:color w:val="000000"/>
          <w:lang w:eastAsia="pt-BR"/>
        </w:rPr>
        <w:t>compras.gov.br</w:t>
      </w:r>
      <w:r>
        <w:rPr>
          <w:rFonts w:eastAsia="Times New Roman" w:cs="Arial" w:ascii="Arial" w:hAnsi="Arial"/>
          <w:color w:val="000000"/>
          <w:lang w:eastAsia="pt-BR"/>
        </w:rPr>
        <w:t xml:space="preserve"> e as especificações técnicas constantes deste edital,</w:t>
      </w:r>
      <w:r>
        <w:rPr>
          <w:rFonts w:eastAsia="Times New Roman" w:cs="Arial" w:ascii="Arial" w:hAnsi="Arial"/>
          <w:b/>
          <w:bCs/>
          <w:color w:val="000000"/>
          <w:lang w:eastAsia="pt-BR"/>
        </w:rPr>
        <w:t xml:space="preserve"> prevalecerão as constantes do Edital.</w:t>
      </w:r>
    </w:p>
    <w:p>
      <w:pPr>
        <w:pStyle w:val="Normal"/>
        <w:widowControl w:val="false"/>
        <w:tabs>
          <w:tab w:val="clear" w:pos="708"/>
          <w:tab w:val="left" w:pos="1418"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hemeFill="background1" w:themeFillShade="bf"/>
        <w:tabs>
          <w:tab w:val="clear" w:pos="708"/>
          <w:tab w:val="left" w:pos="1701" w:leader="none"/>
        </w:tabs>
        <w:spacing w:lineRule="auto" w:line="240" w:before="0" w:after="0"/>
        <w:jc w:val="both"/>
        <w:textAlignment w:val="baseline"/>
        <w:rPr>
          <w:shd w:fill="auto" w:val="clear"/>
        </w:rPr>
      </w:pPr>
      <w:r>
        <w:rPr>
          <w:rFonts w:eastAsia="Times New Roman" w:cs="Arial" w:ascii="Arial" w:hAnsi="Arial"/>
          <w:b/>
          <w:shd w:fill="auto" w:val="clear"/>
          <w:lang w:eastAsia="pt-BR"/>
        </w:rPr>
        <w:t>3. PREVISÃO DE RECURSOS ORÇAMENTÁRIOS</w:t>
      </w:r>
    </w:p>
    <w:p>
      <w:pPr>
        <w:pStyle w:val="Normal"/>
        <w:widowControl w:val="false"/>
        <w:tabs>
          <w:tab w:val="clear" w:pos="708"/>
          <w:tab w:val="left" w:pos="1701" w:leader="none"/>
        </w:tabs>
        <w:spacing w:lineRule="auto" w:line="240" w:before="0" w:after="0"/>
        <w:jc w:val="both"/>
        <w:textAlignment w:val="baseline"/>
        <w:rPr>
          <w:rFonts w:ascii="Arial" w:hAnsi="Arial" w:cs="Arial"/>
          <w:shd w:fill="auto" w:val="clear"/>
        </w:rPr>
      </w:pPr>
      <w:r>
        <w:rPr>
          <w:rFonts w:cs="Arial" w:ascii="Arial" w:hAnsi="Arial"/>
          <w:shd w:fill="auto" w:val="clear"/>
        </w:rPr>
      </w:r>
    </w:p>
    <w:p>
      <w:pPr>
        <w:pStyle w:val="Normal"/>
        <w:widowControl w:val="false"/>
        <w:tabs>
          <w:tab w:val="clear" w:pos="708"/>
          <w:tab w:val="left" w:pos="1701" w:leader="none"/>
        </w:tabs>
        <w:spacing w:lineRule="auto" w:line="240" w:before="0" w:after="0"/>
        <w:jc w:val="both"/>
        <w:textAlignment w:val="baseline"/>
        <w:rPr>
          <w:shd w:fill="auto" w:val="clear"/>
        </w:rPr>
      </w:pPr>
      <w:r>
        <w:rPr>
          <w:rFonts w:eastAsia="Times New Roman" w:cs="Arial" w:ascii="Arial" w:hAnsi="Arial"/>
          <w:bCs/>
          <w:shd w:fill="auto" w:val="clear"/>
          <w:lang w:eastAsia="pt-BR"/>
        </w:rPr>
        <w:t>3.1.</w:t>
      </w:r>
      <w:r>
        <w:rPr>
          <w:rFonts w:eastAsia="Times New Roman" w:cs="Arial" w:ascii="Arial" w:hAnsi="Arial"/>
          <w:b/>
          <w:shd w:fill="auto" w:val="clear"/>
          <w:lang w:eastAsia="pt-BR"/>
        </w:rPr>
        <w:t xml:space="preserve"> </w:t>
      </w:r>
      <w:r>
        <w:rPr>
          <w:rFonts w:eastAsia="Times New Roman" w:cs="Arial" w:ascii="Arial" w:hAnsi="Arial"/>
          <w:shd w:fill="auto" w:val="clear"/>
          <w:lang w:eastAsia="pt-BR"/>
        </w:rPr>
        <w:t xml:space="preserve">As despesas decorrentes deste processo licitatório correrão por conta das </w:t>
      </w:r>
      <w:r>
        <w:rPr>
          <w:rFonts w:eastAsia="Times New Roman" w:cs="Arial" w:ascii="Arial" w:hAnsi="Arial"/>
          <w:color w:val="000000"/>
          <w:shd w:fill="auto" w:val="clear"/>
          <w:lang w:eastAsia="pt-BR"/>
        </w:rPr>
        <w:t>dotações previstas na Lei Orçamentária do Exercício vigente (2023);</w:t>
      </w:r>
    </w:p>
    <w:p>
      <w:pPr>
        <w:pStyle w:val="Normal"/>
        <w:widowControl w:val="false"/>
        <w:tabs>
          <w:tab w:val="clear" w:pos="708"/>
          <w:tab w:val="left" w:pos="1701" w:leader="none"/>
        </w:tabs>
        <w:spacing w:lineRule="auto" w:line="240" w:before="0" w:after="0"/>
        <w:jc w:val="both"/>
        <w:textAlignment w:val="baseline"/>
        <w:rPr>
          <w:rFonts w:ascii="Arial" w:hAnsi="Arial" w:cs="Arial"/>
          <w:shd w:fill="auto" w:val="clear"/>
        </w:rPr>
      </w:pPr>
      <w:r>
        <w:rPr>
          <w:rFonts w:cs="Arial" w:ascii="Arial" w:hAnsi="Arial"/>
          <w:shd w:fill="auto" w:val="clear"/>
        </w:rPr>
      </w:r>
    </w:p>
    <w:p>
      <w:pPr>
        <w:pStyle w:val="Normal"/>
        <w:widowControl w:val="false"/>
        <w:spacing w:lineRule="auto" w:line="240" w:before="0" w:after="0"/>
        <w:ind w:left="709" w:hanging="0"/>
        <w:jc w:val="both"/>
        <w:rPr>
          <w:shd w:fill="auto" w:val="clear"/>
        </w:rPr>
      </w:pPr>
      <w:r>
        <w:rPr>
          <w:rFonts w:eastAsia="Times New Roman" w:cs="Arial" w:ascii="Arial" w:hAnsi="Arial"/>
          <w:color w:val="000000"/>
          <w:kern w:val="0"/>
          <w:sz w:val="22"/>
          <w:szCs w:val="22"/>
          <w:shd w:fill="auto" w:val="clear"/>
          <w:lang w:val="pt-BR" w:eastAsia="pt-BR" w:bidi="ar-SA"/>
        </w:rPr>
        <w:t>03</w:t>
      </w:r>
      <w:r>
        <w:rPr>
          <w:rFonts w:cs="Arial" w:ascii="Arial" w:hAnsi="Arial"/>
          <w:color w:val="000000"/>
          <w:shd w:fill="auto" w:val="clear"/>
        </w:rPr>
        <w:t xml:space="preserve">.00 </w:t>
      </w:r>
      <w:r>
        <w:rPr>
          <w:rFonts w:eastAsia="Times New Roman" w:cs="Arial" w:ascii="Arial" w:hAnsi="Arial"/>
          <w:color w:val="000000"/>
          <w:shd w:fill="auto" w:val="clear"/>
          <w:lang w:eastAsia="pt-BR"/>
        </w:rPr>
        <w:t xml:space="preserve">SECRETARIA </w:t>
      </w:r>
      <w:r>
        <w:rPr>
          <w:rFonts w:eastAsia="Times New Roman" w:cs="Arial" w:ascii="Arial" w:hAnsi="Arial"/>
          <w:color w:val="000000"/>
          <w:kern w:val="0"/>
          <w:sz w:val="22"/>
          <w:szCs w:val="22"/>
          <w:shd w:fill="auto" w:val="clear"/>
          <w:lang w:val="pt-BR" w:eastAsia="pt-BR" w:bidi="ar-SA"/>
        </w:rPr>
        <w:t>MUNICIPAL DE ADMINISTRAÇÃO E FAZENDA</w:t>
      </w:r>
    </w:p>
    <w:p>
      <w:pPr>
        <w:pStyle w:val="Normal"/>
        <w:widowControl w:val="false"/>
        <w:spacing w:lineRule="auto" w:line="240" w:before="0" w:after="0"/>
        <w:ind w:left="709" w:hanging="0"/>
        <w:jc w:val="both"/>
        <w:rPr>
          <w:shd w:fill="auto" w:val="clear"/>
        </w:rPr>
      </w:pPr>
      <w:r>
        <w:rPr>
          <w:rFonts w:eastAsia="Calibri" w:cs="Arial" w:ascii="Arial" w:hAnsi="Arial"/>
          <w:color w:val="000000"/>
          <w:kern w:val="0"/>
          <w:sz w:val="22"/>
          <w:szCs w:val="22"/>
          <w:shd w:fill="auto" w:val="clear"/>
          <w:lang w:val="pt-BR" w:eastAsia="en-US" w:bidi="ar-SA"/>
        </w:rPr>
        <w:t>03</w:t>
      </w:r>
      <w:r>
        <w:rPr>
          <w:rFonts w:cs="Arial" w:ascii="Arial" w:hAnsi="Arial"/>
          <w:color w:val="000000"/>
          <w:shd w:fill="auto" w:val="clear"/>
        </w:rPr>
        <w:t>.</w:t>
      </w:r>
      <w:r>
        <w:rPr>
          <w:rFonts w:eastAsia="Calibri" w:cs="Arial" w:ascii="Arial" w:hAnsi="Arial"/>
          <w:color w:val="000000"/>
          <w:kern w:val="0"/>
          <w:sz w:val="22"/>
          <w:szCs w:val="22"/>
          <w:shd w:fill="auto" w:val="clear"/>
          <w:lang w:val="pt-BR" w:eastAsia="en-US" w:bidi="ar-SA"/>
        </w:rPr>
        <w:t>01</w:t>
      </w:r>
      <w:r>
        <w:rPr>
          <w:rFonts w:cs="Arial" w:ascii="Arial" w:hAnsi="Arial"/>
          <w:color w:val="000000"/>
          <w:shd w:fill="auto" w:val="clear"/>
        </w:rPr>
        <w:t xml:space="preserve"> </w:t>
      </w:r>
      <w:r>
        <w:rPr>
          <w:rFonts w:eastAsia="Times New Roman" w:cs="Arial" w:ascii="Arial" w:hAnsi="Arial"/>
          <w:color w:val="000000"/>
          <w:kern w:val="0"/>
          <w:sz w:val="22"/>
          <w:szCs w:val="22"/>
          <w:shd w:fill="auto" w:val="clear"/>
          <w:lang w:val="pt-BR" w:eastAsia="pt-BR" w:bidi="ar-SA"/>
        </w:rPr>
        <w:t>Secretaria Municipal de Administração e Fazenda</w:t>
      </w:r>
    </w:p>
    <w:p>
      <w:pPr>
        <w:pStyle w:val="Normal"/>
        <w:spacing w:lineRule="auto" w:line="240" w:before="0" w:after="0"/>
        <w:ind w:left="709" w:hanging="0"/>
        <w:jc w:val="both"/>
        <w:rPr>
          <w:shd w:fill="auto" w:val="clear"/>
        </w:rPr>
      </w:pPr>
      <w:r>
        <w:rPr>
          <w:rFonts w:eastAsia="Times New Roman" w:cs="Arial" w:ascii="Arial" w:hAnsi="Arial"/>
          <w:color w:val="000000"/>
          <w:kern w:val="0"/>
          <w:sz w:val="22"/>
          <w:szCs w:val="22"/>
          <w:shd w:fill="auto" w:val="clear"/>
          <w:lang w:val="pt-BR" w:eastAsia="pt-BR" w:bidi="ar-SA"/>
        </w:rPr>
        <w:t>2.006</w:t>
      </w:r>
      <w:r>
        <w:rPr>
          <w:rFonts w:cs="Arial" w:ascii="Arial" w:hAnsi="Arial"/>
          <w:shd w:fill="auto" w:val="clear"/>
        </w:rPr>
        <w:t xml:space="preserve"> – </w:t>
      </w:r>
      <w:r>
        <w:rPr>
          <w:rFonts w:eastAsia="Times New Roman" w:cs="Arial" w:ascii="Arial" w:hAnsi="Arial"/>
          <w:color w:val="000000"/>
          <w:kern w:val="0"/>
          <w:sz w:val="22"/>
          <w:szCs w:val="22"/>
          <w:shd w:fill="auto" w:val="clear"/>
          <w:lang w:val="pt-BR" w:eastAsia="pt-BR" w:bidi="ar-SA"/>
        </w:rPr>
        <w:t>Manutenção Atividades Segurança Pública</w:t>
      </w:r>
    </w:p>
    <w:p>
      <w:pPr>
        <w:pStyle w:val="Normal"/>
        <w:spacing w:lineRule="auto" w:line="240" w:before="0" w:after="0"/>
        <w:ind w:left="709" w:hanging="0"/>
        <w:jc w:val="both"/>
        <w:rPr>
          <w:shd w:fill="auto" w:val="clear"/>
        </w:rPr>
      </w:pPr>
      <w:r>
        <w:rPr>
          <w:rFonts w:eastAsia="Times New Roman" w:cs="Arial" w:ascii="Arial" w:hAnsi="Arial"/>
          <w:shd w:fill="auto" w:val="clear"/>
          <w:lang w:eastAsia="pt-BR"/>
        </w:rPr>
        <w:t>3.3</w:t>
      </w:r>
      <w:r>
        <w:rPr>
          <w:rFonts w:cs="Arial" w:ascii="Arial" w:hAnsi="Arial"/>
          <w:shd w:fill="auto" w:val="clear"/>
        </w:rPr>
        <w:t>.90 – Aplicações Diretas</w:t>
      </w:r>
    </w:p>
    <w:p>
      <w:pPr>
        <w:pStyle w:val="Normal"/>
        <w:spacing w:lineRule="auto" w:line="240" w:before="0" w:after="0"/>
        <w:ind w:left="709" w:hanging="0"/>
        <w:jc w:val="both"/>
        <w:rPr>
          <w:rFonts w:ascii="Arial" w:hAnsi="Arial" w:cs="Arial"/>
          <w:shd w:fill="auto" w:val="clear"/>
        </w:rPr>
      </w:pPr>
      <w:r>
        <w:rPr>
          <w:rFonts w:cs="Arial" w:ascii="Arial" w:hAnsi="Arial"/>
          <w:shd w:fill="auto" w:val="clear"/>
        </w:rPr>
      </w:r>
    </w:p>
    <w:p>
      <w:pPr>
        <w:pStyle w:val="Normal"/>
        <w:spacing w:lineRule="auto" w:line="240" w:before="0" w:after="0"/>
        <w:jc w:val="both"/>
        <w:rPr>
          <w:rFonts w:ascii="Arial" w:hAnsi="Arial" w:eastAsia="Times New Roman" w:cs="Arial"/>
          <w:lang w:eastAsia="pt-BR"/>
        </w:rPr>
      </w:pPr>
      <w:r>
        <w:rPr>
          <w:rFonts w:eastAsia="Times New Roman" w:cs="Arial" w:ascii="Arial" w:hAnsi="Arial"/>
          <w:color w:val="000000"/>
          <w:lang w:eastAsia="pt-BR"/>
        </w:rPr>
        <w:t xml:space="preserve">3.2. </w:t>
      </w:r>
      <w:r>
        <w:rPr>
          <w:rFonts w:eastAsia="Times New Roman" w:cs="Arial" w:ascii="Arial" w:hAnsi="Arial"/>
          <w:lang w:eastAsia="pt-BR"/>
        </w:rPr>
        <w:t>As quantidades a serem contratadas estão fundamentadas de acordo com o estudo técnico preliminar (ANEXO I).</w:t>
      </w:r>
    </w:p>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hemeFill="background1" w:themeFillShade="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4. ESCLARECIMENTOS E IMPUGNAÇÃO AO EDITAL</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lang w:eastAsia="pt-BR"/>
        </w:rPr>
        <w:t>4.1.</w:t>
      </w:r>
      <w:r>
        <w:rPr>
          <w:rFonts w:eastAsia="Times New Roman" w:cs="Arial" w:ascii="Arial" w:hAnsi="Arial"/>
          <w:lang w:eastAsia="pt-BR"/>
        </w:rPr>
        <w:t xml:space="preserve"> </w:t>
      </w:r>
      <w:r>
        <w:rPr>
          <w:rFonts w:eastAsia="Times New Roman" w:cs="Arial" w:ascii="Arial" w:hAnsi="Arial"/>
          <w:b/>
          <w:lang w:eastAsia="pt-BR"/>
        </w:rPr>
        <w:t>Qualquer pessoa</w:t>
      </w:r>
      <w:r>
        <w:rPr>
          <w:rFonts w:eastAsia="Times New Roman" w:cs="Arial" w:ascii="Arial" w:hAnsi="Arial"/>
          <w:lang w:eastAsia="pt-BR"/>
        </w:rPr>
        <w:t xml:space="preserve"> é parte legítima para </w:t>
      </w:r>
      <w:r>
        <w:rPr>
          <w:rFonts w:eastAsia="Times New Roman" w:cs="Arial" w:ascii="Arial" w:hAnsi="Arial"/>
          <w:b/>
          <w:lang w:eastAsia="pt-BR"/>
        </w:rPr>
        <w:t>impugnar</w:t>
      </w:r>
      <w:r>
        <w:rPr>
          <w:rFonts w:eastAsia="Times New Roman" w:cs="Arial" w:ascii="Arial" w:hAnsi="Arial"/>
          <w:lang w:eastAsia="pt-BR"/>
        </w:rPr>
        <w:t xml:space="preserve"> edital de licitação por irregularidade na aplicação da legislação vigente </w:t>
      </w:r>
      <w:r>
        <w:rPr>
          <w:rFonts w:eastAsia="Times New Roman" w:cs="Arial" w:ascii="Arial" w:hAnsi="Arial"/>
          <w:b/>
          <w:lang w:eastAsia="pt-BR"/>
        </w:rPr>
        <w:t>ou para solicitar esclarecimento</w:t>
      </w:r>
      <w:r>
        <w:rPr>
          <w:rFonts w:eastAsia="Times New Roman" w:cs="Arial" w:ascii="Arial" w:hAnsi="Arial"/>
          <w:lang w:eastAsia="pt-BR"/>
        </w:rPr>
        <w:t xml:space="preserve"> sobre os seus termos, devendo protocolar o pedido até 03 (três) dias úteis antes da data de abertura do certame.</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lang w:eastAsia="pt-BR"/>
        </w:rPr>
        <w:t>4.2.</w:t>
      </w:r>
      <w:r>
        <w:rPr>
          <w:rFonts w:eastAsia="Times New Roman" w:cs="Arial" w:ascii="Arial" w:hAnsi="Arial"/>
          <w:lang w:eastAsia="pt-BR"/>
        </w:rPr>
        <w:t xml:space="preserve"> A resposta à impugnação ou ao pedido de esclarecimento será divulgada em sítio eletrônico oficial no prazo de até 03 (três) dias úteis, limitado ao último dia útil anterior à data da abertura do certame.</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lang w:eastAsia="pt-BR"/>
        </w:rPr>
        <w:t>4.3.</w:t>
      </w:r>
      <w:r>
        <w:rPr>
          <w:rFonts w:eastAsia="Times New Roman" w:cs="Arial" w:ascii="Arial" w:hAnsi="Arial"/>
          <w:lang w:eastAsia="pt-BR"/>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hemeFill="background1" w:themeFillShade="bf"/>
        <w:tabs>
          <w:tab w:val="clear" w:pos="708"/>
          <w:tab w:val="left" w:pos="1701" w:leader="none"/>
        </w:tabs>
        <w:spacing w:lineRule="auto" w:line="240" w:before="0" w:after="0"/>
        <w:jc w:val="both"/>
        <w:textAlignment w:val="baseline"/>
        <w:rPr>
          <w:rFonts w:ascii="Arial" w:hAnsi="Arial" w:eastAsia="Times New Roman" w:cs="Arial"/>
          <w:b/>
          <w:b/>
          <w:bCs/>
          <w:lang w:eastAsia="pt-BR"/>
        </w:rPr>
      </w:pPr>
      <w:r>
        <w:rPr>
          <w:rFonts w:eastAsia="Times New Roman" w:cs="Arial" w:ascii="Arial" w:hAnsi="Arial"/>
          <w:b/>
          <w:bCs/>
          <w:lang w:eastAsia="pt-BR"/>
        </w:rPr>
        <w:t>4.4. DO CREDENCIAMENTO PARA PARTICIPAR DO CERTAME</w:t>
      </w:r>
    </w:p>
    <w:p>
      <w:pPr>
        <w:pStyle w:val="Normal"/>
        <w:widowControl w:val="false"/>
        <w:tabs>
          <w:tab w:val="clear" w:pos="708"/>
          <w:tab w:val="left" w:pos="1701" w:leader="none"/>
        </w:tabs>
        <w:spacing w:lineRule="auto" w:line="240" w:before="0" w:after="0"/>
        <w:jc w:val="both"/>
        <w:textAlignment w:val="baseline"/>
        <w:rPr>
          <w:rFonts w:ascii="Arial" w:hAnsi="Arial" w:cs="Arial"/>
          <w:b/>
          <w:b/>
          <w:bCs/>
        </w:rPr>
      </w:pPr>
      <w:r>
        <w:rPr>
          <w:rFonts w:cs="Arial" w:ascii="Arial" w:hAnsi="Arial"/>
          <w:b/>
          <w:bCs/>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4.4.1.</w:t>
      </w:r>
      <w:r>
        <w:rPr>
          <w:rFonts w:eastAsia="Times New Roman" w:cs="Arial" w:ascii="Arial" w:hAnsi="Arial"/>
          <w:b/>
          <w:bCs/>
          <w:lang w:eastAsia="pt-BR"/>
        </w:rPr>
        <w:t xml:space="preserve"> </w:t>
      </w:r>
      <w:r>
        <w:rPr>
          <w:rFonts w:eastAsia="Times New Roman" w:cs="Arial" w:ascii="Arial" w:hAnsi="Arial"/>
          <w:lang w:eastAsia="pt-BR"/>
        </w:rPr>
        <w:t xml:space="preserve">O credenciamento é o nível básico do registro cadastral no SICAF, que permite a participação dos interessados na modalidade licitatória Pregão, em sua forma eletrônica. </w:t>
      </w:r>
    </w:p>
    <w:p>
      <w:pPr>
        <w:pStyle w:val="Normal"/>
        <w:widowControl w:val="false"/>
        <w:tabs>
          <w:tab w:val="clear" w:pos="708"/>
          <w:tab w:val="left" w:pos="1701" w:leader="none"/>
        </w:tabs>
        <w:spacing w:lineRule="auto" w:line="240" w:before="0" w:after="0"/>
        <w:jc w:val="both"/>
        <w:textAlignment w:val="baseline"/>
        <w:rPr>
          <w:rFonts w:ascii="Arial" w:hAnsi="Arial" w:cs="Arial"/>
          <w:b/>
          <w:b/>
          <w:bCs/>
        </w:rPr>
      </w:pPr>
      <w:r>
        <w:rPr>
          <w:rFonts w:cs="Arial" w:ascii="Arial" w:hAnsi="Arial"/>
          <w:b/>
          <w:bCs/>
        </w:rPr>
      </w:r>
    </w:p>
    <w:p>
      <w:pPr>
        <w:pStyle w:val="Normal"/>
        <w:spacing w:lineRule="auto" w:line="240" w:before="0" w:after="0"/>
        <w:jc w:val="both"/>
        <w:rPr>
          <w:rFonts w:ascii="Arial" w:hAnsi="Arial" w:cs="Arial"/>
        </w:rPr>
      </w:pPr>
      <w:r>
        <w:rPr>
          <w:rFonts w:cs="Arial" w:ascii="Arial" w:hAnsi="Arial"/>
        </w:rPr>
        <w:t xml:space="preserve">4.4.2. O cadastro no SICAF deverá ser feito no Portal de Compras do Governo Federal, no sítio </w:t>
      </w:r>
      <w:r>
        <w:rPr>
          <w:rFonts w:cs="Arial" w:ascii="Arial" w:hAnsi="Arial"/>
          <w:b/>
          <w:bCs/>
        </w:rPr>
        <w:t>compras.gov.br</w:t>
      </w:r>
      <w:r>
        <w:rPr>
          <w:rFonts w:cs="Arial" w:ascii="Arial" w:hAnsi="Arial"/>
        </w:rPr>
        <w:t xml:space="preserve">, por meio de certificado digital conferido pela Infraestrutura de Chaves Públicas Brasileira – ICP – Brasil.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4.4.3. O credenciamento junto ao provedor do sistema implica a responsabilidade do proponente ou de seu representante legal e a presunção de sua capacidade técnica para realização das transações inerentes a este Pregão.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4.4.4. 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4.4.5. É de responsabilidade do cadastrador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4.4.6. A não observância do disposto no subitem anterior poderá ensejar na inabilitação no momento do julgamento.</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
          <w:bCs/>
        </w:rPr>
        <w:t>4.4.7.</w:t>
      </w:r>
      <w:r>
        <w:rPr>
          <w:rFonts w:cs="Arial" w:ascii="Arial" w:hAnsi="Arial"/>
        </w:rPr>
        <w:t xml:space="preserve"> </w:t>
      </w:r>
      <w:r>
        <w:rPr>
          <w:rFonts w:cs="Arial" w:ascii="Arial" w:hAnsi="Arial"/>
          <w:b/>
        </w:rPr>
        <w:t>Para participação no Pregão, o proponente deverá assinalar em campo próprio do sistema eletrônico, relativo às seguintes declarações, sob pena de inabilitação/desclassificação</w:t>
      </w:r>
      <w:r>
        <w:rPr>
          <w:rFonts w:cs="Arial" w:ascii="Arial" w:hAnsi="Arial"/>
        </w:rPr>
        <w:t xml:space="preserve">: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4.4.7.1.</w:t>
      </w:r>
      <w:r>
        <w:rPr>
          <w:rFonts w:cs="Arial" w:ascii="Arial" w:hAnsi="Arial"/>
          <w:b/>
          <w:bCs/>
        </w:rPr>
        <w:t xml:space="preserve"> </w:t>
      </w:r>
      <w:r>
        <w:rPr>
          <w:rFonts w:cs="Arial" w:ascii="Arial" w:hAnsi="Arial"/>
        </w:rPr>
        <w:t xml:space="preserve">Que cumpre os requisitos estabelecidos no artigo 3° da Lei Complementar nº 123, de 2006, estando apto a usufruir do tratamento favorecido estabelecido em seus arts. 42 a 49, se for o caso;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4.4.7.2. Que está ciente e concorda com as condições contidas no Edital e seus anexos;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4.4.7.3. Que cumpre os requisitos para a habilitação definidos no Edital e que a proposta apresentada está em conformidade com as exigências editalícias;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4.</w:t>
      </w:r>
      <w:r>
        <w:rPr>
          <w:rFonts w:eastAsia="Calibri" w:cs="Arial" w:ascii="Arial" w:hAnsi="Arial"/>
        </w:rPr>
        <w:t xml:space="preserve">4.7.4. </w:t>
      </w:r>
      <w:r>
        <w:rPr>
          <w:rFonts w:cs="Arial" w:ascii="Arial" w:hAnsi="Arial"/>
        </w:rPr>
        <w:t xml:space="preserve">Que inexistem fatos impeditivos para sua habilitação no certame, ciente da obrigatoriedade de declarar ocorrências posteriores;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4.</w:t>
      </w:r>
      <w:r>
        <w:rPr>
          <w:rFonts w:eastAsia="Calibri" w:cs="Arial" w:ascii="Arial" w:hAnsi="Arial"/>
        </w:rPr>
        <w:t xml:space="preserve">4.7.5. </w:t>
      </w:r>
      <w:r>
        <w:rPr>
          <w:rFonts w:cs="Arial" w:ascii="Arial" w:hAnsi="Arial"/>
        </w:rPr>
        <w:t xml:space="preserve">Que não emprega menor de 18 anos em trabalho noturno, perigoso ou insalubre e não emprega menor de 16 anos, salvo menor, a partir de 14 anos, na condição de aprendiz, nos termos do artigo 7°, XXXIII, da Constituição;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4.</w:t>
      </w:r>
      <w:r>
        <w:rPr>
          <w:rFonts w:eastAsia="Calibri" w:cs="Arial" w:ascii="Arial" w:hAnsi="Arial"/>
        </w:rPr>
        <w:t xml:space="preserve">4.8. </w:t>
      </w:r>
      <w:r>
        <w:rPr>
          <w:rFonts w:cs="Arial" w:ascii="Arial" w:hAnsi="Arial"/>
        </w:rPr>
        <w:t xml:space="preserve">A declaração falsa relativa ao cumprimento de qualquer condição sujeitará o proponente às sanções previstas em lei e neste Edital.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eastAsia="Times New Roman" w:cs="Arial" w:ascii="Arial" w:hAnsi="Arial"/>
          <w:lang w:eastAsia="pt-BR"/>
        </w:rPr>
        <w:t xml:space="preserve">4.4.9. Nenhuma pessoa, ainda que munida de procuração, poderá representar mais de uma empresa no(s) mesmo(s) item(ns)/lote(s) deste processo, sob pena de exclusão sumária de ambos os proponentes representados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BFBFBF" w:themeFill="background1" w:themeFillShade="bf"/>
        <w:tabs>
          <w:tab w:val="clear" w:pos="708"/>
          <w:tab w:val="left" w:pos="1701" w:leader="none"/>
        </w:tabs>
        <w:spacing w:lineRule="auto" w:line="240" w:before="0" w:after="0"/>
        <w:jc w:val="both"/>
        <w:rPr>
          <w:rFonts w:ascii="Arial" w:hAnsi="Arial" w:cs="Arial"/>
          <w:b/>
          <w:b/>
        </w:rPr>
      </w:pPr>
      <w:r>
        <w:rPr>
          <w:rFonts w:cs="Arial" w:ascii="Arial" w:hAnsi="Arial"/>
          <w:b/>
        </w:rPr>
        <w:t>5. VEDAÇÕES PARA DISPUTAR O CERTAME E PARTICIPAR DA EXECUÇÃO DO CONTRATO</w:t>
      </w:r>
    </w:p>
    <w:p>
      <w:pPr>
        <w:pStyle w:val="Normal"/>
        <w:tabs>
          <w:tab w:val="clear" w:pos="708"/>
          <w:tab w:val="left" w:pos="1701"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701" w:leader="none"/>
        </w:tabs>
        <w:spacing w:lineRule="auto" w:line="240" w:before="0" w:after="0"/>
        <w:jc w:val="both"/>
        <w:rPr>
          <w:rFonts w:ascii="Arial" w:hAnsi="Arial" w:cs="Arial"/>
        </w:rPr>
      </w:pPr>
      <w:r>
        <w:rPr>
          <w:rFonts w:cs="Arial" w:ascii="Arial" w:hAnsi="Arial"/>
          <w:bCs/>
        </w:rPr>
        <w:t>5.1.</w:t>
      </w:r>
      <w:r>
        <w:rPr>
          <w:rFonts w:cs="Arial" w:ascii="Arial" w:hAnsi="Arial"/>
        </w:rPr>
        <w:t xml:space="preserve"> São vedações para disputar o certame e participar da execução do contrato, direta ou indiretamente:</w:t>
      </w:r>
    </w:p>
    <w:p>
      <w:pPr>
        <w:pStyle w:val="ListParagraph"/>
        <w:widowControl w:val="false"/>
        <w:numPr>
          <w:ilvl w:val="0"/>
          <w:numId w:val="2"/>
        </w:numPr>
        <w:tabs>
          <w:tab w:val="clear" w:pos="708"/>
          <w:tab w:val="left" w:pos="1134" w:leader="none"/>
          <w:tab w:val="left" w:pos="1701" w:leader="none"/>
        </w:tabs>
        <w:spacing w:lineRule="auto" w:line="240" w:before="0" w:after="0"/>
        <w:ind w:left="567" w:hanging="0"/>
        <w:contextualSpacing/>
        <w:jc w:val="both"/>
        <w:textAlignment w:val="baseline"/>
        <w:rPr>
          <w:rFonts w:ascii="Arial" w:hAnsi="Arial" w:cs="Arial"/>
        </w:rPr>
      </w:pPr>
      <w:r>
        <w:rPr>
          <w:rFonts w:cs="Arial" w:ascii="Arial" w:hAnsi="Arial"/>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tabs>
          <w:tab w:val="clear" w:pos="708"/>
          <w:tab w:val="left" w:pos="1701" w:leader="none"/>
        </w:tabs>
        <w:spacing w:lineRule="auto" w:line="240" w:before="0" w:after="0"/>
        <w:ind w:left="851" w:hanging="0"/>
        <w:contextualSpacing/>
        <w:jc w:val="both"/>
        <w:rPr>
          <w:rFonts w:ascii="Arial" w:hAnsi="Arial" w:cs="Arial"/>
        </w:rPr>
      </w:pPr>
      <w:r>
        <w:rPr>
          <w:rFonts w:cs="Arial" w:ascii="Arial" w:hAnsi="Arial"/>
          <w:b/>
        </w:rPr>
        <w:t>Obs. 1:</w:t>
      </w:r>
      <w:r>
        <w:rPr>
          <w:rFonts w:cs="Arial" w:ascii="Arial" w:hAnsi="Arial"/>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Equiparam-se aos autores do projeto as empresas integrantes do mesmo grupo econômico;</w:t>
      </w:r>
    </w:p>
    <w:p>
      <w:pPr>
        <w:pStyle w:val="ListParagraph"/>
        <w:tabs>
          <w:tab w:val="clear" w:pos="708"/>
          <w:tab w:val="left" w:pos="1701" w:leader="none"/>
        </w:tabs>
        <w:spacing w:lineRule="auto" w:line="240" w:before="0" w:after="0"/>
        <w:ind w:left="851" w:hanging="0"/>
        <w:contextualSpacing/>
        <w:jc w:val="both"/>
        <w:rPr>
          <w:rFonts w:ascii="Arial" w:hAnsi="Arial" w:cs="Arial"/>
        </w:rPr>
      </w:pPr>
      <w:r>
        <w:rPr>
          <w:rFonts w:cs="Arial" w:ascii="Arial" w:hAnsi="Arial"/>
          <w:b/>
        </w:rPr>
        <w:t>Obs. 1:</w:t>
      </w:r>
      <w:r>
        <w:rPr>
          <w:rFonts w:cs="Arial" w:ascii="Arial" w:hAnsi="Arial"/>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Pessoa física ou jurídica que se encontre, ao tempo da licitação, impossibilitada de participar da licitação em decorrência de sanção que lhe foi imposta;</w:t>
      </w:r>
    </w:p>
    <w:p>
      <w:pPr>
        <w:pStyle w:val="ListParagraph"/>
        <w:tabs>
          <w:tab w:val="clear" w:pos="708"/>
          <w:tab w:val="left" w:pos="1701" w:leader="none"/>
        </w:tabs>
        <w:spacing w:lineRule="auto" w:line="240" w:before="0" w:after="0"/>
        <w:ind w:left="851" w:hanging="0"/>
        <w:contextualSpacing/>
        <w:jc w:val="both"/>
        <w:rPr>
          <w:rFonts w:ascii="Arial" w:hAnsi="Arial" w:cs="Arial"/>
        </w:rPr>
      </w:pPr>
      <w:r>
        <w:rPr>
          <w:rFonts w:cs="Arial" w:ascii="Arial" w:hAnsi="Arial"/>
          <w:b/>
        </w:rPr>
        <w:t>Obs. 1:</w:t>
      </w:r>
      <w:r>
        <w:rPr>
          <w:rFonts w:cs="Arial" w:ascii="Arial" w:hAnsi="Arial"/>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Empresas controladoras, controladas ou coligadas, nos termos da </w:t>
      </w:r>
      <w:hyperlink r:id="rId4">
        <w:r>
          <w:rPr>
            <w:rStyle w:val="LinkdaInternet"/>
            <w:rFonts w:cs="Arial" w:ascii="Arial" w:hAnsi="Arial"/>
          </w:rPr>
          <w:t>Lei nº 6.404, de 15 de dezembro de 1976 – Dispõe sobre as Sociedades por Ações</w:t>
        </w:r>
      </w:hyperlink>
      <w:r>
        <w:rPr>
          <w:rFonts w:cs="Arial" w:ascii="Arial" w:hAnsi="Arial"/>
        </w:rPr>
        <w:t>, concorrendo entre si;</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É impedida a empresa consorciada participar, na mesma licitação, de mais de um consórcio ou de forma isolada;</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1701" w:leader="none"/>
        </w:tabs>
        <w:spacing w:lineRule="auto" w:line="240" w:before="0" w:after="0"/>
        <w:jc w:val="both"/>
        <w:rPr>
          <w:rFonts w:ascii="Arial" w:hAnsi="Arial" w:cs="Arial"/>
        </w:rPr>
      </w:pPr>
      <w:r>
        <w:rPr>
          <w:rFonts w:cs="Arial" w:ascii="Arial" w:hAnsi="Arial"/>
          <w:bCs/>
        </w:rPr>
        <w:t>5.2.</w:t>
      </w:r>
      <w:r>
        <w:rPr>
          <w:rFonts w:cs="Arial" w:ascii="Arial" w:hAnsi="Arial"/>
        </w:rPr>
        <w:t xml:space="preserve"> O licitante </w:t>
      </w:r>
      <w:r>
        <w:rPr>
          <w:rFonts w:cs="Arial" w:ascii="Arial" w:hAnsi="Arial"/>
          <w:b/>
        </w:rPr>
        <w:t>deverá</w:t>
      </w:r>
      <w:r>
        <w:rPr>
          <w:rFonts w:cs="Arial" w:ascii="Arial" w:hAnsi="Arial"/>
        </w:rPr>
        <w:t xml:space="preserve"> apresentar declaração que não incorre nos impedimentos (ANEXO III).</w:t>
      </w:r>
    </w:p>
    <w:p>
      <w:pPr>
        <w:pStyle w:val="Normal"/>
        <w:tabs>
          <w:tab w:val="clear" w:pos="708"/>
          <w:tab w:val="left" w:pos="1701" w:leader="none"/>
        </w:tabs>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5.3. A participação no certame se dará por meio da digitação da senha pessoal e intransferível do representante credenciado, e subsequente encaminhamento da proposta de preços e dos documentos de habilitação, exclusivamente, por meio do sistema eletrônico através do site compras.gov.br, observando a data e o horário limite estabelecido no item 1 deste Edital.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5.4. Poderão participar deste Pregão proponente cujo ramo de atividade seja compatível com o objeto desta licitação, e que estejam com Credenciamento regular no Sistema de Cadastramento Unificado de Fornecedores – SICAF, conforme disposto no art. 9º da IN SEGES/MP nº 3, de 2018.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5.</w:t>
      </w:r>
      <w:r>
        <w:rPr>
          <w:rFonts w:eastAsia="Calibri" w:cs="Arial" w:ascii="Arial" w:hAnsi="Arial"/>
        </w:rPr>
        <w:t xml:space="preserve">5. </w:t>
      </w:r>
      <w:r>
        <w:rPr>
          <w:rFonts w:cs="Arial" w:ascii="Arial" w:hAnsi="Arial"/>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5.</w:t>
      </w:r>
      <w:r>
        <w:rPr>
          <w:rFonts w:eastAsia="Calibri" w:cs="Arial" w:ascii="Arial" w:hAnsi="Arial"/>
        </w:rPr>
        <w:t xml:space="preserve">6. </w:t>
      </w:r>
      <w:r>
        <w:rPr>
          <w:rFonts w:cs="Arial" w:ascii="Arial" w:hAnsi="Arial"/>
        </w:rPr>
        <w:t>No caso de desconexão com o Pregoeiro no decorrer da etapa competitiva do Pregão, o sistema eletrônico poderá permanecer acessível aos proponentes para a recepção dos lances, retornando o Pregoeiro, quando possível, sua atuação no certame, sem prejuízo dos atos realizados.</w:t>
      </w:r>
    </w:p>
    <w:p>
      <w:pPr>
        <w:pStyle w:val="Normal"/>
        <w:spacing w:lineRule="auto" w:line="240" w:before="0" w:after="0"/>
        <w:jc w:val="both"/>
        <w:rPr>
          <w:rFonts w:ascii="Arial" w:hAnsi="Arial" w:cs="Arial"/>
        </w:rPr>
      </w:pPr>
      <w:r>
        <w:rPr>
          <w:rFonts w:cs="Arial" w:ascii="Arial" w:hAnsi="Arial"/>
        </w:rPr>
      </w:r>
    </w:p>
    <w:p>
      <w:pPr>
        <w:pStyle w:val="Normal"/>
        <w:widowControl w:val="false"/>
        <w:shd w:val="clear" w:color="auto" w:fill="BFBFBF" w:themeFill="background1" w:themeFillShade="bf"/>
        <w:tabs>
          <w:tab w:val="clear" w:pos="708"/>
          <w:tab w:val="left" w:pos="1701" w:leader="none"/>
        </w:tabs>
        <w:spacing w:lineRule="auto" w:line="240" w:before="0" w:after="0"/>
        <w:jc w:val="both"/>
        <w:textAlignment w:val="baseline"/>
        <w:rPr>
          <w:rFonts w:ascii="Arial" w:hAnsi="Arial" w:eastAsia="Times New Roman" w:cs="Arial"/>
          <w:b/>
          <w:b/>
          <w:u w:val="single"/>
          <w:lang w:eastAsia="pt-BR"/>
        </w:rPr>
      </w:pPr>
      <w:r>
        <w:rPr>
          <w:rFonts w:eastAsia="Times New Roman" w:cs="Arial" w:ascii="Arial" w:hAnsi="Arial"/>
          <w:b/>
          <w:lang w:eastAsia="pt-BR"/>
        </w:rPr>
        <w:t xml:space="preserve">6. CUMPRIMENTO DA </w:t>
      </w:r>
      <w:hyperlink r:id="rId5">
        <w:r>
          <w:rPr>
            <w:rFonts w:eastAsia="Times New Roman" w:cs="Arial" w:ascii="Arial" w:hAnsi="Arial"/>
            <w:b/>
            <w:u w:val="single"/>
            <w:lang w:eastAsia="pt-BR"/>
          </w:rPr>
          <w:t>LEI GERAL DE PROTEÇÃO DE DADOS (LEI Nº 13.709/2018)</w:t>
        </w:r>
      </w:hyperlink>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iCs/>
          <w:lang w:eastAsia="pt-BR"/>
        </w:rPr>
      </w:pPr>
      <w:r>
        <w:rPr>
          <w:rFonts w:eastAsia="Times New Roman" w:cs="Arial" w:ascii="Arial" w:hAnsi="Arial"/>
          <w:bCs/>
          <w:lang w:eastAsia="pt-BR"/>
        </w:rPr>
        <w:t>6.1.</w:t>
      </w:r>
      <w:r>
        <w:rPr>
          <w:rFonts w:eastAsia="Times New Roman" w:cs="Arial" w:ascii="Arial" w:hAnsi="Arial"/>
          <w:lang w:eastAsia="pt-BR"/>
        </w:rPr>
        <w:t xml:space="preserve"> Para finalidade da efetiva participação do LICITANTE no certame, o MUNICÍPIO fará tratamento dos dados pessoais definidos neste edital, dos representantes legais e outros, e, </w:t>
      </w:r>
      <w:r>
        <w:rPr>
          <w:rFonts w:eastAsia="Times New Roman" w:cs="Arial" w:ascii="Arial" w:hAnsi="Arial"/>
          <w:iCs/>
          <w:lang w:eastAsia="pt-BR"/>
        </w:rPr>
        <w:t>zelará e responsabilizar-se-á pela proteção de dados e privacidade.</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iCs/>
          <w:lang w:eastAsia="pt-BR"/>
        </w:rPr>
      </w:pPr>
      <w:r>
        <w:rPr>
          <w:rFonts w:eastAsia="Times New Roman" w:cs="Arial" w:ascii="Arial" w:hAnsi="Arial"/>
          <w:bCs/>
          <w:lang w:eastAsia="pt-BR"/>
        </w:rPr>
        <w:t>6.2.</w:t>
      </w:r>
      <w:r>
        <w:rPr>
          <w:rFonts w:eastAsia="Times New Roman" w:cs="Arial" w:ascii="Arial" w:hAnsi="Arial"/>
          <w:lang w:eastAsia="pt-BR"/>
        </w:rPr>
        <w:t xml:space="preserve"> </w:t>
      </w:r>
      <w:r>
        <w:rPr>
          <w:rFonts w:eastAsia="Times New Roman" w:cs="Arial" w:ascii="Arial" w:hAnsi="Arial"/>
          <w:iCs/>
          <w:lang w:eastAsia="pt-BR"/>
        </w:rPr>
        <w:t xml:space="preserve">O </w:t>
      </w:r>
      <w:r>
        <w:rPr>
          <w:rFonts w:eastAsia="Times New Roman" w:cs="Arial" w:ascii="Arial" w:hAnsi="Arial"/>
          <w:lang w:eastAsia="pt-BR"/>
        </w:rPr>
        <w:t>LICITANTE</w:t>
      </w:r>
      <w:r>
        <w:rPr>
          <w:rFonts w:eastAsia="Times New Roman" w:cs="Arial" w:ascii="Arial" w:hAnsi="Arial"/>
          <w:iCs/>
          <w:lang w:eastAsia="pt-BR"/>
        </w:rPr>
        <w:t xml:space="preserve"> obriga-se durante a participação de todas as fases do certame, a atuar em conformidade com a legislação vigente sobre proteção de dados pessoais e dados pessoais sensíveis, em especial os regulamentos municipais e a Lei nº 13.709/2018 (LGPD), </w:t>
      </w:r>
      <w:r>
        <w:rPr>
          <w:rFonts w:eastAsia="Times New Roman" w:cs="Arial" w:ascii="Arial" w:hAnsi="Arial"/>
          <w:lang w:eastAsia="pt-BR"/>
        </w:rPr>
        <w:t>empenhando-se em proceder a todo tratamento de dados pessoais que venha a mostrar-se necessário,</w:t>
      </w:r>
      <w:r>
        <w:rPr>
          <w:rFonts w:eastAsia="Times New Roman" w:cs="Arial" w:ascii="Arial" w:hAnsi="Arial"/>
          <w:iCs/>
          <w:lang w:eastAsia="pt-BR"/>
        </w:rPr>
        <w:t xml:space="preserve"> em conformidade com este edital.</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iCs/>
          <w:lang w:eastAsia="pt-BR"/>
        </w:rPr>
      </w:pPr>
      <w:r>
        <w:rPr>
          <w:rFonts w:eastAsia="Times New Roman" w:cs="Arial" w:ascii="Arial" w:hAnsi="Arial"/>
          <w:bCs/>
          <w:lang w:eastAsia="pt-BR"/>
        </w:rPr>
        <w:t>6.3.</w:t>
      </w:r>
      <w:r>
        <w:rPr>
          <w:rFonts w:eastAsia="Times New Roman" w:cs="Arial" w:ascii="Arial" w:hAnsi="Arial"/>
          <w:lang w:eastAsia="pt-BR"/>
        </w:rPr>
        <w:t xml:space="preserve"> </w:t>
      </w:r>
      <w:r>
        <w:rPr>
          <w:rFonts w:eastAsia="Times New Roman" w:cs="Arial" w:ascii="Arial" w:hAnsi="Arial"/>
          <w:iCs/>
          <w:lang w:eastAsia="pt-BR"/>
        </w:rPr>
        <w:t>O MUNICÍPIO e o LICITANTE, quando do tratamento de dados pessoais, o fará de acordo com as bases legais previstas nas hipóteses dos arts. 7º, 11 e/ou 14 da Lei nº 13.709/2018 (LGPD), e para propósitos legítimos, específicos, explícitos e informados ao titular.</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iCs/>
          <w:lang w:eastAsia="pt-BR"/>
        </w:rPr>
      </w:pPr>
      <w:r>
        <w:rPr>
          <w:rFonts w:eastAsia="Times New Roman" w:cs="Arial" w:ascii="Arial" w:hAnsi="Arial"/>
          <w:bCs/>
          <w:lang w:eastAsia="pt-BR"/>
        </w:rPr>
        <w:t>6.4.</w:t>
      </w:r>
      <w:r>
        <w:rPr>
          <w:rFonts w:eastAsia="Times New Roman" w:cs="Arial" w:ascii="Arial" w:hAnsi="Arial"/>
          <w:lang w:eastAsia="pt-BR"/>
        </w:rPr>
        <w:t xml:space="preserve"> </w:t>
      </w:r>
      <w:r>
        <w:rPr>
          <w:rFonts w:eastAsia="Times New Roman" w:cs="Arial" w:ascii="Arial" w:hAnsi="Arial"/>
          <w:iCs/>
          <w:lang w:eastAsia="pt-BR"/>
        </w:rPr>
        <w:t>O LICITANTE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iCs/>
          <w:lang w:eastAsia="pt-BR"/>
        </w:rPr>
      </w:pPr>
      <w:r>
        <w:rPr>
          <w:rFonts w:eastAsia="Times New Roman" w:cs="Arial" w:ascii="Arial" w:hAnsi="Arial"/>
          <w:bCs/>
          <w:lang w:eastAsia="pt-BR"/>
        </w:rPr>
        <w:t>6.5.</w:t>
      </w:r>
      <w:r>
        <w:rPr>
          <w:rFonts w:eastAsia="Times New Roman" w:cs="Arial" w:ascii="Arial" w:hAnsi="Arial"/>
          <w:lang w:eastAsia="pt-BR"/>
        </w:rPr>
        <w:t xml:space="preserve"> É vedado ao LICITANTE a utilização de todo e qualquer dado pessoal repassado em decorrência do certame, para finalidade distinta da participação deste.</w:t>
      </w:r>
      <w:r>
        <w:rPr>
          <w:rFonts w:eastAsia="Times New Roman" w:cs="Arial" w:ascii="Arial" w:hAnsi="Arial"/>
          <w:iCs/>
          <w:lang w:eastAsia="pt-BR"/>
        </w:rPr>
        <w:t xml:space="preserve"> As partes deverão, nos termos deste instrumento, cumprir com suas respectivas obrigações que lhes forem impostas de acordo com regulamentos e leis aplicáveis à proteção de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lang w:eastAsia="pt-BR"/>
        </w:rPr>
        <w:t>6.6.</w:t>
      </w:r>
      <w:r>
        <w:rPr>
          <w:rFonts w:eastAsia="Times New Roman" w:cs="Arial" w:ascii="Arial" w:hAnsi="Arial"/>
          <w:lang w:eastAsia="pt-BR"/>
        </w:rPr>
        <w:t xml:space="preserve"> O LICITANTE fica obrigada a notificar o MUNICÍPIO, em até 24 (vinte e quatro) horas, </w:t>
      </w:r>
      <w:r>
        <w:rPr>
          <w:rFonts w:eastAsia="Times New Roman" w:cs="Arial" w:ascii="Arial" w:hAnsi="Arial"/>
          <w:iCs/>
          <w:lang w:eastAsia="pt-BR"/>
        </w:rPr>
        <w:t>a respeito de</w:t>
      </w:r>
      <w:r>
        <w:rPr>
          <w:rFonts w:eastAsia="Times New Roman" w:cs="Arial" w:ascii="Arial" w:hAnsi="Arial"/>
          <w:lang w:eastAsia="pt-BR"/>
        </w:rPr>
        <w:t xml:space="preserve"> qualquer incidente de acessos não autorizados aos dados pessoais, situações acidentais ou ilícitas de destruição, perda, alteração, comunicação, q</w:t>
      </w:r>
      <w:r>
        <w:rPr>
          <w:rFonts w:eastAsia="Times New Roman" w:cs="Arial" w:ascii="Arial" w:hAnsi="Arial"/>
          <w:iCs/>
          <w:lang w:eastAsia="pt-BR"/>
        </w:rPr>
        <w:t xml:space="preserve">ualquer não cumprimento (ainda que suspeito) das disposições legais relativas à proteção de dados pessoais </w:t>
      </w:r>
      <w:r>
        <w:rPr>
          <w:rFonts w:eastAsia="Times New Roman" w:cs="Arial" w:ascii="Arial" w:hAnsi="Arial"/>
          <w:lang w:eastAsia="pt-BR"/>
        </w:rPr>
        <w:t xml:space="preserve">ou qualquer forma de tratamento inadequado ou ilícito, bem como adotar as providências dispostas no art. 48 da </w:t>
      </w:r>
      <w:r>
        <w:rPr>
          <w:rFonts w:eastAsia="Times New Roman" w:cs="Arial" w:ascii="Arial" w:hAnsi="Arial"/>
          <w:iCs/>
          <w:lang w:eastAsia="pt-BR"/>
        </w:rPr>
        <w:t>Lei nº 13.709/2018 (LGPD)</w:t>
      </w:r>
      <w:r>
        <w:rPr>
          <w:rFonts w:eastAsia="Times New Roman" w:cs="Arial" w:ascii="Arial" w:hAnsi="Arial"/>
          <w:lang w:eastAsia="pt-BR"/>
        </w:rPr>
        <w:t xml:space="preserve">. </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iCs/>
          <w:lang w:eastAsia="pt-BR"/>
        </w:rPr>
      </w:pPr>
      <w:r>
        <w:rPr>
          <w:rFonts w:eastAsia="Times New Roman" w:cs="Arial" w:ascii="Arial" w:hAnsi="Arial"/>
          <w:bCs/>
          <w:lang w:eastAsia="pt-BR"/>
        </w:rPr>
        <w:t>6.7.</w:t>
      </w:r>
      <w:r>
        <w:rPr>
          <w:rFonts w:eastAsia="Times New Roman" w:cs="Arial" w:ascii="Arial" w:hAnsi="Arial"/>
          <w:lang w:eastAsia="pt-BR"/>
        </w:rPr>
        <w:t xml:space="preserve"> </w:t>
      </w:r>
      <w:r>
        <w:rPr>
          <w:rFonts w:eastAsia="Times New Roman" w:cs="Arial" w:ascii="Arial" w:hAnsi="Arial"/>
          <w:iCs/>
          <w:lang w:eastAsia="pt-BR"/>
        </w:rPr>
        <w:t>As partes, em razão das infrações cometidas às normas previstas, ficam sujeitas às sanções administrativas, cíveis e criminais aplicáveis, por qualquer ação ilícita, que causar danos patrimoniais, morais, individual ou coletivo, aos titulares de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iCs/>
          <w:lang w:eastAsia="pt-BR"/>
        </w:rPr>
      </w:pPr>
      <w:r>
        <w:rPr>
          <w:rFonts w:eastAsia="Times New Roman" w:cs="Arial" w:ascii="Arial" w:hAnsi="Arial"/>
          <w:bCs/>
          <w:lang w:eastAsia="pt-BR"/>
        </w:rPr>
        <w:t>6.8.</w:t>
      </w:r>
      <w:r>
        <w:rPr>
          <w:rFonts w:eastAsia="Times New Roman" w:cs="Arial" w:ascii="Arial" w:hAnsi="Arial"/>
          <w:lang w:eastAsia="pt-BR"/>
        </w:rPr>
        <w:t xml:space="preserve"> </w:t>
      </w:r>
      <w:r>
        <w:rPr>
          <w:rFonts w:eastAsia="Times New Roman" w:cs="Arial" w:ascii="Arial" w:hAnsi="Arial"/>
          <w:iCs/>
          <w:lang w:eastAsia="pt-BR"/>
        </w:rPr>
        <w:t>O LICITANTE será integralmente responsável pelo pagamento de perdas e danos de ordem moral e material, bem como pelo ressarcimento do pagamento de qualquer multa ou penalidade imposta ao MUNICÍPIO e/ou a terceiros, diretamente resultantes do descumprimento pelo LICITANTE</w:t>
      </w:r>
      <w:r>
        <w:rPr>
          <w:rFonts w:eastAsia="Times New Roman" w:cs="Arial" w:ascii="Arial" w:hAnsi="Arial"/>
          <w:b/>
          <w:bCs/>
          <w:iCs/>
          <w:lang w:eastAsia="pt-BR"/>
        </w:rPr>
        <w:t xml:space="preserve"> </w:t>
      </w:r>
      <w:r>
        <w:rPr>
          <w:rFonts w:eastAsia="Times New Roman" w:cs="Arial" w:ascii="Arial" w:hAnsi="Arial"/>
          <w:iCs/>
          <w:lang w:eastAsia="pt-BR"/>
        </w:rPr>
        <w:t>de qualquer das cláusulas previstas neste edital quanto a proteção e uso dos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lang w:eastAsia="pt-BR"/>
        </w:rPr>
        <w:t>6.9.</w:t>
      </w:r>
      <w:r>
        <w:rPr>
          <w:rFonts w:eastAsia="Times New Roman" w:cs="Arial" w:ascii="Arial" w:hAnsi="Arial"/>
          <w:lang w:eastAsia="pt-BR"/>
        </w:rPr>
        <w:t xml:space="preserve"> As partes cooperarão entre si no cumprimento das obrigações referentes ao exercício dos direitos dos titulares previstos na </w:t>
      </w:r>
      <w:r>
        <w:rPr>
          <w:rFonts w:eastAsia="Times New Roman" w:cs="Arial" w:ascii="Arial" w:hAnsi="Arial"/>
          <w:iCs/>
          <w:lang w:eastAsia="pt-BR"/>
        </w:rPr>
        <w:t>Lei nº 13.709/2018 (LGPD)</w:t>
      </w:r>
      <w:r>
        <w:rPr>
          <w:rFonts w:eastAsia="Times New Roman" w:cs="Arial" w:ascii="Arial" w:hAnsi="Arial"/>
          <w:lang w:eastAsia="pt-BR"/>
        </w:rPr>
        <w:t xml:space="preserve"> e nas leis e regulamentos de proteção de dados em vigor e também no atendimento de requisições e determinações do Poder Judiciário, Ministério Público, Tribunal de Contas e Órgãos de controle administrativo.</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lang w:eastAsia="pt-BR"/>
        </w:rPr>
        <w:t>6.10.</w:t>
      </w:r>
      <w:r>
        <w:rPr>
          <w:rFonts w:eastAsia="Times New Roman" w:cs="Arial" w:ascii="Arial" w:hAnsi="Arial"/>
          <w:lang w:eastAsia="pt-BR"/>
        </w:rPr>
        <w:t xml:space="preserve"> As cláusulas de proteção de dados deste edital, permanecem durante toda execução do objeto ora licitado,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bCs/>
          <w:lang w:eastAsia="pt-BR"/>
        </w:rPr>
        <w:t>6.11.</w:t>
      </w:r>
      <w:r>
        <w:rPr>
          <w:rFonts w:eastAsia="Times New Roman" w:cs="Arial" w:ascii="Arial" w:hAnsi="Arial"/>
          <w:lang w:eastAsia="pt-BR"/>
        </w:rPr>
        <w:t xml:space="preserve"> Por ocasião da assinatura do contrato, o(s) LICITANTE(S) vencedor(es) do certame, deverão seguir um conjunto de premissas, políticas, especificações técnicas, devendo estar alinhadas com a legislação vigente e as melhores práticas de mercado, a fim de assegurarem adequado nível de segurança em relação aos possíveis riscos gerados pelo tratamento de dados pessoais, na sua estrutura organizacional.</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u w:val="single"/>
          <w:lang w:eastAsia="pt-BR"/>
        </w:rPr>
      </w:pPr>
      <w:r>
        <w:rPr>
          <w:rFonts w:eastAsia="Times New Roman" w:cs="Arial" w:ascii="Arial" w:hAnsi="Arial"/>
          <w:bCs/>
          <w:lang w:eastAsia="pt-BR"/>
        </w:rPr>
        <w:t>6.12.</w:t>
      </w:r>
      <w:r>
        <w:rPr>
          <w:rFonts w:eastAsia="Times New Roman" w:cs="Arial" w:ascii="Arial" w:hAnsi="Arial"/>
          <w:lang w:eastAsia="pt-BR"/>
        </w:rPr>
        <w:t xml:space="preserve"> </w:t>
      </w:r>
      <w:r>
        <w:rPr>
          <w:rFonts w:eastAsia="Times New Roman" w:cs="Arial" w:ascii="Arial" w:hAnsi="Arial"/>
          <w:u w:val="single"/>
          <w:lang w:eastAsia="pt-BR"/>
        </w:rPr>
        <w:t>Por ocasião da assinatura do contrato, o(s) LICITANTE(S) vencedora(s) do certame, informarão ao MUNICÍPIO, dos dados de contato do seu respectivo Encarregado de Dados, conforme exigido nos documentos de habilitação jurídica.</w:t>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eastAsia="Times New Roman" w:cs="Arial" w:ascii="Arial" w:hAnsi="Arial"/>
          <w:bCs/>
          <w:lang w:eastAsia="pt-BR"/>
        </w:rPr>
        <w:t>6.13.</w:t>
      </w:r>
      <w:r>
        <w:rPr>
          <w:rFonts w:eastAsia="Times New Roman" w:cs="Arial" w:ascii="Arial" w:hAnsi="Arial"/>
          <w:lang w:eastAsia="pt-BR"/>
        </w:rPr>
        <w:t xml:space="preserve"> </w:t>
      </w:r>
      <w:r>
        <w:rPr>
          <w:rFonts w:eastAsia="Times New Roman" w:cs="Arial" w:ascii="Arial" w:hAnsi="Arial"/>
          <w:iCs/>
          <w:lang w:eastAsia="pt-BR"/>
        </w:rPr>
        <w:t>A LICITANTE para ter conhecimento da política de privacidade do MUNICÍPIO, deverá acessar o link: https://ita.atende.net/cidadao/pagina/lgpd</w:t>
      </w:r>
      <w:r>
        <w:rPr>
          <w:rFonts w:eastAsia="Times New Roman" w:cs="Arial" w:ascii="Arial" w:hAnsi="Arial"/>
          <w:iCs/>
          <w:color w:val="FF0000"/>
          <w:lang w:eastAsia="pt-BR"/>
        </w:rPr>
        <w:t xml:space="preserve"> </w:t>
      </w:r>
      <w:r>
        <w:rPr>
          <w:rFonts w:eastAsia="Times New Roman" w:cs="Arial" w:ascii="Arial" w:hAnsi="Arial"/>
          <w:iCs/>
          <w:lang w:eastAsia="pt-BR"/>
        </w:rPr>
        <w:t xml:space="preserve">e para mais informações, poderá contatar com o Encarregado de Dados, por meio do endereço eletrônico de e-mail </w:t>
      </w:r>
      <w:hyperlink r:id="rId6">
        <w:r>
          <w:rPr>
            <w:rStyle w:val="LinkdaInternet"/>
            <w:rFonts w:eastAsia="Times New Roman" w:cs="Arial" w:ascii="Arial" w:hAnsi="Arial"/>
            <w:iCs/>
            <w:color w:val="0000FF"/>
            <w:shd w:fill="FFFFFF" w:val="clear"/>
            <w:lang w:eastAsia="pt-BR"/>
          </w:rPr>
          <w:t>controleinterno@ita.sc.gov.br</w:t>
        </w:r>
      </w:hyperlink>
      <w:r>
        <w:rPr>
          <w:rFonts w:eastAsia="Times New Roman" w:cs="Arial" w:ascii="Arial" w:hAnsi="Arial"/>
          <w:iCs/>
          <w:lang w:eastAsia="pt-BR"/>
        </w:rPr>
        <w:t xml:space="preserve">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1701" w:leader="none"/>
        </w:tabs>
        <w:spacing w:lineRule="auto" w:line="240" w:before="0" w:after="0"/>
        <w:jc w:val="both"/>
        <w:rPr>
          <w:rFonts w:ascii="Arial" w:hAnsi="Arial" w:cs="Arial"/>
          <w:b/>
          <w:b/>
        </w:rPr>
      </w:pPr>
      <w:r>
        <w:rPr>
          <w:rFonts w:cs="Arial" w:ascii="Arial" w:hAnsi="Arial"/>
          <w:b/>
        </w:rPr>
        <w:t xml:space="preserve">7. </w:t>
      </w:r>
      <w:r>
        <w:rPr>
          <w:rFonts w:cs="Arial" w:ascii="Arial" w:hAnsi="Arial"/>
          <w:b/>
          <w:iCs/>
        </w:rPr>
        <w:t xml:space="preserve">APLICAÇÃO DA </w:t>
      </w:r>
      <w:hyperlink r:id="rId7">
        <w:r>
          <w:rPr>
            <w:rStyle w:val="LinkdaInternet"/>
            <w:rFonts w:cs="Arial" w:ascii="Arial" w:hAnsi="Arial"/>
            <w:b/>
            <w:iCs/>
            <w:color w:val="auto"/>
          </w:rPr>
          <w:t>LEI COMPLEMENTAR Nº 123/2006</w:t>
        </w:r>
      </w:hyperlink>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7.1.</w:t>
      </w:r>
      <w:r>
        <w:rPr>
          <w:rFonts w:cs="Arial" w:ascii="Arial" w:hAnsi="Arial"/>
          <w:iCs/>
        </w:rPr>
        <w:t xml:space="preserve"> Conforme art. 4º da Lei nº 14.133/2021, aplicam-se as disposições constantes dos arts. 42 a 49 da Lei Complementar nº 123/2006, exceto (art. 4º, § 1º da Lei nº 14.133/2021):</w:t>
      </w:r>
    </w:p>
    <w:p>
      <w:pPr>
        <w:pStyle w:val="ListParagraph"/>
        <w:widowControl w:val="false"/>
        <w:numPr>
          <w:ilvl w:val="0"/>
          <w:numId w:val="4"/>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No caso de licitação para </w:t>
      </w:r>
      <w:r>
        <w:rPr>
          <w:rFonts w:cs="Arial" w:ascii="Arial" w:hAnsi="Arial"/>
          <w:iCs/>
          <w:u w:val="single"/>
        </w:rPr>
        <w:t>aquisição de bens ou contratação de serviços em geral</w:t>
      </w:r>
      <w:r>
        <w:rPr>
          <w:rFonts w:cs="Arial" w:ascii="Arial" w:hAnsi="Arial"/>
          <w:iCs/>
        </w:rPr>
        <w:t xml:space="preserve">, ao </w:t>
      </w:r>
      <w:r>
        <w:rPr>
          <w:rFonts w:cs="Arial" w:ascii="Arial" w:hAnsi="Arial"/>
          <w:iCs/>
          <w:u w:val="single"/>
        </w:rPr>
        <w:t>item</w:t>
      </w:r>
      <w:r>
        <w:rPr>
          <w:rFonts w:cs="Arial" w:ascii="Arial" w:hAnsi="Arial"/>
          <w:iCs/>
        </w:rPr>
        <w:t xml:space="preserve"> cujo valor estimado for superior à receita bruta máxima admitida para fins de enquadramento como empresa de pequeno porte, ou seja, superior a R$ 4.800.000,00 (quatro milhões e oitocentos mil reais).</w:t>
      </w:r>
    </w:p>
    <w:p>
      <w:pPr>
        <w:pStyle w:val="ListParagraph"/>
        <w:widowControl w:val="false"/>
        <w:numPr>
          <w:ilvl w:val="0"/>
          <w:numId w:val="4"/>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No caso de </w:t>
      </w:r>
      <w:r>
        <w:rPr>
          <w:rFonts w:cs="Arial" w:ascii="Arial" w:hAnsi="Arial"/>
          <w:iCs/>
          <w:u w:val="single"/>
        </w:rPr>
        <w:t>contratação de obras e serviços de engenharia</w:t>
      </w:r>
      <w:r>
        <w:rPr>
          <w:rFonts w:cs="Arial" w:ascii="Arial" w:hAnsi="Arial"/>
          <w:iCs/>
        </w:rPr>
        <w:t>, às licitações cujo valor estimado for superior à receita bruta máxima admitida para fins de enquadramento como empresa de pequeno porte, ou seja, superior a R$ 4.800.000,00 (quatro milhões e oitocentos mil reais).</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7.2.</w:t>
      </w:r>
      <w:r>
        <w:rPr>
          <w:rFonts w:cs="Arial" w:ascii="Arial" w:hAnsi="Arial"/>
          <w:iCs/>
        </w:rPr>
        <w:t xml:space="preserve"> A Lei Complementar nº 123/2006, conforme art. 1º, estabelece normas gerais relativas ao tratamento diferenciado e favorecido a ser dispensado </w:t>
      </w:r>
      <w:r>
        <w:rPr>
          <w:rFonts w:cs="Arial" w:ascii="Arial" w:hAnsi="Arial"/>
          <w:iCs/>
          <w:u w:val="single"/>
        </w:rPr>
        <w:t>às microempresas e empresas de pequeno porte</w:t>
      </w:r>
      <w:r>
        <w:rPr>
          <w:rFonts w:cs="Arial" w:ascii="Arial" w:hAnsi="Arial"/>
          <w:iCs/>
        </w:rPr>
        <w:t xml:space="preserve"> no âmbito dos Poderes da União, dos Estados, do Distrito Federal e dos Municípios.</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7.3.</w:t>
      </w:r>
      <w:r>
        <w:rPr>
          <w:rFonts w:cs="Arial" w:ascii="Arial" w:hAnsi="Arial"/>
          <w:iCs/>
        </w:rPr>
        <w:t xml:space="preserve"> Para os efeitos da Lei Complementar nº 123/2006, consideram-se </w:t>
      </w:r>
      <w:r>
        <w:rPr>
          <w:rFonts w:cs="Arial" w:ascii="Arial" w:hAnsi="Arial"/>
          <w:iCs/>
          <w:u w:val="single"/>
        </w:rPr>
        <w:t>microempresas ou empresas de pequeno porte</w:t>
      </w:r>
      <w:r>
        <w:rPr>
          <w:rFonts w:cs="Arial" w:ascii="Arial" w:hAnsi="Arial"/>
          <w:iCs/>
        </w:rPr>
        <w:t>:</w:t>
      </w:r>
    </w:p>
    <w:p>
      <w:pPr>
        <w:pStyle w:val="ListParagraph"/>
        <w:widowControl w:val="false"/>
        <w:numPr>
          <w:ilvl w:val="1"/>
          <w:numId w:val="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Sociedade empresária;</w:t>
      </w:r>
    </w:p>
    <w:p>
      <w:pPr>
        <w:pStyle w:val="ListParagraph"/>
        <w:widowControl w:val="false"/>
        <w:numPr>
          <w:ilvl w:val="1"/>
          <w:numId w:val="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Sociedade simples;</w:t>
      </w:r>
    </w:p>
    <w:p>
      <w:pPr>
        <w:pStyle w:val="ListParagraph"/>
        <w:widowControl w:val="false"/>
        <w:numPr>
          <w:ilvl w:val="1"/>
          <w:numId w:val="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Empresa individual de responsabilidade limitada – EIRELI;</w:t>
      </w:r>
    </w:p>
    <w:p>
      <w:pPr>
        <w:pStyle w:val="ListParagraph"/>
        <w:widowControl w:val="false"/>
        <w:numPr>
          <w:ilvl w:val="1"/>
          <w:numId w:val="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Empresário a que se refere o art. 966 do </w:t>
      </w:r>
      <w:hyperlink r:id="rId8">
        <w:r>
          <w:rPr>
            <w:rStyle w:val="LinkdaInternet"/>
            <w:rFonts w:cs="Arial" w:ascii="Arial" w:hAnsi="Arial"/>
            <w:iCs/>
            <w:color w:val="auto"/>
          </w:rPr>
          <w:t>Código Civil</w:t>
        </w:r>
      </w:hyperlink>
      <w:r>
        <w:rPr>
          <w:rFonts w:cs="Arial" w:ascii="Arial" w:hAnsi="Arial"/>
          <w:iCs/>
        </w:rPr>
        <w:t>:</w:t>
      </w:r>
    </w:p>
    <w:p>
      <w:pPr>
        <w:pStyle w:val="ListParagraph"/>
        <w:widowControl w:val="false"/>
        <w:numPr>
          <w:ilvl w:val="2"/>
          <w:numId w:val="3"/>
        </w:numPr>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t>Quem exerce profissionalmente atividade econômica organizada para a produção ou a circulação de bens ou de serviços;</w:t>
      </w:r>
    </w:p>
    <w:p>
      <w:pPr>
        <w:pStyle w:val="ListParagraph"/>
        <w:widowControl w:val="false"/>
        <w:numPr>
          <w:ilvl w:val="2"/>
          <w:numId w:val="3"/>
        </w:numPr>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t>Não se considera empresário quem exerce profissão intelectual, de natureza científica, literária ou artística, ainda com o concurso de auxiliares ou colaboradores, salvo se o exercício da profissão constituir elemento de empresa.</w:t>
      </w:r>
    </w:p>
    <w:p>
      <w:pPr>
        <w:pStyle w:val="ListParagraph"/>
        <w:widowControl w:val="false"/>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7.4.</w:t>
      </w:r>
      <w:r>
        <w:rPr>
          <w:rFonts w:cs="Arial" w:ascii="Arial" w:hAnsi="Arial"/>
          <w:iCs/>
        </w:rPr>
        <w:t xml:space="preserve"> As </w:t>
      </w:r>
      <w:r>
        <w:rPr>
          <w:rFonts w:cs="Arial" w:ascii="Arial" w:hAnsi="Arial"/>
          <w:iCs/>
          <w:u w:val="single"/>
        </w:rPr>
        <w:t>microempresas ou empresas de pequeno porte</w:t>
      </w:r>
      <w:r>
        <w:rPr>
          <w:rFonts w:cs="Arial" w:ascii="Arial" w:hAnsi="Arial"/>
          <w:iCs/>
        </w:rPr>
        <w:t xml:space="preserve"> indicadas no art. 3º da Lei Complementar nº 123/2006 devem estar devidamente registradas no Registro de Empresas Mercantis ou no Registro Civil de Pessoas Jurídicas, conforme o caso, desde que:</w:t>
      </w:r>
    </w:p>
    <w:p>
      <w:pPr>
        <w:pStyle w:val="ListParagraph"/>
        <w:widowControl w:val="false"/>
        <w:numPr>
          <w:ilvl w:val="0"/>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0" w:name="art3i"/>
      <w:bookmarkEnd w:id="0"/>
      <w:r>
        <w:rPr>
          <w:rFonts w:cs="Arial" w:ascii="Arial" w:hAnsi="Arial"/>
          <w:iCs/>
        </w:rPr>
        <w:t>No caso da microempresa, aufira, em cada ano-calendário, receita bruta igual ou inferior a R$ 360.000,00 (trezentos e sessenta mil reais);</w:t>
      </w:r>
    </w:p>
    <w:p>
      <w:pPr>
        <w:pStyle w:val="ListParagraph"/>
        <w:widowControl w:val="false"/>
        <w:numPr>
          <w:ilvl w:val="0"/>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1" w:name="art3ii"/>
      <w:bookmarkEnd w:id="1"/>
      <w:r>
        <w:rPr>
          <w:rFonts w:cs="Arial" w:ascii="Arial" w:hAnsi="Arial"/>
          <w:iCs/>
        </w:rPr>
        <w:t>No caso da empresa de pequeno porte, aufira, em cada ano-calendário, receita bruta superior a R$ 360.000,00 (trezentos e sessenta mil reais) e igual ou inferior a R$ 3.600.000,00 (três milhões e seiscentos mil reais);</w:t>
      </w:r>
    </w:p>
    <w:p>
      <w:pPr>
        <w:pStyle w:val="ListParagraph"/>
        <w:widowControl w:val="false"/>
        <w:numPr>
          <w:ilvl w:val="0"/>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 w:name="art3ii."/>
      <w:bookmarkEnd w:id="2"/>
      <w:r>
        <w:rPr>
          <w:rFonts w:cs="Arial" w:ascii="Arial" w:hAnsi="Arial"/>
          <w:iCs/>
        </w:rPr>
        <w:t xml:space="preserve">No caso de empresa de pequeno porte, aufira, em cada ano-calendário, receita bruta superior a R$ 360.000,00 (trezentos e sessenta mil reais) e igual ou inferior a R$ 4.800.000,00 (quatro milhões e oitocentos mil reais). </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7.5.</w:t>
      </w:r>
      <w:r>
        <w:rPr>
          <w:rFonts w:cs="Arial" w:ascii="Arial" w:hAnsi="Arial"/>
          <w:iCs/>
        </w:rPr>
        <w:t xml:space="preserve"> Os efeitos da Lei Complementar nº 123/2006 também se aplicam ao </w:t>
      </w:r>
      <w:r>
        <w:rPr>
          <w:rFonts w:cs="Arial" w:ascii="Arial" w:hAnsi="Arial"/>
          <w:iCs/>
          <w:u w:val="single"/>
        </w:rPr>
        <w:t>Microempreendedor Individual – MEI</w:t>
      </w:r>
      <w:r>
        <w:rPr>
          <w:rFonts w:cs="Arial" w:ascii="Arial" w:hAnsi="Arial"/>
          <w:iCs/>
        </w:rPr>
        <w:t xml:space="preserve"> que:</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Tenha auferido receita bruta, no ano-calendário anterior, de até R$ 81.000,00 (oitenta e um mil reais);</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Optante pelo Simples Nacional e que não esteja impedido de optar pela sistemática prevista no art. 18-A da LC 123/2006;</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Seja empresário individual que se enquadre na definição do art. 966 do </w:t>
      </w:r>
      <w:hyperlink r:id="rId9">
        <w:r>
          <w:rPr>
            <w:rStyle w:val="LinkdaInternet"/>
            <w:rFonts w:cs="Arial" w:ascii="Arial" w:hAnsi="Arial"/>
            <w:iCs/>
          </w:rPr>
          <w:t>Código Civil</w:t>
        </w:r>
      </w:hyperlink>
      <w:r>
        <w:rPr>
          <w:rFonts w:cs="Arial" w:ascii="Arial" w:hAnsi="Arial"/>
          <w:iCs/>
        </w:rPr>
        <w:t>.</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7.6.</w:t>
      </w:r>
      <w:r>
        <w:rPr>
          <w:rFonts w:cs="Arial" w:ascii="Arial" w:hAnsi="Arial"/>
          <w:iCs/>
        </w:rPr>
        <w:t xml:space="preserve"> Também se considera </w:t>
      </w:r>
      <w:r>
        <w:rPr>
          <w:rFonts w:cs="Arial" w:ascii="Arial" w:hAnsi="Arial"/>
          <w:iCs/>
          <w:u w:val="single"/>
        </w:rPr>
        <w:t>Microempreendedor Individual – MEI</w:t>
      </w:r>
      <w:r>
        <w:rPr>
          <w:rFonts w:cs="Arial" w:ascii="Arial" w:hAnsi="Arial"/>
          <w:iCs/>
        </w:rPr>
        <w:t xml:space="preserve"> para a Lei Complementar nº 123/2006 o empreendedor que exerça:</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que trata o § 4º-A do art. 18-A:</w:t>
      </w:r>
    </w:p>
    <w:p>
      <w:pPr>
        <w:pStyle w:val="Normal"/>
        <w:tabs>
          <w:tab w:val="clear" w:pos="708"/>
          <w:tab w:val="left" w:pos="1701" w:leader="none"/>
        </w:tabs>
        <w:spacing w:lineRule="auto" w:line="240" w:before="0" w:after="0"/>
        <w:ind w:left="1134" w:hanging="0"/>
        <w:jc w:val="both"/>
        <w:rPr>
          <w:rFonts w:ascii="Arial" w:hAnsi="Arial" w:cs="Arial"/>
          <w:i/>
          <w:i/>
          <w:iCs/>
        </w:rPr>
      </w:pPr>
      <w:r>
        <w:rPr>
          <w:rFonts w:cs="Arial" w:ascii="Arial" w:hAnsi="Arial"/>
          <w:i/>
          <w:iCs/>
        </w:rPr>
        <w:t xml:space="preserve">§ 4º-A Observadas as demais condições deste artigo, poderá optar pela sistemática de recolhimento prevista no </w:t>
      </w:r>
      <w:r>
        <w:rPr>
          <w:rFonts w:cs="Arial" w:ascii="Arial" w:hAnsi="Arial"/>
          <w:bCs/>
          <w:i/>
          <w:iCs/>
        </w:rPr>
        <w:t xml:space="preserve">caput </w:t>
      </w:r>
      <w:r>
        <w:rPr>
          <w:rFonts w:cs="Arial" w:ascii="Arial" w:hAnsi="Arial"/>
          <w:i/>
          <w:iCs/>
        </w:rPr>
        <w:t>o empresário individual que exerça atividade de comercialização e processamento de produtos de natureza extrativista.</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que trata o § 4º-B do art. 18-A, estabelecidas pelo CGSN:</w:t>
      </w:r>
    </w:p>
    <w:p>
      <w:pPr>
        <w:pStyle w:val="Normal"/>
        <w:tabs>
          <w:tab w:val="clear" w:pos="708"/>
          <w:tab w:val="left" w:pos="1701" w:leader="none"/>
        </w:tabs>
        <w:spacing w:lineRule="auto" w:line="240" w:before="0" w:after="0"/>
        <w:ind w:left="1134" w:hanging="0"/>
        <w:jc w:val="both"/>
        <w:rPr>
          <w:rFonts w:ascii="Arial" w:hAnsi="Arial" w:cs="Arial"/>
          <w:i/>
          <w:i/>
          <w:iCs/>
        </w:rPr>
      </w:pPr>
      <w:r>
        <w:rPr>
          <w:rFonts w:cs="Arial" w:ascii="Arial" w:hAnsi="Arial"/>
          <w:i/>
          <w:iCs/>
        </w:rPr>
        <w:t>§ 4º-B O CGSN determinará as atividades autorizadas a optar pela sistemática de recolhimento de que trata este artigo, de forma a evitar a fragilização das relações de trabalho, bem como sobre a incidência do ICMS e do ISS.</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industrialização, comercialização e prestação de serviços no âmbito rural.</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7.7.</w:t>
      </w:r>
      <w:r>
        <w:rPr>
          <w:rFonts w:cs="Arial" w:ascii="Arial" w:hAnsi="Arial"/>
          <w:iCs/>
        </w:rPr>
        <w:t xml:space="preserve"> As disposições constantes dos arts. 42 a 49 da Lei Complementar nº 123/2006 também se aplicam às </w:t>
      </w:r>
      <w:r>
        <w:rPr>
          <w:rFonts w:cs="Arial" w:ascii="Arial" w:hAnsi="Arial"/>
          <w:iCs/>
          <w:u w:val="single"/>
        </w:rPr>
        <w:t>sociedades cooperativas</w:t>
      </w:r>
      <w:r>
        <w:rPr>
          <w:rFonts w:cs="Arial" w:ascii="Arial" w:hAnsi="Arial"/>
          <w:iCs/>
        </w:rPr>
        <w:t xml:space="preserve"> que tenham auferido, no ano-calendário anterior, receita bruta até o limite definido no inciso II do </w:t>
      </w:r>
      <w:r>
        <w:rPr>
          <w:rFonts w:cs="Arial" w:ascii="Arial" w:hAnsi="Arial"/>
          <w:i/>
          <w:iCs/>
        </w:rPr>
        <w:t xml:space="preserve">caput </w:t>
      </w:r>
      <w:r>
        <w:rPr>
          <w:rFonts w:cs="Arial" w:ascii="Arial" w:hAnsi="Arial"/>
          <w:iCs/>
        </w:rPr>
        <w:t>do art. 3º da Lei Complementar n</w:t>
      </w:r>
      <w:r>
        <w:rPr>
          <w:rFonts w:cs="Arial" w:ascii="Arial" w:hAnsi="Arial"/>
          <w:iCs/>
          <w:vertAlign w:val="superscript"/>
        </w:rPr>
        <w:t xml:space="preserve">o </w:t>
      </w:r>
      <w:r>
        <w:rPr>
          <w:rFonts w:cs="Arial" w:ascii="Arial" w:hAnsi="Arial"/>
          <w:iCs/>
        </w:rPr>
        <w:t>123/2006 (</w:t>
      </w:r>
      <w:hyperlink r:id="rId10">
        <w:r>
          <w:rPr>
            <w:rStyle w:val="LinkdaInternet"/>
            <w:rFonts w:cs="Arial" w:ascii="Arial" w:hAnsi="Arial"/>
            <w:iCs/>
          </w:rPr>
          <w:t>Lei nº 11.488/2007</w:t>
        </w:r>
      </w:hyperlink>
      <w:r>
        <w:rPr>
          <w:rFonts w:cs="Arial" w:ascii="Arial" w:hAnsi="Arial"/>
          <w:iCs/>
        </w:rPr>
        <w:t>, art. 34).</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7.8.</w:t>
      </w:r>
      <w:r>
        <w:rPr>
          <w:rFonts w:cs="Arial" w:ascii="Arial" w:hAnsi="Arial"/>
          <w:iCs/>
        </w:rPr>
        <w:t xml:space="preserve"> Para obtenção dos benefícios, conforme art. 4º, § 2º da Lei nº 14.133/2021, o licitante deverá apresentar declaração (ANEXO V) que, no ano-calendário de realização da licitação, ainda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7.9.</w:t>
      </w:r>
      <w:r>
        <w:rPr>
          <w:rFonts w:cs="Arial" w:ascii="Arial" w:hAnsi="Arial"/>
          <w:iCs/>
        </w:rPr>
        <w:t xml:space="preserve"> Nas contratações com prazo de vigência superior a 1 (um) ano será considerado o valor anual do contrato na aplicação dos limites previstos no art. 4º, §§ 1º e 2º da Lei nº 14.133/2021.</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1701" w:leader="none"/>
        </w:tabs>
        <w:spacing w:lineRule="auto" w:line="240" w:before="0" w:after="0"/>
        <w:jc w:val="both"/>
        <w:rPr>
          <w:rFonts w:ascii="Arial" w:hAnsi="Arial" w:cs="Arial"/>
          <w:b/>
          <w:b/>
        </w:rPr>
      </w:pPr>
      <w:r>
        <w:rPr>
          <w:rFonts w:cs="Arial" w:ascii="Arial" w:hAnsi="Arial"/>
          <w:b/>
        </w:rPr>
        <w:t xml:space="preserve">8. </w:t>
      </w:r>
      <w:r>
        <w:rPr>
          <w:rFonts w:cs="Arial" w:ascii="Arial" w:hAnsi="Arial"/>
          <w:b/>
          <w:iCs/>
        </w:rPr>
        <w:t>PARTICIPAÇÃO DE CONSÓRCIOS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iCs/>
        </w:rPr>
        <w:t>8.1.</w:t>
      </w:r>
      <w:r>
        <w:rPr>
          <w:rFonts w:cs="Arial" w:ascii="Arial" w:hAnsi="Arial"/>
          <w:iCs/>
        </w:rPr>
        <w:t xml:space="preserve"> É impedida a </w:t>
      </w:r>
      <w:r>
        <w:rPr>
          <w:rFonts w:cs="Arial" w:ascii="Arial" w:hAnsi="Arial"/>
        </w:rPr>
        <w:t>empresa consorciada participar, na mesma licitação, de mais de um consórcio ou de forma isolada.</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iCs/>
        </w:rPr>
        <w:t>8.2.</w:t>
      </w:r>
      <w:r>
        <w:rPr>
          <w:rFonts w:cs="Arial" w:ascii="Arial" w:hAnsi="Arial"/>
          <w:iCs/>
        </w:rPr>
        <w:t xml:space="preserve"> </w:t>
      </w:r>
      <w:r>
        <w:rPr>
          <w:rFonts w:cs="Arial" w:ascii="Arial" w:hAnsi="Arial"/>
        </w:rPr>
        <w:t>A responsabilidade dos integrantes é solidária pelos atos praticados em consórcio, tanto na fase de licitação quanto na de execução do contrato.</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rPr>
        <w:t>8.3.</w:t>
      </w:r>
      <w:r>
        <w:rPr>
          <w:rFonts w:cs="Arial" w:ascii="Arial" w:hAnsi="Arial"/>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pPr>
        <w:pStyle w:val="Normal"/>
        <w:tabs>
          <w:tab w:val="clear" w:pos="708"/>
          <w:tab w:val="left" w:pos="567" w:leader="none"/>
        </w:tabs>
        <w:spacing w:lineRule="auto" w:line="240" w:before="0" w:after="0"/>
        <w:jc w:val="both"/>
        <w:rPr>
          <w:rFonts w:ascii="Arial" w:hAnsi="Arial" w:cs="Arial"/>
        </w:rPr>
      </w:pPr>
      <w:r>
        <w:rPr>
          <w:rFonts w:cs="Arial" w:ascii="Arial" w:hAnsi="Arial"/>
          <w:bCs/>
        </w:rPr>
        <w:t>8.4.</w:t>
      </w:r>
      <w:r>
        <w:rPr>
          <w:rFonts w:cs="Arial" w:ascii="Arial" w:hAnsi="Arial"/>
        </w:rPr>
        <w:t xml:space="preserve"> Na fase de habilitação:</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TÉCNICA: é admitido o somatório dos quantitativos de cada consorciado;</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 xml:space="preserve">ECONÔMICO-FINANCEIRA: </w:t>
      </w:r>
    </w:p>
    <w:p>
      <w:pPr>
        <w:pStyle w:val="ListParagraph"/>
        <w:widowControl w:val="false"/>
        <w:numPr>
          <w:ilvl w:val="0"/>
          <w:numId w:val="10"/>
        </w:numPr>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t>Admissão do somatório dos valores de cada;</w:t>
      </w:r>
    </w:p>
    <w:p>
      <w:pPr>
        <w:pStyle w:val="ListParagraph"/>
        <w:widowControl w:val="false"/>
        <w:numPr>
          <w:ilvl w:val="0"/>
          <w:numId w:val="10"/>
        </w:numPr>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t>Acréscimo de 10% (dez por cento) a 30% (trinta por cento) sobre o valor exigido de licitante individual para a habilitação econômico-financeira, salvo justificação; o referido acréscimo não se aplica aos consórcios compostos, em sua totalidade, de microempresas e pequenas empresas, assim definidas em lei.</w:t>
      </w:r>
    </w:p>
    <w:p>
      <w:pPr>
        <w:pStyle w:val="ListParagraph"/>
        <w:widowControl w:val="false"/>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8.5.</w:t>
      </w:r>
      <w:r>
        <w:rPr>
          <w:rFonts w:cs="Arial" w:ascii="Arial" w:hAnsi="Arial"/>
          <w:b/>
          <w:iCs/>
        </w:rPr>
        <w:t xml:space="preserve"> </w:t>
      </w:r>
      <w:r>
        <w:rPr>
          <w:rFonts w:cs="Arial" w:ascii="Arial" w:hAnsi="Arial"/>
          <w:iCs/>
        </w:rPr>
        <w:t>A assinatura do contrato será condicionada à:</w:t>
      </w:r>
    </w:p>
    <w:p>
      <w:pPr>
        <w:pStyle w:val="ListParagraph"/>
        <w:widowControl w:val="false"/>
        <w:numPr>
          <w:ilvl w:val="0"/>
          <w:numId w:val="11"/>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Comprovação de compromisso público ou particular de constituição de consórcio, subscrito pelos consorciados;</w:t>
      </w:r>
    </w:p>
    <w:p>
      <w:pPr>
        <w:pStyle w:val="ListParagraph"/>
        <w:widowControl w:val="false"/>
        <w:numPr>
          <w:ilvl w:val="0"/>
          <w:numId w:val="11"/>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Indicação da empresa líder do consórcio, que será responsável por sua representação perante a Administração.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1701" w:leader="none"/>
        </w:tabs>
        <w:spacing w:lineRule="auto" w:line="240" w:before="0" w:after="0"/>
        <w:jc w:val="both"/>
        <w:rPr>
          <w:rFonts w:ascii="Arial" w:hAnsi="Arial" w:cs="Arial"/>
          <w:b/>
          <w:b/>
        </w:rPr>
      </w:pPr>
      <w:r>
        <w:rPr>
          <w:rFonts w:cs="Arial" w:ascii="Arial" w:hAnsi="Arial"/>
          <w:b/>
        </w:rPr>
        <w:t xml:space="preserve">9. </w:t>
      </w:r>
      <w:r>
        <w:rPr>
          <w:rFonts w:cs="Arial" w:ascii="Arial" w:hAnsi="Arial"/>
          <w:b/>
          <w:iCs/>
        </w:rPr>
        <w:t>PARTICIPAÇÃO DE COOPERATIVAS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9.1.</w:t>
      </w:r>
      <w:r>
        <w:rPr>
          <w:rFonts w:cs="Arial" w:ascii="Arial" w:hAnsi="Arial"/>
          <w:iCs/>
        </w:rPr>
        <w:t xml:space="preserve"> Conforme art. 16 da Lei nº 14.133/2021, os profissionais organizados sob a forma de cooperativa poderão participar de licitação quando:</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 xml:space="preserve"> </w:t>
      </w:r>
      <w:r>
        <w:rPr>
          <w:rFonts w:cs="Arial" w:ascii="Arial" w:hAnsi="Arial"/>
        </w:rPr>
        <w:t>A constituição e o funcionamento da cooperativa observarem as regras estabelecidas na legislação aplicável, em especial:</w:t>
      </w:r>
    </w:p>
    <w:p>
      <w:pPr>
        <w:pStyle w:val="ListParagraph"/>
        <w:widowControl w:val="false"/>
        <w:numPr>
          <w:ilvl w:val="0"/>
          <w:numId w:val="13"/>
        </w:numPr>
        <w:tabs>
          <w:tab w:val="clear" w:pos="708"/>
          <w:tab w:val="left" w:pos="1701" w:leader="none"/>
        </w:tabs>
        <w:spacing w:lineRule="auto" w:line="240" w:before="0" w:after="0"/>
        <w:ind w:left="1134" w:hanging="0"/>
        <w:contextualSpacing/>
        <w:jc w:val="both"/>
        <w:textAlignment w:val="baseline"/>
        <w:rPr>
          <w:rFonts w:ascii="Arial" w:hAnsi="Arial" w:cs="Arial"/>
        </w:rPr>
      </w:pPr>
      <w:hyperlink r:id="rId11">
        <w:r>
          <w:rPr>
            <w:rStyle w:val="LinkdaInternet"/>
            <w:rFonts w:cs="Arial" w:ascii="Arial" w:hAnsi="Arial"/>
          </w:rPr>
          <w:t>Lei nº 5.764, de 16 de dezembro de 1971</w:t>
        </w:r>
      </w:hyperlink>
      <w:r>
        <w:rPr>
          <w:rFonts w:cs="Arial" w:ascii="Arial" w:hAnsi="Arial"/>
        </w:rPr>
        <w:t xml:space="preserve"> – Define a Política Nacional de Cooperativismo, institui o regime jurídico das sociedades cooperativas, e dá outras providências;</w:t>
      </w:r>
    </w:p>
    <w:p>
      <w:pPr>
        <w:pStyle w:val="ListParagraph"/>
        <w:widowControl w:val="false"/>
        <w:numPr>
          <w:ilvl w:val="0"/>
          <w:numId w:val="13"/>
        </w:numPr>
        <w:tabs>
          <w:tab w:val="clear" w:pos="708"/>
          <w:tab w:val="left" w:pos="1701" w:leader="none"/>
        </w:tabs>
        <w:spacing w:lineRule="auto" w:line="240" w:before="0" w:after="0"/>
        <w:ind w:left="1134" w:hanging="0"/>
        <w:contextualSpacing/>
        <w:jc w:val="both"/>
        <w:textAlignment w:val="baseline"/>
        <w:rPr>
          <w:rFonts w:ascii="Arial" w:hAnsi="Arial" w:cs="Arial"/>
        </w:rPr>
      </w:pPr>
      <w:hyperlink r:id="rId12">
        <w:r>
          <w:rPr>
            <w:rStyle w:val="LinkdaInternet"/>
            <w:rFonts w:cs="Arial" w:ascii="Arial" w:hAnsi="Arial"/>
          </w:rPr>
          <w:t>Lei nº 12.690, de 19 de julho de 2012</w:t>
        </w:r>
      </w:hyperlink>
      <w:r>
        <w:rPr>
          <w:rFonts w:cs="Arial" w:ascii="Arial" w:hAnsi="Arial"/>
        </w:rPr>
        <w:t xml:space="preserve"> – Dispõe sobre a organização e o funcionamento das Cooperativas de Trabalho; institui o Programa Nacional de Fomento às Cooperativas de Trabalho - PRONACOOP; e revoga o parágrafo único do art. 442 da Consolidação das Leis do Trabalho - CLT, aprovada pelo Decreto-Lei nº 5.452, de 1º de maio de 1943;</w:t>
      </w:r>
    </w:p>
    <w:p>
      <w:pPr>
        <w:pStyle w:val="ListParagraph"/>
        <w:widowControl w:val="false"/>
        <w:numPr>
          <w:ilvl w:val="0"/>
          <w:numId w:val="13"/>
        </w:numPr>
        <w:tabs>
          <w:tab w:val="clear" w:pos="708"/>
          <w:tab w:val="left" w:pos="1701" w:leader="none"/>
        </w:tabs>
        <w:spacing w:lineRule="auto" w:line="240" w:before="0" w:after="0"/>
        <w:ind w:left="1134" w:hanging="0"/>
        <w:contextualSpacing/>
        <w:jc w:val="both"/>
        <w:textAlignment w:val="baseline"/>
        <w:rPr>
          <w:rFonts w:ascii="Arial" w:hAnsi="Arial" w:cs="Arial"/>
        </w:rPr>
      </w:pPr>
      <w:hyperlink r:id="rId13">
        <w:r>
          <w:rPr>
            <w:rStyle w:val="LinkdaInternet"/>
            <w:rFonts w:cs="Arial" w:ascii="Arial" w:hAnsi="Arial"/>
          </w:rPr>
          <w:t>Lei Complementar nº 130, de 17 de abril de 2009</w:t>
        </w:r>
      </w:hyperlink>
      <w:r>
        <w:rPr>
          <w:rFonts w:cs="Arial" w:ascii="Arial" w:hAnsi="Arial"/>
        </w:rPr>
        <w:t xml:space="preserve"> – Dispõe sobre o Sistema Nacional de Crédito Cooperativo e revoga dispositivos das Leis n</w:t>
      </w:r>
      <w:r>
        <w:rPr>
          <w:rFonts w:cs="Arial" w:ascii="Arial" w:hAnsi="Arial"/>
          <w:u w:val="single"/>
          <w:vertAlign w:val="superscript"/>
        </w:rPr>
        <w:t xml:space="preserve">os </w:t>
      </w:r>
      <w:r>
        <w:rPr>
          <w:rFonts w:cs="Arial" w:ascii="Arial" w:hAnsi="Arial"/>
        </w:rPr>
        <w:t>4.595, de 31 de dezembro de 1964, e 5.764, de 16 de dezembro de 1971.</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3" w:name="art16ii"/>
      <w:bookmarkEnd w:id="3"/>
      <w:r>
        <w:rPr>
          <w:rFonts w:cs="Arial" w:ascii="Arial" w:hAnsi="Arial"/>
        </w:rPr>
        <w:t>A cooperativa apresentar demonstrativo de atuação em regime cooperado, com repartição de receitas e despesas entre os cooperados;</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4" w:name="art16iii"/>
      <w:bookmarkEnd w:id="4"/>
      <w:r>
        <w:rPr>
          <w:rFonts w:cs="Arial" w:ascii="Arial" w:hAnsi="Arial"/>
        </w:rPr>
        <w:t>Qualquer cooperado, com igual qualificação, for capaz de executar o objeto contratado, vedado à Administração indicar nominalmente pessoas;</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 w:name="art16iv"/>
      <w:bookmarkEnd w:id="5"/>
      <w:r>
        <w:rPr>
          <w:rFonts w:cs="Arial" w:ascii="Arial" w:hAnsi="Arial"/>
        </w:rPr>
        <w:t xml:space="preserve">O objeto da licitação referir-se, em se tratando de cooperativas enquadradas na </w:t>
      </w:r>
      <w:hyperlink r:id="rId14">
        <w:r>
          <w:rPr>
            <w:rStyle w:val="LinkdaInternet"/>
            <w:rFonts w:cs="Arial" w:ascii="Arial" w:hAnsi="Arial"/>
          </w:rPr>
          <w:t>Lei nº 12.690, de 19 de julho de 2012</w:t>
        </w:r>
      </w:hyperlink>
      <w:r>
        <w:rPr>
          <w:rFonts w:cs="Arial" w:ascii="Arial" w:hAnsi="Arial"/>
        </w:rPr>
        <w:t>, a serviços especializados constantes do objeto social da cooperativa, a serem executados de forma complementar à sua atuação.</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9.2.</w:t>
      </w:r>
      <w:r>
        <w:rPr>
          <w:rFonts w:cs="Arial" w:ascii="Arial" w:hAnsi="Arial"/>
          <w:iCs/>
        </w:rPr>
        <w:t xml:space="preserve"> Conforme art. 34 da </w:t>
      </w:r>
      <w:hyperlink r:id="rId15">
        <w:r>
          <w:rPr>
            <w:rStyle w:val="LinkdaInternet"/>
            <w:rFonts w:cs="Arial" w:ascii="Arial" w:hAnsi="Arial"/>
            <w:iCs/>
          </w:rPr>
          <w:t>Lei nº 11.488/2007</w:t>
        </w:r>
      </w:hyperlink>
      <w:r>
        <w:rPr>
          <w:rFonts w:cs="Arial" w:ascii="Arial" w:hAnsi="Arial"/>
          <w:iCs/>
        </w:rPr>
        <w:t xml:space="preserve">, aplica-se às sociedades cooperativas que tenham auferido, no ano-calendário anterior, receita bruta até o limite definido no inciso II do </w:t>
      </w:r>
      <w:r>
        <w:rPr>
          <w:rFonts w:cs="Arial" w:ascii="Arial" w:hAnsi="Arial"/>
          <w:i/>
          <w:iCs/>
        </w:rPr>
        <w:t xml:space="preserve">caput </w:t>
      </w:r>
      <w:r>
        <w:rPr>
          <w:rFonts w:cs="Arial" w:ascii="Arial" w:hAnsi="Arial"/>
          <w:iCs/>
        </w:rPr>
        <w:t>do art. 3º da Lei Complementar n</w:t>
      </w:r>
      <w:r>
        <w:rPr>
          <w:rFonts w:cs="Arial" w:ascii="Arial" w:hAnsi="Arial"/>
          <w:iCs/>
          <w:vertAlign w:val="superscript"/>
        </w:rPr>
        <w:t xml:space="preserve">o </w:t>
      </w:r>
      <w:r>
        <w:rPr>
          <w:rFonts w:cs="Arial" w:ascii="Arial" w:hAnsi="Arial"/>
          <w:iCs/>
        </w:rPr>
        <w:t>123/2006, nela incluídos os atos cooperados e não-cooperados, o disposto nos Capítulos V a X, na Seção IV do Capítulo XI, e no Capítulo XII da referida Lei Complementar.</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hd w:val="clear" w:color="auto" w:fill="AEAAAA" w:themeFill="background2" w:themeFillShade="bf"/>
        <w:tabs>
          <w:tab w:val="clear" w:pos="708"/>
          <w:tab w:val="left" w:pos="1701" w:leader="none"/>
        </w:tabs>
        <w:spacing w:lineRule="auto" w:line="240" w:before="0" w:after="0"/>
        <w:jc w:val="both"/>
        <w:rPr>
          <w:rFonts w:ascii="Arial" w:hAnsi="Arial" w:cs="Arial"/>
          <w:b/>
          <w:b/>
        </w:rPr>
      </w:pPr>
      <w:r>
        <w:rPr>
          <w:rFonts w:cs="Arial" w:ascii="Arial" w:hAnsi="Arial"/>
          <w:b/>
        </w:rPr>
        <w:t xml:space="preserve">10. </w:t>
      </w:r>
      <w:r>
        <w:rPr>
          <w:rFonts w:cs="Arial" w:ascii="Arial" w:hAnsi="Arial"/>
          <w:b/>
          <w:iCs/>
        </w:rPr>
        <w:t>REGRAS GERAIS PARA DOCUMENTAÇÃO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10.1.</w:t>
      </w:r>
      <w:r>
        <w:rPr>
          <w:rFonts w:cs="Arial" w:ascii="Arial" w:hAnsi="Arial"/>
          <w:iCs/>
        </w:rPr>
        <w:t xml:space="preserve"> Conforme art. 12 da Lei nº 14.133/2021:</w:t>
      </w:r>
    </w:p>
    <w:p>
      <w:pPr>
        <w:pStyle w:val="ListParagraph"/>
        <w:widowControl w:val="false"/>
        <w:numPr>
          <w:ilvl w:val="0"/>
          <w:numId w:val="14"/>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Os documentos serão produzidos por escrito, com data e local de sua realização e assinatura dos responsáveis;</w:t>
      </w:r>
    </w:p>
    <w:p>
      <w:pPr>
        <w:pStyle w:val="ListParagraph"/>
        <w:widowControl w:val="false"/>
        <w:numPr>
          <w:ilvl w:val="0"/>
          <w:numId w:val="14"/>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Os valores, os preços e os custos utilizados terão como expressão monetária a moeda corrente nacional, ressalvado o disposto no art. 52 da Lei nº 14.133/2021 (licitações internacionais);</w:t>
      </w:r>
    </w:p>
    <w:p>
      <w:pPr>
        <w:pStyle w:val="ListParagraph"/>
        <w:widowControl w:val="false"/>
        <w:numPr>
          <w:ilvl w:val="0"/>
          <w:numId w:val="14"/>
        </w:numPr>
        <w:tabs>
          <w:tab w:val="clear" w:pos="708"/>
          <w:tab w:val="left" w:pos="1134" w:leader="none"/>
        </w:tabs>
        <w:spacing w:lineRule="auto" w:line="240" w:before="0" w:after="0"/>
        <w:ind w:left="567" w:hanging="0"/>
        <w:contextualSpacing/>
        <w:jc w:val="both"/>
        <w:textAlignment w:val="baseline"/>
        <w:rPr>
          <w:rFonts w:ascii="Arial" w:hAnsi="Arial" w:cs="Arial"/>
          <w:color w:val="000000"/>
        </w:rPr>
      </w:pPr>
      <w:r>
        <w:rPr>
          <w:rFonts w:cs="Arial" w:ascii="Arial" w:hAnsi="Arial"/>
          <w:iCs/>
          <w:color w:val="000000"/>
        </w:rPr>
        <w:t>O desatendimento de exigências meramente formais que não comprometam a aferição da qualificação do licitante ou a compreensão do conteúdo de sua proposta não importará seu afastamento da licitação ou a invalidação do processo, sendo que a decisão sobre tal desatendimento poderá ser precedida de parecer jurídico;</w:t>
      </w:r>
    </w:p>
    <w:p>
      <w:pPr>
        <w:pStyle w:val="ListParagraph"/>
        <w:widowControl w:val="false"/>
        <w:numPr>
          <w:ilvl w:val="0"/>
          <w:numId w:val="14"/>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A prova de autenticidade de cópia de documento público ou particular poderá ser feita perante agente da Administração Pública Municipal, mediante apresentação de original ou de declaração de autenticidade por advogado, sob sua responsabilidade pessoal;</w:t>
      </w:r>
    </w:p>
    <w:p>
      <w:pPr>
        <w:pStyle w:val="ListParagraph"/>
        <w:widowControl w:val="false"/>
        <w:numPr>
          <w:ilvl w:val="0"/>
          <w:numId w:val="14"/>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O reconhecimento de firma somente será exigido quando houver dúvida de autenticidade, salvo imposição legal;</w:t>
      </w:r>
    </w:p>
    <w:p>
      <w:pPr>
        <w:pStyle w:val="ListParagraph"/>
        <w:widowControl w:val="false"/>
        <w:numPr>
          <w:ilvl w:val="0"/>
          <w:numId w:val="14"/>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Os atos serão preferencialmente digitais, de forma a permitir que sejam produzidos, comunicados, armazenados e validados por meio eletrônico;</w:t>
      </w:r>
    </w:p>
    <w:p>
      <w:pPr>
        <w:pStyle w:val="ListParagraph"/>
        <w:widowControl w:val="false"/>
        <w:numPr>
          <w:ilvl w:val="0"/>
          <w:numId w:val="14"/>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É permitida a identificação e assinatura digital por pessoa física ou jurídica em meio eletrônico, mediante certificado digital emitido em âmbito da Infraestrutura de Chaves Públicas Brasileira (ICP-Brasil).</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1701" w:leader="none"/>
        </w:tabs>
        <w:spacing w:lineRule="auto" w:line="240" w:before="0" w:after="0"/>
        <w:jc w:val="both"/>
        <w:rPr>
          <w:rFonts w:ascii="Arial" w:hAnsi="Arial" w:cs="Arial"/>
          <w:b/>
          <w:b/>
        </w:rPr>
      </w:pPr>
      <w:r>
        <w:rPr>
          <w:rFonts w:cs="Arial" w:ascii="Arial" w:hAnsi="Arial"/>
          <w:b/>
        </w:rPr>
        <w:t xml:space="preserve">11. </w:t>
      </w:r>
      <w:r>
        <w:rPr>
          <w:rFonts w:cs="Arial" w:ascii="Arial" w:hAnsi="Arial"/>
          <w:b/>
          <w:iCs/>
        </w:rPr>
        <w:t>FASES DE PROPOSTA E HABILITAÇÃO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11.1.</w:t>
      </w:r>
      <w:r>
        <w:rPr>
          <w:rFonts w:cs="Arial" w:ascii="Arial" w:hAnsi="Arial"/>
          <w:iCs/>
        </w:rPr>
        <w:t xml:space="preserve"> Para este certame, a fase de PROPOSTA será anterior à fase de HABILITAÇÃO.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11.2.</w:t>
      </w:r>
      <w:r>
        <w:rPr>
          <w:rFonts w:cs="Arial" w:ascii="Arial" w:hAnsi="Arial"/>
          <w:iCs/>
        </w:rPr>
        <w:t xml:space="preserve"> A fase RECURSAL será única.</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1701" w:leader="none"/>
        </w:tabs>
        <w:spacing w:lineRule="auto" w:line="240" w:before="0" w:after="0"/>
        <w:jc w:val="both"/>
        <w:rPr>
          <w:rFonts w:ascii="Arial" w:hAnsi="Arial" w:cs="Arial"/>
          <w:b/>
          <w:b/>
        </w:rPr>
      </w:pPr>
      <w:r>
        <w:rPr>
          <w:rFonts w:cs="Arial" w:ascii="Arial" w:hAnsi="Arial"/>
          <w:b/>
        </w:rPr>
        <w:t xml:space="preserve">12. </w:t>
      </w:r>
      <w:r>
        <w:rPr>
          <w:rFonts w:cs="Arial" w:ascii="Arial" w:hAnsi="Arial"/>
          <w:b/>
          <w:iCs/>
        </w:rPr>
        <w:t>DAS PROPOSTAS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12.1. Os proponentes encaminharão, exclusivamente por meio do sistema eletrônico, os documentos de habilitação exigidos no edital, proposta com a descrição do objeto ofertado e o preço, até a data e o horário estabelecidos para abertura da sessão pública.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12.2. O envio da proposta, acompanhada dos documentos de habilitação exigidos neste Edital, ocorrerá por meio de chave de acesso e senha.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12.3.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t xml:space="preserve">12.4. Os documentos que compõem a proposta e a habilitação do proponente melhor classificado somente serão disponibilizados para avaliação do pregoeiro e para acesso público após o encerramento do envio de lances. </w:t>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r>
    </w:p>
    <w:p>
      <w:pPr>
        <w:pStyle w:val="Normal"/>
        <w:shd w:val="clear" w:color="auto" w:fill="E7E6E6" w:themeFill="background2"/>
        <w:tabs>
          <w:tab w:val="clear" w:pos="708"/>
          <w:tab w:val="left" w:pos="567" w:leader="none"/>
        </w:tabs>
        <w:spacing w:lineRule="auto" w:line="240" w:before="0" w:after="0"/>
        <w:jc w:val="both"/>
        <w:rPr>
          <w:rFonts w:ascii="Arial" w:hAnsi="Arial" w:cs="Arial"/>
        </w:rPr>
      </w:pPr>
      <w:r>
        <w:rPr>
          <w:rFonts w:cs="Arial" w:ascii="Arial" w:hAnsi="Arial"/>
          <w:b/>
          <w:iCs/>
        </w:rPr>
        <w:t>12.5.</w:t>
      </w:r>
      <w:r>
        <w:rPr>
          <w:rFonts w:cs="Arial" w:ascii="Arial" w:hAnsi="Arial"/>
          <w:iCs/>
        </w:rPr>
        <w:t xml:space="preserve"> CRITÉRIO DE JULGAMENTO: MENOR PREÇO.</w:t>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12.5.1.</w:t>
      </w:r>
      <w:r>
        <w:rPr>
          <w:rFonts w:cs="Arial" w:ascii="Arial" w:hAnsi="Arial"/>
          <w:b/>
          <w:iCs/>
        </w:rPr>
        <w:t xml:space="preserve"> </w:t>
      </w:r>
      <w:r>
        <w:rPr>
          <w:rFonts w:cs="Arial" w:ascii="Arial" w:hAnsi="Arial"/>
          <w:iCs/>
        </w:rPr>
        <w:t>Para elaboração das propostas o licitante deve:</w:t>
      </w:r>
    </w:p>
    <w:p>
      <w:pPr>
        <w:pStyle w:val="ListParagraph"/>
        <w:widowControl w:val="false"/>
        <w:numPr>
          <w:ilvl w:val="0"/>
          <w:numId w:val="4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Apresentar sua proposta com valor </w:t>
      </w:r>
      <w:r>
        <w:rPr>
          <w:rFonts w:cs="Arial" w:ascii="Arial" w:hAnsi="Arial"/>
          <w:b/>
          <w:bCs/>
          <w:iCs/>
        </w:rPr>
        <w:t>não</w:t>
      </w:r>
      <w:r>
        <w:rPr>
          <w:rFonts w:cs="Arial" w:ascii="Arial" w:hAnsi="Arial"/>
          <w:iCs/>
        </w:rPr>
        <w:t xml:space="preserve"> superior ao valor máximo indicado pela Administração Pública Municipal;</w:t>
      </w:r>
    </w:p>
    <w:p>
      <w:pPr>
        <w:pStyle w:val="ListParagraph"/>
        <w:widowControl w:val="false"/>
        <w:numPr>
          <w:ilvl w:val="0"/>
          <w:numId w:val="4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Elaborar sua proposta levando em consideração a utilização de mão de obra, materiais, tecnologias e matérias-primas existentes no local da execução, conservação e operação do bem ou serviço </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12.5.2.</w:t>
      </w:r>
      <w:r>
        <w:rPr>
          <w:rFonts w:cs="Arial" w:ascii="Arial" w:hAnsi="Arial"/>
          <w:iCs/>
        </w:rPr>
        <w:t xml:space="preserve"> O conteúdo das propostas é sigiloso até a abertura da sessão pública (art. 13, I da Lei nº 14.133/2021), sob pena de incursão no art. 337-J do </w:t>
      </w:r>
      <w:hyperlink r:id="rId16">
        <w:r>
          <w:rPr>
            <w:rStyle w:val="LinkdaInternet"/>
            <w:rFonts w:cs="Arial" w:ascii="Arial" w:hAnsi="Arial"/>
            <w:iCs/>
          </w:rPr>
          <w:t>Código Penal</w:t>
        </w:r>
        <w:r>
          <w:rPr>
            <w:rStyle w:val="LinkdaInternet"/>
            <w:rStyle w:val="Ncoradanotaderodap"/>
            <w:rFonts w:cs="Arial" w:ascii="Arial" w:hAnsi="Arial"/>
            <w:iCs/>
          </w:rPr>
          <w:footnoteReference w:id="2"/>
        </w:r>
      </w:hyperlink>
      <w:r>
        <w:rPr>
          <w:rFonts w:cs="Arial" w:ascii="Arial" w:hAnsi="Arial"/>
          <w:iCs/>
        </w:rPr>
        <w:t>.</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12.5.3.</w:t>
      </w:r>
      <w:r>
        <w:rPr>
          <w:rFonts w:cs="Arial" w:ascii="Arial" w:hAnsi="Arial"/>
          <w:iCs/>
        </w:rPr>
        <w:t xml:space="preserve"> O licitante deverá encaminhar proposta exclusivamente por meio do sistema eletrônico até a data e o horário marcados para abertura da sessão, quando então se encerrará automaticamente a etapa de envio da proposta.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rFonts w:ascii="Arial" w:hAnsi="Arial" w:cs="Arial"/>
        </w:rPr>
      </w:pPr>
      <w:r>
        <w:rPr>
          <w:rFonts w:eastAsia="Calibri" w:cs="Arial" w:ascii="Arial" w:hAnsi="Arial"/>
        </w:rPr>
        <w:t xml:space="preserve">12.5.3.1. </w:t>
      </w:r>
      <w:r>
        <w:rPr>
          <w:rFonts w:cs="Arial" w:ascii="Arial" w:hAnsi="Arial"/>
        </w:rPr>
        <w:t xml:space="preserve">A proposta de preços deverá ser enviada exclusivamente via sistema, redigida em idioma nacional, sem cotações alternativas, emendas, rasuras ou entrelinhas, devendo ser datada e assinada pelo representante legal do proponente devidamente identificado, contendo identificação do proponente, endereço, telefone e e-mail.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 xml:space="preserve">12.5.3.2. </w:t>
      </w:r>
      <w:r>
        <w:rPr>
          <w:rFonts w:cs="Arial" w:ascii="Arial" w:hAnsi="Arial"/>
        </w:rPr>
        <w:t>Após a fase de lances, a proposta atualizada deverá ser enviada no prazo máximo de até 02 (duas) horas após a convocação do pregoeiro.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 xml:space="preserve">12.5.3.3. </w:t>
      </w:r>
      <w:r>
        <w:rPr>
          <w:rFonts w:cs="Arial" w:ascii="Arial" w:hAnsi="Arial"/>
        </w:rPr>
        <w:t xml:space="preserve">Não serão aceitas propostas sem a assinatura do representante legal do proponente devidamente identificado.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 xml:space="preserve">12.5.3.4. </w:t>
      </w:r>
      <w:r>
        <w:rPr>
          <w:rFonts w:cs="Arial" w:ascii="Arial" w:hAnsi="Arial"/>
        </w:rPr>
        <w:t xml:space="preserve">A proposta deverá ser apresentada de acordo com o modelo constante do Anexo </w:t>
      </w:r>
      <w:r>
        <w:rPr>
          <w:rFonts w:eastAsia="Calibri" w:cs="Arial" w:ascii="Arial" w:hAnsi="Arial"/>
        </w:rPr>
        <w:t>VI</w:t>
      </w:r>
      <w:r>
        <w:rPr>
          <w:rFonts w:cs="Arial" w:ascii="Arial" w:hAnsi="Arial"/>
        </w:rPr>
        <w:t xml:space="preserve"> deste Edital e deverá conter, sob pena de desclassificação: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 xml:space="preserve">12.5.3.5. </w:t>
      </w:r>
      <w:r>
        <w:rPr>
          <w:rFonts w:cs="Arial" w:ascii="Arial" w:hAnsi="Arial"/>
        </w:rPr>
        <w:t xml:space="preserve">A identificação/descrição do objeto ofertado, de forma a permitir que o Pregoeiro possa facilmente constatar que as especificações no presente Pregão foram ou não atendidas, observadas as especificações constantes nos Anexos do presente Edital;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 xml:space="preserve">12.5.3.6. </w:t>
      </w:r>
      <w:r>
        <w:rPr>
          <w:rFonts w:cs="Arial" w:ascii="Arial" w:hAnsi="Arial"/>
        </w:rPr>
        <w:t xml:space="preserve">O preço unitário e os preços totais cotados em reais, com no máximo 02 (dois) algarismos decimais após a vírgula;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12.5.3.7.</w:t>
      </w:r>
      <w:r>
        <w:rPr>
          <w:rFonts w:eastAsia="Calibri" w:cs="Arial" w:ascii="Arial" w:hAnsi="Arial"/>
          <w:b/>
          <w:bCs/>
        </w:rPr>
        <w:t xml:space="preserve"> </w:t>
      </w:r>
      <w:r>
        <w:rPr>
          <w:rFonts w:eastAsia="Calibri" w:cs="Arial" w:ascii="Arial" w:hAnsi="Arial"/>
        </w:rPr>
        <w:t>A</w:t>
      </w:r>
      <w:r>
        <w:rPr>
          <w:rFonts w:cs="Arial" w:ascii="Arial" w:hAnsi="Arial"/>
        </w:rPr>
        <w:t xml:space="preserve"> identificação da marca e do modelo do objeto ofertado;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 xml:space="preserve">12.5.3.8. </w:t>
      </w:r>
      <w:r>
        <w:rPr>
          <w:rFonts w:cs="Arial" w:ascii="Arial" w:hAnsi="Arial"/>
        </w:rPr>
        <w:t xml:space="preserve">Havendo divergência entre o valor unitário e total, prevalecerá o valor unitário.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eastAsia="Calibri" w:cs="Arial" w:ascii="Arial" w:hAnsi="Arial"/>
        </w:rPr>
        <w:t xml:space="preserve">12.5.3.9. </w:t>
      </w:r>
      <w:r>
        <w:rPr>
          <w:rFonts w:cs="Arial" w:ascii="Arial" w:hAnsi="Arial"/>
        </w:rPr>
        <w:t xml:space="preserve">Serão desconsideradas as propostas que apresentarem alternativas de preços ou qualquer outra condição não prevista neste Edital. </w:t>
      </w:r>
    </w:p>
    <w:p>
      <w:pPr>
        <w:pStyle w:val="Normal"/>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iCs/>
        </w:rPr>
      </w:pPr>
      <w:r>
        <w:rPr>
          <w:rFonts w:eastAsia="Calibri" w:cs="Arial" w:ascii="Arial" w:hAnsi="Arial"/>
          <w:iCs/>
        </w:rPr>
        <w:t>12.5.3.10.</w:t>
      </w:r>
      <w:r>
        <w:rPr>
          <w:rFonts w:cs="Arial" w:ascii="Arial" w:hAnsi="Arial"/>
          <w:iCs/>
        </w:rPr>
        <w:t xml:space="preserve"> Se a adjudicação não puder ocorrer dentro do período de validade da proposta, ou seja, 60 (sessenta) dias, e caso persista o interesse do Município, este poderá solicitar a prorrogação da validade da proposta por igual prazo. </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12.5.4.</w:t>
      </w:r>
      <w:r>
        <w:rPr>
          <w:rFonts w:cs="Arial" w:ascii="Arial" w:hAnsi="Arial"/>
          <w:iCs/>
        </w:rPr>
        <w:t xml:space="preserve"> Qualquer elemento que possa identificar o licitante importará desclassificação da proposta, sem prejuízo das sanções previstas neste edital.</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12.5.5.</w:t>
      </w:r>
      <w:r>
        <w:rPr>
          <w:rFonts w:cs="Arial" w:ascii="Arial" w:hAnsi="Arial"/>
          <w:iCs/>
        </w:rPr>
        <w:t xml:space="preserve"> Até a abertura da sessão, o licitante poderá retirar ou substituir a proposta anteriormente encaminhada.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iCs/>
        </w:rPr>
        <w:t>12.5.6.</w:t>
      </w:r>
      <w:r>
        <w:rPr>
          <w:rFonts w:cs="Arial" w:ascii="Arial" w:hAnsi="Arial"/>
          <w:iCs/>
        </w:rPr>
        <w:t xml:space="preserve"> O prazo de validade da proposta n</w:t>
      </w:r>
      <w:r>
        <w:rPr>
          <w:rFonts w:cs="Arial" w:ascii="Arial" w:hAnsi="Arial"/>
        </w:rPr>
        <w:t>ão será inferior a 60 (sessenta) dias, a contar da data de sua apresentação.</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12.5.7.</w:t>
      </w:r>
      <w:r>
        <w:rPr>
          <w:rFonts w:cs="Arial" w:ascii="Arial" w:hAnsi="Arial"/>
          <w:iCs/>
        </w:rPr>
        <w:t xml:space="preserve"> Decorrido o prazo de validade das propostas sem convocação para contratação, ficam os licitantes liberados dos compromissos assumidos.</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color w:val="000000"/>
        </w:rPr>
      </w:pPr>
      <w:r>
        <w:rPr>
          <w:rFonts w:cs="Arial" w:ascii="Arial" w:hAnsi="Arial"/>
          <w:bCs/>
          <w:iCs/>
        </w:rPr>
        <w:t>12.5.8.</w:t>
      </w:r>
      <w:r>
        <w:rPr>
          <w:rFonts w:cs="Arial" w:ascii="Arial" w:hAnsi="Arial"/>
          <w:iCs/>
        </w:rPr>
        <w:t xml:space="preserve"> A abertura da sessão pública ocorrerá na data e nos horários indicados no preâmbulo deste edital, no </w:t>
      </w:r>
      <w:r>
        <w:rPr>
          <w:rFonts w:cs="Arial" w:ascii="Arial" w:hAnsi="Arial"/>
          <w:iCs/>
          <w:color w:val="000000"/>
        </w:rPr>
        <w:t xml:space="preserve">Portal de Compras do Governo Federal </w:t>
      </w:r>
      <w:r>
        <w:rPr>
          <w:rFonts w:cs="Arial" w:ascii="Arial" w:hAnsi="Arial"/>
          <w:color w:val="000000"/>
        </w:rPr>
        <w:t xml:space="preserve">– </w:t>
      </w:r>
      <w:r>
        <w:rPr>
          <w:rFonts w:eastAsia="Calibri" w:cs="Arial" w:ascii="Arial" w:hAnsi="Arial"/>
          <w:color w:val="0000FF"/>
        </w:rPr>
        <w:t>compras</w:t>
      </w:r>
      <w:r>
        <w:rPr>
          <w:rFonts w:cs="Arial" w:ascii="Arial" w:hAnsi="Arial"/>
          <w:color w:val="0000FF"/>
        </w:rPr>
        <w:t>.gov.br</w:t>
      </w:r>
      <w:r>
        <w:rPr>
          <w:rFonts w:cs="Arial" w:ascii="Arial" w:hAnsi="Arial"/>
          <w:color w:val="000000"/>
        </w:rPr>
        <w:t>. UASG 988157.</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rPr>
        <w:t>12.5.9.</w:t>
      </w:r>
      <w:r>
        <w:rPr>
          <w:rFonts w:cs="Arial" w:ascii="Arial" w:hAnsi="Arial"/>
        </w:rPr>
        <w:t xml:space="preserve"> Durante a sessão pública, a comunicação entre o </w:t>
      </w:r>
      <w:r>
        <w:rPr>
          <w:rFonts w:cs="Arial" w:ascii="Arial" w:hAnsi="Arial"/>
          <w:b/>
        </w:rPr>
        <w:t>pregoeiro</w:t>
      </w:r>
      <w:r>
        <w:rPr>
          <w:rFonts w:cs="Arial" w:ascii="Arial" w:hAnsi="Arial"/>
        </w:rPr>
        <w:t xml:space="preserve"> e os licitantes ocorrerá </w:t>
      </w:r>
      <w:r>
        <w:rPr>
          <w:rFonts w:cs="Arial" w:ascii="Arial" w:hAnsi="Arial"/>
          <w:b/>
        </w:rPr>
        <w:t>exclusivamente</w:t>
      </w:r>
      <w:r>
        <w:rPr>
          <w:rFonts w:cs="Arial" w:ascii="Arial" w:hAnsi="Arial"/>
        </w:rPr>
        <w:t xml:space="preserve"> mediante troca de mensagens, em campo próprio do sistema eletrônico. </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rPr>
        <w:t>12.5.10.</w:t>
      </w:r>
      <w:r>
        <w:rPr>
          <w:rFonts w:cs="Arial" w:ascii="Arial" w:hAnsi="Arial"/>
        </w:rPr>
        <w:t xml:space="preserve"> Cabe ao licitante acompanhar as operações no sistema eletrônico durante a sessão pública, ficando responsável pelo ônus decorrente da perda de negócios diante da inobservância de qualquer mensagem emitida pelo sistema ou por estar desconectado do sistema, inclusive quanto ao não encaminhamento de documento afeto à proposta.</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color w:val="000000"/>
        </w:rPr>
      </w:pPr>
      <w:r>
        <w:rPr>
          <w:rFonts w:cs="Arial" w:ascii="Arial" w:hAnsi="Arial"/>
          <w:bCs/>
          <w:iCs/>
        </w:rPr>
        <w:t>12.5.11.</w:t>
      </w:r>
      <w:r>
        <w:rPr>
          <w:rFonts w:cs="Arial" w:ascii="Arial" w:hAnsi="Arial"/>
          <w:iCs/>
          <w:color w:val="000000"/>
        </w:rPr>
        <w:t xml:space="preserve"> Aberta a etapa de lances, os licitantes poderão encaminhar lances sucessivos exclusivamente por meio do sistema eletrônico, sendo que os lances deverão ser </w:t>
      </w:r>
      <w:r>
        <w:rPr>
          <w:rFonts w:cs="Arial" w:ascii="Arial" w:hAnsi="Arial"/>
          <w:color w:val="000000"/>
        </w:rPr>
        <w:t>inferiores ao último ofertado por ele próprio e registrado no sistema eletrônico, respeitado o intervalo mínimo de diferença de valores entre os lances, que incidirá tanto em relação aos lances intermediários quanto em relação à proposta que cobrir a melhor oferta.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rFonts w:ascii="Arial" w:hAnsi="Arial" w:cs="Arial"/>
          <w:color w:val="FF0000"/>
        </w:rPr>
      </w:pPr>
      <w:r>
        <w:rPr>
          <w:rFonts w:cs="Arial" w:ascii="Arial" w:hAnsi="Arial"/>
          <w:bCs/>
        </w:rPr>
        <w:t>12.5.12.</w:t>
      </w:r>
      <w:r>
        <w:rPr>
          <w:rFonts w:cs="Arial" w:ascii="Arial" w:hAnsi="Arial"/>
        </w:rPr>
        <w:t xml:space="preserve"> Será adotado para o envio de lances o modo de disputa </w:t>
      </w:r>
    </w:p>
    <w:p>
      <w:pPr>
        <w:pStyle w:val="ListParagraph"/>
        <w:numPr>
          <w:ilvl w:val="0"/>
          <w:numId w:val="43"/>
        </w:numPr>
        <w:tabs>
          <w:tab w:val="clear" w:pos="708"/>
          <w:tab w:val="left" w:pos="1134" w:leader="none"/>
        </w:tabs>
        <w:spacing w:lineRule="auto" w:line="240" w:before="0" w:after="0"/>
        <w:ind w:left="567" w:hanging="0"/>
        <w:contextualSpacing/>
        <w:jc w:val="both"/>
        <w:rPr>
          <w:rFonts w:ascii="Arial" w:hAnsi="Arial" w:cs="Arial"/>
          <w:color w:val="000000"/>
        </w:rPr>
      </w:pPr>
      <w:r>
        <w:rPr>
          <w:rFonts w:cs="Arial" w:ascii="Arial" w:hAnsi="Arial"/>
          <w:b/>
          <w:color w:val="000000"/>
        </w:rPr>
        <w:t>ABERTO:</w:t>
      </w:r>
    </w:p>
    <w:p>
      <w:pPr>
        <w:pStyle w:val="ListParagraph"/>
        <w:numPr>
          <w:ilvl w:val="0"/>
          <w:numId w:val="44"/>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10 (dez) minutos de lances sucessivos e, após isso, será prorrogada automaticamente pelo sistema quando houver lance ofertado nos últimos 2 (dois) minutos;</w:t>
      </w:r>
    </w:p>
    <w:p>
      <w:pPr>
        <w:pStyle w:val="ListParagraph"/>
        <w:numPr>
          <w:ilvl w:val="0"/>
          <w:numId w:val="44"/>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A prorrogação automática será de 02 (dois) minutos e ocorrerá sucessivamente sempre que houver lances enviados nesse período de prorrogação;</w:t>
      </w:r>
    </w:p>
    <w:p>
      <w:pPr>
        <w:pStyle w:val="ListParagraph"/>
        <w:numPr>
          <w:ilvl w:val="0"/>
          <w:numId w:val="44"/>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Não havendo novos lances nos últimos 02 (dois) minutos, a sessão pública será encerrada automaticamente;</w:t>
      </w:r>
    </w:p>
    <w:p>
      <w:pPr>
        <w:pStyle w:val="ListParagraph"/>
        <w:numPr>
          <w:ilvl w:val="0"/>
          <w:numId w:val="44"/>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 xml:space="preserve">Encerrada a etapa de lances, com ou sem prorrogação automática pelo sistema, poderá o </w:t>
      </w:r>
      <w:r>
        <w:rPr>
          <w:rFonts w:cs="Arial" w:ascii="Arial" w:hAnsi="Arial"/>
          <w:b/>
          <w:color w:val="000000"/>
        </w:rPr>
        <w:t>pregoeiro</w:t>
      </w:r>
      <w:r>
        <w:rPr>
          <w:rFonts w:cs="Arial" w:ascii="Arial" w:hAnsi="Arial"/>
          <w:color w:val="000000"/>
        </w:rPr>
        <w:t>, assessorado pela equipe de apoio, justificadamente, admitir o reinício do envio de lances, em prol da consecução do melhor preço;</w:t>
      </w:r>
    </w:p>
    <w:p>
      <w:pPr>
        <w:pStyle w:val="ListParagraph"/>
        <w:numPr>
          <w:ilvl w:val="0"/>
          <w:numId w:val="44"/>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Os lances apresentados e levados em consideração para efeito de julgamento serão de exclusiva e total responsabilidade do licitante, não lhe cabendo o direito de pleitear qualquer alteração;</w:t>
      </w:r>
    </w:p>
    <w:p>
      <w:pPr>
        <w:pStyle w:val="ListParagraph"/>
        <w:numPr>
          <w:ilvl w:val="0"/>
          <w:numId w:val="44"/>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 xml:space="preserve">Durante o envio de lances, o </w:t>
      </w:r>
      <w:r>
        <w:rPr>
          <w:rFonts w:cs="Arial" w:ascii="Arial" w:hAnsi="Arial"/>
          <w:b/>
          <w:color w:val="000000"/>
        </w:rPr>
        <w:t>pregoeiro</w:t>
      </w:r>
      <w:r>
        <w:rPr>
          <w:rFonts w:cs="Arial" w:ascii="Arial" w:hAnsi="Arial"/>
          <w:color w:val="000000"/>
        </w:rPr>
        <w:t xml:space="preserve"> poderá excluir, justificadamente, lance cujo valor seja manifestamente inexequível;</w:t>
      </w:r>
    </w:p>
    <w:p>
      <w:pPr>
        <w:pStyle w:val="ListParagraph"/>
        <w:numPr>
          <w:ilvl w:val="0"/>
          <w:numId w:val="44"/>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color w:val="000000"/>
        </w:rPr>
        <w:t xml:space="preserve">Se ocorrer a desconexão do </w:t>
      </w:r>
      <w:r>
        <w:rPr>
          <w:rFonts w:cs="Arial" w:ascii="Arial" w:hAnsi="Arial"/>
          <w:b/>
          <w:color w:val="000000"/>
        </w:rPr>
        <w:t>pregoeiro</w:t>
      </w:r>
      <w:r>
        <w:rPr>
          <w:rFonts w:cs="Arial" w:ascii="Arial" w:hAnsi="Arial"/>
          <w:color w:val="000000"/>
        </w:rPr>
        <w:t xml:space="preserve"> no decorrer do envio de lances, mas o sistema eletrônico permanecer acessível aos licitantes, os lances continuarão sendo recebidos, sem prejuízo dos atos realizados.</w:t>
      </w:r>
    </w:p>
    <w:p>
      <w:pPr>
        <w:pStyle w:val="Normal"/>
        <w:tabs>
          <w:tab w:val="clear" w:pos="708"/>
          <w:tab w:val="left" w:pos="567"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567" w:leader="none"/>
        </w:tabs>
        <w:spacing w:lineRule="auto" w:line="240" w:before="0" w:after="0"/>
        <w:jc w:val="both"/>
        <w:rPr>
          <w:rFonts w:ascii="Arial" w:hAnsi="Arial" w:cs="Arial"/>
          <w:b/>
          <w:b/>
        </w:rPr>
      </w:pPr>
      <w:r>
        <w:rPr>
          <w:rFonts w:cs="Arial" w:ascii="Arial" w:hAnsi="Arial"/>
          <w:bCs/>
        </w:rPr>
        <w:t>12.5.13.</w:t>
      </w:r>
      <w:r>
        <w:rPr>
          <w:rFonts w:cs="Arial" w:ascii="Arial" w:hAnsi="Arial"/>
        </w:rPr>
        <w:t xml:space="preserve"> No caso de a desconexão do </w:t>
      </w:r>
      <w:r>
        <w:rPr>
          <w:rFonts w:cs="Arial" w:ascii="Arial" w:hAnsi="Arial"/>
          <w:b/>
        </w:rPr>
        <w:t>pregoeiro</w:t>
      </w:r>
      <w:r>
        <w:rPr>
          <w:rFonts w:cs="Arial" w:ascii="Arial" w:hAnsi="Arial"/>
        </w:rPr>
        <w:t xml:space="preserve"> persistir por tempo superior a 10 (dez) minutos, a sessão será suspensa automaticamente e terá reinício somente após comunicação expressa aos participantes no sítio </w:t>
      </w:r>
      <w:r>
        <w:rPr>
          <w:rFonts w:eastAsia="Calibri" w:cs="Arial" w:ascii="Arial" w:hAnsi="Arial"/>
          <w:color w:val="0000FF"/>
        </w:rPr>
        <w:t>compras</w:t>
      </w:r>
      <w:r>
        <w:rPr>
          <w:rFonts w:cs="Arial" w:ascii="Arial" w:hAnsi="Arial"/>
          <w:color w:val="0000FF"/>
        </w:rPr>
        <w:t>.gov.br</w:t>
      </w:r>
      <w:r>
        <w:rPr>
          <w:rFonts w:cs="Arial" w:ascii="Arial" w:hAnsi="Arial"/>
          <w:color w:val="000000"/>
        </w:rPr>
        <w:t>.</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13. VERIFICAÇÃO DE IMPEDIMENTOS NO CEIS E CNEP</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13.1.</w:t>
      </w:r>
      <w:r>
        <w:rPr>
          <w:rFonts w:cs="Arial" w:ascii="Arial" w:hAnsi="Arial"/>
          <w:iCs/>
        </w:rPr>
        <w:t xml:space="preserve"> Encerrada a etapa de lances, o pregoeiro verificará eventual descumprimento das condições de participação, especialmente quanto à existência de sanção que impeça a participação dos licitantes no certame ou futura contratação, mediante consulta aos seguintes cadastros:</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b/>
          <w:iCs/>
        </w:rPr>
        <w:t>Cadastro Nacional de Empresas Inidôneas e Suspensas – CEIS</w:t>
      </w:r>
      <w:r>
        <w:rPr>
          <w:rFonts w:cs="Arial" w:ascii="Arial" w:hAnsi="Arial"/>
          <w:iCs/>
        </w:rPr>
        <w:t>, mantido pela Controladoria-Geral da União (https://portaldatransparencia.gov.br/sancoes/consulta).</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b/>
          <w:iCs/>
        </w:rPr>
        <w:t>Cadastro Nacional de Empresas Punidas – CNEP</w:t>
      </w:r>
      <w:r>
        <w:rPr>
          <w:rFonts w:cs="Arial" w:ascii="Arial" w:hAnsi="Arial"/>
          <w:iCs/>
        </w:rPr>
        <w:t>, mantido pela Controladoria-Geral da União (</w:t>
      </w:r>
      <w:hyperlink r:id="rId17">
        <w:r>
          <w:rPr>
            <w:rStyle w:val="LinkdaInternet"/>
            <w:rFonts w:cs="Arial" w:ascii="Arial" w:hAnsi="Arial"/>
            <w:iCs/>
          </w:rPr>
          <w:t>https://portaldatransparencia.gov.br/sancoes/consulta</w:t>
        </w:r>
      </w:hyperlink>
      <w:r>
        <w:rPr>
          <w:rFonts w:cs="Arial" w:ascii="Arial" w:hAnsi="Arial"/>
          <w:iCs/>
        </w:rPr>
        <w:t>).</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rPr>
        <w:t>13.2.</w:t>
      </w:r>
      <w:r>
        <w:rPr>
          <w:rFonts w:cs="Arial" w:ascii="Arial" w:hAnsi="Arial"/>
          <w:b/>
        </w:rPr>
        <w:t xml:space="preserve"> </w:t>
      </w:r>
      <w:r>
        <w:rPr>
          <w:rFonts w:cs="Arial" w:ascii="Arial" w:hAnsi="Arial"/>
        </w:rPr>
        <w:t xml:space="preserve">A consulta aos cadastros acima referidos </w:t>
      </w:r>
      <w:r>
        <w:rPr>
          <w:rFonts w:cs="Arial" w:ascii="Arial" w:hAnsi="Arial"/>
          <w:b/>
        </w:rPr>
        <w:t>será</w:t>
      </w:r>
      <w:r>
        <w:rPr>
          <w:rFonts w:cs="Arial" w:ascii="Arial" w:hAnsi="Arial"/>
        </w:rPr>
        <w:t xml:space="preserve"> realizada </w:t>
      </w:r>
      <w:r>
        <w:rPr>
          <w:rFonts w:cs="Arial" w:ascii="Arial" w:hAnsi="Arial"/>
          <w:b/>
        </w:rPr>
        <w:t xml:space="preserve">em nome do licitante </w:t>
      </w:r>
      <w:r>
        <w:rPr>
          <w:rFonts w:cs="Arial" w:ascii="Arial" w:hAnsi="Arial"/>
          <w:b/>
          <w:u w:val="single"/>
        </w:rPr>
        <w:t>e</w:t>
      </w:r>
      <w:r>
        <w:rPr>
          <w:rFonts w:cs="Arial" w:ascii="Arial" w:hAnsi="Arial"/>
          <w:b/>
        </w:rPr>
        <w:t xml:space="preserve"> também de seu sócio majoritário</w:t>
      </w:r>
      <w:r>
        <w:rPr>
          <w:rFonts w:cs="Arial" w:ascii="Arial" w:hAnsi="Arial"/>
        </w:rPr>
        <w:t xml:space="preserve">, por força do art. 12 da </w:t>
      </w:r>
      <w:hyperlink r:id="rId18">
        <w:r>
          <w:rPr>
            <w:rStyle w:val="LinkdaInternet"/>
            <w:rFonts w:cs="Arial" w:ascii="Arial" w:hAnsi="Arial"/>
          </w:rPr>
          <w:t>Lei nº 8.429/1992</w:t>
        </w:r>
      </w:hyperlink>
      <w:r>
        <w:rPr>
          <w:rFonts w:cs="Arial" w:ascii="Arial" w:hAnsi="Arial"/>
        </w:rPr>
        <w:t xml:space="preserve"> (Dispõe sobre as sanções aplicáveis em virtude da prática de atos de improbidade administrativa, de que trata o § 4º do art. 37 da Constituição Federal; e dá outras providências).</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rPr>
      </w:pPr>
      <w:r>
        <w:rPr>
          <w:rFonts w:cs="Arial" w:ascii="Arial" w:hAnsi="Arial"/>
          <w:bCs/>
        </w:rPr>
        <w:t>13.3.</w:t>
      </w:r>
      <w:r>
        <w:rPr>
          <w:rFonts w:cs="Arial" w:ascii="Arial" w:hAnsi="Arial"/>
        </w:rPr>
        <w:t xml:space="preserve"> A verificação visa coibir o disposto no art. 337-M do </w:t>
      </w:r>
      <w:hyperlink r:id="rId19">
        <w:r>
          <w:rPr>
            <w:rStyle w:val="LinkdaInternet"/>
            <w:rFonts w:cs="Arial" w:ascii="Arial" w:hAnsi="Arial"/>
          </w:rPr>
          <w:t>Código Penal</w:t>
        </w:r>
        <w:r>
          <w:rPr>
            <w:rStyle w:val="LinkdaInternet"/>
            <w:rStyle w:val="Ncoradanotaderodap"/>
            <w:rFonts w:cs="Arial" w:ascii="Arial" w:hAnsi="Arial"/>
          </w:rPr>
          <w:footnoteReference w:id="3"/>
        </w:r>
      </w:hyperlink>
      <w:r>
        <w:rPr>
          <w:rFonts w:cs="Arial" w:ascii="Arial" w:hAnsi="Arial"/>
        </w:rPr>
        <w:t>.</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14. DO JULGAMENTO DAS PROPOSTAS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14.1.</w:t>
      </w:r>
      <w:r>
        <w:rPr>
          <w:rFonts w:cs="Arial" w:ascii="Arial" w:hAnsi="Arial"/>
          <w:iCs/>
        </w:rPr>
        <w:t xml:space="preserve"> Serão desclassificadas as propostas que (art. 59, </w:t>
      </w:r>
      <w:r>
        <w:rPr>
          <w:rFonts w:cs="Arial" w:ascii="Arial" w:hAnsi="Arial"/>
          <w:i/>
          <w:iCs/>
        </w:rPr>
        <w:t>caput</w:t>
      </w:r>
      <w:r>
        <w:rPr>
          <w:rFonts w:cs="Arial" w:ascii="Arial" w:hAnsi="Arial"/>
          <w:iCs/>
        </w:rPr>
        <w:t>, da Lei nº 14.133/2021):</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6" w:name="art59i"/>
      <w:bookmarkEnd w:id="6"/>
      <w:r>
        <w:rPr>
          <w:rFonts w:cs="Arial" w:ascii="Arial" w:hAnsi="Arial"/>
          <w:iCs/>
        </w:rPr>
        <w:t>Contiverem vícios insanáveis;</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7" w:name="art59ii"/>
      <w:bookmarkEnd w:id="7"/>
      <w:r>
        <w:rPr>
          <w:rFonts w:cs="Arial" w:ascii="Arial" w:hAnsi="Arial"/>
          <w:iCs/>
        </w:rPr>
        <w:t>Não obedecerem às especificações técnicas pormenorizadas no edital;</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8" w:name="art59iii"/>
      <w:bookmarkEnd w:id="8"/>
      <w:r>
        <w:rPr>
          <w:rFonts w:cs="Arial" w:ascii="Arial" w:hAnsi="Arial"/>
          <w:iCs/>
        </w:rPr>
        <w:t>Apresentarem preços inexequíveis ou permanecerem acima do orçamento estimado para a contratação;</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9" w:name="art59iv"/>
      <w:bookmarkEnd w:id="9"/>
      <w:r>
        <w:rPr>
          <w:rFonts w:cs="Arial" w:ascii="Arial" w:hAnsi="Arial"/>
          <w:iCs/>
        </w:rPr>
        <w:t>Não tiverem sua exequibilidade demonstrada, quando exigido pela Administração Pública Municipal;</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10" w:name="art59v"/>
      <w:bookmarkEnd w:id="10"/>
      <w:r>
        <w:rPr>
          <w:rFonts w:cs="Arial" w:ascii="Arial" w:hAnsi="Arial"/>
          <w:iCs/>
        </w:rPr>
        <w:t>Apresentarem desconformidade com quaisquer outras exigências do edital, desde que insanável;</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11" w:name="art59§1"/>
      <w:bookmarkStart w:id="12" w:name="art59§1"/>
      <w:bookmarkEnd w:id="12"/>
    </w:p>
    <w:p>
      <w:pPr>
        <w:pStyle w:val="Normal"/>
        <w:tabs>
          <w:tab w:val="clear" w:pos="708"/>
          <w:tab w:val="left" w:pos="567" w:leader="none"/>
        </w:tabs>
        <w:spacing w:lineRule="auto" w:line="240" w:before="0" w:after="0"/>
        <w:jc w:val="both"/>
        <w:rPr>
          <w:rFonts w:ascii="Arial" w:hAnsi="Arial" w:cs="Arial"/>
          <w:iCs/>
          <w:color w:val="FF0000"/>
        </w:rPr>
      </w:pPr>
      <w:r>
        <w:rPr>
          <w:rFonts w:cs="Arial" w:ascii="Arial" w:hAnsi="Arial"/>
          <w:bCs/>
          <w:iCs/>
        </w:rPr>
        <w:t>14.2.</w:t>
      </w:r>
      <w:r>
        <w:rPr>
          <w:rFonts w:cs="Arial" w:ascii="Arial" w:hAnsi="Arial"/>
          <w:iCs/>
        </w:rPr>
        <w:t xml:space="preserve"> A verificação da conformidade das propostas </w:t>
      </w:r>
      <w:r>
        <w:rPr>
          <w:rFonts w:eastAsia="Calibri" w:cs="Arial" w:ascii="Arial" w:hAnsi="Arial"/>
          <w:iCs/>
          <w:color w:val="000000"/>
        </w:rPr>
        <w:t>será</w:t>
      </w:r>
      <w:r>
        <w:rPr>
          <w:rFonts w:cs="Arial" w:ascii="Arial" w:hAnsi="Arial"/>
          <w:iCs/>
        </w:rPr>
        <w:t xml:space="preserve"> feita exclusivamente em relação à proposta mais bem classificada (art. 59, § 1º da Lei nº 14.133/2021).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13" w:name="art60"/>
      <w:bookmarkStart w:id="14" w:name="art59§5"/>
      <w:bookmarkStart w:id="15" w:name="art59§2"/>
      <w:bookmarkStart w:id="16" w:name="art60"/>
      <w:bookmarkStart w:id="17" w:name="art59§5"/>
      <w:bookmarkStart w:id="18" w:name="art59§2"/>
      <w:bookmarkEnd w:id="16"/>
      <w:bookmarkEnd w:id="17"/>
      <w:bookmarkEnd w:id="18"/>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14.3.</w:t>
      </w:r>
      <w:r>
        <w:rPr>
          <w:rFonts w:cs="Arial" w:ascii="Arial" w:hAnsi="Arial"/>
          <w:iCs/>
        </w:rPr>
        <w:t xml:space="preserve"> </w:t>
      </w:r>
      <w:r>
        <w:rPr>
          <w:rFonts w:cs="Arial" w:ascii="Arial" w:hAnsi="Arial"/>
          <w:iCs/>
          <w:u w:val="single"/>
        </w:rPr>
        <w:t>EXEQUIBILIDADE:</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14.3.1.</w:t>
      </w:r>
      <w:r>
        <w:rPr>
          <w:rFonts w:cs="Arial" w:ascii="Arial" w:hAnsi="Arial"/>
          <w:iCs/>
        </w:rPr>
        <w:t xml:space="preserve"> A Administração Pública Municipal </w:t>
      </w:r>
      <w:r>
        <w:rPr>
          <w:rFonts w:cs="Arial" w:ascii="Arial" w:hAnsi="Arial"/>
          <w:iCs/>
          <w:u w:val="single"/>
        </w:rPr>
        <w:t>poderá</w:t>
      </w:r>
      <w:r>
        <w:rPr>
          <w:rFonts w:cs="Arial" w:ascii="Arial" w:hAnsi="Arial"/>
          <w:iCs/>
        </w:rPr>
        <w:t xml:space="preserve"> realizar diligências para aferir a exequibilidade das propostas ou exigir dos licitantes que ela seja demonstrada, conforme disposto em IV do tópico 14.1 (art. 59, § 2º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bookmarkStart w:id="19" w:name="art59§4"/>
      <w:bookmarkStart w:id="20" w:name="art59§3"/>
      <w:bookmarkEnd w:id="19"/>
      <w:bookmarkEnd w:id="20"/>
      <w:r>
        <w:rPr>
          <w:rFonts w:cs="Arial" w:ascii="Arial" w:hAnsi="Arial"/>
          <w:bCs/>
          <w:iCs/>
        </w:rPr>
        <w:t>14.3.2.</w:t>
      </w:r>
      <w:r>
        <w:rPr>
          <w:rFonts w:cs="Arial" w:ascii="Arial" w:hAnsi="Arial"/>
          <w:iCs/>
        </w:rPr>
        <w:t xml:space="preserve"> Serão consideradas inexequíveis as propostas cujos valores forem inferiores a:</w:t>
      </w:r>
    </w:p>
    <w:p>
      <w:pPr>
        <w:pStyle w:val="ListParagraph"/>
        <w:numPr>
          <w:ilvl w:val="0"/>
          <w:numId w:val="46"/>
        </w:numPr>
        <w:tabs>
          <w:tab w:val="clear" w:pos="708"/>
          <w:tab w:val="left" w:pos="567" w:leader="none"/>
        </w:tabs>
        <w:spacing w:lineRule="auto" w:line="240" w:before="0" w:after="0"/>
        <w:contextualSpacing/>
        <w:jc w:val="both"/>
        <w:rPr>
          <w:rFonts w:ascii="Arial" w:hAnsi="Arial" w:cs="Arial"/>
          <w:iCs/>
        </w:rPr>
      </w:pPr>
      <w:r>
        <w:rPr>
          <w:rFonts w:cs="Arial" w:ascii="Arial" w:hAnsi="Arial"/>
          <w:iCs/>
        </w:rPr>
        <w:t xml:space="preserve">BENS E SERVIÇOS QUE NÃO SÃO DE ENGENHARIA: </w:t>
      </w:r>
      <w:r>
        <w:rPr>
          <w:rFonts w:eastAsia="Calibri" w:cs="Arial" w:ascii="Arial" w:hAnsi="Arial"/>
          <w:b/>
          <w:iCs/>
          <w:color w:val="000000"/>
        </w:rPr>
        <w:t>70%</w:t>
      </w:r>
      <w:r>
        <w:rPr>
          <w:rFonts w:cs="Arial" w:ascii="Arial" w:hAnsi="Arial"/>
          <w:iCs/>
          <w:color w:val="FF0000"/>
        </w:rPr>
        <w:t xml:space="preserve"> </w:t>
      </w:r>
      <w:r>
        <w:rPr>
          <w:rFonts w:cs="Arial" w:ascii="Arial" w:hAnsi="Arial"/>
          <w:iCs/>
        </w:rPr>
        <w:t>do valor máximo definido pela Administração Pública Municipal</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14.4.</w:t>
      </w:r>
      <w:r>
        <w:rPr>
          <w:rFonts w:cs="Arial" w:ascii="Arial" w:hAnsi="Arial"/>
          <w:iCs/>
        </w:rPr>
        <w:t xml:space="preserve"> </w:t>
      </w:r>
      <w:r>
        <w:rPr>
          <w:rFonts w:cs="Arial" w:ascii="Arial" w:hAnsi="Arial"/>
          <w:iCs/>
          <w:u w:val="single"/>
        </w:rPr>
        <w:t>EMPATE:</w:t>
      </w:r>
      <w:r>
        <w:rPr>
          <w:rFonts w:cs="Arial" w:ascii="Arial" w:hAnsi="Arial"/>
          <w:iCs/>
        </w:rPr>
        <w:t xml:space="preserve">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14.4.1.</w:t>
      </w:r>
      <w:r>
        <w:rPr>
          <w:rFonts w:cs="Arial" w:ascii="Arial" w:hAnsi="Arial"/>
          <w:iCs/>
        </w:rPr>
        <w:t xml:space="preserve"> Em caso de empate entre duas ou mais propostas, serão utilizados os seguintes critérios de desempate, nesta ordem (art. 60, </w:t>
      </w:r>
      <w:r>
        <w:rPr>
          <w:rFonts w:cs="Arial" w:ascii="Arial" w:hAnsi="Arial"/>
          <w:i/>
          <w:iCs/>
        </w:rPr>
        <w:t>caput</w:t>
      </w:r>
      <w:r>
        <w:rPr>
          <w:rFonts w:cs="Arial" w:ascii="Arial" w:hAnsi="Arial"/>
          <w:iCs/>
        </w:rPr>
        <w:t xml:space="preserve"> da Lei nº 14.133/2021).</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1" w:name="art60i"/>
      <w:bookmarkEnd w:id="21"/>
      <w:r>
        <w:rPr>
          <w:rFonts w:cs="Arial" w:ascii="Arial" w:hAnsi="Arial"/>
          <w:iCs/>
        </w:rPr>
        <w:t>Disputa final, hipótese em que os licitantes empatados poderão apresentar nova proposta em ato contínuo à classificação;</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2" w:name="art60ii"/>
      <w:bookmarkEnd w:id="22"/>
      <w:r>
        <w:rPr>
          <w:rFonts w:cs="Arial" w:ascii="Arial" w:hAnsi="Arial"/>
          <w:iCs/>
        </w:rPr>
        <w:t>Avaliação do desempenho contratual prévio dos licitantes, para a qual deverão preferencialmente ser utilizados registros cadastrais para efeito de atesto de cumprimento de obrigações previstos na Lei nº 14.133/2021;</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3" w:name="art60iv"/>
      <w:bookmarkEnd w:id="23"/>
      <w:r>
        <w:rPr>
          <w:rFonts w:cs="Arial" w:ascii="Arial" w:hAnsi="Arial"/>
          <w:iCs/>
        </w:rPr>
        <w:t>Desenvolvimento pelo licitante de programa de integridade, conforme orientações dos órgãos de controle, quando existir.</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24" w:name="art60§1"/>
      <w:bookmarkStart w:id="25" w:name="art60§1"/>
      <w:bookmarkEnd w:id="25"/>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14.5.</w:t>
      </w:r>
      <w:r>
        <w:rPr>
          <w:rFonts w:cs="Arial" w:ascii="Arial" w:hAnsi="Arial"/>
          <w:b/>
          <w:iCs/>
        </w:rPr>
        <w:t xml:space="preserve"> </w:t>
      </w:r>
      <w:r>
        <w:rPr>
          <w:rFonts w:cs="Arial" w:ascii="Arial" w:hAnsi="Arial"/>
          <w:iCs/>
          <w:u w:val="single"/>
        </w:rPr>
        <w:t>DIREITO DE PREFERÊNCIA:</w:t>
      </w:r>
      <w:r>
        <w:rPr>
          <w:rFonts w:cs="Arial" w:ascii="Arial" w:hAnsi="Arial"/>
          <w:iCs/>
        </w:rPr>
        <w:t xml:space="preserve">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14.5.1.</w:t>
      </w:r>
      <w:r>
        <w:rPr>
          <w:rFonts w:cs="Arial" w:ascii="Arial" w:hAnsi="Arial"/>
          <w:iCs/>
        </w:rPr>
        <w:t xml:space="preserve"> Em igualdade de condições, se não houver desempate, será assegurada preferência, sucessivamente, aos bens e serviços produzidos ou prestados por (art. 60, § 1º da Lei nº 14.133/2021):</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6" w:name="art60§1i"/>
      <w:bookmarkEnd w:id="26"/>
      <w:r>
        <w:rPr>
          <w:rFonts w:cs="Arial" w:ascii="Arial" w:hAnsi="Arial"/>
          <w:iCs/>
        </w:rPr>
        <w:t>Empresas estabelecidas no território do Estado de Santa Catarina;</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7" w:name="art60§1ii"/>
      <w:bookmarkEnd w:id="27"/>
      <w:r>
        <w:rPr>
          <w:rFonts w:cs="Arial" w:ascii="Arial" w:hAnsi="Arial"/>
          <w:iCs/>
        </w:rPr>
        <w:t>Empresas brasileiras;</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8" w:name="art60§1iii"/>
      <w:bookmarkEnd w:id="28"/>
      <w:r>
        <w:rPr>
          <w:rFonts w:cs="Arial" w:ascii="Arial" w:hAnsi="Arial"/>
          <w:iCs/>
        </w:rPr>
        <w:t>Empresas que invistam em pesquisa e no desenvolvimento de tecnologia no País;</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9" w:name="art60§1iv"/>
      <w:bookmarkEnd w:id="29"/>
      <w:r>
        <w:rPr>
          <w:rFonts w:cs="Arial" w:ascii="Arial" w:hAnsi="Arial"/>
          <w:iCs/>
        </w:rPr>
        <w:t>Empresas que comprovem a prática de mitigação, nos termos da Lei nº 12.187, de 29 de dezembro de 2009 (Institui a Política Nacional sobre Mudança do Clima - PNMC e dá outras providências).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0" w:name="art60§2"/>
      <w:bookmarkStart w:id="31" w:name="art60§2"/>
      <w:bookmarkEnd w:id="31"/>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14.5.2.</w:t>
      </w:r>
      <w:r>
        <w:rPr>
          <w:rFonts w:cs="Arial" w:ascii="Arial" w:hAnsi="Arial"/>
          <w:iCs/>
        </w:rPr>
        <w:t xml:space="preserve"> Ainda, devem ser aplicadas as regras dos arts. 44 e 45 da Lei Complementar nº 123/2006 (art. 60, § 2º da Lei nº 14.133/2021): se a proposta mais bem classificada não tiver sido apresentada por licitante apto a usufruir dos benefícios da Lei Complementar nº 123/2006 (ver tópico 7) e se houver proposta igual ou até 5% (cinco por cento) superior à proposta mais bem classificada, apresentada por licitante que possa usufruir dos benefícios da Lei Complementar nº 123/2006 (ver tópico 7), se procederá da seguinte forma: </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O licitante coberto pelos arts. 42 ao 49 da Lei Complementar nº 123/2006 (ver tópico 7) mais bem classificado poderá, no prazo máximo de 5 (cinco) minutos, apresentar proposta de preço inferior à do licitante mais bem classificado e, se atendidas as exigências deste edital, ser adjudicatário; </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Não sendo adjudicatário na forma do subitem anterior, e havendo outros licitantes que se enquadrem na condição prevista no caput deste item, estes serão convocados, na ordem classificatória, para o exercício do mesmo direito;</w:t>
      </w:r>
    </w:p>
    <w:p>
      <w:pPr>
        <w:pStyle w:val="ListParagraph"/>
        <w:widowControl w:val="false"/>
        <w:numPr>
          <w:ilvl w:val="0"/>
          <w:numId w:val="19"/>
        </w:numPr>
        <w:tabs>
          <w:tab w:val="clear" w:pos="708"/>
          <w:tab w:val="left" w:pos="993" w:leader="none"/>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O convocado que não apresentar proposta dentro do prazo de 5 (cinco) minutos, controlado pelo sistema eletrônico, decairá do direito previsto nos arts. 44 e 45 da Lei Complementar nº 123/2006.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2" w:name="art61"/>
      <w:bookmarkStart w:id="33" w:name="art61"/>
      <w:bookmarkEnd w:id="33"/>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14.6.</w:t>
      </w:r>
      <w:r>
        <w:rPr>
          <w:rFonts w:cs="Arial" w:ascii="Arial" w:hAnsi="Arial"/>
          <w:iCs/>
        </w:rPr>
        <w:t xml:space="preserve"> </w:t>
      </w:r>
      <w:r>
        <w:rPr>
          <w:rFonts w:cs="Arial" w:ascii="Arial" w:hAnsi="Arial"/>
          <w:iCs/>
          <w:u w:val="single"/>
        </w:rPr>
        <w:t>NEGOCIAÇÃO: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14.6.1.</w:t>
      </w:r>
      <w:r>
        <w:rPr>
          <w:rFonts w:cs="Arial" w:ascii="Arial" w:hAnsi="Arial"/>
          <w:b/>
          <w:iCs/>
        </w:rPr>
        <w:t xml:space="preserve"> </w:t>
      </w:r>
      <w:r>
        <w:rPr>
          <w:rFonts w:cs="Arial" w:ascii="Arial" w:hAnsi="Arial"/>
          <w:iCs/>
        </w:rPr>
        <w:t xml:space="preserve">Definido o resultado do julgamento, a Administração Pública Municipal poderá negociar condições mais vantajosas com o primeiro colocado (art. 61, </w:t>
      </w:r>
      <w:r>
        <w:rPr>
          <w:rFonts w:cs="Arial" w:ascii="Arial" w:hAnsi="Arial"/>
          <w:i/>
          <w:iCs/>
        </w:rPr>
        <w:t>caput</w:t>
      </w:r>
      <w:r>
        <w:rPr>
          <w:rFonts w:cs="Arial" w:ascii="Arial" w:hAnsi="Arial"/>
          <w:iCs/>
        </w:rPr>
        <w:t xml:space="preserve">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4" w:name="art61§1"/>
      <w:bookmarkStart w:id="35" w:name="art61§1"/>
      <w:bookmarkEnd w:id="35"/>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14.6.2.</w:t>
      </w:r>
      <w:r>
        <w:rPr>
          <w:rFonts w:cs="Arial" w:ascii="Arial" w:hAnsi="Arial"/>
          <w:iCs/>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ormal"/>
        <w:tabs>
          <w:tab w:val="clear" w:pos="708"/>
          <w:tab w:val="left" w:pos="567" w:leader="none"/>
        </w:tabs>
        <w:spacing w:lineRule="auto" w:line="240" w:before="0" w:after="0"/>
        <w:jc w:val="both"/>
        <w:rPr>
          <w:rFonts w:ascii="Arial" w:hAnsi="Arial" w:cs="Arial"/>
          <w:b/>
          <w:b/>
          <w:iCs/>
          <w:color w:val="000000"/>
        </w:rPr>
      </w:pPr>
      <w:r>
        <w:rPr>
          <w:rFonts w:cs="Arial" w:ascii="Arial" w:hAnsi="Arial"/>
          <w:b/>
          <w:iCs/>
          <w:color w:val="000000"/>
        </w:rPr>
      </w:r>
      <w:bookmarkStart w:id="36" w:name="art61§2"/>
      <w:bookmarkStart w:id="37" w:name="art61§2"/>
      <w:bookmarkEnd w:id="37"/>
    </w:p>
    <w:p>
      <w:pPr>
        <w:pStyle w:val="Normal"/>
        <w:tabs>
          <w:tab w:val="clear" w:pos="708"/>
          <w:tab w:val="left" w:pos="567" w:leader="none"/>
        </w:tabs>
        <w:spacing w:lineRule="auto" w:line="240" w:before="0" w:after="0"/>
        <w:jc w:val="both"/>
        <w:rPr>
          <w:rFonts w:ascii="Arial" w:hAnsi="Arial" w:cs="Arial"/>
        </w:rPr>
      </w:pPr>
      <w:r>
        <w:rPr>
          <w:rFonts w:cs="Arial" w:ascii="Arial" w:hAnsi="Arial"/>
          <w:bCs/>
          <w:iCs/>
          <w:color w:val="000000"/>
        </w:rPr>
        <w:t>14.6.3.</w:t>
      </w:r>
      <w:r>
        <w:rPr>
          <w:rFonts w:cs="Arial" w:ascii="Arial" w:hAnsi="Arial"/>
          <w:iCs/>
          <w:color w:val="000000"/>
        </w:rPr>
        <w:t xml:space="preserve"> A negociação será conduzida pelo </w:t>
      </w:r>
      <w:r>
        <w:rPr>
          <w:rFonts w:cs="Arial" w:ascii="Arial" w:hAnsi="Arial"/>
          <w:b/>
          <w:iCs/>
          <w:color w:val="000000"/>
        </w:rPr>
        <w:t>pregoeiro</w:t>
      </w:r>
      <w:r>
        <w:rPr>
          <w:rFonts w:cs="Arial" w:ascii="Arial" w:hAnsi="Arial"/>
          <w:iCs/>
          <w:color w:val="000000"/>
        </w:rPr>
        <w:t xml:space="preserve">, conforme </w:t>
      </w:r>
      <w:r>
        <w:rPr>
          <w:rFonts w:eastAsia="Calibri" w:cs="Arial" w:ascii="Arial" w:hAnsi="Arial"/>
          <w:iCs/>
          <w:color w:val="000000"/>
        </w:rPr>
        <w:t>Decreto nº 0043/2023</w:t>
      </w:r>
      <w:r>
        <w:rPr>
          <w:rFonts w:cs="Arial" w:ascii="Arial" w:hAnsi="Arial"/>
          <w:iCs/>
          <w:color w:val="000000"/>
        </w:rPr>
        <w:t xml:space="preserve">, </w:t>
      </w:r>
      <w:r>
        <w:rPr>
          <w:rFonts w:cs="Arial" w:ascii="Arial" w:hAnsi="Arial"/>
          <w:color w:val="000000"/>
        </w:rPr>
        <w:t>realizada por meio do sistema eletrônico e poderá ser acompanhada pelos demais licitantes</w:t>
      </w:r>
      <w:r>
        <w:rPr>
          <w:rFonts w:cs="Arial" w:ascii="Arial" w:hAnsi="Arial"/>
          <w:iCs/>
          <w:color w:val="000000"/>
        </w:rPr>
        <w:t>.</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14.7.</w:t>
      </w:r>
      <w:r>
        <w:rPr>
          <w:rFonts w:cs="Arial" w:ascii="Arial" w:hAnsi="Arial"/>
          <w:iCs/>
        </w:rPr>
        <w:t xml:space="preserve"> Se a proposta for desclassificada o </w:t>
      </w:r>
      <w:r>
        <w:rPr>
          <w:rFonts w:cs="Arial" w:ascii="Arial" w:hAnsi="Arial"/>
          <w:b/>
          <w:iCs/>
        </w:rPr>
        <w:t>pregoeiro</w:t>
      </w:r>
      <w:r>
        <w:rPr>
          <w:rFonts w:cs="Arial" w:ascii="Arial" w:hAnsi="Arial"/>
          <w:iCs/>
        </w:rPr>
        <w:t xml:space="preserve"> examinará a proposta subsequente e assim sucessivamente, na ordem de classificação, até a seleção da proposta que melhor atenda a este edital.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15. DA HABILITAÇÃO</w:t>
      </w:r>
    </w:p>
    <w:p>
      <w:pPr>
        <w:pStyle w:val="Normal"/>
        <w:tabs>
          <w:tab w:val="clear" w:pos="708"/>
          <w:tab w:val="left" w:pos="567" w:leader="none"/>
        </w:tabs>
        <w:spacing w:lineRule="auto" w:line="240" w:before="0" w:after="0"/>
        <w:jc w:val="both"/>
        <w:rPr>
          <w:rFonts w:ascii="Arial" w:hAnsi="Arial" w:cs="Arial"/>
          <w:b/>
          <w:b/>
          <w:iCs/>
          <w:color w:val="000000"/>
        </w:rPr>
      </w:pPr>
      <w:r>
        <w:rPr>
          <w:rFonts w:cs="Arial" w:ascii="Arial" w:hAnsi="Arial"/>
          <w:b/>
          <w:iCs/>
          <w:color w:val="000000"/>
        </w:rPr>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bCs/>
          <w:iCs/>
          <w:color w:val="000000"/>
        </w:rPr>
        <w:t>15.1.</w:t>
      </w:r>
      <w:r>
        <w:rPr>
          <w:rFonts w:cs="Arial" w:ascii="Arial" w:hAnsi="Arial"/>
          <w:iCs/>
          <w:color w:val="000000"/>
        </w:rPr>
        <w:t xml:space="preserve"> Encerrado o julgamento das propostas, será exigido do licitante com a melhor proposta os documentos de habilitação, o qual terá o tempo máximo de </w:t>
      </w:r>
      <w:r>
        <w:rPr>
          <w:rFonts w:eastAsia="Calibri" w:cs="Arial" w:ascii="Arial" w:hAnsi="Arial"/>
          <w:iCs/>
          <w:color w:val="000000"/>
          <w:kern w:val="0"/>
          <w:sz w:val="22"/>
          <w:szCs w:val="22"/>
          <w:lang w:val="pt-BR" w:eastAsia="en-US" w:bidi="ar-SA"/>
        </w:rPr>
        <w:t>45</w:t>
      </w:r>
      <w:r>
        <w:rPr>
          <w:rFonts w:eastAsia="Calibri" w:cs="Arial" w:ascii="Arial" w:hAnsi="Arial"/>
          <w:iCs/>
          <w:color w:val="000000"/>
        </w:rPr>
        <w:t xml:space="preserve"> </w:t>
      </w:r>
      <w:r>
        <w:rPr>
          <w:rFonts w:cs="Arial" w:ascii="Arial" w:hAnsi="Arial"/>
          <w:iCs/>
          <w:color w:val="000000"/>
        </w:rPr>
        <w:t>(</w:t>
      </w:r>
      <w:r>
        <w:rPr>
          <w:rFonts w:eastAsia="Calibri" w:cs="Arial" w:ascii="Arial" w:hAnsi="Arial"/>
          <w:iCs/>
          <w:color w:val="000000"/>
          <w:kern w:val="0"/>
          <w:sz w:val="22"/>
          <w:szCs w:val="22"/>
          <w:lang w:val="pt-BR" w:eastAsia="en-US" w:bidi="ar-SA"/>
        </w:rPr>
        <w:t>quarenta e cinco</w:t>
      </w:r>
      <w:r>
        <w:rPr>
          <w:rFonts w:cs="Arial" w:ascii="Arial" w:hAnsi="Arial"/>
          <w:iCs/>
          <w:color w:val="000000"/>
        </w:rPr>
        <w:t>) minutos para anexar no sistema.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t xml:space="preserve">15.1.1. </w:t>
      </w:r>
      <w:r>
        <w:rPr>
          <w:rFonts w:eastAsia="Calibri" w:cs="Arial" w:ascii="Arial" w:hAnsi="Arial"/>
          <w:iCs/>
          <w:color w:val="000000"/>
          <w:kern w:val="0"/>
          <w:sz w:val="22"/>
          <w:szCs w:val="22"/>
          <w:lang w:val="pt-BR" w:eastAsia="en-US" w:bidi="ar-SA"/>
        </w:rPr>
        <w:t>O pregoeiro poderá convocar o licitante para enviar documento digital complementar, no prazo de 04 (quatro) horas, sob pena de não aceitação da proposta.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rFonts w:ascii="Arial" w:hAnsi="Arial" w:cs="Arial"/>
          <w:iCs/>
          <w:color w:val="000000"/>
        </w:rPr>
      </w:pPr>
      <w:r>
        <w:rPr>
          <w:rFonts w:eastAsia="Calibri" w:cs="Arial" w:ascii="Arial" w:hAnsi="Arial"/>
          <w:iCs/>
          <w:color w:val="000000"/>
          <w:kern w:val="0"/>
          <w:sz w:val="22"/>
          <w:szCs w:val="22"/>
          <w:lang w:val="pt-BR" w:eastAsia="en-US" w:bidi="ar-SA"/>
        </w:rPr>
        <w:t>15.1.1.1. O prazo estabelecido poderá ser prorrogado pelo Pregoeiro por solicitação escrita e justificada do licitante, formulada antes de findo o prazo, e formalmente aceita pelo Pregoeiro.</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15.2.</w:t>
      </w:r>
      <w:r>
        <w:rPr>
          <w:rFonts w:cs="Arial" w:ascii="Arial" w:hAnsi="Arial"/>
          <w:iCs/>
        </w:rPr>
        <w:t xml:space="preserve"> O </w:t>
      </w:r>
      <w:r>
        <w:rPr>
          <w:rFonts w:cs="Arial" w:ascii="Arial" w:hAnsi="Arial"/>
          <w:b/>
          <w:iCs/>
        </w:rPr>
        <w:t>pregoeiro</w:t>
      </w:r>
      <w:r>
        <w:rPr>
          <w:rFonts w:cs="Arial" w:ascii="Arial" w:hAnsi="Arial"/>
          <w:iCs/>
        </w:rPr>
        <w:t xml:space="preserve"> poderá consultar sítios oficiais de órgãos e entidades emissores de certidões para verificar as condições de habilitação dos licitantes.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bCs/>
          <w:iCs/>
          <w:color w:val="000000"/>
        </w:rPr>
        <w:t>15.3.</w:t>
      </w:r>
      <w:r>
        <w:rPr>
          <w:rFonts w:cs="Arial" w:ascii="Arial" w:hAnsi="Arial"/>
          <w:iCs/>
          <w:color w:val="000000"/>
        </w:rPr>
        <w:t xml:space="preserve"> 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pregoeiro, sob pena inabilitação, prazo durante o qual a sessão não será suspensa. </w:t>
      </w:r>
    </w:p>
    <w:p>
      <w:pPr>
        <w:pStyle w:val="Normal"/>
        <w:tabs>
          <w:tab w:val="clear" w:pos="708"/>
          <w:tab w:val="left" w:pos="567"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15.4.</w:t>
      </w:r>
      <w:r>
        <w:rPr>
          <w:rFonts w:cs="Arial" w:ascii="Arial" w:hAnsi="Arial"/>
          <w:iCs/>
        </w:rPr>
        <w:t xml:space="preserve"> Sob pena de inabilitação, os documentos encaminhados deverão estar em nome do licitante, com indicação precisa de dados capazes de qualificar inequivocamente o licitante.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15.5.</w:t>
      </w:r>
      <w:r>
        <w:rPr>
          <w:rFonts w:cs="Arial" w:ascii="Arial" w:hAnsi="Arial"/>
          <w:iCs/>
        </w:rPr>
        <w:t xml:space="preserve"> Em se tratando de filial, os documentos de habilitação jurídica e regularidade fiscal deverão estar em nome da filial, exceto aqueles que, pela própria natureza, são emitidos somente em nome da matriz.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15.6.</w:t>
      </w:r>
      <w:r>
        <w:rPr>
          <w:rFonts w:cs="Arial" w:ascii="Arial" w:hAnsi="Arial"/>
          <w:iCs/>
        </w:rPr>
        <w:t xml:space="preserve"> Em se tratando de licitante indicado no tópico 7,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Municipal.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15.7.</w:t>
      </w:r>
      <w:r>
        <w:rPr>
          <w:rFonts w:cs="Arial" w:ascii="Arial" w:hAnsi="Arial"/>
          <w:iCs/>
        </w:rPr>
        <w:t xml:space="preserve"> A não regularização da documentação no prazo previsto anteriormente, implicará decadência do direito à contratação, sem prejuízo das sanções previstas neste edital, e facultará ao pregoeiro convocar os licitantes remanescentes, na ordem de classificação.</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b/>
          <w:b/>
          <w:bCs/>
        </w:rPr>
      </w:pPr>
      <w:r>
        <w:rPr>
          <w:rFonts w:cs="Arial" w:ascii="Arial" w:hAnsi="Arial"/>
          <w:b/>
          <w:bCs/>
        </w:rPr>
        <w:t>15.8. PESSOA JURÍDICA:</w:t>
      </w:r>
    </w:p>
    <w:p>
      <w:pPr>
        <w:pStyle w:val="Normal"/>
        <w:spacing w:lineRule="auto" w:line="240" w:before="0" w:after="0"/>
        <w:jc w:val="both"/>
        <w:rPr>
          <w:rFonts w:ascii="Arial" w:hAnsi="Arial" w:cs="Arial"/>
        </w:rPr>
      </w:pPr>
      <w:r>
        <w:rPr>
          <w:rFonts w:cs="Arial" w:ascii="Arial" w:hAnsi="Arial"/>
        </w:rPr>
      </w:r>
    </w:p>
    <w:p>
      <w:pPr>
        <w:pStyle w:val="ListParagraph"/>
        <w:spacing w:lineRule="auto" w:line="240" w:before="0" w:after="0"/>
        <w:contextualSpacing/>
        <w:jc w:val="both"/>
        <w:rPr>
          <w:rFonts w:ascii="Arial" w:hAnsi="Arial"/>
        </w:rPr>
      </w:pPr>
      <w:r>
        <w:rPr>
          <w:rFonts w:cs="Arial" w:ascii="Arial" w:hAnsi="Arial"/>
        </w:rPr>
        <w:t xml:space="preserve">15.8.1. </w:t>
      </w:r>
      <w:r>
        <w:rPr>
          <w:rFonts w:cs="Arial" w:ascii="Arial" w:hAnsi="Arial"/>
          <w:b/>
          <w:bCs/>
          <w:u w:val="single"/>
        </w:rPr>
        <w:t>Declaração</w:t>
      </w:r>
      <w:r>
        <w:rPr>
          <w:rFonts w:cs="Arial" w:ascii="Arial" w:hAnsi="Arial"/>
        </w:rPr>
        <w:t xml:space="preserve"> </w:t>
      </w:r>
      <w:r>
        <w:rPr>
          <w:rFonts w:cs="Arial" w:ascii="Arial" w:hAnsi="Arial"/>
          <w:sz w:val="22"/>
          <w:szCs w:val="22"/>
        </w:rPr>
        <w:t xml:space="preserve">de que atende aos requisitos de habilitação, que responderá pela veracidade das informações prestadas, na forma da lei, que tomou conhecimento de todas as informações e das condições locais para o cumprimento das obrigações objeto da licitação e de que os documentos apresentados de origem não eletrônica conferem com os seus respectivos originais, – ANEXO VII; Em caso de declaração falsa, o proponente ficará sujeito às sanções administrativas, civis e penais aplicáveis, nos termos do que dispõe o art. 3°, § 2° da Lei Federal n° 13.726/2018.  </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rFonts w:ascii="Arial" w:hAnsi="Arial" w:cs="Arial"/>
        </w:rPr>
      </w:pPr>
      <w:r>
        <w:rPr>
          <w:rFonts w:cs="Arial" w:ascii="Arial" w:hAnsi="Arial"/>
        </w:rPr>
        <w:t xml:space="preserve">15.8.2. </w:t>
      </w:r>
      <w:r>
        <w:rPr>
          <w:rFonts w:cs="Arial" w:ascii="Arial" w:hAnsi="Arial"/>
          <w:b/>
          <w:bCs/>
          <w:u w:val="single"/>
        </w:rPr>
        <w:t>Declaração</w:t>
      </w:r>
      <w:r>
        <w:rPr>
          <w:rFonts w:cs="Arial" w:ascii="Arial" w:hAnsi="Arial"/>
        </w:rPr>
        <w:t xml:space="preserve"> de que cumpre as exigências de reserva de cargos para pessoa com deficiência e para reabilitado da Previdência Social, previstas em lei e em outras normas específicas – ANEXO VIII;</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rPr>
        <w:t xml:space="preserve">15.8.3. </w:t>
      </w:r>
      <w:r>
        <w:rPr>
          <w:rFonts w:cs="Arial" w:ascii="Arial" w:hAnsi="Arial"/>
          <w:b/>
          <w:bCs/>
          <w:u w:val="single"/>
        </w:rPr>
        <w:t>Declaração</w:t>
      </w:r>
      <w:r>
        <w:rPr>
          <w:rFonts w:cs="Arial" w:ascii="Arial" w:hAnsi="Arial"/>
        </w:rPr>
        <w:t xml:space="preserve"> que não incorre nos impedimentos - (ANEXO III).</w:t>
      </w:r>
    </w:p>
    <w:p>
      <w:pPr>
        <w:pStyle w:val="ListParagraph"/>
        <w:spacing w:lineRule="auto" w:line="240" w:before="0" w:after="0"/>
        <w:contextualSpacing/>
        <w:jc w:val="both"/>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ind w:left="720" w:hanging="0"/>
        <w:jc w:val="both"/>
        <w:textAlignment w:val="baseline"/>
        <w:rPr/>
      </w:pPr>
      <w:r>
        <w:rPr>
          <w:rFonts w:eastAsia="Times New Roman" w:cs="Arial" w:ascii="Arial" w:hAnsi="Arial"/>
          <w:iCs/>
          <w:lang w:eastAsia="pt-BR"/>
        </w:rPr>
        <w:t xml:space="preserve">15.8.4. </w:t>
      </w:r>
      <w:r>
        <w:rPr>
          <w:rFonts w:eastAsia="Times New Roman" w:cs="Arial" w:ascii="Arial" w:hAnsi="Arial"/>
          <w:b/>
          <w:bCs/>
          <w:iCs/>
          <w:u w:val="single"/>
          <w:lang w:eastAsia="pt-BR"/>
        </w:rPr>
        <w:t>Declaração</w:t>
      </w:r>
      <w:r>
        <w:rPr>
          <w:rFonts w:eastAsia="Times New Roman" w:cs="Arial" w:ascii="Arial" w:hAnsi="Arial"/>
          <w:iCs/>
          <w:lang w:eastAsia="pt-BR"/>
        </w:rPr>
        <w:t xml:space="preserve">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08"/>
          <w:tab w:val="left" w:pos="567" w:leader="none"/>
        </w:tabs>
        <w:spacing w:lineRule="auto" w:line="240" w:before="0" w:after="0"/>
        <w:ind w:left="720" w:hanging="0"/>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ind w:left="720" w:hanging="0"/>
        <w:jc w:val="both"/>
        <w:textAlignment w:val="baseline"/>
        <w:rPr/>
      </w:pPr>
      <w:r>
        <w:rPr>
          <w:rFonts w:eastAsia="Times New Roman" w:cs="Arial" w:ascii="Arial" w:hAnsi="Arial"/>
          <w:iCs/>
          <w:lang w:eastAsia="pt-BR"/>
        </w:rPr>
        <w:t>15.8.5. Para obtenção dos benefícios, conforme art. 4º, § 2º da Lei nº 14.133/2021, o licitante</w:t>
      </w:r>
      <w:r>
        <w:rPr>
          <w:rFonts w:eastAsia="Times New Roman" w:cs="Arial" w:ascii="Arial" w:hAnsi="Arial"/>
          <w:iCs/>
          <w:u w:val="single"/>
          <w:lang w:eastAsia="pt-BR"/>
        </w:rPr>
        <w:t xml:space="preserve"> </w:t>
      </w:r>
      <w:r>
        <w:rPr>
          <w:rFonts w:eastAsia="Times New Roman" w:cs="Arial" w:ascii="Arial" w:hAnsi="Arial"/>
          <w:b/>
          <w:bCs/>
          <w:iCs/>
          <w:u w:val="single"/>
          <w:lang w:eastAsia="pt-BR"/>
        </w:rPr>
        <w:t>deverá apresentar declaração</w:t>
      </w:r>
      <w:r>
        <w:rPr>
          <w:rFonts w:eastAsia="Times New Roman" w:cs="Arial" w:ascii="Arial" w:hAnsi="Arial"/>
          <w:iCs/>
          <w:u w:val="single"/>
          <w:lang w:eastAsia="pt-BR"/>
        </w:rPr>
        <w:t xml:space="preserve"> </w:t>
      </w:r>
      <w:r>
        <w:rPr>
          <w:rFonts w:eastAsia="Times New Roman" w:cs="Arial" w:ascii="Arial" w:hAnsi="Arial"/>
          <w:iCs/>
          <w:lang w:eastAsia="pt-BR"/>
        </w:rPr>
        <w:t>(ANEXO V) que, no ano-calendário de realização da licitação, ainda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p>
    <w:p>
      <w:pPr>
        <w:pStyle w:val="ListParagraph"/>
        <w:spacing w:lineRule="auto" w:line="240" w:before="0" w:after="0"/>
        <w:ind w:left="1440" w:hanging="0"/>
        <w:contextualSpacing/>
        <w:jc w:val="both"/>
        <w:rPr>
          <w:rFonts w:ascii="Arial" w:hAnsi="Arial" w:cs="Arial"/>
        </w:rPr>
      </w:pPr>
      <w:r>
        <w:rPr>
          <w:rFonts w:cs="Arial" w:ascii="Arial" w:hAnsi="Arial"/>
        </w:rPr>
      </w:r>
    </w:p>
    <w:p>
      <w:pPr>
        <w:pStyle w:val="ListParagraph"/>
        <w:spacing w:lineRule="auto" w:line="240" w:before="0" w:after="0"/>
        <w:ind w:left="0" w:hanging="0"/>
        <w:contextualSpacing/>
        <w:jc w:val="both"/>
        <w:rPr>
          <w:b/>
          <w:b/>
          <w:bCs/>
        </w:rPr>
      </w:pPr>
      <w:r>
        <w:rPr>
          <w:rFonts w:cs="Arial" w:ascii="Arial" w:hAnsi="Arial"/>
          <w:b/>
          <w:bCs/>
        </w:rPr>
        <w:t>15.8.6. HABILITAÇÃO JURÍDICA:</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15.8.6.1. Comprovação de existência jurídica da pessoa, através de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pPr>
        <w:pStyle w:val="ListParagraph"/>
        <w:spacing w:lineRule="auto" w:line="240" w:before="0" w:after="0"/>
        <w:ind w:left="709" w:hanging="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15.8.6.2. Quando cabível, de autorização para o exercício da atividade a ser contratada.</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0" w:hanging="0"/>
        <w:contextualSpacing/>
        <w:jc w:val="both"/>
        <w:rPr>
          <w:b/>
          <w:b/>
          <w:bCs/>
        </w:rPr>
      </w:pPr>
      <w:r>
        <w:rPr>
          <w:rFonts w:cs="Arial" w:ascii="Arial" w:hAnsi="Arial"/>
          <w:b/>
          <w:bCs/>
        </w:rPr>
        <w:t>15.8.7. HABILITAÇÃO FISCAL, SOCIAL E TRABALHISTA:</w:t>
      </w:r>
    </w:p>
    <w:p>
      <w:pPr>
        <w:pStyle w:val="ListParagraph"/>
        <w:spacing w:lineRule="auto" w:line="240" w:before="0" w:after="0"/>
        <w:ind w:left="2160"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15.8.7.1. Inscrição no Cadastro Nacional da Pessoa Jurídica (CNPJ);</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 xml:space="preserve">15.8.7.2. Inscrição no cadastro de contribuintes estadual e/ou municipal, </w:t>
      </w:r>
      <w:r>
        <w:rPr>
          <w:rFonts w:cs="Arial" w:ascii="Arial" w:hAnsi="Arial"/>
          <w:u w:val="single"/>
        </w:rPr>
        <w:t>se houver</w:t>
      </w:r>
      <w:r>
        <w:rPr>
          <w:rFonts w:cs="Arial" w:ascii="Arial" w:hAnsi="Arial"/>
        </w:rPr>
        <w:t>, relativo ao domicílio ou sede do licitante, pertinente ao seu ramo de atividade e compatível com o objeto contratual;</w:t>
      </w:r>
    </w:p>
    <w:p>
      <w:pPr>
        <w:pStyle w:val="ListParagraph"/>
        <w:spacing w:lineRule="auto" w:line="240" w:before="0" w:after="0"/>
        <w:ind w:left="851" w:hanging="0"/>
        <w:contextualSpacing/>
        <w:jc w:val="both"/>
        <w:rPr/>
      </w:pPr>
      <w:r>
        <w:rPr/>
      </w:r>
    </w:p>
    <w:p>
      <w:pPr>
        <w:pStyle w:val="ListParagraph"/>
        <w:spacing w:lineRule="auto" w:line="240" w:before="0" w:after="0"/>
        <w:ind w:left="851" w:hanging="0"/>
        <w:contextualSpacing/>
        <w:jc w:val="both"/>
        <w:rPr/>
      </w:pPr>
      <w:r>
        <w:rPr>
          <w:rFonts w:cs="Arial" w:ascii="Arial" w:hAnsi="Arial"/>
        </w:rPr>
        <w:t xml:space="preserve">15.8.7.3. Regularidade perante a Fazenda </w:t>
      </w:r>
      <w:r>
        <w:rPr>
          <w:rFonts w:cs="Arial" w:ascii="Arial" w:hAnsi="Arial"/>
          <w:u w:val="single"/>
        </w:rPr>
        <w:t>Federal;</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15.8.7.3.1. Regularidade perante a Fazenda </w:t>
      </w:r>
      <w:r>
        <w:rPr>
          <w:rFonts w:cs="Arial" w:ascii="Arial" w:hAnsi="Arial"/>
          <w:u w:val="single"/>
        </w:rPr>
        <w:t>Estadual</w:t>
      </w:r>
      <w:r>
        <w:rPr>
          <w:rFonts w:cs="Arial" w:ascii="Arial" w:hAnsi="Arial"/>
        </w:rPr>
        <w:t>;</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rPr>
      </w:pPr>
      <w:r>
        <w:rPr>
          <w:rFonts w:cs="Arial" w:ascii="Arial" w:hAnsi="Arial"/>
        </w:rPr>
        <w:t xml:space="preserve">15.8.7.3.2. Regularidade perante a Fazenda </w:t>
      </w:r>
      <w:r>
        <w:rPr>
          <w:rFonts w:cs="Arial" w:ascii="Arial" w:hAnsi="Arial"/>
          <w:u w:val="single"/>
        </w:rPr>
        <w:t>Municipal</w:t>
      </w:r>
      <w:r>
        <w:rPr>
          <w:rFonts w:cs="Arial" w:ascii="Arial" w:hAnsi="Arial"/>
        </w:rPr>
        <w:t>, relativa ao Munic</w:t>
      </w:r>
      <w:r>
        <w:rPr>
          <w:rFonts w:ascii="Arial" w:hAnsi="Arial"/>
        </w:rPr>
        <w:t>ípio da sede do licitante</w:t>
      </w:r>
      <w:r>
        <w:rPr>
          <w:rFonts w:cs="Arial" w:ascii="Arial" w:hAnsi="Arial"/>
        </w:rPr>
        <w:t>;</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15.8.7.4. Regularidade relativa à Seguridade Social e ao FGTS, que demonstre cumprimento dos encargos sociais instituídos por lei;</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rPr>
      </w:pPr>
      <w:r>
        <w:rPr>
          <w:rFonts w:cs="Arial" w:ascii="Arial" w:hAnsi="Arial"/>
        </w:rPr>
        <w:t>15.8.7.5. Regularidade perante a Justiça do Trabalho  (certidão negativa de débitos trabalhistas);</w:t>
      </w:r>
    </w:p>
    <w:p>
      <w:pPr>
        <w:pStyle w:val="ListParagraph"/>
        <w:spacing w:lineRule="auto" w:line="240" w:before="0" w:after="0"/>
        <w:ind w:left="1440"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 xml:space="preserve">15.8.7.6. </w:t>
      </w:r>
      <w:r>
        <w:rPr>
          <w:rFonts w:cs="Arial" w:ascii="Arial" w:hAnsi="Arial"/>
          <w:b/>
          <w:bCs/>
          <w:u w:val="single"/>
        </w:rPr>
        <w:t>Declaração</w:t>
      </w:r>
      <w:r>
        <w:rPr>
          <w:rFonts w:cs="Arial" w:ascii="Arial" w:hAnsi="Arial"/>
        </w:rPr>
        <w:t xml:space="preserve"> de cumprimento do disposto no inciso XXXIII do art. 7º da Constituição Federal.</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rFonts w:ascii="Arial" w:hAnsi="Arial" w:cs="Arial"/>
        </w:rPr>
      </w:pPr>
      <w:r>
        <w:rPr>
          <w:rFonts w:cs="Arial" w:ascii="Arial" w:hAnsi="Arial"/>
          <w:b/>
          <w:bCs/>
        </w:rPr>
        <w:t>Observação:</w:t>
      </w:r>
      <w:r>
        <w:rPr>
          <w:rFonts w:cs="Arial" w:ascii="Arial" w:hAnsi="Arial"/>
        </w:rPr>
        <w:t xml:space="preserve"> Os documentos poderão ser substituídos ou supridos, no todo ou em parte, por outros meios hábeis a comprovar a regularidade do licitante, inclusive por meio eletrônico.</w:t>
      </w:r>
    </w:p>
    <w:p>
      <w:pPr>
        <w:pStyle w:val="ListParagraph"/>
        <w:spacing w:lineRule="auto" w:line="240" w:before="0" w:after="0"/>
        <w:ind w:left="2160" w:hanging="0"/>
        <w:contextualSpacing/>
        <w:jc w:val="both"/>
        <w:rPr>
          <w:rFonts w:ascii="Arial" w:hAnsi="Arial" w:cs="Arial"/>
        </w:rPr>
      </w:pPr>
      <w:r>
        <w:rPr>
          <w:rFonts w:cs="Arial" w:ascii="Arial" w:hAnsi="Arial"/>
        </w:rPr>
      </w:r>
    </w:p>
    <w:p>
      <w:pPr>
        <w:pStyle w:val="ListParagraph"/>
        <w:spacing w:lineRule="auto" w:line="240" w:before="0" w:after="0"/>
        <w:ind w:left="0" w:hanging="0"/>
        <w:contextualSpacing/>
        <w:jc w:val="both"/>
        <w:rPr>
          <w:b/>
          <w:b/>
          <w:bCs/>
        </w:rPr>
      </w:pPr>
      <w:r>
        <w:rPr>
          <w:rFonts w:cs="Arial" w:ascii="Arial" w:hAnsi="Arial"/>
          <w:b/>
          <w:bCs/>
        </w:rPr>
        <w:t>15.8.8. HABILITAÇÃO ECONÔMICO-FINANCEIRA (art. 69 da Lei nº 14.133/2021):</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15.8.8.1. Certidão negativa de feitos sobre falência expedida pelo distribuidor da sede do licitante;</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15.9.</w:t>
      </w:r>
      <w:r>
        <w:rPr>
          <w:rFonts w:cs="Arial" w:ascii="Arial" w:hAnsi="Arial"/>
          <w:iCs/>
        </w:rPr>
        <w:t xml:space="preserve"> Se o licitante não atender às exigências de habilitação, o pregoeiro examinará a proposta subsequente e assim sucessivamente, na ordem de classificação, até a seleção da proposta que melhor atenda a este edital.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rFonts w:ascii="Arial" w:hAnsi="Arial" w:cs="Arial"/>
          <w:iCs/>
        </w:rPr>
      </w:pPr>
      <w:r>
        <w:rPr>
          <w:rFonts w:cs="Arial" w:ascii="Arial" w:hAnsi="Arial"/>
          <w:bCs/>
          <w:iCs/>
        </w:rPr>
        <w:t>15.10.</w:t>
      </w:r>
      <w:r>
        <w:rPr>
          <w:rFonts w:cs="Arial" w:ascii="Arial" w:hAnsi="Arial"/>
          <w:iCs/>
        </w:rPr>
        <w:t xml:space="preserve"> Constatado o atendimento às exigências fixadas neste edital, o licitante será declarado o vencedor.</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16. DOS RECURSOS E PEDIDOS DE RECONSIDERAÇÃO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1134" w:leader="none"/>
        </w:tabs>
        <w:spacing w:lineRule="auto" w:line="240" w:before="0" w:after="0"/>
        <w:jc w:val="both"/>
        <w:rPr>
          <w:rFonts w:ascii="Arial" w:hAnsi="Arial" w:cs="Arial"/>
          <w:iCs/>
        </w:rPr>
      </w:pPr>
      <w:r>
        <w:rPr>
          <w:rFonts w:cs="Arial" w:ascii="Arial" w:hAnsi="Arial"/>
          <w:bCs/>
          <w:iCs/>
        </w:rPr>
        <w:t>16.1.</w:t>
      </w:r>
      <w:r>
        <w:rPr>
          <w:rFonts w:cs="Arial" w:ascii="Arial" w:hAnsi="Arial"/>
          <w:iCs/>
        </w:rPr>
        <w:t xml:space="preserve"> </w:t>
      </w:r>
      <w:r>
        <w:rPr>
          <w:rFonts w:cs="Arial" w:ascii="Arial" w:hAnsi="Arial"/>
        </w:rPr>
        <w:t>Cabe</w:t>
      </w:r>
      <w:bookmarkStart w:id="38" w:name="art165i"/>
      <w:bookmarkEnd w:id="38"/>
      <w:r>
        <w:rPr>
          <w:rFonts w:cs="Arial" w:ascii="Arial" w:hAnsi="Arial"/>
        </w:rPr>
        <w:t xml:space="preserve"> recurso, no prazo de 03 (três) dias úteis, contado da data de intimação ou de lavratura da ata, em face de (art. 165, I da Lei nº 14.133/2021):</w:t>
      </w:r>
    </w:p>
    <w:p>
      <w:pPr>
        <w:pStyle w:val="ListParagraph"/>
        <w:numPr>
          <w:ilvl w:val="0"/>
          <w:numId w:val="20"/>
        </w:numPr>
        <w:tabs>
          <w:tab w:val="clear" w:pos="708"/>
          <w:tab w:val="left" w:pos="1134" w:leader="none"/>
        </w:tabs>
        <w:spacing w:lineRule="auto" w:line="240" w:before="0" w:after="0"/>
        <w:ind w:left="567" w:hanging="0"/>
        <w:contextualSpacing/>
        <w:jc w:val="both"/>
        <w:rPr>
          <w:rFonts w:ascii="Arial" w:hAnsi="Arial" w:cs="Arial"/>
        </w:rPr>
      </w:pPr>
      <w:bookmarkStart w:id="39" w:name="art165ib"/>
      <w:bookmarkStart w:id="40" w:name="art165ia"/>
      <w:bookmarkEnd w:id="39"/>
      <w:bookmarkEnd w:id="40"/>
      <w:r>
        <w:rPr>
          <w:rFonts w:cs="Arial" w:ascii="Arial" w:hAnsi="Arial"/>
        </w:rPr>
        <w:t>Julgamento das propostas;</w:t>
      </w:r>
    </w:p>
    <w:p>
      <w:pPr>
        <w:pStyle w:val="ListParagraph"/>
        <w:numPr>
          <w:ilvl w:val="0"/>
          <w:numId w:val="20"/>
        </w:numPr>
        <w:tabs>
          <w:tab w:val="clear" w:pos="708"/>
          <w:tab w:val="left" w:pos="1134" w:leader="none"/>
        </w:tabs>
        <w:spacing w:lineRule="auto" w:line="240" w:before="0" w:after="0"/>
        <w:ind w:left="567" w:hanging="0"/>
        <w:contextualSpacing/>
        <w:jc w:val="both"/>
        <w:rPr>
          <w:rFonts w:ascii="Arial" w:hAnsi="Arial" w:cs="Arial"/>
        </w:rPr>
      </w:pPr>
      <w:bookmarkStart w:id="41" w:name="art165ic"/>
      <w:bookmarkEnd w:id="41"/>
      <w:r>
        <w:rPr>
          <w:rFonts w:cs="Arial" w:ascii="Arial" w:hAnsi="Arial"/>
        </w:rPr>
        <w:t>Ato de habilitação ou inabilitação de licitante;</w:t>
      </w:r>
    </w:p>
    <w:p>
      <w:pPr>
        <w:pStyle w:val="ListParagraph"/>
        <w:numPr>
          <w:ilvl w:val="0"/>
          <w:numId w:val="20"/>
        </w:numPr>
        <w:tabs>
          <w:tab w:val="clear" w:pos="708"/>
          <w:tab w:val="left" w:pos="1134" w:leader="none"/>
        </w:tabs>
        <w:spacing w:lineRule="auto" w:line="240" w:before="0" w:after="0"/>
        <w:ind w:left="567" w:hanging="0"/>
        <w:contextualSpacing/>
        <w:jc w:val="both"/>
        <w:rPr>
          <w:rFonts w:ascii="Arial" w:hAnsi="Arial" w:cs="Arial"/>
        </w:rPr>
      </w:pPr>
      <w:bookmarkStart w:id="42" w:name="art165id"/>
      <w:bookmarkEnd w:id="42"/>
      <w:r>
        <w:rPr>
          <w:rFonts w:cs="Arial" w:ascii="Arial" w:hAnsi="Arial"/>
        </w:rPr>
        <w:t>Anulação ou revogação da licitação;</w:t>
      </w:r>
    </w:p>
    <w:p>
      <w:pPr>
        <w:pStyle w:val="ListParagraph"/>
        <w:numPr>
          <w:ilvl w:val="0"/>
          <w:numId w:val="20"/>
        </w:numPr>
        <w:tabs>
          <w:tab w:val="clear" w:pos="708"/>
          <w:tab w:val="left" w:pos="1134" w:leader="none"/>
        </w:tabs>
        <w:spacing w:lineRule="auto" w:line="240" w:before="0" w:after="0"/>
        <w:ind w:left="567" w:hanging="0"/>
        <w:contextualSpacing/>
        <w:jc w:val="both"/>
        <w:rPr>
          <w:rFonts w:ascii="Arial" w:hAnsi="Arial" w:cs="Arial"/>
        </w:rPr>
      </w:pPr>
      <w:bookmarkStart w:id="43" w:name="art165ie"/>
      <w:bookmarkEnd w:id="43"/>
      <w:r>
        <w:rPr>
          <w:rFonts w:cs="Arial" w:ascii="Arial" w:hAnsi="Arial"/>
        </w:rPr>
        <w:t>Extinção do contrato, quando determinada por ato unilateral e escrito da Administração.</w:t>
      </w:r>
    </w:p>
    <w:p>
      <w:pPr>
        <w:pStyle w:val="ListParagraph"/>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16.2.</w:t>
      </w:r>
      <w:r>
        <w:rPr>
          <w:rFonts w:cs="Arial" w:ascii="Arial" w:hAnsi="Arial"/>
        </w:rPr>
        <w:t xml:space="preserve"> Se apresentado recurso em virtude do disposto nas letras “a” e “b” do item anterior, serão observadas as seguintes disposições:</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intenção de recorrer deverá ser manifestada imediatamente, sob pena de preclusão, e o prazo para apresentação das razões recursais será iniciado na data de intimação ou de lavratura da ata de habilitação ou inabilitação ou, na hipótese de adoção da inversão de fases prevista no § 1º do art. 17 da Lei nº 14.133/2021, da ata de julgamento;</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apreciação dar-se-á em fase única.</w:t>
      </w:r>
      <w:bookmarkStart w:id="44" w:name="art165ii"/>
      <w:bookmarkEnd w:id="44"/>
    </w:p>
    <w:p>
      <w:pPr>
        <w:pStyle w:val="ListParagraph"/>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16.3.</w:t>
      </w:r>
      <w:r>
        <w:rPr>
          <w:rFonts w:cs="Arial" w:ascii="Arial" w:hAnsi="Arial"/>
        </w:rPr>
        <w:t xml:space="preserve"> O recurso será dirigido à autoridade que tiver editado o ato ou proferido a decisão recorrida.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16.4.</w:t>
      </w:r>
      <w:r>
        <w:rPr>
          <w:rFonts w:cs="Arial" w:ascii="Arial" w:hAnsi="Arial"/>
        </w:rPr>
        <w:t xml:space="preserve"> Apresentado recurso, será aberto prazo para apresentação de contrarrazões, será o mesmo do recurso – 03 (três) dias úteis – e terá início na data de intimação pessoal ou de divulgação da interposição do recurso.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16.5.</w:t>
      </w:r>
      <w:r>
        <w:rPr>
          <w:rFonts w:cs="Arial" w:ascii="Arial" w:hAnsi="Arial"/>
        </w:rPr>
        <w:t xml:space="preserve"> Será assegurado ao licitante vista dos elementos indispensáveis à defesa de seus interesses.</w:t>
      </w:r>
    </w:p>
    <w:p>
      <w:pPr>
        <w:pStyle w:val="Normal"/>
        <w:spacing w:lineRule="auto" w:line="240" w:before="0" w:after="0"/>
        <w:jc w:val="both"/>
        <w:rPr>
          <w:rFonts w:ascii="Arial" w:hAnsi="Arial" w:cs="Arial"/>
        </w:rPr>
      </w:pPr>
      <w:r>
        <w:rPr>
          <w:rFonts w:cs="Arial" w:ascii="Arial" w:hAnsi="Arial"/>
          <w:bCs/>
        </w:rPr>
        <w:t>16.6.</w:t>
      </w:r>
      <w:r>
        <w:rPr>
          <w:rFonts w:cs="Arial" w:ascii="Arial" w:hAnsi="Arial"/>
        </w:rPr>
        <w:t xml:space="preserve"> Apresentadas as contrarrazões ou findo o prazo para apresentação destas, a autoridade que tiver editado o ato ou proferido a decisão recorrida terá prazo de 3 (três) dias úteis para apreciar o recurso e as contrarrazões.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16.6.1.</w:t>
      </w:r>
      <w:r>
        <w:rPr>
          <w:rFonts w:cs="Arial" w:ascii="Arial" w:hAnsi="Arial"/>
        </w:rPr>
        <w:t xml:space="preserve"> Se não reconsiderar o ato ou a decisão, encaminhará o recurso com a sua motivação à autoridade superior, a qual deverá proferir sua decisão no prazo máximo de 10 (dez) dias úteis, contado do recebimento dos autos.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16.7.</w:t>
      </w:r>
      <w:r>
        <w:rPr>
          <w:rFonts w:cs="Arial" w:ascii="Arial" w:hAnsi="Arial"/>
          <w:b/>
        </w:rPr>
        <w:t xml:space="preserve"> </w:t>
      </w:r>
      <w:r>
        <w:rPr>
          <w:rFonts w:cs="Arial" w:ascii="Arial" w:hAnsi="Arial"/>
        </w:rPr>
        <w:t>O acolhimento do recurso implicará invalidação apenas de ato insuscetível de aproveitamento.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16.8.</w:t>
      </w:r>
      <w:r>
        <w:rPr>
          <w:rFonts w:cs="Arial" w:ascii="Arial" w:hAnsi="Arial"/>
        </w:rPr>
        <w:t xml:space="preserve"> Cabe pedido de reconsideração, no prazo de 3 (três) dias úteis, contado da data de intimação, relativamente a ato do qual não caiba recurso hierárquico.</w:t>
      </w:r>
      <w:bookmarkStart w:id="45" w:name="art166"/>
      <w:bookmarkStart w:id="46" w:name="art165§5"/>
      <w:bookmarkStart w:id="47" w:name="art165§4"/>
      <w:bookmarkStart w:id="48" w:name="art165§3"/>
      <w:bookmarkStart w:id="49" w:name="art165§2"/>
      <w:bookmarkStart w:id="50" w:name="art165§1"/>
      <w:bookmarkEnd w:id="45"/>
      <w:bookmarkEnd w:id="46"/>
      <w:bookmarkEnd w:id="47"/>
      <w:bookmarkEnd w:id="48"/>
      <w:bookmarkEnd w:id="49"/>
      <w:bookmarkEnd w:id="50"/>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16.9.</w:t>
      </w:r>
      <w:r>
        <w:rPr>
          <w:rFonts w:cs="Arial" w:ascii="Arial" w:hAnsi="Arial"/>
        </w:rPr>
        <w:t xml:space="preserve"> Da aplicação das sanções previstas nos incisos I, II e III do </w:t>
      </w:r>
      <w:r>
        <w:rPr>
          <w:rFonts w:cs="Arial" w:ascii="Arial" w:hAnsi="Arial"/>
          <w:bCs/>
          <w:i/>
        </w:rPr>
        <w:t xml:space="preserve">caput </w:t>
      </w:r>
      <w:r>
        <w:rPr>
          <w:rFonts w:cs="Arial" w:ascii="Arial" w:hAnsi="Arial"/>
        </w:rPr>
        <w:t>do art. 156 da Lei nº 14.133/2021</w:t>
      </w:r>
      <w:r>
        <w:rPr>
          <w:rStyle w:val="LinkdaInternet"/>
          <w:rFonts w:cs="Arial" w:ascii="Arial" w:hAnsi="Arial"/>
          <w:u w:val="none"/>
        </w:rPr>
        <w:t xml:space="preserve"> </w:t>
      </w:r>
      <w:r>
        <w:rPr>
          <w:rFonts w:cs="Arial" w:ascii="Arial" w:hAnsi="Arial"/>
        </w:rPr>
        <w:t>caberá recurso no prazo de 15 (quinze) dias úteis, contado da data da intimação</w:t>
      </w:r>
      <w:bookmarkStart w:id="51" w:name="art166p"/>
      <w:bookmarkEnd w:id="51"/>
      <w:r>
        <w:rPr>
          <w:rFonts w:cs="Arial" w:ascii="Arial" w:hAnsi="Arial"/>
        </w:rPr>
        <w:t>.</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16.9.1.</w:t>
      </w:r>
      <w:r>
        <w:rPr>
          <w:rFonts w:cs="Arial" w:ascii="Arial" w:hAnsi="Arial"/>
        </w:rPr>
        <w:t xml:space="preserve">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bookmarkStart w:id="52" w:name="art167"/>
      <w:bookmarkEnd w:id="52"/>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16.10.</w:t>
      </w:r>
      <w:r>
        <w:rPr>
          <w:rFonts w:cs="Arial" w:ascii="Arial" w:hAnsi="Arial"/>
        </w:rPr>
        <w:t xml:space="preserve"> Da aplicação da sanção prevista no inciso IV do </w:t>
      </w:r>
      <w:r>
        <w:rPr>
          <w:rFonts w:cs="Arial" w:ascii="Arial" w:hAnsi="Arial"/>
          <w:bCs/>
          <w:i/>
        </w:rPr>
        <w:t xml:space="preserve">caput </w:t>
      </w:r>
      <w:r>
        <w:rPr>
          <w:rFonts w:cs="Arial" w:ascii="Arial" w:hAnsi="Arial"/>
        </w:rPr>
        <w:t>do art. 156 da Lei nº 14.133/2021 caberá apenas pedido de reconsideração, que deverá ser apresentado no prazo de 15 (quinze) dias úteis, contado da data da intimação, e decidido no prazo máximo de 20 (vinte) dias úteis, contado do seu recebimento.</w:t>
      </w:r>
      <w:bookmarkStart w:id="53" w:name="art168"/>
      <w:bookmarkEnd w:id="53"/>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16.11.</w:t>
      </w:r>
      <w:r>
        <w:rPr>
          <w:rFonts w:cs="Arial" w:ascii="Arial" w:hAnsi="Arial"/>
        </w:rPr>
        <w:t xml:space="preserve"> O recurso e o pedido de reconsideração terão efeito suspensivo do ato ou da decisão recorrida até que sobrevenha decisão final da autoridade competente.</w:t>
      </w:r>
      <w:bookmarkStart w:id="54" w:name="art168p"/>
      <w:bookmarkEnd w:id="54"/>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 xml:space="preserve">16.12. </w:t>
      </w:r>
      <w:r>
        <w:rPr>
          <w:rFonts w:cs="Arial" w:ascii="Arial" w:hAnsi="Arial"/>
        </w:rPr>
        <w:t>Na elaboração de suas decisões, a autoridade competente será auxiliada pelo órgão de assessoramento jurídico, que deverá dirimir dúvidas e subsidiá-la com as informações necessárias.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17. DA ADJUDICAÇÃO E HOMOLOGAÇÃO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iCs/>
        </w:rPr>
        <w:t>17.1.</w:t>
      </w:r>
      <w:r>
        <w:rPr>
          <w:rFonts w:cs="Arial" w:ascii="Arial" w:hAnsi="Arial"/>
          <w:iCs/>
        </w:rPr>
        <w:t xml:space="preserve"> </w:t>
      </w:r>
      <w:r>
        <w:rPr>
          <w:rFonts w:cs="Arial" w:ascii="Arial" w:hAnsi="Arial"/>
        </w:rPr>
        <w:t>Conforme art. 71 da Lei nº 14.133/2021, encerradas as fases de julgamento e habilitação, e exauridos os recursos administrativos, o processo licitatório será encaminhado à autoridade superior, que poderá:</w:t>
      </w:r>
    </w:p>
    <w:p>
      <w:pPr>
        <w:pStyle w:val="ListParagraph"/>
        <w:widowControl w:val="false"/>
        <w:numPr>
          <w:ilvl w:val="0"/>
          <w:numId w:val="22"/>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5" w:name="art71i"/>
      <w:bookmarkEnd w:id="55"/>
      <w:r>
        <w:rPr>
          <w:rFonts w:cs="Arial" w:ascii="Arial" w:hAnsi="Arial"/>
        </w:rPr>
        <w:t>Determinar o retorno dos autos para saneamento de irregularidades;</w:t>
      </w:r>
    </w:p>
    <w:p>
      <w:pPr>
        <w:pStyle w:val="ListParagraph"/>
        <w:widowControl w:val="false"/>
        <w:numPr>
          <w:ilvl w:val="0"/>
          <w:numId w:val="22"/>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6" w:name="art71ii"/>
      <w:bookmarkEnd w:id="56"/>
      <w:r>
        <w:rPr>
          <w:rFonts w:cs="Arial" w:ascii="Arial" w:hAnsi="Arial"/>
        </w:rPr>
        <w:t>Revogar a licitação por motivo de conveniência e oportunidade;</w:t>
      </w:r>
    </w:p>
    <w:p>
      <w:pPr>
        <w:pStyle w:val="ListParagraph"/>
        <w:widowControl w:val="false"/>
        <w:numPr>
          <w:ilvl w:val="0"/>
          <w:numId w:val="22"/>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7" w:name="art71iii"/>
      <w:bookmarkEnd w:id="57"/>
      <w:r>
        <w:rPr>
          <w:rFonts w:cs="Arial" w:ascii="Arial" w:hAnsi="Arial"/>
        </w:rPr>
        <w:t>Proceder à anulação da licitação, de ofício ou mediante provocação de terceiros, sempre que presente ilegalidade insanável;</w:t>
      </w:r>
    </w:p>
    <w:p>
      <w:pPr>
        <w:pStyle w:val="ListParagraph"/>
        <w:widowControl w:val="false"/>
        <w:numPr>
          <w:ilvl w:val="0"/>
          <w:numId w:val="22"/>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8" w:name="art71iv"/>
      <w:bookmarkEnd w:id="58"/>
      <w:r>
        <w:rPr>
          <w:rFonts w:cs="Arial" w:ascii="Arial" w:hAnsi="Arial"/>
        </w:rPr>
        <w:t>Adjudicar o objeto e homologar a licitação.</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bookmarkStart w:id="59" w:name="art71§1"/>
      <w:bookmarkEnd w:id="59"/>
      <w:r>
        <w:rPr>
          <w:rFonts w:cs="Arial" w:ascii="Arial" w:hAnsi="Arial"/>
          <w:bCs/>
        </w:rPr>
        <w:t>17.2.</w:t>
      </w:r>
      <w:r>
        <w:rPr>
          <w:rFonts w:cs="Arial" w:ascii="Arial" w:hAnsi="Arial"/>
        </w:rPr>
        <w:t xml:space="preserve"> Ao pronunciar a nulidade, a autoridade indicará expressamente os atos com vícios insanáveis, tornando sem efeito todos os subsequentes que deles dependam, e dará ensejo à apuração de responsabilidade de quem lhes tenha dado.</w:t>
      </w:r>
    </w:p>
    <w:p>
      <w:pPr>
        <w:pStyle w:val="Normal"/>
        <w:tabs>
          <w:tab w:val="clear" w:pos="708"/>
          <w:tab w:val="left" w:pos="1134" w:leader="none"/>
        </w:tabs>
        <w:spacing w:lineRule="auto" w:line="240" w:before="0" w:after="0"/>
        <w:jc w:val="both"/>
        <w:rPr>
          <w:rFonts w:ascii="Arial" w:hAnsi="Arial" w:cs="Arial"/>
        </w:rPr>
      </w:pPr>
      <w:bookmarkStart w:id="60" w:name="art71§2"/>
      <w:bookmarkEnd w:id="60"/>
      <w:r>
        <w:rPr>
          <w:rFonts w:cs="Arial" w:ascii="Arial" w:hAnsi="Arial"/>
          <w:bCs/>
        </w:rPr>
        <w:t>17.3.</w:t>
      </w:r>
      <w:r>
        <w:rPr>
          <w:rFonts w:cs="Arial" w:ascii="Arial" w:hAnsi="Arial"/>
        </w:rPr>
        <w:t xml:space="preserve"> O motivo determinante para a revogação do processo licitatório deverá ser resultante de fato superveniente devidamente comprovado.</w:t>
      </w:r>
    </w:p>
    <w:p>
      <w:pPr>
        <w:pStyle w:val="Normal"/>
        <w:tabs>
          <w:tab w:val="clear" w:pos="708"/>
          <w:tab w:val="left" w:pos="1134" w:leader="none"/>
        </w:tabs>
        <w:spacing w:lineRule="auto" w:line="240" w:before="0" w:after="0"/>
        <w:jc w:val="both"/>
        <w:rPr>
          <w:rFonts w:ascii="Arial" w:hAnsi="Arial" w:cs="Arial"/>
        </w:rPr>
      </w:pPr>
      <w:bookmarkStart w:id="61" w:name="art71§3"/>
      <w:bookmarkEnd w:id="61"/>
      <w:r>
        <w:rPr>
          <w:rFonts w:cs="Arial" w:ascii="Arial" w:hAnsi="Arial"/>
          <w:bCs/>
        </w:rPr>
        <w:t>17.4.</w:t>
      </w:r>
      <w:r>
        <w:rPr>
          <w:rFonts w:cs="Arial" w:ascii="Arial" w:hAnsi="Arial"/>
        </w:rPr>
        <w:t xml:space="preserve"> Nos casos de anulação e revogação, será assegurada a prévia manifestação dos interessados.</w:t>
      </w:r>
      <w:bookmarkStart w:id="62" w:name="art71§4"/>
      <w:bookmarkEnd w:id="62"/>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17.5.</w:t>
      </w:r>
      <w:r>
        <w:rPr>
          <w:rFonts w:cs="Arial" w:ascii="Arial" w:hAnsi="Arial"/>
          <w:b/>
        </w:rPr>
        <w:t xml:space="preserve"> </w:t>
      </w:r>
      <w:r>
        <w:rPr>
          <w:rFonts w:cs="Arial" w:ascii="Arial" w:hAnsi="Arial"/>
        </w:rPr>
        <w:t>A anulação do processo licitatório induz à da ata de registro de preços e do contrato.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17.6.</w:t>
      </w:r>
      <w:r>
        <w:rPr>
          <w:rFonts w:cs="Arial" w:ascii="Arial" w:hAnsi="Arial"/>
          <w:b/>
        </w:rPr>
        <w:t xml:space="preserve"> </w:t>
      </w:r>
      <w:r>
        <w:rPr>
          <w:rFonts w:cs="Arial" w:ascii="Arial" w:hAnsi="Arial"/>
        </w:rPr>
        <w:t xml:space="preserve">Os licitantes não terão direito a indenização em decorrência da anulação do processo licitatório, ressalvado o direito do contratado de boa-fé de ser ressarcido pelos encargos que tiver suportado no cumprimento do contrato.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18. ATA DE REGISTRO DE PREÇOS</w:t>
      </w:r>
    </w:p>
    <w:p>
      <w:pPr>
        <w:pStyle w:val="Normal"/>
        <w:tabs>
          <w:tab w:val="clear" w:pos="708"/>
          <w:tab w:val="left" w:pos="1134" w:leader="none"/>
        </w:tabs>
        <w:spacing w:lineRule="auto" w:line="240" w:before="0" w:after="0"/>
        <w:jc w:val="both"/>
        <w:rPr>
          <w:rFonts w:ascii="Arial" w:hAnsi="Arial" w:cs="Arial"/>
          <w:b/>
          <w:b/>
          <w:iCs/>
          <w:highlight w:val="lightGray"/>
        </w:rPr>
      </w:pPr>
      <w:r>
        <w:rPr>
          <w:rFonts w:cs="Arial" w:ascii="Arial" w:hAnsi="Arial"/>
          <w:b/>
          <w:iCs/>
          <w:highlight w:val="lightGray"/>
        </w:rPr>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highlight w:val="lightGray"/>
        </w:rPr>
        <w:t>18.1. REGRAS PARA FORMALIZAÇÃO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rPr>
      </w:pPr>
      <w:r>
        <w:rPr>
          <w:rFonts w:cs="Arial" w:ascii="Arial" w:hAnsi="Arial"/>
          <w:bCs/>
        </w:rPr>
        <w:t>18.1.1.</w:t>
      </w:r>
      <w:r>
        <w:rPr>
          <w:rFonts w:cs="Arial" w:ascii="Arial" w:hAnsi="Arial"/>
        </w:rPr>
        <w:t xml:space="preserve"> O registro de preços observará as regras constantes no Decreto Municipal nº 0043/2023, e entre outras, as seguintes condições:</w:t>
      </w:r>
    </w:p>
    <w:p>
      <w:pPr>
        <w:pStyle w:val="Normal"/>
        <w:numPr>
          <w:ilvl w:val="0"/>
          <w:numId w:val="2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Serão registrados na ata de registro de preços os preços e quantitativos do licitante mais bem classificado durante a fase competitiva ou do proponente a ser contratado de forma direta;</w:t>
      </w:r>
    </w:p>
    <w:p>
      <w:pPr>
        <w:pStyle w:val="Normal"/>
        <w:numPr>
          <w:ilvl w:val="0"/>
          <w:numId w:val="2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 xml:space="preserve">Será incluído na respectiva ata, na forma de anexo, o registro dos licitantes que aceitarem cotar o objeto com preços iguais aos do licitante vencedor na ordem de classificação do certame, bem como daqueles licitantes que mantiverem sua proposta original, com </w:t>
      </w:r>
      <w:r>
        <w:rPr>
          <w:rFonts w:cs="Arial" w:ascii="Arial" w:hAnsi="Arial"/>
          <w:bCs/>
        </w:rPr>
        <w:t>objetivo a formação de cadastro de reserva no caso de impossibilidade de atendimento pelo primeiro colocado da ata, nas hipóteses de cancelamento do registro do fornecedor</w:t>
      </w:r>
      <w:r>
        <w:rPr>
          <w:rFonts w:cs="Arial" w:ascii="Arial" w:hAnsi="Arial"/>
        </w:rPr>
        <w:t>;</w:t>
      </w:r>
    </w:p>
    <w:p>
      <w:pPr>
        <w:pStyle w:val="Normal"/>
        <w:numPr>
          <w:ilvl w:val="0"/>
          <w:numId w:val="2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 preço registrado com indicação dos fornecedores será divulgado no sítio eletrônico oficial do Município e no Portal Nacional de Contratações Públicas – PNCP, bem como ficará disponibilizado durante a vigência da ata de registro de preços;</w:t>
      </w:r>
    </w:p>
    <w:p>
      <w:pPr>
        <w:pStyle w:val="Normal"/>
        <w:numPr>
          <w:ilvl w:val="0"/>
          <w:numId w:val="2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ordem de classificação dos licitantes registrados na ata de registro de preços deverá ser respeitada nas contratações.</w:t>
      </w:r>
    </w:p>
    <w:p>
      <w:pPr>
        <w:pStyle w:val="Normal"/>
        <w:tabs>
          <w:tab w:val="clear" w:pos="708"/>
          <w:tab w:val="left" w:pos="1134" w:leader="none"/>
        </w:tabs>
        <w:spacing w:lineRule="auto" w:line="240" w:before="0" w:after="0"/>
        <w:contextualSpacing/>
        <w:jc w:val="both"/>
        <w:rPr>
          <w:rFonts w:ascii="Arial" w:hAnsi="Arial" w:cs="Arial"/>
        </w:rPr>
      </w:pPr>
      <w:r>
        <w:rPr>
          <w:rFonts w:cs="Arial" w:ascii="Arial" w:hAnsi="Arial"/>
        </w:rPr>
      </w:r>
    </w:p>
    <w:p>
      <w:pPr>
        <w:pStyle w:val="Normal"/>
        <w:tabs>
          <w:tab w:val="clear" w:pos="708"/>
          <w:tab w:val="left" w:pos="851" w:leader="none"/>
        </w:tabs>
        <w:spacing w:lineRule="auto" w:line="240" w:before="0" w:after="0"/>
        <w:contextualSpacing/>
        <w:jc w:val="both"/>
        <w:rPr>
          <w:rFonts w:ascii="Arial" w:hAnsi="Arial" w:cs="Arial"/>
          <w:bCs/>
        </w:rPr>
      </w:pPr>
      <w:r>
        <w:rPr>
          <w:rFonts w:cs="Arial" w:ascii="Arial" w:hAnsi="Arial"/>
        </w:rPr>
        <w:t>18.1.1.1.</w:t>
      </w:r>
      <w:r>
        <w:rPr>
          <w:rFonts w:cs="Arial" w:ascii="Arial" w:hAnsi="Arial"/>
          <w:bCs/>
        </w:rPr>
        <w:t xml:space="preserve"> Se houver mais de um licitante que aceite cotar o objeto com preços iguais aos do licitante vencedor, serão classificados segundo a ordem da última proposta apresentada durante a fase de lances.</w:t>
      </w:r>
    </w:p>
    <w:p>
      <w:pPr>
        <w:pStyle w:val="Normal"/>
        <w:tabs>
          <w:tab w:val="clear" w:pos="708"/>
          <w:tab w:val="left" w:pos="851" w:leader="none"/>
        </w:tabs>
        <w:spacing w:lineRule="auto" w:line="240" w:before="0" w:after="0"/>
        <w:contextualSpacing/>
        <w:jc w:val="both"/>
        <w:rPr>
          <w:rFonts w:ascii="Arial" w:hAnsi="Arial" w:cs="Arial"/>
        </w:rPr>
      </w:pPr>
      <w:r>
        <w:rPr>
          <w:rFonts w:cs="Arial" w:ascii="Arial" w:hAnsi="Arial"/>
        </w:rPr>
      </w:r>
    </w:p>
    <w:p>
      <w:pPr>
        <w:pStyle w:val="Normal"/>
        <w:spacing w:lineRule="auto" w:line="240" w:before="0" w:after="0"/>
        <w:jc w:val="both"/>
        <w:rPr>
          <w:rFonts w:ascii="Arial" w:hAnsi="Arial" w:cs="Arial"/>
          <w:bCs/>
        </w:rPr>
      </w:pPr>
      <w:r>
        <w:rPr>
          <w:rFonts w:cs="Arial" w:ascii="Arial" w:hAnsi="Arial"/>
        </w:rPr>
        <w:t>18.1.1.2.</w:t>
      </w:r>
      <w:r>
        <w:rPr>
          <w:rFonts w:cs="Arial" w:ascii="Arial" w:hAnsi="Arial"/>
          <w:bCs/>
        </w:rPr>
        <w:t xml:space="preserve"> A habilitação dos fornecedores que comporão o cadastro de reserva será efetuada quando houver necessidade de contratação de fornecedor remanescente.</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18.1.1.3</w:t>
      </w:r>
      <w:r>
        <w:rPr>
          <w:rFonts w:cs="Arial" w:ascii="Arial" w:hAnsi="Arial"/>
          <w:bCs/>
        </w:rPr>
        <w:t xml:space="preserve"> O anexo que trata o inciso II do tópico 18.1.1. será preenchido com a informação dos licitantes que aceitarem registrar preços iguais ao do licitante vencedor do certame e daqueles licitantes que mantiverem sua proposta original.</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18.1.2.</w:t>
      </w:r>
      <w:r>
        <w:rPr>
          <w:rFonts w:cs="Arial" w:ascii="Arial" w:hAnsi="Arial"/>
          <w:bCs/>
        </w:rPr>
        <w:t xml:space="preserve"> O prazo de vigência da ata de registro de preços será de </w:t>
      </w:r>
      <w:r>
        <w:rPr>
          <w:rFonts w:cs="Arial" w:ascii="Arial" w:hAnsi="Arial"/>
          <w:bCs/>
          <w:color w:val="000000"/>
        </w:rPr>
        <w:t>1 (um) ano</w:t>
      </w:r>
      <w:r>
        <w:rPr>
          <w:rFonts w:cs="Arial" w:ascii="Arial" w:hAnsi="Arial"/>
          <w:bCs/>
          <w:color w:val="FF0000"/>
        </w:rPr>
        <w:t xml:space="preserve"> </w:t>
      </w:r>
      <w:r>
        <w:rPr>
          <w:rFonts w:cs="Arial" w:ascii="Arial" w:hAnsi="Arial"/>
          <w:bCs/>
        </w:rPr>
        <w:t xml:space="preserve">e poderá ser prorrogado, por igual período, </w:t>
      </w:r>
      <w:r>
        <w:rPr>
          <w:rFonts w:cs="Arial" w:ascii="Arial" w:hAnsi="Arial"/>
          <w:bCs/>
          <w:u w:val="single"/>
        </w:rPr>
        <w:t>desde que comprovado o preço vantajoso</w:t>
      </w:r>
      <w:r>
        <w:rPr>
          <w:rFonts w:cs="Arial" w:ascii="Arial" w:hAnsi="Arial"/>
          <w:bCs/>
        </w:rPr>
        <w:t>.</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color w:val="000000"/>
        </w:rPr>
      </w:pPr>
      <w:r>
        <w:rPr>
          <w:rFonts w:cs="Arial" w:ascii="Arial" w:hAnsi="Arial"/>
          <w:color w:val="000000"/>
        </w:rPr>
        <w:t>18.1.3.</w:t>
      </w:r>
      <w:r>
        <w:rPr>
          <w:rFonts w:cs="Arial" w:ascii="Arial" w:hAnsi="Arial"/>
          <w:bCs/>
          <w:color w:val="000000"/>
        </w:rPr>
        <w:t xml:space="preserve"> O fornecedor mais bem classificado será convocado para assinar a ata de registro de preços, no prazo de </w:t>
      </w:r>
      <w:r>
        <w:rPr>
          <w:rFonts w:eastAsia="Calibri" w:cs="Arial" w:ascii="Arial" w:hAnsi="Arial"/>
          <w:bCs/>
          <w:color w:val="000000"/>
        </w:rPr>
        <w:t>03</w:t>
      </w:r>
      <w:r>
        <w:rPr>
          <w:rFonts w:cs="Arial" w:ascii="Arial" w:hAnsi="Arial"/>
          <w:bCs/>
          <w:color w:val="000000"/>
        </w:rPr>
        <w:t xml:space="preserve"> (</w:t>
      </w:r>
      <w:r>
        <w:rPr>
          <w:rFonts w:eastAsia="Calibri" w:cs="Arial" w:ascii="Arial" w:hAnsi="Arial"/>
          <w:bCs/>
          <w:color w:val="000000"/>
        </w:rPr>
        <w:t>três</w:t>
      </w:r>
      <w:r>
        <w:rPr>
          <w:rFonts w:cs="Arial" w:ascii="Arial" w:hAnsi="Arial"/>
          <w:bCs/>
          <w:color w:val="000000"/>
        </w:rPr>
        <w:t>) dias úteis, podendo o prazo ser prorrogado uma vez, por igual período, quando solicitado pelo fornecedor e desde que ocorra motivo justificado aceito pelo Município.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bCs/>
        </w:rPr>
      </w:pPr>
      <w:r>
        <w:rPr>
          <w:rFonts w:cs="Arial" w:ascii="Arial" w:hAnsi="Arial"/>
        </w:rPr>
        <w:t>18.1.3.1.</w:t>
      </w:r>
      <w:r>
        <w:rPr>
          <w:rFonts w:cs="Arial" w:ascii="Arial" w:hAnsi="Arial"/>
          <w:bCs/>
        </w:rPr>
        <w:t xml:space="preserve"> É facultado ao Município, quando o convocado não assinar a ata de registro de preços no prazo e condições estabelecidos, convocar os licitantes remanescentes, na ordem de classificação, para fazê-lo em igual prazo e nas mesmas condições propostas pelo primeiro classificado.</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18.1.3.2.</w:t>
      </w:r>
      <w:r>
        <w:rPr>
          <w:rFonts w:cs="Arial" w:ascii="Arial" w:hAnsi="Arial"/>
          <w:bCs/>
        </w:rPr>
        <w:t xml:space="preserve"> Na hipótese de nenhum dos licitantes aceitar a contratação nos termos do tópico anterior, observados o valor estimado e sua eventual atualização nos termos do edital, o Município poderá:</w:t>
      </w:r>
    </w:p>
    <w:p>
      <w:pPr>
        <w:pStyle w:val="Normal"/>
        <w:numPr>
          <w:ilvl w:val="0"/>
          <w:numId w:val="27"/>
        </w:numPr>
        <w:tabs>
          <w:tab w:val="clear" w:pos="708"/>
          <w:tab w:val="left" w:pos="1134" w:leader="none"/>
          <w:tab w:val="left" w:pos="1701" w:leader="none"/>
        </w:tabs>
        <w:spacing w:lineRule="auto" w:line="240" w:before="0" w:after="0"/>
        <w:ind w:left="567" w:hanging="0"/>
        <w:contextualSpacing/>
        <w:jc w:val="both"/>
        <w:rPr>
          <w:rFonts w:ascii="Arial" w:hAnsi="Arial" w:cs="Arial"/>
          <w:bCs/>
        </w:rPr>
      </w:pPr>
      <w:r>
        <w:rPr>
          <w:rFonts w:cs="Arial" w:ascii="Arial" w:hAnsi="Arial"/>
          <w:bCs/>
        </w:rPr>
        <w:t>Convocar aqueles licitantes que mantiverem sua proposta original para negociação, na ordem de classificação, com vistas à obtenção de preço melhor, mesmo que acima do preço do adjudicatário; ou</w:t>
      </w:r>
    </w:p>
    <w:p>
      <w:pPr>
        <w:pStyle w:val="Normal"/>
        <w:numPr>
          <w:ilvl w:val="0"/>
          <w:numId w:val="27"/>
        </w:numPr>
        <w:tabs>
          <w:tab w:val="clear" w:pos="708"/>
          <w:tab w:val="left" w:pos="1134" w:leader="none"/>
          <w:tab w:val="left" w:pos="1701" w:leader="none"/>
        </w:tabs>
        <w:spacing w:lineRule="auto" w:line="240" w:before="0" w:after="0"/>
        <w:ind w:left="567" w:hanging="0"/>
        <w:contextualSpacing/>
        <w:jc w:val="both"/>
        <w:rPr>
          <w:rFonts w:ascii="Arial" w:hAnsi="Arial" w:cs="Arial"/>
          <w:bCs/>
        </w:rPr>
      </w:pPr>
      <w:r>
        <w:rPr>
          <w:rFonts w:cs="Arial" w:ascii="Arial" w:hAnsi="Arial"/>
          <w:bCs/>
        </w:rPr>
        <w:t>Adjudicar e celebrar a ata de registro de preços nas condições ofertadas pelos licitantes subsequentes, atendida à ordem classificatória, quando frustrada a negociação de melhor condição.</w:t>
      </w:r>
    </w:p>
    <w:p>
      <w:pPr>
        <w:pStyle w:val="Normal"/>
        <w:tabs>
          <w:tab w:val="clear" w:pos="708"/>
          <w:tab w:val="left" w:pos="851" w:leader="none"/>
          <w:tab w:val="left" w:pos="1701" w:leader="none"/>
        </w:tabs>
        <w:spacing w:lineRule="auto" w:line="240" w:before="0" w:after="0"/>
        <w:contextualSpacing/>
        <w:jc w:val="both"/>
        <w:rPr>
          <w:rFonts w:ascii="Arial" w:hAnsi="Arial" w:cs="Arial"/>
          <w:bCs/>
        </w:rPr>
      </w:pPr>
      <w:r>
        <w:rPr>
          <w:rFonts w:cs="Arial" w:ascii="Arial" w:hAnsi="Arial"/>
          <w:bCs/>
        </w:rPr>
      </w:r>
    </w:p>
    <w:p>
      <w:pPr>
        <w:pStyle w:val="Normal"/>
        <w:spacing w:lineRule="auto" w:line="240" w:before="0" w:after="0"/>
        <w:jc w:val="both"/>
        <w:rPr>
          <w:rFonts w:ascii="Arial" w:hAnsi="Arial" w:cs="Arial"/>
        </w:rPr>
      </w:pPr>
      <w:r>
        <w:rPr>
          <w:rFonts w:cs="Arial" w:ascii="Arial" w:hAnsi="Arial"/>
          <w:bCs/>
        </w:rPr>
        <w:t>18.1.4.</w:t>
      </w:r>
      <w:r>
        <w:rPr>
          <w:rFonts w:cs="Arial" w:ascii="Arial" w:hAnsi="Arial"/>
          <w:b/>
        </w:rPr>
        <w:t xml:space="preserve"> </w:t>
      </w:r>
      <w:r>
        <w:rPr>
          <w:rFonts w:cs="Arial" w:ascii="Arial" w:hAnsi="Arial"/>
        </w:rPr>
        <w:t>A existência de preços registrados implicará compromisso de fornecimento nas condições estabelecidas, mas não obrigará o Município a contratar, facultada a realização de licitação específica para a aquisição pretendida, desde que devidamente motivada.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bCs/>
        </w:rPr>
      </w:pPr>
      <w:r>
        <w:rPr>
          <w:rFonts w:cs="Arial" w:ascii="Arial" w:hAnsi="Arial"/>
        </w:rPr>
        <w:t>18.1.4.1.</w:t>
      </w:r>
      <w:r>
        <w:rPr>
          <w:rFonts w:cs="Arial" w:ascii="Arial" w:hAnsi="Arial"/>
          <w:bCs/>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18.1.4.2.</w:t>
      </w:r>
      <w:r>
        <w:rPr>
          <w:rFonts w:cs="Arial" w:ascii="Arial" w:hAnsi="Arial"/>
          <w:bCs/>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18.1.4.3.</w:t>
      </w:r>
      <w:r>
        <w:rPr>
          <w:rFonts w:cs="Arial" w:ascii="Arial" w:hAnsi="Arial"/>
          <w:bCs/>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rPr>
      </w:pPr>
      <w:r>
        <w:rPr>
          <w:rFonts w:cs="Arial" w:ascii="Arial" w:hAnsi="Arial"/>
        </w:rPr>
        <w:t>18.1.5.</w:t>
      </w:r>
      <w:r>
        <w:rPr>
          <w:rFonts w:cs="Arial" w:ascii="Arial" w:hAnsi="Arial"/>
          <w:bCs/>
        </w:rPr>
        <w:t xml:space="preserve"> </w:t>
      </w:r>
      <w:r>
        <w:rPr>
          <w:rFonts w:cs="Arial" w:ascii="Arial" w:hAnsi="Arial"/>
        </w:rPr>
        <w:t>O contrato decorrente da ata de registro de preços terá sua vigência estabelecida em conformidade com as disposições nela contidas, devendo ser deverá ser celebrado no prazo de validade da ata de registro de preços.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18.1.5.1.</w:t>
      </w:r>
      <w:r>
        <w:rPr>
          <w:rFonts w:cs="Arial" w:ascii="Arial" w:hAnsi="Arial"/>
        </w:rPr>
        <w:t xml:space="preserve"> O instrumento contratual poderá ser substituído nos termos do art. 95, </w:t>
      </w:r>
      <w:r>
        <w:rPr>
          <w:rFonts w:cs="Arial" w:ascii="Arial" w:hAnsi="Arial"/>
          <w:i/>
        </w:rPr>
        <w:t>caput</w:t>
      </w:r>
      <w:r>
        <w:rPr>
          <w:rFonts w:cs="Arial" w:ascii="Arial" w:hAnsi="Arial"/>
        </w:rPr>
        <w:t xml:space="preserve"> da Lei Federal nº 14.133/2021.</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bCs/>
        </w:rPr>
      </w:pPr>
      <w:r>
        <w:rPr>
          <w:rFonts w:cs="Arial" w:ascii="Arial" w:hAnsi="Arial"/>
        </w:rPr>
        <w:t>18.1.5.2.</w:t>
      </w:r>
      <w:r>
        <w:rPr>
          <w:rFonts w:cs="Arial" w:ascii="Arial" w:hAnsi="Arial"/>
          <w:bCs/>
        </w:rPr>
        <w:t xml:space="preserve"> O contrato ou outro instrumento que venha substituí-lo observará o disposto no Título III da Lei Federal nº 14.133/2021 (Dos Contratos Administrativos).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rPr>
      </w:pPr>
      <w:r>
        <w:rPr>
          <w:rFonts w:cs="Arial" w:ascii="Arial" w:hAnsi="Arial"/>
          <w:bCs/>
        </w:rPr>
        <w:t>18.1.5.3.</w:t>
      </w:r>
      <w:r>
        <w:rPr>
          <w:rFonts w:cs="Arial" w:ascii="Arial" w:hAnsi="Arial"/>
        </w:rPr>
        <w:t xml:space="preserve"> Será reputada firmada a contratação administrativa na data da confirmação de entrega do instrumento contratual ao fornecedor registrado, admitindo-se a entrega do instrumento por qualquer meio que assegure a certeza da ciência do interessado.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bCs/>
        </w:rPr>
      </w:pPr>
      <w:r>
        <w:rPr>
          <w:rFonts w:cs="Arial" w:ascii="Arial" w:hAnsi="Arial"/>
          <w:bCs/>
        </w:rPr>
        <w:t>18.1.6.</w:t>
      </w:r>
      <w:r>
        <w:rPr>
          <w:rFonts w:cs="Arial" w:ascii="Arial" w:hAnsi="Arial"/>
        </w:rPr>
        <w:t xml:space="preserve"> </w:t>
      </w:r>
      <w:r>
        <w:rPr>
          <w:rFonts w:cs="Arial" w:ascii="Arial" w:hAnsi="Arial"/>
          <w:bCs/>
        </w:rPr>
        <w:t>Os preços registrados poderão ser revistos em decorrência de eventual redução dos preços praticados no mercado ou de fato que eleve o custo dos serviços ou bens registrados, cabendo ao órgão gerenciador promover as negociações junto aos fornecedores.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18.1.6.1.</w:t>
      </w:r>
      <w:r>
        <w:rPr>
          <w:rFonts w:cs="Arial" w:ascii="Arial" w:hAnsi="Arial"/>
          <w:bCs/>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18.1.6.2.</w:t>
      </w:r>
      <w:r>
        <w:rPr>
          <w:rFonts w:cs="Arial" w:ascii="Arial" w:hAnsi="Arial"/>
          <w:bCs/>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rFonts w:ascii="Arial" w:hAnsi="Arial" w:cs="Arial"/>
          <w:bCs/>
        </w:rPr>
      </w:pPr>
      <w:r>
        <w:rPr>
          <w:rFonts w:cs="Arial" w:ascii="Arial" w:hAnsi="Arial"/>
        </w:rPr>
        <w:t>18.1.7.</w:t>
      </w:r>
      <w:r>
        <w:rPr>
          <w:rFonts w:cs="Arial" w:ascii="Arial" w:hAnsi="Arial"/>
          <w:bCs/>
        </w:rPr>
        <w:t xml:space="preserve"> Quando o preço registrado se tornar superior ao preço praticado no mercado por motivo superveniente, o Município convocará o fornecedor para negociar a redução dos preços aos valores praticados pelo mercado, sendo observado:</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O fornecedor que não aceitar reduzir seus preços aos valores praticados pelo mercado será liberado do compromisso assumido, sem aplicação de penalidade.</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A ordem de classificação dos fornecedores que aceitarem reduzir seus preços aos valores de mercado observará a classificação original.</w:t>
      </w:r>
    </w:p>
    <w:p>
      <w:pPr>
        <w:pStyle w:val="Normal"/>
        <w:spacing w:lineRule="auto" w:line="240" w:before="0" w:after="0"/>
        <w:jc w:val="both"/>
        <w:rPr>
          <w:rFonts w:ascii="Arial" w:hAnsi="Arial" w:cs="Arial"/>
          <w:b/>
          <w:b/>
          <w:bCs/>
        </w:rPr>
      </w:pPr>
      <w:r>
        <w:rPr>
          <w:rFonts w:cs="Arial" w:ascii="Arial" w:hAnsi="Arial"/>
          <w:b/>
          <w:bCs/>
        </w:rPr>
      </w:r>
    </w:p>
    <w:p>
      <w:pPr>
        <w:pStyle w:val="Normal"/>
        <w:spacing w:lineRule="auto" w:line="240" w:before="0" w:after="0"/>
        <w:jc w:val="both"/>
        <w:rPr>
          <w:rFonts w:ascii="Arial" w:hAnsi="Arial" w:cs="Arial"/>
          <w:bCs/>
        </w:rPr>
      </w:pPr>
      <w:r>
        <w:rPr>
          <w:rFonts w:cs="Arial" w:ascii="Arial" w:hAnsi="Arial"/>
        </w:rPr>
        <w:t>18.1.8.</w:t>
      </w:r>
      <w:r>
        <w:rPr>
          <w:rFonts w:cs="Arial" w:ascii="Arial" w:hAnsi="Arial"/>
          <w:b/>
          <w:bCs/>
        </w:rPr>
        <w:t xml:space="preserve"> </w:t>
      </w:r>
      <w:r>
        <w:rPr>
          <w:rFonts w:cs="Arial" w:ascii="Arial" w:hAnsi="Arial"/>
          <w:bCs/>
        </w:rPr>
        <w:t>Quando o preço de mercado tornar-se superior aos preços registrados e o fornecedor não puder cumprir o compromisso, o Município poderá:</w:t>
      </w:r>
    </w:p>
    <w:p>
      <w:pPr>
        <w:pStyle w:val="Normal"/>
        <w:numPr>
          <w:ilvl w:val="0"/>
          <w:numId w:val="25"/>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Liberar o fornecedor do compromisso assumido, caso a comunicação ocorra antes do pedido de fornecimento, e sem aplicação da penalidade se confirmada a veracidade dos motivos e comprovantes apresentados;</w:t>
      </w:r>
    </w:p>
    <w:p>
      <w:pPr>
        <w:pStyle w:val="Normal"/>
        <w:numPr>
          <w:ilvl w:val="0"/>
          <w:numId w:val="25"/>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 xml:space="preserve">Convocar os demais fornecedores para assegurar igual oportunidade de negociação; </w:t>
      </w:r>
    </w:p>
    <w:p>
      <w:pPr>
        <w:pStyle w:val="Normal"/>
        <w:numPr>
          <w:ilvl w:val="0"/>
          <w:numId w:val="25"/>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Não havendo êxito nas negociações, o órgão gerenciador deverá proceder à revogação da ata de registro de preços, adotando as medidas cabíveis para obtenção da contratação mais vantajosa.</w:t>
      </w:r>
    </w:p>
    <w:p>
      <w:pPr>
        <w:pStyle w:val="Normal"/>
        <w:tabs>
          <w:tab w:val="clear" w:pos="708"/>
          <w:tab w:val="left" w:pos="851" w:leader="none"/>
        </w:tabs>
        <w:spacing w:lineRule="auto" w:line="240" w:before="0" w:after="0"/>
        <w:contextualSpacing/>
        <w:jc w:val="both"/>
        <w:rPr>
          <w:rFonts w:ascii="Arial" w:hAnsi="Arial" w:cs="Arial"/>
          <w:b/>
          <w:b/>
          <w:bCs/>
        </w:rPr>
      </w:pPr>
      <w:r>
        <w:rPr>
          <w:rFonts w:cs="Arial" w:ascii="Arial" w:hAnsi="Arial"/>
          <w:b/>
          <w:bCs/>
        </w:rPr>
      </w:r>
    </w:p>
    <w:p>
      <w:pPr>
        <w:pStyle w:val="Normal"/>
        <w:tabs>
          <w:tab w:val="clear" w:pos="708"/>
          <w:tab w:val="left" w:pos="851" w:leader="none"/>
        </w:tabs>
        <w:spacing w:lineRule="auto" w:line="240" w:before="0" w:after="0"/>
        <w:contextualSpacing/>
        <w:jc w:val="both"/>
        <w:rPr>
          <w:rFonts w:ascii="Arial" w:hAnsi="Arial" w:cs="Arial"/>
          <w:bCs/>
        </w:rPr>
      </w:pPr>
      <w:r>
        <w:rPr>
          <w:rFonts w:cs="Arial" w:ascii="Arial" w:hAnsi="Arial"/>
        </w:rPr>
        <w:t>18.1.9.</w:t>
      </w:r>
      <w:r>
        <w:rPr>
          <w:rFonts w:cs="Arial" w:ascii="Arial" w:hAnsi="Arial"/>
          <w:b/>
          <w:bCs/>
        </w:rPr>
        <w:t xml:space="preserve"> </w:t>
      </w:r>
      <w:r>
        <w:rPr>
          <w:rFonts w:cs="Arial" w:ascii="Arial" w:hAnsi="Arial"/>
          <w:bCs/>
        </w:rPr>
        <w:t>O registro do fornecedor será cancelado quando:</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bookmarkStart w:id="63" w:name="art20i"/>
      <w:bookmarkEnd w:id="63"/>
      <w:r>
        <w:rPr>
          <w:rFonts w:cs="Arial" w:ascii="Arial" w:hAnsi="Arial"/>
          <w:bCs/>
        </w:rPr>
        <w:t>Por razão de interesse público;</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A pedido do fornecedor;</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Descumprir as condições da ata de registro de preços;</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bookmarkStart w:id="64" w:name="art20ii"/>
      <w:bookmarkEnd w:id="64"/>
      <w:r>
        <w:rPr>
          <w:rFonts w:cs="Arial" w:ascii="Arial" w:hAnsi="Arial"/>
          <w:bCs/>
        </w:rPr>
        <w:t>Não retirar a nota de empenho ou instrumento equivalente no prazo estabelecido pelo Município, sem justificativa aceitável;</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bookmarkStart w:id="65" w:name="art20iii"/>
      <w:bookmarkEnd w:id="65"/>
      <w:r>
        <w:rPr>
          <w:rFonts w:cs="Arial" w:ascii="Arial" w:hAnsi="Arial"/>
          <w:bCs/>
        </w:rPr>
        <w:t>Não aceitar reduzir o seu preço registrado, na hipótese deste se tornar superior àqueles praticados no mercado;</w:t>
      </w:r>
      <w:bookmarkStart w:id="66" w:name="art20p"/>
      <w:bookmarkStart w:id="67" w:name="art20iv"/>
      <w:bookmarkEnd w:id="66"/>
      <w:bookmarkEnd w:id="67"/>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 xml:space="preserve">Sofrer sanção prevista no inciso III ou IV do </w:t>
      </w:r>
      <w:r>
        <w:rPr>
          <w:rFonts w:cs="Arial" w:ascii="Arial" w:hAnsi="Arial"/>
          <w:bCs/>
          <w:i/>
        </w:rPr>
        <w:t>caput</w:t>
      </w:r>
      <w:r>
        <w:rPr>
          <w:rFonts w:cs="Arial" w:ascii="Arial" w:hAnsi="Arial"/>
          <w:bCs/>
        </w:rPr>
        <w:t xml:space="preserve"> do art. 156 da Lei Federal nº 14.133/2021; ou</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For condenado por algum dos crimes previstos no art. 178 da Lei Federal nº 14.133/2021, por sentença transitada em julgado.</w:t>
      </w:r>
    </w:p>
    <w:p>
      <w:pPr>
        <w:pStyle w:val="ListParagraph"/>
        <w:tabs>
          <w:tab w:val="clear" w:pos="708"/>
          <w:tab w:val="left" w:pos="993" w:leader="none"/>
        </w:tabs>
        <w:spacing w:lineRule="auto" w:line="240" w:before="0" w:after="0"/>
        <w:ind w:left="0" w:hanging="0"/>
        <w:contextualSpacing/>
        <w:jc w:val="both"/>
        <w:rPr>
          <w:rFonts w:ascii="Arial" w:hAnsi="Arial" w:cs="Arial"/>
          <w:b/>
          <w:b/>
          <w:bCs/>
        </w:rPr>
      </w:pPr>
      <w:r>
        <w:rPr>
          <w:rFonts w:cs="Arial" w:ascii="Arial" w:hAnsi="Arial"/>
          <w:b/>
          <w:bCs/>
        </w:rPr>
      </w:r>
    </w:p>
    <w:p>
      <w:pPr>
        <w:pStyle w:val="ListParagraph"/>
        <w:tabs>
          <w:tab w:val="clear" w:pos="708"/>
          <w:tab w:val="left" w:pos="993" w:leader="none"/>
        </w:tabs>
        <w:spacing w:lineRule="auto" w:line="240" w:before="0" w:after="0"/>
        <w:ind w:left="0" w:hanging="0"/>
        <w:contextualSpacing/>
        <w:jc w:val="both"/>
        <w:rPr>
          <w:rFonts w:ascii="Arial" w:hAnsi="Arial" w:cs="Arial"/>
          <w:bCs/>
        </w:rPr>
      </w:pPr>
      <w:r>
        <w:rPr>
          <w:rFonts w:cs="Arial" w:ascii="Arial" w:hAnsi="Arial"/>
        </w:rPr>
        <w:t>18.1.9.1.</w:t>
      </w:r>
      <w:r>
        <w:rPr>
          <w:rFonts w:cs="Arial" w:ascii="Arial" w:hAnsi="Arial"/>
          <w:bCs/>
        </w:rPr>
        <w:t xml:space="preserve"> O cancelamento de registros será motivado e formalizado por despacho da autoridade superior, assegurado o contraditório e a ampla defesa.</w:t>
      </w:r>
    </w:p>
    <w:p>
      <w:pPr>
        <w:pStyle w:val="ListParagraph"/>
        <w:tabs>
          <w:tab w:val="clear" w:pos="708"/>
          <w:tab w:val="left" w:pos="993" w:leader="none"/>
        </w:tabs>
        <w:spacing w:lineRule="auto" w:line="240" w:before="0" w:after="0"/>
        <w:ind w:left="0" w:hanging="0"/>
        <w:contextualSpacing/>
        <w:jc w:val="both"/>
        <w:rPr>
          <w:rFonts w:ascii="Arial" w:hAnsi="Arial" w:cs="Arial"/>
          <w:bCs/>
        </w:rPr>
      </w:pPr>
      <w:r>
        <w:rPr>
          <w:rFonts w:cs="Arial" w:ascii="Arial" w:hAnsi="Arial"/>
          <w:bCs/>
        </w:rPr>
      </w:r>
    </w:p>
    <w:p>
      <w:pPr>
        <w:pStyle w:val="Normal"/>
        <w:spacing w:lineRule="auto" w:line="240" w:before="0" w:after="0"/>
        <w:jc w:val="both"/>
        <w:rPr>
          <w:rFonts w:ascii="Arial" w:hAnsi="Arial" w:cs="Arial"/>
        </w:rPr>
      </w:pPr>
      <w:bookmarkStart w:id="68" w:name="art21"/>
      <w:bookmarkEnd w:id="68"/>
      <w:r>
        <w:rPr>
          <w:rFonts w:cs="Arial" w:ascii="Arial" w:hAnsi="Arial"/>
          <w:bCs/>
        </w:rPr>
        <w:t>18.1.10.</w:t>
      </w:r>
      <w:r>
        <w:rPr>
          <w:rFonts w:cs="Arial" w:ascii="Arial" w:hAnsi="Arial"/>
        </w:rPr>
        <w:t xml:space="preserve"> É vedado aos órgãos e entidades da Administração Pública federal, estadual, distrital e municipal, na condição de </w:t>
      </w:r>
      <w:r>
        <w:rPr>
          <w:rFonts w:cs="Arial" w:ascii="Arial" w:hAnsi="Arial"/>
          <w:u w:val="single"/>
        </w:rPr>
        <w:t>não participantes</w:t>
      </w:r>
      <w:r>
        <w:rPr>
          <w:rFonts w:cs="Arial" w:ascii="Arial" w:hAnsi="Arial"/>
        </w:rPr>
        <w:t>, aderirem à ata de registro de preços gerenciada por este Município.</w:t>
      </w:r>
    </w:p>
    <w:p>
      <w:pPr>
        <w:pStyle w:val="Normal"/>
        <w:tabs>
          <w:tab w:val="clear" w:pos="708"/>
          <w:tab w:val="left" w:pos="1134" w:leader="none"/>
        </w:tabs>
        <w:spacing w:lineRule="auto" w:line="240" w:before="0" w:after="0"/>
        <w:jc w:val="both"/>
        <w:rPr>
          <w:rFonts w:ascii="Arial" w:hAnsi="Arial" w:cs="Arial"/>
          <w:b/>
          <w:b/>
          <w:iCs/>
          <w:highlight w:val="lightGray"/>
        </w:rPr>
      </w:pPr>
      <w:r>
        <w:rPr>
          <w:rFonts w:cs="Arial" w:ascii="Arial" w:hAnsi="Arial"/>
          <w:b/>
          <w:iCs/>
          <w:highlight w:val="lightGray"/>
        </w:rPr>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highlight w:val="lightGray"/>
        </w:rPr>
        <w:t>18.2. GESTÃO E FISCALIZAÇÃO DA ATA</w:t>
      </w:r>
    </w:p>
    <w:p>
      <w:pPr>
        <w:pStyle w:val="Normal"/>
        <w:tabs>
          <w:tab w:val="clear" w:pos="708"/>
          <w:tab w:val="left" w:pos="1134" w:leader="none"/>
        </w:tabs>
        <w:spacing w:lineRule="auto" w:line="240" w:before="0" w:after="0"/>
        <w:jc w:val="both"/>
        <w:rPr>
          <w:rFonts w:ascii="Arial" w:hAnsi="Arial" w:eastAsia="Calibri" w:cs="Arial"/>
          <w:b/>
          <w:b/>
          <w:iCs/>
          <w:color w:val="000000"/>
        </w:rPr>
      </w:pPr>
      <w:r>
        <w:rPr>
          <w:rFonts w:eastAsia="Calibri" w:cs="Arial" w:ascii="Arial" w:hAnsi="Arial"/>
          <w:b/>
          <w:iCs/>
          <w:color w:val="000000"/>
        </w:rPr>
      </w:r>
    </w:p>
    <w:p>
      <w:pPr>
        <w:pStyle w:val="Normal"/>
        <w:tabs>
          <w:tab w:val="clear" w:pos="708"/>
          <w:tab w:val="left" w:pos="1134" w:leader="none"/>
        </w:tabs>
        <w:spacing w:lineRule="auto" w:line="240" w:before="0" w:after="0"/>
        <w:jc w:val="both"/>
        <w:rPr>
          <w:rFonts w:ascii="Arial" w:hAnsi="Arial" w:cs="Arial"/>
          <w:color w:val="000000"/>
        </w:rPr>
      </w:pPr>
      <w:r>
        <w:rPr>
          <w:rFonts w:eastAsia="Calibri" w:cs="Arial" w:ascii="Arial" w:hAnsi="Arial"/>
          <w:bCs/>
          <w:iCs/>
          <w:color w:val="000000"/>
        </w:rPr>
        <w:t>18.2.1</w:t>
      </w:r>
      <w:r>
        <w:rPr>
          <w:rFonts w:eastAsia="Calibri" w:cs="Arial" w:ascii="Arial" w:hAnsi="Arial"/>
          <w:b/>
          <w:iCs/>
          <w:color w:val="000000"/>
        </w:rPr>
        <w:t xml:space="preserve"> </w:t>
      </w:r>
      <w:r>
        <w:rPr>
          <w:rFonts w:cs="Arial" w:ascii="Arial" w:hAnsi="Arial"/>
          <w:color w:val="000000"/>
        </w:rPr>
        <w:t>A fiscalização e gestão da ata de registro de preços ocorre através de comissão responsável, formada por servidores do Município, os quais realizam a conferência do recebimento do produto ou serviço.</w:t>
      </w:r>
    </w:p>
    <w:p>
      <w:pPr>
        <w:pStyle w:val="Normal"/>
        <w:tabs>
          <w:tab w:val="clear" w:pos="708"/>
          <w:tab w:val="left" w:pos="1134" w:leader="none"/>
        </w:tabs>
        <w:spacing w:lineRule="auto" w:line="240" w:before="0" w:after="0"/>
        <w:jc w:val="both"/>
        <w:rPr>
          <w:rFonts w:ascii="Arial" w:hAnsi="Arial" w:eastAsia="Times New Roman" w:cs="Arial"/>
          <w:b/>
          <w:b/>
          <w:iCs/>
          <w:color w:val="FF0000"/>
          <w:highlight w:val="lightGray"/>
          <w:lang w:eastAsia="pt-BR"/>
        </w:rPr>
      </w:pPr>
      <w:r>
        <w:rPr>
          <w:rFonts w:eastAsia="Times New Roman" w:cs="Arial" w:ascii="Arial" w:hAnsi="Arial"/>
          <w:b/>
          <w:iCs/>
          <w:color w:val="FF0000"/>
          <w:highlight w:val="lightGray"/>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19. CONTRATO ADMINISTRATIVO</w:t>
      </w:r>
    </w:p>
    <w:p>
      <w:pPr>
        <w:pStyle w:val="Normal"/>
        <w:tabs>
          <w:tab w:val="clear" w:pos="708"/>
          <w:tab w:val="left" w:pos="1134" w:leader="none"/>
        </w:tabs>
        <w:spacing w:lineRule="auto" w:line="240" w:before="0" w:after="0"/>
        <w:jc w:val="both"/>
        <w:rPr>
          <w:rFonts w:ascii="Arial" w:hAnsi="Arial" w:cs="Arial"/>
          <w:b/>
          <w:b/>
          <w:iCs/>
          <w:highlight w:val="lightGray"/>
        </w:rPr>
      </w:pPr>
      <w:r>
        <w:rPr>
          <w:rFonts w:cs="Arial" w:ascii="Arial" w:hAnsi="Arial"/>
          <w:b/>
          <w:iCs/>
          <w:highlight w:val="lightGray"/>
        </w:rPr>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highlight w:val="lightGray"/>
        </w:rPr>
        <w:t xml:space="preserve">19.1. REGRAS GERAIS </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19.1.1.</w:t>
      </w:r>
      <w:r>
        <w:rPr>
          <w:rFonts w:cs="Arial" w:ascii="Arial" w:hAnsi="Arial"/>
          <w:iCs/>
        </w:rPr>
        <w:t xml:space="preserve"> O contrato regular-se-á pelas suas cláusulas e pelos preceitos de direito público, e a ele será aplicado, supletivamente, os princípios da teoria geral dos contratos e as disposições de direito privado.</w:t>
      </w:r>
    </w:p>
    <w:p>
      <w:pPr>
        <w:pStyle w:val="Normal"/>
        <w:spacing w:lineRule="auto" w:line="240" w:before="0" w:after="0"/>
        <w:jc w:val="both"/>
        <w:rPr>
          <w:rFonts w:ascii="Arial" w:hAnsi="Arial" w:cs="Arial"/>
          <w:b/>
          <w:b/>
          <w:iCs/>
          <w:color w:val="000000"/>
        </w:rPr>
      </w:pPr>
      <w:r>
        <w:rPr>
          <w:rFonts w:cs="Arial" w:ascii="Arial" w:hAnsi="Arial"/>
          <w:b/>
          <w:iCs/>
          <w:color w:val="000000"/>
        </w:rPr>
      </w:r>
    </w:p>
    <w:p>
      <w:pPr>
        <w:pStyle w:val="Normal"/>
        <w:spacing w:lineRule="auto" w:line="240" w:before="0" w:after="0"/>
        <w:jc w:val="both"/>
        <w:rPr>
          <w:rFonts w:ascii="Arial" w:hAnsi="Arial" w:cs="Arial"/>
          <w:color w:val="000000"/>
        </w:rPr>
      </w:pPr>
      <w:r>
        <w:rPr>
          <w:rFonts w:cs="Arial" w:ascii="Arial" w:hAnsi="Arial"/>
          <w:bCs/>
          <w:iCs/>
          <w:color w:val="000000"/>
        </w:rPr>
        <w:t>19.1.2.</w:t>
      </w:r>
      <w:r>
        <w:rPr>
          <w:rFonts w:cs="Arial" w:ascii="Arial" w:hAnsi="Arial"/>
          <w:iCs/>
          <w:color w:val="000000"/>
        </w:rPr>
        <w:t xml:space="preserve"> A Administração Pública Municipal convocará o licitante vencedor para assinar o termo de contrato ou para aceitar ou retirar o instrumento equivalente, dentro do prazo máximo de </w:t>
      </w:r>
      <w:r>
        <w:rPr>
          <w:rFonts w:eastAsia="Calibri" w:cs="Arial" w:ascii="Arial" w:hAnsi="Arial"/>
          <w:iCs/>
          <w:color w:val="000000"/>
        </w:rPr>
        <w:t>03</w:t>
      </w:r>
      <w:r>
        <w:rPr>
          <w:rFonts w:cs="Arial" w:ascii="Arial" w:hAnsi="Arial"/>
          <w:iCs/>
          <w:color w:val="000000"/>
        </w:rPr>
        <w:t xml:space="preserve"> (</w:t>
      </w:r>
      <w:r>
        <w:rPr>
          <w:rFonts w:eastAsia="Calibri" w:cs="Arial" w:ascii="Arial" w:hAnsi="Arial"/>
          <w:iCs/>
          <w:color w:val="000000"/>
        </w:rPr>
        <w:t>três</w:t>
      </w:r>
      <w:r>
        <w:rPr>
          <w:rFonts w:cs="Arial" w:ascii="Arial" w:hAnsi="Arial"/>
          <w:iCs/>
          <w:color w:val="000000"/>
        </w:rPr>
        <w:t xml:space="preserve">) dias úteis, sob pena de decair o direito à contratação, sem prejuízo das sanções previstas na Lei nº 14.133/2021. </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19.1.2.1.</w:t>
      </w:r>
      <w:r>
        <w:rPr>
          <w:rFonts w:cs="Arial" w:ascii="Arial" w:hAnsi="Arial"/>
          <w:iCs/>
        </w:rPr>
        <w:t xml:space="preserve"> O prazo de convocação poderá ser prorrogado 01 (uma) vez, por igual período, mediante solicitação da parte durante seu transcurso, devidamente justificada, e desde que o motivo apresentado seja aceito pela Administração.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19.1.2.2.</w:t>
      </w:r>
      <w:r>
        <w:rPr>
          <w:rFonts w:cs="Arial" w:ascii="Arial" w:hAnsi="Arial"/>
          <w:iCs/>
        </w:rPr>
        <w:t xml:space="preserve">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19.1.2.3.</w:t>
      </w:r>
      <w:r>
        <w:rPr>
          <w:rFonts w:cs="Arial" w:ascii="Arial" w:hAnsi="Arial"/>
          <w:iCs/>
        </w:rPr>
        <w:t xml:space="preserve"> Decorrido o prazo de validade da proposta indicado no edital sem convocação para a contratação, ficarão os licitantes liberados dos compromissos assumidos.</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19.1.2.4.</w:t>
      </w:r>
      <w:r>
        <w:rPr>
          <w:rFonts w:cs="Arial" w:ascii="Arial" w:hAnsi="Arial"/>
          <w:iCs/>
        </w:rPr>
        <w:t xml:space="preserve"> Na hipótese de nenhum dos licitantes aceitar a, a Administração, observados o valor estimado e sua eventual atualização nos termos do edital, poderá (a) convocar os licitantes remanescentes para negociação, na ordem de classificação, com vistas à obtenção de preço melhor, mesmo que acima do preço do adjudicatário; (b) adjudicar e celebrar o contrato nas condições ofertadas pelos licitantes remanescentes, atendida a ordem classificatória, quando frustrada a negociação de melhor condição.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 xml:space="preserve">19.1.2.5. </w:t>
      </w:r>
      <w:r>
        <w:rPr>
          <w:rFonts w:cs="Arial" w:ascii="Arial" w:hAnsi="Arial"/>
          <w:iCs/>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w:t>
      </w:r>
    </w:p>
    <w:p>
      <w:pPr>
        <w:pStyle w:val="Normal"/>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rFonts w:ascii="Arial" w:hAnsi="Arial" w:cs="Arial"/>
          <w:iCs/>
        </w:rPr>
      </w:pPr>
      <w:r>
        <w:rPr>
          <w:rFonts w:cs="Arial" w:ascii="Arial" w:hAnsi="Arial"/>
          <w:bCs/>
          <w:iCs/>
        </w:rPr>
        <w:t>19.1.2.6.</w:t>
      </w:r>
      <w:r>
        <w:rPr>
          <w:rFonts w:cs="Arial" w:ascii="Arial" w:hAnsi="Arial"/>
          <w:iCs/>
        </w:rPr>
        <w:t xml:space="preserve"> É possível que a Administração convoque os demais licitantes classificados para a contratação de remanescente de obra, de serviço ou de fornecimento em consequência de rescisão contratual, observados os mesmos critérios estabelecidos nos §§ 2º e 4º do art. 90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 xml:space="preserve">19.1.3. </w:t>
      </w:r>
      <w:r>
        <w:rPr>
          <w:rFonts w:cs="Arial" w:ascii="Arial" w:hAnsi="Arial"/>
          <w:iCs/>
        </w:rPr>
        <w:t>Os contratos e seus aditamentos terão forma escrita e serão juntados ao processo que tiver dado origem à contratação, divulgados e mantidos à disposição do público em sítio eletrônico oficial.</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19.1.3.1.</w:t>
      </w:r>
      <w:r>
        <w:rPr>
          <w:rFonts w:cs="Arial" w:ascii="Arial" w:hAnsi="Arial"/>
          <w:iCs/>
        </w:rPr>
        <w:t xml:space="preserve"> Será admitida a forma eletrônica na celebração de contratos e de termos aditivos, atendidas as exigências previstas em regulamento.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rPr>
      </w:pPr>
      <w:r>
        <w:rPr>
          <w:rFonts w:cs="Arial" w:ascii="Arial" w:hAnsi="Arial"/>
          <w:bCs/>
          <w:iCs/>
        </w:rPr>
        <w:t>19.1.3.2.</w:t>
      </w:r>
      <w:r>
        <w:rPr>
          <w:rFonts w:cs="Arial" w:ascii="Arial" w:hAnsi="Arial"/>
          <w:b/>
          <w:iCs/>
        </w:rPr>
        <w:t xml:space="preserve"> </w:t>
      </w:r>
      <w:r>
        <w:rPr>
          <w:rFonts w:cs="Arial" w:ascii="Arial" w:hAnsi="Arial"/>
          <w:iCs/>
        </w:rPr>
        <w:t>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19.1.4.</w:t>
      </w:r>
      <w:r>
        <w:rPr>
          <w:rFonts w:cs="Arial" w:ascii="Arial" w:hAnsi="Arial"/>
          <w:iCs/>
        </w:rPr>
        <w:t xml:space="preserve"> Os contratos administrativos obedecerão irrestritamente o disposto no art. 92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19.1.4.1.</w:t>
      </w:r>
      <w:r>
        <w:rPr>
          <w:rFonts w:cs="Arial" w:ascii="Arial" w:hAnsi="Arial"/>
          <w:iCs/>
        </w:rPr>
        <w:t xml:space="preserve"> O contrato administrativo poderá ser substituído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rPr>
      </w:pPr>
      <w:r>
        <w:rPr>
          <w:rFonts w:cs="Arial" w:ascii="Arial" w:hAnsi="Arial"/>
          <w:bCs/>
          <w:iCs/>
        </w:rPr>
        <w:t>19.1.4.2.</w:t>
      </w:r>
      <w:r>
        <w:rPr>
          <w:rFonts w:cs="Arial" w:ascii="Arial" w:hAnsi="Arial"/>
          <w:iCs/>
        </w:rPr>
        <w:t xml:space="preserve"> O contrato terá seu preço reajustado pelo índice </w:t>
      </w:r>
      <w:r>
        <w:rPr>
          <w:rFonts w:eastAsia="Calibri" w:cs="Arial" w:ascii="Arial" w:hAnsi="Arial"/>
          <w:iCs/>
          <w:color w:val="000000"/>
        </w:rPr>
        <w:t>INPC</w:t>
      </w:r>
      <w:r>
        <w:rPr>
          <w:rFonts w:cs="Arial" w:ascii="Arial" w:hAnsi="Arial"/>
          <w:iCs/>
        </w:rPr>
        <w:t xml:space="preserve"> com data-base vinculada à data do orçamento estimado.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rFonts w:ascii="Arial" w:hAnsi="Arial" w:cs="Arial"/>
          <w:iCs/>
        </w:rPr>
      </w:pPr>
      <w:r>
        <w:rPr>
          <w:rFonts w:cs="Arial" w:ascii="Arial" w:hAnsi="Arial"/>
          <w:bCs/>
          <w:iCs/>
        </w:rPr>
        <w:t>19.1.4.2.1.</w:t>
      </w:r>
      <w:r>
        <w:rPr>
          <w:rFonts w:cs="Arial" w:ascii="Arial" w:hAnsi="Arial"/>
          <w:iCs/>
        </w:rPr>
        <w:t xml:space="preserve"> Poderá ser estabelecido mais de um índice específico ou setorial, em conformidade com a realidade de mercado dos respectivos insumos.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 xml:space="preserve">19.1.5. </w:t>
      </w:r>
      <w:r>
        <w:rPr>
          <w:rFonts w:cs="Arial" w:ascii="Arial" w:hAnsi="Arial"/>
        </w:rPr>
        <w:t>O contrato administrativo será publicado no prazo de 20 (vinte) dias úteis, contados da data de sua assinatura.</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19.1.6.</w:t>
      </w:r>
      <w:r>
        <w:rPr>
          <w:rFonts w:cs="Arial" w:ascii="Arial" w:hAnsi="Arial"/>
        </w:rPr>
        <w:t xml:space="preserve"> No caso de consórcio: fica condicionada a assinatura do contrato a:</w:t>
      </w:r>
    </w:p>
    <w:p>
      <w:pPr>
        <w:pStyle w:val="Normal"/>
        <w:numPr>
          <w:ilvl w:val="0"/>
          <w:numId w:val="2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Comprovação de compromisso público ou particular de constituição de consórcio, subscrito pelos consorciados;</w:t>
      </w:r>
    </w:p>
    <w:p>
      <w:pPr>
        <w:pStyle w:val="Normal"/>
        <w:numPr>
          <w:ilvl w:val="0"/>
          <w:numId w:val="2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Indicação da empresa líder do consórcio, que será responsável por sua representação perante a Administração.</w:t>
      </w:r>
    </w:p>
    <w:p>
      <w:pPr>
        <w:pStyle w:val="Normal"/>
        <w:tabs>
          <w:tab w:val="clear" w:pos="708"/>
          <w:tab w:val="left" w:pos="567" w:leader="none"/>
        </w:tabs>
        <w:spacing w:lineRule="auto" w:line="240" w:before="0" w:after="0"/>
        <w:contextualSpacing/>
        <w:jc w:val="both"/>
        <w:rPr>
          <w:rFonts w:ascii="Arial" w:hAnsi="Arial" w:cs="Arial"/>
          <w:shd w:fill="auto" w:val="clear"/>
        </w:rPr>
      </w:pPr>
      <w:r>
        <w:rPr>
          <w:rFonts w:cs="Arial" w:ascii="Arial" w:hAnsi="Arial"/>
          <w:shd w:fill="auto" w:val="clear"/>
        </w:rPr>
      </w:r>
    </w:p>
    <w:p>
      <w:pPr>
        <w:pStyle w:val="Normal"/>
        <w:tabs>
          <w:tab w:val="clear" w:pos="708"/>
          <w:tab w:val="left" w:pos="567" w:leader="none"/>
        </w:tabs>
        <w:spacing w:lineRule="auto" w:line="240" w:before="0" w:after="0"/>
        <w:contextualSpacing/>
        <w:jc w:val="both"/>
        <w:rPr>
          <w:shd w:fill="auto" w:val="clear"/>
        </w:rPr>
      </w:pPr>
      <w:r>
        <w:rPr>
          <w:rFonts w:cs="Arial" w:ascii="Arial" w:hAnsi="Arial"/>
          <w:b/>
          <w:bCs/>
          <w:iCs/>
          <w:shd w:fill="auto" w:val="clear"/>
        </w:rPr>
        <w:t>19.1.7. Obrigações do CONTRATADO:</w:t>
      </w:r>
    </w:p>
    <w:p>
      <w:pPr>
        <w:pStyle w:val="Normal"/>
        <w:tabs>
          <w:tab w:val="clear" w:pos="708"/>
          <w:tab w:val="left" w:pos="567" w:leader="none"/>
        </w:tabs>
        <w:spacing w:lineRule="auto" w:line="240" w:before="0" w:after="0"/>
        <w:contextualSpacing/>
        <w:jc w:val="both"/>
        <w:rPr>
          <w:rFonts w:ascii="Arial" w:hAnsi="Arial" w:cs="Arial"/>
          <w:color w:val="000000"/>
          <w:shd w:fill="auto" w:val="clear"/>
        </w:rPr>
      </w:pPr>
      <w:r>
        <w:rPr>
          <w:rFonts w:cs="Arial" w:ascii="Arial" w:hAnsi="Arial"/>
          <w:color w:val="000000"/>
          <w:shd w:fill="auto" w:val="clear"/>
        </w:rPr>
      </w:r>
    </w:p>
    <w:p>
      <w:pPr>
        <w:pStyle w:val="Normal"/>
        <w:tabs>
          <w:tab w:val="clear" w:pos="708"/>
          <w:tab w:val="left" w:pos="1134" w:leader="none"/>
        </w:tabs>
        <w:spacing w:lineRule="auto" w:line="240" w:before="0" w:after="0"/>
        <w:jc w:val="both"/>
        <w:rPr>
          <w:shd w:fill="auto" w:val="clear"/>
        </w:rPr>
      </w:pPr>
      <w:r>
        <w:rPr>
          <w:rFonts w:cs="Arial" w:ascii="Arial" w:hAnsi="Arial"/>
          <w:color w:val="000000"/>
          <w:shd w:fill="auto" w:val="clear"/>
        </w:rPr>
        <w:t xml:space="preserve">19.1.7.1. </w:t>
      </w:r>
      <w:r>
        <w:rPr>
          <w:rFonts w:cs="Arial" w:ascii="Arial" w:hAnsi="Arial"/>
          <w:shd w:fill="auto" w:val="clear"/>
        </w:rPr>
        <w:t>A CONTRATADA deve cumprir todas as obrigações constantes no Edital, seus anexos e sua proposta, assumindo como exclusivamente seus os riscos e as despesas decorrentes da boa e perfeita execução do objeto e, ainda:</w:t>
      </w:r>
    </w:p>
    <w:p>
      <w:pPr>
        <w:pStyle w:val="Normal"/>
        <w:tabs>
          <w:tab w:val="clear" w:pos="708"/>
          <w:tab w:val="left" w:pos="1134" w:leader="none"/>
        </w:tabs>
        <w:spacing w:lineRule="auto" w:line="240" w:before="0" w:after="0"/>
        <w:jc w:val="both"/>
        <w:rPr>
          <w:rFonts w:ascii="Arial" w:hAnsi="Arial" w:eastAsia="Calibri" w:cs="Arial"/>
          <w:color w:val="000000"/>
          <w:shd w:fill="auto" w:val="clear"/>
        </w:rPr>
      </w:pPr>
      <w:r>
        <w:rPr>
          <w:rFonts w:eastAsia="Calibri" w:cs="Arial" w:ascii="Arial" w:hAnsi="Arial"/>
          <w:color w:val="000000"/>
          <w:shd w:fill="auto" w:val="clear"/>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shd w:fill="auto" w:val="clear"/>
        </w:rPr>
        <w:t>19.1</w:t>
      </w:r>
      <w:r>
        <w:rPr>
          <w:rFonts w:cs="Arial" w:ascii="Arial" w:hAnsi="Arial"/>
          <w:shd w:fill="auto" w:val="clear"/>
        </w:rPr>
        <w:t xml:space="preserve">.7.2. Efetuar </w:t>
      </w:r>
      <w:r>
        <w:rPr>
          <w:rFonts w:eastAsia="Calibri" w:cs="Arial" w:ascii="Arial" w:hAnsi="Arial" w:eastAsiaTheme="minorHAnsi"/>
          <w:color w:val="000000"/>
          <w:kern w:val="0"/>
          <w:sz w:val="22"/>
          <w:szCs w:val="22"/>
          <w:shd w:fill="auto" w:val="clear"/>
          <w:lang w:val="pt-BR" w:eastAsia="en-US" w:bidi="ar-SA"/>
        </w:rPr>
        <w:t>a entrega</w:t>
      </w:r>
      <w:r>
        <w:rPr>
          <w:rFonts w:cs="Arial" w:ascii="Arial" w:hAnsi="Arial"/>
          <w:shd w:fill="auto" w:val="clear"/>
        </w:rPr>
        <w:t xml:space="preserve"> dos produtos em perfeitas condições, no prazo, quantidade e local indicado pela Secretaria/Departamento Requisitante, em estrita observância das especificações do Edital e da proposta, acompanhado da respectiva nota fiscal constando detalhadamente.</w:t>
      </w:r>
    </w:p>
    <w:p>
      <w:pPr>
        <w:pStyle w:val="Normal"/>
        <w:tabs>
          <w:tab w:val="clear" w:pos="708"/>
          <w:tab w:val="left" w:pos="1134" w:leader="none"/>
        </w:tabs>
        <w:spacing w:lineRule="auto" w:line="240" w:before="0" w:after="0"/>
        <w:jc w:val="both"/>
        <w:rPr>
          <w:rFonts w:ascii="Arial" w:hAnsi="Arial" w:eastAsia="Calibri" w:cs="Arial"/>
          <w:color w:val="000000"/>
          <w:shd w:fill="auto" w:val="clear"/>
        </w:rPr>
      </w:pPr>
      <w:r>
        <w:rPr>
          <w:rFonts w:eastAsia="Calibri" w:cs="Arial" w:ascii="Arial" w:hAnsi="Arial"/>
          <w:color w:val="000000"/>
          <w:shd w:fill="auto" w:val="clear"/>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shd w:fill="auto" w:val="clear"/>
        </w:rPr>
        <w:t>19</w:t>
      </w:r>
      <w:r>
        <w:rPr>
          <w:rFonts w:cs="Arial" w:ascii="Arial" w:hAnsi="Arial"/>
          <w:shd w:fill="auto" w:val="clear"/>
        </w:rPr>
        <w:t>.1.7.3. Acatar e atender as reclamações quanto às especificações e qualidade dos produtos fornecidos, sanando eventuais deficiências no prazo de 24 (vinte e quatro) horas, a contar da notificação da contratada, às suas custas, sem prejuízo da aplicação das penalidades, o que não atenda às especificações do contrato e cumprimento dos prazos previamente estabelecidos;</w:t>
      </w:r>
    </w:p>
    <w:p>
      <w:pPr>
        <w:pStyle w:val="Normal"/>
        <w:tabs>
          <w:tab w:val="clear" w:pos="708"/>
          <w:tab w:val="left" w:pos="1134" w:leader="none"/>
        </w:tabs>
        <w:spacing w:lineRule="auto" w:line="240" w:before="0" w:after="0"/>
        <w:jc w:val="both"/>
        <w:rPr>
          <w:rFonts w:ascii="Arial" w:hAnsi="Arial" w:eastAsia="Calibri" w:cs="Arial"/>
          <w:color w:val="000000"/>
          <w:shd w:fill="auto" w:val="clear"/>
        </w:rPr>
      </w:pPr>
      <w:r>
        <w:rPr>
          <w:rFonts w:eastAsia="Calibri" w:cs="Arial" w:ascii="Arial" w:hAnsi="Arial"/>
          <w:color w:val="000000"/>
          <w:shd w:fill="auto" w:val="clear"/>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shd w:fill="auto" w:val="clear"/>
        </w:rPr>
        <w:t>19.1.7.4.</w:t>
      </w:r>
      <w:r>
        <w:rPr>
          <w:rFonts w:cs="Arial" w:ascii="Arial" w:hAnsi="Arial"/>
          <w:shd w:fill="auto" w:val="clear"/>
        </w:rPr>
        <w:t xml:space="preserve"> Responsabilizar-se pelo atendimento às chamadas para fornecimento não previsto inicialmente decorrente de situações emergenciais no prazo máximo de 05 (cinco) horas a partir do registro comprovado do chamado junto à CONTRATADA, bem como pelas possíveis variações de demanda em conformidade com o prazo de entrega estabelecido pela CONTRATANTE;</w:t>
      </w:r>
    </w:p>
    <w:p>
      <w:pPr>
        <w:pStyle w:val="Normal"/>
        <w:tabs>
          <w:tab w:val="clear" w:pos="708"/>
          <w:tab w:val="left" w:pos="1134" w:leader="none"/>
        </w:tabs>
        <w:spacing w:lineRule="auto" w:line="240" w:before="0" w:after="0"/>
        <w:jc w:val="both"/>
        <w:rPr>
          <w:rFonts w:ascii="Arial" w:hAnsi="Arial" w:cs="Arial"/>
          <w:shd w:fill="auto" w:val="clear"/>
        </w:rPr>
      </w:pPr>
      <w:r>
        <w:rPr>
          <w:rFonts w:cs="Arial" w:ascii="Arial" w:hAnsi="Arial"/>
          <w:shd w:fill="auto" w:val="clear"/>
        </w:rPr>
      </w:r>
    </w:p>
    <w:p>
      <w:pPr>
        <w:pStyle w:val="Normal"/>
        <w:tabs>
          <w:tab w:val="clear" w:pos="708"/>
          <w:tab w:val="left" w:pos="1134" w:leader="none"/>
        </w:tabs>
        <w:spacing w:lineRule="auto" w:line="240" w:before="0" w:after="0"/>
        <w:jc w:val="both"/>
        <w:rPr>
          <w:shd w:fill="auto" w:val="clear"/>
        </w:rPr>
      </w:pPr>
      <w:r>
        <w:rPr>
          <w:rFonts w:cs="Arial" w:ascii="Arial" w:hAnsi="Arial"/>
          <w:shd w:fill="auto" w:val="clear"/>
        </w:rPr>
        <w:t xml:space="preserve">19.1.7.5. A empresa vencedora obriga-se a entregar os produtos no prazo máximo de 48 horas após </w:t>
      </w:r>
      <w:r>
        <w:rPr>
          <w:rFonts w:eastAsia="Calibri" w:cs="Arial" w:ascii="Arial" w:hAnsi="Arial"/>
          <w:color w:val="000000"/>
          <w:kern w:val="0"/>
          <w:sz w:val="22"/>
          <w:szCs w:val="22"/>
          <w:shd w:fill="auto" w:val="clear"/>
          <w:lang w:val="pt-BR" w:eastAsia="en-US" w:bidi="ar-SA"/>
        </w:rPr>
        <w:t>o recebimento da ordem de compra;</w:t>
      </w:r>
    </w:p>
    <w:p>
      <w:pPr>
        <w:pStyle w:val="Normal"/>
        <w:tabs>
          <w:tab w:val="clear" w:pos="708"/>
          <w:tab w:val="left" w:pos="1134" w:leader="none"/>
        </w:tabs>
        <w:spacing w:lineRule="auto" w:line="240" w:before="0" w:after="0"/>
        <w:jc w:val="both"/>
        <w:rPr>
          <w:rFonts w:ascii="Arial" w:hAnsi="Arial" w:eastAsia="Calibri" w:cs="Arial"/>
          <w:color w:val="auto"/>
          <w:kern w:val="0"/>
          <w:sz w:val="22"/>
          <w:szCs w:val="22"/>
          <w:lang w:val="pt-BR" w:eastAsia="en-US" w:bidi="ar-SA"/>
        </w:rPr>
      </w:pPr>
      <w:r>
        <w:rPr>
          <w:rFonts w:eastAsia="Calibri" w:cs="Arial" w:ascii="Arial" w:hAnsi="Arial"/>
          <w:color w:val="auto"/>
          <w:kern w:val="0"/>
          <w:sz w:val="22"/>
          <w:szCs w:val="22"/>
          <w:lang w:val="pt-BR" w:eastAsia="en-US" w:bidi="ar-SA"/>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19.1.7.5.1. Os produtos serão entregues de forma parcelada durante a vigência da Ata de Registro, conforme demanda dos compradores. As entregas deverão ser feitas nos seguintes endereços, conforme o órgão requisitante:</w:t>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 Polícia Militar: Rua 10, 01, Pioneiros, Itá-SC, CEP: 89760-000;</w:t>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 Polícia Civil, Rua 5, 86, Centro, Itá-SC, CEP: 89760-000;</w:t>
      </w:r>
    </w:p>
    <w:p>
      <w:pPr>
        <w:pStyle w:val="Normal"/>
        <w:tabs>
          <w:tab w:val="clear" w:pos="708"/>
          <w:tab w:val="left" w:pos="1134" w:leader="none"/>
        </w:tabs>
        <w:spacing w:lineRule="auto" w:line="240" w:before="0" w:after="0"/>
        <w:jc w:val="both"/>
        <w:rPr>
          <w:rFonts w:ascii="Arial" w:hAnsi="Arial" w:cs="Arial"/>
          <w:shd w:fill="auto" w:val="clear"/>
        </w:rPr>
      </w:pPr>
      <w:r>
        <w:rPr>
          <w:rFonts w:cs="Arial" w:ascii="Arial" w:hAnsi="Arial"/>
          <w:shd w:fill="auto" w:val="clear"/>
        </w:rPr>
      </w:r>
    </w:p>
    <w:p>
      <w:pPr>
        <w:pStyle w:val="Normal"/>
        <w:tabs>
          <w:tab w:val="clear" w:pos="708"/>
          <w:tab w:val="left" w:pos="1134" w:leader="none"/>
        </w:tabs>
        <w:spacing w:lineRule="auto" w:line="240" w:before="0" w:after="0"/>
        <w:jc w:val="both"/>
        <w:rPr>
          <w:shd w:fill="auto" w:val="clear"/>
        </w:rPr>
      </w:pPr>
      <w:r>
        <w:rPr>
          <w:rFonts w:cs="Arial" w:ascii="Arial" w:hAnsi="Arial"/>
          <w:shd w:fill="auto" w:val="clear"/>
        </w:rPr>
        <w:t xml:space="preserve">19.1.7.6.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 </w:t>
      </w:r>
    </w:p>
    <w:p>
      <w:pPr>
        <w:pStyle w:val="Normal"/>
        <w:tabs>
          <w:tab w:val="clear" w:pos="708"/>
          <w:tab w:val="left" w:pos="1134" w:leader="none"/>
        </w:tabs>
        <w:spacing w:lineRule="auto" w:line="240" w:before="0" w:after="0"/>
        <w:jc w:val="both"/>
        <w:rPr>
          <w:rFonts w:ascii="Arial" w:hAnsi="Arial" w:cs="Arial"/>
          <w:u w:val="single"/>
          <w:shd w:fill="auto" w:val="clear"/>
        </w:rPr>
      </w:pPr>
      <w:r>
        <w:rPr>
          <w:rFonts w:cs="Arial" w:ascii="Arial" w:hAnsi="Arial"/>
          <w:u w:val="single"/>
          <w:shd w:fill="auto" w:val="clear"/>
        </w:rPr>
      </w:r>
    </w:p>
    <w:p>
      <w:pPr>
        <w:pStyle w:val="Normal"/>
        <w:tabs>
          <w:tab w:val="clear" w:pos="708"/>
          <w:tab w:val="left" w:pos="1134" w:leader="none"/>
        </w:tabs>
        <w:spacing w:lineRule="auto" w:line="240" w:before="0" w:after="0"/>
        <w:jc w:val="both"/>
        <w:rPr>
          <w:rFonts w:ascii="Arial" w:hAnsi="Arial" w:cs="Arial"/>
          <w:iCs/>
        </w:rPr>
      </w:pPr>
      <w:r>
        <w:rPr>
          <w:rFonts w:cs="Arial" w:ascii="Arial" w:hAnsi="Arial"/>
          <w:bCs/>
          <w:iCs/>
        </w:rPr>
        <w:t>19.1.8.</w:t>
      </w:r>
      <w:r>
        <w:rPr>
          <w:rFonts w:cs="Arial" w:ascii="Arial" w:hAnsi="Arial"/>
          <w:b/>
          <w:iCs/>
        </w:rPr>
        <w:t xml:space="preserve"> </w:t>
      </w:r>
      <w:r>
        <w:rPr>
          <w:rFonts w:cs="Arial" w:ascii="Arial" w:hAnsi="Arial"/>
          <w:iCs/>
        </w:rPr>
        <w:t>Obrigações do CONTRATANTE:</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iCs/>
          <w:color w:val="000000"/>
        </w:rPr>
      </w:pPr>
      <w:r>
        <w:rPr>
          <w:rFonts w:eastAsia="Calibri" w:cs="Arial" w:ascii="Arial" w:hAnsi="Arial"/>
          <w:iCs/>
          <w:color w:val="000000"/>
        </w:rPr>
        <w:t>19.1.8.1</w:t>
      </w:r>
      <w:r>
        <w:rPr>
          <w:rFonts w:cs="Arial" w:ascii="Arial" w:hAnsi="Arial"/>
          <w:iCs/>
          <w:color w:val="000000"/>
        </w:rPr>
        <w:t>.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iCs/>
          <w:color w:val="000000"/>
        </w:rPr>
      </w:pPr>
      <w:r>
        <w:rPr>
          <w:rFonts w:eastAsia="Calibri" w:cs="Arial" w:ascii="Arial" w:hAnsi="Arial"/>
          <w:iCs/>
          <w:color w:val="000000"/>
        </w:rPr>
        <w:t>19.1.8.2</w:t>
      </w:r>
      <w:r>
        <w:rPr>
          <w:rFonts w:cs="Arial" w:ascii="Arial" w:hAnsi="Arial"/>
          <w:iCs/>
          <w:color w:val="000000"/>
        </w:rPr>
        <w:t>. Permitir o livre acesso dos empregados, encarregados e/ou prepostos da CONTRATADA para a execução do contrato;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iCs/>
          <w:color w:val="000000"/>
        </w:rPr>
      </w:pPr>
      <w:r>
        <w:rPr>
          <w:rFonts w:eastAsia="Calibri" w:cs="Arial" w:ascii="Arial" w:hAnsi="Arial"/>
          <w:iCs/>
          <w:color w:val="000000"/>
        </w:rPr>
        <w:t>19.1.8.3</w:t>
      </w:r>
      <w:r>
        <w:rPr>
          <w:rFonts w:cs="Arial" w:ascii="Arial" w:hAnsi="Arial"/>
          <w:iCs/>
          <w:color w:val="000000"/>
        </w:rPr>
        <w:t xml:space="preserve">. Prestar as informações e os esclarecimentos que venham a ser solicitados pelos empregados, encarregados e/ou prepostos da CONTRATADA, desde que inerentes ao objeto do Contrato; </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19.1.9.</w:t>
      </w:r>
      <w:r>
        <w:rPr>
          <w:rFonts w:cs="Arial" w:ascii="Arial" w:hAnsi="Arial"/>
        </w:rPr>
        <w:t xml:space="preserve"> EXTINÇÃO CONTRATUAL: Constituirão motivos para extinção do contrato, devendo ser formalmente motivada nos autos do processo, assegurados o contraditório e a ampla defesa, as seguintes situações:</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cumprimento ou cumprimento irregular de normas editalícias ou de cláusulas contratuais, de especificações, de projetos ou de prazos;</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Desatendimento das determinações regulares emitidas pela autoridade designada para acompanhar e fiscalizar sua execução ou por autoridade superior;</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Alteração social ou modificação da finalidade ou da estrutura da empresa que restrinja sua capacidade de concluir o contrato;</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 xml:space="preserve">Decretação de falência ou de insolvência civil, dissolução da sociedade ou falecimento do </w:t>
      </w:r>
      <w:r>
        <w:rPr>
          <w:rFonts w:cs="Arial" w:ascii="Arial" w:hAnsi="Arial"/>
          <w:b/>
        </w:rPr>
        <w:t>CONTRATADO</w:t>
      </w:r>
      <w:r>
        <w:rPr>
          <w:rFonts w:cs="Arial" w:ascii="Arial" w:hAnsi="Arial"/>
        </w:rPr>
        <w:t>;</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Caso fortuito ou força maior, regularmente comprovados, impeditivos da execução do contrato;</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na obtenção da licença ambiental, ou impossibilidade de obtê-la, ou alteração substancial do anteprojeto que dela resultar, ainda que obtida no prazo previsto;</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na liberação das áreas sujeitas a desapropriação, a desocupação ou a servidão administrativa, ou impossibilidade de liberação dessas áreas;</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Razões de interesse público, justificadas pela autoridade máxima do órgão;</w:t>
      </w:r>
    </w:p>
    <w:p>
      <w:pPr>
        <w:pStyle w:val="ListParagraph"/>
        <w:numPr>
          <w:ilvl w:val="0"/>
          <w:numId w:val="4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19.1.9.1.</w:t>
      </w:r>
      <w:r>
        <w:rPr>
          <w:rFonts w:cs="Arial" w:ascii="Arial" w:hAnsi="Arial"/>
          <w:b/>
        </w:rPr>
        <w:t xml:space="preserve"> </w:t>
      </w:r>
      <w:r>
        <w:rPr>
          <w:rFonts w:cs="Arial" w:ascii="Arial" w:hAnsi="Arial"/>
        </w:rPr>
        <w:t>As hipóteses de extinção a que se referem os incisos II, III e IV observarão as seguintes disposições:</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 xml:space="preserve">Não serão admitidas em caso de calamidade pública, de grave perturbação da ordem interna ou de guerra, bem como quando decorrerem de ato ou fato que o </w:t>
      </w:r>
      <w:r>
        <w:rPr>
          <w:rFonts w:cs="Arial" w:ascii="Arial" w:hAnsi="Arial"/>
          <w:b/>
        </w:rPr>
        <w:t>CONTRATADO</w:t>
      </w:r>
      <w:r>
        <w:rPr>
          <w:rFonts w:cs="Arial" w:ascii="Arial" w:hAnsi="Arial"/>
        </w:rPr>
        <w:t xml:space="preserve"> tenha praticado, do qual tenha participado ou para o qual tenha contribuído;</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 xml:space="preserve">Assegurarão ao </w:t>
      </w:r>
      <w:r>
        <w:rPr>
          <w:rFonts w:cs="Arial" w:ascii="Arial" w:hAnsi="Arial"/>
          <w:b/>
        </w:rPr>
        <w:t>CONTRATADO</w:t>
      </w:r>
      <w:r>
        <w:rPr>
          <w:rFonts w:cs="Arial" w:ascii="Arial" w:hAnsi="Arial"/>
        </w:rPr>
        <w:t xml:space="preserve"> o direito de optar pela suspensão do cumprimento das obrigações assumidas até a normalização da situação, admitido o restabelecimento do equilíbrio econômico-financeiro do contrato, na forma da alínea “d” do inciso II do </w:t>
      </w:r>
      <w:r>
        <w:rPr>
          <w:rFonts w:cs="Arial" w:ascii="Arial" w:hAnsi="Arial"/>
          <w:i/>
        </w:rPr>
        <w:t>caput</w:t>
      </w:r>
      <w:r>
        <w:rPr>
          <w:rFonts w:cs="Arial" w:ascii="Arial" w:hAnsi="Arial"/>
        </w:rPr>
        <w:t xml:space="preserve"> do art. 124 da Lei nº 14.133/2021.</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19.1.9.2.</w:t>
      </w:r>
      <w:r>
        <w:rPr>
          <w:rFonts w:cs="Arial" w:ascii="Arial" w:hAnsi="Arial"/>
        </w:rPr>
        <w:t xml:space="preserve"> O </w:t>
      </w:r>
      <w:r>
        <w:rPr>
          <w:rFonts w:cs="Arial" w:ascii="Arial" w:hAnsi="Arial"/>
          <w:b/>
        </w:rPr>
        <w:t>CONTRATADO</w:t>
      </w:r>
      <w:r>
        <w:rPr>
          <w:rFonts w:cs="Arial" w:ascii="Arial" w:hAnsi="Arial"/>
        </w:rPr>
        <w:t xml:space="preserve"> terá direito à extinção do contrato nas seguintes hipóteses:</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Supressão, por parte da Administração, de obras, serviços ou compras que acarrete modificação do valor inicial do contrato além do limite permitido no art. 125 da Lei nº 14.133/2021;</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Suspensão de execução do contrato, por ordem escrita da Administração, por prazo superior a 03 (três) meses;</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superior a 02 (dois) meses, contado da emissão da nota fiscal, dos pagamentos ou de parcelas de pagamentos devidos pela Administração por despesas de obras, serviços ou fornecimentos;</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
        </w:rPr>
        <w:t>19.1.9.3.</w:t>
      </w:r>
      <w:r>
        <w:rPr>
          <w:rFonts w:cs="Arial" w:ascii="Arial" w:hAnsi="Arial"/>
        </w:rPr>
        <w:t xml:space="preserve"> A extinção do contrato poderá ser:</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Determinada por ato unilateral e escrito da Administração, exceto no caso de descumprimento decorrente de sua própria conduta;</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Consensual, por acordo entre as partes, por conciliação, por mediação ou por comitê de resolução de disputas, desde que haja interesse da Administração;</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Determinada por decisão arbitral, em decorrência de cláusula compromissória ou compromisso arbitral, ou por decisão judicial.</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19.1.9.3.1.</w:t>
      </w:r>
      <w:r>
        <w:rPr>
          <w:rFonts w:cs="Arial" w:ascii="Arial" w:hAnsi="Arial"/>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19.1.9.3.2.</w:t>
      </w:r>
      <w:r>
        <w:rPr>
          <w:rFonts w:cs="Arial" w:ascii="Arial" w:hAnsi="Arial"/>
        </w:rPr>
        <w:t xml:space="preserve"> Quando a extinção decorrer de culpa exclusiva da Administração, o </w:t>
      </w:r>
      <w:r>
        <w:rPr>
          <w:rFonts w:cs="Arial" w:ascii="Arial" w:hAnsi="Arial"/>
          <w:b/>
        </w:rPr>
        <w:t>CONTRATADO</w:t>
      </w:r>
      <w:r>
        <w:rPr>
          <w:rFonts w:cs="Arial" w:ascii="Arial" w:hAnsi="Arial"/>
        </w:rPr>
        <w:t xml:space="preserve"> será ressarcido pelos prejuízos regularmente comprovados que houver sofrido e terá direito a:</w:t>
      </w:r>
    </w:p>
    <w:p>
      <w:pPr>
        <w:pStyle w:val="ListParagraph"/>
        <w:numPr>
          <w:ilvl w:val="0"/>
          <w:numId w:val="5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Devolução da garantia;</w:t>
      </w:r>
    </w:p>
    <w:p>
      <w:pPr>
        <w:pStyle w:val="ListParagraph"/>
        <w:numPr>
          <w:ilvl w:val="0"/>
          <w:numId w:val="5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Pagamentos devidos pela execução do contrato até a data de extinção;</w:t>
      </w:r>
    </w:p>
    <w:p>
      <w:pPr>
        <w:pStyle w:val="ListParagraph"/>
        <w:numPr>
          <w:ilvl w:val="0"/>
          <w:numId w:val="5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do custo da desmobilização.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
        </w:rPr>
        <w:t>19.1.9.4.</w:t>
      </w:r>
      <w:r>
        <w:rPr>
          <w:rFonts w:cs="Arial" w:ascii="Arial" w:hAnsi="Arial"/>
        </w:rPr>
        <w:t xml:space="preserve"> A extinção determinada por ato unilateral da Administração poderá acarretar, sem prejuízo das sanções previstas na Lei nº 14.133/2021, as seguintes consequências:</w:t>
      </w:r>
    </w:p>
    <w:p>
      <w:pPr>
        <w:pStyle w:val="ListParagraph"/>
        <w:numPr>
          <w:ilvl w:val="0"/>
          <w:numId w:val="5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Assunção imediata do objeto do contrato, no estado e local em que se encontrar, por ato próprio da Administração;</w:t>
      </w:r>
    </w:p>
    <w:p>
      <w:pPr>
        <w:pStyle w:val="ListParagraph"/>
        <w:numPr>
          <w:ilvl w:val="0"/>
          <w:numId w:val="5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Ocupação e utilização do local, das instalações, dos equipamentos, do material e do pessoal empregados na execução do contrato e necessários à sua continuidade;</w:t>
      </w:r>
    </w:p>
    <w:p>
      <w:pPr>
        <w:pStyle w:val="ListParagraph"/>
        <w:numPr>
          <w:ilvl w:val="0"/>
          <w:numId w:val="5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Execução da garantia contratual para:</w:t>
      </w:r>
    </w:p>
    <w:p>
      <w:pPr>
        <w:pStyle w:val="ListParagraph"/>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b/>
          <w:bCs/>
        </w:rPr>
        <w:t>i)</w:t>
      </w:r>
      <w:r>
        <w:rPr>
          <w:rFonts w:cs="Arial" w:ascii="Arial" w:hAnsi="Arial"/>
        </w:rPr>
        <w:tab/>
        <w:t>Ressarcimento da Administração Pública por prejuízos decorrentes da não execução;</w:t>
      </w:r>
    </w:p>
    <w:p>
      <w:pPr>
        <w:pStyle w:val="ListParagraph"/>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b/>
          <w:bCs/>
        </w:rPr>
        <w:t>ii)</w:t>
      </w:r>
      <w:r>
        <w:rPr>
          <w:rFonts w:cs="Arial" w:ascii="Arial" w:hAnsi="Arial"/>
        </w:rPr>
        <w:tab/>
        <w:t>Pagamento de verbas trabalhistas, fundiárias e previdenciárias, quando cabível;</w:t>
      </w:r>
    </w:p>
    <w:p>
      <w:pPr>
        <w:pStyle w:val="ListParagraph"/>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b/>
          <w:bCs/>
        </w:rPr>
        <w:t>iii)</w:t>
      </w:r>
      <w:r>
        <w:rPr>
          <w:rFonts w:cs="Arial" w:ascii="Arial" w:hAnsi="Arial"/>
        </w:rPr>
        <w:tab/>
        <w:t>Pagamento das multas devidas à Administração Pública;</w:t>
      </w:r>
    </w:p>
    <w:p>
      <w:pPr>
        <w:pStyle w:val="ListParagraph"/>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b/>
          <w:bCs/>
        </w:rPr>
        <w:t>iv)</w:t>
      </w:r>
      <w:r>
        <w:rPr>
          <w:rFonts w:cs="Arial" w:ascii="Arial" w:hAnsi="Arial"/>
        </w:rPr>
        <w:tab/>
        <w:t>Exigência da assunção da execução e da conclusão do objeto do contrato pela seguradora, quando cabível;</w:t>
      </w:r>
    </w:p>
    <w:p>
      <w:pPr>
        <w:pStyle w:val="ListParagraph"/>
        <w:tabs>
          <w:tab w:val="clear" w:pos="708"/>
          <w:tab w:val="left" w:pos="1134" w:leader="none"/>
        </w:tabs>
        <w:spacing w:lineRule="auto" w:line="240" w:before="0" w:after="0"/>
        <w:ind w:left="1134" w:hanging="0"/>
        <w:contextualSpacing/>
        <w:jc w:val="both"/>
        <w:rPr>
          <w:rFonts w:ascii="Arial" w:hAnsi="Arial" w:cs="Arial"/>
        </w:rPr>
      </w:pPr>
      <w:r>
        <w:rPr>
          <w:rFonts w:cs="Arial" w:ascii="Arial" w:hAnsi="Arial"/>
        </w:rPr>
        <w:t xml:space="preserve">  </w:t>
      </w:r>
      <w:r>
        <w:rPr>
          <w:rFonts w:cs="Arial" w:ascii="Arial" w:hAnsi="Arial"/>
          <w:b/>
          <w:bCs/>
        </w:rPr>
        <w:t>v)</w:t>
      </w:r>
      <w:r>
        <w:rPr>
          <w:rFonts w:cs="Arial" w:ascii="Arial" w:hAnsi="Arial"/>
        </w:rPr>
        <w:t xml:space="preserve"> Retenção dos créditos decorrentes do contrato até o limite dos prejuízos causados à Administração Pública e das multas aplicadas.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19.1.9.4.1.</w:t>
      </w:r>
      <w:r>
        <w:rPr>
          <w:rFonts w:cs="Arial" w:ascii="Arial" w:hAnsi="Arial"/>
        </w:rPr>
        <w:t xml:space="preserve"> A aplicação das medidas previstas nos incisos I e II ficará a critério da Administração, que poderá dar continuidade à obra ou ao serviço por execução direta ou indireta.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bCs/>
        </w:rPr>
        <w:t>19.1.9.4.2.</w:t>
      </w:r>
      <w:r>
        <w:rPr>
          <w:rFonts w:cs="Arial" w:ascii="Arial" w:hAnsi="Arial"/>
        </w:rPr>
        <w:t xml:space="preserve"> Na hipótese do inciso II o ato deverá ser precedido de autorização expressa do secretário municipal competente.</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bCs/>
        </w:rPr>
        <w:t>19.1.9.5.</w:t>
      </w:r>
      <w:r>
        <w:rPr>
          <w:rFonts w:cs="Arial" w:ascii="Arial" w:hAnsi="Arial"/>
        </w:rPr>
        <w:t xml:space="preserve"> Os emitentes das garantias previstas no art. 96 da Lei nº 14.133/2021 serão notificados pelo </w:t>
      </w:r>
      <w:r>
        <w:rPr>
          <w:rFonts w:cs="Arial" w:ascii="Arial" w:hAnsi="Arial"/>
          <w:b/>
        </w:rPr>
        <w:t>CONTRATANTE</w:t>
      </w:r>
      <w:r>
        <w:rPr>
          <w:rFonts w:cs="Arial" w:ascii="Arial" w:hAnsi="Arial"/>
        </w:rPr>
        <w:t xml:space="preserve"> quanto ao início de processo administrativo para apuração de descumprimento de cláusulas contratuais.</w:t>
      </w:r>
    </w:p>
    <w:p>
      <w:pPr>
        <w:pStyle w:val="Normal"/>
        <w:tabs>
          <w:tab w:val="clear" w:pos="708"/>
          <w:tab w:val="left" w:pos="1134" w:leader="none"/>
        </w:tabs>
        <w:spacing w:lineRule="auto" w:line="240" w:before="0" w:after="0"/>
        <w:jc w:val="both"/>
        <w:rPr>
          <w:rFonts w:ascii="Arial" w:hAnsi="Arial" w:cs="Arial"/>
          <w:b/>
          <w:b/>
          <w:iCs/>
          <w:highlight w:val="lightGray"/>
        </w:rPr>
      </w:pPr>
      <w:r>
        <w:rPr>
          <w:rFonts w:cs="Arial" w:ascii="Arial" w:hAnsi="Arial"/>
          <w:b/>
          <w:iCs/>
          <w:highlight w:val="lightGray"/>
        </w:rPr>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highlight w:val="lightGray"/>
        </w:rPr>
        <w:t>19.2. GESTÃO E FISCALIZAÇÃO DO CONTRATO</w:t>
      </w:r>
    </w:p>
    <w:p>
      <w:pPr>
        <w:pStyle w:val="Normal"/>
        <w:tabs>
          <w:tab w:val="clear" w:pos="708"/>
          <w:tab w:val="left" w:pos="1134"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iCs/>
          <w:color w:val="000000"/>
        </w:rPr>
        <w:t>19.2.1. A fiscalização e gestão do contrato ocorre através de comissão responsável, formada por servidores do Município, os quais realizam a conferência do recebimento do produto ou serviço.</w:t>
      </w:r>
    </w:p>
    <w:p>
      <w:pPr>
        <w:pStyle w:val="Normal"/>
        <w:tabs>
          <w:tab w:val="clear" w:pos="708"/>
          <w:tab w:val="left" w:pos="1134" w:leader="none"/>
        </w:tabs>
        <w:spacing w:lineRule="auto" w:line="240" w:before="0" w:after="0"/>
        <w:jc w:val="both"/>
        <w:rPr>
          <w:rFonts w:ascii="Arial" w:hAnsi="Arial" w:eastAsia="Times New Roman" w:cs="Arial"/>
          <w:b/>
          <w:b/>
          <w:iCs/>
          <w:color w:val="FF0000"/>
          <w:highlight w:val="lightGray"/>
          <w:lang w:eastAsia="pt-BR"/>
        </w:rPr>
      </w:pPr>
      <w:r>
        <w:rPr>
          <w:rFonts w:eastAsia="Times New Roman" w:cs="Arial" w:ascii="Arial" w:hAnsi="Arial"/>
          <w:b/>
          <w:iCs/>
          <w:color w:val="FF0000"/>
          <w:highlight w:val="lightGray"/>
          <w:lang w:eastAsia="pt-BR"/>
        </w:rPr>
      </w:r>
    </w:p>
    <w:p>
      <w:pPr>
        <w:pStyle w:val="Normal"/>
        <w:widowControl w:val="false"/>
        <w:shd w:val="clear" w:color="auto" w:fill="AEAAAA" w:themeFill="background2" w:themeFillShade="bf"/>
        <w:tabs>
          <w:tab w:val="clear" w:pos="708"/>
          <w:tab w:val="left" w:pos="567" w:leader="none"/>
        </w:tabs>
        <w:spacing w:lineRule="auto" w:line="240" w:before="0" w:after="0"/>
        <w:jc w:val="both"/>
        <w:textAlignment w:val="baseline"/>
        <w:rPr>
          <w:rFonts w:ascii="Arial" w:hAnsi="Arial" w:eastAsia="Times New Roman" w:cs="Arial"/>
          <w:b/>
          <w:b/>
          <w:iCs/>
          <w:lang w:eastAsia="pt-BR"/>
        </w:rPr>
      </w:pPr>
      <w:r>
        <w:rPr>
          <w:rFonts w:eastAsia="Times New Roman" w:cs="Arial" w:ascii="Arial" w:hAnsi="Arial"/>
          <w:b/>
          <w:iCs/>
          <w:lang w:eastAsia="pt-BR"/>
        </w:rPr>
        <w:t>20. RECEBIMENTO DO OBJETO</w:t>
      </w:r>
    </w:p>
    <w:p>
      <w:pPr>
        <w:pStyle w:val="Normal"/>
        <w:spacing w:lineRule="auto" w:line="240" w:before="0" w:after="0"/>
        <w:jc w:val="both"/>
        <w:rPr>
          <w:rFonts w:ascii="Arial" w:hAnsi="Arial" w:eastAsia="Times New Roman" w:cs="Arial"/>
          <w:b/>
          <w:b/>
          <w:iCs/>
          <w:lang w:eastAsia="pt-BR"/>
        </w:rPr>
      </w:pPr>
      <w:r>
        <w:rPr>
          <w:rFonts w:eastAsia="Times New Roman" w:cs="Arial" w:ascii="Arial" w:hAnsi="Arial"/>
          <w:b/>
          <w:iCs/>
          <w:lang w:eastAsia="pt-BR"/>
        </w:rPr>
      </w:r>
    </w:p>
    <w:p>
      <w:pPr>
        <w:pStyle w:val="Normal"/>
        <w:spacing w:lineRule="auto" w:line="240" w:before="0" w:after="0"/>
        <w:jc w:val="both"/>
        <w:rPr>
          <w:rFonts w:ascii="Arial" w:hAnsi="Arial" w:eastAsia="Times New Roman" w:cs="Arial"/>
          <w:iCs/>
          <w:lang w:eastAsia="pt-BR"/>
        </w:rPr>
      </w:pPr>
      <w:r>
        <w:rPr>
          <w:rFonts w:eastAsia="Times New Roman" w:cs="Arial" w:ascii="Arial" w:hAnsi="Arial"/>
          <w:bCs/>
          <w:iCs/>
          <w:lang w:eastAsia="pt-BR"/>
        </w:rPr>
        <w:t>20.1.</w:t>
      </w:r>
      <w:r>
        <w:rPr>
          <w:rFonts w:eastAsia="Times New Roman" w:cs="Arial" w:ascii="Arial" w:hAnsi="Arial"/>
          <w:iCs/>
          <w:lang w:eastAsia="pt-BR"/>
        </w:rPr>
        <w:t xml:space="preserve"> O objeto será recebido </w:t>
      </w:r>
      <w:r>
        <w:rPr>
          <w:rFonts w:cs="Arial" w:ascii="Arial" w:hAnsi="Arial"/>
        </w:rPr>
        <w:t xml:space="preserve">junto </w:t>
      </w:r>
      <w:r>
        <w:rPr>
          <w:rFonts w:eastAsia="Calibri" w:cs="Arial" w:ascii="Arial" w:hAnsi="Arial" w:eastAsiaTheme="minorHAnsi"/>
          <w:color w:val="auto"/>
          <w:kern w:val="0"/>
          <w:sz w:val="22"/>
          <w:szCs w:val="22"/>
          <w:lang w:val="pt-BR" w:eastAsia="en-US" w:bidi="ar-SA"/>
        </w:rPr>
        <w:t>aos locais determinados pela Secretaria Solicitante</w:t>
      </w:r>
      <w:r>
        <w:rPr>
          <w:rFonts w:cs="Arial" w:ascii="Arial" w:hAnsi="Arial"/>
        </w:rPr>
        <w:t>, de segunda a sexta-feira, exceto aos feriados e pontos facultativos, no horário das 08h00min às 11h00min e das 13h30min às 16h30min.</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b/>
          <w:b/>
          <w:iCs/>
          <w:lang w:eastAsia="pt-BR"/>
        </w:rPr>
      </w:pPr>
      <w:r>
        <w:rPr>
          <w:rFonts w:eastAsia="Times New Roman" w:cs="Arial" w:ascii="Arial" w:hAnsi="Arial"/>
          <w:b/>
          <w:iCs/>
          <w:lang w:eastAsia="pt-BR"/>
        </w:rPr>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bCs/>
          <w:iCs/>
          <w:lang w:eastAsia="pt-BR"/>
        </w:rPr>
        <w:t>20.2.</w:t>
      </w:r>
      <w:r>
        <w:rPr>
          <w:rFonts w:eastAsia="Times New Roman" w:cs="Arial" w:ascii="Arial" w:hAnsi="Arial"/>
          <w:iCs/>
          <w:lang w:eastAsia="pt-BR"/>
        </w:rPr>
        <w:t xml:space="preserve"> O objeto do contrato poderá ser rejeitado, no todo ou em parte, quando estiver em desacordo com o contrato.</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bCs/>
          <w:iCs/>
          <w:lang w:eastAsia="pt-BR"/>
        </w:rPr>
        <w:t>20.3.</w:t>
      </w:r>
      <w:r>
        <w:rPr>
          <w:rFonts w:eastAsia="Times New Roman" w:cs="Arial" w:ascii="Arial" w:hAnsi="Arial"/>
          <w:iCs/>
          <w:lang w:eastAsia="pt-BR"/>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contextualSpacing/>
        <w:jc w:val="both"/>
        <w:textAlignment w:val="baseline"/>
        <w:rPr>
          <w:rFonts w:ascii="Arial" w:hAnsi="Arial" w:cs="Arial"/>
        </w:rPr>
      </w:pPr>
      <w:r>
        <w:rPr>
          <w:rFonts w:eastAsia="Times New Roman" w:cs="Arial" w:ascii="Arial" w:hAnsi="Arial"/>
          <w:bCs/>
          <w:iCs/>
          <w:color w:val="000000"/>
          <w:lang w:eastAsia="pt-BR"/>
        </w:rPr>
        <w:t>20.4.</w:t>
      </w:r>
      <w:r>
        <w:rPr>
          <w:rFonts w:eastAsia="Times New Roman" w:cs="Arial" w:ascii="Arial" w:hAnsi="Arial"/>
          <w:iCs/>
          <w:color w:val="000000"/>
          <w:lang w:eastAsia="pt-BR"/>
        </w:rPr>
        <w:t xml:space="preserve"> Os prazos e os métodos para a realização dos recebimentos provisório e definitivo serão, conforme regulamento municipal 0041/2023.</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color w:val="FF0000"/>
          <w:lang w:eastAsia="pt-BR"/>
        </w:rPr>
      </w:pPr>
      <w:r>
        <w:rPr>
          <w:rFonts w:eastAsia="Times New Roman" w:cs="Arial" w:ascii="Arial" w:hAnsi="Arial"/>
          <w:iCs/>
          <w:color w:val="FF0000"/>
          <w:lang w:eastAsia="pt-BR"/>
        </w:rPr>
      </w:r>
    </w:p>
    <w:p>
      <w:pPr>
        <w:pStyle w:val="Normal"/>
        <w:spacing w:lineRule="auto" w:line="240" w:before="0" w:after="0"/>
        <w:jc w:val="both"/>
        <w:rPr>
          <w:rFonts w:ascii="Arial" w:hAnsi="Arial" w:eastAsia="Times New Roman" w:cs="Arial"/>
          <w:iCs/>
          <w:lang w:eastAsia="pt-BR"/>
        </w:rPr>
      </w:pPr>
      <w:r>
        <w:rPr>
          <w:rFonts w:eastAsia="Times New Roman" w:cs="Arial" w:ascii="Arial" w:hAnsi="Arial"/>
          <w:bCs/>
          <w:iCs/>
          <w:lang w:eastAsia="pt-BR"/>
        </w:rPr>
        <w:t>20.5.</w:t>
      </w:r>
      <w:r>
        <w:rPr>
          <w:rFonts w:eastAsia="Times New Roman" w:cs="Arial" w:ascii="Arial" w:hAnsi="Arial"/>
          <w:iCs/>
          <w:lang w:eastAsia="pt-BR"/>
        </w:rPr>
        <w:t xml:space="preserve"> Os ensaios, os testes e as demais provas para aferição da boa execução do objeto do contrato exigidos por normas técnicas oficiais correrão por conta do contratado.</w:t>
      </w:r>
    </w:p>
    <w:p>
      <w:pPr>
        <w:pStyle w:val="Normal"/>
        <w:spacing w:lineRule="auto" w:line="240" w:before="0" w:after="0"/>
        <w:jc w:val="both"/>
        <w:rPr>
          <w:rFonts w:ascii="Arial" w:hAnsi="Arial" w:eastAsia="Times New Roman" w:cs="Arial"/>
          <w:b/>
          <w:b/>
          <w:iCs/>
          <w:color w:val="000000"/>
          <w:lang w:eastAsia="pt-BR"/>
        </w:rPr>
      </w:pPr>
      <w:r>
        <w:rPr>
          <w:rFonts w:eastAsia="Times New Roman" w:cs="Arial" w:ascii="Arial" w:hAnsi="Arial"/>
          <w:b/>
          <w:iCs/>
          <w:color w:val="000000"/>
          <w:lang w:eastAsia="pt-BR"/>
        </w:rPr>
      </w:r>
    </w:p>
    <w:p>
      <w:pPr>
        <w:pStyle w:val="Normal"/>
        <w:spacing w:lineRule="auto" w:line="240" w:before="0" w:after="0"/>
        <w:jc w:val="both"/>
        <w:rPr>
          <w:rFonts w:ascii="Arial" w:hAnsi="Arial" w:cs="Arial"/>
          <w:color w:val="000000"/>
        </w:rPr>
      </w:pPr>
      <w:r>
        <w:rPr>
          <w:rFonts w:eastAsia="Times New Roman" w:cs="Arial" w:ascii="Arial" w:hAnsi="Arial"/>
          <w:bCs/>
          <w:iCs/>
          <w:color w:val="000000"/>
          <w:lang w:eastAsia="pt-BR"/>
        </w:rPr>
        <w:t>20.6.</w:t>
      </w:r>
      <w:r>
        <w:rPr>
          <w:rFonts w:eastAsia="Times New Roman" w:cs="Arial" w:ascii="Arial" w:hAnsi="Arial"/>
          <w:iCs/>
          <w:color w:val="000000"/>
          <w:lang w:eastAsia="pt-BR"/>
        </w:rPr>
        <w:t xml:space="preserve"> O recebimento definitivo pela Administração não eximirá o contratado, pelo prazo mínimo de 05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pPr>
        <w:pStyle w:val="Normal"/>
        <w:spacing w:lineRule="auto" w:line="240" w:before="0" w:after="0"/>
        <w:jc w:val="both"/>
        <w:rPr>
          <w:rFonts w:ascii="Arial" w:hAnsi="Arial" w:eastAsia="Times New Roman" w:cs="Arial"/>
          <w:iCs/>
          <w:lang w:eastAsia="pt-BR"/>
        </w:rPr>
      </w:pPr>
      <w:r>
        <w:rPr>
          <w:rFonts w:eastAsia="Times New Roman" w:cs="Arial" w:ascii="Arial" w:hAnsi="Arial"/>
          <w:iCs/>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21. PAGAMENTO DO OBJETO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21.1.</w:t>
      </w:r>
      <w:r>
        <w:rPr>
          <w:rFonts w:cs="Arial" w:ascii="Arial" w:hAnsi="Arial"/>
        </w:rPr>
        <w:t xml:space="preserve"> No dever de pagamento pela Administração Pública Municipal, será observada a ordem cronológica para cada fonte diferenciada de recursos, subdividida nas seguintes categorias de contratos:</w:t>
      </w:r>
    </w:p>
    <w:p>
      <w:pPr>
        <w:pStyle w:val="ListParagraph"/>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Fornecimento de bens;</w:t>
      </w:r>
    </w:p>
    <w:p>
      <w:pPr>
        <w:pStyle w:val="ListParagraph"/>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Locações;</w:t>
      </w:r>
    </w:p>
    <w:p>
      <w:pPr>
        <w:pStyle w:val="ListParagraph"/>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Prestação de serviços;</w:t>
      </w:r>
    </w:p>
    <w:p>
      <w:pPr>
        <w:pStyle w:val="ListParagraph"/>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Realização de obras.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21.2.</w:t>
      </w:r>
      <w:r>
        <w:rPr>
          <w:rFonts w:cs="Arial" w:ascii="Arial" w:hAnsi="Arial"/>
        </w:rPr>
        <w:t xml:space="preserve"> A ordem cronológica poderá ser alterada, mediante prévia justificativa da autoridade competente e posterior comunicação ao órgão de controle interno da Administração Pública Municipal e ao Tribunal de Contas de Santa Catarina – TCE/SC, exclusivamente nas seguintes situações: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Grave perturbação da ordem, situação de emergência ou calamidade pública;</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a microempresa, empresa de pequeno porte, agricultor familiar, produtor rural pessoa física, microempreendedor individual e sociedade cooperativa, desde que demonstrado o risco de descontinuidade do cumprimento do objeto do contrato;</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serviços necessários ao funcionamento dos sistemas estruturantes, desde que demonstrado o risco de descontinuidade do cumprimento do objeto do contrato;</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direitos oriundos de contratos em caso de falência, recuperação judicial ou dissolução da empresa contratada;</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21.3.</w:t>
      </w:r>
      <w:r>
        <w:rPr>
          <w:rFonts w:cs="Arial" w:ascii="Arial" w:hAnsi="Arial"/>
        </w:rPr>
        <w:t xml:space="preserve"> A inobservância imotivada da ordem cronológica ensejará a apuração de responsabilidade do agente responsável, cabendo aos órgãos de controle a sua fiscalização.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21.4.</w:t>
      </w:r>
      <w:r>
        <w:rPr>
          <w:rFonts w:cs="Arial" w:ascii="Arial" w:hAnsi="Arial"/>
        </w:rPr>
        <w:t xml:space="preserve"> A Administração Pública Municipal deverá disponibilizar, mensalmente, em seção específica de acesso à informação em seu sítio na internet, a ordem cronológica de seus pagamentos, bem como as justificativas que fundamentarem a eventual alteração dessa ordem.</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21.5.</w:t>
      </w:r>
      <w:r>
        <w:rPr>
          <w:rFonts w:cs="Arial" w:ascii="Arial" w:hAnsi="Arial"/>
          <w:b/>
        </w:rPr>
        <w:t xml:space="preserve"> </w:t>
      </w:r>
      <w:r>
        <w:rPr>
          <w:rFonts w:cs="Arial" w:ascii="Arial" w:hAnsi="Arial"/>
        </w:rPr>
        <w:t>No caso de controvérsia sobre a execução do objeto, quanto a dimensão, qualidade e quantidade, a parcela incontroversa deverá ser liberada no prazo previsto para pagamento.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21.6.</w:t>
      </w:r>
      <w:r>
        <w:rPr>
          <w:rFonts w:cs="Arial" w:ascii="Arial" w:hAnsi="Arial"/>
        </w:rPr>
        <w:t xml:space="preserve"> Não será permitido pagamento antecipado, parcial ou total, relativo a parcelas contratuais vinculadas ao fornecimento de bens, à execução de obras ou à prestação de serviços.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21.6.1.</w:t>
      </w:r>
      <w:r>
        <w:rPr>
          <w:rFonts w:cs="Arial" w:ascii="Arial" w:hAnsi="Arial"/>
        </w:rPr>
        <w:t xml:space="preserve"> A antecipação de pagamento somente será permitida se propiciar sensível economia de recursos ou se representar condição indispensável para a obtenção do bem ou para a prestação do serviço, hipótese que deverá ser </w:t>
      </w:r>
      <w:r>
        <w:rPr>
          <w:rFonts w:cs="Arial" w:ascii="Arial" w:hAnsi="Arial"/>
          <w:b/>
          <w:u w:val="single"/>
        </w:rPr>
        <w:t>previamente justificada</w:t>
      </w:r>
      <w:r>
        <w:rPr>
          <w:rFonts w:cs="Arial" w:ascii="Arial" w:hAnsi="Arial"/>
        </w:rPr>
        <w:t xml:space="preserve"> no processo licitatório.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21.6.2.</w:t>
      </w:r>
      <w:r>
        <w:rPr>
          <w:rFonts w:cs="Arial" w:ascii="Arial" w:hAnsi="Arial"/>
        </w:rPr>
        <w:t xml:space="preserve"> Caso o objeto não seja executado no prazo contratual, o valor antecipado deverá ser devolvido.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21.7.</w:t>
      </w:r>
      <w:r>
        <w:rPr>
          <w:rFonts w:cs="Arial" w:ascii="Arial" w:hAnsi="Arial"/>
        </w:rPr>
        <w:t xml:space="preserve"> No ato de liquidação da despesa, os serviços de contabilidade comunicarão aos órgãos da administração tributária as características da despesa e os valores pagos, conforme o disposto no art. 63 da </w:t>
      </w:r>
      <w:hyperlink r:id="rId20">
        <w:r>
          <w:rPr>
            <w:rStyle w:val="LinkdaInternet"/>
            <w:rFonts w:cs="Arial" w:ascii="Arial" w:hAnsi="Arial"/>
          </w:rPr>
          <w:t>Lei nº 4.320, de 17 de março de 1964</w:t>
        </w:r>
      </w:hyperlink>
      <w:r>
        <w:rPr>
          <w:rFonts w:cs="Arial" w:ascii="Arial" w:hAnsi="Arial"/>
        </w:rPr>
        <w:t xml:space="preserve"> – Estatui Normas Gerais de Direito Financeiro para elaboração e controle dos orçamentos e balanços da União, dos Estados, dos Municípios e do Distrito.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t xml:space="preserve">21.8. O pagamento da Nota Fiscal será efetuado em até 30 (trinta) dias após o aceite da medição/produto, de acordo com o Processo SEI de Gestão-Certificação de Documento Fiscal.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22. PENALIDADES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22.1.</w:t>
      </w:r>
      <w:r>
        <w:rPr>
          <w:rFonts w:cs="Arial" w:ascii="Arial" w:hAnsi="Arial"/>
          <w:b/>
          <w:bCs/>
        </w:rPr>
        <w:t xml:space="preserve"> </w:t>
      </w:r>
      <w:r>
        <w:rPr>
          <w:rFonts w:cs="Arial" w:ascii="Arial" w:hAnsi="Arial"/>
        </w:rPr>
        <w:t>O licitante ou o contratado será responsabilizado administrativamente pelas seguintes infrações, com aplicação das seguintes sanções:</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69" w:name="art155i"/>
      <w:bookmarkEnd w:id="69"/>
      <w:r>
        <w:rPr>
          <w:rFonts w:cs="Arial" w:ascii="Arial" w:hAnsi="Arial"/>
        </w:rPr>
        <w:t>Dar causa à inexecução parcial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0" w:name="art155ii"/>
      <w:bookmarkEnd w:id="70"/>
      <w:r>
        <w:rPr>
          <w:rFonts w:cs="Arial" w:ascii="Arial" w:hAnsi="Arial"/>
        </w:rPr>
        <w:t>Dar causa à inexecução parcial do contrato que cause grave dano à Administração, ao funcionamento dos serviços públicos ou ao interesse coletivo;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1" w:name="art155iii"/>
      <w:bookmarkEnd w:id="71"/>
      <w:r>
        <w:rPr>
          <w:rFonts w:cs="Arial" w:ascii="Arial" w:hAnsi="Arial"/>
        </w:rPr>
        <w:t>Dar causa à inexecução total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2" w:name="art155iv"/>
      <w:bookmarkEnd w:id="72"/>
      <w:r>
        <w:rPr>
          <w:rFonts w:cs="Arial" w:ascii="Arial" w:hAnsi="Arial"/>
        </w:rPr>
        <w:t>Deixar de entregar a documentação exigida para o certame;</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3" w:name="art155v"/>
      <w:bookmarkEnd w:id="73"/>
      <w:r>
        <w:rPr>
          <w:rFonts w:cs="Arial" w:ascii="Arial" w:hAnsi="Arial"/>
        </w:rPr>
        <w:t>Não manter a proposta, salvo em decorrência de fato superveniente devidamente justificado;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4" w:name="art155vi"/>
      <w:bookmarkEnd w:id="74"/>
      <w:r>
        <w:rPr>
          <w:rFonts w:cs="Arial" w:ascii="Arial" w:hAnsi="Arial"/>
        </w:rPr>
        <w:t>Não celebrar o contrato ou não entregar a documentação exigida para a contratação, quando convocado dentro do prazo de validade de sua proposta;</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5" w:name="art155vii"/>
      <w:bookmarkEnd w:id="75"/>
      <w:r>
        <w:rPr>
          <w:rFonts w:cs="Arial" w:ascii="Arial" w:hAnsi="Arial"/>
        </w:rPr>
        <w:t>Ensejar o retardamento da execução ou da entrega do objeto da licitação sem motivo justificado;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6" w:name="art155viii"/>
      <w:bookmarkEnd w:id="76"/>
      <w:r>
        <w:rPr>
          <w:rFonts w:cs="Arial" w:ascii="Arial" w:hAnsi="Arial"/>
        </w:rPr>
        <w:t>Apresentar declaração ou documentação falsa exigida para o certame ou prestar declaração falsa durante a licitação ou a execução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7" w:name="art155ix"/>
      <w:bookmarkEnd w:id="77"/>
      <w:r>
        <w:rPr>
          <w:rFonts w:cs="Arial" w:ascii="Arial" w:hAnsi="Arial"/>
        </w:rPr>
        <w:t>Fraudar a licitação ou praticar ato fraudulento na execução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8" w:name="art155x"/>
      <w:bookmarkEnd w:id="78"/>
      <w:r>
        <w:rPr>
          <w:rFonts w:cs="Arial" w:ascii="Arial" w:hAnsi="Arial"/>
        </w:rPr>
        <w:t>Comportar-se de modo inidôneo ou cometer fraude de qualquer natureza;</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79" w:name="art155xi"/>
      <w:bookmarkEnd w:id="79"/>
      <w:r>
        <w:rPr>
          <w:rFonts w:cs="Arial" w:ascii="Arial" w:hAnsi="Arial"/>
        </w:rPr>
        <w:t>Praticar atos ilícitos com vistas a frustrar os objetivos da licitação;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bookmarkStart w:id="80" w:name="art155xii"/>
      <w:bookmarkEnd w:id="80"/>
      <w:r>
        <w:rPr>
          <w:rFonts w:cs="Arial" w:ascii="Arial" w:hAnsi="Arial"/>
        </w:rPr>
        <w:t xml:space="preserve">Praticar ato lesivo previsto no art. 5º da </w:t>
      </w:r>
      <w:hyperlink r:id="rId21">
        <w:r>
          <w:rPr>
            <w:rStyle w:val="LinkdaInternet"/>
            <w:rFonts w:cs="Arial" w:ascii="Arial" w:hAnsi="Arial"/>
          </w:rPr>
          <w:t>Lei nº 12.846, de 1º de agosto de 2013</w:t>
        </w:r>
      </w:hyperlink>
      <w:r>
        <w:rPr>
          <w:rFonts w:cs="Arial" w:ascii="Arial" w:hAnsi="Arial"/>
        </w:rPr>
        <w:t xml:space="preserve"> – Dispõe sobre a responsabilização administrativa e civil de pessoas jurídicas pela prática de atos contra a administração pública, nacional ou estrangeira, e dá outras providências.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bookmarkStart w:id="81" w:name="art156"/>
      <w:bookmarkStart w:id="82" w:name="art156"/>
      <w:bookmarkEnd w:id="82"/>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22.2.</w:t>
      </w:r>
      <w:r>
        <w:rPr>
          <w:rFonts w:cs="Arial" w:ascii="Arial" w:hAnsi="Arial"/>
        </w:rPr>
        <w:t xml:space="preserve"> Serão aplicadas as seguintes sanções às penalidades acima indicadas:</w:t>
      </w:r>
    </w:p>
    <w:tbl>
      <w:tblPr>
        <w:tblStyle w:val="Tabelacomgrade"/>
        <w:tblW w:w="8500"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561"/>
        <w:gridCol w:w="3687"/>
        <w:gridCol w:w="4252"/>
      </w:tblGrid>
      <w:tr>
        <w:trPr/>
        <w:tc>
          <w:tcPr>
            <w:tcW w:w="561" w:type="dxa"/>
            <w:tcBorders/>
          </w:tcPr>
          <w:p>
            <w:pPr>
              <w:pStyle w:val="ListParagraph"/>
              <w:widowControl w:val="false"/>
              <w:numPr>
                <w:ilvl w:val="0"/>
                <w:numId w:val="33"/>
              </w:numPr>
              <w:suppressAutoHyphens w:val="true"/>
              <w:spacing w:lineRule="auto" w:line="240" w:before="0" w:after="0"/>
              <w:ind w:left="299" w:hanging="345"/>
              <w:contextualSpacing/>
              <w:jc w:val="both"/>
              <w:rPr>
                <w:rFonts w:ascii="Arial" w:hAnsi="Arial" w:cs="Arial"/>
              </w:rPr>
            </w:pPr>
            <w:r>
              <w:rPr>
                <w:rFonts w:cs="Arial" w:ascii="Arial" w:hAnsi="Arial"/>
              </w:rPr>
            </w:r>
          </w:p>
        </w:tc>
        <w:tc>
          <w:tcPr>
            <w:tcW w:w="3687"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Advertência (art. 156, § 2º).</w:t>
            </w:r>
          </w:p>
        </w:tc>
        <w:tc>
          <w:tcPr>
            <w:tcW w:w="4252"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cs="Arial" w:ascii="Arial" w:hAnsi="Arial"/>
                <w:sz w:val="22"/>
              </w:rPr>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Obs. 1: Quando não se justificar a imposição de penalidade mais grave</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Obs. 2: Pode ser aplicada cumulativamente com multa (art. 156, § 7º).</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cs="Arial" w:ascii="Arial" w:hAnsi="Arial"/>
                <w:sz w:val="22"/>
              </w:rPr>
            </w:r>
          </w:p>
        </w:tc>
      </w:tr>
      <w:tr>
        <w:trPr/>
        <w:tc>
          <w:tcPr>
            <w:tcW w:w="561" w:type="dxa"/>
            <w:tcBorders/>
          </w:tcPr>
          <w:p>
            <w:pPr>
              <w:pStyle w:val="ListParagraph"/>
              <w:widowControl w:val="false"/>
              <w:numPr>
                <w:ilvl w:val="0"/>
                <w:numId w:val="33"/>
              </w:numPr>
              <w:suppressAutoHyphens w:val="true"/>
              <w:spacing w:lineRule="auto" w:line="240" w:before="0" w:after="0"/>
              <w:ind w:left="299" w:hanging="345"/>
              <w:contextualSpacing/>
              <w:jc w:val="both"/>
              <w:rPr>
                <w:rFonts w:ascii="Arial" w:hAnsi="Arial" w:cs="Arial"/>
              </w:rPr>
            </w:pPr>
            <w:r>
              <w:rPr>
                <w:rFonts w:cs="Arial" w:ascii="Arial" w:hAnsi="Arial"/>
              </w:rPr>
            </w:r>
          </w:p>
        </w:tc>
        <w:tc>
          <w:tcPr>
            <w:tcW w:w="3687"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 xml:space="preserve">Multa de </w:t>
            </w:r>
            <w:r>
              <w:rPr>
                <w:rFonts w:eastAsia="Calibri" w:cs="Arial" w:ascii="Arial" w:hAnsi="Arial"/>
                <w:color w:val="000000"/>
                <w:kern w:val="0"/>
                <w:sz w:val="22"/>
                <w:szCs w:val="22"/>
                <w:lang w:val="pt-BR" w:eastAsia="en-US" w:bidi="ar-SA"/>
              </w:rPr>
              <w:t>10%.</w:t>
            </w:r>
          </w:p>
        </w:tc>
        <w:tc>
          <w:tcPr>
            <w:tcW w:w="4252"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Qualquer infração (art. 156, § 3º).</w:t>
            </w:r>
          </w:p>
        </w:tc>
      </w:tr>
      <w:tr>
        <w:trPr/>
        <w:tc>
          <w:tcPr>
            <w:tcW w:w="561" w:type="dxa"/>
            <w:tcBorders/>
          </w:tcPr>
          <w:p>
            <w:pPr>
              <w:pStyle w:val="ListParagraph"/>
              <w:widowControl w:val="false"/>
              <w:numPr>
                <w:ilvl w:val="0"/>
                <w:numId w:val="33"/>
              </w:numPr>
              <w:suppressAutoHyphens w:val="true"/>
              <w:spacing w:lineRule="auto" w:line="240" w:before="0" w:after="0"/>
              <w:ind w:left="299" w:hanging="345"/>
              <w:contextualSpacing/>
              <w:jc w:val="both"/>
              <w:rPr>
                <w:rFonts w:ascii="Arial" w:hAnsi="Arial" w:cs="Arial"/>
              </w:rPr>
            </w:pPr>
            <w:r>
              <w:rPr>
                <w:rFonts w:cs="Arial" w:ascii="Arial" w:hAnsi="Arial"/>
              </w:rPr>
            </w:r>
          </w:p>
        </w:tc>
        <w:tc>
          <w:tcPr>
            <w:tcW w:w="3687"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 xml:space="preserve">Impedimento de licitar e contratar no âmbito da Administração Pública direta e indireta do Município de </w:t>
            </w:r>
            <w:r>
              <w:rPr>
                <w:rFonts w:eastAsia="Calibri" w:cs="Arial" w:ascii="Arial" w:hAnsi="Arial"/>
                <w:color w:val="000000"/>
                <w:kern w:val="0"/>
                <w:sz w:val="22"/>
                <w:szCs w:val="22"/>
                <w:lang w:val="pt-BR" w:eastAsia="en-US" w:bidi="ar-SA"/>
              </w:rPr>
              <w:t>Itá-SC</w:t>
            </w:r>
            <w:r>
              <w:rPr>
                <w:rFonts w:eastAsia="Calibri" w:cs="Arial" w:ascii="Arial" w:hAnsi="Arial"/>
                <w:kern w:val="0"/>
                <w:sz w:val="22"/>
                <w:szCs w:val="22"/>
                <w:lang w:val="pt-BR" w:eastAsia="en-US" w:bidi="ar-SA"/>
              </w:rPr>
              <w:t>, pelo prazo máximo de 3 (três) anos (art. 156, § 4º).</w:t>
            </w:r>
          </w:p>
        </w:tc>
        <w:tc>
          <w:tcPr>
            <w:tcW w:w="4252"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II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III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IV</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V</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VI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VII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cs="Arial" w:ascii="Arial" w:hAnsi="Arial"/>
                <w:sz w:val="22"/>
              </w:rPr>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Obs. 1: Quando não se justificar a imposição de penalidade mais grave.</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Obs. 2: Pode ser aplicada cumulativamente com multa (art. 156, § 7º).</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cs="Arial" w:ascii="Arial" w:hAnsi="Arial"/>
                <w:sz w:val="22"/>
              </w:rPr>
            </w:r>
          </w:p>
        </w:tc>
      </w:tr>
      <w:tr>
        <w:trPr/>
        <w:tc>
          <w:tcPr>
            <w:tcW w:w="561" w:type="dxa"/>
            <w:tcBorders/>
          </w:tcPr>
          <w:p>
            <w:pPr>
              <w:pStyle w:val="ListParagraph"/>
              <w:widowControl w:val="false"/>
              <w:numPr>
                <w:ilvl w:val="0"/>
                <w:numId w:val="33"/>
              </w:numPr>
              <w:suppressAutoHyphens w:val="true"/>
              <w:spacing w:lineRule="auto" w:line="240" w:before="0" w:after="0"/>
              <w:ind w:left="299" w:hanging="345"/>
              <w:contextualSpacing/>
              <w:jc w:val="both"/>
              <w:rPr>
                <w:rFonts w:ascii="Arial" w:hAnsi="Arial" w:cs="Arial"/>
              </w:rPr>
            </w:pPr>
            <w:r>
              <w:rPr>
                <w:rFonts w:cs="Arial" w:ascii="Arial" w:hAnsi="Arial"/>
              </w:rPr>
            </w:r>
          </w:p>
        </w:tc>
        <w:tc>
          <w:tcPr>
            <w:tcW w:w="3687"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Declaração de inidoneidade para licitar ou contratar no âmbito da Administração Pública direta e indireta de todos os entes federativos, pelo prazo mínimo de 3 (três) anos e máximo de 6 (seis) anos (art. 156, § 5º).</w:t>
            </w:r>
          </w:p>
        </w:tc>
        <w:tc>
          <w:tcPr>
            <w:tcW w:w="4252" w:type="dxa"/>
            <w:tcBorders/>
          </w:tcPr>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VIII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IX</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X</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XI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XII</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cs="Arial" w:ascii="Arial" w:hAnsi="Arial"/>
                <w:sz w:val="22"/>
              </w:rPr>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Obs. 1: Pode ser aplicada cumulativamente com multa (art. 156, § 7º).</w:t>
            </w:r>
          </w:p>
          <w:p>
            <w:pPr>
              <w:pStyle w:val="Normal"/>
              <w:widowControl w:val="false"/>
              <w:tabs>
                <w:tab w:val="clear" w:pos="708"/>
                <w:tab w:val="left" w:pos="1134" w:leader="none"/>
              </w:tabs>
              <w:suppressAutoHyphens w:val="true"/>
              <w:spacing w:lineRule="auto" w:line="240" w:before="0" w:after="0"/>
              <w:jc w:val="both"/>
              <w:rPr>
                <w:rFonts w:ascii="Arial" w:hAnsi="Arial" w:cs="Arial"/>
              </w:rPr>
            </w:pPr>
            <w:r>
              <w:rPr>
                <w:rFonts w:cs="Arial" w:ascii="Arial" w:hAnsi="Arial"/>
                <w:sz w:val="22"/>
              </w:rPr>
            </w:r>
          </w:p>
        </w:tc>
      </w:tr>
    </w:tbl>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22.3.</w:t>
      </w:r>
      <w:r>
        <w:rPr>
          <w:rFonts w:cs="Arial" w:ascii="Arial" w:hAnsi="Arial"/>
        </w:rPr>
        <w:t xml:space="preserve"> Na aplicação das sanções serão considerados:</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natureza e a gravidade da infração cometida;</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 peculiaridades do caso concreto;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 circunstâncias agravantes ou atenuantes;</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Os danos que dela provierem para a Administração Pública;</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implantação ou o aperfeiçoamento de programa de integridade, conforme normas e orientações dos órgãos de controle.</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22.4.</w:t>
      </w:r>
      <w:r>
        <w:rPr>
          <w:rFonts w:cs="Arial" w:ascii="Arial" w:hAnsi="Arial"/>
        </w:rPr>
        <w:t xml:space="preserve"> Para aplicação das sanções:</w:t>
      </w:r>
    </w:p>
    <w:p>
      <w:pPr>
        <w:pStyle w:val="ListParagraph"/>
        <w:numPr>
          <w:ilvl w:val="0"/>
          <w:numId w:val="3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Inciso II do item 22.1: será facultada a defesa do interessado no prazo de 15 (quinze) dias úteis, contado da data de sua intimação;</w:t>
      </w:r>
    </w:p>
    <w:p>
      <w:pPr>
        <w:pStyle w:val="ListParagraph"/>
        <w:numPr>
          <w:ilvl w:val="0"/>
          <w:numId w:val="3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 xml:space="preserve">Incisos III e IV do item 22.1: </w:t>
      </w:r>
    </w:p>
    <w:p>
      <w:pPr>
        <w:pStyle w:val="ListParagraph"/>
        <w:numPr>
          <w:ilvl w:val="1"/>
          <w:numId w:val="34"/>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Instauração de processo de responsabilização, a ser conduzido por comissão composta de 2 (dois) ou mais servidores estáveis, que avaliará fatos e circunstâncias conhecidos;</w:t>
      </w:r>
    </w:p>
    <w:p>
      <w:pPr>
        <w:pStyle w:val="ListParagraph"/>
        <w:numPr>
          <w:ilvl w:val="1"/>
          <w:numId w:val="34"/>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O licitante ou o contratado será intimada para, no prazo de 15 (quinze) dias úteis, contado da data de intimação, apresentar defesa escrita e especificar as provas que pretenda produzir;</w:t>
      </w:r>
    </w:p>
    <w:p>
      <w:pPr>
        <w:pStyle w:val="ListParagraph"/>
        <w:numPr>
          <w:ilvl w:val="1"/>
          <w:numId w:val="34"/>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ListParagraph"/>
        <w:numPr>
          <w:ilvl w:val="1"/>
          <w:numId w:val="34"/>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Serão indeferidas pela comissão, mediante decisão fundamentada, provas ilícitas, impertinentes, desnecessárias, protelatórias ou intempestivas;</w:t>
      </w:r>
    </w:p>
    <w:p>
      <w:pPr>
        <w:pStyle w:val="ListParagraph"/>
        <w:numPr>
          <w:ilvl w:val="1"/>
          <w:numId w:val="34"/>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A sanção prevista no inciso IV do item 23.1 será precedida de análise jurídica e será de competência exclusiva de secretário municipal;</w:t>
      </w:r>
    </w:p>
    <w:p>
      <w:pPr>
        <w:pStyle w:val="ListParagraph"/>
        <w:numPr>
          <w:ilvl w:val="1"/>
          <w:numId w:val="34"/>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A prescrição ocorrerá em 5 (cinco) anos, contados da ciência da infração pela Administração Pública Municipal, e será:</w:t>
      </w:r>
    </w:p>
    <w:p>
      <w:pPr>
        <w:pStyle w:val="ListParagraph"/>
        <w:numPr>
          <w:ilvl w:val="2"/>
          <w:numId w:val="34"/>
        </w:numPr>
        <w:tabs>
          <w:tab w:val="clear" w:pos="708"/>
          <w:tab w:val="left" w:pos="2268" w:leader="none"/>
        </w:tabs>
        <w:spacing w:lineRule="auto" w:line="240" w:before="0" w:after="0"/>
        <w:ind w:left="1418" w:firstLine="284"/>
        <w:contextualSpacing/>
        <w:jc w:val="both"/>
        <w:rPr>
          <w:rFonts w:ascii="Arial" w:hAnsi="Arial" w:cs="Arial"/>
        </w:rPr>
      </w:pPr>
      <w:r>
        <w:rPr>
          <w:rFonts w:cs="Arial" w:ascii="Arial" w:hAnsi="Arial"/>
        </w:rPr>
        <w:t>Interrompida pela instauração do processo de responsabilização a que se refere este item;</w:t>
      </w:r>
    </w:p>
    <w:p>
      <w:pPr>
        <w:pStyle w:val="ListParagraph"/>
        <w:numPr>
          <w:ilvl w:val="2"/>
          <w:numId w:val="34"/>
        </w:numPr>
        <w:tabs>
          <w:tab w:val="clear" w:pos="708"/>
          <w:tab w:val="left" w:pos="2268" w:leader="none"/>
        </w:tabs>
        <w:spacing w:lineRule="auto" w:line="240" w:before="0" w:after="0"/>
        <w:ind w:left="1418" w:firstLine="284"/>
        <w:contextualSpacing/>
        <w:jc w:val="both"/>
        <w:rPr>
          <w:rFonts w:ascii="Arial" w:hAnsi="Arial" w:cs="Arial"/>
        </w:rPr>
      </w:pPr>
      <w:r>
        <w:rPr>
          <w:rFonts w:cs="Arial" w:ascii="Arial" w:hAnsi="Arial"/>
        </w:rPr>
        <w:t xml:space="preserve">Suspensa pela celebração de acordo de leniência previsto na </w:t>
      </w:r>
      <w:hyperlink r:id="rId22">
        <w:r>
          <w:rPr>
            <w:rStyle w:val="LinkdaInternet"/>
            <w:rFonts w:cs="Arial" w:ascii="Arial" w:hAnsi="Arial"/>
          </w:rPr>
          <w:t>Lei nº 12.846, de 1º de agosto de 2013</w:t>
        </w:r>
      </w:hyperlink>
      <w:r>
        <w:rPr>
          <w:rFonts w:cs="Arial" w:ascii="Arial" w:hAnsi="Arial"/>
        </w:rPr>
        <w:t xml:space="preserve"> – Dispõe sobre a responsabilização administrativa e civil de pessoas jurídicas pela prática de atos contra a administração pública, nacional ou estrangeira, e dá outras providências; </w:t>
      </w:r>
    </w:p>
    <w:p>
      <w:pPr>
        <w:pStyle w:val="ListParagraph"/>
        <w:numPr>
          <w:ilvl w:val="2"/>
          <w:numId w:val="34"/>
        </w:numPr>
        <w:tabs>
          <w:tab w:val="clear" w:pos="708"/>
          <w:tab w:val="left" w:pos="2268" w:leader="none"/>
        </w:tabs>
        <w:spacing w:lineRule="auto" w:line="240" w:before="0" w:after="0"/>
        <w:ind w:left="1418" w:firstLine="284"/>
        <w:contextualSpacing/>
        <w:jc w:val="both"/>
        <w:rPr>
          <w:rFonts w:ascii="Arial" w:hAnsi="Arial" w:cs="Arial"/>
        </w:rPr>
      </w:pPr>
      <w:r>
        <w:rPr>
          <w:rFonts w:cs="Arial" w:ascii="Arial" w:hAnsi="Arial"/>
        </w:rPr>
        <w:t>Suspensa por decisão judicial que inviabilize a conclusão da apuração administrativa.</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22.5.</w:t>
      </w:r>
      <w:r>
        <w:rPr>
          <w:rFonts w:cs="Arial" w:ascii="Arial" w:hAnsi="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22.6.</w:t>
      </w:r>
      <w:r>
        <w:rPr>
          <w:rFonts w:cs="Arial" w:ascii="Arial" w:hAnsi="Arial"/>
        </w:rPr>
        <w:t xml:space="preserve"> A aplicação das sanções não exclui, em hipótese alguma, a obrigação de reparação integral do dano causado à Administração Pública Municipal.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bookmarkStart w:id="83" w:name="art157"/>
      <w:bookmarkEnd w:id="83"/>
      <w:r>
        <w:rPr>
          <w:rFonts w:cs="Arial" w:ascii="Arial" w:hAnsi="Arial"/>
          <w:bCs/>
        </w:rPr>
        <w:t>22.7.</w:t>
      </w:r>
      <w:r>
        <w:rPr>
          <w:rFonts w:cs="Arial" w:ascii="Arial" w:hAnsi="Arial"/>
          <w:b/>
        </w:rPr>
        <w:t xml:space="preserve"> </w:t>
      </w:r>
      <w:bookmarkStart w:id="84" w:name="art159"/>
      <w:bookmarkStart w:id="85" w:name="art158§4"/>
      <w:bookmarkStart w:id="86" w:name="art158§3"/>
      <w:bookmarkStart w:id="87" w:name="art158§2"/>
      <w:bookmarkStart w:id="88" w:name="art158§1"/>
      <w:bookmarkStart w:id="89" w:name="art158"/>
      <w:bookmarkEnd w:id="84"/>
      <w:bookmarkEnd w:id="85"/>
      <w:bookmarkEnd w:id="86"/>
      <w:bookmarkEnd w:id="87"/>
      <w:bookmarkEnd w:id="88"/>
      <w:bookmarkEnd w:id="89"/>
      <w:r>
        <w:rPr>
          <w:rFonts w:cs="Arial" w:ascii="Arial" w:hAnsi="Arial"/>
        </w:rPr>
        <w:t>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bookmarkStart w:id="90" w:name="art160"/>
      <w:bookmarkStart w:id="91" w:name="art159p"/>
      <w:bookmarkEnd w:id="90"/>
      <w:bookmarkEnd w:id="91"/>
      <w:r>
        <w:rPr>
          <w:rFonts w:cs="Arial" w:ascii="Arial" w:hAnsi="Arial"/>
          <w:bCs/>
        </w:rPr>
        <w:t>22.8.</w:t>
      </w:r>
      <w:r>
        <w:rPr>
          <w:rFonts w:cs="Arial" w:ascii="Arial" w:hAnsi="Arial"/>
          <w:b/>
        </w:rPr>
        <w:t xml:space="preserve"> </w:t>
      </w:r>
      <w:r>
        <w:rPr>
          <w:rFonts w:cs="Arial" w:ascii="Arial" w:hAnsi="Arial"/>
        </w:rPr>
        <w:t>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bookmarkStart w:id="92" w:name="art161"/>
      <w:bookmarkEnd w:id="92"/>
      <w:r>
        <w:rPr>
          <w:rFonts w:cs="Arial" w:ascii="Arial" w:hAnsi="Arial"/>
          <w:bCs/>
        </w:rPr>
        <w:t>22.9.</w:t>
      </w:r>
      <w:r>
        <w:rPr>
          <w:rFonts w:cs="Arial" w:ascii="Arial" w:hAnsi="Arial"/>
        </w:rPr>
        <w:t xml:space="preserve">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(CEIS) e no Cadastro Nacional de Empresas Punidas (CNEP), instituídos no âmbito do Poder Executivo federal.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bCs/>
          <w:color w:val="000000"/>
        </w:rPr>
        <w:t>22.10.</w:t>
      </w:r>
      <w:r>
        <w:rPr>
          <w:rFonts w:cs="Arial" w:ascii="Arial" w:hAnsi="Arial"/>
          <w:color w:val="000000"/>
        </w:rPr>
        <w:t xml:space="preserve"> O atraso injustificado na execução do contrato sujeitará o contratado a multa de mora, na forma prevista no inciso II do item 22.2.</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rFonts w:ascii="Arial" w:hAnsi="Arial" w:cs="Arial"/>
        </w:rPr>
      </w:pPr>
      <w:bookmarkStart w:id="93" w:name="art162p"/>
      <w:bookmarkEnd w:id="93"/>
      <w:r>
        <w:rPr>
          <w:rFonts w:cs="Arial" w:ascii="Arial" w:hAnsi="Arial"/>
          <w:bCs/>
        </w:rPr>
        <w:t>22.11.</w:t>
      </w:r>
      <w:r>
        <w:rPr>
          <w:rFonts w:cs="Arial" w:ascii="Arial" w:hAnsi="Arial"/>
        </w:rPr>
        <w:t xml:space="preserve"> A aplicação de multa de mora não impedirá que a Administração a converta em compensatória e promova a extinção unilateral do contrato com a aplicação cumulada de outras sanções previstas na Lei nº 14.133/2021.</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rFonts w:ascii="Arial" w:hAnsi="Arial" w:cs="Arial"/>
        </w:rPr>
      </w:pPr>
      <w:bookmarkStart w:id="94" w:name="art163"/>
      <w:bookmarkEnd w:id="94"/>
      <w:r>
        <w:rPr>
          <w:rFonts w:cs="Arial" w:ascii="Arial" w:hAnsi="Arial"/>
          <w:bCs/>
        </w:rPr>
        <w:t>22.12.</w:t>
      </w:r>
      <w:r>
        <w:rPr>
          <w:rFonts w:cs="Arial" w:ascii="Arial" w:hAnsi="Arial"/>
        </w:rPr>
        <w:t xml:space="preserve"> É admitida a reabilitação do licitante ou contratado perante o Município de </w:t>
      </w:r>
      <w:r>
        <w:rPr>
          <w:rFonts w:eastAsia="Calibri" w:cs="Arial" w:ascii="Arial" w:hAnsi="Arial"/>
          <w:color w:val="000000"/>
        </w:rPr>
        <w:t>Itá-SC</w:t>
      </w:r>
      <w:r>
        <w:rPr>
          <w:rFonts w:cs="Arial" w:ascii="Arial" w:hAnsi="Arial"/>
        </w:rPr>
        <w:t>, exigidos, cumulativamente.</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bookmarkStart w:id="95" w:name="art163i"/>
      <w:bookmarkEnd w:id="95"/>
      <w:r>
        <w:rPr>
          <w:rFonts w:cs="Arial" w:ascii="Arial" w:hAnsi="Arial"/>
        </w:rPr>
        <w:t>Reparação integral do dano causado à Administração Pública Municipal;</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bookmarkStart w:id="96" w:name="art163ii"/>
      <w:bookmarkEnd w:id="96"/>
      <w:r>
        <w:rPr>
          <w:rFonts w:cs="Arial" w:ascii="Arial" w:hAnsi="Arial"/>
        </w:rPr>
        <w:t>Pagamento da multa;</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bookmarkStart w:id="97" w:name="art163iii"/>
      <w:bookmarkEnd w:id="97"/>
      <w:r>
        <w:rPr>
          <w:rFonts w:cs="Arial" w:ascii="Arial" w:hAnsi="Arial"/>
        </w:rPr>
        <w:t>Transcurso do prazo mínimo de 01 (um) ano da aplicação da penalidade, no caso de impedimento de licitar e contratar, ou de 03 (três) anos da aplicação da penalidade, no caso de declaração de inidoneidade;</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bookmarkStart w:id="98" w:name="art163iv"/>
      <w:bookmarkEnd w:id="98"/>
      <w:r>
        <w:rPr>
          <w:rFonts w:cs="Arial" w:ascii="Arial" w:hAnsi="Arial"/>
        </w:rPr>
        <w:t>Cumprimento das condições de reabilitação definidas no ato punitivo;</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bookmarkStart w:id="99" w:name="art163v"/>
      <w:bookmarkEnd w:id="99"/>
      <w:r>
        <w:rPr>
          <w:rFonts w:cs="Arial" w:ascii="Arial" w:hAnsi="Arial"/>
        </w:rPr>
        <w:t>Análise jurídica prévia, com posicionamento conclusivo quanto ao cumprimento dos requisitos definidos neste item.</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bookmarkStart w:id="100" w:name="art163p"/>
      <w:bookmarkStart w:id="101" w:name="art163p"/>
      <w:bookmarkEnd w:id="101"/>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22.12.1.</w:t>
      </w:r>
      <w:r>
        <w:rPr>
          <w:rFonts w:cs="Arial" w:ascii="Arial" w:hAnsi="Arial"/>
        </w:rPr>
        <w:t xml:space="preserve"> A sanção pelas infrações previstas nos incisos VIII (</w:t>
      </w:r>
      <w:r>
        <w:rPr>
          <w:rFonts w:cs="Arial" w:ascii="Arial" w:hAnsi="Arial"/>
          <w:i/>
        </w:rPr>
        <w:t>Apresentar declaração ou documentação falsa exigida para o certame ou prestar declaração falsa durante a licitação ou a execução do contrato</w:t>
      </w:r>
      <w:r>
        <w:rPr>
          <w:rFonts w:cs="Arial" w:ascii="Arial" w:hAnsi="Arial"/>
        </w:rPr>
        <w:t>) e XII (</w:t>
      </w:r>
      <w:r>
        <w:rPr>
          <w:rFonts w:cs="Arial" w:ascii="Arial" w:hAnsi="Arial"/>
          <w:i/>
        </w:rPr>
        <w:t>Praticar ato lesivo previsto no art. 5º da Lei nº 12.846, de 1º de agosto de 2013</w:t>
      </w:r>
      <w:r>
        <w:rPr>
          <w:rFonts w:cs="Arial" w:ascii="Arial" w:hAnsi="Arial"/>
        </w:rPr>
        <w:t xml:space="preserve">) do </w:t>
      </w:r>
      <w:r>
        <w:rPr>
          <w:rFonts w:cs="Arial" w:ascii="Arial" w:hAnsi="Arial"/>
          <w:bCs/>
          <w:i/>
        </w:rPr>
        <w:t xml:space="preserve">caput </w:t>
      </w:r>
      <w:r>
        <w:rPr>
          <w:rFonts w:cs="Arial" w:ascii="Arial" w:hAnsi="Arial"/>
        </w:rPr>
        <w:t>do item 22.1 exigirá, como condição de reabilitação do licitante ou contratado, a implantação ou aperfeiçoamento de programa de integridade pelo responsável.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shd w:val="clear" w:color="auto" w:fill="AEAAAA" w:themeFill="background2" w:themeFillShade="bf"/>
        <w:tabs>
          <w:tab w:val="clear" w:pos="708"/>
          <w:tab w:val="left" w:pos="567" w:leader="none"/>
        </w:tabs>
        <w:spacing w:lineRule="auto" w:line="240" w:before="0" w:after="0"/>
        <w:jc w:val="both"/>
        <w:rPr>
          <w:rFonts w:ascii="Arial" w:hAnsi="Arial" w:cs="Arial"/>
          <w:b/>
          <w:b/>
          <w:iCs/>
        </w:rPr>
      </w:pPr>
      <w:r>
        <w:rPr>
          <w:rFonts w:cs="Arial" w:ascii="Arial" w:hAnsi="Arial"/>
          <w:b/>
          <w:iCs/>
        </w:rPr>
        <w:t>23. DISPOSIÇÕES FINAIS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23.1.</w:t>
      </w:r>
      <w:r>
        <w:rPr>
          <w:rFonts w:cs="Arial" w:ascii="Arial" w:hAnsi="Arial"/>
        </w:rPr>
        <w:t xml:space="preserve"> É facultado ao </w:t>
      </w:r>
      <w:r>
        <w:rPr>
          <w:rFonts w:cs="Arial" w:ascii="Arial" w:hAnsi="Arial"/>
          <w:b/>
        </w:rPr>
        <w:t>pregoeiro</w:t>
      </w:r>
      <w:r>
        <w:rPr>
          <w:rFonts w:cs="Arial" w:ascii="Arial" w:hAnsi="Arial"/>
        </w:rPr>
        <w:t xml:space="preserve"> ou ao Prefeito Municipal/Gestor(a) do Fundo Municipal de Saúde, em qualquer fase deste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habilitação. </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23.2.</w:t>
      </w:r>
      <w:r>
        <w:rPr>
          <w:rFonts w:cs="Arial" w:ascii="Arial" w:hAnsi="Arial"/>
          <w:b/>
        </w:rPr>
        <w:t xml:space="preserve"> </w:t>
      </w:r>
      <w:r>
        <w:rPr>
          <w:rFonts w:cs="Arial" w:ascii="Arial" w:hAnsi="Arial"/>
        </w:rPr>
        <w:t xml:space="preserve">Caso os prazos definidos neste edital não estejam expressamente indicados na proposta, eles serão considerados como aceitos pelos licitantes para efeitos de julgamento deste processo licitatório. </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23.3.</w:t>
      </w:r>
      <w:r>
        <w:rPr>
          <w:rFonts w:cs="Arial" w:ascii="Arial" w:hAnsi="Arial"/>
        </w:rPr>
        <w:t xml:space="preserve"> Só se iniciam e vencem os prazos referidos nesta licitação em dia de expediente no Município de </w:t>
      </w:r>
      <w:r>
        <w:rPr>
          <w:rFonts w:eastAsia="Calibri" w:cs="Arial" w:ascii="Arial" w:hAnsi="Arial"/>
          <w:color w:val="000000"/>
        </w:rPr>
        <w:t>Itá-SC</w:t>
      </w:r>
      <w:r>
        <w:rPr>
          <w:rFonts w:cs="Arial" w:ascii="Arial" w:hAnsi="Arial"/>
        </w:rPr>
        <w:t>, portanto serão prorrogados até o próximo dia útil os prazos que vencerem durante o recesso municipal.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23.4.</w:t>
      </w:r>
      <w:r>
        <w:rPr>
          <w:rFonts w:cs="Arial" w:ascii="Arial" w:hAnsi="Arial"/>
        </w:rPr>
        <w:t xml:space="preserve"> Para fins de garantir a ampla publicidade, este edital será divulgado:</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Portal Nacional de Contratações Públicas – PNCP, a partir da adoção pelo Município;</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color w:val="000000"/>
        </w:rPr>
      </w:pPr>
      <w:r>
        <w:rPr>
          <w:rFonts w:cs="Arial" w:ascii="Arial" w:hAnsi="Arial"/>
          <w:color w:val="000000"/>
        </w:rPr>
        <w:t xml:space="preserve">Página do Município de </w:t>
      </w:r>
      <w:r>
        <w:rPr>
          <w:rFonts w:eastAsia="Calibri" w:cs="Arial" w:ascii="Arial" w:hAnsi="Arial"/>
          <w:color w:val="000000"/>
        </w:rPr>
        <w:t>Itá-SC</w:t>
      </w:r>
      <w:r>
        <w:rPr>
          <w:rFonts w:cs="Arial" w:ascii="Arial" w:hAnsi="Arial"/>
          <w:color w:val="000000"/>
        </w:rPr>
        <w:t xml:space="preserve"> (</w:t>
      </w:r>
      <w:r>
        <w:rPr>
          <w:rFonts w:eastAsia="Calibri" w:cs="Arial" w:ascii="Arial" w:hAnsi="Arial"/>
          <w:color w:val="000000"/>
        </w:rPr>
        <w:t>ita.atende.net</w:t>
      </w:r>
      <w:r>
        <w:rPr>
          <w:rFonts w:cs="Arial" w:ascii="Arial" w:hAnsi="Arial"/>
          <w:color w:val="000000"/>
        </w:rPr>
        <w:t>);</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color w:val="000000" w:themeColor="text1"/>
        </w:rPr>
        <w:t>Diário Oficial dos Municípios – DOM;</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color w:val="000000"/>
        </w:rPr>
        <w:t xml:space="preserve">Plataforma </w:t>
      </w:r>
      <w:hyperlink r:id="rId23">
        <w:r>
          <w:rPr>
            <w:rStyle w:val="LinkdaInternet"/>
            <w:rFonts w:cs="Arial" w:ascii="Arial" w:hAnsi="Arial"/>
          </w:rPr>
          <w:t>www.comprasgovernamentais.gov.br</w:t>
        </w:r>
      </w:hyperlink>
      <w:r>
        <w:rPr>
          <w:rFonts w:cs="Arial" w:ascii="Arial" w:hAnsi="Arial"/>
        </w:rPr>
        <w:t>;</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color w:val="000000" w:themeColor="text1"/>
        </w:rPr>
      </w:pPr>
      <w:r>
        <w:rPr>
          <w:rFonts w:cs="Arial" w:ascii="Arial" w:hAnsi="Arial"/>
          <w:color w:val="000000" w:themeColor="text1"/>
        </w:rPr>
        <w:t>Jornal diário de grande circulação local.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23.5.</w:t>
      </w:r>
      <w:r>
        <w:rPr>
          <w:rFonts w:cs="Arial" w:ascii="Arial" w:hAnsi="Arial"/>
          <w:b/>
        </w:rPr>
        <w:t xml:space="preserve"> </w:t>
      </w:r>
      <w:r>
        <w:rPr>
          <w:rFonts w:cs="Arial" w:ascii="Arial" w:hAnsi="Arial"/>
        </w:rPr>
        <w:t xml:space="preserve">São anexos deste edital: </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I)</w:t>
      </w:r>
      <w:r>
        <w:rPr>
          <w:rFonts w:cs="Arial" w:ascii="Arial" w:hAnsi="Arial"/>
        </w:rPr>
        <w:tab/>
        <w:t>Estudo Técnico Preliminar – ETP</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II)</w:t>
      </w:r>
      <w:r>
        <w:rPr>
          <w:rFonts w:cs="Arial" w:ascii="Arial" w:hAnsi="Arial"/>
        </w:rPr>
        <w:tab/>
        <w:t>Termo de Referência – TR</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III)</w:t>
      </w:r>
      <w:r>
        <w:rPr>
          <w:rFonts w:cs="Arial" w:ascii="Arial" w:hAnsi="Arial"/>
        </w:rPr>
        <w:tab/>
        <w:t>Declaração inexistência de impedimentos</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IV)</w:t>
      </w:r>
      <w:r>
        <w:rPr>
          <w:rFonts w:cs="Arial" w:ascii="Arial" w:hAnsi="Arial"/>
        </w:rPr>
        <w:tab/>
        <w:t>Declaração LGPD</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V)</w:t>
      </w:r>
      <w:r>
        <w:rPr>
          <w:rFonts w:cs="Arial" w:ascii="Arial" w:hAnsi="Arial"/>
        </w:rPr>
        <w:tab/>
        <w:t>Declaração para LC 123/2006</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color w:val="000000"/>
        </w:rPr>
      </w:pPr>
      <w:r>
        <w:rPr>
          <w:rFonts w:cs="Arial" w:ascii="Arial" w:hAnsi="Arial"/>
          <w:b/>
          <w:bCs/>
          <w:color w:val="000000"/>
        </w:rPr>
        <w:t>VI)</w:t>
      </w:r>
      <w:r>
        <w:rPr>
          <w:rFonts w:cs="Arial" w:ascii="Arial" w:hAnsi="Arial"/>
          <w:color w:val="000000"/>
        </w:rPr>
        <w:tab/>
        <w:t xml:space="preserve">Proposta + Declaração art. 63, § 1º </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color w:val="000000"/>
        </w:rPr>
      </w:pPr>
      <w:r>
        <w:rPr>
          <w:rFonts w:cs="Arial" w:ascii="Arial" w:hAnsi="Arial"/>
          <w:b/>
          <w:bCs/>
          <w:color w:val="000000"/>
        </w:rPr>
        <w:t>VII)</w:t>
      </w:r>
      <w:r>
        <w:rPr>
          <w:rFonts w:cs="Arial" w:ascii="Arial" w:hAnsi="Arial"/>
          <w:color w:val="000000"/>
        </w:rPr>
        <w:tab/>
        <w:t>Declaração art. 63, I – atende os requisitos de habilitação e de que documentos eletrônicos conferem com os originais</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VIII)</w:t>
      </w:r>
      <w:r>
        <w:rPr>
          <w:rFonts w:cs="Arial" w:ascii="Arial" w:hAnsi="Arial"/>
        </w:rPr>
        <w:tab/>
        <w:t>Declaração art. 63, IV – PcD e reabilitado da Previdência Social</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IX)</w:t>
      </w:r>
      <w:r>
        <w:rPr>
          <w:rFonts w:cs="Arial" w:ascii="Arial" w:hAnsi="Arial"/>
        </w:rPr>
        <w:tab/>
        <w:t>Ata de Registro de Preços</w:t>
      </w:r>
    </w:p>
    <w:p>
      <w:pPr>
        <w:pStyle w:val="ListParagraph"/>
        <w:widowControl w:val="false"/>
        <w:numPr>
          <w:ilvl w:val="0"/>
          <w:numId w:val="0"/>
        </w:numPr>
        <w:tabs>
          <w:tab w:val="clear" w:pos="708"/>
          <w:tab w:val="left" w:pos="1134" w:leader="none"/>
        </w:tabs>
        <w:spacing w:lineRule="auto" w:line="240" w:before="0" w:after="0"/>
        <w:ind w:left="1287" w:hanging="0"/>
        <w:contextualSpacing/>
        <w:jc w:val="both"/>
        <w:textAlignment w:val="baseline"/>
        <w:rPr>
          <w:rFonts w:ascii="Arial" w:hAnsi="Arial" w:cs="Arial"/>
        </w:rPr>
      </w:pPr>
      <w:r>
        <w:rPr>
          <w:rFonts w:cs="Arial" w:ascii="Arial" w:hAnsi="Arial"/>
          <w:b/>
          <w:bCs/>
        </w:rPr>
        <w:t>X)</w:t>
      </w:r>
      <w:r>
        <w:rPr>
          <w:rFonts w:cs="Arial" w:ascii="Arial" w:hAnsi="Arial"/>
        </w:rPr>
        <w:tab/>
        <w:t>Contrato Administrativo</w:t>
      </w:r>
    </w:p>
    <w:p>
      <w:pPr>
        <w:pStyle w:val="ListParagraph"/>
        <w:widowControl w:val="false"/>
        <w:numPr>
          <w:ilvl w:val="0"/>
          <w:numId w:val="0"/>
        </w:numPr>
        <w:tabs>
          <w:tab w:val="clear" w:pos="708"/>
          <w:tab w:val="left" w:pos="1134" w:leader="none"/>
        </w:tabs>
        <w:spacing w:lineRule="auto" w:line="240" w:before="0" w:after="0"/>
        <w:ind w:left="720" w:hanging="0"/>
        <w:contextualSpacing/>
        <w:jc w:val="both"/>
        <w:textAlignment w:val="baseline"/>
        <w:rPr/>
      </w:pPr>
      <w:r>
        <w:rPr/>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rFonts w:ascii="Arial" w:hAnsi="Arial" w:cs="Arial"/>
        </w:rPr>
      </w:pPr>
      <w:r>
        <w:rPr>
          <w:rFonts w:cs="Arial" w:ascii="Arial" w:hAnsi="Arial"/>
          <w:bCs/>
        </w:rPr>
        <w:t>23.6.</w:t>
      </w:r>
      <w:r>
        <w:rPr>
          <w:rFonts w:cs="Arial" w:ascii="Arial" w:hAnsi="Arial"/>
        </w:rPr>
        <w:t xml:space="preserve"> As questões decorrentes das previsões deste edital que não possam ser dirimidas administrativamente serão processadas e julgadas no Foro da Comarca </w:t>
      </w:r>
      <w:r>
        <w:rPr>
          <w:rFonts w:eastAsia="Calibri" w:cs="Arial" w:ascii="Arial" w:hAnsi="Arial"/>
          <w:color w:val="000000"/>
        </w:rPr>
        <w:t>Itá-SC</w:t>
      </w:r>
      <w:r>
        <w:rPr>
          <w:rFonts w:cs="Arial" w:ascii="Arial" w:hAnsi="Arial"/>
        </w:rPr>
        <w:t>, com exclusão de qualquer outro, por mais privilegiado que seja.</w:t>
      </w:r>
    </w:p>
    <w:p>
      <w:pPr>
        <w:pStyle w:val="Normal"/>
        <w:tabs>
          <w:tab w:val="clear" w:pos="708"/>
          <w:tab w:val="left" w:pos="1134" w:leader="none"/>
        </w:tabs>
        <w:spacing w:lineRule="auto" w:line="240" w:before="0" w:after="0"/>
        <w:jc w:val="both"/>
        <w:rPr>
          <w:rFonts w:ascii="Arial" w:hAnsi="Arial" w:cs="Arial"/>
          <w:color w:val="000000"/>
          <w:shd w:fill="FFFF00" w:val="clear"/>
        </w:rPr>
      </w:pPr>
      <w:r>
        <w:rPr>
          <w:rFonts w:cs="Arial" w:ascii="Arial" w:hAnsi="Arial"/>
          <w:color w:val="000000"/>
          <w:shd w:fill="FFFF00" w:val="clear"/>
        </w:rPr>
      </w:r>
    </w:p>
    <w:p>
      <w:pPr>
        <w:pStyle w:val="Normal"/>
        <w:spacing w:lineRule="auto" w:line="240" w:before="0" w:after="0"/>
        <w:jc w:val="both"/>
        <w:rPr>
          <w:shd w:fill="auto" w:val="clear"/>
        </w:rPr>
      </w:pPr>
      <w:r>
        <w:rPr>
          <w:rFonts w:cs="Arial" w:ascii="Arial" w:hAnsi="Arial"/>
          <w:bCs/>
          <w:color w:val="000000"/>
          <w:shd w:fill="auto" w:val="clear"/>
        </w:rPr>
        <w:t xml:space="preserve">Município de </w:t>
      </w:r>
      <w:r>
        <w:rPr>
          <w:rFonts w:eastAsia="Calibri" w:cs="Arial" w:ascii="Arial" w:hAnsi="Arial"/>
          <w:bCs/>
          <w:color w:val="000000"/>
          <w:shd w:fill="auto" w:val="clear"/>
        </w:rPr>
        <w:t>Itá-SC</w:t>
      </w:r>
      <w:r>
        <w:rPr>
          <w:rFonts w:cs="Arial" w:ascii="Arial" w:hAnsi="Arial"/>
          <w:bCs/>
          <w:color w:val="000000"/>
          <w:shd w:fill="auto" w:val="clear"/>
        </w:rPr>
        <w:t xml:space="preserve">, </w:t>
      </w:r>
      <w:r>
        <w:rPr>
          <w:rFonts w:eastAsia="Calibri" w:cs="Arial" w:ascii="Arial" w:hAnsi="Arial"/>
          <w:bCs/>
          <w:color w:val="000000"/>
          <w:kern w:val="0"/>
          <w:sz w:val="22"/>
          <w:szCs w:val="22"/>
          <w:shd w:fill="auto" w:val="clear"/>
          <w:lang w:val="pt-BR" w:eastAsia="en-US" w:bidi="ar-SA"/>
        </w:rPr>
        <w:t>30</w:t>
      </w:r>
      <w:r>
        <w:rPr>
          <w:rFonts w:cs="Arial" w:ascii="Arial" w:hAnsi="Arial"/>
          <w:bCs/>
          <w:color w:val="000000"/>
          <w:shd w:fill="auto" w:val="clear"/>
        </w:rPr>
        <w:t xml:space="preserve"> de </w:t>
      </w:r>
      <w:r>
        <w:rPr>
          <w:rFonts w:eastAsia="Calibri" w:cs="Arial" w:ascii="Arial" w:hAnsi="Arial"/>
          <w:bCs/>
          <w:color w:val="000000"/>
          <w:kern w:val="0"/>
          <w:sz w:val="22"/>
          <w:szCs w:val="22"/>
          <w:shd w:fill="auto" w:val="clear"/>
          <w:lang w:val="pt-BR" w:eastAsia="en-US" w:bidi="ar-SA"/>
        </w:rPr>
        <w:t xml:space="preserve">junho </w:t>
      </w:r>
      <w:r>
        <w:rPr>
          <w:rFonts w:cs="Arial" w:ascii="Arial" w:hAnsi="Arial"/>
          <w:bCs/>
          <w:color w:val="000000"/>
          <w:shd w:fill="auto" w:val="clear"/>
        </w:rPr>
        <w:t>de 2023.</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shd w:fill="FFFF00" w:val="clear"/>
          <w:lang w:eastAsia="pt-BR"/>
        </w:rPr>
      </w:pPr>
      <w:r>
        <w:rPr>
          <w:rFonts w:eastAsia="Times New Roman" w:cs="Arial" w:ascii="Arial" w:hAnsi="Arial"/>
          <w:b/>
          <w:color w:val="000000"/>
          <w:shd w:fill="FFFF00" w:val="clear"/>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t>CLEMOR ANTÔNIO BATTISTI</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t>Prefeito do Município de Itá-SC</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shd w:fill="auto" w:val="clear"/>
        </w:rPr>
      </w:pPr>
      <w:r>
        <w:rPr>
          <w:rFonts w:eastAsia="Times New Roman" w:cs="Arial" w:ascii="Arial" w:hAnsi="Arial"/>
          <w:b/>
          <w:shd w:fill="auto" w:val="clear"/>
          <w:lang w:eastAsia="pt-BR"/>
        </w:rPr>
        <w:t xml:space="preserve">PROCESSO LICITATÓRIO Nº </w:t>
      </w:r>
      <w:r>
        <w:rPr>
          <w:rFonts w:eastAsia="Times New Roman" w:cs="Arial" w:ascii="Arial" w:hAnsi="Arial"/>
          <w:b/>
          <w:color w:val="000000"/>
          <w:kern w:val="0"/>
          <w:sz w:val="22"/>
          <w:szCs w:val="22"/>
          <w:shd w:fill="auto" w:val="clear"/>
          <w:lang w:val="pt-BR" w:eastAsia="pt-BR" w:bidi="ar-SA"/>
        </w:rPr>
        <w:t>110</w:t>
      </w:r>
      <w:r>
        <w:rPr>
          <w:rFonts w:eastAsia="Times New Roman" w:cs="Arial" w:ascii="Arial" w:hAnsi="Arial"/>
          <w:b/>
          <w:shd w:fill="auto" w:val="clear"/>
          <w:lang w:eastAsia="pt-BR"/>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shd w:fill="auto" w:val="clear"/>
          <w:lang w:eastAsia="pt-BR"/>
        </w:rPr>
      </w:pPr>
      <w:r>
        <w:rPr>
          <w:rFonts w:eastAsia="Times New Roman" w:cs="Arial" w:ascii="Arial" w:hAnsi="Arial"/>
          <w:b/>
          <w:shd w:fill="auto" w:val="clear"/>
          <w:lang w:eastAsia="pt-BR"/>
        </w:rPr>
      </w:r>
    </w:p>
    <w:p>
      <w:pPr>
        <w:pStyle w:val="Normal"/>
        <w:widowControl w:val="false"/>
        <w:tabs>
          <w:tab w:val="clear" w:pos="708"/>
          <w:tab w:val="left" w:pos="1701" w:leader="none"/>
        </w:tabs>
        <w:spacing w:lineRule="auto" w:line="240" w:before="0" w:after="0"/>
        <w:jc w:val="center"/>
        <w:textAlignment w:val="baseline"/>
        <w:rPr>
          <w:shd w:fill="auto" w:val="clear"/>
        </w:rPr>
      </w:pPr>
      <w:r>
        <w:rPr>
          <w:rFonts w:eastAsia="Times New Roman" w:cs="Arial" w:ascii="Arial" w:hAnsi="Arial"/>
          <w:b/>
          <w:shd w:fill="auto" w:val="clear"/>
          <w:lang w:eastAsia="pt-BR"/>
        </w:rPr>
        <w:t xml:space="preserve">EDITAL DE PREGÃO ELETRÔNICO Nº </w:t>
      </w:r>
      <w:r>
        <w:rPr>
          <w:rFonts w:eastAsia="Times New Roman" w:cs="Arial" w:ascii="Arial" w:hAnsi="Arial"/>
          <w:b/>
          <w:color w:val="000000"/>
          <w:kern w:val="0"/>
          <w:sz w:val="22"/>
          <w:szCs w:val="22"/>
          <w:shd w:fill="auto" w:val="clear"/>
          <w:lang w:val="pt-BR" w:eastAsia="pt-BR" w:bidi="ar-SA"/>
        </w:rPr>
        <w:t>04</w:t>
      </w:r>
      <w:r>
        <w:rPr>
          <w:rFonts w:eastAsia="Times New Roman" w:cs="Arial" w:ascii="Arial" w:hAnsi="Arial"/>
          <w:b/>
          <w:color w:val="000000"/>
          <w:kern w:val="0"/>
          <w:sz w:val="22"/>
          <w:szCs w:val="22"/>
          <w:shd w:fill="auto" w:val="clear"/>
          <w:lang w:val="pt-BR" w:eastAsia="pt-BR" w:bidi="ar-SA"/>
        </w:rPr>
        <w:t>2</w:t>
      </w:r>
      <w:r>
        <w:rPr>
          <w:rFonts w:eastAsia="Times New Roman" w:cs="Arial" w:ascii="Arial" w:hAnsi="Arial"/>
          <w:b/>
          <w:shd w:fill="auto" w:val="clear"/>
          <w:lang w:eastAsia="pt-BR"/>
        </w:rPr>
        <w:t>/2023</w:t>
      </w:r>
    </w:p>
    <w:p>
      <w:pPr>
        <w:pStyle w:val="Normal"/>
        <w:widowControl w:val="false"/>
        <w:tabs>
          <w:tab w:val="clear" w:pos="708"/>
          <w:tab w:val="left" w:pos="1701" w:leader="none"/>
        </w:tabs>
        <w:spacing w:lineRule="auto" w:line="240" w:before="0" w:after="0"/>
        <w:jc w:val="center"/>
        <w:textAlignment w:val="baseline"/>
        <w:rPr>
          <w:rFonts w:ascii="Arial" w:hAnsi="Arial" w:cs="Arial"/>
          <w:b/>
          <w:b/>
          <w:shd w:fill="auto" w:val="clear"/>
        </w:rPr>
      </w:pPr>
      <w:r>
        <w:rPr>
          <w:rFonts w:cs="Arial" w:ascii="Arial" w:hAnsi="Arial"/>
          <w:b/>
          <w:shd w:fill="auto" w:val="clear"/>
        </w:rPr>
      </w:r>
    </w:p>
    <w:p>
      <w:pPr>
        <w:pStyle w:val="Normal"/>
        <w:spacing w:lineRule="auto" w:line="240" w:before="0" w:after="0"/>
        <w:jc w:val="center"/>
        <w:rPr>
          <w:shd w:fill="auto" w:val="clear"/>
        </w:rPr>
      </w:pPr>
      <w:r>
        <w:rPr>
          <w:rFonts w:cs="Arial" w:ascii="Arial" w:hAnsi="Arial"/>
          <w:b/>
          <w:shd w:fill="auto" w:val="clear"/>
        </w:rPr>
        <w:t>ANEXO I</w:t>
      </w:r>
    </w:p>
    <w:p>
      <w:pPr>
        <w:pStyle w:val="Normal"/>
        <w:spacing w:lineRule="auto" w:line="240" w:before="0" w:after="0"/>
        <w:jc w:val="center"/>
        <w:rPr>
          <w:rFonts w:ascii="Arial" w:hAnsi="Arial" w:cs="Arial"/>
          <w:b/>
          <w:b/>
          <w:shd w:fill="auto" w:val="clear"/>
        </w:rPr>
      </w:pPr>
      <w:r>
        <w:rPr>
          <w:rFonts w:cs="Arial" w:ascii="Arial" w:hAnsi="Arial"/>
          <w:b/>
          <w:shd w:fill="auto" w:val="clear"/>
        </w:rPr>
      </w:r>
    </w:p>
    <w:p>
      <w:pPr>
        <w:pStyle w:val="Normal"/>
        <w:spacing w:lineRule="auto" w:line="240"/>
        <w:jc w:val="center"/>
        <w:rPr>
          <w:shd w:fill="auto" w:val="clear"/>
        </w:rPr>
      </w:pPr>
      <w:r>
        <w:rPr>
          <w:rFonts w:cs="Arial" w:ascii="Arial" w:hAnsi="Arial"/>
          <w:b/>
          <w:shd w:fill="auto" w:val="clear"/>
        </w:rPr>
        <w:t>ESTUDO TÉCNICO PRELIMINAR</w:t>
      </w:r>
    </w:p>
    <w:p>
      <w:pPr>
        <w:pStyle w:val="Normal"/>
        <w:spacing w:lineRule="auto" w:line="240"/>
        <w:jc w:val="center"/>
        <w:rPr>
          <w:shd w:fill="FFFF00" w:val="clear"/>
        </w:rPr>
      </w:pPr>
      <w:r>
        <w:rPr>
          <w:shd w:fill="FFFF00" w:val="clear"/>
        </w:rPr>
      </w:r>
    </w:p>
    <w:p>
      <w:pPr>
        <w:pStyle w:val="Normal"/>
        <w:spacing w:lineRule="auto" w:line="240"/>
        <w:jc w:val="center"/>
        <w:rPr>
          <w:rFonts w:ascii="Arial" w:hAnsi="Arial" w:cs="Arial"/>
          <w:shd w:fill="FFFF00" w:val="clear"/>
        </w:rPr>
      </w:pPr>
      <w:r>
        <w:rPr>
          <w:rFonts w:cs="Arial" w:ascii="Arial" w:hAnsi="Arial"/>
          <w:shd w:fill="FFFF00" w:val="clear"/>
        </w:rPr>
      </w:r>
    </w:p>
    <w:p>
      <w:pPr>
        <w:pStyle w:val="Normal"/>
        <w:spacing w:lineRule="auto" w:line="240"/>
        <w:jc w:val="both"/>
        <w:rPr>
          <w:rFonts w:ascii="Arial" w:hAnsi="Arial" w:cs="Calibri" w:cstheme="minorHAnsi"/>
          <w:b/>
          <w:b/>
          <w:shd w:fill="FFFF00" w:val="clear"/>
        </w:rPr>
      </w:pPr>
      <w:r>
        <w:rPr>
          <w:rFonts w:cs="Calibri" w:cstheme="minorHAnsi" w:ascii="Arial" w:hAnsi="Arial"/>
          <w:b/>
          <w:shd w:fill="FFFF00" w:val="clear"/>
        </w:rPr>
      </w:r>
    </w:p>
    <w:p>
      <w:pPr>
        <w:pStyle w:val="Normal"/>
        <w:widowControl w:val="false"/>
        <w:tabs>
          <w:tab w:val="clear" w:pos="708"/>
          <w:tab w:val="left" w:pos="1701" w:leader="none"/>
        </w:tabs>
        <w:spacing w:lineRule="auto" w:line="240" w:before="0" w:after="0"/>
        <w:jc w:val="both"/>
        <w:textAlignment w:val="baseline"/>
        <w:rPr>
          <w:shd w:fill="FFFF00" w:val="clear"/>
        </w:rPr>
      </w:pPr>
      <w:r>
        <w:rPr>
          <w:rFonts w:eastAsia="Times New Roman" w:cs="Times New Roman" w:ascii="Arial" w:hAnsi="Arial"/>
          <w:b/>
          <w:sz w:val="22"/>
          <w:szCs w:val="22"/>
          <w:shd w:fill="FFFF00" w:val="clear"/>
          <w:lang w:eastAsia="pt-BR"/>
        </w:rPr>
        <w:t xml:space="preserve">Disponível em: Disponível em: </w:t>
      </w:r>
      <w:r>
        <w:rPr>
          <w:rFonts w:eastAsia="Calibri" w:cs="Arial" w:ascii="Arial" w:hAnsi="Arial"/>
          <w:b w:val="false"/>
          <w:bCs w:val="false"/>
          <w:color w:val="000000"/>
          <w:kern w:val="0"/>
          <w:sz w:val="22"/>
          <w:szCs w:val="22"/>
          <w:shd w:fill="FFFF00" w:val="clear"/>
          <w:lang w:val="pt-BR" w:eastAsia="pt-BR" w:bidi="ar-SA"/>
        </w:rPr>
        <w:t xml:space="preserve">ita.atende.net → buscar na aba de licitações → </w:t>
      </w:r>
      <w:r>
        <w:rPr>
          <w:rFonts w:eastAsia="Calibri" w:cs="Arial" w:ascii="Arial" w:hAnsi="Arial"/>
          <w:b w:val="false"/>
          <w:bCs w:val="false"/>
          <w:i w:val="false"/>
          <w:caps w:val="false"/>
          <w:smallCaps w:val="false"/>
          <w:color w:val="000000"/>
          <w:spacing w:val="0"/>
          <w:kern w:val="0"/>
          <w:sz w:val="22"/>
          <w:szCs w:val="22"/>
          <w:shd w:fill="FFFF00" w:val="clear"/>
          <w:lang w:val="pt-BR" w:eastAsia="pt-BR" w:bidi="ar-SA"/>
        </w:rPr>
        <w:t>Pregão Eletrônico – Lei 14.133/2021</w:t>
      </w:r>
      <w:r>
        <w:rPr>
          <w:rFonts w:eastAsia="Calibri" w:cs="Arial" w:ascii="Arial" w:hAnsi="Arial"/>
          <w:b w:val="false"/>
          <w:bCs w:val="false"/>
          <w:color w:val="000000"/>
          <w:kern w:val="0"/>
          <w:sz w:val="22"/>
          <w:szCs w:val="22"/>
          <w:shd w:fill="FFFF00" w:val="clear"/>
          <w:lang w:val="pt-BR" w:eastAsia="pt-BR" w:bidi="ar-SA"/>
        </w:rPr>
        <w:t xml:space="preserve"> – </w:t>
      </w:r>
      <w:r>
        <w:rPr>
          <w:rFonts w:eastAsia="Calibri" w:cs="Arial" w:ascii="Arial" w:hAnsi="Arial"/>
          <w:b w:val="false"/>
          <w:bCs w:val="false"/>
          <w:i w:val="false"/>
          <w:caps w:val="false"/>
          <w:smallCaps w:val="false"/>
          <w:color w:val="000000"/>
          <w:spacing w:val="0"/>
          <w:kern w:val="0"/>
          <w:sz w:val="22"/>
          <w:szCs w:val="22"/>
          <w:shd w:fill="FFFF00" w:val="clear"/>
          <w:lang w:val="pt-BR" w:eastAsia="pt-BR" w:bidi="ar-SA"/>
        </w:rPr>
        <w:t>Tipo de Objeto: Aquisição de Bens - (Nova Lei de Licitações) - Tipo de Concorrência: Registro de Preços - (Nova Lei de Licitações)</w:t>
      </w:r>
      <w:r>
        <w:rPr>
          <w:rFonts w:eastAsia="Calibri" w:cs="Arial" w:ascii="Arial" w:hAnsi="Arial"/>
          <w:b w:val="false"/>
          <w:bCs w:val="false"/>
          <w:color w:val="000000"/>
          <w:kern w:val="0"/>
          <w:sz w:val="22"/>
          <w:szCs w:val="22"/>
          <w:shd w:fill="FFFF00" w:val="clear"/>
          <w:lang w:val="pt-BR" w:eastAsia="pt-BR" w:bidi="ar-SA"/>
        </w:rPr>
        <w:t xml:space="preserve"> → Selecionar Pregão nº 04</w:t>
      </w:r>
      <w:r>
        <w:rPr>
          <w:rFonts w:eastAsia="Calibri" w:cs="Arial" w:ascii="Arial" w:hAnsi="Arial"/>
          <w:b w:val="false"/>
          <w:bCs w:val="false"/>
          <w:color w:val="000000"/>
          <w:kern w:val="0"/>
          <w:sz w:val="22"/>
          <w:szCs w:val="22"/>
          <w:shd w:fill="FFFF00" w:val="clear"/>
          <w:lang w:val="pt-BR" w:eastAsia="pt-BR" w:bidi="ar-SA"/>
        </w:rPr>
        <w:t>2</w:t>
      </w:r>
      <w:r>
        <w:rPr>
          <w:rFonts w:eastAsia="Calibri" w:cs="Arial" w:ascii="Arial" w:hAnsi="Arial"/>
          <w:b w:val="false"/>
          <w:bCs w:val="false"/>
          <w:color w:val="000000"/>
          <w:kern w:val="0"/>
          <w:sz w:val="22"/>
          <w:szCs w:val="22"/>
          <w:shd w:fill="FFFF00" w:val="clear"/>
          <w:lang w:val="pt-BR" w:eastAsia="pt-BR" w:bidi="ar-SA"/>
        </w:rPr>
        <w:t xml:space="preserve">/2023 e clicar em detalhar → </w:t>
      </w:r>
      <w:r>
        <w:rPr>
          <w:rFonts w:eastAsia="Calibri" w:cs="Arial" w:ascii="Arial" w:hAnsi="Arial"/>
          <w:b w:val="false"/>
          <w:bCs w:val="false"/>
          <w:color w:val="000000"/>
          <w:kern w:val="0"/>
          <w:sz w:val="22"/>
          <w:szCs w:val="22"/>
          <w:shd w:fill="FFFF00" w:val="clear"/>
          <w:lang w:val="pt-BR" w:eastAsia="en-US" w:bidi="ar-SA"/>
        </w:rPr>
        <w:t>Acessar Estudo Técnico Preliminar (PDF).</w:t>
      </w:r>
    </w:p>
    <w:p>
      <w:pPr>
        <w:pStyle w:val="Normal"/>
        <w:widowControl w:val="false"/>
        <w:tabs>
          <w:tab w:val="clear" w:pos="708"/>
          <w:tab w:val="left" w:pos="1701" w:leader="none"/>
        </w:tabs>
        <w:spacing w:lineRule="auto" w:line="240" w:before="0" w:after="0"/>
        <w:jc w:val="both"/>
        <w:textAlignment w:val="baseline"/>
        <w:rPr>
          <w:rFonts w:ascii="Arial" w:hAnsi="Arial"/>
          <w:shd w:fill="FFFF00" w:val="clear"/>
        </w:rPr>
      </w:pPr>
      <w:r>
        <w:rPr>
          <w:rFonts w:ascii="Arial" w:hAnsi="Arial"/>
          <w:shd w:fill="FFFF00" w:val="clear"/>
        </w:rPr>
      </w:r>
    </w:p>
    <w:p>
      <w:pPr>
        <w:pStyle w:val="Normal"/>
        <w:spacing w:lineRule="auto" w:line="240"/>
        <w:jc w:val="both"/>
        <w:rPr>
          <w:rFonts w:ascii="Arial" w:hAnsi="Arial"/>
          <w:shd w:fill="FFFF00" w:val="clear"/>
        </w:rPr>
      </w:pPr>
      <w:r>
        <w:rPr>
          <w:rFonts w:ascii="Arial" w:hAnsi="Arial"/>
          <w:shd w:fill="FFFF00" w:val="clear"/>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bookmarkStart w:id="102" w:name="_Hlk133233900"/>
      <w:bookmarkStart w:id="103" w:name="_Hlk133233900"/>
      <w:bookmarkEnd w:id="103"/>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shd w:fill="auto" w:val="clear"/>
        </w:rPr>
      </w:pPr>
      <w:r>
        <w:rPr>
          <w:rFonts w:cs="Arial" w:ascii="Arial" w:hAnsi="Arial"/>
          <w:b/>
          <w:bCs/>
          <w:shd w:fill="auto" w:val="clear"/>
          <w:lang w:eastAsia="pt-BR"/>
        </w:rPr>
        <w:t xml:space="preserve">PROCESSO LICITATÓRIO Nº </w:t>
      </w:r>
      <w:r>
        <w:rPr>
          <w:rFonts w:eastAsia="Calibri" w:cs="Arial" w:ascii="Arial" w:hAnsi="Arial" w:eastAsiaTheme="minorHAnsi"/>
          <w:b/>
          <w:bCs/>
          <w:color w:val="000000"/>
          <w:kern w:val="0"/>
          <w:sz w:val="22"/>
          <w:szCs w:val="22"/>
          <w:shd w:fill="auto" w:val="clear"/>
          <w:lang w:val="pt-BR" w:eastAsia="pt-BR" w:bidi="ar-SA"/>
        </w:rPr>
        <w:t>110</w:t>
      </w:r>
      <w:r>
        <w:rPr>
          <w:rFonts w:cs="Arial" w:ascii="Arial" w:hAnsi="Arial"/>
          <w:b/>
          <w:bCs/>
          <w:shd w:fill="auto" w:val="clear"/>
          <w:lang w:eastAsia="pt-BR"/>
        </w:rPr>
        <w:t xml:space="preserve">/2023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center"/>
        <w:rPr>
          <w:shd w:fill="auto" w:val="clear"/>
        </w:rPr>
      </w:pPr>
      <w:r>
        <w:rPr>
          <w:rFonts w:cs="Arial" w:ascii="Arial" w:hAnsi="Arial"/>
          <w:b/>
          <w:bCs/>
          <w:shd w:fill="auto" w:val="clear"/>
        </w:rPr>
        <w:t xml:space="preserve">EDITAL DE PREGÃO ELETRÔNICO Nº </w:t>
      </w:r>
      <w:r>
        <w:rPr>
          <w:rFonts w:eastAsia="Calibri" w:cs="Arial" w:ascii="Arial" w:hAnsi="Arial" w:eastAsiaTheme="minorHAnsi"/>
          <w:b/>
          <w:bCs/>
          <w:color w:val="000000"/>
          <w:kern w:val="0"/>
          <w:sz w:val="22"/>
          <w:szCs w:val="22"/>
          <w:shd w:fill="auto" w:val="clear"/>
          <w:lang w:val="pt-BR" w:eastAsia="en-US" w:bidi="ar-SA"/>
        </w:rPr>
        <w:t>042</w:t>
      </w:r>
      <w:r>
        <w:rPr>
          <w:rFonts w:cs="Arial" w:ascii="Arial" w:hAnsi="Arial"/>
          <w:b/>
          <w:bCs/>
          <w:shd w:fill="auto" w:val="clear"/>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shd w:fill="auto" w:val="clear"/>
          <w:lang w:eastAsia="pt-BR"/>
        </w:rPr>
      </w:pPr>
      <w:r>
        <w:rPr>
          <w:rFonts w:eastAsia="Times New Roman" w:cs="Arial" w:ascii="Arial" w:hAnsi="Arial"/>
          <w:b/>
          <w:shd w:fill="auto" w:val="clear"/>
          <w:lang w:eastAsia="pt-BR"/>
        </w:rPr>
      </w:r>
    </w:p>
    <w:p>
      <w:pPr>
        <w:pStyle w:val="Normal"/>
        <w:spacing w:lineRule="auto" w:line="240" w:before="0" w:after="0"/>
        <w:jc w:val="center"/>
        <w:rPr>
          <w:shd w:fill="auto" w:val="clear"/>
        </w:rPr>
      </w:pPr>
      <w:r>
        <w:rPr>
          <w:rFonts w:cs="Arial" w:ascii="Arial" w:hAnsi="Arial"/>
          <w:b/>
          <w:shd w:fill="auto" w:val="clear"/>
        </w:rPr>
        <w:t>ANEXO II</w:t>
      </w:r>
    </w:p>
    <w:p>
      <w:pPr>
        <w:pStyle w:val="Normal"/>
        <w:widowControl w:val="false"/>
        <w:spacing w:lineRule="auto" w:line="240"/>
        <w:jc w:val="center"/>
        <w:rPr>
          <w:rFonts w:ascii="Arial" w:hAnsi="Arial" w:cs="Arial"/>
          <w:b/>
          <w:b/>
          <w:shd w:fill="auto" w:val="clear"/>
        </w:rPr>
      </w:pPr>
      <w:r>
        <w:rPr>
          <w:rFonts w:cs="Arial" w:ascii="Arial" w:hAnsi="Arial"/>
          <w:b/>
          <w:shd w:fill="auto" w:val="clear"/>
        </w:rPr>
      </w:r>
    </w:p>
    <w:p>
      <w:pPr>
        <w:pStyle w:val="Normal"/>
        <w:widowControl w:val="false"/>
        <w:spacing w:lineRule="auto" w:line="240"/>
        <w:jc w:val="center"/>
        <w:rPr>
          <w:shd w:fill="auto" w:val="clear"/>
        </w:rPr>
      </w:pPr>
      <w:r>
        <w:rPr>
          <w:rFonts w:cs="Calibri" w:ascii="Arial" w:hAnsi="Arial" w:cstheme="minorHAnsi"/>
          <w:b/>
          <w:sz w:val="22"/>
          <w:szCs w:val="22"/>
          <w:shd w:fill="auto" w:val="clear"/>
        </w:rPr>
        <w:t>TERMO DE REFERÊNCIA</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shd w:fill="FFFF00" w:val="clear"/>
          <w:lang w:eastAsia="pt-BR"/>
        </w:rPr>
      </w:pPr>
      <w:r>
        <w:rPr>
          <w:rFonts w:eastAsia="Times New Roman" w:cs="Arial" w:ascii="Arial" w:hAnsi="Arial"/>
          <w:b/>
          <w:shd w:fill="FFFF00" w:val="clear"/>
          <w:lang w:eastAsia="pt-BR"/>
        </w:rPr>
      </w:r>
    </w:p>
    <w:p>
      <w:pPr>
        <w:pStyle w:val="Normal"/>
        <w:widowControl w:val="false"/>
        <w:tabs>
          <w:tab w:val="clear" w:pos="708"/>
          <w:tab w:val="left" w:pos="1701" w:leader="none"/>
        </w:tabs>
        <w:spacing w:lineRule="auto" w:line="240" w:before="0" w:after="0"/>
        <w:jc w:val="both"/>
        <w:textAlignment w:val="baseline"/>
        <w:rPr>
          <w:shd w:fill="FFFF00" w:val="clear"/>
        </w:rPr>
      </w:pPr>
      <w:r>
        <w:rPr>
          <w:rFonts w:eastAsia="Times New Roman" w:cs="Times New Roman" w:ascii="Arial" w:hAnsi="Arial"/>
          <w:b/>
          <w:sz w:val="22"/>
          <w:szCs w:val="22"/>
          <w:shd w:fill="FFFF00" w:val="clear"/>
          <w:lang w:eastAsia="pt-BR"/>
        </w:rPr>
        <w:t xml:space="preserve">Disponível em: </w:t>
      </w:r>
      <w:r>
        <w:rPr>
          <w:rFonts w:eastAsia="Calibri" w:cs="Arial" w:ascii="Arial" w:hAnsi="Arial"/>
          <w:b w:val="false"/>
          <w:bCs w:val="false"/>
          <w:color w:val="000000"/>
          <w:kern w:val="0"/>
          <w:sz w:val="22"/>
          <w:szCs w:val="22"/>
          <w:shd w:fill="FFFF00" w:val="clear"/>
          <w:lang w:val="pt-BR" w:eastAsia="pt-BR" w:bidi="ar-SA"/>
        </w:rPr>
        <w:t xml:space="preserve">ita.atende.net → buscar na aba de licitações → </w:t>
      </w:r>
      <w:r>
        <w:rPr>
          <w:rFonts w:eastAsia="Calibri" w:cs="Arial" w:ascii="Arial" w:hAnsi="Arial"/>
          <w:b w:val="false"/>
          <w:bCs w:val="false"/>
          <w:i w:val="false"/>
          <w:caps w:val="false"/>
          <w:smallCaps w:val="false"/>
          <w:color w:val="000000"/>
          <w:spacing w:val="0"/>
          <w:kern w:val="0"/>
          <w:sz w:val="22"/>
          <w:szCs w:val="22"/>
          <w:shd w:fill="FFFF00" w:val="clear"/>
          <w:lang w:val="pt-BR" w:eastAsia="pt-BR" w:bidi="ar-SA"/>
        </w:rPr>
        <w:t>Pregão Eletrônico – Lei 14.133/2021</w:t>
      </w:r>
      <w:r>
        <w:rPr>
          <w:rFonts w:eastAsia="Calibri" w:cs="Arial" w:ascii="Arial" w:hAnsi="Arial"/>
          <w:b w:val="false"/>
          <w:bCs w:val="false"/>
          <w:color w:val="000000"/>
          <w:kern w:val="0"/>
          <w:sz w:val="22"/>
          <w:szCs w:val="22"/>
          <w:shd w:fill="FFFF00" w:val="clear"/>
          <w:lang w:val="pt-BR" w:eastAsia="pt-BR" w:bidi="ar-SA"/>
        </w:rPr>
        <w:t xml:space="preserve"> – </w:t>
      </w:r>
      <w:r>
        <w:rPr>
          <w:rFonts w:eastAsia="Calibri" w:cs="Arial" w:ascii="Arial" w:hAnsi="Arial"/>
          <w:b w:val="false"/>
          <w:bCs w:val="false"/>
          <w:i w:val="false"/>
          <w:caps w:val="false"/>
          <w:smallCaps w:val="false"/>
          <w:color w:val="000000"/>
          <w:spacing w:val="0"/>
          <w:kern w:val="0"/>
          <w:sz w:val="22"/>
          <w:szCs w:val="22"/>
          <w:shd w:fill="FFFF00" w:val="clear"/>
          <w:lang w:val="pt-BR" w:eastAsia="pt-BR" w:bidi="ar-SA"/>
        </w:rPr>
        <w:t>Tipo de Objeto: Aquisição de Bens - (Nova Lei de Licitações) - Tipo de Concorrência: Registro de Preços - (Nova Lei de Licitações)</w:t>
      </w:r>
      <w:r>
        <w:rPr>
          <w:rFonts w:eastAsia="Calibri" w:cs="Arial" w:ascii="Arial" w:hAnsi="Arial"/>
          <w:b w:val="false"/>
          <w:bCs w:val="false"/>
          <w:color w:val="000000"/>
          <w:kern w:val="0"/>
          <w:sz w:val="22"/>
          <w:szCs w:val="22"/>
          <w:shd w:fill="FFFF00" w:val="clear"/>
          <w:lang w:val="pt-BR" w:eastAsia="pt-BR" w:bidi="ar-SA"/>
        </w:rPr>
        <w:t xml:space="preserve"> → Selecionar Pregão nº 04</w:t>
      </w:r>
      <w:r>
        <w:rPr>
          <w:rFonts w:eastAsia="Calibri" w:cs="Arial" w:ascii="Arial" w:hAnsi="Arial"/>
          <w:b w:val="false"/>
          <w:bCs w:val="false"/>
          <w:color w:val="000000"/>
          <w:kern w:val="0"/>
          <w:sz w:val="22"/>
          <w:szCs w:val="22"/>
          <w:shd w:fill="FFFF00" w:val="clear"/>
          <w:lang w:val="pt-BR" w:eastAsia="pt-BR" w:bidi="ar-SA"/>
        </w:rPr>
        <w:t>2</w:t>
      </w:r>
      <w:r>
        <w:rPr>
          <w:rFonts w:eastAsia="Calibri" w:cs="Arial" w:ascii="Arial" w:hAnsi="Arial"/>
          <w:b w:val="false"/>
          <w:bCs w:val="false"/>
          <w:color w:val="000000"/>
          <w:kern w:val="0"/>
          <w:sz w:val="22"/>
          <w:szCs w:val="22"/>
          <w:shd w:fill="FFFF00" w:val="clear"/>
          <w:lang w:val="pt-BR" w:eastAsia="pt-BR" w:bidi="ar-SA"/>
        </w:rPr>
        <w:t xml:space="preserve">/2023 e clicar em detalhar → </w:t>
      </w:r>
      <w:r>
        <w:rPr>
          <w:rFonts w:eastAsia="Calibri" w:cs="Arial" w:ascii="Arial" w:hAnsi="Arial"/>
          <w:b w:val="false"/>
          <w:bCs w:val="false"/>
          <w:color w:val="000000"/>
          <w:kern w:val="0"/>
          <w:sz w:val="22"/>
          <w:szCs w:val="22"/>
          <w:shd w:fill="FFFF00" w:val="clear"/>
          <w:lang w:val="pt-BR" w:eastAsia="en-US" w:bidi="ar-SA"/>
        </w:rPr>
        <w:t>Acessar Termo de Referência (PDF).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shd w:fill="FFFF00" w:val="clear"/>
          <w:lang w:eastAsia="pt-BR"/>
        </w:rPr>
      </w:pPr>
      <w:r>
        <w:rPr>
          <w:rFonts w:eastAsia="Times New Roman" w:cs="Arial" w:ascii="Arial" w:hAnsi="Arial"/>
          <w:b/>
          <w:shd w:fill="FFFF00" w:val="clear"/>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Na tabela abaixa, seguem as quantidades máximas e mínimas a serem solicitadas durante o período de vigência da Ata de Registro de Preços: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tbl>
      <w:tblPr>
        <w:tblW w:w="8754" w:type="dxa"/>
        <w:jc w:val="left"/>
        <w:tblInd w:w="-220" w:type="dxa"/>
        <w:tblLayout w:type="fixed"/>
        <w:tblCellMar>
          <w:top w:w="28" w:type="dxa"/>
          <w:left w:w="28" w:type="dxa"/>
          <w:bottom w:w="28" w:type="dxa"/>
          <w:right w:w="28" w:type="dxa"/>
        </w:tblCellMar>
        <w:tblLook w:firstRow="1" w:noVBand="1" w:lastRow="0" w:firstColumn="1" w:lastColumn="0" w:noHBand="0" w:val="04a0"/>
      </w:tblPr>
      <w:tblGrid>
        <w:gridCol w:w="568"/>
        <w:gridCol w:w="5635"/>
        <w:gridCol w:w="1200"/>
        <w:gridCol w:w="1350"/>
      </w:tblGrid>
      <w:tr>
        <w:trPr/>
        <w:tc>
          <w:tcPr>
            <w:tcW w:w="568" w:type="dxa"/>
            <w:tcBorders>
              <w:top w:val="single" w:sz="2" w:space="0" w:color="000000"/>
              <w:left w:val="single" w:sz="2" w:space="0" w:color="000000"/>
              <w:bottom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Item</w:t>
            </w:r>
          </w:p>
        </w:tc>
        <w:tc>
          <w:tcPr>
            <w:tcW w:w="5635" w:type="dxa"/>
            <w:tcBorders>
              <w:top w:val="single" w:sz="2" w:space="0" w:color="000000"/>
              <w:left w:val="single" w:sz="2" w:space="0" w:color="000000"/>
              <w:bottom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Especificação</w:t>
            </w:r>
          </w:p>
        </w:tc>
        <w:tc>
          <w:tcPr>
            <w:tcW w:w="1200" w:type="dxa"/>
            <w:tcBorders>
              <w:top w:val="single" w:sz="2" w:space="0" w:color="000000"/>
              <w:left w:val="single" w:sz="2" w:space="0" w:color="000000"/>
              <w:bottom w:val="single" w:sz="2" w:space="0" w:color="000000"/>
            </w:tcBorders>
          </w:tcPr>
          <w:p>
            <w:pPr>
              <w:pStyle w:val="Contedodatabela"/>
              <w:widowControl w:val="false"/>
              <w:spacing w:lineRule="auto" w:line="240" w:before="0" w:after="0"/>
              <w:jc w:val="center"/>
              <w:rPr>
                <w:rFonts w:ascii="Arial" w:hAnsi="Arial" w:cs="Arial"/>
                <w:b/>
                <w:b/>
                <w:bCs/>
                <w:sz w:val="21"/>
                <w:szCs w:val="21"/>
              </w:rPr>
            </w:pPr>
            <w:r>
              <w:rPr>
                <w:rFonts w:cs="Arial" w:ascii="Arial" w:hAnsi="Arial"/>
                <w:b/>
                <w:bCs/>
                <w:sz w:val="21"/>
                <w:szCs w:val="21"/>
              </w:rPr>
              <w:t>Quant. Máx</w:t>
            </w:r>
          </w:p>
        </w:tc>
        <w:tc>
          <w:tcPr>
            <w:tcW w:w="1350"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before="0" w:after="0"/>
              <w:jc w:val="center"/>
              <w:rPr>
                <w:rFonts w:ascii="Arial" w:hAnsi="Arial" w:eastAsia="Calibri" w:cs="Arial" w:eastAsiaTheme="minorHAnsi"/>
                <w:b/>
                <w:b/>
                <w:bCs/>
                <w:color w:val="auto"/>
                <w:kern w:val="0"/>
                <w:sz w:val="21"/>
                <w:szCs w:val="21"/>
                <w:lang w:val="pt-BR" w:eastAsia="en-US" w:bidi="ar-SA"/>
              </w:rPr>
            </w:pPr>
            <w:r>
              <w:rPr>
                <w:rFonts w:eastAsia="Calibri" w:cs="Arial" w:ascii="Arial" w:hAnsi="Arial" w:eastAsiaTheme="minorHAnsi"/>
                <w:b/>
                <w:bCs/>
                <w:color w:val="auto"/>
                <w:kern w:val="0"/>
                <w:sz w:val="21"/>
                <w:szCs w:val="21"/>
                <w:lang w:val="pt-BR" w:eastAsia="en-US" w:bidi="ar-SA"/>
              </w:rPr>
              <w:t>Quant. Mín.</w:t>
            </w:r>
          </w:p>
        </w:tc>
      </w:tr>
      <w:tr>
        <w:trPr/>
        <w:tc>
          <w:tcPr>
            <w:tcW w:w="568"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cs="Arial" w:ascii="Arial" w:hAnsi="Arial"/>
                <w:sz w:val="21"/>
                <w:szCs w:val="21"/>
                <w:shd w:fill="auto" w:val="clear"/>
              </w:rPr>
              <w:t>01</w:t>
            </w:r>
          </w:p>
        </w:tc>
        <w:tc>
          <w:tcPr>
            <w:tcW w:w="5635" w:type="dxa"/>
            <w:tcBorders>
              <w:left w:val="single" w:sz="2" w:space="0" w:color="000000"/>
              <w:bottom w:val="single" w:sz="2" w:space="0" w:color="000000"/>
            </w:tcBorders>
            <w:vAlign w:val="center"/>
          </w:tcPr>
          <w:p>
            <w:pPr>
              <w:pStyle w:val="Normal"/>
              <w:widowControl w:val="false"/>
              <w:spacing w:lineRule="auto" w:line="240" w:before="0" w:after="0"/>
              <w:jc w:val="both"/>
              <w:rPr>
                <w:rFonts w:ascii="Arial" w:hAnsi="Arial"/>
                <w:sz w:val="21"/>
                <w:szCs w:val="21"/>
              </w:rPr>
            </w:pPr>
            <w:r>
              <w:rPr>
                <w:rFonts w:cs="Arial" w:ascii="Arial" w:hAnsi="Arial"/>
                <w:color w:val="000000"/>
                <w:sz w:val="21"/>
                <w:szCs w:val="21"/>
                <w:shd w:fill="auto" w:val="clear"/>
              </w:rPr>
              <w:t>Caf</w:t>
            </w:r>
            <w:r>
              <w:rPr>
                <w:rFonts w:cs="Arial" w:ascii="Arial" w:hAnsi="Arial"/>
                <w:sz w:val="21"/>
                <w:szCs w:val="21"/>
              </w:rPr>
              <w:t xml:space="preserve">é torrado em grãos, do tipo Superior, de primeira qualidade. </w:t>
            </w:r>
            <w:r>
              <w:rPr>
                <w:rFonts w:ascii="Arial" w:hAnsi="Arial"/>
                <w:sz w:val="21"/>
                <w:szCs w:val="21"/>
              </w:rPr>
              <w:t>Espécie: 100% de café arábica. Bebida (sabor): do tipo intenso, bebida dura para melhor;</w:t>
            </w:r>
          </w:p>
          <w:p>
            <w:pPr>
              <w:pStyle w:val="Normal"/>
              <w:widowControl w:val="false"/>
              <w:spacing w:lineRule="auto" w:line="240" w:before="0" w:after="160"/>
              <w:jc w:val="both"/>
              <w:rPr>
                <w:rFonts w:ascii="Arial" w:hAnsi="Arial"/>
                <w:sz w:val="21"/>
                <w:szCs w:val="21"/>
              </w:rPr>
            </w:pPr>
            <w:r>
              <w:rPr>
                <w:rFonts w:ascii="Arial" w:hAnsi="Arial"/>
                <w:sz w:val="21"/>
                <w:szCs w:val="21"/>
              </w:rPr>
              <w:t>Aspecto: Grãos de café dos tipos 2 a 6, da COB – Classificação; Características físicas: grãos torrados, com o ponto de torra variando entre 50 e 65 pontos de Disco Agtron, ou equivalente, correspondendo ao intervalo médio moderadamente escuro e médio cla</w:t>
            </w:r>
            <w:r>
              <w:rPr>
                <w:rFonts w:ascii="Arial" w:hAnsi="Arial"/>
                <w:sz w:val="21"/>
                <w:szCs w:val="21"/>
                <w:shd w:fill="auto" w:val="clear"/>
              </w:rPr>
              <w:t>ro.</w:t>
            </w:r>
            <w:r>
              <w:rPr>
                <w:rFonts w:cs="" w:ascii="Arial" w:hAnsi="Arial" w:cstheme="minorBidi"/>
                <w:sz w:val="21"/>
                <w:szCs w:val="21"/>
                <w:shd w:fill="auto" w:val="clear"/>
              </w:rPr>
              <w:t xml:space="preserve"> </w:t>
            </w:r>
            <w:r>
              <w:rPr>
                <w:rFonts w:ascii="Arial" w:hAnsi="Arial"/>
                <w:sz w:val="21"/>
                <w:szCs w:val="21"/>
                <w:shd w:fill="auto" w:val="clear"/>
              </w:rPr>
              <w:t>C</w:t>
            </w:r>
            <w:r>
              <w:rPr>
                <w:rFonts w:ascii="Arial" w:hAnsi="Arial"/>
                <w:sz w:val="21"/>
                <w:szCs w:val="21"/>
              </w:rPr>
              <w:t xml:space="preserve">aracterísticas Organolépticas: Aroma característico; acidez baixa a moderada; amargor moderado; sabor característico e equilibrado; livre de sabor fermentado, mofado, terra; baixa adstringência; razoavelmente encorpado; qualidade global maior que 6,00 pontos da escala sensorial, de bom a muito bom. Embalagem: Tipo Alto Vácuo ou Vácuo Puro em pacotes de 500 gramas a 1000 gramas; Com a identificação do produto, a marca do fabricante, a data de fabricação e prazo de validade, que deverá ser de, no mínimo, 12 meses. No ato da entrega do produto, poderão ter transcorrido, no máximo, 90 </w:t>
            </w:r>
            <w:r>
              <w:rPr>
                <w:rFonts w:cs="Arial" w:ascii="Arial" w:hAnsi="Arial"/>
                <w:sz w:val="21"/>
                <w:szCs w:val="21"/>
              </w:rPr>
              <w:t>dias da data de sua fabricação.</w:t>
            </w:r>
          </w:p>
        </w:tc>
        <w:tc>
          <w:tcPr>
            <w:tcW w:w="1200"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eastAsia="Calibri" w:cs="Arial" w:ascii="Arial" w:hAnsi="Arial" w:eastAsiaTheme="minorHAnsi"/>
                <w:color w:val="000000"/>
                <w:kern w:val="0"/>
                <w:sz w:val="21"/>
                <w:szCs w:val="21"/>
                <w:shd w:fill="auto" w:val="clear"/>
                <w:lang w:val="pt-BR" w:eastAsia="en-US" w:bidi="ar-SA"/>
              </w:rPr>
              <w:t xml:space="preserve">16 </w:t>
            </w:r>
            <w:r>
              <w:rPr>
                <w:rFonts w:eastAsia="Calibri" w:cs="Arial" w:ascii="Arial" w:hAnsi="Arial"/>
                <w:color w:val="000000"/>
                <w:kern w:val="0"/>
                <w:sz w:val="21"/>
                <w:szCs w:val="21"/>
                <w:shd w:fill="auto" w:val="clear"/>
                <w:lang w:val="pt-BR" w:eastAsia="en-US" w:bidi="ar-SA"/>
              </w:rPr>
              <w:t>kg</w:t>
            </w:r>
          </w:p>
        </w:tc>
        <w:tc>
          <w:tcPr>
            <w:tcW w:w="1350" w:type="dxa"/>
            <w:tcBorders>
              <w:left w:val="single" w:sz="2" w:space="0" w:color="000000"/>
              <w:bottom w:val="single" w:sz="2"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eastAsia="Calibri" w:cs="Arial"/>
                <w:color w:val="auto"/>
                <w:kern w:val="0"/>
                <w:sz w:val="21"/>
                <w:szCs w:val="21"/>
                <w:shd w:fill="auto" w:val="clear"/>
                <w:lang w:val="pt-BR" w:eastAsia="en-US" w:bidi="ar-SA"/>
              </w:rPr>
            </w:pPr>
            <w:r>
              <w:rPr>
                <w:rFonts w:eastAsia="Calibri" w:cs="Arial" w:ascii="Arial" w:hAnsi="Arial"/>
                <w:color w:val="000000"/>
                <w:kern w:val="0"/>
                <w:sz w:val="21"/>
                <w:szCs w:val="21"/>
                <w:shd w:fill="auto" w:val="clear"/>
                <w:lang w:val="pt-BR" w:eastAsia="en-US" w:bidi="ar-SA"/>
              </w:rPr>
              <w:t>03 kg</w:t>
            </w:r>
          </w:p>
        </w:tc>
      </w:tr>
      <w:tr>
        <w:trPr>
          <w:trHeight w:val="624" w:hRule="atLeast"/>
        </w:trPr>
        <w:tc>
          <w:tcPr>
            <w:tcW w:w="568"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b w:val="false"/>
                <w:b w:val="false"/>
                <w:bCs w:val="false"/>
                <w:sz w:val="21"/>
                <w:szCs w:val="21"/>
                <w:u w:val="none"/>
                <w:shd w:fill="auto" w:val="clear"/>
              </w:rPr>
            </w:pPr>
            <w:r>
              <w:rPr>
                <w:rFonts w:cs="Arial" w:ascii="Arial" w:hAnsi="Arial"/>
                <w:b w:val="false"/>
                <w:bCs w:val="false"/>
                <w:sz w:val="21"/>
                <w:szCs w:val="21"/>
                <w:u w:val="none"/>
                <w:shd w:fill="auto" w:val="clear"/>
              </w:rPr>
              <w:t>02</w:t>
            </w:r>
          </w:p>
        </w:tc>
        <w:tc>
          <w:tcPr>
            <w:tcW w:w="5635" w:type="dxa"/>
            <w:tcBorders>
              <w:left w:val="single" w:sz="2" w:space="0" w:color="000000"/>
              <w:bottom w:val="single" w:sz="2" w:space="0" w:color="000000"/>
            </w:tcBorders>
            <w:vAlign w:val="center"/>
          </w:tcPr>
          <w:p>
            <w:pPr>
              <w:pStyle w:val="Normal"/>
              <w:widowControl w:val="false"/>
              <w:spacing w:lineRule="auto" w:line="240" w:before="0" w:after="0"/>
              <w:jc w:val="both"/>
              <w:rPr>
                <w:rFonts w:ascii="Arial" w:hAnsi="Arial"/>
                <w:sz w:val="21"/>
                <w:szCs w:val="21"/>
              </w:rPr>
            </w:pPr>
            <w:r>
              <w:rPr>
                <w:rFonts w:cs="Arial" w:ascii="Arial" w:hAnsi="Arial"/>
                <w:color w:val="000000"/>
                <w:sz w:val="21"/>
                <w:szCs w:val="21"/>
                <w:shd w:fill="auto" w:val="clear"/>
              </w:rPr>
              <w:t>Caf</w:t>
            </w:r>
            <w:r>
              <w:rPr>
                <w:rFonts w:cs="Arial" w:ascii="Arial" w:hAnsi="Arial"/>
                <w:sz w:val="21"/>
                <w:szCs w:val="21"/>
              </w:rPr>
              <w:t xml:space="preserve">é torrado e moído, do tipo Superior, de primeira qualidade. </w:t>
            </w:r>
            <w:r>
              <w:rPr>
                <w:rFonts w:ascii="Arial" w:hAnsi="Arial"/>
                <w:sz w:val="21"/>
                <w:szCs w:val="21"/>
              </w:rPr>
              <w:t xml:space="preserve">Espécie: 100% de café </w:t>
            </w:r>
            <w:r>
              <w:rPr>
                <w:rFonts w:ascii="Arial" w:hAnsi="Arial"/>
                <w:sz w:val="21"/>
                <w:szCs w:val="21"/>
                <w:shd w:fill="auto" w:val="clear"/>
              </w:rPr>
              <w:t>arábica. Bebida (sabor): do tipo intenso, bebida dura para melhor;</w:t>
            </w:r>
          </w:p>
          <w:p>
            <w:pPr>
              <w:pStyle w:val="Normal"/>
              <w:widowControl w:val="false"/>
              <w:spacing w:lineRule="auto" w:line="240" w:before="0" w:after="0"/>
              <w:jc w:val="both"/>
              <w:rPr>
                <w:rFonts w:ascii="Arial" w:hAnsi="Arial" w:cs="Arial"/>
                <w:sz w:val="21"/>
                <w:szCs w:val="21"/>
              </w:rPr>
            </w:pPr>
            <w:r>
              <w:rPr>
                <w:rFonts w:cs="Arial" w:ascii="Arial" w:hAnsi="Arial"/>
                <w:b w:val="false"/>
                <w:bCs w:val="false"/>
                <w:color w:val="000000"/>
                <w:sz w:val="21"/>
                <w:szCs w:val="21"/>
                <w:u w:val="none"/>
                <w:shd w:fill="auto" w:val="clear"/>
              </w:rPr>
              <w:t xml:space="preserve">Aspecto: Grãos de café dos tipos 2 a 6, da COB – Classificação; Características físicas: grãos torrados e moídos, com o ponto de torra variando entre 50 e 65 pontos de Disco Agtron, ou equivalente, correspondendo ao intervalo médio moderadamente escuro e médio claro. </w:t>
            </w:r>
            <w:r>
              <w:rPr>
                <w:rFonts w:eastAsia="Calibri" w:cs="Arial" w:ascii="Arial" w:hAnsi="Arial" w:eastAsiaTheme="minorHAnsi"/>
                <w:b w:val="false"/>
                <w:bCs w:val="false"/>
                <w:color w:val="000000"/>
                <w:kern w:val="0"/>
                <w:sz w:val="21"/>
                <w:szCs w:val="21"/>
                <w:u w:val="none"/>
                <w:shd w:fill="auto" w:val="clear"/>
                <w:lang w:val="pt-BR" w:eastAsia="en-US" w:bidi="ar-SA"/>
              </w:rPr>
              <w:t>Moagem média a média fina.</w:t>
            </w:r>
            <w:r>
              <w:rPr>
                <w:rFonts w:cs="Arial" w:ascii="Arial" w:hAnsi="Arial"/>
                <w:b w:val="false"/>
                <w:bCs w:val="false"/>
                <w:color w:val="000000"/>
                <w:sz w:val="21"/>
                <w:szCs w:val="21"/>
                <w:u w:val="none"/>
                <w:shd w:fill="auto" w:val="clear"/>
              </w:rPr>
              <w:t xml:space="preserve"> Características Organolépticas: Aroma característico; acidez baixa a moderada; amargor moderado; sabor característico e equilibrado; livre de sabor fermentado, mofado, terra; baixa adstringência; razoavelmente encorpado; qualidade global maior que 6,00 pontos da escala sensorial, de bom a muito bom. Embalagem: Tipo Alto Vácuo ou Vácuo Puro em pacotes de 500 gramas a 1000 gramas; Com a identificação do produto, a marca do fabricante, a data de fabricação e prazo de validade, que deverá ser de, no mínimo, 12 meses. No ato da entrega do produto, poderão ter transcorrido, no máximo, 90 dias da data de sua fabricação.</w:t>
            </w:r>
          </w:p>
        </w:tc>
        <w:tc>
          <w:tcPr>
            <w:tcW w:w="1200"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rPr>
            </w:pPr>
            <w:r>
              <w:rPr>
                <w:rFonts w:eastAsia="Calibri" w:cs="Arial" w:ascii="Arial" w:hAnsi="Arial" w:eastAsiaTheme="minorHAnsi"/>
                <w:color w:val="000000"/>
                <w:kern w:val="0"/>
                <w:sz w:val="21"/>
                <w:szCs w:val="21"/>
                <w:shd w:fill="auto" w:val="clear"/>
                <w:lang w:val="pt-BR" w:eastAsia="en-US" w:bidi="ar-SA"/>
              </w:rPr>
              <w:t>16</w:t>
            </w:r>
            <w:r>
              <w:rPr>
                <w:rFonts w:eastAsia="Calibri" w:cs="Arial" w:ascii="Arial" w:hAnsi="Arial"/>
                <w:color w:val="000000"/>
                <w:kern w:val="0"/>
                <w:sz w:val="21"/>
                <w:szCs w:val="21"/>
                <w:shd w:fill="auto" w:val="clear"/>
                <w:lang w:val="pt-BR" w:eastAsia="en-US" w:bidi="ar-SA"/>
              </w:rPr>
              <w:t xml:space="preserve"> kg</w:t>
            </w:r>
          </w:p>
        </w:tc>
        <w:tc>
          <w:tcPr>
            <w:tcW w:w="1350" w:type="dxa"/>
            <w:tcBorders>
              <w:left w:val="single" w:sz="2" w:space="0" w:color="000000"/>
              <w:bottom w:val="single" w:sz="2"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eastAsia="Calibri" w:cs="Arial"/>
                <w:color w:val="auto"/>
                <w:kern w:val="0"/>
                <w:sz w:val="21"/>
                <w:szCs w:val="21"/>
                <w:shd w:fill="auto" w:val="clear"/>
                <w:lang w:val="pt-BR" w:eastAsia="en-US" w:bidi="ar-SA"/>
              </w:rPr>
            </w:pPr>
            <w:r>
              <w:rPr>
                <w:rFonts w:eastAsia="Calibri" w:cs="Arial" w:ascii="Arial" w:hAnsi="Arial"/>
                <w:color w:val="000000"/>
                <w:kern w:val="0"/>
                <w:sz w:val="21"/>
                <w:szCs w:val="21"/>
                <w:shd w:fill="auto" w:val="clear"/>
                <w:lang w:val="pt-BR" w:eastAsia="en-US" w:bidi="ar-SA"/>
              </w:rPr>
              <w:t>03 kg</w:t>
            </w:r>
          </w:p>
        </w:tc>
      </w:tr>
      <w:tr>
        <w:trPr/>
        <w:tc>
          <w:tcPr>
            <w:tcW w:w="568"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cs="Arial" w:ascii="Arial" w:hAnsi="Arial"/>
                <w:sz w:val="21"/>
                <w:szCs w:val="21"/>
                <w:shd w:fill="auto" w:val="clear"/>
              </w:rPr>
              <w:t>03</w:t>
            </w:r>
          </w:p>
        </w:tc>
        <w:tc>
          <w:tcPr>
            <w:tcW w:w="5635" w:type="dxa"/>
            <w:tcBorders>
              <w:left w:val="single" w:sz="2" w:space="0" w:color="000000"/>
              <w:bottom w:val="single" w:sz="2" w:space="0" w:color="000000"/>
            </w:tcBorders>
            <w:vAlign w:val="center"/>
          </w:tcPr>
          <w:p>
            <w:pPr>
              <w:pStyle w:val="Normal"/>
              <w:widowControl w:val="false"/>
              <w:spacing w:lineRule="auto" w:line="240" w:before="0" w:after="0"/>
              <w:jc w:val="both"/>
              <w:rPr>
                <w:rFonts w:ascii="Arial" w:hAnsi="Arial"/>
                <w:sz w:val="21"/>
                <w:szCs w:val="21"/>
              </w:rPr>
            </w:pPr>
            <w:r>
              <w:rPr>
                <w:rFonts w:eastAsia="Calibri" w:cs="Arial" w:ascii="Arial" w:hAnsi="Arial"/>
                <w:b w:val="false"/>
                <w:i w:val="false"/>
                <w:caps w:val="false"/>
                <w:smallCaps w:val="false"/>
                <w:color w:val="000000"/>
                <w:spacing w:val="0"/>
                <w:kern w:val="0"/>
                <w:sz w:val="21"/>
                <w:szCs w:val="21"/>
                <w:shd w:fill="auto" w:val="clear"/>
                <w:lang w:val="pt-BR" w:eastAsia="en-US" w:bidi="ar-SA"/>
              </w:rPr>
              <w:t>Caf</w:t>
            </w:r>
            <w:r>
              <w:rPr>
                <w:rFonts w:eastAsia="Calibri" w:cs="Arial" w:ascii="Arial" w:hAnsi="Arial"/>
                <w:color w:val="000000"/>
                <w:kern w:val="0"/>
                <w:sz w:val="21"/>
                <w:szCs w:val="21"/>
                <w:shd w:fill="auto" w:val="clear"/>
                <w:lang w:val="pt-BR" w:eastAsia="en-US" w:bidi="ar-SA"/>
              </w:rPr>
              <w:t xml:space="preserve">é solúvel instantâneo granulado, tipo tradicional. </w:t>
            </w:r>
            <w:r>
              <w:rPr>
                <w:rFonts w:ascii="Arial" w:hAnsi="Arial"/>
                <w:sz w:val="21"/>
                <w:szCs w:val="21"/>
              </w:rPr>
              <w:t xml:space="preserve">Características físicas: Café granulado tipo tradicional. Preparado com grãos de café são e limpos, recentemente torrados e moídos, isentos de matéria terrosa, parasitos, detritos vegetais e animais, em perfeito estado de conservação; com água potável; e sem quaisquer adições de conservadores ou outros aditivos. Características Organolépticas: aspecto - granulado, cor castanha escura, aroma e sabor característico; livre de sujidades, parasitas e larvas. Embalagem: Tipo Alto Vácuo ou Vácuo Puro em pacotes de 500 gramas a 1000 gramas. Com a identificação do produto, a marca do fabricante, a data de fabricação e prazo de validade, que deverá ser de, no mínimo, 12 meses. No ato da entrega do produto, poderão ter transcorrido, no máximo, 90 </w:t>
            </w:r>
            <w:r>
              <w:rPr>
                <w:rFonts w:eastAsia="Calibri" w:cs="Arial" w:ascii="Arial" w:hAnsi="Arial"/>
                <w:color w:val="000000"/>
                <w:kern w:val="0"/>
                <w:sz w:val="21"/>
                <w:szCs w:val="21"/>
                <w:shd w:fill="auto" w:val="clear"/>
                <w:lang w:val="pt-BR" w:eastAsia="en-US" w:bidi="ar-SA"/>
              </w:rPr>
              <w:t>dias da data de sua fabricação.</w:t>
            </w:r>
          </w:p>
        </w:tc>
        <w:tc>
          <w:tcPr>
            <w:tcW w:w="1200"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eastAsia="Calibri" w:cs="Arial" w:ascii="Arial" w:hAnsi="Arial"/>
                <w:color w:val="000000"/>
                <w:kern w:val="0"/>
                <w:sz w:val="21"/>
                <w:szCs w:val="21"/>
                <w:shd w:fill="auto" w:val="clear"/>
                <w:lang w:val="pt-BR" w:eastAsia="en-US" w:bidi="ar-SA"/>
              </w:rPr>
              <w:t>16 kg</w:t>
            </w:r>
          </w:p>
        </w:tc>
        <w:tc>
          <w:tcPr>
            <w:tcW w:w="1350" w:type="dxa"/>
            <w:tcBorders>
              <w:left w:val="single" w:sz="2" w:space="0" w:color="000000"/>
              <w:bottom w:val="single" w:sz="2"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eastAsia="Calibri" w:cs="Arial"/>
                <w:color w:val="auto"/>
                <w:kern w:val="0"/>
                <w:sz w:val="21"/>
                <w:szCs w:val="21"/>
                <w:shd w:fill="auto" w:val="clear"/>
                <w:lang w:val="pt-BR" w:eastAsia="en-US" w:bidi="ar-SA"/>
              </w:rPr>
            </w:pPr>
            <w:r>
              <w:rPr>
                <w:rFonts w:eastAsia="Calibri" w:cs="Arial" w:ascii="Arial" w:hAnsi="Arial"/>
                <w:color w:val="000000"/>
                <w:kern w:val="0"/>
                <w:sz w:val="21"/>
                <w:szCs w:val="21"/>
                <w:shd w:fill="auto" w:val="clear"/>
                <w:lang w:val="pt-BR" w:eastAsia="en-US" w:bidi="ar-SA"/>
              </w:rPr>
              <w:t>03 kg</w:t>
            </w:r>
          </w:p>
        </w:tc>
      </w:tr>
      <w:tr>
        <w:trPr/>
        <w:tc>
          <w:tcPr>
            <w:tcW w:w="568" w:type="dxa"/>
            <w:tcBorders>
              <w:left w:val="single" w:sz="2" w:space="0" w:color="000000"/>
              <w:bottom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cs="Arial" w:ascii="Arial" w:hAnsi="Arial"/>
                <w:sz w:val="21"/>
                <w:szCs w:val="21"/>
                <w:shd w:fill="auto" w:val="clear"/>
              </w:rPr>
              <w:t>04</w:t>
            </w:r>
          </w:p>
        </w:tc>
        <w:tc>
          <w:tcPr>
            <w:tcW w:w="5635" w:type="dxa"/>
            <w:tcBorders>
              <w:left w:val="single" w:sz="2" w:space="0" w:color="000000"/>
              <w:bottom w:val="single" w:sz="4" w:space="0" w:color="000000"/>
            </w:tcBorders>
            <w:vAlign w:val="center"/>
          </w:tcPr>
          <w:p>
            <w:pPr>
              <w:pStyle w:val="Normal"/>
              <w:widowControl w:val="false"/>
              <w:spacing w:lineRule="auto" w:line="240" w:before="0" w:after="0"/>
              <w:jc w:val="both"/>
              <w:rPr>
                <w:rFonts w:ascii="Arial" w:hAnsi="Arial"/>
                <w:sz w:val="21"/>
                <w:szCs w:val="21"/>
              </w:rPr>
            </w:pPr>
            <w:r>
              <w:rPr>
                <w:rFonts w:eastAsia="Times New Roman" w:cs="Calibri" w:ascii="Arial" w:hAnsi="Arial" w:cstheme="minorHAnsi"/>
                <w:color w:val="000000"/>
                <w:kern w:val="0"/>
                <w:sz w:val="21"/>
                <w:szCs w:val="21"/>
                <w:shd w:fill="auto" w:val="clear"/>
                <w:lang w:val="pt-PT" w:eastAsia="pt-BR" w:bidi="ar-SA"/>
              </w:rPr>
              <w:t>Preparo em p</w:t>
            </w:r>
            <w:r>
              <w:rPr>
                <w:rFonts w:ascii="Arial" w:hAnsi="Arial"/>
                <w:sz w:val="21"/>
                <w:szCs w:val="21"/>
              </w:rPr>
              <w:t>ó solúvel para cappuccino Características físicas: Preparo em pó solúvel para cappuccino, sabor tradicional.</w:t>
            </w:r>
          </w:p>
          <w:p>
            <w:pPr>
              <w:pStyle w:val="Normal"/>
              <w:widowControl w:val="false"/>
              <w:spacing w:lineRule="auto" w:line="240" w:before="0" w:after="0"/>
              <w:jc w:val="both"/>
              <w:rPr>
                <w:rFonts w:ascii="Arial" w:hAnsi="Arial"/>
                <w:sz w:val="21"/>
                <w:szCs w:val="21"/>
              </w:rPr>
            </w:pPr>
            <w:r>
              <w:rPr>
                <w:rFonts w:ascii="Arial" w:hAnsi="Arial"/>
                <w:sz w:val="21"/>
                <w:szCs w:val="21"/>
              </w:rPr>
              <w:t>Características Organolépticas: aspecto - pó, cor, aroma e sabor característicos; livre de sujidades, parasitas e larvas. Embalagem: Tipo Alto Vácuo ou Vácuo Puro em pacotes de 400 gramas a 1000 gramas. Com a identificação do produto, a marca do fabricante, a data de fabricação e prazo de validade, que deverá ser de, no mínimo, 6 meses. No ato da entrega do produto, poderão ter transcorrido, no máximo, 60 dias da data de sua fabricação. deverá ser de, no mínimo, 6 meses. No ato da entrega do produto, poderão ter transcorrido, no máximo, 60 dias da data de sua fabricação.</w:t>
            </w:r>
          </w:p>
        </w:tc>
        <w:tc>
          <w:tcPr>
            <w:tcW w:w="1200" w:type="dxa"/>
            <w:tcBorders>
              <w:left w:val="single" w:sz="2" w:space="0" w:color="000000"/>
              <w:bottom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1"/>
                <w:szCs w:val="21"/>
                <w:shd w:fill="auto" w:val="clear"/>
              </w:rPr>
            </w:pPr>
            <w:r>
              <w:rPr>
                <w:rFonts w:eastAsia="Calibri" w:cs="Arial" w:ascii="Arial" w:hAnsi="Arial"/>
                <w:color w:val="000000"/>
                <w:kern w:val="0"/>
                <w:sz w:val="21"/>
                <w:szCs w:val="21"/>
                <w:shd w:fill="auto" w:val="clear"/>
                <w:lang w:val="pt-BR" w:eastAsia="en-US" w:bidi="ar-SA"/>
              </w:rPr>
              <w:t>16 kg</w:t>
            </w:r>
          </w:p>
        </w:tc>
        <w:tc>
          <w:tcPr>
            <w:tcW w:w="1350" w:type="dxa"/>
            <w:tcBorders>
              <w:left w:val="single" w:sz="2" w:space="0" w:color="000000"/>
              <w:bottom w:val="single" w:sz="4" w:space="0" w:color="000000"/>
              <w:right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eastAsia="Calibri" w:cs="Arial" w:eastAsiaTheme="minorHAnsi"/>
                <w:color w:val="000000"/>
                <w:kern w:val="0"/>
                <w:sz w:val="21"/>
                <w:szCs w:val="21"/>
                <w:shd w:fill="auto" w:val="clear"/>
                <w:lang w:val="pt-BR" w:eastAsia="en-US" w:bidi="ar-SA"/>
              </w:rPr>
            </w:pPr>
            <w:r>
              <w:rPr>
                <w:rFonts w:eastAsia="Calibri" w:cs="Arial" w:ascii="Arial" w:hAnsi="Arial" w:eastAsiaTheme="minorHAnsi"/>
                <w:color w:val="000000"/>
                <w:kern w:val="0"/>
                <w:sz w:val="21"/>
                <w:szCs w:val="21"/>
                <w:shd w:fill="auto" w:val="clear"/>
                <w:lang w:val="pt-BR" w:eastAsia="en-US" w:bidi="ar-SA"/>
              </w:rPr>
              <w:t>03 kg</w:t>
            </w:r>
          </w:p>
        </w:tc>
      </w:tr>
    </w:tbl>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ANEXO III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DECLARAÇÃO DE INEXISTÊNCIA DE IMPEDIMENTOS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tab/>
        <w:t>O licitante ___________________________, inscrito no CPF/CNPJ nº ______________, DECLARA que não incorre nas vedações previstas na Lei nº 14.133/2021, assumindo a responsabilidade de comunicar imediatamente a Administração Pública no caso de incorrer:</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Pessoa física ou jurídica que se encontre, ao tempo da licitação, impossibilitada de participar da licitação em decorrência de sanção que lhe foi imposta;</w:t>
      </w:r>
    </w:p>
    <w:p>
      <w:pPr>
        <w:pStyle w:val="ListParagraph"/>
        <w:tabs>
          <w:tab w:val="clear" w:pos="708"/>
          <w:tab w:val="left" w:pos="1701" w:leader="none"/>
        </w:tabs>
        <w:spacing w:lineRule="auto" w:line="240" w:before="0" w:after="0"/>
        <w:ind w:left="1418" w:hanging="0"/>
        <w:contextualSpacing/>
        <w:jc w:val="both"/>
        <w:rPr>
          <w:rFonts w:ascii="Arial" w:hAnsi="Arial" w:cs="Arial"/>
        </w:rPr>
      </w:pPr>
      <w:r>
        <w:rPr>
          <w:rFonts w:cs="Arial" w:ascii="Arial" w:hAnsi="Arial"/>
          <w:b/>
        </w:rPr>
        <w:t>Obs. 1:</w:t>
      </w:r>
      <w:r>
        <w:rPr>
          <w:rFonts w:cs="Arial" w:ascii="Arial" w:hAnsi="Arial"/>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 xml:space="preserve">Empresas controladoras, controladas ou coligadas, nos termos da </w:t>
      </w:r>
      <w:hyperlink r:id="rId24">
        <w:r>
          <w:rPr>
            <w:rStyle w:val="LinkdaInternet"/>
            <w:rFonts w:cs="Arial" w:ascii="Arial" w:hAnsi="Arial"/>
          </w:rPr>
          <w:t>Lei nº 6.404, de 15 de dezembro de 1976 – Dispõe sobre as Sociedades por Ações</w:t>
        </w:r>
      </w:hyperlink>
      <w:r>
        <w:rPr>
          <w:rFonts w:cs="Arial" w:ascii="Arial" w:hAnsi="Arial"/>
        </w:rPr>
        <w:t>, concorrendo entre si;</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É impedida a empresa consorciada participar, na mesma licitação, de mais de um consórcio ou de forma isolada;</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37"/>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rPr>
      </w:pPr>
      <w:r>
        <w:rPr>
          <w:rFonts w:cs="Arial" w:ascii="Arial" w:hAnsi="Arial"/>
          <w:b/>
        </w:rPr>
        <w:t>ANEXO IV</w:t>
      </w:r>
    </w:p>
    <w:p>
      <w:pPr>
        <w:pStyle w:val="Normal"/>
        <w:spacing w:lineRule="auto" w:line="240" w:before="0" w:after="0"/>
        <w:jc w:val="center"/>
        <w:rPr>
          <w:rFonts w:ascii="Arial" w:hAnsi="Arial" w:cs="Arial"/>
          <w:b/>
          <w:b/>
        </w:rPr>
      </w:pPr>
      <w:r>
        <w:rPr>
          <w:rFonts w:cs="Arial" w:ascii="Arial" w:hAnsi="Arial"/>
          <w:b/>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t>INSTRUMENTO PARTICULAR DE CONFIDENCIALIDADE E OUTRAS AVENÇAS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t xml:space="preserve">Por este instrumento, de um lado, </w:t>
      </w:r>
      <w:r>
        <w:rPr>
          <w:rFonts w:cs="Arial" w:ascii="Arial" w:hAnsi="Arial"/>
          <w:b/>
          <w:bCs/>
          <w:spacing w:val="2"/>
          <w:sz w:val="22"/>
          <w:szCs w:val="22"/>
        </w:rPr>
        <w:t>Município de Itá-SC</w:t>
      </w:r>
      <w:r>
        <w:rPr>
          <w:rFonts w:cs="Arial" w:ascii="Arial" w:hAnsi="Arial"/>
          <w:spacing w:val="2"/>
          <w:sz w:val="22"/>
          <w:szCs w:val="22"/>
        </w:rPr>
        <w:t xml:space="preserve">, neste ato representado pelo conforme estabelecido em seu contrato social (“Parte Reveladora”) e, de outro lado, a </w:t>
      </w:r>
      <w:r>
        <w:rPr>
          <w:rFonts w:cs="Arial" w:ascii="Arial" w:hAnsi="Arial"/>
          <w:b/>
          <w:spacing w:val="2"/>
          <w:sz w:val="22"/>
          <w:szCs w:val="22"/>
        </w:rPr>
        <w:t>empresa .........................................................................</w:t>
      </w:r>
      <w:r>
        <w:rPr>
          <w:rFonts w:cs="Arial" w:ascii="Arial" w:hAnsi="Arial"/>
          <w:spacing w:val="2"/>
          <w:sz w:val="22"/>
          <w:szCs w:val="22"/>
        </w:rPr>
        <w:t xml:space="preserve">, inscrita no CNPJ sob o nº ..................................., com sede ..................................................., neste ato representada pelo seu representante legal. ..................................................... CPF .......................(“Parte Receptora”), resolvem, em comum acordo e na melhor forma de direito, celebrar o </w:t>
      </w:r>
      <w:r>
        <w:rPr>
          <w:rFonts w:cs="Arial" w:ascii="Arial" w:hAnsi="Arial"/>
          <w:b/>
          <w:bCs/>
          <w:spacing w:val="2"/>
          <w:sz w:val="22"/>
          <w:szCs w:val="22"/>
        </w:rPr>
        <w:t>Instrumento Particular de Confidencialidade e Outras Avenças</w:t>
      </w:r>
      <w:r>
        <w:rPr>
          <w:rFonts w:cs="Arial" w:ascii="Arial" w:hAnsi="Arial"/>
          <w:spacing w:val="2"/>
          <w:sz w:val="22"/>
          <w:szCs w:val="22"/>
        </w:rPr>
        <w:t>, mediante as cláusulas e condições que seguem:</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 xml:space="preserve">CLÁUSULA PRIMEIRA </w:t>
      </w:r>
      <w:r>
        <w:rPr>
          <w:rFonts w:cs="Arial" w:ascii="Arial" w:hAnsi="Arial"/>
          <w:spacing w:val="2"/>
          <w:sz w:val="22"/>
          <w:szCs w:val="22"/>
        </w:rPr>
        <w:t xml:space="preserve">– </w:t>
      </w:r>
      <w:r>
        <w:rPr>
          <w:rFonts w:cs="Arial" w:ascii="Arial" w:hAnsi="Arial"/>
          <w:b/>
          <w:bCs/>
          <w:spacing w:val="2"/>
          <w:sz w:val="22"/>
          <w:szCs w:val="22"/>
        </w:rPr>
        <w:t>DO OBJETO</w:t>
      </w:r>
    </w:p>
    <w:p>
      <w:pPr>
        <w:pStyle w:val="NormalWeb"/>
        <w:shd w:val="clear" w:color="auto" w:fill="FFFFFF"/>
        <w:spacing w:lineRule="auto" w:line="240" w:before="0" w:after="0"/>
        <w:jc w:val="both"/>
        <w:rPr>
          <w:rFonts w:ascii="Arial" w:hAnsi="Arial" w:cs="Arial"/>
          <w:sz w:val="22"/>
          <w:szCs w:val="22"/>
        </w:rPr>
      </w:pPr>
      <w:r>
        <w:rPr>
          <w:rFonts w:cs="Arial" w:ascii="Arial" w:hAnsi="Arial"/>
          <w:b/>
          <w:spacing w:val="2"/>
          <w:sz w:val="22"/>
          <w:szCs w:val="22"/>
        </w:rPr>
        <w:t>1.1.</w:t>
      </w:r>
      <w:r>
        <w:rPr>
          <w:rFonts w:cs="Arial" w:ascii="Arial" w:hAnsi="Arial"/>
          <w:spacing w:val="2"/>
          <w:sz w:val="22"/>
          <w:szCs w:val="22"/>
        </w:rPr>
        <w:t xml:space="preserve"> É objeto deste instrumento a manuten</w:t>
      </w:r>
      <w:r>
        <w:rPr>
          <w:rFonts w:cs="Arial" w:ascii="Arial" w:hAnsi="Arial"/>
          <w:sz w:val="22"/>
          <w:szCs w:val="22"/>
        </w:rPr>
        <w:t>ção do mais absoluto sigilo em relação a toda e qualquer informação relacionada aos dados fornecidos para a confecção do contrato/ata assinado juntamente com o Município de Itá-SC.</w:t>
      </w:r>
    </w:p>
    <w:p>
      <w:pPr>
        <w:pStyle w:val="NormalWeb"/>
        <w:shd w:val="clear" w:color="auto" w:fill="FFFFFF"/>
        <w:spacing w:lineRule="auto" w:line="240" w:before="0" w:after="0"/>
        <w:jc w:val="both"/>
        <w:rPr>
          <w:rFonts w:ascii="Arial" w:hAnsi="Arial" w:cs="Arial"/>
          <w:sz w:val="22"/>
          <w:szCs w:val="22"/>
        </w:rPr>
      </w:pPr>
      <w:r>
        <w:rPr>
          <w:rFonts w:cs="Arial" w:ascii="Arial" w:hAnsi="Arial"/>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 xml:space="preserve">CLÁUSULA SEGUNDA </w:t>
      </w:r>
      <w:r>
        <w:rPr>
          <w:rFonts w:cs="Arial" w:ascii="Arial" w:hAnsi="Arial"/>
          <w:spacing w:val="2"/>
          <w:sz w:val="22"/>
          <w:szCs w:val="22"/>
        </w:rPr>
        <w:t xml:space="preserve">– </w:t>
      </w:r>
      <w:r>
        <w:rPr>
          <w:rFonts w:cs="Arial" w:ascii="Arial" w:hAnsi="Arial"/>
          <w:b/>
          <w:bCs/>
          <w:spacing w:val="2"/>
          <w:sz w:val="22"/>
          <w:szCs w:val="22"/>
        </w:rPr>
        <w:t>DAS INFORMAÇÕES CONFIDENCIAIS</w:t>
      </w:r>
    </w:p>
    <w:p>
      <w:pPr>
        <w:pStyle w:val="NormalWeb"/>
        <w:shd w:val="clear" w:color="auto" w:fill="FFFFFF"/>
        <w:spacing w:lineRule="auto" w:line="240" w:before="0" w:after="0"/>
        <w:jc w:val="both"/>
        <w:rPr>
          <w:rFonts w:ascii="Arial" w:hAnsi="Arial" w:cs="Arial"/>
          <w:sz w:val="22"/>
          <w:szCs w:val="22"/>
        </w:rPr>
      </w:pPr>
      <w:r>
        <w:rPr>
          <w:rFonts w:cs="Arial" w:ascii="Arial" w:hAnsi="Arial"/>
          <w:b/>
          <w:spacing w:val="2"/>
          <w:sz w:val="22"/>
          <w:szCs w:val="22"/>
        </w:rPr>
        <w:t>2.1.</w:t>
      </w:r>
      <w:r>
        <w:rPr>
          <w:rFonts w:cs="Arial" w:ascii="Arial" w:hAnsi="Arial"/>
          <w:spacing w:val="2"/>
          <w:sz w:val="22"/>
          <w:szCs w:val="22"/>
        </w:rPr>
        <w:t xml:space="preserve"> Para todos os efeitos deste instrumento, serão consideradas confidenciais, todas as informações relacionadas ao contrato assinado/ata homologada que a Parte Receptora vier a ter acesso em decorrência dos serviços prestados à Parte Reveladora (“Informações Confidenciais”).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2.1.1.</w:t>
      </w:r>
      <w:r>
        <w:rPr>
          <w:rFonts w:cs="Arial" w:ascii="Arial" w:hAnsi="Arial"/>
          <w:spacing w:val="2"/>
          <w:sz w:val="22"/>
          <w:szCs w:val="22"/>
        </w:rPr>
        <w:t xml:space="preserve"> Serão, ainda, consideradas Informações Confidenciais todas as informações que assim forem identificadas </w:t>
      </w:r>
      <w:r>
        <w:rPr>
          <w:rFonts w:cs="Arial" w:ascii="Arial" w:hAnsi="Arial"/>
          <w:color w:val="111111"/>
          <w:spacing w:val="2"/>
          <w:sz w:val="22"/>
          <w:szCs w:val="22"/>
        </w:rPr>
        <w:t>pelo</w:t>
      </w:r>
      <w:r>
        <w:rPr>
          <w:rFonts w:cs="Arial" w:ascii="Arial" w:hAnsi="Arial"/>
          <w:b/>
          <w:color w:val="111111"/>
          <w:spacing w:val="2"/>
          <w:sz w:val="22"/>
          <w:szCs w:val="22"/>
        </w:rPr>
        <w:t xml:space="preserve"> Município de </w:t>
      </w:r>
      <w:r>
        <w:rPr>
          <w:rFonts w:eastAsia="Calibri" w:cs="Arial" w:ascii="Arial" w:hAnsi="Arial"/>
          <w:b/>
          <w:color w:val="111111"/>
          <w:spacing w:val="2"/>
          <w:sz w:val="22"/>
          <w:szCs w:val="22"/>
        </w:rPr>
        <w:t>Itá-SC</w:t>
      </w:r>
      <w:r>
        <w:rPr>
          <w:rFonts w:cs="Arial" w:ascii="Arial" w:hAnsi="Arial"/>
          <w:spacing w:val="2"/>
          <w:sz w:val="22"/>
          <w:szCs w:val="22"/>
        </w:rPr>
        <w:t>, Parte Reveladora, pelas legislações aplicáveis (inclusive a Lei nº 13.709/2018 – Lei Geral de Proteção de Dados “LGPD”) ou que, devido às circunstâncias da revelação ou à própria natureza da informação devam ser consideradas confidenciais ou de propriedade da Parte Reveladora.</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2.2.</w:t>
      </w:r>
      <w:r>
        <w:rPr>
          <w:rFonts w:cs="Arial" w:ascii="Arial" w:hAnsi="Arial"/>
          <w:spacing w:val="2"/>
          <w:sz w:val="22"/>
          <w:szCs w:val="22"/>
        </w:rPr>
        <w:t xml:space="preserve"> A revelação das Informações Confidenciais não representa a concessão de qualquer tipo de licença explícita ou de qualquer outra natureza, nem de direitos de qualquer espécie para a Parte Receptora.</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2.3.</w:t>
      </w:r>
      <w:r>
        <w:rPr>
          <w:rFonts w:cs="Arial" w:ascii="Arial" w:hAnsi="Arial"/>
          <w:spacing w:val="2"/>
          <w:sz w:val="22"/>
          <w:szCs w:val="22"/>
        </w:rPr>
        <w:t xml:space="preserve"> A Parte Receptora se compromete a:</w:t>
      </w:r>
    </w:p>
    <w:p>
      <w:pPr>
        <w:pStyle w:val="NormalWeb"/>
        <w:widowControl w:val="false"/>
        <w:numPr>
          <w:ilvl w:val="0"/>
          <w:numId w:val="38"/>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Utilizar as Informações Confidenciais com o propósito restrito de desempenhar suas atividades junto à Parte Reveladora;</w:t>
      </w:r>
    </w:p>
    <w:p>
      <w:pPr>
        <w:pStyle w:val="NormalWeb"/>
        <w:widowControl w:val="false"/>
        <w:numPr>
          <w:ilvl w:val="0"/>
          <w:numId w:val="38"/>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Não utilizar tais informações em seu próprio benefício e/ou para qualquer propósito que não aquele para o qual foram reveladas, abstendo-se de divulgar, publicar, fazer circular, produzir cópia ou efetuar </w:t>
      </w:r>
      <w:r>
        <w:rPr>
          <w:rFonts w:cs="Arial" w:ascii="Arial" w:hAnsi="Arial"/>
          <w:i/>
          <w:iCs/>
          <w:spacing w:val="2"/>
          <w:sz w:val="22"/>
          <w:szCs w:val="22"/>
        </w:rPr>
        <w:t>backup</w:t>
      </w:r>
      <w:r>
        <w:rPr>
          <w:rFonts w:cs="Arial" w:ascii="Arial" w:hAnsi="Arial"/>
          <w:spacing w:val="2"/>
          <w:sz w:val="22"/>
          <w:szCs w:val="22"/>
        </w:rPr>
        <w:t>, por qualquer meio ou forma, de qualquer documento ou informação confidencial;</w:t>
      </w:r>
    </w:p>
    <w:p>
      <w:pPr>
        <w:pStyle w:val="NormalWeb"/>
        <w:widowControl w:val="false"/>
        <w:numPr>
          <w:ilvl w:val="0"/>
          <w:numId w:val="38"/>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Zelar para que referidas informações não sejam divulgadas ou reveladas a terceiros, utilizando-se, no mínimo do mesmo zelo e cuidado que dispensa às suas próprias Informações Confidenciais;</w:t>
      </w:r>
    </w:p>
    <w:p>
      <w:pPr>
        <w:pStyle w:val="NormalWeb"/>
        <w:widowControl w:val="false"/>
        <w:numPr>
          <w:ilvl w:val="0"/>
          <w:numId w:val="38"/>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A não revelar as Informações Confidenciais a quaisquer terceiros, salvo mediante prévia e expressa autorização da Parte Reveladora. Ainda, em caso de revelação das informações, a Parte Receptora se compromete, desde já, a repassar todas as obrigações descritas neste instrumento aos que vierem a ter acesso a tais informações, responsabilizando-se por eventuais descumprimentos; e,</w:t>
      </w:r>
    </w:p>
    <w:p>
      <w:pPr>
        <w:pStyle w:val="NormalWeb"/>
        <w:widowControl w:val="false"/>
        <w:numPr>
          <w:ilvl w:val="0"/>
          <w:numId w:val="38"/>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Informar imediatamente à Parte Reveladora qualquer violação das regras de sigilo ora estabelecidas que tenha ocorrido ou que venha a ocorrer por sua ação ou omissão, independentemente da existência de dolo.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2.4.</w:t>
      </w:r>
      <w:r>
        <w:rPr>
          <w:rFonts w:cs="Arial" w:ascii="Arial" w:hAnsi="Arial"/>
          <w:spacing w:val="2"/>
          <w:sz w:val="22"/>
          <w:szCs w:val="22"/>
        </w:rPr>
        <w:t xml:space="preserve"> As obrigações estabelecidas neste instrumento não serão aplicáveis a quaisquer Informações Confidenciais que:</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Anteriormente ao seu recebimento pela Parte Receptora tenham tornado-se públicas ou chegado ao poder da Parte Receptora por uma fonte que não a Parte Reveladora; ou</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Após o recebimento pela Parte Receptora, tenham tornado-se públicas por qualquer meio que não como consequência de uma violação de sua obrigação aqui prevista.</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TERCEIRA – DA PROTEÇÃO DE DADOS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3.1.</w:t>
      </w:r>
      <w:r>
        <w:rPr>
          <w:rFonts w:cs="Arial" w:ascii="Arial" w:hAnsi="Arial"/>
          <w:spacing w:val="2"/>
          <w:sz w:val="22"/>
          <w:szCs w:val="22"/>
        </w:rPr>
        <w:t xml:space="preserve"> Serão aplicáveis a este instrumento, as “Leis Aplicáveis à Proteção de Dados” que significa todas as leis, normas e regulamentos que regem o tratamento de dados pessoais, especialmente a Lei nº </w:t>
        <w:tab/>
        <w:t>13.709/2018 – LGPD, além das normas e dos regulamentos adotados pelas competentes autoridades de proteção de dados.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3.2.</w:t>
      </w:r>
      <w:r>
        <w:rPr>
          <w:rFonts w:cs="Arial" w:ascii="Arial" w:hAnsi="Arial"/>
          <w:spacing w:val="2"/>
          <w:sz w:val="22"/>
          <w:szCs w:val="22"/>
        </w:rPr>
        <w:t xml:space="preserve"> A Parte Receptora declara-se ciente e concorda que poderá ter acesso, utilizar, manter e processar, eletrônica e manualmente, informações e dados prestados pela Parte Reveladora e seus clientes (“dados protegidos”), exclusivamente para a prestação dos serviços.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3.3.</w:t>
      </w:r>
      <w:r>
        <w:rPr>
          <w:rFonts w:cs="Arial" w:ascii="Arial" w:hAnsi="Arial"/>
          <w:spacing w:val="2"/>
          <w:sz w:val="22"/>
          <w:szCs w:val="22"/>
        </w:rPr>
        <w:t xml:space="preserve"> As partes declaram-se cientes dos direitos, obrigações e penalidades aplicáveis constantes da Lei nº 13.709/2018 – LGPD e obrigam-se a adotar todas as medidas razoáveis para garantir, por si, bem como seu pessoal, colaboradores, empregados e subcontratados que utilizem os dados protegidos na extensão autorizada na referida LGPD.</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3.4.</w:t>
      </w:r>
      <w:r>
        <w:rPr>
          <w:rFonts w:cs="Arial" w:ascii="Arial" w:hAnsi="Arial"/>
          <w:spacing w:val="2"/>
          <w:sz w:val="22"/>
          <w:szCs w:val="22"/>
        </w:rPr>
        <w:t xml:space="preserve"> A Parte Receptora somente poderá tratar dados pessoais conforme as instruções da Parte Reveladora, a fim de cumprir suas obrigações para a prestação dos serviços, jamais para qualquer outro propósito.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3.5.</w:t>
      </w:r>
      <w:r>
        <w:rPr>
          <w:rFonts w:cs="Arial" w:ascii="Arial" w:hAnsi="Arial"/>
          <w:spacing w:val="2"/>
          <w:sz w:val="22"/>
          <w:szCs w:val="22"/>
        </w:rPr>
        <w:t xml:space="preserve"> A Parte Receptora tratará os dados pessoais em nome da Parte Reveladora e de acordo com as instruções escritas fornecidas pela Parte Reveladora. Caso a Parte Receptora considere que não possui informações suficientes para o tratamento dos dados pessoais de acordo com este instrumento ou que uma instrução infrinja as Leis Aplicáveis à Proteção de Dados, a Parte Receptora prontamente notificará a Parte Reveladora e aguardará novas instruções.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3.6.</w:t>
      </w:r>
      <w:r>
        <w:rPr>
          <w:rFonts w:cs="Arial" w:ascii="Arial" w:hAnsi="Arial"/>
          <w:spacing w:val="2"/>
          <w:sz w:val="22"/>
          <w:szCs w:val="22"/>
        </w:rPr>
        <w:t xml:space="preserve"> Se aplicável, a Parte Receptora se certificará que qualquer terceiro sob sua responsabilidade agirá de acordo com este instrumento, as Leis Aplicáveis à Proteção de Dados e as instruções transmitidas pela Parte Reveladora. A Parte Receptora se certificará que as pessoas autorizadas a tratar os dados pessoais assumam um compromisso de confidencialidade ou estejam sujeitas a adequadas obrigações legais de confidencialidade.</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3.7.</w:t>
      </w:r>
      <w:r>
        <w:rPr>
          <w:rFonts w:cs="Arial" w:ascii="Arial" w:hAnsi="Arial"/>
          <w:spacing w:val="2"/>
          <w:sz w:val="22"/>
          <w:szCs w:val="22"/>
        </w:rPr>
        <w:t xml:space="preserve"> Se o titular dos dados, autoridade de proteção de dados ou terceiro solicitar informações diretamente da Parte Receptora relativas ao tratamento de dados pessoais, a Parte Receptora submeterá esse pedido à apreciação da Parte Reveladora. A Parte Receptora não poderá, sem instruções prévias da Parte Reveladora, transferir ou, de qualquer outra forma, compartilhar e/ou garantir acesso aos dados pessoais ou a quaisquer outras informações relativas ao tratamento de dados pessoais a qualquer terceiro.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QUARTA – DAS DISPOSIÇÕES GERAIS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4.1.</w:t>
      </w:r>
      <w:r>
        <w:rPr>
          <w:rFonts w:cs="Arial" w:ascii="Arial" w:hAnsi="Arial"/>
          <w:spacing w:val="2"/>
          <w:sz w:val="22"/>
          <w:szCs w:val="22"/>
        </w:rPr>
        <w:t xml:space="preserve"> Este instrumento poderá ser alterado somente mediante a celebração de Termo Aditivo.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4.2.</w:t>
      </w:r>
      <w:r>
        <w:rPr>
          <w:rFonts w:cs="Arial" w:ascii="Arial" w:hAnsi="Arial"/>
          <w:spacing w:val="2"/>
          <w:sz w:val="22"/>
          <w:szCs w:val="22"/>
        </w:rPr>
        <w:t xml:space="preserve"> A nulidade ou anulação de qualquer cláusula deste instrumento não implicará na nulidade ou anulação das demais cláusulas, que permanecerão em vigor, a menos que expressamente anuladas por decisão judicial.</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4.3.</w:t>
      </w:r>
      <w:r>
        <w:rPr>
          <w:rFonts w:cs="Arial" w:ascii="Arial" w:hAnsi="Arial"/>
          <w:spacing w:val="2"/>
          <w:sz w:val="22"/>
          <w:szCs w:val="22"/>
        </w:rPr>
        <w:t xml:space="preserve"> O não exercício pelas partes de quaisquer dos direitos ou prerrogativas previstos neste instrumento ou na legislação aplicável será tido como ato de mera liberalidade, não constituindo alteração ou novação das obrigações ora estabelecidas, cujo cumprimento poderá ser exigido a qualquer tempo, independentemente de comunicação prévia à parte.</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4.4.</w:t>
      </w:r>
      <w:r>
        <w:rPr>
          <w:rFonts w:cs="Arial" w:ascii="Arial" w:hAnsi="Arial"/>
          <w:spacing w:val="2"/>
          <w:sz w:val="22"/>
          <w:szCs w:val="22"/>
        </w:rPr>
        <w:t xml:space="preserve"> O presente instrumento é celebrado em caráter irrevogável e irretratável, obrigando as partes e seus sucessores, a qualquer título e tempo.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4.5.</w:t>
      </w:r>
      <w:r>
        <w:rPr>
          <w:rFonts w:cs="Arial" w:ascii="Arial" w:hAnsi="Arial"/>
          <w:spacing w:val="2"/>
          <w:sz w:val="22"/>
          <w:szCs w:val="22"/>
        </w:rPr>
        <w:t xml:space="preserve"> A Parte Receptora declara que os serviços serão prestados de acordo com todas as legislações, princípios e normas aplicáveis, inclusive a Lei nº 13.709/2018 – Lei Geral de Proteção de Dados (LGDP).</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4.6.</w:t>
      </w:r>
      <w:r>
        <w:rPr>
          <w:rFonts w:cs="Arial" w:ascii="Arial" w:hAnsi="Arial"/>
          <w:spacing w:val="2"/>
          <w:sz w:val="22"/>
          <w:szCs w:val="22"/>
        </w:rPr>
        <w:t xml:space="preserve"> Os efeitos deste instrumento retroagem à data que a Parte Receptora teve acesso à primeira informação confidencial relacionada </w:t>
      </w:r>
      <w:r>
        <w:rPr>
          <w:rFonts w:cs="Arial" w:ascii="Arial" w:hAnsi="Arial"/>
          <w:color w:val="111111"/>
          <w:spacing w:val="2"/>
          <w:sz w:val="22"/>
          <w:szCs w:val="22"/>
        </w:rPr>
        <w:t>ao contrato/ata assinado juntamente com o Munic</w:t>
      </w:r>
      <w:r>
        <w:rPr>
          <w:rFonts w:cs="Arial" w:ascii="Arial" w:hAnsi="Arial"/>
          <w:color w:val="111111"/>
          <w:sz w:val="22"/>
          <w:szCs w:val="22"/>
        </w:rPr>
        <w:t xml:space="preserve">ípio de Itá-SC, </w:t>
      </w:r>
      <w:r>
        <w:rPr>
          <w:rFonts w:cs="Arial" w:ascii="Arial" w:hAnsi="Arial"/>
          <w:color w:val="111111"/>
          <w:spacing w:val="2"/>
          <w:sz w:val="22"/>
          <w:szCs w:val="22"/>
        </w:rPr>
        <w:t xml:space="preserve"> sendo que todas as obrigações aqui estabelecidas permanecerão válidas até que a Parte Reveladora autorize (por escrito) a</w:t>
      </w:r>
      <w:r>
        <w:rPr>
          <w:rFonts w:cs="Arial" w:ascii="Arial" w:hAnsi="Arial"/>
          <w:spacing w:val="2"/>
          <w:sz w:val="22"/>
          <w:szCs w:val="22"/>
        </w:rPr>
        <w:t xml:space="preserve"> revelação da informação confidencial, observado, ainda, o disposto nas legislações vigentes (inclusive a Lei nº 13.709/2018 – LGPD).</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4.7.</w:t>
      </w:r>
      <w:r>
        <w:rPr>
          <w:rFonts w:cs="Arial" w:ascii="Arial" w:hAnsi="Arial"/>
          <w:spacing w:val="2"/>
          <w:sz w:val="22"/>
          <w:szCs w:val="22"/>
        </w:rPr>
        <w:t xml:space="preserve"> As partes declaram e reconhecem que são</w:t>
      </w:r>
      <w:r>
        <w:rPr>
          <w:rFonts w:cs="Arial" w:ascii="Arial" w:hAnsi="Arial"/>
          <w:b/>
          <w:spacing w:val="2"/>
          <w:sz w:val="22"/>
          <w:szCs w:val="22"/>
        </w:rPr>
        <w:t xml:space="preserve"> </w:t>
      </w:r>
      <w:r>
        <w:rPr>
          <w:rFonts w:cs="Arial" w:ascii="Arial" w:hAnsi="Arial"/>
          <w:spacing w:val="2"/>
          <w:sz w:val="22"/>
          <w:szCs w:val="22"/>
        </w:rPr>
        <w:t>entidades totalmente independentes entre si, de forma que nenhuma disposição deste instrumento poderá ser interpretada no sentido de criar qualquer vínculo empregatício entre as partes, bem como entre os empregados de uma parte e a outra parte.</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4.8.</w:t>
      </w:r>
      <w:r>
        <w:rPr>
          <w:rFonts w:cs="Arial" w:ascii="Arial" w:hAnsi="Arial"/>
          <w:spacing w:val="2"/>
          <w:sz w:val="22"/>
          <w:szCs w:val="22"/>
        </w:rPr>
        <w:t xml:space="preserve"> Através deste instrumento, a Parte Receptora cede à Parte Reveladora todos os direitos patrimoniais de autor a ela pertencente, decorrentes dos serviços prestados.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4.9.</w:t>
      </w:r>
      <w:r>
        <w:rPr>
          <w:rFonts w:cs="Arial" w:ascii="Arial" w:hAnsi="Arial"/>
          <w:spacing w:val="2"/>
          <w:sz w:val="22"/>
          <w:szCs w:val="22"/>
        </w:rPr>
        <w:t xml:space="preserve"> A inobservância de qualquer uma das disposições estabelecidas neste instrumento, sujeitará a Parte Receptora ao pagamento ou ressarcimento, de todas as perdas e danos, materiais e morais, lucros cessantes, nos termos das legislações vigentes.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QUINTA – DO FORO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b/>
          <w:spacing w:val="2"/>
          <w:sz w:val="22"/>
          <w:szCs w:val="22"/>
        </w:rPr>
        <w:t>5.1.</w:t>
      </w:r>
      <w:r>
        <w:rPr>
          <w:rFonts w:cs="Arial" w:ascii="Arial" w:hAnsi="Arial"/>
          <w:spacing w:val="2"/>
          <w:sz w:val="22"/>
          <w:szCs w:val="22"/>
        </w:rPr>
        <w:t xml:space="preserve"> Fica eleito o Foro d</w:t>
      </w:r>
      <w:r>
        <w:rPr>
          <w:rFonts w:cs="Arial" w:ascii="Arial" w:hAnsi="Arial"/>
          <w:color w:val="111111"/>
          <w:spacing w:val="2"/>
          <w:sz w:val="22"/>
          <w:szCs w:val="22"/>
        </w:rPr>
        <w:t xml:space="preserve">a Comarca de </w:t>
      </w:r>
      <w:r>
        <w:rPr>
          <w:rFonts w:eastAsia="Calibri" w:cs="Arial" w:ascii="Arial" w:hAnsi="Arial"/>
          <w:color w:val="111111"/>
          <w:spacing w:val="2"/>
          <w:sz w:val="22"/>
          <w:szCs w:val="22"/>
        </w:rPr>
        <w:t>Itá</w:t>
      </w:r>
      <w:r>
        <w:rPr>
          <w:rFonts w:cs="Arial" w:ascii="Arial" w:hAnsi="Arial"/>
          <w:color w:val="111111"/>
          <w:spacing w:val="2"/>
          <w:sz w:val="22"/>
          <w:szCs w:val="22"/>
        </w:rPr>
        <w:t>, Estado de Santa Catarina, como único competente para dirimir as controvérsias resultantes deste instrumento, renunciando as partes a qualquer outro, por mais privilegiado que seja ou venha a ser</w:t>
      </w:r>
      <w:r>
        <w:rPr>
          <w:rFonts w:cs="Arial" w:ascii="Arial" w:hAnsi="Arial"/>
          <w:spacing w:val="2"/>
          <w:sz w:val="22"/>
          <w:szCs w:val="22"/>
        </w:rPr>
        <w:t>.</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t xml:space="preserve">E, por estarem justas e contratadas, as partes assinam este o </w:t>
      </w:r>
      <w:r>
        <w:rPr>
          <w:rFonts w:cs="Arial" w:ascii="Arial" w:hAnsi="Arial"/>
          <w:b/>
          <w:bCs/>
          <w:spacing w:val="2"/>
          <w:sz w:val="22"/>
          <w:szCs w:val="22"/>
        </w:rPr>
        <w:t>Instrumento Particular de Confidencialidade e Outras Avenças</w:t>
      </w:r>
      <w:r>
        <w:rPr>
          <w:rFonts w:cs="Arial" w:ascii="Arial" w:hAnsi="Arial"/>
          <w:spacing w:val="2"/>
          <w:sz w:val="22"/>
          <w:szCs w:val="22"/>
        </w:rPr>
        <w:t>, em 02 (duas) vias de igual teor e forma, na presença das 02 (duas) testemunhas abaixo nomeadas, para que produza todos os efeitos.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t>(LOCAL), (DATA).</w:t>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color w:val="111111"/>
          <w:sz w:val="22"/>
          <w:szCs w:val="22"/>
        </w:rPr>
      </w:pPr>
      <w:r>
        <w:rPr>
          <w:rFonts w:cs="Arial" w:ascii="Arial" w:hAnsi="Arial"/>
          <w:color w:val="111111"/>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t>______________________________________________________________</w:t>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t>Razão Social do Contratado</w:t>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rPr>
      </w:pPr>
      <w:r>
        <w:rPr>
          <w:rFonts w:cs="Arial" w:ascii="Arial" w:hAnsi="Arial"/>
          <w:b/>
        </w:rPr>
        <w:t>ANEXO V</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APLICAÇÃO DOS ARTS. 42 AO 49 DA LEI COMPLEMENTAR Nº 123/2006</w:t>
      </w:r>
    </w:p>
    <w:p>
      <w:pPr>
        <w:pStyle w:val="Normal"/>
        <w:spacing w:lineRule="auto" w:line="240" w:before="0" w:after="0"/>
        <w:ind w:firstLine="708"/>
        <w:jc w:val="both"/>
        <w:rPr>
          <w:rFonts w:ascii="Arial" w:hAnsi="Arial" w:cs="Arial"/>
        </w:rPr>
      </w:pPr>
      <w:r>
        <w:rPr>
          <w:rFonts w:cs="Arial" w:ascii="Arial" w:hAnsi="Arial"/>
        </w:rPr>
      </w:r>
    </w:p>
    <w:p>
      <w:pPr>
        <w:pStyle w:val="Normal"/>
        <w:spacing w:lineRule="auto" w:line="240" w:before="0" w:after="0"/>
        <w:ind w:firstLine="708"/>
        <w:jc w:val="both"/>
        <w:rPr>
          <w:rFonts w:ascii="Arial" w:hAnsi="Arial" w:cs="Arial"/>
        </w:rPr>
      </w:pPr>
      <w:r>
        <w:rPr>
          <w:rFonts w:cs="Arial" w:ascii="Arial" w:hAnsi="Arial"/>
        </w:rPr>
        <w:t>O licitante ___________________________, inscrito no CPF/CNPJ nº ______________, DECLARA, nos termos do art. 4º, § 2º da Lei nº 14.133/2021, que para obter os benefícios dos arts.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b/>
          <w:b/>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rPr>
      </w:pPr>
      <w:r>
        <w:rPr>
          <w:rFonts w:cs="Arial" w:ascii="Arial" w:hAnsi="Arial"/>
          <w:b/>
        </w:rPr>
        <w:t>ANEXO VI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PROPOSTA</w:t>
      </w:r>
    </w:p>
    <w:p>
      <w:pPr>
        <w:pStyle w:val="Normal"/>
        <w:spacing w:lineRule="auto" w:line="240" w:before="0" w:after="0"/>
        <w:jc w:val="both"/>
        <w:rPr>
          <w:rFonts w:ascii="Arial" w:hAnsi="Arial" w:cs="Arial"/>
        </w:rPr>
      </w:pPr>
      <w:r>
        <w:rPr>
          <w:rFonts w:cs="Arial" w:ascii="Arial" w:hAnsi="Arial"/>
        </w:rPr>
      </w:r>
    </w:p>
    <w:tbl>
      <w:tblPr>
        <w:tblStyle w:val="Tabelacomgrade"/>
        <w:tblW w:w="8494"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808"/>
        <w:gridCol w:w="2950"/>
        <w:gridCol w:w="2736"/>
      </w:tblGrid>
      <w:tr>
        <w:trPr>
          <w:trHeight w:val="886" w:hRule="atLeast"/>
        </w:trPr>
        <w:tc>
          <w:tcPr>
            <w:tcW w:w="2808" w:type="dxa"/>
            <w:tcBorders/>
          </w:tcPr>
          <w:p>
            <w:pPr>
              <w:pStyle w:val="Normal"/>
              <w:widowControl w:val="false"/>
              <w:suppressAutoHyphens w:val="true"/>
              <w:spacing w:lineRule="auto" w:line="240" w:before="0" w:after="0"/>
              <w:jc w:val="both"/>
              <w:rPr>
                <w:rFonts w:ascii="Arial" w:hAnsi="Arial" w:cs="Arial"/>
                <w:b/>
                <w:b/>
              </w:rPr>
            </w:pPr>
            <w:r>
              <w:rPr>
                <w:rFonts w:eastAsia="Calibri" w:cs="Arial" w:ascii="Arial" w:hAnsi="Arial"/>
                <w:b/>
                <w:kern w:val="0"/>
                <w:sz w:val="22"/>
                <w:szCs w:val="22"/>
                <w:lang w:val="pt-BR" w:eastAsia="en-US" w:bidi="ar-SA"/>
              </w:rPr>
              <w:t>DEFINIÇÃO</w:t>
            </w:r>
          </w:p>
        </w:tc>
        <w:tc>
          <w:tcPr>
            <w:tcW w:w="2950" w:type="dxa"/>
            <w:tcBorders/>
          </w:tcPr>
          <w:p>
            <w:pPr>
              <w:pStyle w:val="Normal"/>
              <w:widowControl w:val="false"/>
              <w:suppressAutoHyphens w:val="true"/>
              <w:spacing w:lineRule="auto" w:line="240" w:before="0" w:after="0"/>
              <w:jc w:val="both"/>
              <w:rPr>
                <w:rFonts w:ascii="Arial" w:hAnsi="Arial" w:cs="Arial"/>
                <w:b/>
                <w:b/>
              </w:rPr>
            </w:pPr>
            <w:r>
              <w:rPr>
                <w:rFonts w:eastAsia="Calibri" w:cs="Arial" w:ascii="Arial" w:hAnsi="Arial"/>
                <w:b/>
                <w:kern w:val="0"/>
                <w:sz w:val="22"/>
                <w:szCs w:val="22"/>
                <w:lang w:val="pt-BR" w:eastAsia="en-US" w:bidi="ar-SA"/>
              </w:rPr>
              <w:t>QUANTIDADE</w:t>
            </w:r>
          </w:p>
        </w:tc>
        <w:tc>
          <w:tcPr>
            <w:tcW w:w="2736" w:type="dxa"/>
            <w:tcBorders/>
          </w:tcPr>
          <w:p>
            <w:pPr>
              <w:pStyle w:val="Normal"/>
              <w:widowControl w:val="false"/>
              <w:suppressAutoHyphens w:val="true"/>
              <w:spacing w:lineRule="auto" w:line="240" w:before="0" w:after="0"/>
              <w:jc w:val="both"/>
              <w:rPr>
                <w:rFonts w:ascii="Arial" w:hAnsi="Arial" w:cs="Arial"/>
                <w:b/>
                <w:b/>
              </w:rPr>
            </w:pPr>
            <w:r>
              <w:rPr>
                <w:rFonts w:eastAsia="Calibri" w:cs="Arial" w:ascii="Arial" w:hAnsi="Arial"/>
                <w:b/>
                <w:kern w:val="0"/>
                <w:sz w:val="22"/>
                <w:szCs w:val="22"/>
                <w:lang w:val="pt-BR" w:eastAsia="en-US" w:bidi="ar-SA"/>
              </w:rPr>
              <w:t>VALOR UNITÁRIO</w:t>
            </w:r>
          </w:p>
        </w:tc>
      </w:tr>
      <w:tr>
        <w:trPr>
          <w:trHeight w:val="903" w:hRule="atLeast"/>
        </w:trPr>
        <w:tc>
          <w:tcPr>
            <w:tcW w:w="2808" w:type="dxa"/>
            <w:tcBorders/>
          </w:tcPr>
          <w:p>
            <w:pPr>
              <w:pStyle w:val="Normal"/>
              <w:widowControl w:val="false"/>
              <w:suppressAutoHyphens w:val="true"/>
              <w:spacing w:lineRule="auto" w:line="240" w:before="0" w:after="0"/>
              <w:jc w:val="both"/>
              <w:rPr>
                <w:rFonts w:ascii="Arial" w:hAnsi="Arial" w:cs="Arial"/>
                <w:b/>
                <w:b/>
              </w:rPr>
            </w:pPr>
            <w:r>
              <w:rPr>
                <w:rFonts w:cs="Arial" w:ascii="Arial" w:hAnsi="Arial"/>
                <w:b/>
                <w:sz w:val="22"/>
              </w:rPr>
            </w:r>
          </w:p>
        </w:tc>
        <w:tc>
          <w:tcPr>
            <w:tcW w:w="2950" w:type="dxa"/>
            <w:tcBorders/>
          </w:tcPr>
          <w:p>
            <w:pPr>
              <w:pStyle w:val="Normal"/>
              <w:widowControl w:val="false"/>
              <w:suppressAutoHyphens w:val="true"/>
              <w:spacing w:lineRule="auto" w:line="240" w:before="0" w:after="0"/>
              <w:jc w:val="both"/>
              <w:rPr>
                <w:rFonts w:ascii="Arial" w:hAnsi="Arial" w:cs="Arial"/>
                <w:b/>
                <w:b/>
              </w:rPr>
            </w:pPr>
            <w:r>
              <w:rPr>
                <w:rFonts w:cs="Arial" w:ascii="Arial" w:hAnsi="Arial"/>
                <w:b/>
                <w:sz w:val="22"/>
              </w:rPr>
            </w:r>
          </w:p>
        </w:tc>
        <w:tc>
          <w:tcPr>
            <w:tcW w:w="2736" w:type="dxa"/>
            <w:tcBorders/>
          </w:tcPr>
          <w:p>
            <w:pPr>
              <w:pStyle w:val="Normal"/>
              <w:widowControl w:val="false"/>
              <w:suppressAutoHyphens w:val="true"/>
              <w:spacing w:lineRule="auto" w:line="240" w:before="0" w:after="0"/>
              <w:jc w:val="both"/>
              <w:rPr>
                <w:rFonts w:ascii="Arial" w:hAnsi="Arial" w:cs="Arial"/>
                <w:b/>
                <w:b/>
              </w:rPr>
            </w:pPr>
            <w:r>
              <w:rPr>
                <w:rFonts w:cs="Arial" w:ascii="Arial" w:hAnsi="Arial"/>
                <w:b/>
                <w:sz w:val="22"/>
              </w:rPr>
            </w:r>
          </w:p>
        </w:tc>
      </w:tr>
      <w:tr>
        <w:trPr>
          <w:trHeight w:val="886" w:hRule="atLeast"/>
        </w:trPr>
        <w:tc>
          <w:tcPr>
            <w:tcW w:w="5758" w:type="dxa"/>
            <w:gridSpan w:val="2"/>
            <w:tcBorders/>
          </w:tcPr>
          <w:p>
            <w:pPr>
              <w:pStyle w:val="Normal"/>
              <w:widowControl w:val="false"/>
              <w:suppressAutoHyphens w:val="true"/>
              <w:spacing w:lineRule="auto" w:line="240" w:before="0" w:after="0"/>
              <w:jc w:val="both"/>
              <w:rPr>
                <w:rFonts w:ascii="Arial" w:hAnsi="Arial" w:cs="Arial"/>
                <w:b/>
                <w:b/>
              </w:rPr>
            </w:pPr>
            <w:r>
              <w:rPr>
                <w:rFonts w:eastAsia="Calibri" w:cs="Arial" w:ascii="Arial" w:hAnsi="Arial"/>
                <w:b/>
                <w:kern w:val="0"/>
                <w:sz w:val="22"/>
                <w:szCs w:val="22"/>
                <w:lang w:val="pt-BR" w:eastAsia="en-US" w:bidi="ar-SA"/>
              </w:rPr>
              <w:t>VALOR TOTAL</w:t>
            </w:r>
          </w:p>
        </w:tc>
        <w:tc>
          <w:tcPr>
            <w:tcW w:w="2736" w:type="dxa"/>
            <w:tcBorders/>
          </w:tcPr>
          <w:p>
            <w:pPr>
              <w:pStyle w:val="Normal"/>
              <w:widowControl w:val="false"/>
              <w:suppressAutoHyphens w:val="true"/>
              <w:spacing w:lineRule="auto" w:line="240" w:before="0" w:after="0"/>
              <w:jc w:val="both"/>
              <w:rPr>
                <w:rFonts w:ascii="Arial" w:hAnsi="Arial" w:cs="Arial"/>
                <w:b/>
                <w:b/>
              </w:rPr>
            </w:pPr>
            <w:r>
              <w:rPr>
                <w:rFonts w:cs="Arial" w:ascii="Arial" w:hAnsi="Arial"/>
                <w:b/>
                <w:sz w:val="22"/>
              </w:rPr>
            </w:r>
          </w:p>
        </w:tc>
      </w:tr>
    </w:tbl>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tab/>
        <w:t>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before="0" w:after="0"/>
        <w:jc w:val="both"/>
        <w:rPr>
          <w:rFonts w:ascii="Arial" w:hAnsi="Arial" w:cs="Arial"/>
        </w:rPr>
      </w:pPr>
      <w:r>
        <w:rPr>
          <w:rFonts w:cs="Arial" w:ascii="Arial" w:hAnsi="Arial"/>
        </w:rPr>
        <w:tab/>
      </w:r>
      <w:r>
        <w:rPr>
          <w:rFonts w:cs="Arial" w:ascii="Arial" w:hAnsi="Arial"/>
          <w:color w:val="111111"/>
        </w:rPr>
        <w:t>Também DECLARA que o cálculo do valor da contratação considera taxa de risco compatível com o objeto da licitação e com os riscos atribuídos ao contratado.</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b/>
          <w:b/>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rPr>
      </w:pPr>
      <w:r>
        <w:rPr>
          <w:rFonts w:cs="Arial" w:ascii="Arial" w:hAnsi="Arial"/>
          <w:b/>
        </w:rPr>
        <w:t>ANEXO VII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 xml:space="preserve">ATENDIMENTO AOS REQUISITOS DE HABILITAÇÃO E DECLARAÇÃO DE QUE OS DOCUMENTOS APRESENTADOS PELO PROPONENTE CONFEREM COM O ORIGINAL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rPr>
      </w:pPr>
      <w:r>
        <w:rPr>
          <w:rFonts w:cs="Arial" w:ascii="Arial" w:hAnsi="Arial"/>
        </w:rPr>
        <w:t xml:space="preserve">A empresa ___________________________, inscrita no CPF/CNPJ nº ______________, DECLARA, nos termos do art. 63, I da Lei nº 14.133/2021 que atende aos requisitos de habilitação, respondendo pela veracidade das informações prestadas, na forma da lei. DECLARA ainda, que os documentos apresentados de origem não eletrônica, conferem com seus respectivos originais, nos termos do que dispõe o art. 3°, § 2° da Lei Federal n° 13.726/2018. </w:t>
      </w:r>
      <w:r>
        <w:rPr>
          <w:rFonts w:cs="Times New Roman" w:ascii="Arial" w:hAnsi="Arial"/>
        </w:rPr>
        <w:t xml:space="preserve">DECLARA ainda que </w:t>
      </w:r>
      <w:r>
        <w:rPr>
          <w:rFonts w:cs="Arial" w:ascii="Arial" w:hAnsi="Arial"/>
          <w:sz w:val="22"/>
          <w:szCs w:val="22"/>
        </w:rPr>
        <w:t>tomou conhecimento de todas as informações e das condições locais para o cumprimento das obrigações objeto da licitação.</w:t>
      </w:r>
    </w:p>
    <w:p>
      <w:pPr>
        <w:pStyle w:val="Normal"/>
        <w:spacing w:lineRule="auto" w:line="240" w:before="0" w:after="0"/>
        <w:jc w:val="both"/>
        <w:rPr>
          <w:rFonts w:ascii="Arial" w:hAnsi="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b/>
          <w:b/>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b/>
        </w:rPr>
        <w:t>ANEXO VIII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DECLARAÇÃO DE CUMPRIMENTO DE RESERVA DE CARGOS</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ind w:firstLine="708"/>
        <w:jc w:val="both"/>
        <w:rPr>
          <w:rFonts w:ascii="Arial" w:hAnsi="Arial" w:cs="Arial"/>
        </w:rPr>
      </w:pPr>
      <w:r>
        <w:rPr>
          <w:rFonts w:cs="Arial" w:ascii="Arial" w:hAnsi="Arial"/>
        </w:rPr>
        <w:t>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w:t>
      </w:r>
    </w:p>
    <w:p>
      <w:pPr>
        <w:pStyle w:val="Normal"/>
        <w:spacing w:lineRule="auto" w:line="240" w:before="0" w:after="0"/>
        <w:ind w:firstLine="708"/>
        <w:jc w:val="both"/>
        <w:rPr>
          <w:rFonts w:ascii="Arial" w:hAnsi="Arial" w:cs="Arial"/>
        </w:rPr>
      </w:pPr>
      <w:r>
        <w:rPr>
          <w:rFonts w:cs="Arial" w:ascii="Arial" w:hAnsi="Arial"/>
        </w:rPr>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rPr>
      </w:pPr>
      <w:r>
        <w:rPr>
          <w:rFonts w:cs="Arial" w:ascii="Arial" w:hAnsi="Arial"/>
          <w:b/>
        </w:rPr>
        <w:t>ANEXO IX</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ATA DE REGISTRO DE PREÇOS Nº xxx</w:t>
      </w:r>
      <w:r>
        <w:rPr>
          <w:rFonts w:cs="Arial" w:ascii="Arial" w:hAnsi="Arial"/>
          <w:b/>
          <w:color w:val="111111"/>
        </w:rPr>
        <w:t>/2023</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t>- Gerada automaticamente pelo software/sistema IPM.</w:t>
      </w:r>
    </w:p>
    <w:p>
      <w:pPr>
        <w:pStyle w:val="Normal"/>
        <w:spacing w:lineRule="auto" w:line="240" w:before="0" w:after="0"/>
        <w:jc w:val="both"/>
        <w:rPr>
          <w:rFonts w:ascii="Arial" w:hAnsi="Arial" w:cs="Arial"/>
          <w:iCs/>
        </w:rPr>
      </w:pPr>
      <w:r>
        <w:rPr>
          <w:rFonts w:cs="Arial" w:ascii="Arial" w:hAnsi="Arial"/>
          <w:iCs/>
        </w:rPr>
      </w:r>
    </w:p>
    <w:p>
      <w:pPr>
        <w:pStyle w:val="Normal"/>
        <w:spacing w:lineRule="auto" w:line="240" w:before="0" w:after="0"/>
        <w:jc w:val="center"/>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bCs/>
          <w:lang w:eastAsia="pt-BR"/>
        </w:rPr>
      </w:pPr>
      <w:r>
        <w:rPr>
          <w:rFonts w:cs="Arial" w:ascii="Arial" w:hAnsi="Arial"/>
          <w:b/>
          <w:bCs/>
          <w:lang w:eastAsia="pt-BR"/>
        </w:rPr>
        <w:t xml:space="preserve">PROCESSO LICITATÓRIO Nº </w:t>
      </w:r>
      <w:r>
        <w:rPr>
          <w:rFonts w:eastAsia="Calibri" w:cs="Arial" w:ascii="Arial" w:hAnsi="Arial" w:eastAsiaTheme="minorHAnsi"/>
          <w:b/>
          <w:bCs/>
          <w:color w:val="auto"/>
          <w:kern w:val="0"/>
          <w:sz w:val="22"/>
          <w:szCs w:val="22"/>
          <w:lang w:val="pt-BR" w:eastAsia="pt-BR" w:bidi="ar-SA"/>
        </w:rPr>
        <w:t>110</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b/>
          <w:b/>
          <w:bCs/>
        </w:rPr>
      </w:pPr>
      <w:r>
        <w:rPr>
          <w:rFonts w:cs="Arial" w:ascii="Arial" w:hAnsi="Arial"/>
          <w:b/>
          <w:bCs/>
        </w:rPr>
        <w:t xml:space="preserve">EDITAL DE PREGÃO ELETRÔNICO Nº </w:t>
      </w:r>
      <w:r>
        <w:rPr>
          <w:rFonts w:eastAsia="Calibri" w:cs="Arial" w:ascii="Arial" w:hAnsi="Arial" w:eastAsiaTheme="minorHAnsi"/>
          <w:b/>
          <w:bCs/>
          <w:color w:val="auto"/>
          <w:kern w:val="0"/>
          <w:sz w:val="22"/>
          <w:szCs w:val="22"/>
          <w:lang w:val="pt-BR" w:eastAsia="en-US" w:bidi="ar-SA"/>
        </w:rPr>
        <w:t>042</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rPr>
      </w:pPr>
      <w:r>
        <w:rPr>
          <w:rFonts w:cs="Arial" w:ascii="Arial" w:hAnsi="Arial"/>
          <w:b/>
        </w:rPr>
        <w:t>ANEXO X</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color w:val="111111"/>
        </w:rPr>
      </w:pPr>
      <w:r>
        <w:rPr>
          <w:rFonts w:cs="Arial" w:ascii="Arial" w:hAnsi="Arial"/>
          <w:b/>
          <w:color w:val="111111"/>
        </w:rPr>
        <w:t>CONTRATO ADMINISTRATIVO Nº XXX/2023</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t xml:space="preserve">O </w:t>
      </w:r>
      <w:r>
        <w:rPr>
          <w:rFonts w:cs="Arial" w:ascii="Arial" w:hAnsi="Arial"/>
          <w:b/>
        </w:rPr>
        <w:t xml:space="preserve">MUNICÍPIO DE </w:t>
      </w:r>
      <w:r>
        <w:rPr>
          <w:rFonts w:eastAsia="Calibri" w:cs="Arial" w:ascii="Arial" w:hAnsi="Arial"/>
          <w:b/>
        </w:rPr>
        <w:t>ITÁ</w:t>
      </w:r>
      <w:r>
        <w:rPr>
          <w:rFonts w:cs="Arial" w:ascii="Arial" w:hAnsi="Arial"/>
        </w:rPr>
        <w:t xml:space="preserve">, pessoa jurídica de direito público interno, </w:t>
      </w:r>
      <w:r>
        <w:rPr>
          <w:rFonts w:eastAsia="Times New Roman" w:cs="Arial" w:ascii="Arial" w:hAnsi="Arial"/>
          <w:lang w:eastAsia="pt-BR"/>
        </w:rPr>
        <w:t>inscrita no CNPJ sob nº 83.024.240/0001-53</w:t>
      </w:r>
      <w:r>
        <w:rPr>
          <w:rFonts w:cs="Arial" w:ascii="Arial" w:hAnsi="Arial"/>
        </w:rPr>
        <w:t xml:space="preserve">, doravante denominado </w:t>
      </w:r>
      <w:r>
        <w:rPr>
          <w:rFonts w:cs="Arial" w:ascii="Arial" w:hAnsi="Arial"/>
          <w:b/>
        </w:rPr>
        <w:t>CONTRATANTE</w:t>
      </w:r>
      <w:r>
        <w:rPr>
          <w:rFonts w:cs="Arial" w:ascii="Arial" w:hAnsi="Arial"/>
        </w:rPr>
        <w:t xml:space="preserve">, neste ato representado pelo seu Prefeito Municipal, Sr. _____________ e a empresa </w:t>
      </w:r>
      <w:r>
        <w:rPr>
          <w:rFonts w:cs="Arial" w:ascii="Arial" w:hAnsi="Arial"/>
          <w:b/>
        </w:rPr>
        <w:t>XXX</w:t>
      </w:r>
      <w:r>
        <w:rPr>
          <w:rFonts w:cs="Arial" w:ascii="Arial" w:hAnsi="Arial"/>
        </w:rPr>
        <w:t xml:space="preserve">, inscrita no CNPJ nº 000, estabelecida em XXX, doravante denominada </w:t>
      </w:r>
      <w:r>
        <w:rPr>
          <w:rFonts w:cs="Arial" w:ascii="Arial" w:hAnsi="Arial"/>
          <w:b/>
        </w:rPr>
        <w:t>CONTRATADA</w:t>
      </w:r>
      <w:r>
        <w:rPr>
          <w:rFonts w:cs="Arial" w:ascii="Arial" w:hAnsi="Arial"/>
        </w:rPr>
        <w:t>, neste ato representada por seu Sócio-Gerente XXX, resolvem celebrar este contrato, em decorrência do Processo Licitatório nº 0000/202X, (MODALIDADE) nº 000/202X, homologado em 00/00/202X, mediante as cláusulas a seguir:</w:t>
      </w:r>
    </w:p>
    <w:p>
      <w:pPr>
        <w:pStyle w:val="Normal"/>
        <w:spacing w:lineRule="auto" w:line="240" w:before="0" w:after="0"/>
        <w:jc w:val="both"/>
        <w:rPr>
          <w:rFonts w:ascii="Arial" w:hAnsi="Arial" w:cs="Arial"/>
        </w:rPr>
      </w:pPr>
      <w:r>
        <w:rPr>
          <w:rFonts w:cs="Arial" w:ascii="Arial" w:hAnsi="Arial"/>
        </w:rPr>
      </w:r>
    </w:p>
    <w:p>
      <w:pPr>
        <w:pStyle w:val="Normal"/>
        <w:shd w:val="clear" w:color="auto" w:fill="E7E6E6" w:themeFill="background2"/>
        <w:spacing w:lineRule="auto" w:line="240" w:before="0" w:after="0"/>
        <w:jc w:val="both"/>
        <w:rPr>
          <w:shd w:fill="auto" w:val="clear"/>
        </w:rPr>
      </w:pPr>
      <w:r>
        <w:rPr>
          <w:rFonts w:cs="Arial" w:ascii="Arial" w:hAnsi="Arial"/>
          <w:b/>
          <w:shd w:fill="auto" w:val="clear"/>
        </w:rPr>
        <w:t xml:space="preserve">CLÁUSULA PRIMEIRA: OBJETO E SEUS ELEMENTOS CARACTERÍSTICOS </w:t>
      </w:r>
    </w:p>
    <w:p>
      <w:pPr>
        <w:pStyle w:val="Normal"/>
        <w:widowControl w:val="false"/>
        <w:tabs>
          <w:tab w:val="clear" w:pos="708"/>
          <w:tab w:val="left" w:pos="1701" w:leader="none"/>
        </w:tabs>
        <w:spacing w:lineRule="auto" w:line="240" w:before="0" w:after="0"/>
        <w:jc w:val="both"/>
        <w:textAlignment w:val="baseline"/>
        <w:rPr>
          <w:shd w:fill="auto" w:val="clear"/>
        </w:rPr>
      </w:pPr>
      <w:r>
        <w:rPr>
          <w:rFonts w:cs="Arial" w:ascii="Arial" w:hAnsi="Arial"/>
          <w:b/>
          <w:color w:val="111111"/>
          <w:shd w:fill="auto" w:val="clear"/>
        </w:rPr>
        <w:t>1.</w:t>
      </w:r>
      <w:r>
        <w:rPr>
          <w:rFonts w:cs="Arial" w:ascii="Arial" w:hAnsi="Arial"/>
          <w:color w:val="111111"/>
          <w:shd w:fill="auto" w:val="clear"/>
        </w:rPr>
        <w:t xml:space="preserve"> </w:t>
      </w:r>
      <w:r>
        <w:rPr>
          <w:rFonts w:eastAsia="Times New Roman" w:cs="Arial" w:ascii="Arial" w:hAnsi="Arial"/>
          <w:color w:val="111111"/>
          <w:shd w:fill="auto" w:val="clear"/>
          <w:lang w:eastAsia="pt-BR"/>
        </w:rPr>
        <w:t xml:space="preserve">O objeto deste contrato é o </w:t>
      </w:r>
      <w:r>
        <w:rPr>
          <w:rFonts w:eastAsia="Times New Roman" w:cs="Arial" w:ascii="Arial" w:hAnsi="Arial"/>
          <w:color w:val="000000"/>
          <w:shd w:fill="auto" w:val="clear"/>
          <w:lang w:eastAsia="pt-BR"/>
        </w:rPr>
        <w:t xml:space="preserve">Registro de Preços, </w:t>
      </w:r>
      <w:r>
        <w:rPr>
          <w:rFonts w:eastAsia="Times New Roman" w:cs="Arial" w:ascii="Arial" w:hAnsi="Arial"/>
          <w:color w:val="000000"/>
          <w:kern w:val="0"/>
          <w:sz w:val="22"/>
          <w:szCs w:val="22"/>
          <w:shd w:fill="auto" w:val="clear"/>
          <w:lang w:val="pt-BR" w:eastAsia="pt-BR" w:bidi="ar-SA"/>
        </w:rPr>
        <w:t>objetivando a</w:t>
      </w:r>
      <w:r>
        <w:rPr>
          <w:rFonts w:eastAsia="Times New Roman" w:cs="Calibri" w:ascii="Arial" w:hAnsi="Arial" w:cstheme="minorHAnsi"/>
          <w:color w:val="000000"/>
          <w:kern w:val="0"/>
          <w:sz w:val="22"/>
          <w:szCs w:val="22"/>
          <w:shd w:fill="auto" w:val="clear"/>
          <w:lang w:val="pt-BR" w:eastAsia="pt-BR" w:bidi="ar-SA"/>
        </w:rPr>
        <w:t xml:space="preserve"> contratação de empresa para o fornecimento de produto alimentício, visando a manutenção das atividades da Polícia Civil e Militar do Município de Itá-SC.</w:t>
      </w:r>
    </w:p>
    <w:p>
      <w:pPr>
        <w:pStyle w:val="Normal"/>
        <w:spacing w:lineRule="auto" w:line="240" w:before="0" w:after="0"/>
        <w:jc w:val="both"/>
        <w:rPr>
          <w:rFonts w:ascii="Arial" w:hAnsi="Arial" w:cs="Arial"/>
          <w:b/>
          <w:b/>
        </w:rPr>
      </w:pPr>
      <w:r>
        <w:rPr>
          <w:rFonts w:cs="Arial" w:ascii="Arial" w:hAnsi="Arial"/>
          <w:b/>
        </w:rPr>
      </w:r>
    </w:p>
    <w:p>
      <w:pPr>
        <w:pStyle w:val="Normal"/>
        <w:shd w:val="clear" w:color="auto" w:fill="E7E6E6" w:themeFill="background2"/>
        <w:spacing w:lineRule="auto" w:line="240" w:before="0" w:after="0"/>
        <w:jc w:val="both"/>
        <w:rPr>
          <w:rFonts w:ascii="Arial" w:hAnsi="Arial" w:cs="Arial"/>
          <w:b/>
          <w:b/>
        </w:rPr>
      </w:pPr>
      <w:r>
        <w:rPr>
          <w:rFonts w:cs="Arial" w:ascii="Arial" w:hAnsi="Arial"/>
          <w:b/>
        </w:rPr>
        <w:t xml:space="preserve">CLÁUSULA SEGUNDA: VINCULAÇÃO AO EDITAL DE LICITAÇÃO E À PROPOSTA DO LICITANTE VENCEDOR </w:t>
      </w:r>
    </w:p>
    <w:p>
      <w:pPr>
        <w:pStyle w:val="Normal"/>
        <w:spacing w:lineRule="auto" w:line="240" w:before="0" w:after="0"/>
        <w:jc w:val="both"/>
        <w:rPr>
          <w:rFonts w:ascii="Arial" w:hAnsi="Arial" w:cs="Arial"/>
        </w:rPr>
      </w:pPr>
      <w:r>
        <w:rPr>
          <w:rFonts w:cs="Arial" w:ascii="Arial" w:hAnsi="Arial"/>
          <w:b/>
        </w:rPr>
        <w:t>1.</w:t>
      </w:r>
      <w:r>
        <w:rPr>
          <w:rFonts w:cs="Arial" w:ascii="Arial" w:hAnsi="Arial"/>
        </w:rPr>
        <w:t xml:space="preserve"> Este contrato é vinculado ao edital do Processo Licitatório nº 0000/202X, (MODALIDADE) nº 000/202X, homologado em 00/00/202X, e à proposta do licitante vencedor XXX.</w:t>
      </w:r>
    </w:p>
    <w:p>
      <w:pPr>
        <w:pStyle w:val="Normal"/>
        <w:spacing w:lineRule="auto" w:line="240" w:before="0" w:after="0"/>
        <w:jc w:val="both"/>
        <w:rPr>
          <w:rFonts w:ascii="Arial" w:hAnsi="Arial" w:cs="Arial"/>
          <w:b/>
          <w:b/>
        </w:rPr>
      </w:pPr>
      <w:r>
        <w:rPr>
          <w:rFonts w:cs="Arial" w:ascii="Arial" w:hAnsi="Arial"/>
          <w:b/>
        </w:rPr>
      </w:r>
      <w:bookmarkStart w:id="104" w:name="art92iii"/>
      <w:bookmarkStart w:id="105" w:name="art92ii"/>
      <w:bookmarkStart w:id="106" w:name="art92iii"/>
      <w:bookmarkStart w:id="107" w:name="art92ii"/>
      <w:bookmarkEnd w:id="106"/>
      <w:bookmarkEnd w:id="107"/>
    </w:p>
    <w:p>
      <w:pPr>
        <w:pStyle w:val="Normal"/>
        <w:shd w:val="clear" w:color="auto" w:fill="E7E6E6" w:themeFill="background2"/>
        <w:spacing w:lineRule="auto" w:line="240" w:before="0" w:after="0"/>
        <w:jc w:val="both"/>
        <w:rPr>
          <w:rFonts w:ascii="Arial" w:hAnsi="Arial" w:cs="Arial"/>
          <w:b/>
          <w:b/>
        </w:rPr>
      </w:pPr>
      <w:r>
        <w:rPr>
          <w:rFonts w:cs="Arial" w:ascii="Arial" w:hAnsi="Arial"/>
          <w:b/>
        </w:rPr>
        <w:t xml:space="preserve">CLÁUSULA TERCEIRA: LEGISLAÇÃO APLICÁVEL À EXECUÇÃO DO CONTRATO, INCLUSIVE QUANTO AOS CASOS OMISSOS </w:t>
      </w:r>
    </w:p>
    <w:p>
      <w:pPr>
        <w:pStyle w:val="Normal"/>
        <w:spacing w:lineRule="auto" w:line="240" w:before="0" w:after="0"/>
        <w:jc w:val="both"/>
        <w:rPr>
          <w:rFonts w:ascii="Arial" w:hAnsi="Arial" w:cs="Arial"/>
        </w:rPr>
      </w:pPr>
      <w:r>
        <w:rPr>
          <w:rFonts w:cs="Arial" w:ascii="Arial" w:hAnsi="Arial"/>
          <w:b/>
        </w:rPr>
        <w:t>1.</w:t>
      </w:r>
      <w:r>
        <w:rPr>
          <w:rFonts w:cs="Arial" w:ascii="Arial" w:hAnsi="Arial"/>
        </w:rPr>
        <w:t xml:space="preserve"> Este contrato rege-se pelas disposições expressas na Lei nº 14.133/20211 e pelos preceitos de direito público, sendo aplicados, supletivamente, os princípios da teoria geral dos contratos e as disposições de direito privado. </w:t>
      </w:r>
    </w:p>
    <w:p>
      <w:pPr>
        <w:pStyle w:val="Normal"/>
        <w:spacing w:lineRule="auto" w:line="240" w:before="0" w:after="0"/>
        <w:jc w:val="both"/>
        <w:rPr>
          <w:rFonts w:ascii="Arial" w:hAnsi="Arial" w:cs="Arial"/>
        </w:rPr>
      </w:pPr>
      <w:r>
        <w:rPr>
          <w:rFonts w:cs="Arial" w:ascii="Arial" w:hAnsi="Arial"/>
          <w:b/>
        </w:rPr>
        <w:t>2.</w:t>
      </w:r>
      <w:r>
        <w:rPr>
          <w:rFonts w:cs="Arial" w:ascii="Arial" w:hAnsi="Arial"/>
        </w:rPr>
        <w:t xml:space="preserve"> Os casos omissos serão resolvidos à luz da referida lei, recorrendo-se à analogia, aos costumes e aos princípios gerais do direito</w:t>
      </w:r>
    </w:p>
    <w:p>
      <w:pPr>
        <w:pStyle w:val="Normal"/>
        <w:spacing w:lineRule="auto" w:line="240" w:before="0" w:after="0"/>
        <w:jc w:val="both"/>
        <w:rPr>
          <w:rFonts w:ascii="Arial" w:hAnsi="Arial" w:cs="Arial"/>
          <w:b/>
          <w:b/>
        </w:rPr>
      </w:pPr>
      <w:r>
        <w:rPr>
          <w:rFonts w:cs="Arial" w:ascii="Arial" w:hAnsi="Arial"/>
          <w:b/>
        </w:rPr>
      </w:r>
    </w:p>
    <w:p>
      <w:pPr>
        <w:pStyle w:val="Normal"/>
        <w:shd w:val="clear" w:color="auto" w:fill="E7E6E6" w:themeFill="background2"/>
        <w:spacing w:lineRule="auto" w:line="240" w:before="0" w:after="0"/>
        <w:jc w:val="both"/>
        <w:rPr>
          <w:rFonts w:ascii="Arial" w:hAnsi="Arial" w:cs="Arial"/>
          <w:b/>
          <w:b/>
        </w:rPr>
      </w:pPr>
      <w:r>
        <w:rPr>
          <w:rFonts w:cs="Arial" w:ascii="Arial" w:hAnsi="Arial"/>
          <w:b/>
        </w:rPr>
        <w:t xml:space="preserve">CLÁUSULA QUARTA: REGIME DE EXECUÇÃO OU A FORMA DE FORNECIMENTO </w:t>
      </w:r>
    </w:p>
    <w:p>
      <w:pPr>
        <w:pStyle w:val="Normal"/>
        <w:spacing w:lineRule="auto" w:line="240" w:before="0" w:after="0"/>
        <w:jc w:val="both"/>
        <w:rPr>
          <w:rFonts w:ascii="Arial" w:hAnsi="Arial" w:cs="Arial"/>
          <w:color w:val="FF0000"/>
          <w:highlight w:val="yellow"/>
        </w:rPr>
      </w:pPr>
      <w:r>
        <w:rPr>
          <w:rFonts w:cs="Arial" w:ascii="Arial" w:hAnsi="Arial"/>
          <w:b/>
          <w:bCs/>
          <w:color w:val="111111"/>
        </w:rPr>
        <w:t>1.</w:t>
      </w:r>
      <w:r>
        <w:rPr>
          <w:rFonts w:cs="Arial" w:ascii="Arial" w:hAnsi="Arial"/>
          <w:color w:val="111111"/>
        </w:rPr>
        <w:t xml:space="preserve"> O objeto do presente contrato será realizado/adquirido sob a Forma/Regime Execução: Indireta.</w:t>
      </w:r>
      <w:r>
        <w:rPr>
          <w:rFonts w:cs="Arial" w:ascii="Arial" w:hAnsi="Arial"/>
        </w:rPr>
        <w:t xml:space="preserve"> </w:t>
      </w:r>
    </w:p>
    <w:p>
      <w:pPr>
        <w:pStyle w:val="Normal"/>
        <w:spacing w:lineRule="auto" w:line="240" w:before="0" w:after="0"/>
        <w:jc w:val="both"/>
        <w:rPr>
          <w:rFonts w:ascii="Arial" w:hAnsi="Arial" w:cs="Arial"/>
          <w:b/>
          <w:b/>
        </w:rPr>
      </w:pPr>
      <w:r>
        <w:rPr>
          <w:rFonts w:cs="Arial" w:ascii="Arial" w:hAnsi="Arial"/>
          <w:b/>
        </w:rPr>
      </w:r>
    </w:p>
    <w:p>
      <w:pPr>
        <w:pStyle w:val="Normal"/>
        <w:shd w:val="clear" w:color="auto" w:fill="E7E6E6" w:themeFill="background2"/>
        <w:spacing w:lineRule="auto" w:line="240" w:before="0" w:after="0"/>
        <w:jc w:val="both"/>
        <w:rPr>
          <w:rFonts w:ascii="Arial" w:hAnsi="Arial" w:cs="Arial"/>
          <w:b/>
          <w:b/>
        </w:rPr>
      </w:pPr>
      <w:r>
        <w:rPr>
          <w:rFonts w:cs="Arial" w:ascii="Arial" w:hAnsi="Arial"/>
          <w:b/>
        </w:rPr>
        <w:t>CLÁUSULA QUINTA: O PREÇO E AS CONDIÇÕES DE PAGAMENTO, OS CRITÉRIOS, A DATA-BASE E A PERIODICIDADE DO REAJUSTAMENTO DE PREÇOS E OS CRITÉRIOS DE ATUALIZAÇÃO MONETÁRIA ENTRE A DATA DO ADIMPLEMENTO DAS OBRIGAÇÕES E A DO EFETIVO PAGAMENTO (art. 92, V)</w:t>
      </w:r>
    </w:p>
    <w:p>
      <w:pPr>
        <w:pStyle w:val="Default"/>
        <w:jc w:val="both"/>
        <w:rPr>
          <w:rFonts w:ascii="Arial" w:hAnsi="Arial" w:cs="Arial"/>
          <w:sz w:val="22"/>
        </w:rPr>
      </w:pPr>
      <w:r>
        <w:rPr>
          <w:rFonts w:cs="Arial" w:ascii="Arial" w:hAnsi="Arial"/>
          <w:sz w:val="22"/>
        </w:rPr>
        <w:t>1. A CONTRATANTE pagará a CONTRATADA o preço total de R$ xxxxx (xxxxx reais).</w:t>
      </w:r>
    </w:p>
    <w:p>
      <w:pPr>
        <w:pStyle w:val="Default"/>
        <w:jc w:val="both"/>
        <w:rPr>
          <w:rFonts w:ascii="Arial" w:hAnsi="Arial" w:cs="Arial"/>
          <w:sz w:val="22"/>
        </w:rPr>
      </w:pPr>
      <w:r>
        <w:rPr>
          <w:rFonts w:cs="Arial" w:ascii="Arial" w:hAnsi="Arial"/>
          <w:sz w:val="22"/>
        </w:rPr>
      </w:r>
    </w:p>
    <w:p>
      <w:pPr>
        <w:pStyle w:val="Default"/>
        <w:jc w:val="both"/>
        <w:rPr>
          <w:rFonts w:ascii="Arial" w:hAnsi="Arial" w:cs="Arial"/>
          <w:sz w:val="22"/>
        </w:rPr>
      </w:pPr>
      <w:r>
        <w:rPr>
          <w:rFonts w:cs="Arial" w:ascii="Arial" w:hAnsi="Arial"/>
          <w:sz w:val="22"/>
        </w:rPr>
        <w:t>2. Fica expressamente estabelecido que os preços constantes na proposta da CONTRATADA incluem todos os custos diretos e indiretos requeridos para a execução do objeto contratado, constituindo-se na única remuneração devida.</w:t>
      </w:r>
    </w:p>
    <w:p>
      <w:pPr>
        <w:pStyle w:val="Default"/>
        <w:rPr>
          <w:rFonts w:ascii="Arial" w:hAnsi="Arial" w:cs="Arial"/>
          <w:sz w:val="22"/>
        </w:rPr>
      </w:pPr>
      <w:r>
        <w:rPr>
          <w:rFonts w:cs="Arial" w:ascii="Arial" w:hAnsi="Arial"/>
          <w:sz w:val="22"/>
        </w:rPr>
      </w:r>
    </w:p>
    <w:p>
      <w:pPr>
        <w:pStyle w:val="Normal"/>
        <w:spacing w:lineRule="auto" w:line="240" w:before="0" w:after="0"/>
        <w:jc w:val="both"/>
        <w:rPr>
          <w:rFonts w:ascii="Arial" w:hAnsi="Arial" w:cs="Arial"/>
        </w:rPr>
      </w:pPr>
      <w:r>
        <w:rPr>
          <w:rFonts w:cs="Arial" w:ascii="Arial" w:hAnsi="Arial"/>
        </w:rPr>
        <w:t>3. A entrega ocorrerá de forma parcelada, sendo assim o pagamento será efetuado através da apresentação de nota fiscal, de maneira mensal, até o dia 15 (quinze) do mês subsequente.</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 O custo apresentado caracterizando o preço unitário e global para a aquisição do serviço e somente será reajustado passado 12 meses do contrato, se renovado, utilizando-se o índice </w:t>
      </w:r>
      <w:r>
        <w:rPr>
          <w:rFonts w:cs="Arial" w:ascii="Arial" w:hAnsi="Arial"/>
          <w:color w:val="000000"/>
        </w:rPr>
        <w:t>INPC</w:t>
      </w:r>
      <w:r>
        <w:rPr>
          <w:rFonts w:cs="Arial" w:ascii="Arial" w:hAnsi="Arial"/>
        </w:rPr>
        <w:t xml:space="preserve">. </w:t>
      </w:r>
    </w:p>
    <w:p>
      <w:pPr>
        <w:pStyle w:val="Normal"/>
        <w:spacing w:lineRule="auto" w:line="240" w:before="0" w:after="0"/>
        <w:jc w:val="both"/>
        <w:rPr>
          <w:rFonts w:ascii="Arial" w:hAnsi="Arial" w:cs="Arial"/>
          <w:b/>
          <w:b/>
        </w:rPr>
      </w:pPr>
      <w:r>
        <w:rPr>
          <w:rFonts w:cs="Arial" w:ascii="Arial" w:hAnsi="Arial"/>
          <w:b/>
        </w:rPr>
      </w:r>
    </w:p>
    <w:p>
      <w:pPr>
        <w:pStyle w:val="Normal"/>
        <w:shd w:val="clear" w:color="auto" w:fill="E7E6E6" w:themeFill="background2"/>
        <w:spacing w:lineRule="auto" w:line="240" w:before="0" w:after="0"/>
        <w:jc w:val="both"/>
        <w:rPr>
          <w:rFonts w:ascii="Arial" w:hAnsi="Arial" w:cs="Arial"/>
          <w:b/>
          <w:b/>
        </w:rPr>
      </w:pPr>
      <w:bookmarkStart w:id="108" w:name="art92vii"/>
      <w:bookmarkEnd w:id="108"/>
      <w:r>
        <w:rPr>
          <w:rFonts w:cs="Arial" w:ascii="Arial" w:hAnsi="Arial"/>
          <w:b/>
        </w:rPr>
        <w:t xml:space="preserve">CLÁUSULA SEXTA: OS PRAZOS DE INÍCIO DAS ETAPAS DE EXECUÇÃO, CONCLUSÃO, ENTREGA, OBSERVAÇÃO E RECEBIMENTO DEFINITIVO, </w:t>
      </w:r>
      <w:r>
        <w:rPr>
          <w:rFonts w:cs="Arial" w:ascii="Arial" w:hAnsi="Arial"/>
          <w:b/>
          <w:u w:val="single"/>
        </w:rPr>
        <w:t>QUANDO FOR O CASO</w:t>
      </w:r>
      <w:r>
        <w:rPr>
          <w:rFonts w:cs="Arial" w:ascii="Arial" w:hAnsi="Arial"/>
          <w:b/>
        </w:rPr>
        <w:t xml:space="preserve"> </w:t>
      </w:r>
    </w:p>
    <w:p>
      <w:pPr>
        <w:pStyle w:val="Default"/>
        <w:jc w:val="both"/>
        <w:rPr>
          <w:rFonts w:ascii="Arial" w:hAnsi="Arial" w:cs="Arial"/>
          <w:sz w:val="22"/>
        </w:rPr>
      </w:pPr>
      <w:r>
        <w:rPr>
          <w:rFonts w:cs="Arial" w:ascii="Arial" w:hAnsi="Arial"/>
          <w:sz w:val="22"/>
        </w:rPr>
        <w:t xml:space="preserve">1. O prazo de prestação dos serviços iniciar-se-á em xx de xxx de 202X com término em xx de xxxx de 202X. </w:t>
      </w:r>
    </w:p>
    <w:p>
      <w:pPr>
        <w:pStyle w:val="Normal"/>
        <w:spacing w:lineRule="auto" w:line="240" w:before="0" w:after="0"/>
        <w:jc w:val="both"/>
        <w:rPr>
          <w:rFonts w:ascii="Arial" w:hAnsi="Arial" w:cs="Arial"/>
        </w:rPr>
      </w:pPr>
      <w:r>
        <w:rPr>
          <w:rFonts w:cs="Arial" w:ascii="Arial" w:hAnsi="Arial"/>
        </w:rPr>
        <w:t xml:space="preserve">2. A entrega ocorrerá de forma parcelada, conforme as necessidades do município CONTRATANTE. </w:t>
      </w:r>
    </w:p>
    <w:p>
      <w:pPr>
        <w:pStyle w:val="Normal"/>
        <w:spacing w:lineRule="auto" w:line="240" w:before="0" w:after="0"/>
        <w:jc w:val="both"/>
        <w:rPr>
          <w:rFonts w:ascii="Arial" w:hAnsi="Arial" w:cs="Arial"/>
        </w:rPr>
      </w:pPr>
      <w:r>
        <w:rPr>
          <w:rFonts w:cs="Arial" w:ascii="Arial" w:hAnsi="Arial"/>
        </w:rPr>
      </w:r>
    </w:p>
    <w:p>
      <w:pPr>
        <w:pStyle w:val="Normal"/>
        <w:shd w:val="clear" w:color="auto" w:fill="E7E6E6" w:themeFill="background2"/>
        <w:spacing w:lineRule="auto" w:line="240" w:before="0" w:after="0"/>
        <w:jc w:val="both"/>
        <w:rPr>
          <w:rFonts w:ascii="Arial" w:hAnsi="Arial" w:cs="Arial"/>
        </w:rPr>
      </w:pPr>
      <w:bookmarkStart w:id="109" w:name="art92viii"/>
      <w:bookmarkEnd w:id="109"/>
      <w:r>
        <w:rPr>
          <w:rFonts w:cs="Arial" w:ascii="Arial" w:hAnsi="Arial"/>
          <w:b/>
        </w:rPr>
        <w:t xml:space="preserve">CLÁUSULA SÉTIMA: O CRÉDITO PELO QUAL CORRERÁ A DESPESA, COM A INDICAÇÃO DA CLASSIFICAÇÃO FUNCIONAL PROGRAMÁTICA E DA CATEGORIA ECONÔMICA </w:t>
      </w:r>
    </w:p>
    <w:p>
      <w:pPr>
        <w:pStyle w:val="Normal"/>
        <w:widowControl w:val="false"/>
        <w:spacing w:lineRule="auto" w:line="240" w:before="0" w:after="0"/>
        <w:jc w:val="both"/>
        <w:rPr>
          <w:rFonts w:ascii="Arial" w:hAnsi="Arial" w:cs="Arial"/>
        </w:rPr>
      </w:pPr>
      <w:r>
        <w:rPr>
          <w:rFonts w:eastAsia="Arial" w:cs="Arial" w:ascii="Arial" w:hAnsi="Arial"/>
        </w:rPr>
        <w:t>As despesas decorrentes deste Termo de Credenciamento, ocorrerão por conta do Orçamento Geral do Município, do seguinte programa:</w:t>
      </w:r>
    </w:p>
    <w:p>
      <w:pPr>
        <w:pStyle w:val="Normal"/>
        <w:widowControl w:val="false"/>
        <w:tabs>
          <w:tab w:val="clear" w:pos="708"/>
          <w:tab w:val="left" w:pos="1701" w:leader="none"/>
        </w:tabs>
        <w:spacing w:lineRule="auto" w:line="240" w:before="0" w:after="0"/>
        <w:jc w:val="both"/>
        <w:textAlignment w:val="baseline"/>
        <w:rPr>
          <w:rFonts w:ascii="Arial" w:hAnsi="Arial" w:cs="Arial"/>
          <w:shd w:fill="auto" w:val="clear"/>
        </w:rPr>
      </w:pPr>
      <w:r>
        <w:rPr>
          <w:rFonts w:cs="Arial" w:ascii="Arial" w:hAnsi="Arial"/>
          <w:shd w:fill="auto" w:val="clear"/>
        </w:rPr>
      </w:r>
    </w:p>
    <w:p>
      <w:pPr>
        <w:pStyle w:val="Normal"/>
        <w:widowControl w:val="false"/>
        <w:spacing w:lineRule="auto" w:line="240" w:before="0" w:after="0"/>
        <w:ind w:left="709" w:hanging="0"/>
        <w:jc w:val="both"/>
        <w:rPr>
          <w:shd w:fill="auto" w:val="clear"/>
        </w:rPr>
      </w:pPr>
      <w:r>
        <w:rPr>
          <w:rFonts w:eastAsia="Times New Roman" w:cs="Arial" w:ascii="Arial" w:hAnsi="Arial"/>
          <w:color w:val="000000"/>
          <w:kern w:val="0"/>
          <w:sz w:val="22"/>
          <w:szCs w:val="22"/>
          <w:shd w:fill="auto" w:val="clear"/>
          <w:lang w:val="pt-BR" w:eastAsia="pt-BR" w:bidi="ar-SA"/>
        </w:rPr>
        <w:t>03</w:t>
      </w:r>
      <w:r>
        <w:rPr>
          <w:rFonts w:cs="Arial" w:ascii="Arial" w:hAnsi="Arial"/>
          <w:color w:val="000000"/>
          <w:shd w:fill="auto" w:val="clear"/>
        </w:rPr>
        <w:t xml:space="preserve">.00 </w:t>
      </w:r>
      <w:r>
        <w:rPr>
          <w:rFonts w:eastAsia="Times New Roman" w:cs="Arial" w:ascii="Arial" w:hAnsi="Arial"/>
          <w:color w:val="000000"/>
          <w:shd w:fill="auto" w:val="clear"/>
          <w:lang w:eastAsia="pt-BR"/>
        </w:rPr>
        <w:t xml:space="preserve">SECRETARIA </w:t>
      </w:r>
      <w:r>
        <w:rPr>
          <w:rFonts w:eastAsia="Times New Roman" w:cs="Arial" w:ascii="Arial" w:hAnsi="Arial"/>
          <w:color w:val="000000"/>
          <w:kern w:val="0"/>
          <w:sz w:val="22"/>
          <w:szCs w:val="22"/>
          <w:shd w:fill="auto" w:val="clear"/>
          <w:lang w:val="pt-BR" w:eastAsia="pt-BR" w:bidi="ar-SA"/>
        </w:rPr>
        <w:t>MUNICIPAL DE ADMINISTRAÇÃO E FAZENDA</w:t>
      </w:r>
    </w:p>
    <w:p>
      <w:pPr>
        <w:pStyle w:val="Normal"/>
        <w:widowControl w:val="false"/>
        <w:spacing w:lineRule="auto" w:line="240" w:before="0" w:after="0"/>
        <w:ind w:left="709" w:hanging="0"/>
        <w:jc w:val="both"/>
        <w:rPr>
          <w:shd w:fill="auto" w:val="clear"/>
        </w:rPr>
      </w:pPr>
      <w:r>
        <w:rPr>
          <w:rFonts w:eastAsia="Calibri" w:cs="Arial" w:ascii="Arial" w:hAnsi="Arial"/>
          <w:color w:val="000000"/>
          <w:kern w:val="0"/>
          <w:sz w:val="22"/>
          <w:szCs w:val="22"/>
          <w:shd w:fill="auto" w:val="clear"/>
          <w:lang w:val="pt-BR" w:eastAsia="en-US" w:bidi="ar-SA"/>
        </w:rPr>
        <w:t>03</w:t>
      </w:r>
      <w:r>
        <w:rPr>
          <w:rFonts w:cs="Arial" w:ascii="Arial" w:hAnsi="Arial"/>
          <w:color w:val="000000"/>
          <w:shd w:fill="auto" w:val="clear"/>
        </w:rPr>
        <w:t>.</w:t>
      </w:r>
      <w:r>
        <w:rPr>
          <w:rFonts w:eastAsia="Calibri" w:cs="Arial" w:ascii="Arial" w:hAnsi="Arial"/>
          <w:color w:val="000000"/>
          <w:kern w:val="0"/>
          <w:sz w:val="22"/>
          <w:szCs w:val="22"/>
          <w:shd w:fill="auto" w:val="clear"/>
          <w:lang w:val="pt-BR" w:eastAsia="en-US" w:bidi="ar-SA"/>
        </w:rPr>
        <w:t>01</w:t>
      </w:r>
      <w:r>
        <w:rPr>
          <w:rFonts w:cs="Arial" w:ascii="Arial" w:hAnsi="Arial"/>
          <w:color w:val="000000"/>
          <w:shd w:fill="auto" w:val="clear"/>
        </w:rPr>
        <w:t xml:space="preserve"> </w:t>
      </w:r>
      <w:r>
        <w:rPr>
          <w:rFonts w:eastAsia="Times New Roman" w:cs="Arial" w:ascii="Arial" w:hAnsi="Arial"/>
          <w:color w:val="000000"/>
          <w:kern w:val="0"/>
          <w:sz w:val="22"/>
          <w:szCs w:val="22"/>
          <w:shd w:fill="auto" w:val="clear"/>
          <w:lang w:val="pt-BR" w:eastAsia="pt-BR" w:bidi="ar-SA"/>
        </w:rPr>
        <w:t>Secretaria Municipal de Administração e Fazenda</w:t>
      </w:r>
    </w:p>
    <w:p>
      <w:pPr>
        <w:pStyle w:val="Normal"/>
        <w:spacing w:lineRule="auto" w:line="240" w:before="0" w:after="0"/>
        <w:ind w:left="709" w:hanging="0"/>
        <w:jc w:val="both"/>
        <w:rPr>
          <w:shd w:fill="auto" w:val="clear"/>
        </w:rPr>
      </w:pPr>
      <w:r>
        <w:rPr>
          <w:rFonts w:eastAsia="Times New Roman" w:cs="Arial" w:ascii="Arial" w:hAnsi="Arial"/>
          <w:color w:val="000000"/>
          <w:kern w:val="0"/>
          <w:sz w:val="22"/>
          <w:szCs w:val="22"/>
          <w:shd w:fill="auto" w:val="clear"/>
          <w:lang w:val="pt-BR" w:eastAsia="pt-BR" w:bidi="ar-SA"/>
        </w:rPr>
        <w:t>2.006</w:t>
      </w:r>
      <w:r>
        <w:rPr>
          <w:rFonts w:cs="Arial" w:ascii="Arial" w:hAnsi="Arial"/>
          <w:shd w:fill="auto" w:val="clear"/>
        </w:rPr>
        <w:t xml:space="preserve"> – </w:t>
      </w:r>
      <w:r>
        <w:rPr>
          <w:rFonts w:eastAsia="Times New Roman" w:cs="Arial" w:ascii="Arial" w:hAnsi="Arial"/>
          <w:color w:val="000000"/>
          <w:kern w:val="0"/>
          <w:sz w:val="22"/>
          <w:szCs w:val="22"/>
          <w:shd w:fill="auto" w:val="clear"/>
          <w:lang w:val="pt-BR" w:eastAsia="pt-BR" w:bidi="ar-SA"/>
        </w:rPr>
        <w:t>Manutenção Atividades Segurança Pública</w:t>
      </w:r>
    </w:p>
    <w:p>
      <w:pPr>
        <w:pStyle w:val="Normal"/>
        <w:widowControl w:val="false"/>
        <w:spacing w:lineRule="auto" w:line="240" w:before="0" w:after="0"/>
        <w:ind w:left="709" w:hanging="0"/>
        <w:jc w:val="both"/>
        <w:rPr>
          <w:shd w:fill="auto" w:val="clear"/>
        </w:rPr>
      </w:pPr>
      <w:r>
        <w:rPr>
          <w:rFonts w:eastAsia="Times New Roman" w:cs="Arial" w:ascii="Arial" w:hAnsi="Arial"/>
          <w:color w:val="000000"/>
          <w:kern w:val="0"/>
          <w:sz w:val="22"/>
          <w:szCs w:val="22"/>
          <w:shd w:fill="auto" w:val="clear"/>
          <w:lang w:val="pt-BR" w:eastAsia="pt-BR" w:bidi="ar-SA"/>
        </w:rPr>
        <w:t>3.3.90 – Aplicações Diretas</w:t>
      </w:r>
    </w:p>
    <w:p>
      <w:pPr>
        <w:pStyle w:val="Normal"/>
        <w:spacing w:lineRule="auto" w:line="240" w:before="0" w:after="0"/>
        <w:ind w:left="709" w:hanging="0"/>
        <w:jc w:val="both"/>
        <w:rPr>
          <w:rFonts w:ascii="Arial" w:hAnsi="Arial" w:cs="Arial"/>
          <w:b/>
          <w:b/>
        </w:rPr>
      </w:pPr>
      <w:r>
        <w:rPr>
          <w:rFonts w:cs="Arial" w:ascii="Arial" w:hAnsi="Arial"/>
          <w:b/>
        </w:rPr>
      </w:r>
    </w:p>
    <w:p>
      <w:pPr>
        <w:pStyle w:val="Normal"/>
        <w:shd w:val="clear" w:color="auto" w:fill="E7E6E6" w:themeFill="background2"/>
        <w:spacing w:lineRule="auto" w:line="240" w:before="0" w:after="0"/>
        <w:jc w:val="both"/>
        <w:rPr>
          <w:rFonts w:ascii="Arial" w:hAnsi="Arial" w:cs="Arial"/>
          <w:b/>
          <w:b/>
        </w:rPr>
      </w:pPr>
      <w:bookmarkStart w:id="110" w:name="art92xi"/>
      <w:bookmarkEnd w:id="110"/>
      <w:r>
        <w:rPr>
          <w:rFonts w:cs="Arial" w:ascii="Arial" w:hAnsi="Arial"/>
          <w:b/>
        </w:rPr>
        <w:t xml:space="preserve">CLÁUSULA OITAVA: O PRAZO PARA RESPOSTA AO PEDIDO DE RESTABELECIMENTO DO EQUILÍBRIO ECONÔMICO-FINANCEIRO, </w:t>
      </w:r>
      <w:r>
        <w:rPr>
          <w:rFonts w:cs="Arial" w:ascii="Arial" w:hAnsi="Arial"/>
          <w:b/>
          <w:u w:val="single"/>
        </w:rPr>
        <w:t>QUANDO FOR O CASO</w:t>
      </w:r>
      <w:r>
        <w:rPr>
          <w:rFonts w:cs="Arial" w:ascii="Arial" w:hAnsi="Arial"/>
          <w:b/>
        </w:rPr>
        <w:t xml:space="preserve"> </w:t>
      </w:r>
    </w:p>
    <w:p>
      <w:pPr>
        <w:pStyle w:val="Default"/>
        <w:jc w:val="both"/>
        <w:rPr>
          <w:rFonts w:ascii="Arial" w:hAnsi="Arial" w:cs="Arial"/>
          <w:sz w:val="22"/>
        </w:rPr>
      </w:pPr>
      <w:r>
        <w:rPr>
          <w:rFonts w:cs="Arial" w:ascii="Arial" w:hAnsi="Arial"/>
          <w:b/>
          <w:bCs/>
          <w:sz w:val="22"/>
        </w:rPr>
        <w:t>1.</w:t>
      </w:r>
      <w:r>
        <w:rPr>
          <w:rFonts w:cs="Arial" w:ascii="Arial" w:hAnsi="Arial"/>
          <w:sz w:val="22"/>
        </w:rPr>
        <w:t xml:space="preserve"> O reequilíbrio econômico poderá ser solicitado a qualquer tempo pelo(a) CONTRATADO (A) desde que comprovado caso de força maior, caso fortuito ou fato do príncipe ou em decorrência de fatos imprevisíveis ou previsíveis de consequências incalculáveis, que inviabilizem a execução do contrato tal como pactuado, nos termos do art. 124, inciso II, alínea “d” da lei nº 14.133/93, sendo que a resposta de deferimento ou indeferimento do pedido ocorrerá sempre no primeiro dia do mês subsequente a requisição. </w:t>
      </w:r>
    </w:p>
    <w:p>
      <w:pPr>
        <w:pStyle w:val="Normal"/>
        <w:spacing w:lineRule="auto" w:line="240" w:before="0" w:after="0"/>
        <w:jc w:val="both"/>
        <w:rPr>
          <w:rFonts w:ascii="Arial" w:hAnsi="Arial" w:cs="Arial"/>
        </w:rPr>
      </w:pPr>
      <w:r>
        <w:rPr>
          <w:rFonts w:cs="Arial" w:ascii="Arial" w:hAnsi="Arial"/>
          <w:b/>
          <w:bCs/>
          <w:color w:val="000000"/>
        </w:rPr>
        <w:t>1.1</w:t>
      </w:r>
      <w:r>
        <w:rPr>
          <w:rFonts w:cs="Arial" w:ascii="Arial" w:hAnsi="Arial"/>
          <w:color w:val="000000"/>
        </w:rPr>
        <w:t xml:space="preserve"> Se concedido o reequilíbrio este atingirá somente compras futuras, posteriores ao pedido, não recaindo nas compras já solicitadas e empenhadas. Devendo o fornecedor entregar os bens já empenhados pelo valor da licitação. </w:t>
      </w:r>
    </w:p>
    <w:p>
      <w:pPr>
        <w:pStyle w:val="Normal"/>
        <w:spacing w:lineRule="auto" w:line="240" w:before="0" w:after="0"/>
        <w:jc w:val="both"/>
        <w:rPr>
          <w:rFonts w:ascii="Arial" w:hAnsi="Arial" w:cs="Arial"/>
        </w:rPr>
      </w:pPr>
      <w:r>
        <w:rPr>
          <w:rFonts w:cs="Arial" w:ascii="Arial" w:hAnsi="Arial"/>
        </w:rPr>
      </w:r>
    </w:p>
    <w:p>
      <w:pPr>
        <w:pStyle w:val="Normal"/>
        <w:shd w:val="clear" w:color="auto" w:fill="E7E6E6" w:themeFill="background2"/>
        <w:spacing w:lineRule="auto" w:line="240" w:before="0" w:after="0"/>
        <w:jc w:val="both"/>
        <w:rPr>
          <w:rFonts w:ascii="Arial" w:hAnsi="Arial" w:cs="Arial"/>
          <w:b/>
          <w:b/>
          <w:color w:val="FF0000"/>
        </w:rPr>
      </w:pPr>
      <w:bookmarkStart w:id="111" w:name="art92xiii"/>
      <w:bookmarkEnd w:id="111"/>
      <w:r>
        <w:rPr>
          <w:rFonts w:cs="Arial" w:ascii="Arial" w:hAnsi="Arial"/>
          <w:b/>
        </w:rPr>
        <w:t>CLÁUSULA NONA: O PRAZO DE GARANTIA MÍNIMA DO OBJETO, OBSERVADOS OS PRAZOS MÍNIMOS ESTABELECIDOS NA LEI Nº 14.133/2021 E NAS NORMAS TÉCNICAS APLICÁVEIS</w:t>
      </w:r>
      <w:r>
        <w:rPr>
          <w:rFonts w:cs="Arial" w:ascii="Arial" w:hAnsi="Arial"/>
          <w:b/>
          <w:color w:val="000000"/>
        </w:rPr>
        <w:t xml:space="preserve">, E AS CONDIÇÕES DE MANUTENÇÃO E ASSISTÊNCIA TÉCNICA, </w:t>
      </w:r>
      <w:r>
        <w:rPr>
          <w:rFonts w:cs="Arial" w:ascii="Arial" w:hAnsi="Arial"/>
          <w:b/>
          <w:color w:val="000000"/>
          <w:u w:val="single"/>
        </w:rPr>
        <w:t>QUANDO FOR O CASO</w:t>
      </w:r>
      <w:r>
        <w:rPr>
          <w:rFonts w:cs="Arial" w:ascii="Arial" w:hAnsi="Arial"/>
          <w:b/>
          <w:color w:val="000000"/>
        </w:rPr>
        <w:t xml:space="preserve"> </w:t>
      </w:r>
    </w:p>
    <w:p>
      <w:pPr>
        <w:pStyle w:val="Normal"/>
        <w:spacing w:lineRule="auto" w:line="240" w:before="0" w:after="0"/>
        <w:jc w:val="both"/>
        <w:rPr>
          <w:rFonts w:ascii="Arial" w:hAnsi="Arial" w:cs="Arial"/>
          <w:color w:val="000000"/>
        </w:rPr>
      </w:pPr>
      <w:r>
        <w:rPr>
          <w:rFonts w:cs="Arial" w:ascii="Arial" w:hAnsi="Arial"/>
          <w:b/>
          <w:bCs/>
          <w:color w:val="000000"/>
        </w:rPr>
        <w:t>1.</w:t>
      </w:r>
      <w:r>
        <w:rPr>
          <w:rFonts w:cs="Arial" w:ascii="Arial" w:hAnsi="Arial"/>
          <w:color w:val="000000"/>
        </w:rPr>
        <w:t xml:space="preserve"> A CONTRATADA deverá obedecer aos itens dispostos no Edital do Processo Licitatório, no Estudo Técnico Preliminar e no Termo de Referência.</w:t>
      </w:r>
    </w:p>
    <w:p>
      <w:pPr>
        <w:pStyle w:val="Normal"/>
        <w:spacing w:lineRule="auto" w:line="240" w:before="0" w:after="0"/>
        <w:jc w:val="both"/>
        <w:rPr>
          <w:rFonts w:ascii="Arial" w:hAnsi="Arial" w:cs="Arial"/>
          <w:b/>
          <w:b/>
        </w:rPr>
      </w:pPr>
      <w:r>
        <w:rPr>
          <w:rFonts w:cs="Arial" w:ascii="Arial" w:hAnsi="Arial"/>
          <w:b/>
        </w:rPr>
      </w:r>
    </w:p>
    <w:p>
      <w:pPr>
        <w:pStyle w:val="Normal"/>
        <w:shd w:val="clear" w:color="auto" w:fill="E7E6E6" w:themeFill="background2"/>
        <w:spacing w:lineRule="auto" w:line="240" w:before="0" w:after="0"/>
        <w:jc w:val="both"/>
        <w:rPr>
          <w:rFonts w:ascii="Arial" w:hAnsi="Arial" w:cs="Arial"/>
          <w:b/>
          <w:b/>
        </w:rPr>
      </w:pPr>
      <w:bookmarkStart w:id="112" w:name="art92xiv"/>
      <w:bookmarkEnd w:id="112"/>
      <w:r>
        <w:rPr>
          <w:rFonts w:cs="Arial" w:ascii="Arial" w:hAnsi="Arial"/>
          <w:b/>
        </w:rPr>
        <w:t xml:space="preserve">CLÁUSULA DÉCIMA: OS DIREITOS E AS RESPONSABILIDADES DAS PARTES, AS PENALIDADES CABÍVEIS E OS VALORES DAS MULTAS E SUAS BASES DE CÁLCULO </w:t>
      </w:r>
    </w:p>
    <w:p>
      <w:pPr>
        <w:pStyle w:val="Normal"/>
        <w:spacing w:lineRule="auto" w:line="240" w:before="0" w:after="0"/>
        <w:jc w:val="both"/>
        <w:rPr>
          <w:rFonts w:ascii="Arial" w:hAnsi="Arial" w:cs="Arial"/>
          <w:iCs/>
        </w:rPr>
      </w:pPr>
      <w:r>
        <w:rPr>
          <w:rFonts w:cs="Arial" w:ascii="Arial" w:hAnsi="Arial"/>
          <w:iCs/>
        </w:rPr>
        <w:t>10.1. O contrato regular-se-á pelas suas cláusulas e pelos preceitos de direito público, e a ele será aplicado, supletivamente, os princípios da teoria geral dos contratos e as disposições de direito privado.</w:t>
      </w:r>
    </w:p>
    <w:p>
      <w:pPr>
        <w:pStyle w:val="Normal"/>
        <w:spacing w:lineRule="auto" w:line="240" w:before="0" w:after="0"/>
        <w:jc w:val="both"/>
        <w:rPr>
          <w:rFonts w:ascii="Arial" w:hAnsi="Arial" w:cs="Arial"/>
          <w:color w:val="000000"/>
        </w:rPr>
      </w:pPr>
      <w:r>
        <w:rPr>
          <w:rFonts w:cs="Arial" w:ascii="Arial" w:hAnsi="Arial"/>
          <w:iCs/>
          <w:color w:val="000000"/>
        </w:rPr>
        <w:t xml:space="preserve">10.2. A Administração Pública Municipal convocará o licitante vencedor para assinar o termo de contrato ou para aceitar ou retirar o instrumento equivalente, dentro do prazo máximo de </w:t>
      </w:r>
      <w:r>
        <w:rPr>
          <w:rFonts w:eastAsia="Calibri" w:cs="Arial" w:ascii="Arial" w:hAnsi="Arial"/>
          <w:iCs/>
          <w:color w:val="000000"/>
        </w:rPr>
        <w:t>03</w:t>
      </w:r>
      <w:r>
        <w:rPr>
          <w:rFonts w:cs="Arial" w:ascii="Arial" w:hAnsi="Arial"/>
          <w:iCs/>
          <w:color w:val="000000"/>
        </w:rPr>
        <w:t xml:space="preserve"> (</w:t>
      </w:r>
      <w:r>
        <w:rPr>
          <w:rFonts w:eastAsia="Calibri" w:cs="Arial" w:ascii="Arial" w:hAnsi="Arial"/>
          <w:iCs/>
          <w:color w:val="000000"/>
        </w:rPr>
        <w:t>três</w:t>
      </w:r>
      <w:r>
        <w:rPr>
          <w:rFonts w:cs="Arial" w:ascii="Arial" w:hAnsi="Arial"/>
          <w:iCs/>
          <w:color w:val="000000"/>
        </w:rPr>
        <w:t xml:space="preserve">) dias úteis, sob pena de decair o direito à contratação, sem prejuízo das sanções previstas na Lei nº 14.133/2021. </w:t>
      </w:r>
    </w:p>
    <w:p>
      <w:pPr>
        <w:pStyle w:val="Normal"/>
        <w:spacing w:lineRule="auto" w:line="240" w:before="0" w:after="0"/>
        <w:jc w:val="both"/>
        <w:rPr>
          <w:rFonts w:ascii="Arial" w:hAnsi="Arial" w:cs="Arial"/>
          <w:iCs/>
        </w:rPr>
      </w:pPr>
      <w:r>
        <w:rPr>
          <w:rFonts w:cs="Arial" w:ascii="Arial" w:hAnsi="Arial"/>
          <w:iCs/>
        </w:rPr>
        <w:t>10.3. O prazo de convocação poderá ser prorrogado 1 (uma) vez, por igual período, mediante solicitação da parte durante seu transcurso, devidamente justificada, e desde que o motivo apresentado seja aceito pela Administração.</w:t>
      </w:r>
    </w:p>
    <w:p>
      <w:pPr>
        <w:pStyle w:val="Normal"/>
        <w:spacing w:lineRule="auto" w:line="240" w:before="0" w:after="0"/>
        <w:jc w:val="both"/>
        <w:rPr>
          <w:rFonts w:ascii="Arial" w:hAnsi="Arial" w:cs="Arial"/>
          <w:iCs/>
        </w:rPr>
      </w:pPr>
      <w:r>
        <w:rPr>
          <w:rFonts w:cs="Arial" w:ascii="Arial" w:hAnsi="Arial"/>
          <w:iCs/>
        </w:rPr>
        <w:t>10.4.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pStyle w:val="Normal"/>
        <w:spacing w:lineRule="auto" w:line="240" w:before="0" w:after="0"/>
        <w:jc w:val="both"/>
        <w:rPr>
          <w:rFonts w:ascii="Arial" w:hAnsi="Arial" w:cs="Arial"/>
          <w:iCs/>
        </w:rPr>
      </w:pPr>
      <w:r>
        <w:rPr>
          <w:rFonts w:cs="Arial" w:ascii="Arial" w:hAnsi="Arial"/>
          <w:iCs/>
        </w:rPr>
        <w:t>10.5. Decorrido o prazo de validade da proposta indicado no edital sem convocação para a contratação, ficarão os licitantes liberados dos compromissos assumidos.</w:t>
      </w:r>
    </w:p>
    <w:p>
      <w:pPr>
        <w:pStyle w:val="Normal"/>
        <w:spacing w:lineRule="auto" w:line="240" w:before="0" w:after="0"/>
        <w:jc w:val="both"/>
        <w:rPr>
          <w:rFonts w:ascii="Arial" w:hAnsi="Arial" w:cs="Arial"/>
          <w:iCs/>
        </w:rPr>
      </w:pPr>
      <w:r>
        <w:rPr>
          <w:rFonts w:cs="Arial" w:ascii="Arial" w:hAnsi="Arial"/>
          <w:iCs/>
        </w:rPr>
        <w:t>10.6.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w:t>
      </w:r>
    </w:p>
    <w:p>
      <w:pPr>
        <w:pStyle w:val="Normal"/>
        <w:spacing w:lineRule="auto" w:line="240" w:before="0" w:after="0"/>
        <w:jc w:val="both"/>
        <w:rPr>
          <w:rFonts w:ascii="Arial" w:hAnsi="Arial" w:cs="Arial"/>
          <w:b/>
          <w:b/>
          <w:iCs/>
        </w:rPr>
      </w:pPr>
      <w:r>
        <w:rPr>
          <w:rFonts w:cs="Arial" w:ascii="Arial" w:hAnsi="Arial"/>
          <w:iCs/>
        </w:rPr>
        <w:t>10.7. Os contratos e seus aditamentos terão forma escrita e serão juntados ao processo que tiver dado origem à contratação, divulgados e mantidos à disposição do público em sítio eletrônico oficial.</w:t>
      </w:r>
    </w:p>
    <w:p>
      <w:pPr>
        <w:pStyle w:val="Normal"/>
        <w:spacing w:lineRule="auto" w:line="240" w:before="0" w:after="0"/>
        <w:jc w:val="both"/>
        <w:rPr>
          <w:rFonts w:ascii="Arial" w:hAnsi="Arial" w:cs="Arial"/>
          <w:iCs/>
        </w:rPr>
      </w:pPr>
      <w:r>
        <w:rPr>
          <w:rFonts w:cs="Arial" w:ascii="Arial" w:hAnsi="Arial"/>
          <w:iCs/>
        </w:rPr>
        <w:t>10.8. Será admitida a forma eletrônica na celebração de contratos e de termos aditivos, atendidas as exigências previstas em regulamento.</w:t>
      </w:r>
    </w:p>
    <w:p>
      <w:pPr>
        <w:pStyle w:val="Normal"/>
        <w:spacing w:lineRule="auto" w:line="240" w:before="0" w:after="0"/>
        <w:jc w:val="both"/>
        <w:rPr>
          <w:rFonts w:ascii="Arial" w:hAnsi="Arial" w:cs="Arial"/>
        </w:rPr>
      </w:pPr>
      <w:r>
        <w:rPr>
          <w:rFonts w:cs="Arial" w:ascii="Arial" w:hAnsi="Arial"/>
          <w:iCs/>
        </w:rPr>
        <w:t>10.9. 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w:t>
      </w:r>
    </w:p>
    <w:p>
      <w:pPr>
        <w:pStyle w:val="Normal"/>
        <w:spacing w:lineRule="auto" w:line="240" w:before="0" w:after="0"/>
        <w:jc w:val="both"/>
        <w:rPr>
          <w:rFonts w:ascii="Arial" w:hAnsi="Arial" w:cs="Arial"/>
        </w:rPr>
      </w:pPr>
      <w:r>
        <w:rPr>
          <w:rFonts w:cs="Arial" w:ascii="Arial" w:hAnsi="Arial"/>
          <w:iCs/>
        </w:rPr>
        <w:t>10.10. Os contratos administrativos obedecerão irrestritamente o disposto no art. 92 da Lei nº 14.133/2021.</w:t>
      </w:r>
    </w:p>
    <w:p>
      <w:pPr>
        <w:pStyle w:val="Normal"/>
        <w:spacing w:lineRule="auto" w:line="240" w:before="0" w:after="0"/>
        <w:jc w:val="both"/>
        <w:rPr>
          <w:rFonts w:ascii="Arial" w:hAnsi="Arial" w:cs="Arial"/>
        </w:rPr>
      </w:pPr>
      <w:r>
        <w:rPr>
          <w:rFonts w:cs="Arial" w:ascii="Arial" w:hAnsi="Arial"/>
          <w:iCs/>
        </w:rPr>
        <w:t xml:space="preserve">10.11. O contrato terá seu preço reajustado pelo índice </w:t>
      </w:r>
      <w:r>
        <w:rPr>
          <w:rFonts w:eastAsia="Calibri" w:cs="Arial" w:ascii="Arial" w:hAnsi="Arial"/>
          <w:iCs/>
          <w:color w:val="000000"/>
        </w:rPr>
        <w:t>INPC</w:t>
      </w:r>
      <w:r>
        <w:rPr>
          <w:rFonts w:cs="Arial" w:ascii="Arial" w:hAnsi="Arial"/>
          <w:iCs/>
        </w:rPr>
        <w:t xml:space="preserve"> com data-base vinculada à data do orçamento estimado.</w:t>
      </w:r>
    </w:p>
    <w:p>
      <w:pPr>
        <w:pStyle w:val="Normal"/>
        <w:spacing w:lineRule="auto" w:line="240" w:before="0" w:after="0"/>
        <w:jc w:val="both"/>
        <w:rPr>
          <w:rFonts w:ascii="Arial" w:hAnsi="Arial" w:cs="Arial"/>
          <w:iCs/>
        </w:rPr>
      </w:pPr>
      <w:r>
        <w:rPr>
          <w:rFonts w:cs="Arial" w:ascii="Arial" w:hAnsi="Arial"/>
          <w:iCs/>
        </w:rPr>
        <w:t>10.12. Poderá ser estabelecido mais de um índice específico ou setorial, em conformidade com a realidade de mercado dos respectivos insumos.</w:t>
      </w:r>
    </w:p>
    <w:p>
      <w:pPr>
        <w:pStyle w:val="Normal"/>
        <w:tabs>
          <w:tab w:val="clear" w:pos="708"/>
          <w:tab w:val="left" w:pos="567" w:leader="none"/>
        </w:tabs>
        <w:spacing w:lineRule="auto" w:line="240" w:before="0" w:after="0"/>
        <w:contextualSpacing/>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contextualSpacing/>
        <w:jc w:val="both"/>
        <w:rPr>
          <w:shd w:fill="auto" w:val="clear"/>
        </w:rPr>
      </w:pPr>
      <w:r>
        <w:rPr>
          <w:rFonts w:cs="Arial" w:ascii="Arial" w:hAnsi="Arial"/>
          <w:iCs/>
          <w:shd w:fill="auto" w:val="clear"/>
        </w:rPr>
        <w:t>10.13. Obrigações do CONTRATADO:</w:t>
      </w:r>
    </w:p>
    <w:p>
      <w:pPr>
        <w:pStyle w:val="Normal"/>
        <w:tabs>
          <w:tab w:val="clear" w:pos="708"/>
          <w:tab w:val="left" w:pos="1134" w:leader="none"/>
        </w:tabs>
        <w:spacing w:lineRule="auto" w:line="240" w:before="0" w:after="0"/>
        <w:jc w:val="both"/>
        <w:rPr>
          <w:rFonts w:ascii="Arial" w:hAnsi="Arial" w:cs="Arial"/>
          <w:color w:val="000000"/>
          <w:shd w:fill="auto" w:val="clear"/>
        </w:rPr>
      </w:pPr>
      <w:r>
        <w:rPr>
          <w:rFonts w:cs="Arial" w:ascii="Arial" w:hAnsi="Arial"/>
          <w:color w:val="000000"/>
          <w:shd w:fill="auto" w:val="clear"/>
        </w:rPr>
      </w:r>
    </w:p>
    <w:p>
      <w:pPr>
        <w:pStyle w:val="Normal"/>
        <w:tabs>
          <w:tab w:val="clear" w:pos="708"/>
          <w:tab w:val="left" w:pos="1134" w:leader="none"/>
        </w:tabs>
        <w:spacing w:lineRule="auto" w:line="240" w:before="0" w:after="0"/>
        <w:jc w:val="both"/>
        <w:rPr>
          <w:shd w:fill="FFFF00" w:val="clear"/>
        </w:rPr>
      </w:pPr>
      <w:r>
        <w:rPr>
          <w:rFonts w:cs="Arial" w:ascii="Arial" w:hAnsi="Arial"/>
          <w:shd w:fill="auto" w:val="clear"/>
        </w:rPr>
        <w:t>10.13.1. A CONTRATADA deve cumprir todas as obrigações constantes no Edital, seus anexos e sua proposta, assumindo como exclusivamente seus os riscos e as despesas decorrentes da boa e perfeita execução do objeto e, ainda:</w:t>
      </w:r>
    </w:p>
    <w:p>
      <w:pPr>
        <w:pStyle w:val="Normal"/>
        <w:tabs>
          <w:tab w:val="clear" w:pos="708"/>
          <w:tab w:val="left" w:pos="1134" w:leader="none"/>
        </w:tabs>
        <w:spacing w:lineRule="auto" w:line="240" w:before="0" w:after="0"/>
        <w:jc w:val="both"/>
        <w:rPr>
          <w:rFonts w:ascii="Arial" w:hAnsi="Arial" w:eastAsia="Calibri" w:cs="Arial"/>
          <w:color w:val="000000"/>
          <w:shd w:fill="auto" w:val="clear"/>
        </w:rPr>
      </w:pPr>
      <w:r>
        <w:rPr>
          <w:rFonts w:eastAsia="Calibri" w:cs="Arial" w:ascii="Arial" w:hAnsi="Arial"/>
          <w:color w:val="000000"/>
          <w:shd w:fill="auto" w:val="clear"/>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10.13</w:t>
      </w:r>
      <w:r>
        <w:rPr>
          <w:rFonts w:cs="Arial" w:ascii="Arial" w:hAnsi="Arial"/>
          <w:shd w:fill="auto" w:val="clear"/>
        </w:rPr>
        <w:t xml:space="preserve">.2. Efetuar </w:t>
      </w:r>
      <w:r>
        <w:rPr>
          <w:rFonts w:eastAsia="Calibri" w:cs="Arial" w:ascii="Arial" w:hAnsi="Arial" w:eastAsiaTheme="minorHAnsi"/>
          <w:color w:val="000000"/>
          <w:kern w:val="0"/>
          <w:sz w:val="22"/>
          <w:szCs w:val="22"/>
          <w:shd w:fill="auto" w:val="clear"/>
          <w:lang w:val="pt-BR" w:eastAsia="en-US" w:bidi="ar-SA"/>
        </w:rPr>
        <w:t>a entrega</w:t>
      </w:r>
      <w:r>
        <w:rPr>
          <w:rFonts w:cs="Arial" w:ascii="Arial" w:hAnsi="Arial"/>
          <w:shd w:fill="auto" w:val="clear"/>
        </w:rPr>
        <w:t xml:space="preserve"> dos produtos em perfeitas condições, no prazo, quantidade e local indicado pela Secretaria/Departamento Requisitante, em estrita observância das especificações do Edital e da proposta, acompanhado da respectiva nota fiscal constando detalhadamente.</w:t>
      </w:r>
    </w:p>
    <w:p>
      <w:pPr>
        <w:pStyle w:val="Normal"/>
        <w:tabs>
          <w:tab w:val="clear" w:pos="708"/>
          <w:tab w:val="left" w:pos="1134" w:leader="none"/>
        </w:tabs>
        <w:spacing w:lineRule="auto" w:line="240" w:before="0" w:after="0"/>
        <w:jc w:val="both"/>
        <w:rPr>
          <w:rFonts w:ascii="Arial" w:hAnsi="Arial" w:eastAsia="Calibri" w:cs="Arial"/>
          <w:color w:val="000000"/>
          <w:shd w:fill="auto" w:val="clear"/>
        </w:rPr>
      </w:pPr>
      <w:r>
        <w:rPr>
          <w:rFonts w:eastAsia="Calibri" w:cs="Arial" w:ascii="Arial" w:hAnsi="Arial"/>
          <w:color w:val="000000"/>
          <w:shd w:fill="auto" w:val="clear"/>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10.13</w:t>
      </w:r>
      <w:r>
        <w:rPr>
          <w:rFonts w:cs="Arial" w:ascii="Arial" w:hAnsi="Arial"/>
          <w:shd w:fill="auto" w:val="clear"/>
        </w:rPr>
        <w:t>.3. Acatar e atender as reclamações quanto às especificações e qualidade dos produtos fornecidos, sanando eventuais deficiências no prazo de 24 (vinte e quatro) horas, a contar da notificação da contratada, às suas custas, sem prejuízo da aplicação das penalidades, o que não atenda às especificações do contrato e cumprimento dos prazos previamente estabelecidos;</w:t>
      </w:r>
    </w:p>
    <w:p>
      <w:pPr>
        <w:pStyle w:val="Normal"/>
        <w:tabs>
          <w:tab w:val="clear" w:pos="708"/>
          <w:tab w:val="left" w:pos="1134" w:leader="none"/>
        </w:tabs>
        <w:spacing w:lineRule="auto" w:line="240" w:before="0" w:after="0"/>
        <w:jc w:val="both"/>
        <w:rPr>
          <w:rFonts w:ascii="Arial" w:hAnsi="Arial" w:eastAsia="Calibri" w:cs="Arial"/>
          <w:color w:val="000000"/>
          <w:shd w:fill="auto" w:val="clear"/>
        </w:rPr>
      </w:pPr>
      <w:r>
        <w:rPr>
          <w:rFonts w:eastAsia="Calibri" w:cs="Arial" w:ascii="Arial" w:hAnsi="Arial"/>
          <w:color w:val="000000"/>
          <w:shd w:fill="auto" w:val="clear"/>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10.13</w:t>
      </w:r>
      <w:r>
        <w:rPr>
          <w:rFonts w:eastAsia="Calibri" w:cs="Arial" w:ascii="Arial" w:hAnsi="Arial"/>
          <w:color w:val="000000"/>
          <w:shd w:fill="auto" w:val="clear"/>
        </w:rPr>
        <w:t>.4.</w:t>
      </w:r>
      <w:r>
        <w:rPr>
          <w:rFonts w:cs="Arial" w:ascii="Arial" w:hAnsi="Arial"/>
          <w:shd w:fill="auto" w:val="clear"/>
        </w:rPr>
        <w:t xml:space="preserve"> Responsabilizar-se pelo atendimento às chamadas para fornecimento não previsto inicialmente decorrente de situações emergenciais no prazo máximo de 05 (cinco) horas a partir do registro comprovado do chamado junto à CONTRATADA, bem como pelas possíveis variações de demanda em conformidade com o prazo de entrega estabelecido pela CONTRATANTE;</w:t>
      </w:r>
    </w:p>
    <w:p>
      <w:pPr>
        <w:pStyle w:val="Normal"/>
        <w:tabs>
          <w:tab w:val="clear" w:pos="708"/>
          <w:tab w:val="left" w:pos="1134" w:leader="none"/>
        </w:tabs>
        <w:spacing w:lineRule="auto" w:line="240" w:before="0" w:after="0"/>
        <w:jc w:val="both"/>
        <w:rPr>
          <w:rFonts w:ascii="Arial" w:hAnsi="Arial" w:cs="Arial"/>
          <w:shd w:fill="auto" w:val="clear"/>
        </w:rPr>
      </w:pPr>
      <w:r>
        <w:rPr>
          <w:rFonts w:cs="Arial" w:ascii="Arial" w:hAnsi="Arial"/>
          <w:shd w:fill="auto" w:val="clear"/>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10.13</w:t>
      </w:r>
      <w:r>
        <w:rPr>
          <w:rFonts w:cs="Arial" w:ascii="Arial" w:hAnsi="Arial"/>
          <w:shd w:fill="auto" w:val="clear"/>
        </w:rPr>
        <w:t xml:space="preserve">.5. A empresa vencedora obriga-se a entregar os produtos no prazo máximo de 48 horas após </w:t>
      </w:r>
      <w:r>
        <w:rPr>
          <w:rFonts w:eastAsia="Calibri" w:cs="Arial" w:ascii="Arial" w:hAnsi="Arial"/>
          <w:color w:val="000000"/>
          <w:kern w:val="0"/>
          <w:sz w:val="22"/>
          <w:szCs w:val="22"/>
          <w:shd w:fill="auto" w:val="clear"/>
          <w:lang w:val="pt-BR" w:eastAsia="en-US" w:bidi="ar-SA"/>
        </w:rPr>
        <w:t>o recebimento da ordem de compra;</w:t>
      </w:r>
    </w:p>
    <w:p>
      <w:pPr>
        <w:pStyle w:val="Normal"/>
        <w:tabs>
          <w:tab w:val="clear" w:pos="708"/>
          <w:tab w:val="left" w:pos="1134" w:leader="none"/>
        </w:tabs>
        <w:spacing w:lineRule="auto" w:line="240" w:before="0" w:after="0"/>
        <w:jc w:val="both"/>
        <w:rPr>
          <w:rFonts w:ascii="Arial" w:hAnsi="Arial" w:eastAsia="Calibri" w:cs="Arial"/>
          <w:color w:val="auto"/>
          <w:kern w:val="0"/>
          <w:sz w:val="22"/>
          <w:szCs w:val="22"/>
          <w:lang w:val="pt-BR" w:eastAsia="en-US" w:bidi="ar-SA"/>
        </w:rPr>
      </w:pPr>
      <w:r>
        <w:rPr>
          <w:rFonts w:eastAsia="Calibri" w:cs="Arial" w:ascii="Arial" w:hAnsi="Arial"/>
          <w:color w:val="auto"/>
          <w:kern w:val="0"/>
          <w:sz w:val="22"/>
          <w:szCs w:val="22"/>
          <w:lang w:val="pt-BR" w:eastAsia="en-US" w:bidi="ar-SA"/>
        </w:rPr>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10.13.5.1. Os produtos serão entregues de forma parcelada durante a vigência da Ata de Registro, conforme demanda dos compradores. As entregas deverão ser feitas nos seguintes endereços, conforme o órgão requisitante:</w:t>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 Polícia Militar: Rua 10, 01, Pioneiros, Itá-SC, CEP: 89760-000;</w:t>
      </w:r>
    </w:p>
    <w:p>
      <w:pPr>
        <w:pStyle w:val="Normal"/>
        <w:tabs>
          <w:tab w:val="clear" w:pos="708"/>
          <w:tab w:val="left" w:pos="1134" w:leader="none"/>
        </w:tabs>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 Polícia Civil, Rua 5, 86, Centro, Itá-SC, CEP: 89760-000;</w:t>
      </w:r>
    </w:p>
    <w:p>
      <w:pPr>
        <w:pStyle w:val="Normal"/>
        <w:tabs>
          <w:tab w:val="clear" w:pos="708"/>
          <w:tab w:val="left" w:pos="1134" w:leader="none"/>
        </w:tabs>
        <w:spacing w:lineRule="auto" w:line="240" w:before="0" w:after="0"/>
        <w:jc w:val="both"/>
        <w:rPr>
          <w:rFonts w:ascii="Arial" w:hAnsi="Arial" w:cs="Arial"/>
          <w:shd w:fill="auto" w:val="clear"/>
        </w:rPr>
      </w:pPr>
      <w:r>
        <w:rPr>
          <w:rFonts w:cs="Arial" w:ascii="Arial" w:hAnsi="Arial"/>
          <w:shd w:fill="auto" w:val="clear"/>
        </w:rPr>
      </w:r>
    </w:p>
    <w:p>
      <w:pPr>
        <w:pStyle w:val="Normal"/>
        <w:tabs>
          <w:tab w:val="clear" w:pos="708"/>
          <w:tab w:val="left" w:pos="1134" w:leader="none"/>
        </w:tabs>
        <w:spacing w:lineRule="auto" w:line="240" w:before="0" w:after="0"/>
        <w:jc w:val="both"/>
        <w:rPr>
          <w:shd w:fill="FFFF00" w:val="clear"/>
        </w:rPr>
      </w:pPr>
      <w:r>
        <w:rPr>
          <w:rFonts w:eastAsia="Calibri" w:cs="Arial" w:ascii="Arial" w:hAnsi="Arial"/>
          <w:color w:val="000000"/>
          <w:kern w:val="0"/>
          <w:sz w:val="22"/>
          <w:szCs w:val="22"/>
          <w:shd w:fill="auto" w:val="clear"/>
          <w:lang w:val="pt-BR" w:eastAsia="en-US" w:bidi="ar-SA"/>
        </w:rPr>
        <w:t>10.13</w:t>
      </w:r>
      <w:r>
        <w:rPr>
          <w:rFonts w:cs="Arial" w:ascii="Arial" w:hAnsi="Arial"/>
          <w:shd w:fill="auto" w:val="clear"/>
        </w:rPr>
        <w:t>.6.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w:t>
      </w:r>
    </w:p>
    <w:p>
      <w:pPr>
        <w:pStyle w:val="Normal"/>
        <w:tabs>
          <w:tab w:val="clear" w:pos="708"/>
          <w:tab w:val="left" w:pos="1134" w:leader="none"/>
        </w:tabs>
        <w:spacing w:lineRule="auto" w:line="240" w:before="0" w:after="0"/>
        <w:jc w:val="both"/>
        <w:rPr>
          <w:rFonts w:ascii="Arial" w:hAnsi="Arial" w:cs="Arial"/>
          <w:iCs/>
          <w:shd w:fill="FFFF00" w:val="clear"/>
        </w:rPr>
      </w:pPr>
      <w:r>
        <w:rPr>
          <w:rFonts w:cs="Arial" w:ascii="Arial" w:hAnsi="Arial"/>
          <w:iCs/>
          <w:shd w:fill="FFFF00" w:val="clear"/>
        </w:rPr>
      </w:r>
    </w:p>
    <w:p>
      <w:pPr>
        <w:pStyle w:val="Normal"/>
        <w:tabs>
          <w:tab w:val="clear" w:pos="708"/>
          <w:tab w:val="left" w:pos="1134" w:leader="none"/>
        </w:tabs>
        <w:spacing w:lineRule="auto" w:line="240" w:before="0" w:after="0"/>
        <w:jc w:val="both"/>
        <w:rPr>
          <w:rFonts w:ascii="Arial" w:hAnsi="Arial" w:cs="Arial"/>
          <w:iCs/>
        </w:rPr>
      </w:pPr>
      <w:r>
        <w:rPr>
          <w:rFonts w:cs="Arial" w:ascii="Arial" w:hAnsi="Arial"/>
          <w:iCs/>
        </w:rPr>
        <w:t>10.14. Obrigações do CONTRATANTE:</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iCs/>
          <w:color w:val="000000"/>
        </w:rPr>
        <w:t>10.14.1.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iCs/>
          <w:color w:val="000000"/>
        </w:rPr>
        <w:t>10.14.2. Permitir o livre acesso dos empregados, encarregados e/ou prepostos da CONTRATADA para a execução do contrato;</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iCs/>
          <w:color w:val="000000"/>
        </w:rPr>
        <w:t xml:space="preserve">10.14.3. Prestar as informações e os esclarecimentos que venham a ser solicitados pelos empregados, encarregados e/ou prepostos da CONTRATADA, desde que inerentes ao objeto do Contrato; </w:t>
      </w:r>
    </w:p>
    <w:p>
      <w:pPr>
        <w:pStyle w:val="Normal"/>
        <w:spacing w:lineRule="auto" w:line="240" w:before="0" w:after="0"/>
        <w:jc w:val="both"/>
        <w:rPr>
          <w:rFonts w:ascii="Arial" w:hAnsi="Arial" w:cs="Arial"/>
        </w:rPr>
      </w:pPr>
      <w:r>
        <w:rPr>
          <w:rFonts w:cs="Arial" w:ascii="Arial" w:hAnsi="Arial"/>
        </w:rPr>
      </w:r>
    </w:p>
    <w:p>
      <w:pPr>
        <w:pStyle w:val="Normal"/>
        <w:shd w:val="clear" w:color="auto" w:fill="E7E6E6" w:themeFill="background2"/>
        <w:spacing w:lineRule="auto" w:line="240" w:before="0" w:after="0"/>
        <w:jc w:val="both"/>
        <w:rPr>
          <w:rFonts w:ascii="Arial" w:hAnsi="Arial" w:cs="Arial"/>
          <w:b/>
          <w:b/>
        </w:rPr>
      </w:pPr>
      <w:r>
        <w:rPr>
          <w:rFonts w:cs="Arial" w:ascii="Arial" w:hAnsi="Arial"/>
          <w:b/>
        </w:rPr>
        <w:t>CLÁUSULA DÉCIMA PRIMEIRA:</w:t>
      </w:r>
      <w:bookmarkStart w:id="113" w:name="art92xvi"/>
      <w:bookmarkEnd w:id="113"/>
      <w:r>
        <w:rPr>
          <w:rFonts w:cs="Arial" w:ascii="Arial" w:hAnsi="Arial"/>
          <w:b/>
        </w:rPr>
        <w:t xml:space="preserve"> A OBRIGAÇÃO DO CONTRATADO DE MANTER, DURANTE TODA A EXECUÇÃO DO CONTRATO, EM COMPATIBILIDADE COM AS OBRIGAÇÕES POR ELE ASSUMIDAS, TODAS AS CONDIÇÕES EXIGIDAS PARA A HABILITAÇÃO NA LICITAÇÃO </w:t>
      </w:r>
    </w:p>
    <w:p>
      <w:pPr>
        <w:pStyle w:val="Normal"/>
        <w:spacing w:lineRule="auto" w:line="240" w:before="0" w:after="0"/>
        <w:jc w:val="both"/>
        <w:rPr>
          <w:rFonts w:ascii="Arial" w:hAnsi="Arial" w:cs="Arial"/>
        </w:rPr>
      </w:pPr>
      <w:r>
        <w:rPr>
          <w:rFonts w:cs="Arial" w:ascii="Arial" w:hAnsi="Arial"/>
          <w:b/>
        </w:rPr>
        <w:t>1.</w:t>
      </w:r>
      <w:r>
        <w:rPr>
          <w:rFonts w:cs="Arial" w:ascii="Arial" w:hAnsi="Arial"/>
        </w:rPr>
        <w:t xml:space="preserve"> O CONTRATADO fica obrigado a manter, durante toda a execução do contrato, em compatibilidade com as obrigações por ele assumidas, todas as condições exigidas para a habilitação na licitação.</w:t>
      </w:r>
    </w:p>
    <w:p>
      <w:pPr>
        <w:pStyle w:val="Normal"/>
        <w:spacing w:lineRule="auto" w:line="240" w:before="0" w:after="0"/>
        <w:jc w:val="both"/>
        <w:rPr>
          <w:rFonts w:ascii="Arial" w:hAnsi="Arial" w:cs="Arial"/>
        </w:rPr>
      </w:pPr>
      <w:r>
        <w:rPr>
          <w:rFonts w:cs="Arial" w:ascii="Arial" w:hAnsi="Arial"/>
        </w:rPr>
      </w:r>
    </w:p>
    <w:p>
      <w:pPr>
        <w:pStyle w:val="Normal"/>
        <w:shd w:val="clear" w:color="auto" w:fill="E7E6E6" w:themeFill="background2"/>
        <w:spacing w:lineRule="auto" w:line="240" w:before="0" w:after="0"/>
        <w:jc w:val="both"/>
        <w:rPr>
          <w:rFonts w:ascii="Arial" w:hAnsi="Arial" w:cs="Arial"/>
          <w:b/>
          <w:b/>
        </w:rPr>
      </w:pPr>
      <w:bookmarkStart w:id="114" w:name="art92xvii"/>
      <w:bookmarkEnd w:id="114"/>
      <w:r>
        <w:rPr>
          <w:rFonts w:cs="Arial" w:ascii="Arial" w:hAnsi="Arial"/>
          <w:b/>
        </w:rPr>
        <w:t xml:space="preserve">CLÁUSULA DÉCIMA SEGUNDA: A OBRIGAÇÃO DE O CONTRATADO CUMPRIR AS EXIGÊNCIAS DE RESERVA DE CARGOS PREVISTA EM LEI, BEM COMO EM OUTRAS NORMAS ESPECÍFICAS, PARA PESSOA COM DEFICIÊNCIA, PARA REABILITADO DA PREVIDÊNCIA SOCIAL E PARA APRENDIZ </w:t>
      </w:r>
    </w:p>
    <w:p>
      <w:pPr>
        <w:pStyle w:val="Normal"/>
        <w:spacing w:lineRule="auto" w:line="240" w:before="0" w:after="0"/>
        <w:jc w:val="both"/>
        <w:rPr>
          <w:rFonts w:ascii="Arial" w:hAnsi="Arial" w:cs="Arial"/>
        </w:rPr>
      </w:pPr>
      <w:r>
        <w:rPr>
          <w:rFonts w:cs="Arial" w:ascii="Arial" w:hAnsi="Arial"/>
          <w:b/>
        </w:rPr>
        <w:t>1.</w:t>
      </w:r>
      <w:r>
        <w:rPr>
          <w:rFonts w:cs="Arial" w:ascii="Arial" w:hAnsi="Arial"/>
        </w:rPr>
        <w:t xml:space="preserve"> O CONTRATADO fica obrigado a cumprir as exigências de reserva de cargos prevista em lei, bem como em outras normas específicas, para pessoa com deficiência, para reabilitado da previdência social e para aprendiz.</w:t>
      </w:r>
    </w:p>
    <w:p>
      <w:pPr>
        <w:pStyle w:val="Normal"/>
        <w:spacing w:lineRule="auto" w:line="240" w:before="0" w:after="0"/>
        <w:jc w:val="both"/>
        <w:rPr>
          <w:rFonts w:ascii="Arial" w:hAnsi="Arial" w:cs="Arial"/>
        </w:rPr>
      </w:pPr>
      <w:r>
        <w:rPr>
          <w:rFonts w:cs="Arial" w:ascii="Arial" w:hAnsi="Arial"/>
        </w:rPr>
      </w:r>
      <w:bookmarkStart w:id="115" w:name="art92xviii"/>
      <w:bookmarkStart w:id="116" w:name="art92xviii"/>
      <w:bookmarkEnd w:id="116"/>
    </w:p>
    <w:p>
      <w:pPr>
        <w:pStyle w:val="Normal"/>
        <w:shd w:val="clear" w:color="auto" w:fill="E7E6E6" w:themeFill="background2"/>
        <w:spacing w:lineRule="auto" w:line="240" w:before="0" w:after="0"/>
        <w:jc w:val="both"/>
        <w:rPr>
          <w:rFonts w:ascii="Arial" w:hAnsi="Arial" w:cs="Arial"/>
          <w:b/>
          <w:b/>
        </w:rPr>
      </w:pPr>
      <w:r>
        <w:rPr>
          <w:rFonts w:cs="Arial" w:ascii="Arial" w:hAnsi="Arial"/>
          <w:b/>
        </w:rPr>
        <w:t xml:space="preserve">CLÁUSULA DÉCIMA TERCEIRA: O MODELO DE GESTÃO DO CONTRATO, OBSERVADOS OS REQUISITOS DEFINIDOS EM REGULAMENTO </w:t>
      </w:r>
    </w:p>
    <w:p>
      <w:pPr>
        <w:pStyle w:val="Normal"/>
        <w:tabs>
          <w:tab w:val="clear" w:pos="708"/>
          <w:tab w:val="left" w:pos="1134" w:leader="none"/>
        </w:tabs>
        <w:spacing w:lineRule="auto" w:line="240" w:before="0" w:after="0"/>
        <w:jc w:val="both"/>
        <w:rPr>
          <w:rFonts w:ascii="Arial" w:hAnsi="Arial" w:cs="Arial"/>
        </w:rPr>
      </w:pPr>
      <w:r>
        <w:rPr>
          <w:rFonts w:cs="Arial" w:ascii="Arial" w:hAnsi="Arial"/>
          <w:b/>
          <w:bCs/>
          <w:iCs/>
          <w:color w:val="000000"/>
        </w:rPr>
        <w:t>1.</w:t>
      </w:r>
      <w:r>
        <w:rPr>
          <w:rFonts w:cs="Arial" w:ascii="Arial" w:hAnsi="Arial"/>
          <w:iCs/>
          <w:color w:val="000000"/>
        </w:rPr>
        <w:t xml:space="preserve"> A fiscalização e gestão do contrato ocorre através de comissão responsável, formada por servidores do Município, os quais realizam a conferência do recebimento do produto ou serviço.</w:t>
      </w:r>
    </w:p>
    <w:p>
      <w:pPr>
        <w:pStyle w:val="Normal"/>
        <w:spacing w:lineRule="auto" w:line="240" w:before="0" w:after="0"/>
        <w:jc w:val="both"/>
        <w:rPr>
          <w:rFonts w:ascii="Arial" w:hAnsi="Arial" w:cs="Arial"/>
        </w:rPr>
      </w:pPr>
      <w:r>
        <w:rPr>
          <w:rFonts w:cs="Arial" w:ascii="Arial" w:hAnsi="Arial"/>
        </w:rPr>
      </w:r>
    </w:p>
    <w:p>
      <w:pPr>
        <w:pStyle w:val="Normal"/>
        <w:shd w:val="clear" w:color="auto" w:fill="E7E6E6" w:themeFill="background2"/>
        <w:spacing w:lineRule="auto" w:line="240" w:before="0" w:after="0"/>
        <w:jc w:val="both"/>
        <w:rPr>
          <w:rFonts w:ascii="Arial" w:hAnsi="Arial" w:cs="Arial"/>
          <w:b/>
          <w:b/>
        </w:rPr>
      </w:pPr>
      <w:bookmarkStart w:id="117" w:name="art92xix"/>
      <w:bookmarkEnd w:id="117"/>
      <w:r>
        <w:rPr>
          <w:rFonts w:cs="Arial" w:ascii="Arial" w:hAnsi="Arial"/>
          <w:b/>
        </w:rPr>
        <w:t xml:space="preserve">CLÁUSULA DÉCIMA QUARTA: OS CASOS DE EXTINÇÃO </w:t>
      </w:r>
    </w:p>
    <w:p>
      <w:pPr>
        <w:pStyle w:val="Normal"/>
        <w:spacing w:lineRule="auto" w:line="240" w:before="0" w:after="0"/>
        <w:jc w:val="both"/>
        <w:rPr>
          <w:rFonts w:ascii="Arial" w:hAnsi="Arial" w:cs="Arial"/>
        </w:rPr>
      </w:pPr>
      <w:r>
        <w:rPr>
          <w:rFonts w:cs="Arial" w:ascii="Arial" w:hAnsi="Arial"/>
          <w:b/>
        </w:rPr>
        <w:t>1.</w:t>
      </w:r>
      <w:r>
        <w:rPr>
          <w:rFonts w:cs="Arial" w:ascii="Arial" w:hAnsi="Arial"/>
        </w:rPr>
        <w:t xml:space="preserve"> Constituirão motivos para extinção do contrato, devendo ser formalmente motivada nos autos do processo, assegurados o contraditório e a ampla defesa, as seguintes situações:</w:t>
      </w:r>
    </w:p>
    <w:p>
      <w:pPr>
        <w:pStyle w:val="ListParagraph"/>
        <w:numPr>
          <w:ilvl w:val="0"/>
          <w:numId w:val="53"/>
        </w:numPr>
        <w:spacing w:lineRule="auto" w:line="240" w:before="0" w:after="0"/>
        <w:contextualSpacing/>
        <w:jc w:val="both"/>
        <w:rPr>
          <w:rFonts w:ascii="Arial" w:hAnsi="Arial" w:cs="Arial"/>
        </w:rPr>
      </w:pPr>
      <w:r>
        <w:rPr>
          <w:rFonts w:cs="Arial" w:ascii="Arial" w:hAnsi="Arial"/>
        </w:rPr>
        <w:t>Não cumprimento ou cumprimento irregular de normas editalícias ou de cláusulas contratuais, de especificações, de projetos ou de prazos;</w:t>
      </w:r>
    </w:p>
    <w:p>
      <w:pPr>
        <w:pStyle w:val="ListParagraph"/>
        <w:numPr>
          <w:ilvl w:val="0"/>
          <w:numId w:val="53"/>
        </w:numPr>
        <w:spacing w:lineRule="auto" w:line="240" w:before="0" w:after="0"/>
        <w:contextualSpacing/>
        <w:jc w:val="both"/>
        <w:rPr>
          <w:rFonts w:ascii="Arial" w:hAnsi="Arial" w:cs="Arial"/>
        </w:rPr>
      </w:pPr>
      <w:r>
        <w:rPr>
          <w:rFonts w:cs="Arial" w:ascii="Arial" w:hAnsi="Arial"/>
        </w:rPr>
        <w:t>Desatendimento das determinações regulares emitidas pela autoridade designada para acompanhar e fiscalizar sua execução ou por autoridade superior;</w:t>
      </w:r>
    </w:p>
    <w:p>
      <w:pPr>
        <w:pStyle w:val="ListParagraph"/>
        <w:numPr>
          <w:ilvl w:val="0"/>
          <w:numId w:val="53"/>
        </w:numPr>
        <w:spacing w:lineRule="auto" w:line="240" w:before="0" w:after="0"/>
        <w:contextualSpacing/>
        <w:jc w:val="both"/>
        <w:rPr>
          <w:rFonts w:ascii="Arial" w:hAnsi="Arial" w:cs="Arial"/>
        </w:rPr>
      </w:pPr>
      <w:r>
        <w:rPr>
          <w:rFonts w:cs="Arial" w:ascii="Arial" w:hAnsi="Arial"/>
        </w:rPr>
        <w:t>Alteração social ou modificação da finalidade ou da estrutura da empresa que restrinja sua capacidade de concluir o contrato;</w:t>
      </w:r>
    </w:p>
    <w:p>
      <w:pPr>
        <w:pStyle w:val="ListParagraph"/>
        <w:numPr>
          <w:ilvl w:val="0"/>
          <w:numId w:val="53"/>
        </w:numPr>
        <w:spacing w:lineRule="auto" w:line="240" w:before="0" w:after="0"/>
        <w:contextualSpacing/>
        <w:jc w:val="both"/>
        <w:rPr>
          <w:rFonts w:ascii="Arial" w:hAnsi="Arial" w:cs="Arial"/>
        </w:rPr>
      </w:pPr>
      <w:r>
        <w:rPr>
          <w:rFonts w:cs="Arial" w:ascii="Arial" w:hAnsi="Arial"/>
        </w:rPr>
        <w:t xml:space="preserve">Decretação de falência ou de insolvência civil, dissolução da sociedade ou falecimento do </w:t>
      </w:r>
      <w:r>
        <w:rPr>
          <w:rFonts w:cs="Arial" w:ascii="Arial" w:hAnsi="Arial"/>
          <w:b/>
        </w:rPr>
        <w:t>CONTRATADO</w:t>
      </w:r>
      <w:r>
        <w:rPr>
          <w:rFonts w:cs="Arial" w:ascii="Arial" w:hAnsi="Arial"/>
        </w:rPr>
        <w:t>;</w:t>
      </w:r>
    </w:p>
    <w:p>
      <w:pPr>
        <w:pStyle w:val="ListParagraph"/>
        <w:numPr>
          <w:ilvl w:val="0"/>
          <w:numId w:val="53"/>
        </w:numPr>
        <w:spacing w:lineRule="auto" w:line="240" w:before="0" w:after="0"/>
        <w:contextualSpacing/>
        <w:jc w:val="both"/>
        <w:rPr>
          <w:rFonts w:ascii="Arial" w:hAnsi="Arial" w:cs="Arial"/>
        </w:rPr>
      </w:pPr>
      <w:r>
        <w:rPr>
          <w:rFonts w:cs="Arial" w:ascii="Arial" w:hAnsi="Arial"/>
        </w:rPr>
        <w:t>Caso fortuito ou força maior, regularmente comprovados, impeditivos da execução do contrato;</w:t>
      </w:r>
    </w:p>
    <w:p>
      <w:pPr>
        <w:pStyle w:val="ListParagraph"/>
        <w:numPr>
          <w:ilvl w:val="0"/>
          <w:numId w:val="53"/>
        </w:numPr>
        <w:spacing w:lineRule="auto" w:line="240" w:before="0" w:after="0"/>
        <w:contextualSpacing/>
        <w:jc w:val="both"/>
        <w:rPr>
          <w:rFonts w:ascii="Arial" w:hAnsi="Arial" w:cs="Arial"/>
        </w:rPr>
      </w:pPr>
      <w:r>
        <w:rPr>
          <w:rFonts w:cs="Arial" w:ascii="Arial" w:hAnsi="Arial"/>
        </w:rPr>
        <w:t>Atraso na obtenção da licença ambiental, ou impossibilidade de obtê-la, ou alteração substancial do anteprojeto que dela resultar, ainda que obtida no prazo previsto;</w:t>
      </w:r>
    </w:p>
    <w:p>
      <w:pPr>
        <w:pStyle w:val="ListParagraph"/>
        <w:numPr>
          <w:ilvl w:val="0"/>
          <w:numId w:val="53"/>
        </w:numPr>
        <w:spacing w:lineRule="auto" w:line="240" w:before="0" w:after="0"/>
        <w:contextualSpacing/>
        <w:jc w:val="both"/>
        <w:rPr>
          <w:rFonts w:ascii="Arial" w:hAnsi="Arial" w:cs="Arial"/>
        </w:rPr>
      </w:pPr>
      <w:r>
        <w:rPr>
          <w:rFonts w:cs="Arial" w:ascii="Arial" w:hAnsi="Arial"/>
        </w:rPr>
        <w:t>Atraso na liberação das áreas sujeitas a desapropriação, a desocupação ou a servidão administrativa, ou impossibilidade de liberação dessas áreas;</w:t>
      </w:r>
    </w:p>
    <w:p>
      <w:pPr>
        <w:pStyle w:val="ListParagraph"/>
        <w:numPr>
          <w:ilvl w:val="0"/>
          <w:numId w:val="53"/>
        </w:numPr>
        <w:spacing w:lineRule="auto" w:line="240" w:before="0" w:after="0"/>
        <w:contextualSpacing/>
        <w:jc w:val="both"/>
        <w:rPr>
          <w:rFonts w:ascii="Arial" w:hAnsi="Arial" w:cs="Arial"/>
        </w:rPr>
      </w:pPr>
      <w:r>
        <w:rPr>
          <w:rFonts w:cs="Arial" w:ascii="Arial" w:hAnsi="Arial"/>
        </w:rPr>
        <w:t>Razões de interesse público, justificadas pela autoridade máxima do órgão;</w:t>
      </w:r>
    </w:p>
    <w:p>
      <w:pPr>
        <w:pStyle w:val="ListParagraph"/>
        <w:numPr>
          <w:ilvl w:val="0"/>
          <w:numId w:val="53"/>
        </w:numPr>
        <w:spacing w:lineRule="auto" w:line="240" w:before="0" w:after="0"/>
        <w:contextualSpacing/>
        <w:jc w:val="both"/>
        <w:rPr>
          <w:rFonts w:ascii="Arial" w:hAnsi="Arial" w:cs="Arial"/>
        </w:rPr>
      </w:pPr>
      <w:r>
        <w:rPr>
          <w:rFonts w:cs="Arial" w:ascii="Arial" w:hAnsi="Arial"/>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before="0" w:after="0"/>
        <w:jc w:val="both"/>
        <w:rPr>
          <w:rFonts w:ascii="Arial" w:hAnsi="Arial" w:cs="Arial"/>
        </w:rPr>
      </w:pPr>
      <w:r>
        <w:rPr>
          <w:rFonts w:cs="Arial" w:ascii="Arial" w:hAnsi="Arial"/>
          <w:b/>
        </w:rPr>
        <w:t xml:space="preserve">1.1. </w:t>
      </w:r>
      <w:r>
        <w:rPr>
          <w:rFonts w:cs="Arial" w:ascii="Arial" w:hAnsi="Arial"/>
        </w:rPr>
        <w:t>As hipóteses de extinção a que se referem as letras “b”, “c” e “d” do item anterior observarão as seguintes disposições:</w:t>
      </w:r>
    </w:p>
    <w:p>
      <w:pPr>
        <w:pStyle w:val="ListParagraph"/>
        <w:numPr>
          <w:ilvl w:val="0"/>
          <w:numId w:val="54"/>
        </w:numPr>
        <w:spacing w:lineRule="auto" w:line="240" w:before="0" w:after="0"/>
        <w:contextualSpacing/>
        <w:jc w:val="both"/>
        <w:rPr>
          <w:rFonts w:ascii="Arial" w:hAnsi="Arial" w:cs="Arial"/>
        </w:rPr>
      </w:pPr>
      <w:r>
        <w:rPr>
          <w:rFonts w:cs="Arial" w:ascii="Arial" w:hAnsi="Arial"/>
        </w:rPr>
        <w:t xml:space="preserve">Não serão admitidas em caso de calamidade pública, de grave perturbação da ordem interna ou de guerra, bem como quando decorrerem de ato ou fato que o </w:t>
      </w:r>
      <w:r>
        <w:rPr>
          <w:rFonts w:cs="Arial" w:ascii="Arial" w:hAnsi="Arial"/>
          <w:b/>
        </w:rPr>
        <w:t>CONTRATADO</w:t>
      </w:r>
      <w:r>
        <w:rPr>
          <w:rFonts w:cs="Arial" w:ascii="Arial" w:hAnsi="Arial"/>
        </w:rPr>
        <w:t xml:space="preserve"> tenha praticado, do qual tenha participado ou para o qual tenha contribuído;</w:t>
      </w:r>
    </w:p>
    <w:p>
      <w:pPr>
        <w:pStyle w:val="ListParagraph"/>
        <w:numPr>
          <w:ilvl w:val="0"/>
          <w:numId w:val="54"/>
        </w:numPr>
        <w:spacing w:lineRule="auto" w:line="240" w:before="0" w:after="0"/>
        <w:contextualSpacing/>
        <w:jc w:val="both"/>
        <w:rPr>
          <w:rFonts w:ascii="Arial" w:hAnsi="Arial" w:cs="Arial"/>
        </w:rPr>
      </w:pPr>
      <w:r>
        <w:rPr>
          <w:rFonts w:cs="Arial" w:ascii="Arial" w:hAnsi="Arial"/>
        </w:rPr>
        <w:t xml:space="preserve">Assegurarão ao </w:t>
      </w:r>
      <w:r>
        <w:rPr>
          <w:rFonts w:cs="Arial" w:ascii="Arial" w:hAnsi="Arial"/>
          <w:b/>
        </w:rPr>
        <w:t>CONTRATADO</w:t>
      </w:r>
      <w:r>
        <w:rPr>
          <w:rFonts w:cs="Arial" w:ascii="Arial" w:hAnsi="Arial"/>
        </w:rPr>
        <w:t xml:space="preserve"> o direito de optar pela suspensão do cumprimento das obrigações assumidas até a normalização da situação, admitido o restabelecimento do equilíbrio econômico-financeiro do contrato, na forma da alínea “d” do inciso II do </w:t>
      </w:r>
      <w:r>
        <w:rPr>
          <w:rFonts w:cs="Arial" w:ascii="Arial" w:hAnsi="Arial"/>
          <w:i/>
        </w:rPr>
        <w:t>caput</w:t>
      </w:r>
      <w:r>
        <w:rPr>
          <w:rFonts w:cs="Arial" w:ascii="Arial" w:hAnsi="Arial"/>
        </w:rPr>
        <w:t xml:space="preserve"> do art. 124 da Lei nº 14.133/2021.</w:t>
      </w:r>
    </w:p>
    <w:p>
      <w:pPr>
        <w:pStyle w:val="Normal"/>
        <w:spacing w:lineRule="auto" w:line="240" w:before="0" w:after="0"/>
        <w:jc w:val="both"/>
        <w:rPr>
          <w:rFonts w:ascii="Arial" w:hAnsi="Arial" w:cs="Arial"/>
        </w:rPr>
      </w:pPr>
      <w:r>
        <w:rPr>
          <w:rFonts w:cs="Arial" w:ascii="Arial" w:hAnsi="Arial"/>
          <w:b/>
        </w:rPr>
        <w:t>2.</w:t>
      </w:r>
      <w:r>
        <w:rPr>
          <w:rFonts w:cs="Arial" w:ascii="Arial" w:hAnsi="Arial"/>
        </w:rPr>
        <w:t xml:space="preserve"> O </w:t>
      </w:r>
      <w:r>
        <w:rPr>
          <w:rFonts w:cs="Arial" w:ascii="Arial" w:hAnsi="Arial"/>
          <w:b/>
        </w:rPr>
        <w:t>CONTRATADO</w:t>
      </w:r>
      <w:r>
        <w:rPr>
          <w:rFonts w:cs="Arial" w:ascii="Arial" w:hAnsi="Arial"/>
        </w:rPr>
        <w:t xml:space="preserve"> terá direito à extinção do contrato nas seguintes hipóteses:</w:t>
      </w:r>
    </w:p>
    <w:p>
      <w:pPr>
        <w:pStyle w:val="ListParagraph"/>
        <w:numPr>
          <w:ilvl w:val="0"/>
          <w:numId w:val="55"/>
        </w:numPr>
        <w:spacing w:lineRule="auto" w:line="240" w:before="0" w:after="0"/>
        <w:contextualSpacing/>
        <w:jc w:val="both"/>
        <w:rPr>
          <w:rFonts w:ascii="Arial" w:hAnsi="Arial" w:cs="Arial"/>
        </w:rPr>
      </w:pPr>
      <w:r>
        <w:rPr>
          <w:rFonts w:cs="Arial" w:ascii="Arial" w:hAnsi="Arial"/>
        </w:rPr>
        <w:t>Supressão, por parte da Administração, de obras, serviços ou compras que acarrete modificação do valor inicial do contrato além do limite permitido no art. 125 da Lei nº 14.133/2021;</w:t>
      </w:r>
    </w:p>
    <w:p>
      <w:pPr>
        <w:pStyle w:val="ListParagraph"/>
        <w:numPr>
          <w:ilvl w:val="0"/>
          <w:numId w:val="55"/>
        </w:numPr>
        <w:spacing w:lineRule="auto" w:line="240" w:before="0" w:after="0"/>
        <w:contextualSpacing/>
        <w:jc w:val="both"/>
        <w:rPr>
          <w:rFonts w:ascii="Arial" w:hAnsi="Arial" w:cs="Arial"/>
        </w:rPr>
      </w:pPr>
      <w:r>
        <w:rPr>
          <w:rFonts w:cs="Arial" w:ascii="Arial" w:hAnsi="Arial"/>
        </w:rPr>
        <w:t>Suspensão de execução do contrato, por ordem escrita da Administração, por prazo superior a 03 (três) meses;</w:t>
      </w:r>
    </w:p>
    <w:p>
      <w:pPr>
        <w:pStyle w:val="ListParagraph"/>
        <w:numPr>
          <w:ilvl w:val="0"/>
          <w:numId w:val="55"/>
        </w:numPr>
        <w:spacing w:lineRule="auto" w:line="240" w:before="0" w:after="0"/>
        <w:contextualSpacing/>
        <w:jc w:val="both"/>
        <w:rPr>
          <w:rFonts w:ascii="Arial" w:hAnsi="Arial" w:cs="Arial"/>
        </w:rPr>
      </w:pPr>
      <w:r>
        <w:rPr>
          <w:rFonts w:cs="Arial" w:ascii="Arial" w:hAnsi="Arial"/>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55"/>
        </w:numPr>
        <w:spacing w:lineRule="auto" w:line="240" w:before="0" w:after="0"/>
        <w:contextualSpacing/>
        <w:jc w:val="both"/>
        <w:rPr>
          <w:rFonts w:ascii="Arial" w:hAnsi="Arial" w:cs="Arial"/>
        </w:rPr>
      </w:pPr>
      <w:r>
        <w:rPr>
          <w:rFonts w:cs="Arial" w:ascii="Arial" w:hAnsi="Arial"/>
        </w:rPr>
        <w:t>Atraso superior a 02 (dois) meses, contado da emissão da nota fiscal, dos pagamentos ou de parcelas de pagamentos devidos pela Administração por despesas de obras, serviços ou fornecimentos;</w:t>
      </w:r>
    </w:p>
    <w:p>
      <w:pPr>
        <w:pStyle w:val="ListParagraph"/>
        <w:numPr>
          <w:ilvl w:val="0"/>
          <w:numId w:val="55"/>
        </w:numPr>
        <w:spacing w:lineRule="auto" w:line="240" w:before="0" w:after="0"/>
        <w:contextualSpacing/>
        <w:jc w:val="both"/>
        <w:rPr>
          <w:rFonts w:ascii="Arial" w:hAnsi="Arial" w:cs="Arial"/>
        </w:rPr>
      </w:pPr>
      <w:r>
        <w:rPr>
          <w:rFonts w:cs="Arial" w:ascii="Arial" w:hAnsi="Arial"/>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before="0" w:after="0"/>
        <w:jc w:val="both"/>
        <w:rPr>
          <w:rFonts w:ascii="Arial" w:hAnsi="Arial" w:cs="Arial"/>
        </w:rPr>
      </w:pPr>
      <w:r>
        <w:rPr>
          <w:rFonts w:cs="Arial" w:ascii="Arial" w:hAnsi="Arial"/>
          <w:b/>
        </w:rPr>
        <w:t>3.</w:t>
      </w:r>
      <w:r>
        <w:rPr>
          <w:rFonts w:cs="Arial" w:ascii="Arial" w:hAnsi="Arial"/>
        </w:rPr>
        <w:t xml:space="preserve"> A extinção do contrato poderá ser:</w:t>
      </w:r>
    </w:p>
    <w:p>
      <w:pPr>
        <w:pStyle w:val="ListParagraph"/>
        <w:numPr>
          <w:ilvl w:val="0"/>
          <w:numId w:val="56"/>
        </w:numPr>
        <w:spacing w:lineRule="auto" w:line="240" w:before="0" w:after="0"/>
        <w:contextualSpacing/>
        <w:jc w:val="both"/>
        <w:rPr>
          <w:rFonts w:ascii="Arial" w:hAnsi="Arial" w:cs="Arial"/>
        </w:rPr>
      </w:pPr>
      <w:r>
        <w:rPr>
          <w:rFonts w:cs="Arial" w:ascii="Arial" w:hAnsi="Arial"/>
        </w:rPr>
        <w:t>Determinada por ato unilateral e escrito da Administração, exceto no caso de descumprimento decorrente de sua própria conduta;</w:t>
      </w:r>
    </w:p>
    <w:p>
      <w:pPr>
        <w:pStyle w:val="ListParagraph"/>
        <w:numPr>
          <w:ilvl w:val="0"/>
          <w:numId w:val="56"/>
        </w:numPr>
        <w:spacing w:lineRule="auto" w:line="240" w:before="0" w:after="0"/>
        <w:contextualSpacing/>
        <w:jc w:val="both"/>
        <w:rPr>
          <w:rFonts w:ascii="Arial" w:hAnsi="Arial" w:cs="Arial"/>
        </w:rPr>
      </w:pPr>
      <w:r>
        <w:rPr>
          <w:rFonts w:cs="Arial" w:ascii="Arial" w:hAnsi="Arial"/>
        </w:rPr>
        <w:t>Consensual, por acordo entre as partes, por conciliação, por mediação ou por comitê de resolução de disputas, desde que haja interesse da Administração;</w:t>
      </w:r>
    </w:p>
    <w:p>
      <w:pPr>
        <w:pStyle w:val="ListParagraph"/>
        <w:numPr>
          <w:ilvl w:val="0"/>
          <w:numId w:val="56"/>
        </w:numPr>
        <w:spacing w:lineRule="auto" w:line="240" w:before="0" w:after="0"/>
        <w:contextualSpacing/>
        <w:jc w:val="both"/>
        <w:rPr>
          <w:rFonts w:ascii="Arial" w:hAnsi="Arial" w:cs="Arial"/>
        </w:rPr>
      </w:pPr>
      <w:r>
        <w:rPr>
          <w:rFonts w:cs="Arial" w:ascii="Arial" w:hAnsi="Arial"/>
        </w:rPr>
        <w:t>Determinada por decisão arbitral, em decorrência de cláusula compromissória ou compromisso arbitral, ou por decisão judicial.</w:t>
      </w:r>
    </w:p>
    <w:p>
      <w:pPr>
        <w:pStyle w:val="Normal"/>
        <w:spacing w:lineRule="auto" w:line="240" w:before="0" w:after="0"/>
        <w:jc w:val="both"/>
        <w:rPr>
          <w:rFonts w:ascii="Arial" w:hAnsi="Arial" w:cs="Arial"/>
        </w:rPr>
      </w:pPr>
      <w:r>
        <w:rPr>
          <w:rFonts w:cs="Arial" w:ascii="Arial" w:hAnsi="Arial"/>
          <w:b/>
        </w:rPr>
        <w:t>3.1.</w:t>
      </w:r>
      <w:r>
        <w:rPr>
          <w:rFonts w:cs="Arial" w:ascii="Arial" w:hAnsi="Arial"/>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before="0" w:after="0"/>
        <w:jc w:val="both"/>
        <w:rPr>
          <w:rFonts w:ascii="Arial" w:hAnsi="Arial" w:cs="Arial"/>
        </w:rPr>
      </w:pPr>
      <w:r>
        <w:rPr>
          <w:rFonts w:cs="Arial" w:ascii="Arial" w:hAnsi="Arial"/>
          <w:b/>
        </w:rPr>
        <w:t>3.2.</w:t>
      </w:r>
      <w:r>
        <w:rPr>
          <w:rFonts w:cs="Arial" w:ascii="Arial" w:hAnsi="Arial"/>
        </w:rPr>
        <w:t xml:space="preserve"> Quando a extinção decorrer de culpa exclusiva da Administração, o </w:t>
      </w:r>
      <w:r>
        <w:rPr>
          <w:rFonts w:cs="Arial" w:ascii="Arial" w:hAnsi="Arial"/>
          <w:b/>
        </w:rPr>
        <w:t>CONTRATADO</w:t>
      </w:r>
      <w:r>
        <w:rPr>
          <w:rFonts w:cs="Arial" w:ascii="Arial" w:hAnsi="Arial"/>
        </w:rPr>
        <w:t xml:space="preserve"> será ressarcido pelos prejuízos regularmente comprovados que houver sofrido e terá direito a:</w:t>
      </w:r>
    </w:p>
    <w:p>
      <w:pPr>
        <w:pStyle w:val="ListParagraph"/>
        <w:numPr>
          <w:ilvl w:val="0"/>
          <w:numId w:val="57"/>
        </w:numPr>
        <w:spacing w:lineRule="auto" w:line="240" w:before="0" w:after="0"/>
        <w:contextualSpacing/>
        <w:jc w:val="both"/>
        <w:rPr>
          <w:rFonts w:ascii="Arial" w:hAnsi="Arial" w:cs="Arial"/>
        </w:rPr>
      </w:pPr>
      <w:r>
        <w:rPr>
          <w:rFonts w:cs="Arial" w:ascii="Arial" w:hAnsi="Arial"/>
        </w:rPr>
        <w:t>Devolução da garantia;</w:t>
      </w:r>
    </w:p>
    <w:p>
      <w:pPr>
        <w:pStyle w:val="ListParagraph"/>
        <w:numPr>
          <w:ilvl w:val="0"/>
          <w:numId w:val="57"/>
        </w:numPr>
        <w:spacing w:lineRule="auto" w:line="240" w:before="0" w:after="0"/>
        <w:contextualSpacing/>
        <w:jc w:val="both"/>
        <w:rPr>
          <w:rFonts w:ascii="Arial" w:hAnsi="Arial" w:cs="Arial"/>
        </w:rPr>
      </w:pPr>
      <w:r>
        <w:rPr>
          <w:rFonts w:cs="Arial" w:ascii="Arial" w:hAnsi="Arial"/>
        </w:rPr>
        <w:t>Pagamentos devidos pela execução do contrato até a data de extinção;</w:t>
      </w:r>
    </w:p>
    <w:p>
      <w:pPr>
        <w:pStyle w:val="ListParagraph"/>
        <w:numPr>
          <w:ilvl w:val="0"/>
          <w:numId w:val="57"/>
        </w:numPr>
        <w:spacing w:lineRule="auto" w:line="240" w:before="0" w:after="0"/>
        <w:contextualSpacing/>
        <w:jc w:val="both"/>
        <w:rPr>
          <w:rFonts w:ascii="Arial" w:hAnsi="Arial" w:cs="Arial"/>
        </w:rPr>
      </w:pPr>
      <w:r>
        <w:rPr>
          <w:rFonts w:cs="Arial" w:ascii="Arial" w:hAnsi="Arial"/>
        </w:rPr>
        <w:t>Pagamento do custo da desmobilização.</w:t>
      </w:r>
    </w:p>
    <w:p>
      <w:pPr>
        <w:pStyle w:val="Normal"/>
        <w:spacing w:lineRule="auto" w:line="240" w:before="0" w:after="0"/>
        <w:jc w:val="both"/>
        <w:rPr>
          <w:rFonts w:ascii="Arial" w:hAnsi="Arial" w:cs="Arial"/>
        </w:rPr>
      </w:pPr>
      <w:r>
        <w:rPr>
          <w:rFonts w:cs="Arial" w:ascii="Arial" w:hAnsi="Arial"/>
          <w:b/>
        </w:rPr>
        <w:t>4.</w:t>
      </w:r>
      <w:r>
        <w:rPr>
          <w:rFonts w:cs="Arial" w:ascii="Arial" w:hAnsi="Arial"/>
        </w:rPr>
        <w:t xml:space="preserve"> A extinção determinada por ato unilateral da Administração poderá acarretar, sem prejuízo das sanções previstas na Lei nº 14.133/2021, as seguintes consequências:</w:t>
      </w:r>
    </w:p>
    <w:p>
      <w:pPr>
        <w:pStyle w:val="ListParagraph"/>
        <w:numPr>
          <w:ilvl w:val="0"/>
          <w:numId w:val="58"/>
        </w:numPr>
        <w:spacing w:lineRule="auto" w:line="240" w:before="0" w:after="0"/>
        <w:contextualSpacing/>
        <w:jc w:val="both"/>
        <w:rPr>
          <w:rFonts w:ascii="Arial" w:hAnsi="Arial" w:cs="Arial"/>
        </w:rPr>
      </w:pPr>
      <w:r>
        <w:rPr>
          <w:rFonts w:cs="Arial" w:ascii="Arial" w:hAnsi="Arial"/>
        </w:rPr>
        <w:t>Assunção imediata do objeto do contrato, no estado e local em que se encontrar, por ato próprio da Administração;</w:t>
      </w:r>
    </w:p>
    <w:p>
      <w:pPr>
        <w:pStyle w:val="ListParagraph"/>
        <w:numPr>
          <w:ilvl w:val="0"/>
          <w:numId w:val="58"/>
        </w:numPr>
        <w:spacing w:lineRule="auto" w:line="240" w:before="0" w:after="0"/>
        <w:contextualSpacing/>
        <w:jc w:val="both"/>
        <w:rPr>
          <w:rFonts w:ascii="Arial" w:hAnsi="Arial" w:cs="Arial"/>
        </w:rPr>
      </w:pPr>
      <w:r>
        <w:rPr>
          <w:rFonts w:cs="Arial" w:ascii="Arial" w:hAnsi="Arial"/>
        </w:rPr>
        <w:t>Ocupação e utilização do local, das instalações, dos equipamentos, do material e do pessoal empregados na execução do contrato e necessários à sua continuidade;</w:t>
      </w:r>
    </w:p>
    <w:p>
      <w:pPr>
        <w:pStyle w:val="ListParagraph"/>
        <w:numPr>
          <w:ilvl w:val="0"/>
          <w:numId w:val="58"/>
        </w:numPr>
        <w:spacing w:lineRule="auto" w:line="240" w:before="0" w:after="0"/>
        <w:contextualSpacing/>
        <w:jc w:val="both"/>
        <w:rPr>
          <w:rFonts w:ascii="Arial" w:hAnsi="Arial" w:cs="Arial"/>
        </w:rPr>
      </w:pPr>
      <w:r>
        <w:rPr>
          <w:rFonts w:cs="Arial" w:ascii="Arial" w:hAnsi="Arial"/>
        </w:rPr>
        <w:t>Execução da garantia contratual para:</w:t>
      </w:r>
    </w:p>
    <w:p>
      <w:pPr>
        <w:pStyle w:val="ListParagraph"/>
        <w:numPr>
          <w:ilvl w:val="1"/>
          <w:numId w:val="58"/>
        </w:numPr>
        <w:spacing w:lineRule="auto" w:line="240" w:before="0" w:after="0"/>
        <w:contextualSpacing/>
        <w:jc w:val="both"/>
        <w:rPr>
          <w:rFonts w:ascii="Arial" w:hAnsi="Arial" w:cs="Arial"/>
        </w:rPr>
      </w:pPr>
      <w:r>
        <w:rPr>
          <w:rFonts w:cs="Arial" w:ascii="Arial" w:hAnsi="Arial"/>
        </w:rPr>
        <w:t>Ressarcimento da Administração Pública por prejuízos decorrentes da não execução;</w:t>
      </w:r>
    </w:p>
    <w:p>
      <w:pPr>
        <w:pStyle w:val="ListParagraph"/>
        <w:numPr>
          <w:ilvl w:val="1"/>
          <w:numId w:val="58"/>
        </w:numPr>
        <w:spacing w:lineRule="auto" w:line="240" w:before="0" w:after="0"/>
        <w:contextualSpacing/>
        <w:jc w:val="both"/>
        <w:rPr>
          <w:rFonts w:ascii="Arial" w:hAnsi="Arial" w:cs="Arial"/>
        </w:rPr>
      </w:pPr>
      <w:r>
        <w:rPr>
          <w:rFonts w:cs="Arial" w:ascii="Arial" w:hAnsi="Arial"/>
        </w:rPr>
        <w:t>Pagamento de verbas trabalhistas, fundiárias e previdenciárias, quando cabível;</w:t>
      </w:r>
    </w:p>
    <w:p>
      <w:pPr>
        <w:pStyle w:val="ListParagraph"/>
        <w:numPr>
          <w:ilvl w:val="1"/>
          <w:numId w:val="58"/>
        </w:numPr>
        <w:spacing w:lineRule="auto" w:line="240" w:before="0" w:after="0"/>
        <w:contextualSpacing/>
        <w:jc w:val="both"/>
        <w:rPr>
          <w:rFonts w:ascii="Arial" w:hAnsi="Arial" w:cs="Arial"/>
        </w:rPr>
      </w:pPr>
      <w:r>
        <w:rPr>
          <w:rFonts w:cs="Arial" w:ascii="Arial" w:hAnsi="Arial"/>
        </w:rPr>
        <w:t>Pagamento das multas devidas à Administração Pública;</w:t>
      </w:r>
    </w:p>
    <w:p>
      <w:pPr>
        <w:pStyle w:val="ListParagraph"/>
        <w:numPr>
          <w:ilvl w:val="1"/>
          <w:numId w:val="58"/>
        </w:numPr>
        <w:spacing w:lineRule="auto" w:line="240" w:before="0" w:after="0"/>
        <w:contextualSpacing/>
        <w:jc w:val="both"/>
        <w:rPr>
          <w:rFonts w:ascii="Arial" w:hAnsi="Arial" w:cs="Arial"/>
        </w:rPr>
      </w:pPr>
      <w:r>
        <w:rPr>
          <w:rFonts w:cs="Arial" w:ascii="Arial" w:hAnsi="Arial"/>
        </w:rPr>
        <w:t>Exigência da assunção da execução e da conclusão do objeto do contrato pela seguradora, quando cabível;</w:t>
      </w:r>
    </w:p>
    <w:p>
      <w:pPr>
        <w:pStyle w:val="ListParagraph"/>
        <w:numPr>
          <w:ilvl w:val="0"/>
          <w:numId w:val="58"/>
        </w:numPr>
        <w:spacing w:lineRule="auto" w:line="240" w:before="0" w:after="0"/>
        <w:contextualSpacing/>
        <w:jc w:val="both"/>
        <w:rPr>
          <w:rFonts w:ascii="Arial" w:hAnsi="Arial" w:cs="Arial"/>
        </w:rPr>
      </w:pPr>
      <w:r>
        <w:rPr>
          <w:rFonts w:cs="Arial" w:ascii="Arial" w:hAnsi="Arial"/>
        </w:rPr>
        <w:t>Retenção dos créditos decorrentes do contrato até o limite dos prejuízos causados à Administração Pública e das multas aplicadas.</w:t>
      </w:r>
    </w:p>
    <w:p>
      <w:pPr>
        <w:pStyle w:val="Normal"/>
        <w:spacing w:lineRule="auto" w:line="240" w:before="0" w:after="0"/>
        <w:jc w:val="both"/>
        <w:rPr>
          <w:rFonts w:ascii="Arial" w:hAnsi="Arial" w:cs="Arial"/>
        </w:rPr>
      </w:pPr>
      <w:r>
        <w:rPr>
          <w:rFonts w:cs="Arial" w:ascii="Arial" w:hAnsi="Arial"/>
          <w:b/>
        </w:rPr>
        <w:t>4.1.</w:t>
      </w:r>
      <w:r>
        <w:rPr>
          <w:rFonts w:cs="Arial" w:ascii="Arial" w:hAnsi="Arial"/>
        </w:rPr>
        <w:t xml:space="preserve"> A aplicação das medidas previstas nas letras “a” e “b” do item anterior ficará a critério da Administração, que poderá dar continuidade à obra ou ao serviço por execução direta ou indireta.</w:t>
      </w:r>
    </w:p>
    <w:p>
      <w:pPr>
        <w:pStyle w:val="Normal"/>
        <w:spacing w:lineRule="auto" w:line="240" w:before="0" w:after="0"/>
        <w:jc w:val="both"/>
        <w:rPr>
          <w:rFonts w:ascii="Arial" w:hAnsi="Arial" w:cs="Arial"/>
        </w:rPr>
      </w:pPr>
      <w:r>
        <w:rPr>
          <w:rFonts w:cs="Arial" w:ascii="Arial" w:hAnsi="Arial"/>
          <w:b/>
        </w:rPr>
        <w:t>4.2.</w:t>
      </w:r>
      <w:r>
        <w:rPr>
          <w:rFonts w:cs="Arial" w:ascii="Arial" w:hAnsi="Arial"/>
        </w:rPr>
        <w:t xml:space="preserve"> Na hipótese da letra “b”, o ato deverá ser precedido de autorização expressa do secretário municipal competente.</w:t>
      </w:r>
    </w:p>
    <w:p>
      <w:pPr>
        <w:pStyle w:val="Normal"/>
        <w:spacing w:lineRule="auto" w:line="240" w:before="0" w:after="0"/>
        <w:jc w:val="both"/>
        <w:rPr>
          <w:rFonts w:ascii="Arial" w:hAnsi="Arial" w:cs="Arial"/>
        </w:rPr>
      </w:pPr>
      <w:r>
        <w:rPr>
          <w:rFonts w:cs="Arial" w:ascii="Arial" w:hAnsi="Arial"/>
          <w:b/>
        </w:rPr>
        <w:t>5.</w:t>
      </w:r>
      <w:r>
        <w:rPr>
          <w:rFonts w:cs="Arial" w:ascii="Arial" w:hAnsi="Arial"/>
        </w:rPr>
        <w:t xml:space="preserve"> Os emitentes das garantias previstas no art. 96 da Lei nº 14.133/2021 serão notificados pelo </w:t>
      </w:r>
      <w:r>
        <w:rPr>
          <w:rFonts w:cs="Arial" w:ascii="Arial" w:hAnsi="Arial"/>
          <w:b/>
        </w:rPr>
        <w:t>CONTRATANTE</w:t>
      </w:r>
      <w:r>
        <w:rPr>
          <w:rFonts w:cs="Arial" w:ascii="Arial" w:hAnsi="Arial"/>
        </w:rPr>
        <w:t xml:space="preserve"> quanto ao início de processo administrativo para apuração de descumprimento de cláusulas contratuais.</w:t>
      </w:r>
    </w:p>
    <w:p>
      <w:pPr>
        <w:pStyle w:val="Normal"/>
        <w:spacing w:lineRule="auto" w:line="240" w:before="0" w:after="0"/>
        <w:jc w:val="both"/>
        <w:rPr>
          <w:rFonts w:ascii="Arial" w:hAnsi="Arial" w:cs="Arial"/>
        </w:rPr>
      </w:pPr>
      <w:r>
        <w:rPr>
          <w:rFonts w:cs="Arial" w:ascii="Arial" w:hAnsi="Arial"/>
        </w:rPr>
      </w:r>
    </w:p>
    <w:p>
      <w:pPr>
        <w:pStyle w:val="Normal"/>
        <w:shd w:val="clear" w:color="auto" w:fill="E7E6E6" w:themeFill="background2"/>
        <w:spacing w:lineRule="auto" w:line="240" w:before="0" w:after="0"/>
        <w:jc w:val="both"/>
        <w:rPr>
          <w:rFonts w:ascii="Arial" w:hAnsi="Arial" w:cs="Arial"/>
          <w:b/>
          <w:b/>
        </w:rPr>
      </w:pPr>
      <w:r>
        <w:rPr>
          <w:rFonts w:cs="Arial" w:ascii="Arial" w:hAnsi="Arial"/>
          <w:b/>
        </w:rPr>
        <w:t xml:space="preserve">CLÁUSULA DÉCIMA QUINTA: FORO </w:t>
      </w:r>
    </w:p>
    <w:p>
      <w:pPr>
        <w:pStyle w:val="Normal"/>
        <w:spacing w:lineRule="auto" w:line="240" w:before="0" w:after="0"/>
        <w:jc w:val="both"/>
        <w:rPr>
          <w:rFonts w:ascii="Arial" w:hAnsi="Arial" w:cs="Arial"/>
        </w:rPr>
      </w:pPr>
      <w:bookmarkStart w:id="118" w:name="art92§1"/>
      <w:bookmarkEnd w:id="118"/>
      <w:r>
        <w:rPr>
          <w:rFonts w:cs="Arial" w:ascii="Arial" w:hAnsi="Arial"/>
          <w:b/>
        </w:rPr>
        <w:t>1.</w:t>
      </w:r>
      <w:r>
        <w:rPr>
          <w:rFonts w:cs="Arial" w:ascii="Arial" w:hAnsi="Arial"/>
        </w:rPr>
        <w:t xml:space="preserve"> É declarado competente o foro da sede da Administração Pública Municipal para dirimir qualquer questão contratual, ressalvadas as seguintes hipóteses:</w:t>
      </w:r>
    </w:p>
    <w:p>
      <w:pPr>
        <w:pStyle w:val="ListParagraph"/>
        <w:numPr>
          <w:ilvl w:val="0"/>
          <w:numId w:val="40"/>
        </w:numPr>
        <w:spacing w:lineRule="auto" w:line="240" w:before="0" w:after="0"/>
        <w:contextualSpacing/>
        <w:jc w:val="both"/>
        <w:rPr>
          <w:rFonts w:ascii="Arial" w:hAnsi="Arial" w:cs="Arial"/>
        </w:rPr>
      </w:pPr>
      <w:bookmarkStart w:id="119" w:name="art92§1i"/>
      <w:bookmarkEnd w:id="119"/>
      <w:r>
        <w:rPr>
          <w:rFonts w:cs="Arial" w:ascii="Arial" w:hAnsi="Arial"/>
        </w:rPr>
        <w:t>Licitação internacional para a aquisição de bens e serviços cujo pagamento seja feito com o produto de financiamento concedido por organismo financeiro internacional de que o Brasil faça parte ou por agência estrangeira de cooperação;</w:t>
      </w:r>
    </w:p>
    <w:p>
      <w:pPr>
        <w:pStyle w:val="ListParagraph"/>
        <w:numPr>
          <w:ilvl w:val="0"/>
          <w:numId w:val="40"/>
        </w:numPr>
        <w:spacing w:lineRule="auto" w:line="240" w:before="0" w:after="0"/>
        <w:contextualSpacing/>
        <w:jc w:val="both"/>
        <w:rPr>
          <w:rFonts w:ascii="Arial" w:hAnsi="Arial" w:cs="Arial"/>
        </w:rPr>
      </w:pPr>
      <w:bookmarkStart w:id="120" w:name="art92§1ii"/>
      <w:bookmarkEnd w:id="120"/>
      <w:r>
        <w:rPr>
          <w:rFonts w:cs="Arial" w:ascii="Arial" w:hAnsi="Arial"/>
        </w:rPr>
        <w:t>Contratação com empresa estrangeira para a compra de equipamentos fabricados e entregues no exterior precedida de autorização do Chefe do Poder Executivo;</w:t>
      </w:r>
    </w:p>
    <w:p>
      <w:pPr>
        <w:pStyle w:val="ListParagraph"/>
        <w:numPr>
          <w:ilvl w:val="0"/>
          <w:numId w:val="40"/>
        </w:numPr>
        <w:spacing w:lineRule="auto" w:line="240" w:before="0" w:after="0"/>
        <w:contextualSpacing/>
        <w:jc w:val="both"/>
        <w:rPr>
          <w:rFonts w:ascii="Arial" w:hAnsi="Arial" w:cs="Arial"/>
        </w:rPr>
      </w:pPr>
      <w:bookmarkStart w:id="121" w:name="art92§1iii"/>
      <w:bookmarkEnd w:id="121"/>
      <w:r>
        <w:rPr>
          <w:rFonts w:cs="Arial" w:ascii="Arial" w:hAnsi="Arial"/>
        </w:rPr>
        <w:t>Aquisição de bens e serviços realizada por unidades administrativas com sede no exterior.</w:t>
      </w:r>
    </w:p>
    <w:p>
      <w:pPr>
        <w:pStyle w:val="Normal"/>
        <w:spacing w:lineRule="auto" w:line="240" w:before="0" w:after="0"/>
        <w:jc w:val="both"/>
        <w:rPr>
          <w:rFonts w:ascii="Arial" w:hAnsi="Arial" w:cs="Arial"/>
        </w:rPr>
      </w:pPr>
      <w:r>
        <w:rPr>
          <w:rFonts w:cs="Arial" w:ascii="Arial" w:hAnsi="Arial"/>
        </w:rPr>
      </w:r>
      <w:bookmarkStart w:id="122" w:name="art92§3"/>
      <w:bookmarkStart w:id="123" w:name="art92§3"/>
      <w:bookmarkEnd w:id="123"/>
    </w:p>
    <w:p>
      <w:pPr>
        <w:pStyle w:val="Normal"/>
        <w:shd w:val="clear" w:color="auto" w:fill="E7E6E6" w:themeFill="background2"/>
        <w:spacing w:lineRule="auto" w:line="240" w:before="0" w:after="0"/>
        <w:jc w:val="both"/>
        <w:rPr>
          <w:rFonts w:ascii="Arial" w:hAnsi="Arial" w:cs="Arial"/>
          <w:b/>
          <w:b/>
        </w:rPr>
      </w:pPr>
      <w:r>
        <w:rPr>
          <w:rFonts w:cs="Arial" w:ascii="Arial" w:hAnsi="Arial"/>
          <w:b/>
        </w:rPr>
        <w:t>CLÁUSULA DÉCIMA SEXTA: PROTEÇÃO DE DADOS PESSOAIS (LGPD)</w:t>
      </w:r>
    </w:p>
    <w:p>
      <w:pPr>
        <w:pStyle w:val="Normal"/>
        <w:spacing w:lineRule="auto" w:line="240" w:before="0" w:after="0"/>
        <w:jc w:val="both"/>
        <w:rPr>
          <w:rFonts w:ascii="Arial" w:hAnsi="Arial" w:cs="Arial"/>
        </w:rPr>
      </w:pPr>
      <w:r>
        <w:rPr>
          <w:rFonts w:cs="Arial" w:ascii="Arial" w:hAnsi="Arial"/>
          <w:b/>
        </w:rPr>
        <w:t>1.</w:t>
      </w:r>
      <w:r>
        <w:rPr>
          <w:rFonts w:cs="Arial" w:ascii="Arial" w:hAnsi="Arial"/>
        </w:rPr>
        <w:t xml:space="preserve"> Em atendimento ao disposto na Lei nº 13.709/2018 – Lei Geral de Proteção de Dados Pessoais (LGPD), o CONTRATANTE, para a execução do objeto deste contrato, poderá, quando necessário, ter acesso aos dados pessoais dos representantes da CONTRATADA.</w:t>
      </w:r>
    </w:p>
    <w:p>
      <w:pPr>
        <w:pStyle w:val="Normal"/>
        <w:spacing w:lineRule="auto" w:line="240" w:before="0" w:after="0"/>
        <w:jc w:val="both"/>
        <w:rPr>
          <w:rFonts w:ascii="Arial" w:hAnsi="Arial" w:cs="Arial"/>
        </w:rPr>
      </w:pPr>
      <w:r>
        <w:rPr>
          <w:rFonts w:cs="Arial" w:ascii="Arial" w:hAnsi="Arial"/>
          <w:b/>
        </w:rPr>
        <w:t>2.</w:t>
      </w:r>
      <w:r>
        <w:rPr>
          <w:rFonts w:cs="Arial" w:ascii="Arial" w:hAnsi="Arial"/>
        </w:rPr>
        <w:t xml:space="preserve"> As partes se comprometem a proteger os direitos fundamentais de liberdade e de privacidade e o livre desenvolvimento da personalidade da pessoa natural, relativos ao tratamento de dados pessoais, inclusive nos meios digitais, garantindo que:</w:t>
      </w:r>
    </w:p>
    <w:p>
      <w:pPr>
        <w:pStyle w:val="ListParagraph"/>
        <w:numPr>
          <w:ilvl w:val="0"/>
          <w:numId w:val="41"/>
        </w:numPr>
        <w:spacing w:lineRule="auto" w:line="240" w:before="0" w:after="0"/>
        <w:contextualSpacing/>
        <w:jc w:val="both"/>
        <w:rPr>
          <w:rFonts w:ascii="Arial" w:hAnsi="Arial" w:cs="Arial"/>
        </w:rPr>
      </w:pPr>
      <w:r>
        <w:rPr>
          <w:rFonts w:cs="Arial" w:ascii="Arial" w:hAnsi="Arial"/>
        </w:rPr>
        <w:t>O tratamento de dados pessoais dar-se-á de acordo com as bases legais previstas nas hipóteses dos arts. 7º, 11 e/ou 14 da Lei nº 13.709/2018 (LGPD), às quais se submeterão os serviços, e para propósitos legítimos, específicos, explícitos e informados ao titular;</w:t>
      </w:r>
    </w:p>
    <w:p>
      <w:pPr>
        <w:pStyle w:val="ListParagraph"/>
        <w:numPr>
          <w:ilvl w:val="0"/>
          <w:numId w:val="41"/>
        </w:numPr>
        <w:spacing w:lineRule="auto" w:line="240" w:before="0" w:after="0"/>
        <w:contextualSpacing/>
        <w:jc w:val="both"/>
        <w:rPr>
          <w:rFonts w:ascii="Arial" w:hAnsi="Arial" w:cs="Arial"/>
        </w:rPr>
      </w:pPr>
      <w:r>
        <w:rPr>
          <w:rFonts w:cs="Arial" w:ascii="Arial" w:hAnsi="Arial"/>
        </w:rPr>
        <w:t>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w:t>
      </w:r>
    </w:p>
    <w:p>
      <w:pPr>
        <w:pStyle w:val="ListParagraph"/>
        <w:numPr>
          <w:ilvl w:val="0"/>
          <w:numId w:val="41"/>
        </w:numPr>
        <w:spacing w:lineRule="auto" w:line="240" w:before="0" w:after="0"/>
        <w:contextualSpacing/>
        <w:jc w:val="both"/>
        <w:rPr>
          <w:rFonts w:ascii="Arial" w:hAnsi="Arial" w:cs="Arial"/>
        </w:rPr>
      </w:pPr>
      <w:r>
        <w:rPr>
          <w:rFonts w:cs="Arial" w:ascii="Arial" w:hAnsi="Arial"/>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pPr>
        <w:pStyle w:val="ListParagraph"/>
        <w:numPr>
          <w:ilvl w:val="1"/>
          <w:numId w:val="41"/>
        </w:numPr>
        <w:spacing w:lineRule="auto" w:line="240" w:before="0" w:after="0"/>
        <w:contextualSpacing/>
        <w:jc w:val="both"/>
        <w:rPr>
          <w:rFonts w:ascii="Arial" w:hAnsi="Arial" w:cs="Arial"/>
        </w:rPr>
      </w:pPr>
      <w:r>
        <w:rPr>
          <w:rFonts w:cs="Arial" w:ascii="Arial" w:hAnsi="Arial"/>
        </w:rPr>
        <w:t>Eventualmente, podem as partes convencionar que o CONTRATANTE será responsável por obter o consentimento dos titulares;</w:t>
      </w:r>
    </w:p>
    <w:p>
      <w:pPr>
        <w:pStyle w:val="ListParagraph"/>
        <w:numPr>
          <w:ilvl w:val="0"/>
          <w:numId w:val="41"/>
        </w:numPr>
        <w:spacing w:lineRule="auto" w:line="240" w:before="0" w:after="0"/>
        <w:contextualSpacing/>
        <w:jc w:val="both"/>
        <w:rPr>
          <w:rFonts w:ascii="Arial" w:hAnsi="Arial" w:cs="Arial"/>
        </w:rPr>
      </w:pPr>
      <w:r>
        <w:rPr>
          <w:rFonts w:cs="Arial" w:ascii="Arial" w:hAnsi="Arial"/>
        </w:rPr>
        <w:t>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w:t>
      </w:r>
    </w:p>
    <w:p>
      <w:pPr>
        <w:pStyle w:val="ListParagraph"/>
        <w:numPr>
          <w:ilvl w:val="1"/>
          <w:numId w:val="41"/>
        </w:numPr>
        <w:spacing w:lineRule="auto" w:line="240" w:before="0" w:after="0"/>
        <w:contextualSpacing/>
        <w:jc w:val="both"/>
        <w:rPr>
          <w:rFonts w:ascii="Arial" w:hAnsi="Arial" w:cs="Arial"/>
        </w:rPr>
      </w:pPr>
      <w:r>
        <w:rPr>
          <w:rFonts w:cs="Arial" w:ascii="Arial" w:hAnsi="Arial"/>
        </w:rPr>
        <w:t>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w:t>
      </w:r>
    </w:p>
    <w:p>
      <w:pPr>
        <w:pStyle w:val="Normal"/>
        <w:spacing w:lineRule="auto" w:line="240" w:before="0" w:after="0"/>
        <w:jc w:val="both"/>
        <w:rPr>
          <w:rFonts w:ascii="Arial" w:hAnsi="Arial" w:cs="Arial"/>
          <w:iCs/>
        </w:rPr>
      </w:pPr>
      <w:r>
        <w:rPr>
          <w:rFonts w:cs="Arial" w:ascii="Arial" w:hAnsi="Arial"/>
          <w:b/>
        </w:rPr>
        <w:t>3.</w:t>
      </w:r>
      <w:r>
        <w:rPr>
          <w:rFonts w:cs="Arial" w:ascii="Arial" w:hAnsi="Arial"/>
        </w:rPr>
        <w:t xml:space="preserve"> É vedado às partes a utilização de todo e qualquer dado pessoal repassado em decorrência da execução contratual para finalidade distinta daquela do objeto da contratação. </w:t>
      </w:r>
      <w:r>
        <w:rPr>
          <w:rFonts w:cs="Arial" w:ascii="Arial" w:hAnsi="Arial"/>
          <w:iCs/>
        </w:rPr>
        <w:t>As partes deverão, nos termos deste instrumento, cumprir com suas respectivas obrigações que lhes forem impostas de acordo com regulamentos e leis aplicáveis à proteção de dados pessoais, incluindo, sem prejuízo da Lei nº 13.709/2018 (LGPD).</w:t>
      </w:r>
    </w:p>
    <w:p>
      <w:pPr>
        <w:pStyle w:val="Normal"/>
        <w:spacing w:lineRule="auto" w:line="240" w:before="0" w:after="0"/>
        <w:jc w:val="both"/>
        <w:rPr>
          <w:rFonts w:ascii="Arial" w:hAnsi="Arial" w:cs="Arial"/>
          <w:iCs/>
        </w:rPr>
      </w:pPr>
      <w:r>
        <w:rPr>
          <w:rFonts w:cs="Arial" w:ascii="Arial" w:hAnsi="Arial"/>
          <w:b/>
          <w:iCs/>
        </w:rPr>
        <w:t>4.</w:t>
      </w:r>
      <w:r>
        <w:rPr>
          <w:rFonts w:cs="Arial" w:ascii="Arial" w:hAnsi="Arial"/>
          <w:iCs/>
        </w:rPr>
        <w:t xml:space="preserve"> Os dados pessoais não poderão ser revelados, </w:t>
      </w:r>
      <w:r>
        <w:rPr>
          <w:rFonts w:cs="Arial" w:ascii="Arial" w:hAnsi="Arial"/>
        </w:rPr>
        <w:t>transferidos, compartilhados, comunicados ou de qualquer outra forma facultar acesso, no todo ou em parte,</w:t>
      </w:r>
      <w:r>
        <w:rPr>
          <w:rFonts w:cs="Arial" w:ascii="Arial" w:hAnsi="Arial"/>
          <w:iCs/>
        </w:rPr>
        <w:t xml:space="preserve"> a terceiros, </w:t>
      </w:r>
      <w:r>
        <w:rPr>
          <w:rFonts w:cs="Arial" w:ascii="Arial" w:hAnsi="Arial"/>
        </w:rPr>
        <w:t>mesmo de forma agregada ou anonimizada</w:t>
      </w:r>
      <w:r>
        <w:rPr>
          <w:rFonts w:cs="Arial" w:ascii="Arial" w:hAnsi="Arial"/>
          <w:iCs/>
        </w:rPr>
        <w:t xml:space="preserve">, com exceção da prévia autorização por escrito da </w:t>
      </w:r>
      <w:r>
        <w:rPr>
          <w:rFonts w:cs="Arial" w:ascii="Arial" w:hAnsi="Arial"/>
          <w:bCs/>
          <w:iCs/>
        </w:rPr>
        <w:t>CONTRATANTE</w:t>
      </w:r>
      <w:r>
        <w:rPr>
          <w:rFonts w:cs="Arial" w:ascii="Arial" w:hAnsi="Arial"/>
          <w:iCs/>
        </w:rPr>
        <w:t>, quer direta ou indiretamente, seja mediante a distribuição de cópias, resumos, compilações, extratos, análises, estudos ou outros meios que contenham ou de outra forma reflitam referidas informações.</w:t>
      </w:r>
    </w:p>
    <w:p>
      <w:pPr>
        <w:pStyle w:val="Normal"/>
        <w:spacing w:lineRule="auto" w:line="240" w:before="0" w:after="0"/>
        <w:jc w:val="both"/>
        <w:rPr>
          <w:rFonts w:ascii="Arial" w:hAnsi="Arial" w:cs="Arial"/>
        </w:rPr>
      </w:pPr>
      <w:r>
        <w:rPr>
          <w:rFonts w:cs="Arial" w:ascii="Arial" w:hAnsi="Arial"/>
          <w:b/>
        </w:rPr>
        <w:t>5.</w:t>
      </w:r>
      <w:r>
        <w:rPr>
          <w:rFonts w:cs="Arial" w:ascii="Arial" w:hAnsi="Arial"/>
        </w:rPr>
        <w:t xml:space="preserve"> No caso de haver transferência internacional de dados pessoais pela CONTRATADA, aplicam-se as regras previstas no Decreto Municipal nº 000/202X, que regulamenta a </w:t>
      </w:r>
      <w:r>
        <w:rPr>
          <w:rFonts w:cs="Arial" w:ascii="Arial" w:hAnsi="Arial"/>
          <w:iCs/>
        </w:rPr>
        <w:t>Lei nº 13.709/2018 (LGPD)</w:t>
      </w:r>
      <w:r>
        <w:rPr>
          <w:rFonts w:cs="Arial" w:ascii="Arial" w:hAnsi="Arial"/>
        </w:rPr>
        <w:t xml:space="preserve">. </w:t>
      </w:r>
    </w:p>
    <w:p>
      <w:pPr>
        <w:pStyle w:val="Normal"/>
        <w:spacing w:lineRule="auto" w:line="240" w:before="0" w:after="0"/>
        <w:jc w:val="both"/>
        <w:rPr>
          <w:rFonts w:ascii="Arial" w:hAnsi="Arial" w:cs="Arial"/>
        </w:rPr>
      </w:pPr>
      <w:r>
        <w:rPr>
          <w:rFonts w:cs="Arial" w:ascii="Arial" w:hAnsi="Arial"/>
          <w:b/>
        </w:rPr>
        <w:t>6.</w:t>
      </w:r>
      <w:r>
        <w:rPr>
          <w:rFonts w:cs="Arial" w:ascii="Arial" w:hAnsi="Arial"/>
        </w:rPr>
        <w:t xml:space="preserve"> A CONTRATADA oferecerá garantias suficientes em relação às medidas de segurança </w:t>
      </w:r>
      <w:r>
        <w:rPr>
          <w:rFonts w:cs="Arial" w:ascii="Arial" w:hAnsi="Arial"/>
          <w:iCs/>
        </w:rPr>
        <w:t>administrativas</w:t>
      </w:r>
      <w:r>
        <w:rPr>
          <w:rFonts w:cs="Arial" w:ascii="Arial" w:hAnsi="Arial"/>
        </w:rPr>
        <w:t>, organizativas, técnicas</w:t>
      </w:r>
      <w:r>
        <w:rPr>
          <w:rFonts w:cs="Arial" w:ascii="Arial" w:hAnsi="Arial"/>
          <w:iCs/>
        </w:rPr>
        <w:t xml:space="preserve"> e físicas apropriadas para proteger a confidencialidade e integridade de todos os dados pessoais</w:t>
      </w:r>
      <w:r>
        <w:rPr>
          <w:rFonts w:cs="Arial" w:ascii="Arial" w:hAnsi="Arial"/>
        </w:rPr>
        <w:t xml:space="preserve"> e as especificará formalmente ao CONTRATANTE, não compartilhando dados que lhe sejam remetidos com terceiros.</w:t>
      </w:r>
    </w:p>
    <w:p>
      <w:pPr>
        <w:pStyle w:val="Normal"/>
        <w:spacing w:lineRule="auto" w:line="240" w:before="0" w:after="0"/>
        <w:jc w:val="both"/>
        <w:rPr>
          <w:rFonts w:ascii="Arial" w:hAnsi="Arial" w:cs="Arial"/>
        </w:rPr>
      </w:pPr>
      <w:r>
        <w:rPr>
          <w:rFonts w:cs="Arial" w:ascii="Arial" w:hAnsi="Arial"/>
          <w:b/>
        </w:rPr>
        <w:t>7.</w:t>
      </w:r>
      <w:r>
        <w:rPr>
          <w:rFonts w:cs="Arial" w:ascii="Arial" w:hAnsi="Arial"/>
        </w:rPr>
        <w:t xml:space="preserve"> A CONTRATADA deverá utilizar medidas com nível de segurança adequadas em relação aos riscos, para proteger os dados pessoais contra a destruição acidental ou ilícita, a perda acidental ou indevida, a alteração, a divulgação ou o acesso não autorizados, nomeadamente quando o tratamento implicar a sua transmissão </w:t>
      </w:r>
      <w:r>
        <w:rPr>
          <w:rFonts w:cs="Arial" w:ascii="Arial" w:hAnsi="Arial"/>
          <w:iCs/>
        </w:rPr>
        <w:t>eletrônica</w:t>
      </w:r>
      <w:r>
        <w:rPr>
          <w:rFonts w:cs="Arial" w:ascii="Arial" w:hAnsi="Arial"/>
        </w:rPr>
        <w:t>, e contra qualquer outra forma de tratamento ilícito, atendendo aos conhecimentos técnicos disponíveis e aos custos resultantes da sua aplicação.</w:t>
      </w:r>
    </w:p>
    <w:p>
      <w:pPr>
        <w:pStyle w:val="Normal"/>
        <w:spacing w:lineRule="auto" w:line="240" w:before="0" w:after="0"/>
        <w:jc w:val="both"/>
        <w:rPr>
          <w:rFonts w:ascii="Arial" w:hAnsi="Arial" w:cs="Arial"/>
        </w:rPr>
      </w:pPr>
      <w:r>
        <w:rPr>
          <w:rFonts w:cs="Arial" w:ascii="Arial" w:hAnsi="Arial"/>
          <w:b/>
        </w:rPr>
        <w:t>8.</w:t>
      </w:r>
      <w:r>
        <w:rPr>
          <w:rFonts w:cs="Arial" w:ascii="Arial" w:hAnsi="Arial"/>
        </w:rPr>
        <w:t xml:space="preserve"> As partes zelarão pelo cumprimento das medidas de segurança.</w:t>
      </w:r>
    </w:p>
    <w:p>
      <w:pPr>
        <w:pStyle w:val="Normal"/>
        <w:spacing w:lineRule="auto" w:line="240" w:before="0" w:after="0"/>
        <w:jc w:val="both"/>
        <w:rPr>
          <w:rFonts w:ascii="Arial" w:hAnsi="Arial" w:cs="Arial"/>
        </w:rPr>
      </w:pPr>
      <w:r>
        <w:rPr>
          <w:rFonts w:cs="Arial" w:ascii="Arial" w:hAnsi="Arial"/>
          <w:b/>
        </w:rPr>
        <w:t>9.</w:t>
      </w:r>
      <w:r>
        <w:rPr>
          <w:rFonts w:cs="Arial" w:ascii="Arial" w:hAnsi="Arial"/>
        </w:rPr>
        <w:t xml:space="preserve"> </w:t>
      </w:r>
      <w:r>
        <w:rPr>
          <w:rFonts w:cs="Arial" w:ascii="Arial" w:hAnsi="Arial"/>
          <w:iCs/>
        </w:rPr>
        <w:t xml:space="preserve">A </w:t>
      </w:r>
      <w:r>
        <w:rPr>
          <w:rFonts w:cs="Arial" w:ascii="Arial" w:hAnsi="Arial"/>
          <w:bCs/>
          <w:iCs/>
        </w:rPr>
        <w:t>CONTRATADA</w:t>
      </w:r>
      <w:r>
        <w:rPr>
          <w:rFonts w:cs="Arial" w:ascii="Arial" w:hAnsi="Arial"/>
          <w:iCs/>
        </w:rPr>
        <w:t xml:space="preserve"> deverá acessar os dados dentro de seu escopo e na medida abrangida por sua permissão de acesso (autorização). </w:t>
      </w:r>
      <w:r>
        <w:rPr>
          <w:rFonts w:cs="Arial" w:ascii="Arial" w:hAnsi="Arial"/>
        </w:rPr>
        <w:t>O eventual acesso às bases de dados que contenham ou possam conter dados pessoais ou segredos de negócio, implicará para a CONTRATADA e para seus prepostos – devida e formalmente instruídos nesse sentido – o mais absoluto dever de sigilo, por prazo indeterminado.</w:t>
      </w:r>
    </w:p>
    <w:p>
      <w:pPr>
        <w:pStyle w:val="Normal"/>
        <w:spacing w:lineRule="auto" w:line="240" w:before="0" w:after="0"/>
        <w:jc w:val="both"/>
        <w:rPr>
          <w:rFonts w:ascii="Arial" w:hAnsi="Arial" w:cs="Arial"/>
          <w:bCs/>
          <w:iCs/>
        </w:rPr>
      </w:pPr>
      <w:r>
        <w:rPr>
          <w:rFonts w:cs="Arial" w:ascii="Arial" w:hAnsi="Arial"/>
          <w:b/>
          <w:iCs/>
        </w:rPr>
        <w:t>10.</w:t>
      </w:r>
      <w:r>
        <w:rPr>
          <w:rFonts w:cs="Arial" w:ascii="Arial" w:hAnsi="Arial"/>
          <w:iCs/>
        </w:rPr>
        <w:t xml:space="preserve"> A </w:t>
      </w:r>
      <w:r>
        <w:rPr>
          <w:rFonts w:cs="Arial" w:ascii="Arial" w:hAnsi="Arial"/>
          <w:bCs/>
          <w:iCs/>
        </w:rPr>
        <w:t>CONTRATADA</w:t>
      </w:r>
      <w:r>
        <w:rPr>
          <w:rFonts w:cs="Arial" w:ascii="Arial" w:hAnsi="Arial"/>
          <w:iCs/>
        </w:rPr>
        <w:t xml:space="preserve">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w:t>
      </w:r>
      <w:r>
        <w:rPr>
          <w:rFonts w:cs="Arial" w:ascii="Arial" w:hAnsi="Arial"/>
          <w:bCs/>
          <w:iCs/>
        </w:rPr>
        <w:t>CONTRATANTE,</w:t>
      </w:r>
      <w:r>
        <w:rPr>
          <w:rFonts w:cs="Arial" w:ascii="Arial" w:hAnsi="Arial"/>
          <w:iCs/>
        </w:rPr>
        <w:t xml:space="preserve"> assinaram Acordo de Confidencialidade com a </w:t>
      </w:r>
      <w:r>
        <w:rPr>
          <w:rFonts w:cs="Arial" w:ascii="Arial" w:hAnsi="Arial"/>
          <w:bCs/>
          <w:iCs/>
        </w:rPr>
        <w:t>CONTRATADA.</w:t>
      </w:r>
    </w:p>
    <w:p>
      <w:pPr>
        <w:pStyle w:val="Normal"/>
        <w:spacing w:lineRule="auto" w:line="240" w:before="0" w:after="0"/>
        <w:jc w:val="both"/>
        <w:rPr>
          <w:rFonts w:ascii="Arial" w:hAnsi="Arial" w:cs="Arial"/>
        </w:rPr>
      </w:pPr>
      <w:r>
        <w:rPr>
          <w:rFonts w:cs="Arial" w:ascii="Arial" w:hAnsi="Arial"/>
          <w:b/>
          <w:iCs/>
        </w:rPr>
        <w:t>10.1.</w:t>
      </w:r>
      <w:r>
        <w:rPr>
          <w:rFonts w:cs="Arial" w:ascii="Arial" w:hAnsi="Arial"/>
          <w:iCs/>
        </w:rPr>
        <w:t xml:space="preserve"> Ainda a CONTRATADA treinará e orientará a sua equipe sobre as disposições legais aplicáveis em relação à proteção de dados, </w:t>
      </w:r>
      <w:r>
        <w:rPr>
          <w:rFonts w:cs="Arial" w:ascii="Arial" w:hAnsi="Arial"/>
        </w:rPr>
        <w:t>assim fornecendo conhecimento formal sobre as obrigações e condições acordadas neste contrato, inclusive no tocante à Política de Privacidade do CONTRATANTE.</w:t>
      </w:r>
    </w:p>
    <w:p>
      <w:pPr>
        <w:pStyle w:val="Normal"/>
        <w:spacing w:lineRule="auto" w:line="240" w:before="0" w:after="0"/>
        <w:jc w:val="both"/>
        <w:rPr>
          <w:rFonts w:ascii="Arial" w:hAnsi="Arial" w:cs="Arial"/>
        </w:rPr>
      </w:pPr>
      <w:r>
        <w:rPr>
          <w:rFonts w:cs="Arial" w:ascii="Arial" w:hAnsi="Arial"/>
          <w:b/>
        </w:rPr>
        <w:t>11.</w:t>
      </w:r>
      <w:r>
        <w:rPr>
          <w:rFonts w:cs="Arial" w:ascii="Arial" w:hAnsi="Arial"/>
        </w:rPr>
        <w:t xml:space="preserve"> As partes cooperarão entre si no cumprimento das obrigações referentes ao exercício dos direitos dos Titulares previstos na </w:t>
      </w:r>
      <w:r>
        <w:rPr>
          <w:rFonts w:cs="Arial" w:ascii="Arial" w:hAnsi="Arial"/>
          <w:iCs/>
        </w:rPr>
        <w:t>Lei nº 13.709/2018 (LGPD)</w:t>
      </w:r>
      <w:r>
        <w:rPr>
          <w:rFonts w:cs="Arial" w:ascii="Arial" w:hAnsi="Arial"/>
        </w:rPr>
        <w:t xml:space="preserve"> e nas Leis e Regulamentos de Proteção de Dados em vigor e também no atendimento de requisições e determinações do Poder Judiciário, Ministério Público, Tribunal de Contas e Órgãos de controle administrativo.</w:t>
      </w:r>
    </w:p>
    <w:p>
      <w:pPr>
        <w:pStyle w:val="Normal"/>
        <w:spacing w:lineRule="auto" w:line="240" w:before="0" w:after="0"/>
        <w:jc w:val="both"/>
        <w:rPr>
          <w:rFonts w:ascii="Arial" w:hAnsi="Arial" w:cs="Arial"/>
        </w:rPr>
      </w:pPr>
      <w:r>
        <w:rPr>
          <w:rFonts w:cs="Arial" w:ascii="Arial" w:hAnsi="Arial"/>
          <w:b/>
        </w:rPr>
        <w:t>12.</w:t>
      </w:r>
      <w:r>
        <w:rPr>
          <w:rFonts w:cs="Arial" w:ascii="Arial" w:hAnsi="Arial"/>
        </w:rPr>
        <w:t xml:space="preserve"> Uma parte deverá informar à outra, sempre que receber uma solicitação de um Titular de Dados, a respeito de dados pessoais da outra parte, abstendo-se de responder qualquer solicitação, exceto nas instruções documentadas ou conforme exigido pela </w:t>
      </w:r>
      <w:r>
        <w:rPr>
          <w:rFonts w:cs="Arial" w:ascii="Arial" w:hAnsi="Arial"/>
          <w:iCs/>
        </w:rPr>
        <w:t>Lei nº 13.709/2018 (LGPD)</w:t>
      </w:r>
      <w:r>
        <w:rPr>
          <w:rFonts w:cs="Arial" w:ascii="Arial" w:hAnsi="Arial"/>
        </w:rPr>
        <w:t xml:space="preserve"> e Leis e Regulamentos de Proteção de Dados em vigor.</w:t>
      </w:r>
    </w:p>
    <w:p>
      <w:pPr>
        <w:pStyle w:val="Normal"/>
        <w:spacing w:lineRule="auto" w:line="240" w:before="0" w:after="0"/>
        <w:jc w:val="both"/>
        <w:rPr>
          <w:rFonts w:ascii="Arial" w:hAnsi="Arial" w:cs="Arial"/>
        </w:rPr>
      </w:pPr>
      <w:r>
        <w:rPr>
          <w:rFonts w:cs="Arial" w:ascii="Arial" w:hAnsi="Arial"/>
          <w:b/>
        </w:rPr>
        <w:t>13.</w:t>
      </w:r>
      <w:r>
        <w:rPr>
          <w:rFonts w:cs="Arial" w:ascii="Arial" w:hAnsi="Arial"/>
        </w:rPr>
        <w:t xml:space="preserve"> 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w:t>
      </w:r>
      <w:r>
        <w:rPr>
          <w:rFonts w:cs="Arial" w:ascii="Arial" w:hAnsi="Arial"/>
          <w:iCs/>
        </w:rPr>
        <w:t>(ainda que suspeito)</w:t>
      </w:r>
      <w:r>
        <w:rPr>
          <w:rFonts w:cs="Arial" w:ascii="Arial" w:hAnsi="Arial"/>
        </w:rPr>
        <w:t>, q</w:t>
      </w:r>
      <w:r>
        <w:rPr>
          <w:rFonts w:cs="Arial" w:ascii="Arial" w:hAnsi="Arial"/>
          <w:iCs/>
        </w:rPr>
        <w:t xml:space="preserve">ualquer não cumprimento (ainda que suspeito) das disposições legais relativas à proteção de Dados Pessoais </w:t>
      </w:r>
      <w:r>
        <w:rPr>
          <w:rFonts w:cs="Arial" w:ascii="Arial" w:hAnsi="Arial"/>
        </w:rPr>
        <w:t xml:space="preserve">ou qualquer forma de tratamento inadequado ou ilícito, bem como adotar as providências dispostas no art. 48 da </w:t>
      </w:r>
      <w:r>
        <w:rPr>
          <w:rFonts w:cs="Arial" w:ascii="Arial" w:hAnsi="Arial"/>
          <w:iCs/>
        </w:rPr>
        <w:t>Lei nº 13.709/2018 (LGPD)</w:t>
      </w:r>
      <w:r>
        <w:rPr>
          <w:rFonts w:cs="Arial" w:ascii="Arial" w:hAnsi="Arial"/>
        </w:rPr>
        <w:t>, devendo a parte responsável, em até 10 (dez) dias corridos, tomar as medidas necessárias.</w:t>
      </w:r>
    </w:p>
    <w:p>
      <w:pPr>
        <w:pStyle w:val="Normal"/>
        <w:spacing w:lineRule="auto" w:line="240" w:before="0" w:after="0"/>
        <w:jc w:val="both"/>
        <w:rPr>
          <w:rFonts w:ascii="Arial" w:hAnsi="Arial" w:cs="Arial"/>
        </w:rPr>
      </w:pPr>
      <w:r>
        <w:rPr>
          <w:rFonts w:cs="Arial" w:ascii="Arial" w:hAnsi="Arial"/>
          <w:b/>
        </w:rPr>
        <w:t>14.</w:t>
      </w:r>
      <w:r>
        <w:rPr>
          <w:rFonts w:cs="Arial" w:ascii="Arial" w:hAnsi="Arial"/>
        </w:rPr>
        <w:t xml:space="preserve"> A critério do Encarregado de Dados do CONTRATANTE, a CONTRATADA poderá ser provocada a colaborar na elaboração do relatório de impacto à proteção de dados pessoais (RIPD), conforme a sensibilidade e o risco inerente dos serviços objeto deste contrato, no tocante a dados pessoais.</w:t>
      </w:r>
    </w:p>
    <w:p>
      <w:pPr>
        <w:pStyle w:val="Normal"/>
        <w:spacing w:lineRule="auto" w:line="240" w:before="0" w:after="0"/>
        <w:jc w:val="both"/>
        <w:rPr>
          <w:rFonts w:ascii="Arial" w:hAnsi="Arial" w:cs="Arial"/>
        </w:rPr>
      </w:pPr>
      <w:r>
        <w:rPr>
          <w:rFonts w:cs="Arial" w:ascii="Arial" w:hAnsi="Arial"/>
          <w:b/>
        </w:rPr>
        <w:t>15.</w:t>
      </w:r>
      <w:r>
        <w:rPr>
          <w:rFonts w:cs="Arial" w:ascii="Arial" w:hAnsi="Arial"/>
        </w:rPr>
        <w:t xml:space="preserve"> Encerrada a vigência do contrato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w:t>
      </w:r>
      <w:r>
        <w:rPr>
          <w:rFonts w:cs="Arial" w:ascii="Arial" w:hAnsi="Arial"/>
          <w:iCs/>
        </w:rPr>
        <w:t>Lei nº 13.709/2018 (LGPD)</w:t>
      </w:r>
      <w:r>
        <w:rPr>
          <w:rFonts w:cs="Arial" w:ascii="Arial" w:hAnsi="Arial"/>
        </w:rPr>
        <w:t>.</w:t>
      </w:r>
    </w:p>
    <w:p>
      <w:pPr>
        <w:pStyle w:val="Normal"/>
        <w:spacing w:lineRule="auto" w:line="240" w:before="0" w:after="0"/>
        <w:jc w:val="both"/>
        <w:rPr>
          <w:rFonts w:ascii="Arial" w:hAnsi="Arial" w:cs="Arial"/>
        </w:rPr>
      </w:pPr>
      <w:r>
        <w:rPr>
          <w:rFonts w:cs="Arial" w:ascii="Arial" w:hAnsi="Arial"/>
          <w:b/>
        </w:rPr>
        <w:t>15.1.</w:t>
      </w:r>
      <w:r>
        <w:rPr>
          <w:rFonts w:cs="Arial" w:ascii="Arial" w:hAnsi="Arial"/>
        </w:rPr>
        <w:t xml:space="preserve"> Ainda que encerrada vigência deste instrumento, os deveres previstos nas presentes cláusulas devem ser observados pelas partes, por prazo indeterminado, sob pena de responsabilização.</w:t>
      </w:r>
    </w:p>
    <w:p>
      <w:pPr>
        <w:pStyle w:val="Normal"/>
        <w:spacing w:lineRule="auto" w:line="240" w:before="0" w:after="0"/>
        <w:jc w:val="both"/>
        <w:rPr>
          <w:rFonts w:ascii="Arial" w:hAnsi="Arial" w:cs="Arial"/>
        </w:rPr>
      </w:pPr>
      <w:r>
        <w:rPr>
          <w:rFonts w:cs="Arial" w:ascii="Arial" w:hAnsi="Arial"/>
          <w:b/>
        </w:rPr>
        <w:t>16.</w:t>
      </w:r>
      <w:r>
        <w:rPr>
          <w:rFonts w:cs="Arial" w:ascii="Arial" w:hAnsi="Arial"/>
        </w:rPr>
        <w:t xml:space="preserve"> Eventuais responsabilidades das partes, serão apuradas conforme estabelecido neste contrato e também de acordo com o que dispõe a Seção III, Capítulo VI da </w:t>
      </w:r>
      <w:r>
        <w:rPr>
          <w:rFonts w:cs="Arial" w:ascii="Arial" w:hAnsi="Arial"/>
          <w:iCs/>
        </w:rPr>
        <w:t>Lei nº 13.709/2018 *LGPD)</w:t>
      </w:r>
      <w:r>
        <w:rPr>
          <w:rFonts w:cs="Arial" w:ascii="Arial" w:hAnsi="Arial"/>
        </w:rPr>
        <w:t>.</w:t>
      </w:r>
    </w:p>
    <w:p>
      <w:pPr>
        <w:pStyle w:val="Normal"/>
        <w:spacing w:lineRule="auto" w:line="240" w:before="0" w:after="0"/>
        <w:jc w:val="both"/>
        <w:rPr>
          <w:rFonts w:ascii="Arial" w:hAnsi="Arial" w:cs="Arial"/>
          <w:iCs/>
        </w:rPr>
      </w:pPr>
      <w:r>
        <w:rPr>
          <w:rFonts w:cs="Arial" w:ascii="Arial" w:hAnsi="Arial"/>
          <w:b/>
          <w:iCs/>
        </w:rPr>
        <w:t>16.1.</w:t>
      </w:r>
      <w:r>
        <w:rPr>
          <w:rFonts w:cs="Arial" w:ascii="Arial" w:hAnsi="Arial"/>
          <w:iCs/>
        </w:rPr>
        <w:t xml:space="preserve"> A </w:t>
      </w:r>
      <w:r>
        <w:rPr>
          <w:rFonts w:cs="Arial" w:ascii="Arial" w:hAnsi="Arial"/>
          <w:bCs/>
          <w:iCs/>
        </w:rPr>
        <w:t xml:space="preserve">CONTRATADA </w:t>
      </w:r>
      <w:r>
        <w:rPr>
          <w:rFonts w:cs="Arial" w:ascii="Arial" w:hAnsi="Arial"/>
          <w:iCs/>
        </w:rPr>
        <w:t xml:space="preserve">será integralmente responsável pelo pagamento de perdas e danos de ordem moral e material, bem como pelo ressarcimento do pagamento de qualquer multa ou penalidade imposta à </w:t>
      </w:r>
      <w:r>
        <w:rPr>
          <w:rFonts w:cs="Arial" w:ascii="Arial" w:hAnsi="Arial"/>
          <w:bCs/>
          <w:iCs/>
        </w:rPr>
        <w:t>CONTRATANTE</w:t>
      </w:r>
      <w:r>
        <w:rPr>
          <w:rFonts w:cs="Arial" w:ascii="Arial" w:hAnsi="Arial"/>
          <w:iCs/>
        </w:rPr>
        <w:t xml:space="preserve"> e/ou a terceiros diretamente resultantes do descumprimento pela </w:t>
      </w:r>
      <w:r>
        <w:rPr>
          <w:rFonts w:cs="Arial" w:ascii="Arial" w:hAnsi="Arial"/>
          <w:bCs/>
          <w:iCs/>
        </w:rPr>
        <w:t xml:space="preserve">CONTRATADA </w:t>
      </w:r>
      <w:r>
        <w:rPr>
          <w:rFonts w:cs="Arial" w:ascii="Arial" w:hAnsi="Arial"/>
          <w:iCs/>
        </w:rPr>
        <w:t>de qualquer das cláusulas previstas neste capítulo quanto a proteção e uso dos dados pessoais.</w:t>
      </w:r>
    </w:p>
    <w:p>
      <w:pPr>
        <w:pStyle w:val="Normal"/>
        <w:shd w:val="clear" w:color="auto" w:fill="E7E6E6" w:themeFill="background2"/>
        <w:spacing w:lineRule="auto" w:line="240" w:before="0" w:after="0"/>
        <w:jc w:val="both"/>
        <w:rPr>
          <w:rFonts w:ascii="Arial" w:hAnsi="Arial" w:cs="Arial"/>
          <w:b/>
          <w:b/>
        </w:rPr>
      </w:pPr>
      <w:r>
        <w:rPr>
          <w:rFonts w:cs="Arial" w:ascii="Arial" w:hAnsi="Arial"/>
          <w:b/>
        </w:rPr>
        <w:t>CLÁUSULA DÉCIMA SÉTIMA: PUBLICAÇÃO</w:t>
      </w:r>
    </w:p>
    <w:p>
      <w:pPr>
        <w:pStyle w:val="Normal"/>
        <w:spacing w:lineRule="auto" w:line="240" w:before="0" w:after="0"/>
        <w:jc w:val="both"/>
        <w:rPr>
          <w:rFonts w:ascii="Arial" w:hAnsi="Arial" w:cs="Arial"/>
        </w:rPr>
      </w:pPr>
      <w:r>
        <w:rPr>
          <w:rFonts w:cs="Arial" w:ascii="Arial" w:hAnsi="Arial"/>
          <w:b/>
        </w:rPr>
        <w:t>1.</w:t>
      </w:r>
      <w:r>
        <w:rPr>
          <w:rFonts w:cs="Arial" w:ascii="Arial" w:hAnsi="Arial"/>
        </w:rPr>
        <w:t xml:space="preserve"> Este contrato será publicado no prazo máximo de 20 (vinte) dias úteis a contar da assinatura das partes.</w:t>
      </w:r>
    </w:p>
    <w:p>
      <w:pPr>
        <w:pStyle w:val="Normal"/>
        <w:spacing w:lineRule="auto" w:line="240" w:before="0" w:after="0"/>
        <w:jc w:val="both"/>
        <w:rPr>
          <w:rFonts w:ascii="Arial" w:hAnsi="Arial" w:cs="Arial"/>
        </w:rPr>
      </w:pPr>
      <w:r>
        <w:rPr>
          <w:rFonts w:cs="Arial" w:ascii="Arial" w:hAnsi="Arial"/>
          <w:b/>
        </w:rPr>
        <w:t>2.</w:t>
      </w:r>
      <w:r>
        <w:rPr>
          <w:rFonts w:cs="Arial" w:ascii="Arial" w:hAnsi="Arial"/>
        </w:rPr>
        <w:t xml:space="preserve"> Para fins de garantir a ampla publicidade, este contrato e/ou seu extrato será divulgado:</w:t>
      </w:r>
    </w:p>
    <w:p>
      <w:pPr>
        <w:pStyle w:val="ListParagraph"/>
        <w:numPr>
          <w:ilvl w:val="0"/>
          <w:numId w:val="42"/>
        </w:numPr>
        <w:tabs>
          <w:tab w:val="clear" w:pos="708"/>
          <w:tab w:val="left" w:pos="567" w:leader="none"/>
        </w:tabs>
        <w:spacing w:lineRule="auto" w:line="240" w:before="0" w:after="0"/>
        <w:ind w:left="0" w:hanging="0"/>
        <w:contextualSpacing/>
        <w:jc w:val="both"/>
        <w:rPr>
          <w:rFonts w:ascii="Arial" w:hAnsi="Arial" w:cs="Arial"/>
          <w:color w:val="000000"/>
        </w:rPr>
      </w:pPr>
      <w:r>
        <w:rPr>
          <w:rFonts w:cs="Arial" w:ascii="Arial" w:hAnsi="Arial"/>
          <w:color w:val="000000"/>
        </w:rPr>
        <w:t>Portal Nacional de Contratações Públicas – PNCP, a partir da adoção pelo Município;</w:t>
      </w:r>
    </w:p>
    <w:p>
      <w:pPr>
        <w:pStyle w:val="ListParagraph"/>
        <w:numPr>
          <w:ilvl w:val="0"/>
          <w:numId w:val="42"/>
        </w:numPr>
        <w:tabs>
          <w:tab w:val="clear" w:pos="708"/>
          <w:tab w:val="left" w:pos="567" w:leader="none"/>
        </w:tabs>
        <w:spacing w:lineRule="auto" w:line="240" w:before="0" w:after="0"/>
        <w:ind w:left="0" w:hanging="0"/>
        <w:contextualSpacing/>
        <w:jc w:val="both"/>
        <w:rPr>
          <w:rFonts w:ascii="Arial" w:hAnsi="Arial" w:cs="Arial"/>
          <w:color w:val="000000"/>
        </w:rPr>
      </w:pPr>
      <w:r>
        <w:rPr>
          <w:rFonts w:cs="Arial" w:ascii="Arial" w:hAnsi="Arial"/>
          <w:color w:val="000000"/>
        </w:rPr>
        <w:t xml:space="preserve">Página do Município de </w:t>
      </w:r>
      <w:r>
        <w:rPr>
          <w:rFonts w:eastAsia="Calibri" w:cs="Arial" w:ascii="Arial" w:hAnsi="Arial"/>
          <w:color w:val="000000"/>
        </w:rPr>
        <w:t>Itá-SC</w:t>
      </w:r>
      <w:r>
        <w:rPr>
          <w:rFonts w:cs="Arial" w:ascii="Arial" w:hAnsi="Arial"/>
          <w:color w:val="000000"/>
        </w:rPr>
        <w:t xml:space="preserve"> (</w:t>
      </w:r>
      <w:r>
        <w:rPr>
          <w:rFonts w:eastAsia="Calibri" w:cs="Arial" w:ascii="Arial" w:hAnsi="Arial"/>
          <w:color w:val="000000"/>
        </w:rPr>
        <w:t>ita.atende.net</w:t>
      </w:r>
      <w:r>
        <w:rPr>
          <w:rFonts w:cs="Arial" w:ascii="Arial" w:hAnsi="Arial"/>
          <w:color w:val="000000"/>
        </w:rPr>
        <w:t>);</w:t>
      </w:r>
    </w:p>
    <w:p>
      <w:pPr>
        <w:pStyle w:val="ListParagraph"/>
        <w:numPr>
          <w:ilvl w:val="0"/>
          <w:numId w:val="42"/>
        </w:numPr>
        <w:tabs>
          <w:tab w:val="clear" w:pos="708"/>
          <w:tab w:val="left" w:pos="567" w:leader="none"/>
        </w:tabs>
        <w:spacing w:lineRule="auto" w:line="240" w:before="0" w:after="0"/>
        <w:ind w:left="0" w:hanging="0"/>
        <w:contextualSpacing/>
        <w:jc w:val="both"/>
        <w:rPr>
          <w:rFonts w:ascii="Arial" w:hAnsi="Arial" w:cs="Arial"/>
        </w:rPr>
      </w:pPr>
      <w:r>
        <w:rPr>
          <w:rFonts w:cs="Arial" w:ascii="Arial" w:hAnsi="Arial"/>
        </w:rPr>
        <w:t>Diário Oficial dos Municípios – DOM;</w:t>
      </w:r>
    </w:p>
    <w:p>
      <w:pPr>
        <w:pStyle w:val="ListParagraph"/>
        <w:numPr>
          <w:ilvl w:val="0"/>
          <w:numId w:val="0"/>
        </w:numPr>
        <w:tabs>
          <w:tab w:val="clear" w:pos="708"/>
          <w:tab w:val="left" w:pos="567" w:leader="none"/>
        </w:tabs>
        <w:spacing w:lineRule="auto" w:line="240" w:before="0" w:after="0"/>
        <w:ind w:left="720" w:hanging="0"/>
        <w:contextualSpacing/>
        <w:jc w:val="both"/>
        <w:rPr>
          <w:rFonts w:ascii="Arial" w:hAnsi="Arial" w:cs="Arial"/>
        </w:rPr>
      </w:pPr>
      <w:r>
        <w:rPr/>
      </w:r>
    </w:p>
    <w:p>
      <w:pPr>
        <w:pStyle w:val="Normal"/>
        <w:spacing w:lineRule="auto" w:line="240" w:before="0" w:after="0"/>
        <w:jc w:val="center"/>
        <w:rPr>
          <w:rFonts w:ascii="Arial" w:hAnsi="Arial" w:cs="Arial"/>
        </w:rPr>
      </w:pPr>
      <w:r>
        <w:rPr>
          <w:rFonts w:cs="Arial" w:ascii="Arial" w:hAnsi="Arial"/>
        </w:rPr>
        <w:t>(LOCAL), (DATA).</w:t>
      </w:r>
    </w:p>
    <w:tbl>
      <w:tblPr>
        <w:tblStyle w:val="TabeladeGradeClara"/>
        <w:tblW w:w="8494"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4247"/>
        <w:gridCol w:w="4246"/>
      </w:tblGrid>
      <w:tr>
        <w:trPr/>
        <w:tc>
          <w:tcPr>
            <w:tcW w:w="4247" w:type="dxa"/>
            <w:tcBorders/>
          </w:tcPr>
          <w:p>
            <w:pPr>
              <w:pStyle w:val="Normal"/>
              <w:widowControl w:val="false"/>
              <w:suppressAutoHyphens w:val="true"/>
              <w:spacing w:lineRule="auto" w:line="240" w:before="0" w:after="0"/>
              <w:jc w:val="center"/>
              <w:rPr>
                <w:rFonts w:ascii="Arial" w:hAnsi="Arial" w:cs="Arial"/>
              </w:rPr>
            </w:pPr>
            <w:r>
              <w:rPr>
                <w:rFonts w:eastAsia="Calibri" w:cs="Arial" w:ascii="Arial" w:hAnsi="Arial"/>
                <w:kern w:val="0"/>
                <w:sz w:val="22"/>
                <w:szCs w:val="22"/>
                <w:lang w:val="pt-BR" w:eastAsia="en-US" w:bidi="ar-SA"/>
              </w:rPr>
              <w:t>_________________________________</w:t>
            </w:r>
          </w:p>
          <w:p>
            <w:pPr>
              <w:pStyle w:val="Normal"/>
              <w:widowControl w:val="false"/>
              <w:suppressAutoHyphens w:val="true"/>
              <w:spacing w:lineRule="auto" w:line="240" w:before="0" w:after="0"/>
              <w:jc w:val="center"/>
              <w:rPr>
                <w:rFonts w:ascii="Arial" w:hAnsi="Arial" w:cs="Arial"/>
              </w:rPr>
            </w:pPr>
            <w:r>
              <w:rPr>
                <w:rFonts w:eastAsia="Calibri" w:cs="Arial" w:ascii="Arial" w:hAnsi="Arial"/>
                <w:kern w:val="0"/>
                <w:sz w:val="22"/>
                <w:szCs w:val="22"/>
                <w:lang w:val="pt-BR" w:eastAsia="en-US" w:bidi="ar-SA"/>
              </w:rPr>
              <w:t>Prefeito do Município de Itá-SC</w:t>
            </w:r>
          </w:p>
          <w:p>
            <w:pPr>
              <w:pStyle w:val="Normal"/>
              <w:widowControl w:val="false"/>
              <w:suppressAutoHyphens w:val="true"/>
              <w:spacing w:lineRule="auto" w:line="240" w:before="0" w:after="0"/>
              <w:jc w:val="center"/>
              <w:rPr>
                <w:rFonts w:ascii="Arial" w:hAnsi="Arial" w:cs="Arial"/>
              </w:rPr>
            </w:pPr>
            <w:r>
              <w:rPr>
                <w:rFonts w:eastAsia="Calibri" w:cs="Arial" w:ascii="Arial" w:hAnsi="Arial"/>
                <w:kern w:val="0"/>
                <w:sz w:val="22"/>
                <w:szCs w:val="22"/>
                <w:lang w:val="pt-BR" w:eastAsia="en-US" w:bidi="ar-SA"/>
              </w:rPr>
              <w:t>CONTRATANTE</w:t>
            </w:r>
          </w:p>
        </w:tc>
        <w:tc>
          <w:tcPr>
            <w:tcW w:w="4246" w:type="dxa"/>
            <w:tcBorders/>
          </w:tcPr>
          <w:p>
            <w:pPr>
              <w:pStyle w:val="Normal"/>
              <w:widowControl w:val="false"/>
              <w:suppressAutoHyphens w:val="true"/>
              <w:spacing w:lineRule="auto" w:line="240" w:before="0" w:after="0"/>
              <w:jc w:val="center"/>
              <w:rPr>
                <w:rFonts w:ascii="Arial" w:hAnsi="Arial" w:cs="Arial"/>
              </w:rPr>
            </w:pPr>
            <w:r>
              <w:rPr>
                <w:rFonts w:eastAsia="Calibri" w:cs="Arial" w:ascii="Arial" w:hAnsi="Arial"/>
                <w:kern w:val="0"/>
                <w:sz w:val="22"/>
                <w:szCs w:val="22"/>
                <w:lang w:val="pt-BR" w:eastAsia="en-US" w:bidi="ar-SA"/>
              </w:rPr>
              <w:t>_________________________________</w:t>
            </w:r>
          </w:p>
          <w:p>
            <w:pPr>
              <w:pStyle w:val="Normal"/>
              <w:widowControl w:val="false"/>
              <w:suppressAutoHyphens w:val="true"/>
              <w:spacing w:lineRule="auto" w:line="240" w:before="0" w:after="0"/>
              <w:jc w:val="center"/>
              <w:rPr>
                <w:rFonts w:ascii="Arial" w:hAnsi="Arial" w:cs="Arial"/>
              </w:rPr>
            </w:pPr>
            <w:r>
              <w:rPr>
                <w:rFonts w:eastAsia="Calibri" w:cs="Arial" w:ascii="Arial" w:hAnsi="Arial"/>
                <w:kern w:val="0"/>
                <w:sz w:val="22"/>
                <w:szCs w:val="22"/>
                <w:lang w:val="pt-BR" w:eastAsia="en-US" w:bidi="ar-SA"/>
              </w:rPr>
              <w:t>XXX – Empresa XXX</w:t>
            </w:r>
          </w:p>
          <w:p>
            <w:pPr>
              <w:pStyle w:val="Normal"/>
              <w:widowControl w:val="false"/>
              <w:suppressAutoHyphens w:val="true"/>
              <w:spacing w:lineRule="auto" w:line="240" w:before="0" w:after="0"/>
              <w:jc w:val="center"/>
              <w:rPr>
                <w:rFonts w:ascii="Arial" w:hAnsi="Arial" w:cs="Arial"/>
              </w:rPr>
            </w:pPr>
            <w:r>
              <w:rPr>
                <w:rFonts w:eastAsia="Calibri" w:cs="Arial" w:ascii="Arial" w:hAnsi="Arial"/>
                <w:kern w:val="0"/>
                <w:sz w:val="22"/>
                <w:szCs w:val="22"/>
                <w:lang w:val="pt-BR" w:eastAsia="en-US" w:bidi="ar-SA"/>
              </w:rPr>
              <w:t>CONTRATADO</w:t>
            </w:r>
          </w:p>
        </w:tc>
      </w:tr>
      <w:tr>
        <w:trPr/>
        <w:tc>
          <w:tcPr>
            <w:tcW w:w="4247" w:type="dxa"/>
            <w:tcBorders/>
          </w:tcPr>
          <w:p>
            <w:pPr>
              <w:pStyle w:val="Normal"/>
              <w:widowControl w:val="false"/>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1ª Testemunha</w:t>
            </w:r>
          </w:p>
          <w:p>
            <w:pPr>
              <w:pStyle w:val="Normal"/>
              <w:widowControl w:val="false"/>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Nome:</w:t>
            </w:r>
          </w:p>
        </w:tc>
        <w:tc>
          <w:tcPr>
            <w:tcW w:w="4246" w:type="dxa"/>
            <w:tcBorders/>
          </w:tcPr>
          <w:p>
            <w:pPr>
              <w:pStyle w:val="Normal"/>
              <w:widowControl w:val="false"/>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2ª Testemunha</w:t>
            </w:r>
          </w:p>
          <w:p>
            <w:pPr>
              <w:pStyle w:val="Normal"/>
              <w:widowControl w:val="false"/>
              <w:suppressAutoHyphens w:val="true"/>
              <w:spacing w:lineRule="auto" w:line="240" w:before="0" w:after="0"/>
              <w:jc w:val="both"/>
              <w:rPr>
                <w:rFonts w:ascii="Arial" w:hAnsi="Arial" w:cs="Arial"/>
              </w:rPr>
            </w:pPr>
            <w:r>
              <w:rPr>
                <w:rFonts w:eastAsia="Calibri" w:cs="Arial" w:ascii="Arial" w:hAnsi="Arial"/>
                <w:kern w:val="0"/>
                <w:sz w:val="22"/>
                <w:szCs w:val="22"/>
                <w:lang w:val="pt-BR" w:eastAsia="en-US" w:bidi="ar-SA"/>
              </w:rPr>
              <w:t>Nome:</w:t>
            </w:r>
          </w:p>
        </w:tc>
      </w:tr>
    </w:tbl>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
    </w:p>
    <w:sectPr>
      <w:headerReference w:type="default" r:id="rId25"/>
      <w:footerReference w:type="default" r:id="rId26"/>
      <w:footnotePr>
        <w:numFmt w:val="decimal"/>
      </w:footnotePr>
      <w:type w:val="nextPage"/>
      <w:pgSz w:w="11906" w:h="16838"/>
      <w:pgMar w:left="1701" w:right="1701" w:header="708" w:top="1417" w:footer="708" w:bottom="1417" w:gutter="0"/>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498254063"/>
    </w:sdtPr>
    <w:sdtContent>
      <w:p>
        <w:pPr>
          <w:pStyle w:val="Rodap"/>
          <w:jc w:val="both"/>
          <w:rPr>
            <w:shd w:fill="auto" w:val="clear"/>
          </w:rPr>
        </w:pPr>
        <w:r>
          <w:rPr>
            <w:rFonts w:cs="Arial" w:ascii="Arial" w:hAnsi="Arial"/>
            <w:sz w:val="16"/>
            <w:szCs w:val="16"/>
            <w:shd w:fill="auto" w:val="clear"/>
          </w:rPr>
          <w:t xml:space="preserve">Pregão Eletrônico nº </w:t>
        </w:r>
        <w:r>
          <w:rPr>
            <w:rFonts w:eastAsia="Calibri" w:cs="Arial" w:ascii="Arial" w:hAnsi="Arial"/>
            <w:color w:val="000000"/>
            <w:kern w:val="0"/>
            <w:sz w:val="16"/>
            <w:szCs w:val="16"/>
            <w:shd w:fill="auto" w:val="clear"/>
            <w:lang w:val="pt-BR" w:eastAsia="en-US" w:bidi="ar-SA"/>
          </w:rPr>
          <w:t>04</w:t>
        </w:r>
        <w:r>
          <w:rPr>
            <w:rFonts w:eastAsia="Calibri" w:cs="Arial" w:ascii="Arial" w:hAnsi="Arial"/>
            <w:color w:val="000000"/>
            <w:kern w:val="0"/>
            <w:sz w:val="16"/>
            <w:szCs w:val="16"/>
            <w:shd w:fill="auto" w:val="clear"/>
            <w:lang w:val="pt-BR" w:eastAsia="en-US" w:bidi="ar-SA"/>
          </w:rPr>
          <w:t>2</w:t>
        </w:r>
        <w:r>
          <w:rPr>
            <w:rFonts w:eastAsia="Calibri" w:cs="Arial" w:ascii="Arial" w:hAnsi="Arial"/>
            <w:color w:val="000000"/>
            <w:sz w:val="16"/>
            <w:szCs w:val="16"/>
            <w:shd w:fill="auto" w:val="clear"/>
          </w:rPr>
          <w:t>/2023</w:t>
        </w:r>
        <w:r>
          <w:rPr>
            <w:rFonts w:cs="Arial" w:ascii="Arial" w:hAnsi="Arial"/>
            <w:sz w:val="16"/>
            <w:szCs w:val="16"/>
            <w:shd w:fill="auto" w:val="clear"/>
          </w:rPr>
          <w:t xml:space="preserve"> </w:t>
          <w:tab/>
          <w:t xml:space="preserve">Página </w:t>
        </w:r>
        <w:r>
          <w:rPr>
            <w:rFonts w:cs="Arial" w:ascii="Arial" w:hAnsi="Arial"/>
            <w:b/>
            <w:bCs/>
            <w:sz w:val="16"/>
            <w:szCs w:val="16"/>
            <w:shd w:fill="auto" w:val="clear"/>
          </w:rPr>
          <w:fldChar w:fldCharType="begin"/>
        </w:r>
        <w:r>
          <w:rPr>
            <w:sz w:val="16"/>
            <w:b/>
            <w:shd w:fill="auto" w:val="clear"/>
            <w:szCs w:val="16"/>
            <w:bCs/>
            <w:rFonts w:cs="Arial" w:ascii="Arial" w:hAnsi="Arial"/>
          </w:rPr>
          <w:instrText> PAGE </w:instrText>
        </w:r>
        <w:r>
          <w:rPr>
            <w:sz w:val="16"/>
            <w:b/>
            <w:shd w:fill="auto" w:val="clear"/>
            <w:szCs w:val="16"/>
            <w:bCs/>
            <w:rFonts w:cs="Arial" w:ascii="Arial" w:hAnsi="Arial"/>
          </w:rPr>
          <w:fldChar w:fldCharType="separate"/>
        </w:r>
        <w:r>
          <w:rPr>
            <w:sz w:val="16"/>
            <w:b/>
            <w:shd w:fill="auto" w:val="clear"/>
            <w:szCs w:val="16"/>
            <w:bCs/>
            <w:rFonts w:cs="Arial" w:ascii="Arial" w:hAnsi="Arial"/>
          </w:rPr>
          <w:t>29</w:t>
        </w:r>
        <w:r>
          <w:rPr>
            <w:sz w:val="16"/>
            <w:b/>
            <w:shd w:fill="auto" w:val="clear"/>
            <w:szCs w:val="16"/>
            <w:bCs/>
            <w:rFonts w:cs="Arial" w:ascii="Arial" w:hAnsi="Arial"/>
          </w:rPr>
          <w:fldChar w:fldCharType="end"/>
        </w:r>
        <w:r>
          <w:rPr>
            <w:rFonts w:cs="Arial" w:ascii="Arial" w:hAnsi="Arial"/>
            <w:sz w:val="16"/>
            <w:szCs w:val="16"/>
            <w:shd w:fill="auto" w:val="clear"/>
          </w:rPr>
          <w:t xml:space="preserve"> de </w:t>
        </w:r>
        <w:r>
          <w:rPr>
            <w:rFonts w:cs="Arial" w:ascii="Arial" w:hAnsi="Arial"/>
            <w:b/>
            <w:bCs/>
            <w:sz w:val="16"/>
            <w:szCs w:val="16"/>
            <w:shd w:fill="auto" w:val="clear"/>
          </w:rPr>
          <w:fldChar w:fldCharType="begin"/>
        </w:r>
        <w:r>
          <w:rPr>
            <w:sz w:val="16"/>
            <w:b/>
            <w:shd w:fill="auto" w:val="clear"/>
            <w:szCs w:val="16"/>
            <w:bCs/>
            <w:rFonts w:cs="Arial" w:ascii="Arial" w:hAnsi="Arial"/>
          </w:rPr>
          <w:instrText> NUMPAGES </w:instrText>
        </w:r>
        <w:r>
          <w:rPr>
            <w:sz w:val="16"/>
            <w:b/>
            <w:shd w:fill="auto" w:val="clear"/>
            <w:szCs w:val="16"/>
            <w:bCs/>
            <w:rFonts w:cs="Arial" w:ascii="Arial" w:hAnsi="Arial"/>
          </w:rPr>
          <w:fldChar w:fldCharType="separate"/>
        </w:r>
        <w:r>
          <w:rPr>
            <w:sz w:val="16"/>
            <w:b/>
            <w:shd w:fill="auto" w:val="clear"/>
            <w:szCs w:val="16"/>
            <w:bCs/>
            <w:rFonts w:cs="Arial" w:ascii="Arial" w:hAnsi="Arial"/>
          </w:rPr>
          <w:t>58</w:t>
        </w:r>
        <w:r>
          <w:rPr>
            <w:sz w:val="16"/>
            <w:b/>
            <w:shd w:fill="auto" w:val="clear"/>
            <w:szCs w:val="16"/>
            <w:bCs/>
            <w:rFonts w:cs="Arial" w:ascii="Arial" w:hAnsi="Arial"/>
          </w:rPr>
          <w:fldChar w:fldCharType="end"/>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derodap"/>
        <w:rPr>
          <w:sz w:val="16"/>
          <w:szCs w:val="16"/>
        </w:rPr>
      </w:pPr>
      <w:r>
        <w:rPr>
          <w:rStyle w:val="Caracteresdenotaderodap"/>
        </w:rPr>
        <w:footnoteRef/>
      </w:r>
      <w:r>
        <w:rPr>
          <w:sz w:val="16"/>
          <w:szCs w:val="16"/>
        </w:rPr>
        <w:t xml:space="preserve"> </w:t>
      </w:r>
      <w:r>
        <w:rPr>
          <w:b/>
          <w:bCs/>
          <w:sz w:val="16"/>
          <w:szCs w:val="16"/>
        </w:rPr>
        <w:t>Violação de sigilo em licitação</w:t>
      </w:r>
    </w:p>
    <w:p>
      <w:pPr>
        <w:pStyle w:val="Notaderodap"/>
        <w:rPr>
          <w:sz w:val="16"/>
          <w:szCs w:val="16"/>
        </w:rPr>
      </w:pPr>
      <w:r>
        <w:fldChar w:fldCharType="begin"/>
      </w:r>
      <w:r>
        <w:rPr>
          <w:rStyle w:val="LinkdaInternet"/>
          <w:sz w:val="16"/>
          <w:szCs w:val="16"/>
        </w:rPr>
        <w:instrText> HYPERLINK "http://www.planalto.gov.br/ccivil_03/Decreto-Lei/Del2848.htm" \l "art337j"</w:instrText>
      </w:r>
      <w:r>
        <w:rPr>
          <w:rStyle w:val="LinkdaInternet"/>
          <w:sz w:val="16"/>
          <w:szCs w:val="16"/>
        </w:rPr>
        <w:fldChar w:fldCharType="separate"/>
      </w:r>
      <w:r>
        <w:rPr>
          <w:rStyle w:val="LinkdaInternet"/>
          <w:sz w:val="16"/>
          <w:szCs w:val="16"/>
        </w:rPr>
        <w:t>Art. 337-J</w:t>
      </w:r>
      <w:r>
        <w:rPr>
          <w:rStyle w:val="LinkdaInternet"/>
          <w:sz w:val="16"/>
          <w:szCs w:val="16"/>
        </w:rPr>
        <w:fldChar w:fldCharType="end"/>
      </w:r>
      <w:r>
        <w:rPr>
          <w:sz w:val="16"/>
          <w:szCs w:val="16"/>
        </w:rPr>
        <w:t>. Devassar o sigilo de proposta apresentada em processo licitatório ou proporcionar a terceiro o ensejo de devassá-lo:</w:t>
      </w:r>
    </w:p>
    <w:p>
      <w:pPr>
        <w:pStyle w:val="Notaderodap"/>
        <w:rPr/>
      </w:pPr>
      <w:r>
        <w:rPr>
          <w:sz w:val="16"/>
          <w:szCs w:val="16"/>
        </w:rPr>
        <w:t>Pena - detenção, de 2 (dois) anos a 3 (três) anos, e multa.</w:t>
      </w:r>
    </w:p>
  </w:footnote>
  <w:footnote w:id="3">
    <w:p>
      <w:pPr>
        <w:pStyle w:val="Notaderodap"/>
        <w:rPr>
          <w:i/>
          <w:i/>
          <w:sz w:val="16"/>
          <w:szCs w:val="16"/>
        </w:rPr>
      </w:pPr>
      <w:r>
        <w:rPr>
          <w:rStyle w:val="Caracteresdenotaderodap"/>
        </w:rPr>
        <w:footnoteRef/>
      </w:r>
      <w:r>
        <w:rPr>
          <w:sz w:val="16"/>
          <w:szCs w:val="16"/>
        </w:rPr>
        <w:t xml:space="preserve"> </w:t>
      </w:r>
      <w:r>
        <w:rPr>
          <w:b/>
          <w:bCs/>
          <w:i/>
          <w:sz w:val="16"/>
          <w:szCs w:val="16"/>
        </w:rPr>
        <w:t>Contratação inidônea</w:t>
      </w:r>
    </w:p>
    <w:p>
      <w:pPr>
        <w:pStyle w:val="Notaderodap"/>
        <w:rPr>
          <w:i/>
          <w:i/>
          <w:sz w:val="16"/>
          <w:szCs w:val="16"/>
        </w:rPr>
      </w:pPr>
      <w:r>
        <w:rPr>
          <w:i/>
          <w:sz w:val="16"/>
          <w:szCs w:val="16"/>
        </w:rPr>
        <w:t>Art. 337-M. Admitir à licitação empresa ou profissional declarado inidôneo:</w:t>
      </w:r>
    </w:p>
    <w:p>
      <w:pPr>
        <w:pStyle w:val="Notaderodap"/>
        <w:rPr>
          <w:i/>
          <w:i/>
          <w:sz w:val="16"/>
          <w:szCs w:val="16"/>
        </w:rPr>
      </w:pPr>
      <w:r>
        <w:rPr>
          <w:i/>
          <w:sz w:val="16"/>
          <w:szCs w:val="16"/>
        </w:rPr>
        <w:t>Pena - reclusão, de 1 (um) ano a 3 (três) anos, e multa.</w:t>
      </w:r>
    </w:p>
    <w:p>
      <w:pPr>
        <w:pStyle w:val="Notaderodap"/>
        <w:rPr>
          <w:i/>
          <w:i/>
          <w:sz w:val="16"/>
          <w:szCs w:val="16"/>
        </w:rPr>
      </w:pPr>
      <w:r>
        <w:rPr>
          <w:i/>
          <w:sz w:val="16"/>
          <w:szCs w:val="16"/>
        </w:rPr>
        <w:t>§ 1º Celebrar contrato com empresa ou profissional declarado inidôneo:</w:t>
      </w:r>
    </w:p>
    <w:p>
      <w:pPr>
        <w:pStyle w:val="Notaderodap"/>
        <w:rPr>
          <w:i/>
          <w:i/>
          <w:sz w:val="16"/>
          <w:szCs w:val="16"/>
        </w:rPr>
      </w:pPr>
      <w:r>
        <w:rPr>
          <w:i/>
          <w:sz w:val="16"/>
          <w:szCs w:val="16"/>
        </w:rPr>
        <w:t>Pena - reclusão, de 3 (três) anos a 6 (seis) anos, e multa.</w:t>
      </w:r>
    </w:p>
    <w:p>
      <w:pPr>
        <w:pStyle w:val="Notaderodap"/>
        <w:rPr>
          <w:i/>
          <w:i/>
        </w:rPr>
      </w:pPr>
      <w:r>
        <w:rPr>
          <w:i/>
          <w:sz w:val="16"/>
          <w:szCs w:val="16"/>
        </w:rPr>
        <w:t>§ 2º Incide na mesma pena do </w:t>
      </w:r>
      <w:r>
        <w:rPr>
          <w:b/>
          <w:bCs/>
          <w:i/>
          <w:sz w:val="16"/>
          <w:szCs w:val="16"/>
        </w:rPr>
        <w:t>caput</w:t>
      </w:r>
      <w:r>
        <w:rPr>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both"/>
      <w:rPr/>
    </w:pPr>
    <w:r>
      <w:drawing>
        <wp:anchor behindDoc="1" distT="0" distB="0" distL="114935" distR="114935" simplePos="0" locked="0" layoutInCell="0" allowOverlap="1" relativeHeight="59">
          <wp:simplePos x="0" y="0"/>
          <wp:positionH relativeFrom="column">
            <wp:posOffset>0</wp:posOffset>
          </wp:positionH>
          <wp:positionV relativeFrom="paragraph">
            <wp:posOffset>-111125</wp:posOffset>
          </wp:positionV>
          <wp:extent cx="987425" cy="98869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419" t="-409" r="-419" b="-409"/>
                  <a:stretch>
                    <a:fillRect/>
                  </a:stretch>
                </pic:blipFill>
                <pic:spPr bwMode="auto">
                  <a:xfrm>
                    <a:off x="0" y="0"/>
                    <a:ext cx="987425" cy="988695"/>
                  </a:xfrm>
                  <a:prstGeom prst="rect">
                    <a:avLst/>
                  </a:prstGeom>
                </pic:spPr>
              </pic:pic>
            </a:graphicData>
          </a:graphic>
        </wp:anchor>
      </w:drawing>
    </w:r>
    <w:r>
      <w:rPr>
        <w:rFonts w:eastAsia="Verdana" w:cs="Verdana" w:ascii="Verdana" w:hAnsi="Verdana"/>
        <w:b/>
        <w:sz w:val="20"/>
      </w:rPr>
      <w:t xml:space="preserve">                        </w:t>
    </w:r>
    <w:r>
      <w:rPr>
        <w:rFonts w:cs="Verdana" w:ascii="Verdana" w:hAnsi="Verdana"/>
        <w:b/>
        <w:sz w:val="20"/>
      </w:rPr>
      <w:t>ESTADO DE SANTA CATARINA</w:t>
    </w:r>
  </w:p>
  <w:p>
    <w:pPr>
      <w:pStyle w:val="Cabealho"/>
      <w:jc w:val="both"/>
      <w:rPr/>
    </w:pPr>
    <w:r>
      <w:rPr>
        <w:rFonts w:eastAsia="Verdana" w:cs="Verdana" w:ascii="Verdana" w:hAnsi="Verdana"/>
        <w:b/>
        <w:sz w:val="20"/>
      </w:rPr>
      <w:t xml:space="preserve">                        </w:t>
    </w:r>
    <w:r>
      <w:rPr>
        <w:rFonts w:cs="Verdana" w:ascii="Verdana" w:hAnsi="Verdana"/>
        <w:b/>
        <w:sz w:val="20"/>
      </w:rPr>
      <w:t>MUNICÍPIO DE ITÁ</w:t>
    </w:r>
  </w:p>
  <w:p>
    <w:pPr>
      <w:pStyle w:val="Cabealho"/>
      <w:rPr/>
    </w:pPr>
    <w:r>
      <w:rPr>
        <w:rFonts w:eastAsia="Verdana" w:cs="Verdana" w:ascii="Verdana" w:hAnsi="Verdana"/>
        <w:sz w:val="20"/>
      </w:rPr>
      <w:t xml:space="preserve">                       </w:t>
    </w:r>
    <w:r>
      <w:rPr>
        <w:rFonts w:cs="Verdana" w:ascii="Verdana" w:hAnsi="Verdana"/>
        <w:b/>
        <w:sz w:val="20"/>
      </w:rPr>
      <w:t>Praça Dr. Aldo Ivo Stumpf, 100 - Fone</w:t>
    </w:r>
    <w:r>
      <w:rPr>
        <w:rFonts w:cs="Verdana" w:ascii="Verdana" w:hAnsi="Verdana"/>
        <w:b/>
        <w:sz w:val="20"/>
        <w:lang w:eastAsia="pt-BR"/>
      </w:rPr>
      <w:t xml:space="preserve"> (</w:t>
    </w:r>
    <w:r>
      <w:rPr>
        <w:rFonts w:cs="Verdana" w:ascii="Verdana" w:hAnsi="Verdana"/>
        <w:b/>
        <w:sz w:val="20"/>
      </w:rPr>
      <w:t>49) 3458-9500.</w:t>
    </w:r>
  </w:p>
  <w:p>
    <w:pPr>
      <w:pStyle w:val="Cabealho"/>
      <w:rPr/>
    </w:pPr>
    <w:r>
      <w:rPr>
        <w:rFonts w:eastAsia="Verdana" w:cs="Verdana" w:ascii="Verdana" w:hAnsi="Verdana"/>
        <w:b/>
        <w:sz w:val="20"/>
      </w:rPr>
      <w:t xml:space="preserve">                        </w:t>
    </w:r>
    <w:r>
      <w:rPr>
        <w:rFonts w:cs="Verdana" w:ascii="Verdana" w:hAnsi="Verdana"/>
        <w:b/>
        <w:sz w:val="20"/>
      </w:rPr>
      <w:t>CEP: 89760-000 – ITÁ – Santa Catarina</w:t>
    </w:r>
  </w:p>
  <w:p>
    <w:pPr>
      <w:pStyle w:val="Cabealho"/>
      <w:rPr/>
    </w:pPr>
    <w:r>
      <w:rPr>
        <w:rFonts w:eastAsia="Verdana" w:cs="Verdana" w:ascii="Verdana" w:hAnsi="Verdana"/>
        <w:b/>
        <w:sz w:val="20"/>
      </w:rPr>
      <w:t xml:space="preserve">               </w:t>
    </w:r>
    <w:r>
      <w:rPr>
        <w:rFonts w:cs="Verdana" w:ascii="Verdana" w:hAnsi="Verdana"/>
        <w:b/>
        <w:sz w:val="20"/>
      </w:rPr>
      <w:t xml:space="preserve">E       E-mail: </w:t>
    </w:r>
    <w:hyperlink r:id="rId2">
      <w:r>
        <w:rPr>
          <w:rStyle w:val="LinkdaInternet"/>
          <w:rFonts w:cs="Verdana" w:ascii="Verdana" w:hAnsi="Verdana"/>
          <w:b/>
          <w:sz w:val="20"/>
        </w:rPr>
        <w:t>licitacao@ita.sc.gov.br</w:t>
      </w:r>
    </w:hyperlink>
    <w:r>
      <w:rPr>
        <w:rFonts w:cs="Verdana" w:ascii="Verdana" w:hAnsi="Verdana"/>
        <w:b/>
        <w:sz w:val="20"/>
      </w:rPr>
      <w:t xml:space="preserve"> - site: </w:t>
    </w:r>
    <w:hyperlink r:id="rId3">
      <w:r>
        <w:rPr>
          <w:rStyle w:val="LinkdaInternet"/>
          <w:rFonts w:cs="Verdana" w:ascii="Verdana" w:hAnsi="Verdana"/>
          <w:b/>
          <w:sz w:val="20"/>
        </w:rPr>
        <w:t>ita.atende.net</w:t>
      </w:r>
    </w:hyperlink>
  </w:p>
  <w:p>
    <w:pPr>
      <w:pStyle w:val="Cabealho"/>
      <w:widowControl w:val="false"/>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w:r>
  </w:p>
  <w:p>
    <w:pPr>
      <w:pStyle w:val="Normal"/>
      <w:widowControl w:val="false"/>
      <w:tabs>
        <w:tab w:val="clear" w:pos="708"/>
        <w:tab w:val="center" w:pos="4252" w:leader="none"/>
        <w:tab w:val="right" w:pos="8504" w:leader="none"/>
      </w:tabs>
      <w:spacing w:lineRule="auto" w:line="240" w:before="0" w:after="0"/>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mc:AlternateContent>
        <mc:Choice Requires="wps">
          <w:drawing>
            <wp:anchor behindDoc="1" distT="28575" distB="28575" distL="28575" distR="28575" simplePos="0" locked="0" layoutInCell="0" allowOverlap="1" relativeHeight="117">
              <wp:simplePos x="0" y="0"/>
              <wp:positionH relativeFrom="column">
                <wp:posOffset>685800</wp:posOffset>
              </wp:positionH>
              <wp:positionV relativeFrom="paragraph">
                <wp:posOffset>42545</wp:posOffset>
              </wp:positionV>
              <wp:extent cx="4698365" cy="22860"/>
              <wp:effectExtent l="0" t="0" r="0" b="0"/>
              <wp:wrapNone/>
              <wp:docPr id="2" name="Figura1"/>
              <a:graphic xmlns:a="http://schemas.openxmlformats.org/drawingml/2006/main">
                <a:graphicData uri="http://schemas.microsoft.com/office/word/2010/wordprocessingShape">
                  <wps:wsp>
                    <wps:cNvSpPr/>
                    <wps:spPr>
                      <a:xfrm>
                        <a:off x="0" y="0"/>
                        <a:ext cx="4697640" cy="504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id="shape_0" from="54pt,3.35pt" to="423.85pt,3.7pt" ID="Figura1" stroked="t" style="position:absolute">
              <v:stroke color="black" weight="57240" joinstyle="miter" endcap="flat"/>
              <v:fill o:detectmouseclick="t" on="false"/>
              <w10:wrap type="none"/>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color w:val="FF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upperRoman"/>
      <w:lvlText w:val="%1 - "/>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b/>
      </w:rPr>
    </w:lvl>
    <w:lvl w:ilvl="2">
      <w:start w:val="1"/>
      <w:numFmt w:val="lowerLetter"/>
      <w:lvlText w:val="%3)"/>
      <w:lvlJc w:val="lef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lowerLetter"/>
      <w:lvlText w:val="%1)"/>
      <w:lvlJc w:val="left"/>
      <w:pPr>
        <w:tabs>
          <w:tab w:val="num" w:pos="0"/>
        </w:tabs>
        <w:ind w:left="720" w:hanging="360"/>
      </w:pPr>
    </w:lvl>
    <w:lvl w:ilvl="1">
      <w:start w:val="1"/>
      <w:numFmt w:val="upperRoman"/>
      <w:lvlText w:val="%2 - "/>
      <w:lvlJc w:val="left"/>
      <w:pPr>
        <w:tabs>
          <w:tab w:val="num" w:pos="0"/>
        </w:tabs>
        <w:ind w:left="1440" w:hanging="360"/>
      </w:pPr>
      <w:rPr>
        <w:b/>
      </w:rPr>
    </w:lvl>
    <w:lvl w:ilvl="2">
      <w:start w:val="1"/>
      <w:numFmt w:val="lowerLetter"/>
      <w:lvlText w:val="%3)"/>
      <w:lvlJc w:val="lef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upperRoman"/>
      <w:lvlText w:val="%1 - "/>
      <w:lvlJc w:val="left"/>
      <w:pPr>
        <w:tabs>
          <w:tab w:val="num" w:pos="0"/>
        </w:tabs>
        <w:ind w:left="2340" w:hanging="360"/>
      </w:pPr>
      <w:rPr>
        <w:b/>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8">
    <w:lvl w:ilvl="0">
      <w:start w:val="1"/>
      <w:numFmt w:val="upperRoman"/>
      <w:lvlText w:val="%1 - "/>
      <w:lvlJc w:val="left"/>
      <w:pPr>
        <w:tabs>
          <w:tab w:val="num" w:pos="0"/>
        </w:tabs>
        <w:ind w:left="2340" w:hanging="360"/>
      </w:pPr>
      <w:rPr>
        <w:b/>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9">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lvl w:ilvl="0">
      <w:start w:val="1"/>
      <w:numFmt w:val="lowerLetter"/>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lowerLetter"/>
      <w:lvlText w:val="%1)"/>
      <w:lvlJc w:val="left"/>
      <w:pPr>
        <w:tabs>
          <w:tab w:val="num" w:pos="0"/>
        </w:tabs>
        <w:ind w:left="1500" w:hanging="360"/>
      </w:pPr>
      <w:rPr>
        <w:b/>
      </w:rPr>
    </w:lvl>
    <w:lvl w:ilvl="1">
      <w:start w:val="1"/>
      <w:numFmt w:val="upperRoman"/>
      <w:lvlText w:val="%2."/>
      <w:lvlJc w:val="left"/>
      <w:pPr>
        <w:tabs>
          <w:tab w:val="num" w:pos="0"/>
        </w:tabs>
        <w:ind w:left="2580" w:hanging="720"/>
      </w:pPr>
    </w:lvl>
    <w:lvl w:ilvl="2">
      <w:start w:val="1"/>
      <w:numFmt w:val="lowerRoman"/>
      <w:lvlText w:val="%3."/>
      <w:lvlJc w:val="right"/>
      <w:pPr>
        <w:tabs>
          <w:tab w:val="num" w:pos="0"/>
        </w:tabs>
        <w:ind w:left="2940" w:hanging="180"/>
      </w:pPr>
    </w:lvl>
    <w:lvl w:ilvl="3">
      <w:start w:val="1"/>
      <w:numFmt w:val="decimal"/>
      <w:lvlText w:val="%4."/>
      <w:lvlJc w:val="left"/>
      <w:pPr>
        <w:tabs>
          <w:tab w:val="num" w:pos="0"/>
        </w:tabs>
        <w:ind w:left="3660" w:hanging="360"/>
      </w:pPr>
    </w:lvl>
    <w:lvl w:ilvl="4">
      <w:start w:val="1"/>
      <w:numFmt w:val="lowerLetter"/>
      <w:lvlText w:val="%5."/>
      <w:lvlJc w:val="left"/>
      <w:pPr>
        <w:tabs>
          <w:tab w:val="num" w:pos="0"/>
        </w:tabs>
        <w:ind w:left="4380" w:hanging="360"/>
      </w:pPr>
    </w:lvl>
    <w:lvl w:ilvl="5">
      <w:start w:val="1"/>
      <w:numFmt w:val="lowerRoman"/>
      <w:lvlText w:val="%6."/>
      <w:lvlJc w:val="right"/>
      <w:pPr>
        <w:tabs>
          <w:tab w:val="num" w:pos="0"/>
        </w:tabs>
        <w:ind w:left="5100" w:hanging="180"/>
      </w:pPr>
    </w:lvl>
    <w:lvl w:ilvl="6">
      <w:start w:val="1"/>
      <w:numFmt w:val="decimal"/>
      <w:lvlText w:val="%7."/>
      <w:lvlJc w:val="left"/>
      <w:pPr>
        <w:tabs>
          <w:tab w:val="num" w:pos="0"/>
        </w:tabs>
        <w:ind w:left="5820" w:hanging="360"/>
      </w:pPr>
    </w:lvl>
    <w:lvl w:ilvl="7">
      <w:start w:val="1"/>
      <w:numFmt w:val="lowerLetter"/>
      <w:lvlText w:val="%8."/>
      <w:lvlJc w:val="left"/>
      <w:pPr>
        <w:tabs>
          <w:tab w:val="num" w:pos="0"/>
        </w:tabs>
        <w:ind w:left="6540" w:hanging="360"/>
      </w:pPr>
    </w:lvl>
    <w:lvl w:ilvl="8">
      <w:start w:val="1"/>
      <w:numFmt w:val="lowerRoman"/>
      <w:lvlText w:val="%9."/>
      <w:lvlJc w:val="right"/>
      <w:pPr>
        <w:tabs>
          <w:tab w:val="num" w:pos="0"/>
        </w:tabs>
        <w:ind w:left="7260" w:hanging="180"/>
      </w:pPr>
    </w:lvl>
  </w:abstractNum>
  <w:abstractNum w:abstractNumId="14">
    <w:lvl w:ilvl="0">
      <w:start w:val="1"/>
      <w:numFmt w:val="upperRoman"/>
      <w:lvlText w:val="%1 - "/>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lvl w:ilvl="0">
      <w:start w:val="1"/>
      <w:numFmt w:val="upperRoman"/>
      <w:lvlText w:val="%1 - "/>
      <w:lvlJc w:val="left"/>
      <w:pPr>
        <w:tabs>
          <w:tab w:val="num" w:pos="0"/>
        </w:tabs>
        <w:ind w:left="144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lvl w:ilvl="0">
      <w:start w:val="1"/>
      <w:numFmt w:val="upperRoman"/>
      <w:lvlText w:val="%1 - "/>
      <w:lvlJc w:val="left"/>
      <w:pPr>
        <w:tabs>
          <w:tab w:val="num" w:pos="0"/>
        </w:tabs>
        <w:ind w:left="786" w:hanging="360"/>
      </w:pPr>
      <w:rPr>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lvl w:ilvl="0">
      <w:start w:val="1"/>
      <w:numFmt w:val="upperRoman"/>
      <w:lvlText w:val="%1 - "/>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7">
    <w:lvl w:ilvl="0">
      <w:start w:val="1"/>
      <w:numFmt w:val="upperRoman"/>
      <w:lvlText w:val="%1 - "/>
      <w:lvlJc w:val="left"/>
      <w:pPr>
        <w:tabs>
          <w:tab w:val="num" w:pos="0"/>
        </w:tabs>
        <w:ind w:left="780" w:hanging="360"/>
      </w:pPr>
      <w:rPr>
        <w:b/>
      </w:r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38">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lvl w:ilvl="0">
      <w:start w:val="1"/>
      <w:numFmt w:val="upperRoman"/>
      <w:lvlText w:val="%1 - "/>
      <w:lvlJc w:val="left"/>
      <w:pPr>
        <w:tabs>
          <w:tab w:val="num" w:pos="0"/>
        </w:tabs>
        <w:ind w:left="720" w:hanging="360"/>
      </w:p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lvl w:ilvl="0">
      <w:start w:val="1"/>
      <w:numFmt w:val="lowerLetter"/>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46">
    <w:lvl w:ilvl="0">
      <w:start w:val="1"/>
      <w:numFmt w:val="upperRoman"/>
      <w:lvlText w:val="%1 - "/>
      <w:lvlJc w:val="left"/>
      <w:pPr>
        <w:tabs>
          <w:tab w:val="num" w:pos="0"/>
        </w:tabs>
        <w:ind w:left="766" w:hanging="360"/>
      </w:pPr>
      <w:rPr>
        <w:b/>
      </w:rPr>
    </w:lvl>
    <w:lvl w:ilvl="1">
      <w:start w:val="1"/>
      <w:numFmt w:val="lowerLetter"/>
      <w:lvlText w:val="%2."/>
      <w:lvlJc w:val="left"/>
      <w:pPr>
        <w:tabs>
          <w:tab w:val="num" w:pos="0"/>
        </w:tabs>
        <w:ind w:left="1486" w:hanging="360"/>
      </w:pPr>
    </w:lvl>
    <w:lvl w:ilvl="2">
      <w:start w:val="1"/>
      <w:numFmt w:val="lowerRoman"/>
      <w:lvlText w:val="%3."/>
      <w:lvlJc w:val="right"/>
      <w:pPr>
        <w:tabs>
          <w:tab w:val="num" w:pos="0"/>
        </w:tabs>
        <w:ind w:left="2206" w:hanging="180"/>
      </w:pPr>
    </w:lvl>
    <w:lvl w:ilvl="3">
      <w:start w:val="1"/>
      <w:numFmt w:val="decimal"/>
      <w:lvlText w:val="%4."/>
      <w:lvlJc w:val="left"/>
      <w:pPr>
        <w:tabs>
          <w:tab w:val="num" w:pos="0"/>
        </w:tabs>
        <w:ind w:left="2926" w:hanging="360"/>
      </w:pPr>
    </w:lvl>
    <w:lvl w:ilvl="4">
      <w:start w:val="1"/>
      <w:numFmt w:val="lowerLetter"/>
      <w:lvlText w:val="%5."/>
      <w:lvlJc w:val="left"/>
      <w:pPr>
        <w:tabs>
          <w:tab w:val="num" w:pos="0"/>
        </w:tabs>
        <w:ind w:left="3646" w:hanging="360"/>
      </w:pPr>
    </w:lvl>
    <w:lvl w:ilvl="5">
      <w:start w:val="1"/>
      <w:numFmt w:val="lowerRoman"/>
      <w:lvlText w:val="%6."/>
      <w:lvlJc w:val="right"/>
      <w:pPr>
        <w:tabs>
          <w:tab w:val="num" w:pos="0"/>
        </w:tabs>
        <w:ind w:left="4366" w:hanging="180"/>
      </w:pPr>
    </w:lvl>
    <w:lvl w:ilvl="6">
      <w:start w:val="1"/>
      <w:numFmt w:val="decimal"/>
      <w:lvlText w:val="%7."/>
      <w:lvlJc w:val="left"/>
      <w:pPr>
        <w:tabs>
          <w:tab w:val="num" w:pos="0"/>
        </w:tabs>
        <w:ind w:left="5086" w:hanging="360"/>
      </w:pPr>
    </w:lvl>
    <w:lvl w:ilvl="7">
      <w:start w:val="1"/>
      <w:numFmt w:val="lowerLetter"/>
      <w:lvlText w:val="%8."/>
      <w:lvlJc w:val="left"/>
      <w:pPr>
        <w:tabs>
          <w:tab w:val="num" w:pos="0"/>
        </w:tabs>
        <w:ind w:left="5806" w:hanging="360"/>
      </w:pPr>
    </w:lvl>
    <w:lvl w:ilvl="8">
      <w:start w:val="1"/>
      <w:numFmt w:val="lowerRoman"/>
      <w:lvlText w:val="%9."/>
      <w:lvlJc w:val="right"/>
      <w:pPr>
        <w:tabs>
          <w:tab w:val="num" w:pos="0"/>
        </w:tabs>
        <w:ind w:left="6526" w:hanging="180"/>
      </w:pPr>
    </w:lvl>
  </w:abstractNum>
  <w:abstractNum w:abstractNumId="47">
    <w:lvl w:ilvl="0">
      <w:start w:val="1"/>
      <w:numFmt w:val="upperRoman"/>
      <w:lvlText w:val="%1 - "/>
      <w:lvlJc w:val="left"/>
      <w:pPr>
        <w:tabs>
          <w:tab w:val="num" w:pos="0"/>
        </w:tabs>
        <w:ind w:left="766" w:hanging="360"/>
      </w:pPr>
      <w:rPr>
        <w:b/>
      </w:rPr>
    </w:lvl>
    <w:lvl w:ilvl="1">
      <w:start w:val="1"/>
      <w:numFmt w:val="lowerLetter"/>
      <w:lvlText w:val="%2."/>
      <w:lvlJc w:val="left"/>
      <w:pPr>
        <w:tabs>
          <w:tab w:val="num" w:pos="0"/>
        </w:tabs>
        <w:ind w:left="1486" w:hanging="360"/>
      </w:pPr>
    </w:lvl>
    <w:lvl w:ilvl="2">
      <w:start w:val="1"/>
      <w:numFmt w:val="lowerRoman"/>
      <w:lvlText w:val="%3."/>
      <w:lvlJc w:val="right"/>
      <w:pPr>
        <w:tabs>
          <w:tab w:val="num" w:pos="0"/>
        </w:tabs>
        <w:ind w:left="2206" w:hanging="180"/>
      </w:pPr>
    </w:lvl>
    <w:lvl w:ilvl="3">
      <w:start w:val="1"/>
      <w:numFmt w:val="decimal"/>
      <w:lvlText w:val="%4."/>
      <w:lvlJc w:val="left"/>
      <w:pPr>
        <w:tabs>
          <w:tab w:val="num" w:pos="0"/>
        </w:tabs>
        <w:ind w:left="2926" w:hanging="360"/>
      </w:pPr>
    </w:lvl>
    <w:lvl w:ilvl="4">
      <w:start w:val="1"/>
      <w:numFmt w:val="lowerLetter"/>
      <w:lvlText w:val="%5."/>
      <w:lvlJc w:val="left"/>
      <w:pPr>
        <w:tabs>
          <w:tab w:val="num" w:pos="0"/>
        </w:tabs>
        <w:ind w:left="3646" w:hanging="360"/>
      </w:pPr>
    </w:lvl>
    <w:lvl w:ilvl="5">
      <w:start w:val="1"/>
      <w:numFmt w:val="lowerRoman"/>
      <w:lvlText w:val="%6."/>
      <w:lvlJc w:val="right"/>
      <w:pPr>
        <w:tabs>
          <w:tab w:val="num" w:pos="0"/>
        </w:tabs>
        <w:ind w:left="4366" w:hanging="180"/>
      </w:pPr>
    </w:lvl>
    <w:lvl w:ilvl="6">
      <w:start w:val="1"/>
      <w:numFmt w:val="decimal"/>
      <w:lvlText w:val="%7."/>
      <w:lvlJc w:val="left"/>
      <w:pPr>
        <w:tabs>
          <w:tab w:val="num" w:pos="0"/>
        </w:tabs>
        <w:ind w:left="5086" w:hanging="360"/>
      </w:pPr>
    </w:lvl>
    <w:lvl w:ilvl="7">
      <w:start w:val="1"/>
      <w:numFmt w:val="lowerLetter"/>
      <w:lvlText w:val="%8."/>
      <w:lvlJc w:val="left"/>
      <w:pPr>
        <w:tabs>
          <w:tab w:val="num" w:pos="0"/>
        </w:tabs>
        <w:ind w:left="5806" w:hanging="360"/>
      </w:pPr>
    </w:lvl>
    <w:lvl w:ilvl="8">
      <w:start w:val="1"/>
      <w:numFmt w:val="lowerRoman"/>
      <w:lvlText w:val="%9."/>
      <w:lvlJc w:val="right"/>
      <w:pPr>
        <w:tabs>
          <w:tab w:val="num" w:pos="0"/>
        </w:tabs>
        <w:ind w:left="6526" w:hanging="180"/>
      </w:pPr>
    </w:lvl>
  </w:abstractNum>
  <w:abstractNum w:abstractNumId="4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w="http://schemas.openxmlformats.org/wordprocessingml/2006/main">
  <w:zoom w:percent="95"/>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2a0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5e04f6"/>
    <w:rPr/>
  </w:style>
  <w:style w:type="character" w:styleId="RodapChar" w:customStyle="1">
    <w:name w:val="Rodapé Char"/>
    <w:basedOn w:val="DefaultParagraphFont"/>
    <w:link w:val="Rodap"/>
    <w:uiPriority w:val="99"/>
    <w:qFormat/>
    <w:rsid w:val="005e04f6"/>
    <w:rPr/>
  </w:style>
  <w:style w:type="character" w:styleId="Annotationreference">
    <w:name w:val="annotation reference"/>
    <w:basedOn w:val="DefaultParagraphFont"/>
    <w:uiPriority w:val="99"/>
    <w:semiHidden/>
    <w:unhideWhenUsed/>
    <w:qFormat/>
    <w:rsid w:val="002f1faf"/>
    <w:rPr>
      <w:sz w:val="16"/>
      <w:szCs w:val="16"/>
    </w:rPr>
  </w:style>
  <w:style w:type="character" w:styleId="TextodecomentrioChar" w:customStyle="1">
    <w:name w:val="Texto de comentário Char"/>
    <w:basedOn w:val="DefaultParagraphFont"/>
    <w:link w:val="Textodecomentrio"/>
    <w:uiPriority w:val="99"/>
    <w:semiHidden/>
    <w:qFormat/>
    <w:rsid w:val="002f1faf"/>
    <w:rPr>
      <w:sz w:val="20"/>
      <w:szCs w:val="20"/>
    </w:rPr>
  </w:style>
  <w:style w:type="character" w:styleId="AssuntodocomentrioChar" w:customStyle="1">
    <w:name w:val="Assunto do comentário Char"/>
    <w:basedOn w:val="TextodecomentrioChar"/>
    <w:link w:val="Assuntodocomentrio"/>
    <w:uiPriority w:val="99"/>
    <w:semiHidden/>
    <w:qFormat/>
    <w:rsid w:val="002f1faf"/>
    <w:rPr>
      <w:b/>
      <w:bCs/>
      <w:sz w:val="20"/>
      <w:szCs w:val="20"/>
    </w:rPr>
  </w:style>
  <w:style w:type="character" w:styleId="TextodebaloChar" w:customStyle="1">
    <w:name w:val="Texto de balão Char"/>
    <w:basedOn w:val="DefaultParagraphFont"/>
    <w:link w:val="Textodebalo"/>
    <w:uiPriority w:val="99"/>
    <w:semiHidden/>
    <w:qFormat/>
    <w:rsid w:val="002f1faf"/>
    <w:rPr>
      <w:rFonts w:ascii="Segoe UI" w:hAnsi="Segoe UI" w:cs="Segoe UI"/>
      <w:sz w:val="18"/>
      <w:szCs w:val="18"/>
    </w:rPr>
  </w:style>
  <w:style w:type="character" w:styleId="LinkdaInternet" w:customStyle="1">
    <w:name w:val="Link da Internet"/>
    <w:basedOn w:val="DefaultParagraphFont"/>
    <w:uiPriority w:val="99"/>
    <w:unhideWhenUsed/>
    <w:rsid w:val="007537f3"/>
    <w:rPr>
      <w:color w:val="0563C1" w:themeColor="hyperlink"/>
      <w:u w:val="single"/>
    </w:rPr>
  </w:style>
  <w:style w:type="character" w:styleId="TextodenotaderodapChar" w:customStyle="1">
    <w:name w:val="Texto de nota de rodapé Char"/>
    <w:basedOn w:val="DefaultParagraphFont"/>
    <w:link w:val="Textodenotaderodap"/>
    <w:uiPriority w:val="99"/>
    <w:semiHidden/>
    <w:qFormat/>
    <w:rsid w:val="00b939c1"/>
    <w:rPr>
      <w:rFonts w:ascii="Times New Roman" w:hAnsi="Times New Roman" w:eastAsia="Times New Roman" w:cs="Times New Roman"/>
      <w:sz w:val="20"/>
      <w:szCs w:val="20"/>
      <w:lang w:eastAsia="pt-BR"/>
    </w:rPr>
  </w:style>
  <w:style w:type="character" w:styleId="Ncoradanotaderodap" w:customStyle="1">
    <w:name w:val="Âncora da nota de rodapé"/>
    <w:rPr>
      <w:vertAlign w:val="superscript"/>
    </w:rPr>
  </w:style>
  <w:style w:type="character" w:styleId="FootnoteCharacters" w:customStyle="1">
    <w:name w:val="Footnote Characters"/>
    <w:basedOn w:val="DefaultParagraphFont"/>
    <w:uiPriority w:val="99"/>
    <w:semiHidden/>
    <w:unhideWhenUsed/>
    <w:qFormat/>
    <w:rsid w:val="00b939c1"/>
    <w:rPr>
      <w:vertAlign w:val="superscript"/>
    </w:rPr>
  </w:style>
  <w:style w:type="character" w:styleId="Caracteresdenotaderodap" w:customStyle="1">
    <w:name w:val="Caracteres de nota de rodapé"/>
    <w:qFormat/>
    <w:rPr/>
  </w:style>
  <w:style w:type="character" w:styleId="Ncoradanotadefim" w:customStyle="1">
    <w:name w:val="Âncora da nota de fim"/>
    <w:rPr>
      <w:vertAlign w:val="superscript"/>
    </w:rPr>
  </w:style>
  <w:style w:type="character" w:styleId="Caracteresdenotadefim" w:customStyle="1">
    <w:name w:val="Caracteres de nota de fim"/>
    <w:qFormat/>
    <w:rPr/>
  </w:style>
  <w:style w:type="character" w:styleId="UnresolvedMention">
    <w:name w:val="Unresolved Mention"/>
    <w:basedOn w:val="DefaultParagraphFont"/>
    <w:uiPriority w:val="99"/>
    <w:semiHidden/>
    <w:unhideWhenUsed/>
    <w:qFormat/>
    <w:rsid w:val="007537f3"/>
    <w:rPr>
      <w:color w:val="605E5C"/>
      <w:shd w:fill="E1DFDD" w:val="clear"/>
    </w:rPr>
  </w:style>
  <w:style w:type="character" w:styleId="Smbolosdenumerao">
    <w:name w:val="Símbolos de numeração"/>
    <w:qFormat/>
    <w:rPr/>
  </w:style>
  <w:style w:type="character" w:styleId="Strong">
    <w:name w:val="Strong"/>
    <w:basedOn w:val="DefaultParagraphFont"/>
    <w:qFormat/>
    <w:rPr>
      <w:b/>
      <w:bCs/>
    </w:rPr>
  </w:style>
  <w:style w:type="character" w:styleId="Markedcontent">
    <w:name w:val="markedcontent"/>
    <w:basedOn w:val="DefaultParagraphFont"/>
    <w:qFormat/>
    <w:rPr/>
  </w:style>
  <w:style w:type="character" w:styleId="Hgkelc">
    <w:name w:val="hgkelc"/>
    <w:basedOn w:val="DefaultParagraphFont"/>
    <w:qFormat/>
    <w:rPr/>
  </w:style>
  <w:style w:type="character" w:styleId="Nfase">
    <w:name w:val="Ênfase"/>
    <w:basedOn w:val="DefaultParagraphFont"/>
    <w:qFormat/>
    <w:rPr>
      <w:i/>
      <w:iCs/>
    </w:rPr>
  </w:style>
  <w:style w:type="character" w:styleId="E24kjd">
    <w:name w:val="e24kjd"/>
    <w:basedOn w:val="DefaultParagraphFont"/>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uiPriority w:val="1"/>
    <w:qFormat/>
    <w:rsid w:val="003e183e"/>
    <w:pPr>
      <w:spacing w:before="0" w:after="160"/>
      <w:ind w:left="720" w:hanging="0"/>
      <w:contextualSpacing/>
    </w:pPr>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5e04f6"/>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5e04f6"/>
    <w:pPr>
      <w:tabs>
        <w:tab w:val="clear" w:pos="708"/>
        <w:tab w:val="center" w:pos="4252" w:leader="none"/>
        <w:tab w:val="right" w:pos="8504" w:leader="none"/>
      </w:tabs>
      <w:spacing w:lineRule="auto" w:line="240" w:before="0" w:after="0"/>
    </w:pPr>
    <w:rPr/>
  </w:style>
  <w:style w:type="paragraph" w:styleId="Annotationtext">
    <w:name w:val="annotation text"/>
    <w:basedOn w:val="Normal"/>
    <w:link w:val="TextodecomentrioChar"/>
    <w:uiPriority w:val="99"/>
    <w:semiHidden/>
    <w:unhideWhenUsed/>
    <w:qFormat/>
    <w:rsid w:val="002f1faf"/>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2f1faf"/>
    <w:pPr/>
    <w:rPr>
      <w:b/>
      <w:bCs/>
    </w:rPr>
  </w:style>
  <w:style w:type="paragraph" w:styleId="BalloonText">
    <w:name w:val="Balloon Text"/>
    <w:basedOn w:val="Normal"/>
    <w:link w:val="TextodebaloChar"/>
    <w:uiPriority w:val="99"/>
    <w:semiHidden/>
    <w:unhideWhenUsed/>
    <w:qFormat/>
    <w:rsid w:val="002f1faf"/>
    <w:pPr>
      <w:spacing w:lineRule="auto" w:line="240" w:before="0" w:after="0"/>
    </w:pPr>
    <w:rPr>
      <w:rFonts w:ascii="Segoe UI" w:hAnsi="Segoe UI" w:cs="Segoe UI"/>
      <w:sz w:val="18"/>
      <w:szCs w:val="18"/>
    </w:rPr>
  </w:style>
  <w:style w:type="paragraph" w:styleId="NormalWeb">
    <w:name w:val="Normal (Web)"/>
    <w:basedOn w:val="Normal"/>
    <w:uiPriority w:val="99"/>
    <w:unhideWhenUsed/>
    <w:qFormat/>
    <w:rsid w:val="00e13196"/>
    <w:pPr/>
    <w:rPr>
      <w:rFonts w:ascii="Times New Roman" w:hAnsi="Times New Roman" w:cs="Times New Roman"/>
      <w:sz w:val="24"/>
      <w:szCs w:val="24"/>
    </w:rPr>
  </w:style>
  <w:style w:type="paragraph" w:styleId="Notaderodap">
    <w:name w:val="Footnote Text"/>
    <w:basedOn w:val="Normal"/>
    <w:link w:val="TextodenotaderodapChar"/>
    <w:uiPriority w:val="99"/>
    <w:semiHidden/>
    <w:unhideWhenUsed/>
    <w:rsid w:val="00b939c1"/>
    <w:pPr>
      <w:widowControl w:val="false"/>
      <w:spacing w:lineRule="auto" w:line="240" w:before="0" w:after="0"/>
      <w:jc w:val="both"/>
      <w:textAlignment w:val="baseline"/>
    </w:pPr>
    <w:rPr>
      <w:rFonts w:ascii="Times New Roman" w:hAnsi="Times New Roman" w:eastAsia="Times New Roman" w:cs="Times New Roman"/>
      <w:sz w:val="20"/>
      <w:szCs w:val="20"/>
      <w:lang w:eastAsia="pt-BR"/>
    </w:rPr>
  </w:style>
  <w:style w:type="paragraph" w:styleId="Ttulo1" w:customStyle="1">
    <w:name w:val="Título1"/>
    <w:basedOn w:val="Normal"/>
    <w:next w:val="Corpodotexto"/>
    <w:qFormat/>
    <w:pPr>
      <w:widowControl w:val="false"/>
      <w:jc w:val="center"/>
    </w:pPr>
    <w:rPr>
      <w:rFonts w:ascii="Arial" w:hAnsi="Arial" w:cs="Arial"/>
      <w:b/>
      <w:sz w:val="32"/>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Default" w:customStyle="1">
    <w:name w:val="Default"/>
    <w:qFormat/>
    <w:pPr>
      <w:widowControl/>
      <w:suppressAutoHyphens w:val="true"/>
      <w:bidi w:val="0"/>
      <w:spacing w:before="0" w:after="0"/>
      <w:jc w:val="left"/>
    </w:pPr>
    <w:rPr>
      <w:rFonts w:ascii="Times New Roman" w:hAnsi="Times New Roman" w:eastAsia="Calibri" w:cs=""/>
      <w:color w:val="000000"/>
      <w:kern w:val="0"/>
      <w:sz w:val="24"/>
      <w:szCs w:val="22"/>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3a2e0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2a523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implesTabela1">
    <w:name w:val="Plain Table 1"/>
    <w:basedOn w:val="Tabelanormal"/>
    <w:uiPriority w:val="41"/>
    <w:rsid w:val="002a5238"/>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blStylePr w:type="firstRow">
      <w:rPr>
        <w:b/>
        <w:bCs/>
      </w:rPr>
      <w:tblPr/>
    </w:tblStylePr>
    <w:tblStylePr w:type="lastRow">
      <w:rPr>
        <w:b/>
        <w:bCs/>
      </w:rPr>
      <w:tblPr/>
      <w:tcPr>
        <w:tcBorders>
          <w:top w:val="double" w:color="FFFFF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2a5238"/>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comprasgovernamentais.gov.br/" TargetMode="External"/><Relationship Id="rId4" Type="http://schemas.openxmlformats.org/officeDocument/2006/relationships/hyperlink" Target="http://www.planalto.gov.br/ccivil_03/leis/L6404compilada.htm" TargetMode="External"/><Relationship Id="rId5" Type="http://schemas.openxmlformats.org/officeDocument/2006/relationships/hyperlink" Target="https://www.planalto.gov.br/ccivil_03/_ato2015-2018/2018/lei/L13709compilado.htm" TargetMode="External"/><Relationship Id="rId6" Type="http://schemas.openxmlformats.org/officeDocument/2006/relationships/hyperlink" Target="mailto:controleinterno@ita.sc.gov.br" TargetMode="External"/><Relationship Id="rId7" Type="http://schemas.openxmlformats.org/officeDocument/2006/relationships/hyperlink" Target="http://www.planalto.gov.br/ccivil_03/leis/lcp/lcp123.htm" TargetMode="External"/><Relationship Id="rId8" Type="http://schemas.openxmlformats.org/officeDocument/2006/relationships/hyperlink" Target="https://www.planalto.gov.br/ccivil_03/leis/2002/l10406compilada.htm" TargetMode="External"/><Relationship Id="rId9" Type="http://schemas.openxmlformats.org/officeDocument/2006/relationships/hyperlink" Target="https://www.planalto.gov.br/ccivil_03/leis/2002/l10406compilada.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leis/l5764.htm" TargetMode="External"/><Relationship Id="rId12" Type="http://schemas.openxmlformats.org/officeDocument/2006/relationships/hyperlink" Target="https://www.planalto.gov.br/ccivil_03/_ato2011-2014/2012/lei/l12690.htm" TargetMode="External"/><Relationship Id="rId13" Type="http://schemas.openxmlformats.org/officeDocument/2006/relationships/hyperlink" Target="http://www.planalto.gov.br/ccivil_03/leis/lcp/lcp130.htm" TargetMode="External"/><Relationship Id="rId14" Type="http://schemas.openxmlformats.org/officeDocument/2006/relationships/hyperlink" Target="https://www.planalto.gov.br/ccivil_03/_ato2011-2014/2012/lei/l12690.htm" TargetMode="External"/><Relationship Id="rId15" Type="http://schemas.openxmlformats.org/officeDocument/2006/relationships/hyperlink" Target="https://www.planalto.gov.br/ccivil_03/_ato2007-2010/2007/lei/l11488.htm" TargetMode="External"/><Relationship Id="rId16" Type="http://schemas.openxmlformats.org/officeDocument/2006/relationships/hyperlink" Target="https://www.planalto.gov.br/ccivil_03/decreto-lei/del2848compilado.htm" TargetMode="External"/><Relationship Id="rId17" Type="http://schemas.openxmlformats.org/officeDocument/2006/relationships/hyperlink" Target="https://portaldatransparencia.gov.br/sancoes/consulta" TargetMode="External"/><Relationship Id="rId18" Type="http://schemas.openxmlformats.org/officeDocument/2006/relationships/hyperlink" Target="https://www.planalto.gov.br/ccivil_03/leis/L8429compilada.htm" TargetMode="External"/><Relationship Id="rId19" Type="http://schemas.openxmlformats.org/officeDocument/2006/relationships/hyperlink" Target="https://www.planalto.gov.br/ccivil_03/decreto-lei/del2848compilado.htm" TargetMode="External"/><Relationship Id="rId20" Type="http://schemas.openxmlformats.org/officeDocument/2006/relationships/hyperlink" Target="https://www.planalto.gov.br/ccivil_03/LEIS/L4320compilado.htm" TargetMode="External"/><Relationship Id="rId21"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1-2014/2013/lei/l12846.htm" TargetMode="External"/><Relationship Id="rId23" Type="http://schemas.openxmlformats.org/officeDocument/2006/relationships/hyperlink" Target="http://www.comprasgovernamentais.gov.br/" TargetMode="External"/><Relationship Id="rId24" Type="http://schemas.openxmlformats.org/officeDocument/2006/relationships/hyperlink" Target="http://www.planalto.gov.br/ccivil_03/leis/L6404compilada.htm"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notes" Target="footnotes.xml"/><Relationship Id="rId28" Type="http://schemas.openxmlformats.org/officeDocument/2006/relationships/numbering" Target="numbering.xml"/><Relationship Id="rId29" Type="http://schemas.openxmlformats.org/officeDocument/2006/relationships/fontTable" Target="fontTable.xml"/><Relationship Id="rId30" Type="http://schemas.openxmlformats.org/officeDocument/2006/relationships/settings" Target="settings.xml"/><Relationship Id="rId31" Type="http://schemas.openxmlformats.org/officeDocument/2006/relationships/theme" Target="theme/theme1.xml"/><Relationship Id="rId3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mailto:licitacao@ita.sc.gov.br" TargetMode="External"/><Relationship Id="rId3" Type="http://schemas.openxmlformats.org/officeDocument/2006/relationships/hyperlink" Target="http://www.ita.sc.gov.br/"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69460-D6D4-433A-8FB0-22D070DD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3660</TotalTime>
  <Application>LibreOffice/7.1.4.2$Windows_X86_64 LibreOffice_project/a529a4fab45b75fefc5b6226684193eb000654f6</Application>
  <AppVersion>15.0000</AppVersion>
  <Pages>58</Pages>
  <Words>20870</Words>
  <Characters>117703</Characters>
  <CharactersWithSpaces>137928</CharactersWithSpaces>
  <Paragraphs>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2023-03-03T09:38:00Z</dcterms:created>
  <dc:creator>Usuario</dc:creator>
  <dc:description/>
  <dc:language>pt-BR</dc:language>
  <cp:lastModifiedBy/>
  <cp:lastPrinted>2023-05-04T09:23:57Z</cp:lastPrinted>
  <dcterms:modified xsi:type="dcterms:W3CDTF">2023-06-30T14:09:18Z</dcterms:modified>
  <cp:revision>671</cp:revision>
  <dc:subject/>
  <dc:title/>
</cp:coreProperties>
</file>

<file path=docProps/custom.xml><?xml version="1.0" encoding="utf-8"?>
<Properties xmlns="http://schemas.openxmlformats.org/officeDocument/2006/custom-properties" xmlns:vt="http://schemas.openxmlformats.org/officeDocument/2006/docPropsVTypes"/>
</file>