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CB999" w14:textId="77777777" w:rsidR="00B3068C" w:rsidRPr="006F1D91" w:rsidRDefault="002242B0" w:rsidP="00D022A3">
      <w:pPr>
        <w:pStyle w:val="western"/>
        <w:spacing w:beforeAutospacing="0" w:after="0" w:line="360" w:lineRule="auto"/>
        <w:jc w:val="center"/>
      </w:pPr>
      <w:bookmarkStart w:id="0" w:name="_Hlk121388102"/>
      <w:bookmarkEnd w:id="0"/>
      <w:r w:rsidRPr="006F1D91">
        <w:rPr>
          <w:b/>
          <w:u w:val="single"/>
        </w:rPr>
        <w:t>JULGAMENTO DE IMPUGNAÇÃO</w:t>
      </w:r>
    </w:p>
    <w:p w14:paraId="1BA8D370" w14:textId="77777777" w:rsidR="00B3068C" w:rsidRPr="006F1D91" w:rsidRDefault="00B3068C" w:rsidP="00D022A3">
      <w:pPr>
        <w:pStyle w:val="western"/>
        <w:spacing w:beforeAutospacing="0" w:after="0" w:line="360" w:lineRule="auto"/>
        <w:jc w:val="both"/>
      </w:pPr>
    </w:p>
    <w:p w14:paraId="36C433A6" w14:textId="0675FA49" w:rsidR="00B3068C" w:rsidRPr="006F1D91" w:rsidRDefault="002242B0" w:rsidP="005E013A">
      <w:pPr>
        <w:pStyle w:val="western"/>
        <w:spacing w:beforeAutospacing="0" w:after="0" w:line="360" w:lineRule="auto"/>
        <w:ind w:firstLine="851"/>
        <w:jc w:val="both"/>
      </w:pPr>
      <w:r w:rsidRPr="006F1D91">
        <w:t xml:space="preserve">Cuida-se de </w:t>
      </w:r>
      <w:r w:rsidR="00B31D90" w:rsidRPr="006F1D91">
        <w:t>pleito impugnatório</w:t>
      </w:r>
      <w:r w:rsidRPr="006F1D91">
        <w:t xml:space="preserve"> ao Pregão Eletrônico nº </w:t>
      </w:r>
      <w:r w:rsidR="00CE5D75">
        <w:t>156</w:t>
      </w:r>
      <w:r w:rsidRPr="006F1D91">
        <w:t>/202</w:t>
      </w:r>
      <w:r w:rsidR="003E0F2D" w:rsidRPr="006F1D91">
        <w:t>2</w:t>
      </w:r>
      <w:r w:rsidRPr="006F1D91">
        <w:t xml:space="preserve"> </w:t>
      </w:r>
      <w:r w:rsidR="00EA2E15" w:rsidRPr="006F1D91">
        <w:t>-</w:t>
      </w:r>
      <w:r w:rsidRPr="006F1D91">
        <w:t xml:space="preserve"> </w:t>
      </w:r>
      <w:r w:rsidR="003E0F2D" w:rsidRPr="006F1D91">
        <w:t>PMBC</w:t>
      </w:r>
      <w:r w:rsidRPr="006F1D91">
        <w:t xml:space="preserve">, </w:t>
      </w:r>
      <w:r w:rsidR="00B31D90" w:rsidRPr="006F1D91">
        <w:t>expedido</w:t>
      </w:r>
      <w:r w:rsidRPr="006F1D91">
        <w:t xml:space="preserve"> via Protocolo</w:t>
      </w:r>
      <w:r w:rsidR="00EA2E15" w:rsidRPr="006F1D91">
        <w:t xml:space="preserve"> Eletrônico</w:t>
      </w:r>
      <w:r w:rsidRPr="006F1D91">
        <w:t xml:space="preserve"> </w:t>
      </w:r>
      <w:r w:rsidR="00B31D90" w:rsidRPr="006F1D91">
        <w:t>sob o</w:t>
      </w:r>
      <w:r w:rsidRPr="006F1D91">
        <w:t xml:space="preserve"> nº </w:t>
      </w:r>
      <w:r w:rsidR="00CE5D75">
        <w:t>108.</w:t>
      </w:r>
      <w:r w:rsidR="005E013A">
        <w:t>469</w:t>
      </w:r>
      <w:r w:rsidR="003E0F2D" w:rsidRPr="006F1D91">
        <w:t>/2022</w:t>
      </w:r>
      <w:r w:rsidRPr="006F1D91">
        <w:t>, apresentad</w:t>
      </w:r>
      <w:r w:rsidR="003E0F2D" w:rsidRPr="006F1D91">
        <w:t>o</w:t>
      </w:r>
      <w:r w:rsidRPr="006F1D91">
        <w:t xml:space="preserve"> pela empresa </w:t>
      </w:r>
      <w:r w:rsidR="005E013A">
        <w:t>JVS COMERCIAL EIRELI</w:t>
      </w:r>
      <w:r w:rsidR="003E0F2D" w:rsidRPr="006F1D91">
        <w:t xml:space="preserve">, inscrita no CNPJ sob o nº </w:t>
      </w:r>
      <w:r w:rsidR="005E013A">
        <w:t>28.039.420/0001-09</w:t>
      </w:r>
      <w:r w:rsidRPr="006F1D91">
        <w:t>.</w:t>
      </w:r>
    </w:p>
    <w:p w14:paraId="1FFE377B" w14:textId="77777777" w:rsidR="00B3068C" w:rsidRPr="006F1D91" w:rsidRDefault="00B3068C" w:rsidP="00D022A3">
      <w:pPr>
        <w:pStyle w:val="western"/>
        <w:spacing w:beforeAutospacing="0" w:after="0" w:line="360" w:lineRule="auto"/>
        <w:jc w:val="both"/>
      </w:pPr>
    </w:p>
    <w:p w14:paraId="76A32ACB" w14:textId="77777777" w:rsidR="00B3068C" w:rsidRPr="006F1D91" w:rsidRDefault="002242B0" w:rsidP="00D022A3">
      <w:pPr>
        <w:pStyle w:val="western"/>
        <w:spacing w:beforeAutospacing="0" w:after="0" w:line="360" w:lineRule="auto"/>
        <w:jc w:val="both"/>
      </w:pPr>
      <w:r w:rsidRPr="006F1D91">
        <w:rPr>
          <w:b/>
        </w:rPr>
        <w:t>DA ADMISSIBILIDADE</w:t>
      </w:r>
    </w:p>
    <w:p w14:paraId="6CADA807" w14:textId="77777777" w:rsidR="00B3068C" w:rsidRPr="006F1D91" w:rsidRDefault="00B3068C" w:rsidP="00D022A3">
      <w:pPr>
        <w:pStyle w:val="western"/>
        <w:spacing w:beforeAutospacing="0" w:after="0" w:line="360" w:lineRule="auto"/>
        <w:jc w:val="both"/>
        <w:rPr>
          <w:b/>
        </w:rPr>
      </w:pPr>
    </w:p>
    <w:p w14:paraId="5D13FF2A" w14:textId="526BF0A3" w:rsidR="00B3068C" w:rsidRPr="006F1D91" w:rsidRDefault="002242B0" w:rsidP="001864BB">
      <w:pPr>
        <w:pStyle w:val="western"/>
        <w:spacing w:beforeAutospacing="0" w:after="0" w:line="360" w:lineRule="auto"/>
        <w:ind w:firstLine="851"/>
        <w:jc w:val="both"/>
      </w:pPr>
      <w:r w:rsidRPr="006F1D91">
        <w:t xml:space="preserve">Nos termos do disposto no artigo 24, do Decreto </w:t>
      </w:r>
      <w:r w:rsidR="006A3BB3" w:rsidRPr="006F1D91">
        <w:t>Municipal</w:t>
      </w:r>
      <w:r w:rsidRPr="006F1D91">
        <w:t xml:space="preserve"> nº 10.</w:t>
      </w:r>
      <w:r w:rsidR="006A3BB3" w:rsidRPr="006F1D91">
        <w:t>540/2021</w:t>
      </w:r>
      <w:r w:rsidRPr="006F1D91">
        <w:t>, é cabível a impugnação, por qualquer pessoa, dos termos do edital do pregão, por meio eletrônico, na forma prevista no edital, até 3 (três) dias úteis anteriores à data fixada para abertura da sessão pública.</w:t>
      </w:r>
    </w:p>
    <w:p w14:paraId="6330DA61" w14:textId="77777777" w:rsidR="00B3068C" w:rsidRPr="006F1D91" w:rsidRDefault="00B3068C" w:rsidP="00121F1D">
      <w:pPr>
        <w:pStyle w:val="western"/>
        <w:spacing w:beforeAutospacing="0" w:after="0"/>
        <w:jc w:val="both"/>
      </w:pPr>
    </w:p>
    <w:p w14:paraId="64369932" w14:textId="77777777" w:rsidR="00B3068C" w:rsidRPr="006F1D91" w:rsidRDefault="002242B0" w:rsidP="00121F1D">
      <w:pPr>
        <w:pStyle w:val="western"/>
        <w:spacing w:beforeAutospacing="0" w:after="0"/>
        <w:ind w:left="2268"/>
        <w:jc w:val="both"/>
        <w:rPr>
          <w:sz w:val="20"/>
          <w:szCs w:val="20"/>
        </w:rPr>
      </w:pPr>
      <w:r w:rsidRPr="006F1D91">
        <w:rPr>
          <w:b/>
          <w:bCs/>
          <w:sz w:val="20"/>
          <w:szCs w:val="20"/>
        </w:rPr>
        <w:t>Impugnação</w:t>
      </w:r>
    </w:p>
    <w:p w14:paraId="1DA00AD4" w14:textId="00D02FE7" w:rsidR="00B3068C" w:rsidRPr="006F1D91" w:rsidRDefault="002242B0" w:rsidP="00121F1D">
      <w:pPr>
        <w:pStyle w:val="western"/>
        <w:spacing w:beforeAutospacing="0" w:after="0"/>
        <w:ind w:left="2268"/>
        <w:jc w:val="both"/>
        <w:rPr>
          <w:sz w:val="20"/>
          <w:szCs w:val="20"/>
        </w:rPr>
      </w:pPr>
      <w:r w:rsidRPr="006F1D91">
        <w:rPr>
          <w:sz w:val="20"/>
          <w:szCs w:val="20"/>
        </w:rPr>
        <w:t xml:space="preserve">Art. 24. </w:t>
      </w:r>
      <w:r w:rsidR="006F1D91" w:rsidRPr="006F1D91">
        <w:rPr>
          <w:color w:val="333333"/>
          <w:sz w:val="20"/>
          <w:szCs w:val="20"/>
          <w:shd w:val="clear" w:color="auto" w:fill="FFFFFF"/>
        </w:rPr>
        <w:t>Qualquer pessoa poderá impugnar os termos do edital do pregão, por meio presencial ou eletrônico, na forma prevista no edital, até três dias úteis anteriores à data fixada para abertura da sessão pública.</w:t>
      </w:r>
    </w:p>
    <w:p w14:paraId="1FCC1D91" w14:textId="3BA814B7" w:rsidR="00B3068C" w:rsidRPr="006F1D91" w:rsidRDefault="002242B0" w:rsidP="00121F1D">
      <w:pPr>
        <w:pStyle w:val="western"/>
        <w:spacing w:beforeAutospacing="0" w:after="0"/>
        <w:ind w:left="2268"/>
        <w:jc w:val="both"/>
        <w:rPr>
          <w:sz w:val="20"/>
          <w:szCs w:val="20"/>
        </w:rPr>
      </w:pPr>
      <w:r w:rsidRPr="006F1D91">
        <w:rPr>
          <w:sz w:val="20"/>
          <w:szCs w:val="20"/>
        </w:rPr>
        <w:t xml:space="preserve">§ 1º A impugnação não possui efeito suspensivo e caberá ao pregoeiro, auxiliado pelos responsáveis pela elaboração do edital e </w:t>
      </w:r>
      <w:r w:rsidR="006F1D91" w:rsidRPr="006F1D91">
        <w:rPr>
          <w:sz w:val="20"/>
          <w:szCs w:val="20"/>
        </w:rPr>
        <w:t>seus</w:t>
      </w:r>
      <w:r w:rsidRPr="006F1D91">
        <w:rPr>
          <w:sz w:val="20"/>
          <w:szCs w:val="20"/>
        </w:rPr>
        <w:t xml:space="preserve"> anexos, decidir sobre a impugnação no prazo de dois dias úteis, contado da data de recebimento da impugnação.</w:t>
      </w:r>
    </w:p>
    <w:p w14:paraId="74970024" w14:textId="77777777" w:rsidR="00B3068C" w:rsidRPr="006F1D91" w:rsidRDefault="00B3068C" w:rsidP="00121F1D">
      <w:pPr>
        <w:pStyle w:val="western"/>
        <w:spacing w:beforeAutospacing="0" w:after="0"/>
        <w:jc w:val="both"/>
      </w:pPr>
    </w:p>
    <w:p w14:paraId="5FED5552" w14:textId="18F0369D" w:rsidR="00B3068C" w:rsidRPr="006F1D91" w:rsidRDefault="006F1D91" w:rsidP="001864BB">
      <w:pPr>
        <w:pStyle w:val="western"/>
        <w:spacing w:beforeAutospacing="0" w:after="0" w:line="360" w:lineRule="auto"/>
        <w:ind w:firstLine="851"/>
        <w:jc w:val="both"/>
      </w:pPr>
      <w:r>
        <w:t xml:space="preserve">Em </w:t>
      </w:r>
      <w:r w:rsidR="002242B0" w:rsidRPr="006F1D91">
        <w:t>face do exposto, observa-se que a impugnante protocol</w:t>
      </w:r>
      <w:r>
        <w:t>izou</w:t>
      </w:r>
      <w:r w:rsidR="002242B0" w:rsidRPr="006F1D91">
        <w:t xml:space="preserve"> sua petição no dia </w:t>
      </w:r>
      <w:r w:rsidR="00EC6603">
        <w:t>6</w:t>
      </w:r>
      <w:r w:rsidR="00154C24" w:rsidRPr="006F1D91">
        <w:t xml:space="preserve"> </w:t>
      </w:r>
      <w:r>
        <w:t>de</w:t>
      </w:r>
      <w:r w:rsidR="002242B0" w:rsidRPr="006F1D91">
        <w:t xml:space="preserve"> </w:t>
      </w:r>
      <w:r w:rsidR="00EC6603">
        <w:t>dezembro</w:t>
      </w:r>
      <w:r w:rsidR="002242B0" w:rsidRPr="006F1D91">
        <w:t xml:space="preserve"> de 202</w:t>
      </w:r>
      <w:r>
        <w:t>2</w:t>
      </w:r>
      <w:r w:rsidR="002242B0" w:rsidRPr="006F1D91">
        <w:t xml:space="preserve">, portanto, </w:t>
      </w:r>
      <w:r w:rsidR="00154C24" w:rsidRPr="006F1D91">
        <w:rPr>
          <w:b/>
          <w:bCs/>
          <w:u w:val="single"/>
        </w:rPr>
        <w:t>TEMPESTIVA</w:t>
      </w:r>
      <w:r w:rsidR="00154C24" w:rsidRPr="006F1D91">
        <w:t>.</w:t>
      </w:r>
    </w:p>
    <w:p w14:paraId="3A4FC6A8" w14:textId="0CCDB4C5" w:rsidR="00F544A2" w:rsidRPr="006F1D91" w:rsidRDefault="00F544A2" w:rsidP="00D022A3">
      <w:pPr>
        <w:pStyle w:val="western"/>
        <w:spacing w:beforeAutospacing="0" w:after="0" w:line="360" w:lineRule="auto"/>
        <w:jc w:val="both"/>
      </w:pPr>
      <w:r w:rsidRPr="006F1D91">
        <w:tab/>
      </w:r>
      <w:r w:rsidRPr="006F1D91">
        <w:tab/>
      </w:r>
    </w:p>
    <w:p w14:paraId="2326DF70" w14:textId="77777777" w:rsidR="00B3068C" w:rsidRPr="006F1D91" w:rsidRDefault="002242B0" w:rsidP="00D022A3">
      <w:pPr>
        <w:pStyle w:val="western"/>
        <w:spacing w:beforeAutospacing="0" w:after="0" w:line="360" w:lineRule="auto"/>
        <w:jc w:val="both"/>
      </w:pPr>
      <w:r w:rsidRPr="006F1D91">
        <w:rPr>
          <w:b/>
        </w:rPr>
        <w:t>DOS PONTOS IMPUGNADOS</w:t>
      </w:r>
    </w:p>
    <w:p w14:paraId="25568E9A" w14:textId="77777777" w:rsidR="00B3068C" w:rsidRPr="006F1D91" w:rsidRDefault="00B3068C" w:rsidP="00D022A3">
      <w:pPr>
        <w:pStyle w:val="western"/>
        <w:spacing w:beforeAutospacing="0" w:after="0" w:line="360" w:lineRule="auto"/>
        <w:jc w:val="both"/>
      </w:pPr>
    </w:p>
    <w:p w14:paraId="78B4F0B9" w14:textId="05781EB6" w:rsidR="009B39FE" w:rsidRDefault="00F665C8" w:rsidP="001864BB">
      <w:pPr>
        <w:pStyle w:val="western"/>
        <w:spacing w:beforeAutospacing="0" w:after="0" w:line="360" w:lineRule="auto"/>
        <w:ind w:firstLine="851"/>
        <w:jc w:val="both"/>
      </w:pPr>
      <w:r>
        <w:t>A</w:t>
      </w:r>
      <w:r w:rsidR="002242B0" w:rsidRPr="006F1D91">
        <w:t xml:space="preserve"> impugnante a</w:t>
      </w:r>
      <w:r w:rsidR="0001507F" w:rsidRPr="006F1D91">
        <w:t>lega</w:t>
      </w:r>
      <w:r w:rsidR="002242B0" w:rsidRPr="006F1D91">
        <w:t xml:space="preserve"> que </w:t>
      </w:r>
      <w:r w:rsidR="0001507F" w:rsidRPr="006F1D91">
        <w:t xml:space="preserve">o edital </w:t>
      </w:r>
      <w:r w:rsidR="00C66C3B">
        <w:t>contém irregularidades nas exigências de qualificação econômico-financeira, citando a comprovação de patrimônio líquido de 5% (cinco por cento) do valor estimado da contratação; e demonstração financeira com a aplicação do índice de liquidez geral, liquidez corrente e solvência geral.</w:t>
      </w:r>
      <w:r w:rsidR="00650D16">
        <w:t xml:space="preserve"> Assim, avalia que o licitante que tenha atingido os índices mínimos preconizados no edital, poderá demonstrar sua capacidade financeira.</w:t>
      </w:r>
    </w:p>
    <w:p w14:paraId="6214E480" w14:textId="77777777" w:rsidR="002C288B" w:rsidRPr="006F1D91" w:rsidRDefault="002C288B" w:rsidP="001864BB">
      <w:pPr>
        <w:pStyle w:val="western"/>
        <w:spacing w:beforeAutospacing="0" w:after="0" w:line="360" w:lineRule="auto"/>
        <w:ind w:firstLine="851"/>
        <w:jc w:val="both"/>
      </w:pPr>
    </w:p>
    <w:p w14:paraId="139CF271" w14:textId="5D8609A9" w:rsidR="00B3068C" w:rsidRPr="006F1D91" w:rsidRDefault="00B80178" w:rsidP="001864BB">
      <w:pPr>
        <w:pStyle w:val="western"/>
        <w:spacing w:beforeAutospacing="0" w:after="0" w:line="360" w:lineRule="auto"/>
        <w:ind w:firstLine="851"/>
        <w:jc w:val="both"/>
      </w:pPr>
      <w:r>
        <w:t>Ante</w:t>
      </w:r>
      <w:r w:rsidR="002242B0" w:rsidRPr="006F1D91">
        <w:t xml:space="preserve"> o exposto, requer </w:t>
      </w:r>
      <w:r w:rsidR="00650D16">
        <w:t>o</w:t>
      </w:r>
      <w:r w:rsidR="00D70CE6">
        <w:t xml:space="preserve"> provimento da presente impugnação, </w:t>
      </w:r>
      <w:r w:rsidR="00650D16">
        <w:t>declarando nulo o item atacado com relação a comprovação de patrimônio líquido somado aos índices contábeis</w:t>
      </w:r>
      <w:r w:rsidR="002E270D">
        <w:t xml:space="preserve">; exigir índices contábeis, e caso a proponente não os atinja, não seja de imediato inabilitada, mas </w:t>
      </w:r>
      <w:r w:rsidR="002E270D">
        <w:lastRenderedPageBreak/>
        <w:t>comprove patrimônio líquido proporcional ao valor da contratação; e determinar a republicação do edital, escoimando o vício apontado, reabrindo-se o prazo inicialmente previsto.</w:t>
      </w:r>
    </w:p>
    <w:p w14:paraId="68E530D9" w14:textId="77777777" w:rsidR="00647BF9" w:rsidRDefault="00647BF9" w:rsidP="00D022A3">
      <w:pPr>
        <w:pStyle w:val="western"/>
        <w:spacing w:beforeAutospacing="0" w:after="0" w:line="360" w:lineRule="auto"/>
        <w:jc w:val="both"/>
        <w:rPr>
          <w:b/>
          <w:bCs/>
        </w:rPr>
      </w:pPr>
    </w:p>
    <w:p w14:paraId="1BCB2039" w14:textId="5FEB81F3" w:rsidR="00D65982" w:rsidRPr="00F50E8F" w:rsidRDefault="00D65982" w:rsidP="00D022A3">
      <w:pPr>
        <w:pStyle w:val="western"/>
        <w:spacing w:beforeAutospacing="0" w:after="0" w:line="360" w:lineRule="auto"/>
        <w:jc w:val="both"/>
        <w:rPr>
          <w:b/>
          <w:bCs/>
        </w:rPr>
      </w:pPr>
      <w:r w:rsidRPr="00D65982">
        <w:rPr>
          <w:b/>
          <w:bCs/>
        </w:rPr>
        <w:t>DO JULGAMEN</w:t>
      </w:r>
      <w:r w:rsidRPr="00F50E8F">
        <w:rPr>
          <w:b/>
          <w:bCs/>
        </w:rPr>
        <w:t>TO</w:t>
      </w:r>
    </w:p>
    <w:p w14:paraId="0913595F" w14:textId="089263BD" w:rsidR="00D65982" w:rsidRDefault="00D65982" w:rsidP="00D022A3">
      <w:pPr>
        <w:pStyle w:val="western"/>
        <w:spacing w:beforeAutospacing="0" w:after="0" w:line="360" w:lineRule="auto"/>
        <w:jc w:val="both"/>
        <w:rPr>
          <w:b/>
          <w:bCs/>
        </w:rPr>
      </w:pPr>
    </w:p>
    <w:p w14:paraId="2F8385F6" w14:textId="68528FDD" w:rsidR="0001003B" w:rsidRPr="0001003B" w:rsidRDefault="0001003B" w:rsidP="001864BB">
      <w:pPr>
        <w:pBdr>
          <w:top w:val="nil"/>
          <w:left w:val="nil"/>
          <w:bottom w:val="nil"/>
          <w:right w:val="nil"/>
          <w:between w:val="nil"/>
        </w:pBdr>
        <w:spacing w:after="0" w:line="360" w:lineRule="auto"/>
        <w:ind w:firstLine="851"/>
        <w:jc w:val="both"/>
        <w:rPr>
          <w:rFonts w:ascii="Times New Roman" w:hAnsi="Times New Roman" w:cs="Times New Roman"/>
          <w:sz w:val="24"/>
          <w:szCs w:val="24"/>
        </w:rPr>
      </w:pPr>
      <w:r w:rsidRPr="0001003B">
        <w:rPr>
          <w:rFonts w:ascii="Times New Roman" w:hAnsi="Times New Roman" w:cs="Times New Roman"/>
          <w:sz w:val="24"/>
          <w:szCs w:val="24"/>
        </w:rPr>
        <w:t>Preliminarmente, cabe esclarecer que todas as deliberações relativas ao Pregão Eletrônico, ora em análise, são tomadas em concordância com a legislação vigente, respeitando-se os princípios da Administração Pública, em especial aos princípios da legalidade, da impessoalidade, da moralidade, da igualdade, da publicidade, da probidade administrativa, da celeridade, da finalidade, da razoabilidade, da proporcionalidade, da competitividade e da economicidade.</w:t>
      </w:r>
    </w:p>
    <w:p w14:paraId="1A544FBB" w14:textId="77777777" w:rsidR="0001003B" w:rsidRPr="0001003B" w:rsidRDefault="0001003B" w:rsidP="001864BB">
      <w:pPr>
        <w:pStyle w:val="western"/>
        <w:spacing w:beforeAutospacing="0" w:after="0" w:line="360" w:lineRule="auto"/>
        <w:ind w:firstLine="851"/>
        <w:jc w:val="both"/>
      </w:pPr>
    </w:p>
    <w:p w14:paraId="6343363D" w14:textId="76C12444" w:rsidR="0001003B" w:rsidRDefault="00647BF9" w:rsidP="002E270D">
      <w:pPr>
        <w:pBdr>
          <w:top w:val="nil"/>
          <w:left w:val="nil"/>
          <w:bottom w:val="nil"/>
          <w:right w:val="nil"/>
          <w:between w:val="nil"/>
        </w:pBdr>
        <w:spacing w:after="0" w:line="360" w:lineRule="auto"/>
        <w:ind w:firstLine="851"/>
        <w:jc w:val="both"/>
        <w:rPr>
          <w:rFonts w:ascii="Times New Roman" w:hAnsi="Times New Roman" w:cs="Times New Roman"/>
          <w:sz w:val="24"/>
          <w:szCs w:val="24"/>
        </w:rPr>
      </w:pPr>
      <w:r w:rsidRPr="0001003B">
        <w:rPr>
          <w:rFonts w:ascii="Times New Roman" w:hAnsi="Times New Roman" w:cs="Times New Roman"/>
          <w:sz w:val="24"/>
          <w:szCs w:val="24"/>
        </w:rPr>
        <w:t>C</w:t>
      </w:r>
      <w:r w:rsidR="00B018FB" w:rsidRPr="0001003B">
        <w:rPr>
          <w:rFonts w:ascii="Times New Roman" w:hAnsi="Times New Roman" w:cs="Times New Roman"/>
          <w:sz w:val="24"/>
          <w:szCs w:val="24"/>
        </w:rPr>
        <w:t xml:space="preserve">om relação </w:t>
      </w:r>
      <w:r w:rsidR="00277F0A">
        <w:rPr>
          <w:rFonts w:ascii="Times New Roman" w:hAnsi="Times New Roman" w:cs="Times New Roman"/>
          <w:sz w:val="24"/>
          <w:szCs w:val="24"/>
        </w:rPr>
        <w:t xml:space="preserve">ao pleito de que </w:t>
      </w:r>
      <w:r w:rsidR="003A7E20">
        <w:rPr>
          <w:rFonts w:ascii="Times New Roman" w:hAnsi="Times New Roman" w:cs="Times New Roman"/>
          <w:sz w:val="24"/>
          <w:szCs w:val="24"/>
        </w:rPr>
        <w:t>a</w:t>
      </w:r>
      <w:r w:rsidR="00043B16">
        <w:rPr>
          <w:rFonts w:ascii="Times New Roman" w:hAnsi="Times New Roman" w:cs="Times New Roman"/>
          <w:sz w:val="24"/>
          <w:szCs w:val="24"/>
        </w:rPr>
        <w:t>s</w:t>
      </w:r>
      <w:r w:rsidR="003A7E20">
        <w:rPr>
          <w:rFonts w:ascii="Times New Roman" w:hAnsi="Times New Roman" w:cs="Times New Roman"/>
          <w:sz w:val="24"/>
          <w:szCs w:val="24"/>
        </w:rPr>
        <w:t xml:space="preserve"> exigência</w:t>
      </w:r>
      <w:r w:rsidR="00043B16">
        <w:rPr>
          <w:rFonts w:ascii="Times New Roman" w:hAnsi="Times New Roman" w:cs="Times New Roman"/>
          <w:sz w:val="24"/>
          <w:szCs w:val="24"/>
        </w:rPr>
        <w:t>s</w:t>
      </w:r>
      <w:r w:rsidR="003A7E20">
        <w:rPr>
          <w:rFonts w:ascii="Times New Roman" w:hAnsi="Times New Roman" w:cs="Times New Roman"/>
          <w:sz w:val="24"/>
          <w:szCs w:val="24"/>
        </w:rPr>
        <w:t xml:space="preserve"> da</w:t>
      </w:r>
      <w:r w:rsidRPr="0001003B">
        <w:rPr>
          <w:rFonts w:ascii="Times New Roman" w:hAnsi="Times New Roman" w:cs="Times New Roman"/>
          <w:sz w:val="24"/>
          <w:szCs w:val="24"/>
        </w:rPr>
        <w:t xml:space="preserve"> </w:t>
      </w:r>
      <w:r w:rsidR="003A7E20" w:rsidRPr="003A7E20">
        <w:rPr>
          <w:rFonts w:ascii="Times New Roman" w:hAnsi="Times New Roman" w:cs="Times New Roman"/>
          <w:sz w:val="24"/>
          <w:szCs w:val="24"/>
        </w:rPr>
        <w:t>comprovação de patrimônio líquido somado aos índices contábeis</w:t>
      </w:r>
      <w:r w:rsidR="003A7E20">
        <w:rPr>
          <w:rFonts w:ascii="Times New Roman" w:hAnsi="Times New Roman" w:cs="Times New Roman"/>
          <w:sz w:val="24"/>
          <w:szCs w:val="24"/>
        </w:rPr>
        <w:t xml:space="preserve"> restringem o caráter competitivo</w:t>
      </w:r>
      <w:r w:rsidR="00043B16">
        <w:rPr>
          <w:rFonts w:ascii="Times New Roman" w:hAnsi="Times New Roman" w:cs="Times New Roman"/>
          <w:sz w:val="24"/>
          <w:szCs w:val="24"/>
        </w:rPr>
        <w:t>, vejamos o que disciplina a Lei Geral de Licitações:</w:t>
      </w:r>
    </w:p>
    <w:p w14:paraId="096D738C" w14:textId="6A994188" w:rsidR="00043B16" w:rsidRDefault="00043B16" w:rsidP="002E270D">
      <w:pPr>
        <w:pBdr>
          <w:top w:val="nil"/>
          <w:left w:val="nil"/>
          <w:bottom w:val="nil"/>
          <w:right w:val="nil"/>
          <w:between w:val="nil"/>
        </w:pBdr>
        <w:spacing w:after="0" w:line="360" w:lineRule="auto"/>
        <w:ind w:firstLine="851"/>
        <w:jc w:val="both"/>
        <w:rPr>
          <w:rFonts w:ascii="Times New Roman" w:hAnsi="Times New Roman" w:cs="Times New Roman"/>
          <w:sz w:val="20"/>
          <w:szCs w:val="20"/>
        </w:rPr>
      </w:pPr>
    </w:p>
    <w:p w14:paraId="516ACB8C" w14:textId="77777777" w:rsidR="00043B16" w:rsidRPr="00043B16" w:rsidRDefault="00043B16" w:rsidP="00043B16">
      <w:pPr>
        <w:pBdr>
          <w:top w:val="nil"/>
          <w:left w:val="nil"/>
          <w:bottom w:val="nil"/>
          <w:right w:val="nil"/>
          <w:between w:val="nil"/>
        </w:pBdr>
        <w:spacing w:after="0" w:line="240" w:lineRule="auto"/>
        <w:ind w:left="2268"/>
        <w:jc w:val="both"/>
        <w:rPr>
          <w:rFonts w:ascii="Times New Roman" w:hAnsi="Times New Roman" w:cs="Times New Roman"/>
          <w:sz w:val="20"/>
          <w:szCs w:val="20"/>
        </w:rPr>
      </w:pPr>
      <w:r w:rsidRPr="00043B16">
        <w:rPr>
          <w:rFonts w:ascii="Times New Roman" w:hAnsi="Times New Roman" w:cs="Times New Roman"/>
          <w:sz w:val="20"/>
          <w:szCs w:val="20"/>
        </w:rPr>
        <w:t>Art. 31.  A documentação relativa à qualificação econômico-financeira limitar-se-á a:</w:t>
      </w:r>
    </w:p>
    <w:p w14:paraId="38C127BF" w14:textId="77777777" w:rsidR="00043B16" w:rsidRPr="00043B16" w:rsidRDefault="00043B16" w:rsidP="00043B16">
      <w:pPr>
        <w:pBdr>
          <w:top w:val="nil"/>
          <w:left w:val="nil"/>
          <w:bottom w:val="nil"/>
          <w:right w:val="nil"/>
          <w:between w:val="nil"/>
        </w:pBdr>
        <w:spacing w:after="0" w:line="240" w:lineRule="auto"/>
        <w:ind w:left="2268"/>
        <w:jc w:val="both"/>
        <w:rPr>
          <w:rFonts w:ascii="Times New Roman" w:hAnsi="Times New Roman" w:cs="Times New Roman"/>
          <w:sz w:val="20"/>
          <w:szCs w:val="20"/>
        </w:rPr>
      </w:pPr>
      <w:r w:rsidRPr="00043B16">
        <w:rPr>
          <w:rFonts w:ascii="Times New Roman" w:hAnsi="Times New Roman" w:cs="Times New Roman"/>
          <w:sz w:val="20"/>
          <w:szCs w:val="20"/>
        </w:rPr>
        <w:t xml:space="preserve">I - </w:t>
      </w:r>
      <w:proofErr w:type="gramStart"/>
      <w:r w:rsidRPr="00043B16">
        <w:rPr>
          <w:rFonts w:ascii="Times New Roman" w:hAnsi="Times New Roman" w:cs="Times New Roman"/>
          <w:sz w:val="20"/>
          <w:szCs w:val="20"/>
        </w:rPr>
        <w:t>balanço</w:t>
      </w:r>
      <w:proofErr w:type="gramEnd"/>
      <w:r w:rsidRPr="00043B16">
        <w:rPr>
          <w:rFonts w:ascii="Times New Roman" w:hAnsi="Times New Roman" w:cs="Times New Roman"/>
          <w:sz w:val="20"/>
          <w:szCs w:val="20"/>
        </w:rPr>
        <w:t xml:space="preserve">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64470E77" w14:textId="77777777" w:rsidR="00043B16" w:rsidRPr="00043B16" w:rsidRDefault="00043B16" w:rsidP="00043B16">
      <w:pPr>
        <w:pBdr>
          <w:top w:val="nil"/>
          <w:left w:val="nil"/>
          <w:bottom w:val="nil"/>
          <w:right w:val="nil"/>
          <w:between w:val="nil"/>
        </w:pBdr>
        <w:spacing w:after="0" w:line="240" w:lineRule="auto"/>
        <w:ind w:left="2268"/>
        <w:jc w:val="both"/>
        <w:rPr>
          <w:rFonts w:ascii="Times New Roman" w:hAnsi="Times New Roman" w:cs="Times New Roman"/>
          <w:sz w:val="20"/>
          <w:szCs w:val="20"/>
        </w:rPr>
      </w:pPr>
      <w:r w:rsidRPr="00043B16">
        <w:rPr>
          <w:rFonts w:ascii="Times New Roman" w:hAnsi="Times New Roman" w:cs="Times New Roman"/>
          <w:sz w:val="20"/>
          <w:szCs w:val="20"/>
        </w:rPr>
        <w:t xml:space="preserve">II - </w:t>
      </w:r>
      <w:proofErr w:type="gramStart"/>
      <w:r w:rsidRPr="00043B16">
        <w:rPr>
          <w:rFonts w:ascii="Times New Roman" w:hAnsi="Times New Roman" w:cs="Times New Roman"/>
          <w:sz w:val="20"/>
          <w:szCs w:val="20"/>
        </w:rPr>
        <w:t>certidão</w:t>
      </w:r>
      <w:proofErr w:type="gramEnd"/>
      <w:r w:rsidRPr="00043B16">
        <w:rPr>
          <w:rFonts w:ascii="Times New Roman" w:hAnsi="Times New Roman" w:cs="Times New Roman"/>
          <w:sz w:val="20"/>
          <w:szCs w:val="20"/>
        </w:rPr>
        <w:t xml:space="preserve"> negativa de falência ou concordata expedida pelo distribuidor da sede da pessoa jurídica, ou de execução patrimonial, expedida no domicílio da pessoa física;</w:t>
      </w:r>
    </w:p>
    <w:p w14:paraId="26F5CDB6" w14:textId="77777777" w:rsidR="00043B16" w:rsidRPr="00043B16" w:rsidRDefault="00043B16" w:rsidP="00043B16">
      <w:pPr>
        <w:pBdr>
          <w:top w:val="nil"/>
          <w:left w:val="nil"/>
          <w:bottom w:val="nil"/>
          <w:right w:val="nil"/>
          <w:between w:val="nil"/>
        </w:pBdr>
        <w:spacing w:after="0" w:line="240" w:lineRule="auto"/>
        <w:ind w:left="2268"/>
        <w:jc w:val="both"/>
        <w:rPr>
          <w:rFonts w:ascii="Times New Roman" w:hAnsi="Times New Roman" w:cs="Times New Roman"/>
          <w:sz w:val="20"/>
          <w:szCs w:val="20"/>
        </w:rPr>
      </w:pPr>
      <w:r w:rsidRPr="00043B16">
        <w:rPr>
          <w:rFonts w:ascii="Times New Roman" w:hAnsi="Times New Roman" w:cs="Times New Roman"/>
          <w:sz w:val="20"/>
          <w:szCs w:val="20"/>
        </w:rPr>
        <w:t>III - garantia, nas mesmas modalidades e critérios previstos no "caput" e § 1o do art. 56 desta Lei, limitada a 1% (um por cento) do valor estimado do objeto da contratação.</w:t>
      </w:r>
    </w:p>
    <w:p w14:paraId="450CC751" w14:textId="66AD8AFC" w:rsidR="00043B16" w:rsidRPr="00043B16" w:rsidRDefault="00043B16" w:rsidP="00043B16">
      <w:pPr>
        <w:pBdr>
          <w:top w:val="nil"/>
          <w:left w:val="nil"/>
          <w:bottom w:val="nil"/>
          <w:right w:val="nil"/>
          <w:between w:val="nil"/>
        </w:pBdr>
        <w:spacing w:after="0" w:line="240" w:lineRule="auto"/>
        <w:ind w:left="2268"/>
        <w:jc w:val="both"/>
        <w:rPr>
          <w:rFonts w:ascii="Times New Roman" w:hAnsi="Times New Roman" w:cs="Times New Roman"/>
          <w:sz w:val="20"/>
          <w:szCs w:val="20"/>
        </w:rPr>
      </w:pPr>
      <w:r w:rsidRPr="00043B16">
        <w:rPr>
          <w:rFonts w:ascii="Times New Roman" w:hAnsi="Times New Roman" w:cs="Times New Roman"/>
          <w:sz w:val="20"/>
          <w:szCs w:val="20"/>
        </w:rPr>
        <w:t>§ 1</w:t>
      </w:r>
      <w:r>
        <w:rPr>
          <w:rFonts w:ascii="Times New Roman" w:hAnsi="Times New Roman" w:cs="Times New Roman"/>
          <w:sz w:val="20"/>
          <w:szCs w:val="20"/>
        </w:rPr>
        <w:t>º</w:t>
      </w:r>
      <w:r w:rsidRPr="00043B16">
        <w:rPr>
          <w:rFonts w:ascii="Times New Roman" w:hAnsi="Times New Roman" w:cs="Times New Roman"/>
          <w:sz w:val="20"/>
          <w:szCs w:val="20"/>
        </w:rPr>
        <w:t xml:space="preserve"> A exigência de índices limitar-se-á à demonstração da capacidade financeira do licitante com vistas aos compromissos que terá que assumir caso lhe seja adjudicado o contrato, vedada a exigência de valores mínimos de faturamento anterior, índices de rentabilidade ou lucratividade.             (Redação dada pela Lei nº 8.883, de 1994)</w:t>
      </w:r>
    </w:p>
    <w:p w14:paraId="48CE7D50" w14:textId="33ADC21A" w:rsidR="00043B16" w:rsidRPr="00043B16" w:rsidRDefault="00043B16" w:rsidP="00043B16">
      <w:pPr>
        <w:pBdr>
          <w:top w:val="nil"/>
          <w:left w:val="nil"/>
          <w:bottom w:val="nil"/>
          <w:right w:val="nil"/>
          <w:between w:val="nil"/>
        </w:pBdr>
        <w:spacing w:after="0" w:line="240" w:lineRule="auto"/>
        <w:ind w:left="2268"/>
        <w:jc w:val="both"/>
        <w:rPr>
          <w:rFonts w:ascii="Times New Roman" w:hAnsi="Times New Roman" w:cs="Times New Roman"/>
          <w:sz w:val="20"/>
          <w:szCs w:val="20"/>
        </w:rPr>
      </w:pPr>
      <w:r w:rsidRPr="00043B16">
        <w:rPr>
          <w:rFonts w:ascii="Times New Roman" w:hAnsi="Times New Roman" w:cs="Times New Roman"/>
          <w:sz w:val="20"/>
          <w:szCs w:val="20"/>
        </w:rPr>
        <w:t>§ 2</w:t>
      </w:r>
      <w:r>
        <w:rPr>
          <w:rFonts w:ascii="Times New Roman" w:hAnsi="Times New Roman" w:cs="Times New Roman"/>
          <w:sz w:val="20"/>
          <w:szCs w:val="20"/>
        </w:rPr>
        <w:t>º</w:t>
      </w:r>
      <w:r w:rsidRPr="00043B16">
        <w:rPr>
          <w:rFonts w:ascii="Times New Roman" w:hAnsi="Times New Roman" w:cs="Times New Roman"/>
          <w:sz w:val="20"/>
          <w:szCs w:val="20"/>
        </w:rPr>
        <w:t xml:space="preserve"> </w:t>
      </w:r>
      <w:r w:rsidRPr="00043B16">
        <w:rPr>
          <w:rFonts w:ascii="Times New Roman" w:hAnsi="Times New Roman" w:cs="Times New Roman"/>
          <w:b/>
          <w:bCs/>
          <w:sz w:val="20"/>
          <w:szCs w:val="20"/>
          <w:u w:val="single"/>
        </w:rPr>
        <w:t>A Administração, nas compras para entrega futura e na execução de obras e serviços, poderá estabelecer, no instrumento convocatório da licitação, a exigência de capital mínimo ou de patrimônio líquido mínimo, ou ainda as garantias previstas no § 1o do art. 56 desta Lei, como dado objetivo de comprovação da qualificação econômico-financeira dos licitantes e para efeito de garantia ao adimplemento do contrato a ser ulteriormente celebrado</w:t>
      </w:r>
      <w:r w:rsidRPr="00043B16">
        <w:rPr>
          <w:rFonts w:ascii="Times New Roman" w:hAnsi="Times New Roman" w:cs="Times New Roman"/>
          <w:sz w:val="20"/>
          <w:szCs w:val="20"/>
        </w:rPr>
        <w:t>.</w:t>
      </w:r>
    </w:p>
    <w:p w14:paraId="032E6969" w14:textId="0598FDEC" w:rsidR="00043B16" w:rsidRPr="00043B16" w:rsidRDefault="00043B16" w:rsidP="00043B16">
      <w:pPr>
        <w:pBdr>
          <w:top w:val="nil"/>
          <w:left w:val="nil"/>
          <w:bottom w:val="nil"/>
          <w:right w:val="nil"/>
          <w:between w:val="nil"/>
        </w:pBdr>
        <w:spacing w:after="0" w:line="240" w:lineRule="auto"/>
        <w:ind w:left="2268"/>
        <w:jc w:val="both"/>
        <w:rPr>
          <w:rFonts w:ascii="Times New Roman" w:hAnsi="Times New Roman" w:cs="Times New Roman"/>
          <w:sz w:val="20"/>
          <w:szCs w:val="20"/>
        </w:rPr>
      </w:pPr>
      <w:r w:rsidRPr="00043B16">
        <w:rPr>
          <w:rFonts w:ascii="Times New Roman" w:hAnsi="Times New Roman" w:cs="Times New Roman"/>
          <w:sz w:val="20"/>
          <w:szCs w:val="20"/>
        </w:rPr>
        <w:t>§ 3</w:t>
      </w:r>
      <w:r>
        <w:rPr>
          <w:rFonts w:ascii="Times New Roman" w:hAnsi="Times New Roman" w:cs="Times New Roman"/>
          <w:sz w:val="20"/>
          <w:szCs w:val="20"/>
        </w:rPr>
        <w:t>º</w:t>
      </w:r>
      <w:r w:rsidRPr="00043B16">
        <w:rPr>
          <w:rFonts w:ascii="Times New Roman" w:hAnsi="Times New Roman" w:cs="Times New Roman"/>
          <w:sz w:val="20"/>
          <w:szCs w:val="20"/>
        </w:rPr>
        <w:t xml:space="preserve"> </w:t>
      </w:r>
      <w:r w:rsidRPr="00043B16">
        <w:rPr>
          <w:rFonts w:ascii="Times New Roman" w:hAnsi="Times New Roman" w:cs="Times New Roman"/>
          <w:b/>
          <w:bCs/>
          <w:sz w:val="20"/>
          <w:szCs w:val="20"/>
          <w:u w:val="single"/>
        </w:rPr>
        <w:t>O capital mínimo ou o valor do patrimônio líquido a que se refere o parágrafo anterior não poderá exceder a 10% (dez por cento) do valor estimado da contratação</w:t>
      </w:r>
      <w:r w:rsidRPr="00043B16">
        <w:rPr>
          <w:rFonts w:ascii="Times New Roman" w:hAnsi="Times New Roman" w:cs="Times New Roman"/>
          <w:sz w:val="20"/>
          <w:szCs w:val="20"/>
        </w:rPr>
        <w:t>, devendo a comprovação ser feita relativamente à data da apresentação da proposta, na forma da lei, admitida a atualização para esta data através de índices oficiais.</w:t>
      </w:r>
    </w:p>
    <w:p w14:paraId="0E043D7E" w14:textId="3686177C" w:rsidR="00043B16" w:rsidRPr="00043B16" w:rsidRDefault="00043B16" w:rsidP="00043B16">
      <w:pPr>
        <w:pBdr>
          <w:top w:val="nil"/>
          <w:left w:val="nil"/>
          <w:bottom w:val="nil"/>
          <w:right w:val="nil"/>
          <w:between w:val="nil"/>
        </w:pBdr>
        <w:spacing w:after="0" w:line="240" w:lineRule="auto"/>
        <w:ind w:left="2268"/>
        <w:jc w:val="both"/>
        <w:rPr>
          <w:rFonts w:ascii="Times New Roman" w:hAnsi="Times New Roman" w:cs="Times New Roman"/>
          <w:sz w:val="20"/>
          <w:szCs w:val="20"/>
        </w:rPr>
      </w:pPr>
      <w:r w:rsidRPr="00043B16">
        <w:rPr>
          <w:rFonts w:ascii="Times New Roman" w:hAnsi="Times New Roman" w:cs="Times New Roman"/>
          <w:sz w:val="20"/>
          <w:szCs w:val="20"/>
        </w:rPr>
        <w:t>§ 4</w:t>
      </w:r>
      <w:r>
        <w:rPr>
          <w:rFonts w:ascii="Times New Roman" w:hAnsi="Times New Roman" w:cs="Times New Roman"/>
          <w:sz w:val="20"/>
          <w:szCs w:val="20"/>
        </w:rPr>
        <w:t>º</w:t>
      </w:r>
      <w:r w:rsidRPr="00043B16">
        <w:rPr>
          <w:rFonts w:ascii="Times New Roman" w:hAnsi="Times New Roman" w:cs="Times New Roman"/>
          <w:sz w:val="20"/>
          <w:szCs w:val="20"/>
        </w:rPr>
        <w:t xml:space="preserve"> Poderá ser exigida, ainda, a relação dos compromissos assumidos pelo licitante que importem diminuição da capacidade operativa ou absorção de disponibilidade financeira, calculada esta em função do patrimônio líquido atualizado e sua capacidade de rotação.</w:t>
      </w:r>
    </w:p>
    <w:p w14:paraId="1473EFED" w14:textId="13C70274" w:rsidR="00043B16" w:rsidRPr="006328FE" w:rsidRDefault="00043B16" w:rsidP="00043B16">
      <w:pPr>
        <w:pBdr>
          <w:top w:val="nil"/>
          <w:left w:val="nil"/>
          <w:bottom w:val="nil"/>
          <w:right w:val="nil"/>
          <w:between w:val="nil"/>
        </w:pBdr>
        <w:spacing w:after="0" w:line="240" w:lineRule="auto"/>
        <w:ind w:left="2268"/>
        <w:jc w:val="both"/>
        <w:rPr>
          <w:rFonts w:ascii="Times New Roman" w:hAnsi="Times New Roman" w:cs="Times New Roman"/>
          <w:sz w:val="20"/>
          <w:szCs w:val="20"/>
        </w:rPr>
      </w:pPr>
      <w:r w:rsidRPr="00043B16">
        <w:rPr>
          <w:rFonts w:ascii="Times New Roman" w:hAnsi="Times New Roman" w:cs="Times New Roman"/>
          <w:sz w:val="20"/>
          <w:szCs w:val="20"/>
        </w:rPr>
        <w:lastRenderedPageBreak/>
        <w:t>§ 5</w:t>
      </w:r>
      <w:r>
        <w:rPr>
          <w:rFonts w:ascii="Times New Roman" w:hAnsi="Times New Roman" w:cs="Times New Roman"/>
          <w:sz w:val="20"/>
          <w:szCs w:val="20"/>
        </w:rPr>
        <w:t>º</w:t>
      </w:r>
      <w:r w:rsidRPr="00043B16">
        <w:rPr>
          <w:rFonts w:ascii="Times New Roman" w:hAnsi="Times New Roman" w:cs="Times New Roman"/>
          <w:sz w:val="20"/>
          <w:szCs w:val="20"/>
        </w:rPr>
        <w:t xml:space="preserve"> A comprovação de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correta avaliação de situação financeira suficiente ao cumprimento das obrigações decorrentes da licitação.</w:t>
      </w:r>
    </w:p>
    <w:p w14:paraId="7DFE06F6" w14:textId="77777777" w:rsidR="006328FE" w:rsidRDefault="006328FE" w:rsidP="0001003B">
      <w:pPr>
        <w:pStyle w:val="western"/>
        <w:spacing w:beforeAutospacing="0" w:after="0"/>
        <w:ind w:firstLine="851"/>
        <w:jc w:val="both"/>
        <w:rPr>
          <w:shd w:val="clear" w:color="auto" w:fill="FFFFFF"/>
        </w:rPr>
      </w:pPr>
    </w:p>
    <w:p w14:paraId="741A659D" w14:textId="4ECAD68E" w:rsidR="00824F86" w:rsidRDefault="00052E92" w:rsidP="0024758B">
      <w:pPr>
        <w:pStyle w:val="western"/>
        <w:spacing w:beforeAutospacing="0" w:after="0" w:line="360" w:lineRule="auto"/>
        <w:ind w:firstLine="851"/>
        <w:jc w:val="both"/>
      </w:pPr>
      <w:r>
        <w:t>D</w:t>
      </w:r>
      <w:r w:rsidR="00824F86">
        <w:t>enota-se que a norma assegura a utilização dos requisitos</w:t>
      </w:r>
      <w:r w:rsidR="00EE300A">
        <w:t>, ora em análise</w:t>
      </w:r>
      <w:r w:rsidR="00824F86">
        <w:t>,</w:t>
      </w:r>
      <w:r w:rsidR="00EE300A">
        <w:t xml:space="preserve"> consistindo</w:t>
      </w:r>
      <w:r w:rsidR="00EE300A">
        <w:t xml:space="preserve"> </w:t>
      </w:r>
      <w:r w:rsidR="00EE300A" w:rsidRPr="0001003B">
        <w:t>quest</w:t>
      </w:r>
      <w:r w:rsidR="00EE300A">
        <w:t>ões</w:t>
      </w:r>
      <w:r w:rsidR="00EE300A" w:rsidRPr="0001003B">
        <w:t xml:space="preserve"> facultativa</w:t>
      </w:r>
      <w:r w:rsidR="00EE300A">
        <w:t>s</w:t>
      </w:r>
      <w:r w:rsidR="00EE300A" w:rsidRPr="0001003B">
        <w:t>, devendo a Administração, no uso de seu poder discricionário e capacidade de avaliação</w:t>
      </w:r>
      <w:r w:rsidR="00EE300A">
        <w:t>,</w:t>
      </w:r>
      <w:r w:rsidR="00EE300A" w:rsidRPr="0001003B">
        <w:t xml:space="preserve"> julgar as hipóteses estabelecidas no </w:t>
      </w:r>
      <w:r w:rsidR="00EE300A">
        <w:t>a</w:t>
      </w:r>
      <w:r w:rsidR="00EE300A" w:rsidRPr="0001003B">
        <w:t xml:space="preserve">rt. </w:t>
      </w:r>
      <w:r w:rsidR="00EE300A">
        <w:t xml:space="preserve">31 </w:t>
      </w:r>
      <w:r w:rsidR="00EE300A" w:rsidRPr="0001003B">
        <w:t>da Lei</w:t>
      </w:r>
      <w:r w:rsidR="00EE300A">
        <w:t xml:space="preserve"> Geral de Licitações</w:t>
      </w:r>
      <w:r w:rsidR="00EE300A" w:rsidRPr="0001003B">
        <w:t xml:space="preserve">, onde a escolha de tais premissas não poderá </w:t>
      </w:r>
      <w:r w:rsidR="00EE300A">
        <w:t>desproteger a Administração, submetendo a um possível dano irreparável ao erário.</w:t>
      </w:r>
    </w:p>
    <w:p w14:paraId="1609C7BA" w14:textId="103FDE46" w:rsidR="00EE300A" w:rsidRDefault="00EE300A" w:rsidP="0024758B">
      <w:pPr>
        <w:pStyle w:val="western"/>
        <w:spacing w:beforeAutospacing="0" w:after="0" w:line="360" w:lineRule="auto"/>
        <w:ind w:firstLine="851"/>
        <w:jc w:val="both"/>
      </w:pPr>
    </w:p>
    <w:p w14:paraId="61F331EC" w14:textId="22181058" w:rsidR="00824F86" w:rsidRDefault="00EE300A" w:rsidP="0024758B">
      <w:pPr>
        <w:pStyle w:val="western"/>
        <w:spacing w:beforeAutospacing="0" w:after="0" w:line="360" w:lineRule="auto"/>
        <w:ind w:firstLine="851"/>
        <w:jc w:val="both"/>
      </w:pPr>
      <w:r w:rsidRPr="00052E92">
        <w:t xml:space="preserve">Os </w:t>
      </w:r>
      <w:r>
        <w:t xml:space="preserve">índices </w:t>
      </w:r>
      <w:r w:rsidR="00FB2BD0">
        <w:t xml:space="preserve">e o </w:t>
      </w:r>
      <w:r w:rsidR="00FB2BD0">
        <w:t xml:space="preserve">patrimônio líquido </w:t>
      </w:r>
      <w:r>
        <w:t xml:space="preserve">são aqueles que refletem a saúde financeira </w:t>
      </w:r>
      <w:r w:rsidR="00F240EC">
        <w:t>da licitante</w:t>
      </w:r>
      <w:r>
        <w:t xml:space="preserve">, </w:t>
      </w:r>
      <w:r w:rsidR="00F240EC">
        <w:t xml:space="preserve">assim, </w:t>
      </w:r>
      <w:r>
        <w:t xml:space="preserve">a Administração deverá utilizar os </w:t>
      </w:r>
      <w:r w:rsidR="00052E92">
        <w:t>dispositivos</w:t>
      </w:r>
      <w:r>
        <w:t xml:space="preserve"> que demonstr</w:t>
      </w:r>
      <w:r w:rsidR="00052E92">
        <w:t>e</w:t>
      </w:r>
      <w:r>
        <w:t>m a boa situação das empresas de prestação de serviços.</w:t>
      </w:r>
      <w:r w:rsidR="00F240EC">
        <w:t xml:space="preserve"> I</w:t>
      </w:r>
      <w:r>
        <w:t xml:space="preserve">mporta destacar que a finalidade é obter informações suficientes para inferir tanto a situação atual da empresa como sua tendência econômico-financeira. Essa </w:t>
      </w:r>
      <w:r w:rsidR="00F240EC">
        <w:t>propensão</w:t>
      </w:r>
      <w:r>
        <w:t xml:space="preserve"> constitui instrumento relevante para a constatação da exequibilidade do objeto e não pode ser desconsiderada pela Administração, especialmente no tocante aos contratos de longa duração.</w:t>
      </w:r>
    </w:p>
    <w:p w14:paraId="6E018D5B" w14:textId="4C98C87B" w:rsidR="00EE300A" w:rsidRDefault="00EE300A" w:rsidP="0024758B">
      <w:pPr>
        <w:pStyle w:val="western"/>
        <w:spacing w:beforeAutospacing="0" w:after="0" w:line="360" w:lineRule="auto"/>
        <w:ind w:firstLine="851"/>
        <w:jc w:val="both"/>
      </w:pPr>
    </w:p>
    <w:p w14:paraId="1C4FEA3B" w14:textId="0DCED334" w:rsidR="00EE300A" w:rsidRDefault="00EE300A" w:rsidP="0024758B">
      <w:pPr>
        <w:pStyle w:val="western"/>
        <w:spacing w:beforeAutospacing="0" w:after="0" w:line="360" w:lineRule="auto"/>
        <w:ind w:firstLine="851"/>
        <w:jc w:val="both"/>
      </w:pPr>
      <w:r w:rsidRPr="00F240EC">
        <w:t xml:space="preserve">Dessa </w:t>
      </w:r>
      <w:r>
        <w:t>feita, um dos critérios legais de aferição dessa qualificação e comprovação da boa situação financeira da empresa é a análise do balanço patrimonial e demonstrações contábeis do último exercício social, que será feita de forma objetiva, pela verificação destes instrumentos</w:t>
      </w:r>
      <w:r w:rsidR="00FB2BD0">
        <w:t>;</w:t>
      </w:r>
      <w:r>
        <w:t xml:space="preserve"> também por meio do cálculo de índices contábeis previstos no edital</w:t>
      </w:r>
      <w:r w:rsidR="00FB2BD0">
        <w:t>;</w:t>
      </w:r>
      <w:r>
        <w:t xml:space="preserve"> e</w:t>
      </w:r>
      <w:r w:rsidR="00F240EC">
        <w:t xml:space="preserve"> pelo patrimônio líquido</w:t>
      </w:r>
      <w:r>
        <w:t>.</w:t>
      </w:r>
    </w:p>
    <w:p w14:paraId="1ECB2FB9" w14:textId="73F2805B" w:rsidR="00EE300A" w:rsidRDefault="00EE300A" w:rsidP="0024758B">
      <w:pPr>
        <w:pStyle w:val="western"/>
        <w:spacing w:beforeAutospacing="0" w:after="0" w:line="360" w:lineRule="auto"/>
        <w:ind w:firstLine="851"/>
        <w:jc w:val="both"/>
      </w:pPr>
    </w:p>
    <w:p w14:paraId="446DEBE2" w14:textId="21B87AF6" w:rsidR="00EE300A" w:rsidRPr="00F240EC" w:rsidRDefault="00EE300A" w:rsidP="0024758B">
      <w:pPr>
        <w:pStyle w:val="western"/>
        <w:spacing w:beforeAutospacing="0" w:after="0" w:line="360" w:lineRule="auto"/>
        <w:ind w:firstLine="851"/>
        <w:jc w:val="both"/>
      </w:pPr>
      <w:r w:rsidRPr="00F240EC">
        <w:t>Assim</w:t>
      </w:r>
      <w:r>
        <w:t xml:space="preserve">, </w:t>
      </w:r>
      <w:r w:rsidRPr="00F240EC">
        <w:rPr>
          <w:b/>
          <w:bCs/>
          <w:u w:val="single"/>
        </w:rPr>
        <w:t xml:space="preserve">haja vista a contratação em apreço envolver </w:t>
      </w:r>
      <w:r w:rsidR="00F240EC" w:rsidRPr="00F240EC">
        <w:rPr>
          <w:b/>
          <w:bCs/>
          <w:u w:val="single"/>
        </w:rPr>
        <w:t>um vulto próximo de R$ 12.000.000,00 (doze milhões de reais)</w:t>
      </w:r>
      <w:r>
        <w:t>, faz-se imprescindível que a proponente goze de excelente saúde financeira</w:t>
      </w:r>
      <w:r w:rsidR="00F240EC">
        <w:t>, pois</w:t>
      </w:r>
      <w:r>
        <w:t xml:space="preserve"> </w:t>
      </w:r>
      <w:r w:rsidR="00F240EC" w:rsidRPr="00F240EC">
        <w:t xml:space="preserve">a </w:t>
      </w:r>
      <w:r w:rsidR="00F240EC" w:rsidRPr="00F240EC">
        <w:t xml:space="preserve">Administração não poderia </w:t>
      </w:r>
      <w:r w:rsidR="002426A9">
        <w:t>ficar</w:t>
      </w:r>
      <w:r w:rsidR="00F240EC" w:rsidRPr="00F240EC">
        <w:t xml:space="preserve"> silente, </w:t>
      </w:r>
      <w:r w:rsidR="00F240EC" w:rsidRPr="002426A9">
        <w:rPr>
          <w:b/>
          <w:bCs/>
          <w:u w:val="single"/>
        </w:rPr>
        <w:t>sob pena dos responsáveis serem acusados de omissos em processos trabalhistas por contratarem mal</w:t>
      </w:r>
      <w:r w:rsidR="00F240EC" w:rsidRPr="00F240EC">
        <w:t>. Assim, tem entendido o judiciário trabalhista quando da análise de processos envolvendo direitos trabalhistas de empregados terceirizados em cuja empresa contratada não cumpriu com suas obrigações legais.</w:t>
      </w:r>
    </w:p>
    <w:p w14:paraId="1EFFAF4C" w14:textId="51F4B699" w:rsidR="00EE300A" w:rsidRDefault="00EE300A" w:rsidP="0024758B">
      <w:pPr>
        <w:pStyle w:val="western"/>
        <w:spacing w:beforeAutospacing="0" w:after="0" w:line="360" w:lineRule="auto"/>
        <w:ind w:firstLine="851"/>
        <w:jc w:val="both"/>
      </w:pPr>
    </w:p>
    <w:p w14:paraId="0C6A574A" w14:textId="5912E108" w:rsidR="00EE300A" w:rsidRDefault="00EE300A" w:rsidP="0024758B">
      <w:pPr>
        <w:pStyle w:val="western"/>
        <w:spacing w:beforeAutospacing="0" w:after="0" w:line="360" w:lineRule="auto"/>
        <w:ind w:firstLine="851"/>
        <w:jc w:val="both"/>
      </w:pPr>
      <w:r w:rsidRPr="00F240EC">
        <w:lastRenderedPageBreak/>
        <w:t xml:space="preserve">As </w:t>
      </w:r>
      <w:r>
        <w:t>justificativas foram assim lançadas pela Comissão de Estudos</w:t>
      </w:r>
      <w:r w:rsidR="00F240EC">
        <w:t xml:space="preserve"> do Tribunal de Contas da União</w:t>
      </w:r>
      <w:r w:rsidR="0086590D">
        <w:t xml:space="preserve"> (TCU)</w:t>
      </w:r>
      <w:r w:rsidR="00F240EC">
        <w:t>, conforme segue.</w:t>
      </w:r>
    </w:p>
    <w:p w14:paraId="6EAC1545" w14:textId="77777777" w:rsidR="00F240EC" w:rsidRDefault="00F240EC" w:rsidP="0024758B">
      <w:pPr>
        <w:pStyle w:val="western"/>
        <w:spacing w:beforeAutospacing="0" w:after="0" w:line="360" w:lineRule="auto"/>
        <w:ind w:firstLine="851"/>
        <w:jc w:val="both"/>
      </w:pPr>
    </w:p>
    <w:p w14:paraId="340DEA11" w14:textId="551437AF" w:rsidR="00EE300A" w:rsidRPr="00EE300A" w:rsidRDefault="00EE300A" w:rsidP="00EE300A">
      <w:pPr>
        <w:pStyle w:val="western"/>
        <w:spacing w:beforeAutospacing="0" w:after="0"/>
        <w:ind w:left="2268"/>
        <w:jc w:val="both"/>
        <w:rPr>
          <w:sz w:val="20"/>
          <w:szCs w:val="20"/>
        </w:rPr>
      </w:pPr>
      <w:r w:rsidRPr="00F240EC">
        <w:rPr>
          <w:sz w:val="20"/>
          <w:szCs w:val="20"/>
        </w:rPr>
        <w:t xml:space="preserve">Cientes </w:t>
      </w:r>
      <w:r w:rsidRPr="00EE300A">
        <w:rPr>
          <w:sz w:val="20"/>
          <w:szCs w:val="20"/>
        </w:rPr>
        <w:t xml:space="preserve">de que rotineiramente empresas aventureiras aviltam os preços nos processos licitatórios (pregões eletrônicos) destinados à contratação de serviços terceirizados em que essas mesmas empresas, posteriormente a assinatura dos contratos, não têm tido condições de cumpri-los, gerando os mais diversos transtornos e prejuízos aos cofres públicos, concluiu-se que a </w:t>
      </w:r>
      <w:r w:rsidRPr="00F240EC">
        <w:rPr>
          <w:b/>
          <w:bCs/>
          <w:sz w:val="20"/>
          <w:szCs w:val="20"/>
          <w:u w:val="single"/>
        </w:rPr>
        <w:t>Administração não poderia continuar</w:t>
      </w:r>
      <w:r w:rsidRPr="00F240EC">
        <w:rPr>
          <w:b/>
          <w:bCs/>
          <w:sz w:val="20"/>
          <w:szCs w:val="20"/>
          <w:u w:val="single"/>
        </w:rPr>
        <w:t xml:space="preserve"> </w:t>
      </w:r>
      <w:r w:rsidRPr="00F240EC">
        <w:rPr>
          <w:b/>
          <w:bCs/>
          <w:sz w:val="20"/>
          <w:szCs w:val="20"/>
          <w:u w:val="single"/>
        </w:rPr>
        <w:t>silente, sob pena dos responsáveis serem acusados de omissos em processos trabalhistas por contratarem mal. Assim, tem entendido o judiciário trabalhista quando da análise de processos envolvendo direitos trabalhistas de empregados terceirizados em cuja empresa contratada não cumpriu com suas obrigações legais.</w:t>
      </w:r>
      <w:r w:rsidRPr="00EE300A">
        <w:rPr>
          <w:sz w:val="20"/>
          <w:szCs w:val="20"/>
        </w:rPr>
        <w:t xml:space="preserve"> Tratando especificamente da questão econômico-financeira, de acordo com o art. 27, inciso III, da Lei nº 8.666/93, </w:t>
      </w:r>
      <w:r w:rsidRPr="002426A9">
        <w:rPr>
          <w:b/>
          <w:bCs/>
          <w:sz w:val="20"/>
          <w:szCs w:val="20"/>
          <w:u w:val="single"/>
        </w:rPr>
        <w:t>para a habilitação nas licitações deverá ser exigida das licitantes a qualificação econômico-financeira, composta de um conjunto de dados e informações condizentes com a natureza e as características/especificidades do contrato, capaz de aferir a sua capacidade financeira da licitante relativamente aos compromissos que terá de assumir caso lhe seja adjudicado o objeto.</w:t>
      </w:r>
      <w:r w:rsidRPr="002426A9">
        <w:rPr>
          <w:sz w:val="20"/>
          <w:szCs w:val="20"/>
          <w:u w:val="single"/>
        </w:rPr>
        <w:t xml:space="preserve"> </w:t>
      </w:r>
      <w:r w:rsidRPr="002426A9">
        <w:rPr>
          <w:b/>
          <w:bCs/>
          <w:sz w:val="20"/>
          <w:szCs w:val="20"/>
          <w:u w:val="single"/>
        </w:rPr>
        <w:t>Assim, com base nesses pressupostos, o Grupo de Trabalho propôs as seguintes condições de habilitação econômico-financeira dirigidas à contratação de serviços terceirizados</w:t>
      </w:r>
      <w:r w:rsidRPr="00EE300A">
        <w:rPr>
          <w:sz w:val="20"/>
          <w:szCs w:val="20"/>
        </w:rPr>
        <w:t xml:space="preserve">: As licitantes deverão apresentar a seguinte documentação complementar: Capital Circulante Líquido - CCL: 1.1. Balanço patrimonial e demonstrações contábeis do exercício social anterior ao da realização do processo licitatório, comprovando índices de Liquidez Geral (LG), Liquidez Corrente (LC) e Solvência Geral (SG) superiores a 1 (um), bem como Capital Circulante Líquido (CCL) ou Capital de Giro (Ativo Circulante – Passivo Circulante) de, no mínimo, 16,66% (dezesseis inteiros e sessenta e seis centésimos por cento) do valor estimado para a contratação; Patrimônio Líquido – PL mínimo de 10%: 1.2. </w:t>
      </w:r>
      <w:r w:rsidRPr="002426A9">
        <w:rPr>
          <w:b/>
          <w:bCs/>
          <w:sz w:val="20"/>
          <w:szCs w:val="20"/>
          <w:u w:val="single"/>
        </w:rPr>
        <w:t>Comprovação de patrimônio líquido não inferior a 10% (dez por cento) do valor estimado da contratação</w:t>
      </w:r>
      <w:r w:rsidRPr="00EE300A">
        <w:rPr>
          <w:sz w:val="20"/>
          <w:szCs w:val="20"/>
        </w:rPr>
        <w:t>, por meio da apresentação do balanço patrimonial e demonstrações contábeis do último exercício social, apresentados na forma da lei</w:t>
      </w:r>
      <w:r w:rsidR="002426A9">
        <w:rPr>
          <w:sz w:val="20"/>
          <w:szCs w:val="20"/>
        </w:rPr>
        <w:t xml:space="preserve"> (...)</w:t>
      </w:r>
    </w:p>
    <w:p w14:paraId="2E497BF1" w14:textId="77777777" w:rsidR="002426A9" w:rsidRDefault="00EE300A" w:rsidP="00EE300A">
      <w:pPr>
        <w:pStyle w:val="western"/>
        <w:spacing w:beforeAutospacing="0" w:after="0"/>
        <w:ind w:left="2268"/>
        <w:jc w:val="both"/>
        <w:rPr>
          <w:sz w:val="20"/>
          <w:szCs w:val="20"/>
        </w:rPr>
      </w:pPr>
      <w:r w:rsidRPr="002426A9">
        <w:rPr>
          <w:b/>
          <w:bCs/>
          <w:sz w:val="20"/>
          <w:szCs w:val="20"/>
          <w:u w:val="single"/>
        </w:rPr>
        <w:t>Com o propósito de salvaguardar a administração de futuras complicações, entendeu-se que há de se complementar as avaliações econômico-financeiras dos licitantes por meio de critérios ou índices que expressem valores como percentuais de outro valor, dentro do limite legalmente autorizado</w:t>
      </w:r>
      <w:r w:rsidRPr="00EE300A">
        <w:rPr>
          <w:sz w:val="20"/>
          <w:szCs w:val="20"/>
        </w:rPr>
        <w:t xml:space="preserve">. Por exemplo, patrimônio líquido mínimo de 10% do valor estimado para a nova contratação ((ativo total – </w:t>
      </w:r>
      <w:proofErr w:type="gramStart"/>
      <w:r w:rsidRPr="00EE300A">
        <w:rPr>
          <w:sz w:val="20"/>
          <w:szCs w:val="20"/>
        </w:rPr>
        <w:t>passivo)/</w:t>
      </w:r>
      <w:proofErr w:type="gramEnd"/>
      <w:r w:rsidRPr="00EE300A">
        <w:rPr>
          <w:sz w:val="20"/>
          <w:szCs w:val="20"/>
        </w:rPr>
        <w:t>10 &gt; valor estimado da contratação), ou pelo método da subtração, como no caso do cálculo do capital de giro ou capital circulante líquido (ativo circulante – passivo circulante).</w:t>
      </w:r>
    </w:p>
    <w:p w14:paraId="50E95B7C" w14:textId="77777777" w:rsidR="002426A9" w:rsidRDefault="00EE300A" w:rsidP="00EE300A">
      <w:pPr>
        <w:pStyle w:val="western"/>
        <w:spacing w:beforeAutospacing="0" w:after="0"/>
        <w:ind w:left="2268"/>
        <w:jc w:val="both"/>
        <w:rPr>
          <w:sz w:val="20"/>
          <w:szCs w:val="20"/>
        </w:rPr>
      </w:pPr>
      <w:r w:rsidRPr="00EE300A">
        <w:rPr>
          <w:sz w:val="20"/>
          <w:szCs w:val="20"/>
        </w:rPr>
        <w:t>(...)</w:t>
      </w:r>
    </w:p>
    <w:p w14:paraId="5057A291" w14:textId="77777777" w:rsidR="002426A9" w:rsidRDefault="00EE300A" w:rsidP="00EE300A">
      <w:pPr>
        <w:pStyle w:val="western"/>
        <w:spacing w:beforeAutospacing="0" w:after="0"/>
        <w:ind w:left="2268"/>
        <w:jc w:val="both"/>
        <w:rPr>
          <w:sz w:val="20"/>
          <w:szCs w:val="20"/>
        </w:rPr>
      </w:pPr>
      <w:r w:rsidRPr="002426A9">
        <w:rPr>
          <w:b/>
          <w:bCs/>
          <w:sz w:val="20"/>
          <w:szCs w:val="20"/>
          <w:u w:val="single"/>
        </w:rPr>
        <w:t>Ao contrário das empresas de fornecimento de bens, as de terceirização de serviços são altamente demandantes de recursos financeiros de curto prazo e de alta liquidez, como moeda corrente, pois se faz necessário que disponham de recursos suficientes no ativo circulante para suportar despesas com a folha de pagamento e outros encargos a cada mês, independentemente do recebimento do pagamento do órgão para o qual presta os serviços</w:t>
      </w:r>
      <w:r w:rsidRPr="00EE300A">
        <w:rPr>
          <w:sz w:val="20"/>
          <w:szCs w:val="20"/>
        </w:rPr>
        <w:t>.</w:t>
      </w:r>
    </w:p>
    <w:p w14:paraId="7E660C45" w14:textId="77777777" w:rsidR="002426A9" w:rsidRDefault="00EE300A" w:rsidP="00EE300A">
      <w:pPr>
        <w:pStyle w:val="western"/>
        <w:spacing w:beforeAutospacing="0" w:after="0"/>
        <w:ind w:left="2268"/>
        <w:jc w:val="both"/>
        <w:rPr>
          <w:sz w:val="20"/>
          <w:szCs w:val="20"/>
        </w:rPr>
      </w:pPr>
      <w:r w:rsidRPr="00EE300A">
        <w:rPr>
          <w:sz w:val="20"/>
          <w:szCs w:val="20"/>
        </w:rPr>
        <w:t>(...)</w:t>
      </w:r>
    </w:p>
    <w:p w14:paraId="1451846E" w14:textId="77777777" w:rsidR="00E8431A" w:rsidRDefault="00EE300A" w:rsidP="00EE300A">
      <w:pPr>
        <w:pStyle w:val="western"/>
        <w:spacing w:beforeAutospacing="0" w:after="0"/>
        <w:ind w:left="2268"/>
        <w:jc w:val="both"/>
        <w:rPr>
          <w:sz w:val="20"/>
          <w:szCs w:val="20"/>
        </w:rPr>
      </w:pPr>
      <w:r w:rsidRPr="00EE300A">
        <w:rPr>
          <w:sz w:val="20"/>
          <w:szCs w:val="20"/>
        </w:rPr>
        <w:t xml:space="preserve">Como regra na Administração pública, a liquidação e o pagamento da despesa somente podem ocorrer após o ateste do serviço realizado, normalmente no decorrer do mês posterior à prestação dos serviços. Assim, faz todo sentido exigir das licitantes que tenham recursos financeiros suficientes para honrar no mínimo 2 (dois) meses de contratação sem depender do pagamento por parte do contratante. Uma empresa que não tenha esta capacidade quando da realização do processo licitatório, certamente terá dificuldades em cumprir todas as obrigações decorrentes do contrato. </w:t>
      </w:r>
      <w:r w:rsidRPr="002426A9">
        <w:rPr>
          <w:b/>
          <w:bCs/>
          <w:sz w:val="20"/>
          <w:szCs w:val="20"/>
          <w:u w:val="single"/>
        </w:rPr>
        <w:t xml:space="preserve">Além da avaliação da capacidade econômico-financeira da licitante por meio do </w:t>
      </w:r>
      <w:r w:rsidRPr="002426A9">
        <w:rPr>
          <w:b/>
          <w:bCs/>
          <w:sz w:val="20"/>
          <w:szCs w:val="20"/>
          <w:u w:val="single"/>
        </w:rPr>
        <w:lastRenderedPageBreak/>
        <w:t xml:space="preserve">patrimônio líquido e do capital circulante líquido, há que se verificar ainda se a mesma tem patrimônio suficiente para suportar os compromissos já assumidos em outros contratos, sem comprometer a nova contratação. Uma empresa que assume compromissos além de sua capacidade </w:t>
      </w:r>
      <w:proofErr w:type="spellStart"/>
      <w:r w:rsidRPr="002426A9">
        <w:rPr>
          <w:b/>
          <w:bCs/>
          <w:sz w:val="20"/>
          <w:szCs w:val="20"/>
          <w:u w:val="single"/>
        </w:rPr>
        <w:t>econômicofinanceira</w:t>
      </w:r>
      <w:proofErr w:type="spellEnd"/>
      <w:r w:rsidRPr="002426A9">
        <w:rPr>
          <w:b/>
          <w:bCs/>
          <w:sz w:val="20"/>
          <w:szCs w:val="20"/>
          <w:u w:val="single"/>
        </w:rPr>
        <w:t xml:space="preserve"> torna-se frágil e certamente terá problemas na administração desses contratos</w:t>
      </w:r>
      <w:r w:rsidRPr="00EE300A">
        <w:rPr>
          <w:sz w:val="20"/>
          <w:szCs w:val="20"/>
        </w:rPr>
        <w:t xml:space="preserve">. Essa condição pode ser aferida por meio da avaliação da relação de compromissos assumidos, contendo os valores mensais e anuais (contratos em vigor celebrados com a administração pública em geral e iniciativa privada) que importem na diminuição da capacidade operativa ou na absorção de disponibilidade financeira em função dos pagamentos regulares e/ou mensais a serem efetuados pela empresa, como pagamento da folha de salários, demais encargos decorrentes, insumos e materiais. Considerando que a relação será apresentada pela contratada, é importante que a administração </w:t>
      </w:r>
      <w:proofErr w:type="gramStart"/>
      <w:r w:rsidRPr="00EE300A">
        <w:rPr>
          <w:sz w:val="20"/>
          <w:szCs w:val="20"/>
        </w:rPr>
        <w:t>assegure-se</w:t>
      </w:r>
      <w:proofErr w:type="gramEnd"/>
      <w:r w:rsidRPr="00EE300A">
        <w:rPr>
          <w:sz w:val="20"/>
          <w:szCs w:val="20"/>
        </w:rPr>
        <w:t xml:space="preserve"> que as informações prestadas estejam corretas. Deste modo, também se tem exigido o demonstrativo de resultado do exercício – DRE (receita e despesa) da licitante vencedora. Como, em tese, grande parte das receitas das empresas de terceirização é proveniente de contratos, é possível inferir a veracidade das informações apresentadas na relação de compromisso quando comparada com a receita bruta discriminada na DRE. Assim, a contratada deve apresentar as devidas</w:t>
      </w:r>
      <w:r w:rsidRPr="00EE300A">
        <w:rPr>
          <w:sz w:val="20"/>
          <w:szCs w:val="20"/>
        </w:rPr>
        <w:t xml:space="preserve"> </w:t>
      </w:r>
      <w:r w:rsidRPr="00EE300A">
        <w:rPr>
          <w:sz w:val="20"/>
          <w:szCs w:val="20"/>
        </w:rPr>
        <w:t>justificativas quando houver diferença maior que 10% entre a receita bruta discriminada na DRE e o total dos compromissos assumidos. Por fim, comprovada a correlação entre o valor total dos contratos elencados na relação de compromissos e o montante da receita bruta discriminada na DRE, o valor do patrimônio líquido da contratada não poderá ser inferior a 1/12 (um doze avos) do valor total anual constante da relação de compromissos. Caso o patrimônio líquido da empresa seja inferior a 1/12 do valor total anual constante da relação de compromissos, fica caracterizado que em uma eventual falência a empresa não terá condições econômicas de honrar o passivo trabalhista com seus empregados correspondente a 1 (um) mês de trabalho. Nos termos do artigo 31, parágrafos 1º e 5º, da Lei nº 8.666/93, no que diz respeito aos índices, somente é vedada a exigência de valores mínimos de faturamento anterior, índices de rentabilidade ou lucratividade, bem como índices e valores não usualmente adotados para a correta avaliação de situação financeira suficiente ao cumprimento das obrigações decorrentes da licitação.</w:t>
      </w:r>
    </w:p>
    <w:p w14:paraId="05E1F362" w14:textId="4260BD78" w:rsidR="00E8431A" w:rsidRDefault="00EE300A" w:rsidP="00EE300A">
      <w:pPr>
        <w:pStyle w:val="western"/>
        <w:spacing w:beforeAutospacing="0" w:after="0"/>
        <w:ind w:left="2268"/>
        <w:jc w:val="both"/>
        <w:rPr>
          <w:sz w:val="20"/>
          <w:szCs w:val="20"/>
        </w:rPr>
      </w:pPr>
      <w:r w:rsidRPr="00EE300A">
        <w:rPr>
          <w:sz w:val="20"/>
          <w:szCs w:val="20"/>
        </w:rPr>
        <w:t>(...)</w:t>
      </w:r>
    </w:p>
    <w:p w14:paraId="005E7DD8" w14:textId="77777777" w:rsidR="00E8431A" w:rsidRDefault="00EE300A" w:rsidP="00EE300A">
      <w:pPr>
        <w:pStyle w:val="western"/>
        <w:spacing w:beforeAutospacing="0" w:after="0"/>
        <w:ind w:left="2268"/>
        <w:jc w:val="both"/>
        <w:rPr>
          <w:sz w:val="20"/>
          <w:szCs w:val="20"/>
        </w:rPr>
      </w:pPr>
      <w:r w:rsidRPr="002426A9">
        <w:rPr>
          <w:b/>
          <w:bCs/>
          <w:sz w:val="20"/>
          <w:szCs w:val="20"/>
          <w:u w:val="single"/>
        </w:rPr>
        <w:t>No mesmo sentido, a fixação do limite mínimo de 10% (dez por cento) do patrimônio líquido em relação ao valor da contratação está literalmente autorizada no art. 31, § 3º, da Lei nº 8.666/93, sem quaisquer exigências de justificativas ou outras restrições</w:t>
      </w:r>
      <w:r w:rsidRPr="00EE300A">
        <w:rPr>
          <w:sz w:val="20"/>
          <w:szCs w:val="20"/>
        </w:rPr>
        <w:t>; bem assim a relação de compromissos, a qual deve ser calculada em função do patrimônio líquido atualizado, conforme dispõe o art. 31, § 4º, da Lei nº 8.666/93. “Art. 31. A documentação relativa à qualificação econômico-financeira limitar-se-á a:</w:t>
      </w:r>
    </w:p>
    <w:p w14:paraId="78A99D71" w14:textId="77777777" w:rsidR="00E8431A" w:rsidRDefault="00EE300A" w:rsidP="00EE300A">
      <w:pPr>
        <w:pStyle w:val="western"/>
        <w:spacing w:beforeAutospacing="0" w:after="0"/>
        <w:ind w:left="2268"/>
        <w:jc w:val="both"/>
        <w:rPr>
          <w:sz w:val="20"/>
          <w:szCs w:val="20"/>
        </w:rPr>
      </w:pPr>
      <w:r w:rsidRPr="00EE300A">
        <w:rPr>
          <w:sz w:val="20"/>
          <w:szCs w:val="20"/>
        </w:rPr>
        <w:t>(...)</w:t>
      </w:r>
    </w:p>
    <w:p w14:paraId="4171C2B9" w14:textId="440E6E48" w:rsidR="00EE300A" w:rsidRPr="00EE300A" w:rsidRDefault="00EE300A" w:rsidP="00EE300A">
      <w:pPr>
        <w:pStyle w:val="western"/>
        <w:spacing w:beforeAutospacing="0" w:after="0"/>
        <w:ind w:left="2268"/>
        <w:jc w:val="both"/>
        <w:rPr>
          <w:sz w:val="20"/>
          <w:szCs w:val="20"/>
        </w:rPr>
      </w:pPr>
      <w:r w:rsidRPr="00EE300A">
        <w:rPr>
          <w:sz w:val="20"/>
          <w:szCs w:val="20"/>
        </w:rPr>
        <w:t xml:space="preserve">§ 3o </w:t>
      </w:r>
      <w:r w:rsidRPr="009E0481">
        <w:rPr>
          <w:b/>
          <w:bCs/>
          <w:sz w:val="20"/>
          <w:szCs w:val="20"/>
          <w:u w:val="single"/>
        </w:rPr>
        <w:t>O capital mínimo ou o valor do patrimônio líquido a que se refere o parágrafo anterior não poderá exceder a 10% (dez por cento) do valor estimado da contratação</w:t>
      </w:r>
      <w:r w:rsidRPr="00EE300A">
        <w:rPr>
          <w:sz w:val="20"/>
          <w:szCs w:val="20"/>
        </w:rPr>
        <w:t>, devendo a comprovação ser feita relativamente à data da apresentação da proposta, na forma da lei, admitida a atualização para esta data através de índices oficiais. (...) § 4o Poderá ser exigida, ainda, a relação dos compromissos assumidos pelo licitante que importem diminuição da capacidade operativa ou absorção de disponibilidade financeira, calculada esta em função do patrimônio líquido atualizado e sua capacidade de rotação.”</w:t>
      </w:r>
      <w:r w:rsidR="009E0481">
        <w:rPr>
          <w:sz w:val="20"/>
          <w:szCs w:val="20"/>
        </w:rPr>
        <w:t xml:space="preserve"> (Grifo nosso)</w:t>
      </w:r>
    </w:p>
    <w:p w14:paraId="25464E2A" w14:textId="1B992989" w:rsidR="00EE300A" w:rsidRDefault="00EE300A" w:rsidP="0024758B">
      <w:pPr>
        <w:pStyle w:val="western"/>
        <w:spacing w:beforeAutospacing="0" w:after="0" w:line="360" w:lineRule="auto"/>
        <w:ind w:firstLine="851"/>
        <w:jc w:val="both"/>
      </w:pPr>
    </w:p>
    <w:p w14:paraId="5DDB2244" w14:textId="3FD950D9" w:rsidR="002426A9" w:rsidRDefault="009E0481" w:rsidP="0024758B">
      <w:pPr>
        <w:pStyle w:val="western"/>
        <w:spacing w:beforeAutospacing="0" w:after="0" w:line="360" w:lineRule="auto"/>
        <w:ind w:firstLine="851"/>
        <w:jc w:val="both"/>
      </w:pPr>
      <w:r w:rsidRPr="009E0481">
        <w:t xml:space="preserve">Como </w:t>
      </w:r>
      <w:r w:rsidR="0086590D">
        <w:t>verificado pelo TCU, a</w:t>
      </w:r>
      <w:r w:rsidR="002426A9" w:rsidRPr="009E0481">
        <w:t xml:space="preserve">o contrário das empresas de fornecimento de bens, as de terceirização de serviços são altamente demandantes de recursos financeiros de curto prazo e de alta liquidez, como moeda corrente, pois se faz necessário que disponham de recursos suficientes no ativo circulante para suportar despesas com a folha de pagamento e outros </w:t>
      </w:r>
      <w:r w:rsidR="002426A9" w:rsidRPr="009E0481">
        <w:lastRenderedPageBreak/>
        <w:t xml:space="preserve">encargos a cada mês, independentemente do recebimento do pagamento do órgão para o qual presta </w:t>
      </w:r>
      <w:r w:rsidR="002426A9" w:rsidRPr="0086590D">
        <w:t>os serviços.</w:t>
      </w:r>
      <w:r w:rsidR="002426A9" w:rsidRPr="0086590D">
        <w:t xml:space="preserve"> </w:t>
      </w:r>
    </w:p>
    <w:p w14:paraId="0EFF7079" w14:textId="77777777" w:rsidR="00E8431A" w:rsidRPr="0086590D" w:rsidRDefault="00E8431A" w:rsidP="0024758B">
      <w:pPr>
        <w:pStyle w:val="western"/>
        <w:spacing w:beforeAutospacing="0" w:after="0" w:line="360" w:lineRule="auto"/>
        <w:ind w:firstLine="851"/>
        <w:jc w:val="both"/>
      </w:pPr>
    </w:p>
    <w:p w14:paraId="5C559823" w14:textId="558445D0" w:rsidR="009E0481" w:rsidRPr="0086590D" w:rsidRDefault="0086590D" w:rsidP="0024758B">
      <w:pPr>
        <w:pStyle w:val="western"/>
        <w:spacing w:beforeAutospacing="0" w:after="0" w:line="360" w:lineRule="auto"/>
        <w:ind w:firstLine="851"/>
        <w:jc w:val="both"/>
      </w:pPr>
      <w:r w:rsidRPr="0086590D">
        <w:t xml:space="preserve">Ainda, o Tribunal corroborou </w:t>
      </w:r>
      <w:r w:rsidR="009E0481" w:rsidRPr="0086590D">
        <w:t>a fixação do limite de 10% (dez por cento) do patrimônio líquido em relação ao valor da contratação</w:t>
      </w:r>
      <w:r w:rsidRPr="0086590D">
        <w:t xml:space="preserve">, uma vez que </w:t>
      </w:r>
      <w:r w:rsidR="009E0481" w:rsidRPr="0086590D">
        <w:t xml:space="preserve">está literalmente autorizada no art. 31, §3º, da Lei nº 8.666/93, </w:t>
      </w:r>
      <w:r w:rsidR="00E8431A">
        <w:t xml:space="preserve">com a devida complementação com </w:t>
      </w:r>
      <w:r w:rsidRPr="0086590D">
        <w:t>as avaliações econômico-financeiras dos licitantes por meio d</w:t>
      </w:r>
      <w:r w:rsidR="00E8431A">
        <w:t>os</w:t>
      </w:r>
      <w:r w:rsidRPr="0086590D">
        <w:t xml:space="preserve"> critérios</w:t>
      </w:r>
      <w:r w:rsidR="00E8431A">
        <w:t xml:space="preserve"> utilizados no presente instrumento convocatório.</w:t>
      </w:r>
    </w:p>
    <w:p w14:paraId="3D9F8A4E" w14:textId="77777777" w:rsidR="002426A9" w:rsidRPr="0086590D" w:rsidRDefault="002426A9" w:rsidP="0024758B">
      <w:pPr>
        <w:pStyle w:val="western"/>
        <w:spacing w:beforeAutospacing="0" w:after="0" w:line="360" w:lineRule="auto"/>
        <w:ind w:firstLine="851"/>
        <w:jc w:val="both"/>
      </w:pPr>
    </w:p>
    <w:p w14:paraId="249D1328" w14:textId="136D51BF" w:rsidR="00EE300A" w:rsidRDefault="00EE300A" w:rsidP="0024758B">
      <w:pPr>
        <w:pStyle w:val="western"/>
        <w:spacing w:beforeAutospacing="0" w:after="0" w:line="360" w:lineRule="auto"/>
        <w:ind w:firstLine="851"/>
        <w:jc w:val="both"/>
      </w:pPr>
      <w:r w:rsidRPr="00E8431A">
        <w:t xml:space="preserve">Não </w:t>
      </w:r>
      <w:r w:rsidRPr="0086590D">
        <w:t xml:space="preserve">obstante, o parecer </w:t>
      </w:r>
      <w:r w:rsidR="00E8431A">
        <w:t xml:space="preserve">do órgão de controle da União </w:t>
      </w:r>
      <w:r w:rsidRPr="0086590D">
        <w:t xml:space="preserve">passou a se fazer presente </w:t>
      </w:r>
      <w:r w:rsidR="00E8431A">
        <w:t>em seus</w:t>
      </w:r>
      <w:r w:rsidRPr="0086590D">
        <w:t xml:space="preserve"> acórdãos</w:t>
      </w:r>
      <w:r>
        <w:t>,</w:t>
      </w:r>
      <w:r w:rsidR="00E8431A">
        <w:t xml:space="preserve"> </w:t>
      </w:r>
      <w:r>
        <w:t>torna</w:t>
      </w:r>
      <w:r w:rsidR="00E8431A">
        <w:t>ndo-se, inclusive,</w:t>
      </w:r>
      <w:r>
        <w:t xml:space="preserve"> orientação </w:t>
      </w:r>
      <w:r w:rsidR="00E8431A">
        <w:t>d</w:t>
      </w:r>
      <w:r>
        <w:t>o Ministério do Planejamento Orçamento e Gestão:</w:t>
      </w:r>
    </w:p>
    <w:p w14:paraId="1B342CAD" w14:textId="3BA2ABC2" w:rsidR="00EE300A" w:rsidRDefault="00EE300A" w:rsidP="0024758B">
      <w:pPr>
        <w:pStyle w:val="western"/>
        <w:spacing w:beforeAutospacing="0" w:after="0" w:line="360" w:lineRule="auto"/>
        <w:ind w:firstLine="851"/>
        <w:jc w:val="both"/>
      </w:pPr>
    </w:p>
    <w:p w14:paraId="77362F33" w14:textId="1CEC4DB8" w:rsidR="00EE300A" w:rsidRPr="001C7F5B" w:rsidRDefault="00EE300A" w:rsidP="001C7F5B">
      <w:pPr>
        <w:pStyle w:val="western"/>
        <w:spacing w:beforeAutospacing="0" w:after="0"/>
        <w:ind w:left="2268"/>
        <w:jc w:val="both"/>
        <w:rPr>
          <w:sz w:val="20"/>
          <w:szCs w:val="20"/>
        </w:rPr>
      </w:pPr>
      <w:r w:rsidRPr="00E8431A">
        <w:rPr>
          <w:sz w:val="20"/>
          <w:szCs w:val="20"/>
        </w:rPr>
        <w:t xml:space="preserve">XXIV </w:t>
      </w:r>
      <w:r w:rsidRPr="001C7F5B">
        <w:rPr>
          <w:sz w:val="20"/>
          <w:szCs w:val="20"/>
        </w:rPr>
        <w:t xml:space="preserve">- </w:t>
      </w:r>
      <w:r w:rsidRPr="00E8431A">
        <w:rPr>
          <w:b/>
          <w:bCs/>
          <w:sz w:val="20"/>
          <w:szCs w:val="20"/>
          <w:u w:val="single"/>
        </w:rPr>
        <w:t>disposição prevendo condições de habilitação econômico-financeira nos seguintes termos</w:t>
      </w:r>
      <w:r w:rsidRPr="001C7F5B">
        <w:rPr>
          <w:sz w:val="20"/>
          <w:szCs w:val="20"/>
        </w:rPr>
        <w:t>: (Incluído pela Instrução Normativa nº 6, de 23 de dezembro de 2013)</w:t>
      </w:r>
    </w:p>
    <w:p w14:paraId="4BEBA7F7" w14:textId="77777777" w:rsidR="00E8431A" w:rsidRDefault="001C7F5B" w:rsidP="001C7F5B">
      <w:pPr>
        <w:pStyle w:val="western"/>
        <w:spacing w:beforeAutospacing="0" w:after="0"/>
        <w:ind w:left="2268"/>
        <w:jc w:val="both"/>
        <w:rPr>
          <w:sz w:val="20"/>
          <w:szCs w:val="20"/>
        </w:rPr>
      </w:pPr>
      <w:r w:rsidRPr="001C7F5B">
        <w:rPr>
          <w:sz w:val="20"/>
          <w:szCs w:val="20"/>
        </w:rPr>
        <w:t>a) balanço patrimonial e demonstrações contábeis referentes ao último exercício social, comprovando índices de Liquidez Geral – LG, Liquidez Corrente – LC, e Solvência Geral – SG superiores a 1 (um); (Incluído pela Instrução Normativa nº 6, de 23 de dezembro de 2013)</w:t>
      </w:r>
    </w:p>
    <w:p w14:paraId="5325CA23" w14:textId="06C197DD" w:rsidR="00E8431A" w:rsidRDefault="001C7F5B" w:rsidP="001C7F5B">
      <w:pPr>
        <w:pStyle w:val="western"/>
        <w:spacing w:beforeAutospacing="0" w:after="0"/>
        <w:ind w:left="2268"/>
        <w:jc w:val="both"/>
        <w:rPr>
          <w:sz w:val="20"/>
          <w:szCs w:val="20"/>
        </w:rPr>
      </w:pPr>
      <w:r w:rsidRPr="001C7F5B">
        <w:rPr>
          <w:sz w:val="20"/>
          <w:szCs w:val="20"/>
        </w:rPr>
        <w:t>b) Capital Circulante Líquido ou Capital de Giro (Ativo Circulante - Passivo Circulante) de, no mínimo, 16,66% (dezesseis inteiros e sessenta e seis centésimos por cento) do valor estimado da contratação, tendo por base o balanço patrimonial e as demonstrações contábeis do último exercício social; (Redação dada pela Instrução Normativa nº 6, de 23 de dezembro de 2013 e retificada conforme redação publicada na página 840 da Seção 1 do DOU nº 252, de 30 de dezembro de 2013)</w:t>
      </w:r>
    </w:p>
    <w:p w14:paraId="306E4637" w14:textId="613BFF6C" w:rsidR="001C7F5B" w:rsidRPr="001C7F5B" w:rsidRDefault="001C7F5B" w:rsidP="00E8431A">
      <w:pPr>
        <w:pStyle w:val="western"/>
        <w:spacing w:beforeAutospacing="0" w:after="0"/>
        <w:ind w:left="2268"/>
        <w:jc w:val="both"/>
        <w:rPr>
          <w:sz w:val="20"/>
          <w:szCs w:val="20"/>
        </w:rPr>
      </w:pPr>
      <w:r w:rsidRPr="001C7F5B">
        <w:rPr>
          <w:sz w:val="20"/>
          <w:szCs w:val="20"/>
        </w:rPr>
        <w:t xml:space="preserve">c) </w:t>
      </w:r>
      <w:r w:rsidRPr="00E8431A">
        <w:rPr>
          <w:b/>
          <w:bCs/>
          <w:sz w:val="20"/>
          <w:szCs w:val="20"/>
          <w:u w:val="single"/>
        </w:rPr>
        <w:t>comprovação de patrimônio líquido de 10% (dez por cento) do valor estimado da contratação</w:t>
      </w:r>
      <w:r w:rsidRPr="001C7F5B">
        <w:rPr>
          <w:sz w:val="20"/>
          <w:szCs w:val="20"/>
        </w:rPr>
        <w:t>, por meio da apresentação do balanço patrimonial e demonstrações contábeis do último exercício social, apresentados na forma da lei, vedada a substituição por balancetes ou balanços provisórios, podendo ser atualizados por índices oficiais, quando encerrados há mais de 3 (três) meses da data da apresentação da proposta; (Redação dada pela Instrução Normativa nº 6, de 23 de dezembro de 2013 e retificada conforme redação publicada na página 840 da Seção 1 do DOU nº 252, de 30 de dezembro de 2013)</w:t>
      </w:r>
    </w:p>
    <w:p w14:paraId="7288C807" w14:textId="046EB6EC" w:rsidR="00151C52" w:rsidRDefault="00151C52" w:rsidP="002B7B13">
      <w:pPr>
        <w:pStyle w:val="western"/>
        <w:spacing w:beforeAutospacing="0" w:after="0"/>
        <w:ind w:firstLine="851"/>
        <w:jc w:val="both"/>
      </w:pPr>
    </w:p>
    <w:p w14:paraId="23069563" w14:textId="118C9363" w:rsidR="005C6549" w:rsidRDefault="00E8431A" w:rsidP="00FB2BD0">
      <w:pPr>
        <w:spacing w:after="0" w:line="360" w:lineRule="auto"/>
        <w:ind w:firstLine="851"/>
        <w:jc w:val="both"/>
        <w:rPr>
          <w:rFonts w:ascii="Times New Roman" w:eastAsia="Times New Roman" w:hAnsi="Times New Roman" w:cs="Times New Roman"/>
          <w:bCs/>
          <w:color w:val="000000"/>
          <w:sz w:val="24"/>
          <w:szCs w:val="24"/>
          <w:lang w:eastAsia="pt-BR"/>
        </w:rPr>
      </w:pPr>
      <w:r w:rsidRPr="00E8431A">
        <w:rPr>
          <w:rFonts w:ascii="Times New Roman" w:eastAsia="Times New Roman" w:hAnsi="Times New Roman" w:cs="Times New Roman"/>
          <w:bCs/>
          <w:sz w:val="24"/>
          <w:szCs w:val="24"/>
          <w:lang w:eastAsia="pt-BR"/>
        </w:rPr>
        <w:t>Dessa forma,</w:t>
      </w:r>
      <w:r w:rsidR="001C7F5B" w:rsidRPr="001C7F5B">
        <w:rPr>
          <w:rFonts w:ascii="Times New Roman" w:eastAsia="Times New Roman" w:hAnsi="Times New Roman" w:cs="Times New Roman"/>
          <w:bCs/>
          <w:color w:val="000000"/>
          <w:sz w:val="24"/>
          <w:szCs w:val="24"/>
          <w:lang w:eastAsia="pt-BR"/>
        </w:rPr>
        <w:t xml:space="preserve"> não cabe à </w:t>
      </w:r>
      <w:r w:rsidR="002142C7">
        <w:rPr>
          <w:rFonts w:ascii="Times New Roman" w:eastAsia="Times New Roman" w:hAnsi="Times New Roman" w:cs="Times New Roman"/>
          <w:bCs/>
          <w:color w:val="000000"/>
          <w:sz w:val="24"/>
          <w:szCs w:val="24"/>
          <w:lang w:eastAsia="pt-BR"/>
        </w:rPr>
        <w:t>Administração</w:t>
      </w:r>
      <w:r w:rsidR="001C7F5B" w:rsidRPr="001C7F5B">
        <w:rPr>
          <w:rFonts w:ascii="Times New Roman" w:eastAsia="Times New Roman" w:hAnsi="Times New Roman" w:cs="Times New Roman"/>
          <w:bCs/>
          <w:color w:val="000000"/>
          <w:sz w:val="24"/>
          <w:szCs w:val="24"/>
          <w:lang w:eastAsia="pt-BR"/>
        </w:rPr>
        <w:t xml:space="preserve"> abdicar de toda e qualquer</w:t>
      </w:r>
      <w:r w:rsidR="001C7F5B">
        <w:rPr>
          <w:rFonts w:ascii="Times New Roman" w:eastAsia="Times New Roman" w:hAnsi="Times New Roman" w:cs="Times New Roman"/>
          <w:bCs/>
          <w:color w:val="000000"/>
          <w:sz w:val="24"/>
          <w:szCs w:val="24"/>
          <w:lang w:eastAsia="pt-BR"/>
        </w:rPr>
        <w:t xml:space="preserve"> </w:t>
      </w:r>
      <w:r w:rsidR="001C7F5B" w:rsidRPr="001C7F5B">
        <w:rPr>
          <w:rFonts w:ascii="Times New Roman" w:eastAsia="Times New Roman" w:hAnsi="Times New Roman" w:cs="Times New Roman"/>
          <w:bCs/>
          <w:color w:val="000000"/>
          <w:sz w:val="24"/>
          <w:szCs w:val="24"/>
          <w:lang w:eastAsia="pt-BR"/>
        </w:rPr>
        <w:t>salvaguarda</w:t>
      </w:r>
      <w:r w:rsidR="001C7F5B">
        <w:rPr>
          <w:rFonts w:ascii="Times New Roman" w:eastAsia="Times New Roman" w:hAnsi="Times New Roman" w:cs="Times New Roman"/>
          <w:bCs/>
          <w:color w:val="000000"/>
          <w:sz w:val="24"/>
          <w:szCs w:val="24"/>
          <w:lang w:eastAsia="pt-BR"/>
        </w:rPr>
        <w:t xml:space="preserve"> </w:t>
      </w:r>
      <w:r w:rsidR="001C7F5B" w:rsidRPr="001C7F5B">
        <w:rPr>
          <w:rFonts w:ascii="Times New Roman" w:eastAsia="Times New Roman" w:hAnsi="Times New Roman" w:cs="Times New Roman"/>
          <w:bCs/>
          <w:color w:val="000000"/>
          <w:sz w:val="24"/>
          <w:szCs w:val="24"/>
          <w:lang w:eastAsia="pt-BR"/>
        </w:rPr>
        <w:t>administrativa a ponto de permitir a participação de licitantes sem</w:t>
      </w:r>
      <w:r w:rsidR="001C7F5B">
        <w:rPr>
          <w:rFonts w:ascii="Times New Roman" w:eastAsia="Times New Roman" w:hAnsi="Times New Roman" w:cs="Times New Roman"/>
          <w:bCs/>
          <w:color w:val="000000"/>
          <w:sz w:val="24"/>
          <w:szCs w:val="24"/>
          <w:lang w:eastAsia="pt-BR"/>
        </w:rPr>
        <w:t xml:space="preserve"> </w:t>
      </w:r>
      <w:r w:rsidR="001C7F5B" w:rsidRPr="001C7F5B">
        <w:rPr>
          <w:rFonts w:ascii="Times New Roman" w:eastAsia="Times New Roman" w:hAnsi="Times New Roman" w:cs="Times New Roman"/>
          <w:bCs/>
          <w:color w:val="000000"/>
          <w:sz w:val="24"/>
          <w:szCs w:val="24"/>
          <w:lang w:eastAsia="pt-BR"/>
        </w:rPr>
        <w:t>estrutura econômica e solvência suficientes para garantia a execução de eventual</w:t>
      </w:r>
      <w:r w:rsidR="001C7F5B">
        <w:rPr>
          <w:rFonts w:ascii="Times New Roman" w:eastAsia="Times New Roman" w:hAnsi="Times New Roman" w:cs="Times New Roman"/>
          <w:bCs/>
          <w:color w:val="000000"/>
          <w:sz w:val="24"/>
          <w:szCs w:val="24"/>
          <w:lang w:eastAsia="pt-BR"/>
        </w:rPr>
        <w:t xml:space="preserve"> </w:t>
      </w:r>
      <w:r w:rsidR="001C7F5B" w:rsidRPr="001C7F5B">
        <w:rPr>
          <w:rFonts w:ascii="Times New Roman" w:eastAsia="Times New Roman" w:hAnsi="Times New Roman" w:cs="Times New Roman"/>
          <w:bCs/>
          <w:color w:val="000000"/>
          <w:sz w:val="24"/>
          <w:szCs w:val="24"/>
          <w:lang w:eastAsia="pt-BR"/>
        </w:rPr>
        <w:t>contrato</w:t>
      </w:r>
      <w:r w:rsidR="001C7F5B">
        <w:rPr>
          <w:rFonts w:ascii="Times New Roman" w:eastAsia="Times New Roman" w:hAnsi="Times New Roman" w:cs="Times New Roman"/>
          <w:bCs/>
          <w:color w:val="000000"/>
          <w:sz w:val="24"/>
          <w:szCs w:val="24"/>
          <w:lang w:eastAsia="pt-BR"/>
        </w:rPr>
        <w:t>.</w:t>
      </w:r>
    </w:p>
    <w:p w14:paraId="62812E15" w14:textId="10D1C56E" w:rsidR="001C7F5B" w:rsidRDefault="001C7F5B" w:rsidP="001C7F5B">
      <w:pPr>
        <w:spacing w:after="0" w:line="360" w:lineRule="auto"/>
        <w:ind w:firstLine="851"/>
        <w:rPr>
          <w:rFonts w:ascii="Times New Roman" w:eastAsia="Times New Roman" w:hAnsi="Times New Roman" w:cs="Times New Roman"/>
          <w:bCs/>
          <w:color w:val="000000"/>
          <w:sz w:val="24"/>
          <w:szCs w:val="24"/>
          <w:lang w:eastAsia="pt-BR"/>
        </w:rPr>
      </w:pPr>
    </w:p>
    <w:p w14:paraId="17DD34C7" w14:textId="6E80BC4C" w:rsidR="002B7B13" w:rsidRDefault="00E8431A" w:rsidP="003867BE">
      <w:pPr>
        <w:spacing w:after="0" w:line="360" w:lineRule="auto"/>
        <w:ind w:firstLine="851"/>
        <w:jc w:val="both"/>
        <w:rPr>
          <w:rFonts w:ascii="Times New Roman" w:eastAsia="Times New Roman" w:hAnsi="Times New Roman" w:cs="Times New Roman"/>
          <w:bCs/>
          <w:color w:val="000000"/>
          <w:sz w:val="24"/>
          <w:szCs w:val="24"/>
          <w:lang w:eastAsia="pt-BR"/>
        </w:rPr>
      </w:pPr>
      <w:r>
        <w:rPr>
          <w:rFonts w:ascii="Times New Roman" w:eastAsia="Times New Roman" w:hAnsi="Times New Roman" w:cs="Times New Roman"/>
          <w:bCs/>
          <w:color w:val="000000"/>
          <w:sz w:val="24"/>
          <w:szCs w:val="24"/>
          <w:lang w:eastAsia="pt-BR"/>
        </w:rPr>
        <w:t>Por fim, c</w:t>
      </w:r>
      <w:r w:rsidR="003A7E74">
        <w:rPr>
          <w:rFonts w:ascii="Times New Roman" w:eastAsia="Times New Roman" w:hAnsi="Times New Roman" w:cs="Times New Roman"/>
          <w:bCs/>
          <w:color w:val="000000"/>
          <w:sz w:val="24"/>
          <w:szCs w:val="24"/>
          <w:lang w:eastAsia="pt-BR"/>
        </w:rPr>
        <w:t xml:space="preserve">olaciono aos autos do processo o parecer do Departamento Contábil-Financeiro, vinculado a Secretaria da Fazenda Municipal, que </w:t>
      </w:r>
      <w:r>
        <w:rPr>
          <w:rFonts w:ascii="Times New Roman" w:eastAsia="Times New Roman" w:hAnsi="Times New Roman" w:cs="Times New Roman"/>
          <w:bCs/>
          <w:color w:val="000000"/>
          <w:sz w:val="24"/>
          <w:szCs w:val="24"/>
          <w:lang w:eastAsia="pt-BR"/>
        </w:rPr>
        <w:t xml:space="preserve">justifica, esclarece e sugere a escolha dos critérios de qualificação econômico-financeira </w:t>
      </w:r>
      <w:r w:rsidR="003A7E74">
        <w:rPr>
          <w:rFonts w:ascii="Times New Roman" w:eastAsia="Times New Roman" w:hAnsi="Times New Roman" w:cs="Times New Roman"/>
          <w:bCs/>
          <w:color w:val="000000"/>
          <w:sz w:val="24"/>
          <w:szCs w:val="24"/>
          <w:lang w:eastAsia="pt-BR"/>
        </w:rPr>
        <w:t xml:space="preserve">para avaliação de situação financeira </w:t>
      </w:r>
      <w:r w:rsidR="003A7E74">
        <w:rPr>
          <w:rFonts w:ascii="Times New Roman" w:eastAsia="Times New Roman" w:hAnsi="Times New Roman" w:cs="Times New Roman"/>
          <w:bCs/>
          <w:color w:val="000000"/>
          <w:sz w:val="24"/>
          <w:szCs w:val="24"/>
          <w:lang w:eastAsia="pt-BR"/>
        </w:rPr>
        <w:lastRenderedPageBreak/>
        <w:t>suficiente ao cumprimento das obrigações decorrentes de licitação, vide Ofício SFA/DECO nº 247/2017.</w:t>
      </w:r>
    </w:p>
    <w:p w14:paraId="5BC4ADB6" w14:textId="7B004AC8" w:rsidR="003867BE" w:rsidRDefault="003867BE" w:rsidP="003867BE">
      <w:pPr>
        <w:spacing w:after="0" w:line="360" w:lineRule="auto"/>
        <w:ind w:firstLine="851"/>
        <w:jc w:val="center"/>
        <w:rPr>
          <w:rFonts w:ascii="Times New Roman" w:eastAsia="Times New Roman" w:hAnsi="Times New Roman" w:cs="Times New Roman"/>
          <w:bCs/>
          <w:color w:val="000000"/>
          <w:sz w:val="24"/>
          <w:szCs w:val="24"/>
          <w:u w:val="single"/>
          <w:lang w:eastAsia="pt-BR"/>
        </w:rPr>
      </w:pPr>
      <w:r w:rsidRPr="003C6BA9">
        <w:rPr>
          <w:rFonts w:ascii="Times New Roman" w:eastAsia="Times New Roman" w:hAnsi="Times New Roman" w:cs="Times New Roman"/>
          <w:bCs/>
          <w:noProof/>
          <w:color w:val="000000"/>
          <w:sz w:val="24"/>
          <w:szCs w:val="24"/>
          <w:lang w:eastAsia="pt-BR"/>
        </w:rPr>
        <w:drawing>
          <wp:inline distT="0" distB="0" distL="0" distR="0" wp14:anchorId="5541E5A6" wp14:editId="5C13E90B">
            <wp:extent cx="3449163" cy="2699031"/>
            <wp:effectExtent l="0" t="0" r="0" b="635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67024" cy="2713008"/>
                    </a:xfrm>
                    <a:prstGeom prst="rect">
                      <a:avLst/>
                    </a:prstGeom>
                  </pic:spPr>
                </pic:pic>
              </a:graphicData>
            </a:graphic>
          </wp:inline>
        </w:drawing>
      </w:r>
    </w:p>
    <w:p w14:paraId="465E130D" w14:textId="2C0F3D4D" w:rsidR="003C6BA9" w:rsidRDefault="009415A0" w:rsidP="009415A0">
      <w:pPr>
        <w:pStyle w:val="western"/>
        <w:spacing w:beforeAutospacing="0" w:after="0" w:line="360" w:lineRule="auto"/>
        <w:ind w:firstLine="708"/>
        <w:jc w:val="center"/>
      </w:pPr>
      <w:r w:rsidRPr="009415A0">
        <w:drawing>
          <wp:inline distT="0" distB="0" distL="0" distR="0" wp14:anchorId="5FAF8B16" wp14:editId="33180FE4">
            <wp:extent cx="3580410" cy="673188"/>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39007" cy="684205"/>
                    </a:xfrm>
                    <a:prstGeom prst="rect">
                      <a:avLst/>
                    </a:prstGeom>
                  </pic:spPr>
                </pic:pic>
              </a:graphicData>
            </a:graphic>
          </wp:inline>
        </w:drawing>
      </w:r>
    </w:p>
    <w:p w14:paraId="720C048E" w14:textId="063951E6" w:rsidR="003867BE" w:rsidRDefault="009415A0" w:rsidP="009415A0">
      <w:pPr>
        <w:pStyle w:val="western"/>
        <w:spacing w:beforeAutospacing="0" w:after="0" w:line="360" w:lineRule="auto"/>
        <w:ind w:firstLine="708"/>
        <w:jc w:val="center"/>
      </w:pPr>
      <w:r w:rsidRPr="009415A0">
        <w:drawing>
          <wp:inline distT="0" distB="0" distL="0" distR="0" wp14:anchorId="60078AC4" wp14:editId="259EB88C">
            <wp:extent cx="3543854" cy="385948"/>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00922" cy="392163"/>
                    </a:xfrm>
                    <a:prstGeom prst="rect">
                      <a:avLst/>
                    </a:prstGeom>
                  </pic:spPr>
                </pic:pic>
              </a:graphicData>
            </a:graphic>
          </wp:inline>
        </w:drawing>
      </w:r>
    </w:p>
    <w:p w14:paraId="77EAC887" w14:textId="77777777" w:rsidR="009415A0" w:rsidRDefault="009415A0" w:rsidP="003A7E74">
      <w:pPr>
        <w:pStyle w:val="western"/>
        <w:spacing w:beforeAutospacing="0" w:after="0" w:line="360" w:lineRule="auto"/>
        <w:jc w:val="both"/>
        <w:rPr>
          <w:b/>
        </w:rPr>
      </w:pPr>
    </w:p>
    <w:p w14:paraId="38F8F02E" w14:textId="551A959F" w:rsidR="00B3068C" w:rsidRPr="00F50E8F" w:rsidRDefault="002242B0" w:rsidP="003A7E74">
      <w:pPr>
        <w:pStyle w:val="western"/>
        <w:spacing w:beforeAutospacing="0" w:after="0" w:line="360" w:lineRule="auto"/>
        <w:jc w:val="both"/>
        <w:rPr>
          <w:b/>
        </w:rPr>
      </w:pPr>
      <w:r w:rsidRPr="00F50E8F">
        <w:rPr>
          <w:b/>
        </w:rPr>
        <w:t>DA DECISÃO</w:t>
      </w:r>
    </w:p>
    <w:p w14:paraId="4122ED20" w14:textId="77777777" w:rsidR="00B3068C" w:rsidRPr="00F50E8F" w:rsidRDefault="00B3068C" w:rsidP="003A7E74">
      <w:pPr>
        <w:pStyle w:val="western"/>
        <w:spacing w:beforeAutospacing="0" w:after="0" w:line="360" w:lineRule="auto"/>
        <w:jc w:val="both"/>
      </w:pPr>
    </w:p>
    <w:p w14:paraId="73EFCB59" w14:textId="3AD4D43B" w:rsidR="00B3068C" w:rsidRDefault="002242B0" w:rsidP="003A7E74">
      <w:pPr>
        <w:pStyle w:val="western"/>
        <w:spacing w:beforeAutospacing="0" w:after="0" w:line="360" w:lineRule="auto"/>
        <w:ind w:firstLine="851"/>
        <w:jc w:val="both"/>
        <w:rPr>
          <w:b/>
          <w:u w:val="single"/>
        </w:rPr>
      </w:pPr>
      <w:r w:rsidRPr="00F50E8F">
        <w:t xml:space="preserve">Considerando todos os fatos expostos e analisados, </w:t>
      </w:r>
      <w:r w:rsidR="00807861">
        <w:t>este Pregoeiro</w:t>
      </w:r>
      <w:r w:rsidRPr="00F50E8F">
        <w:t xml:space="preserve">, no exercício regular de suas atribuições, </w:t>
      </w:r>
      <w:r w:rsidRPr="00F50E8F">
        <w:rPr>
          <w:b/>
          <w:u w:val="single"/>
        </w:rPr>
        <w:t>DECIDE</w:t>
      </w:r>
      <w:r w:rsidRPr="00042565">
        <w:rPr>
          <w:bCs/>
        </w:rPr>
        <w:t>:</w:t>
      </w:r>
    </w:p>
    <w:p w14:paraId="515916A8" w14:textId="21ABD4CF" w:rsidR="00B3068C" w:rsidRPr="00F50E8F" w:rsidRDefault="002242B0" w:rsidP="003A7E74">
      <w:pPr>
        <w:pStyle w:val="western"/>
        <w:spacing w:beforeAutospacing="0" w:after="0" w:line="360" w:lineRule="auto"/>
        <w:ind w:firstLine="851"/>
        <w:jc w:val="both"/>
      </w:pPr>
      <w:r w:rsidRPr="00F50E8F">
        <w:t xml:space="preserve">Conhecer da presente impugnação ao </w:t>
      </w:r>
      <w:r w:rsidR="00A163D6">
        <w:t>e</w:t>
      </w:r>
      <w:r w:rsidRPr="00F50E8F">
        <w:t>dital</w:t>
      </w:r>
      <w:r w:rsidR="00A163D6">
        <w:t xml:space="preserve"> pelos motivos requeridos</w:t>
      </w:r>
      <w:r w:rsidRPr="00F50E8F">
        <w:t>, e</w:t>
      </w:r>
      <w:r w:rsidR="00A163D6">
        <w:t>,</w:t>
      </w:r>
      <w:r w:rsidRPr="00F50E8F">
        <w:t xml:space="preserve"> no mérito,</w:t>
      </w:r>
      <w:r w:rsidR="00A163D6">
        <w:t xml:space="preserve"> nego</w:t>
      </w:r>
      <w:r w:rsidRPr="00F50E8F">
        <w:t xml:space="preserve">-lhe provimento, </w:t>
      </w:r>
      <w:r w:rsidR="00A163D6">
        <w:t>julga</w:t>
      </w:r>
      <w:r w:rsidR="002142C7">
        <w:t>ndo</w:t>
      </w:r>
      <w:r w:rsidR="00A163D6">
        <w:t xml:space="preserve"> improcedente, mantendo </w:t>
      </w:r>
      <w:r w:rsidR="00A163D6" w:rsidRPr="00A163D6">
        <w:rPr>
          <w:i/>
          <w:iCs/>
        </w:rPr>
        <w:t xml:space="preserve">in </w:t>
      </w:r>
      <w:proofErr w:type="spellStart"/>
      <w:r w:rsidR="00A163D6" w:rsidRPr="00A163D6">
        <w:rPr>
          <w:i/>
          <w:iCs/>
        </w:rPr>
        <w:t>totum</w:t>
      </w:r>
      <w:proofErr w:type="spellEnd"/>
      <w:r w:rsidR="00A163D6">
        <w:t xml:space="preserve"> as exigências previstas no</w:t>
      </w:r>
      <w:r w:rsidR="000A0DBB" w:rsidRPr="00F50E8F">
        <w:t xml:space="preserve"> instrumento convocatório</w:t>
      </w:r>
      <w:r w:rsidRPr="00F50E8F">
        <w:t>.</w:t>
      </w:r>
    </w:p>
    <w:p w14:paraId="61C718A6" w14:textId="77777777" w:rsidR="00B3068C" w:rsidRPr="00F50E8F" w:rsidRDefault="00B3068C" w:rsidP="003A7E74">
      <w:pPr>
        <w:pStyle w:val="western"/>
        <w:spacing w:beforeAutospacing="0" w:after="0" w:line="360" w:lineRule="auto"/>
        <w:jc w:val="both"/>
      </w:pPr>
    </w:p>
    <w:p w14:paraId="2E098E8B" w14:textId="2F1CBCD3" w:rsidR="00B3068C" w:rsidRDefault="002242B0" w:rsidP="003A7E74">
      <w:pPr>
        <w:pStyle w:val="western"/>
        <w:spacing w:beforeAutospacing="0" w:after="0" w:line="360" w:lineRule="auto"/>
        <w:jc w:val="both"/>
      </w:pPr>
      <w:r w:rsidRPr="00F50E8F">
        <w:t xml:space="preserve">Balneário Camboriú, </w:t>
      </w:r>
      <w:r w:rsidR="008874E4">
        <w:t>08</w:t>
      </w:r>
      <w:r w:rsidRPr="00F50E8F">
        <w:t xml:space="preserve"> de </w:t>
      </w:r>
      <w:r w:rsidR="003A7E74">
        <w:t>dezembro</w:t>
      </w:r>
      <w:r w:rsidRPr="00F50E8F">
        <w:t xml:space="preserve"> de </w:t>
      </w:r>
      <w:r w:rsidR="005C3108">
        <w:t>2022</w:t>
      </w:r>
      <w:r w:rsidRPr="00F50E8F">
        <w:t>.</w:t>
      </w:r>
    </w:p>
    <w:p w14:paraId="7C84B7E7" w14:textId="0A90142E" w:rsidR="003867BE" w:rsidRDefault="003867BE" w:rsidP="003A7E74">
      <w:pPr>
        <w:pStyle w:val="western"/>
        <w:spacing w:beforeAutospacing="0" w:after="0" w:line="360" w:lineRule="auto"/>
        <w:jc w:val="both"/>
      </w:pPr>
    </w:p>
    <w:p w14:paraId="5462D48B" w14:textId="77777777" w:rsidR="003867BE" w:rsidRPr="00F50E8F" w:rsidRDefault="003867BE" w:rsidP="003A7E74">
      <w:pPr>
        <w:pStyle w:val="western"/>
        <w:spacing w:beforeAutospacing="0" w:after="0" w:line="360" w:lineRule="auto"/>
        <w:jc w:val="both"/>
      </w:pPr>
    </w:p>
    <w:p w14:paraId="2B90E97D" w14:textId="77777777" w:rsidR="008874E4" w:rsidRDefault="008874E4" w:rsidP="008874E4">
      <w:pPr>
        <w:pStyle w:val="western"/>
        <w:spacing w:beforeAutospacing="0" w:after="0" w:line="360" w:lineRule="auto"/>
      </w:pPr>
    </w:p>
    <w:p w14:paraId="1578DACD" w14:textId="5071748B" w:rsidR="00B3068C" w:rsidRPr="00F50E8F" w:rsidRDefault="00044059" w:rsidP="008874E4">
      <w:pPr>
        <w:pStyle w:val="western"/>
        <w:spacing w:beforeAutospacing="0" w:after="0" w:line="360" w:lineRule="auto"/>
        <w:jc w:val="center"/>
        <w:rPr>
          <w:b/>
        </w:rPr>
      </w:pPr>
      <w:r>
        <w:rPr>
          <w:b/>
        </w:rPr>
        <w:t>RENATO FOGAR LOPES</w:t>
      </w:r>
    </w:p>
    <w:p w14:paraId="586EB866" w14:textId="70869807" w:rsidR="00B3068C" w:rsidRPr="00F50E8F" w:rsidRDefault="00044059" w:rsidP="008874E4">
      <w:pPr>
        <w:pStyle w:val="western"/>
        <w:spacing w:beforeAutospacing="0" w:after="0" w:line="360" w:lineRule="auto"/>
        <w:jc w:val="center"/>
      </w:pPr>
      <w:r>
        <w:t>Pregoeiro</w:t>
      </w:r>
    </w:p>
    <w:sectPr w:rsidR="00B3068C" w:rsidRPr="00F50E8F">
      <w:headerReference w:type="default" r:id="rId11"/>
      <w:footerReference w:type="default" r:id="rId12"/>
      <w:pgSz w:w="11906" w:h="16838"/>
      <w:pgMar w:top="1417" w:right="1133" w:bottom="1417" w:left="1701" w:header="56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EE4F1" w14:textId="77777777" w:rsidR="0026277E" w:rsidRDefault="002242B0">
      <w:pPr>
        <w:spacing w:after="0" w:line="240" w:lineRule="auto"/>
      </w:pPr>
      <w:r>
        <w:separator/>
      </w:r>
    </w:p>
  </w:endnote>
  <w:endnote w:type="continuationSeparator" w:id="0">
    <w:p w14:paraId="22E17111" w14:textId="77777777" w:rsidR="0026277E" w:rsidRDefault="00224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733548"/>
      <w:docPartObj>
        <w:docPartGallery w:val="Page Numbers (Bottom of Page)"/>
        <w:docPartUnique/>
      </w:docPartObj>
    </w:sdtPr>
    <w:sdtEndPr/>
    <w:sdtContent>
      <w:p w14:paraId="6443EC2A" w14:textId="3D14ABA9" w:rsidR="00B3068C" w:rsidRDefault="002242B0" w:rsidP="00B31D90">
        <w:pPr>
          <w:pStyle w:val="Rodap"/>
          <w:pBdr>
            <w:top w:val="single" w:sz="4" w:space="1" w:color="000001"/>
          </w:pBdr>
          <w:jc w:val="center"/>
        </w:pPr>
        <w:r>
          <w:rPr>
            <w:rFonts w:ascii="Arial" w:hAnsi="Arial" w:cs="Arial"/>
            <w:b/>
            <w:spacing w:val="16"/>
            <w:sz w:val="14"/>
            <w:szCs w:val="14"/>
          </w:rPr>
          <w:t>Balneário Camboriú – Capital Catarinense do Turismo - CNPJ 83.102.285/0001-07</w:t>
        </w:r>
      </w:p>
      <w:p w14:paraId="1CC7F3FB" w14:textId="77777777" w:rsidR="00B3068C" w:rsidRDefault="002242B0">
        <w:pPr>
          <w:pStyle w:val="Rodap"/>
          <w:pBdr>
            <w:top w:val="single" w:sz="4" w:space="1" w:color="000001"/>
          </w:pBdr>
          <w:jc w:val="center"/>
          <w:rPr>
            <w:sz w:val="20"/>
            <w:szCs w:val="20"/>
          </w:rPr>
        </w:pPr>
        <w:r>
          <w:rPr>
            <w:rFonts w:ascii="Arial" w:hAnsi="Arial" w:cs="Arial"/>
            <w:b/>
            <w:color w:val="808080"/>
            <w:spacing w:val="16"/>
            <w:sz w:val="14"/>
            <w:szCs w:val="14"/>
          </w:rPr>
          <w:t>Rua Dinamarca, 320 – Paço Municipal - CEP 88338-900 – (47) 3267-7000</w:t>
        </w:r>
      </w:p>
    </w:sdtContent>
  </w:sdt>
  <w:p w14:paraId="3DE7AD2A" w14:textId="08D9EFB4" w:rsidR="00B3068C" w:rsidRDefault="002242B0">
    <w:pPr>
      <w:pStyle w:val="Rodap"/>
      <w:jc w:val="right"/>
      <w:rPr>
        <w:rFonts w:ascii="Arial" w:hAnsi="Arial" w:cs="Arial"/>
        <w:sz w:val="20"/>
      </w:rPr>
    </w:pPr>
    <w:r>
      <w:rPr>
        <w:rFonts w:ascii="Arial" w:hAnsi="Arial" w:cs="Arial"/>
        <w:sz w:val="20"/>
      </w:rPr>
      <w:fldChar w:fldCharType="begin"/>
    </w:r>
    <w:r>
      <w:rPr>
        <w:rFonts w:ascii="Arial" w:hAnsi="Arial" w:cs="Arial"/>
        <w:sz w:val="20"/>
      </w:rPr>
      <w:instrText>PAGE</w:instrText>
    </w:r>
    <w:r>
      <w:rPr>
        <w:rFonts w:ascii="Arial" w:hAnsi="Arial" w:cs="Arial"/>
        <w:sz w:val="20"/>
      </w:rPr>
      <w:fldChar w:fldCharType="separate"/>
    </w:r>
    <w:r>
      <w:rPr>
        <w:rFonts w:ascii="Arial" w:hAnsi="Arial" w:cs="Arial"/>
        <w:sz w:val="20"/>
      </w:rPr>
      <w:t>6</w:t>
    </w:r>
    <w:r>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4F74C" w14:textId="77777777" w:rsidR="0026277E" w:rsidRDefault="002242B0">
      <w:pPr>
        <w:spacing w:after="0" w:line="240" w:lineRule="auto"/>
      </w:pPr>
      <w:r>
        <w:separator/>
      </w:r>
    </w:p>
  </w:footnote>
  <w:footnote w:type="continuationSeparator" w:id="0">
    <w:p w14:paraId="1B3FC0ED" w14:textId="77777777" w:rsidR="0026277E" w:rsidRDefault="002242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9418" w:type="dxa"/>
      <w:tblInd w:w="-142" w:type="dxa"/>
      <w:tblLook w:val="04A0" w:firstRow="1" w:lastRow="0" w:firstColumn="1" w:lastColumn="0" w:noHBand="0" w:noVBand="1"/>
    </w:tblPr>
    <w:tblGrid>
      <w:gridCol w:w="5672"/>
      <w:gridCol w:w="3746"/>
    </w:tblGrid>
    <w:tr w:rsidR="00B3068C" w14:paraId="6A72BC2D" w14:textId="77777777">
      <w:trPr>
        <w:trHeight w:val="826"/>
      </w:trPr>
      <w:tc>
        <w:tcPr>
          <w:tcW w:w="5671" w:type="dxa"/>
          <w:tcBorders>
            <w:top w:val="nil"/>
            <w:left w:val="nil"/>
            <w:right w:val="nil"/>
          </w:tcBorders>
          <w:vAlign w:val="center"/>
        </w:tcPr>
        <w:p w14:paraId="59FC0059" w14:textId="77777777" w:rsidR="00B3068C" w:rsidRDefault="002242B0">
          <w:pPr>
            <w:spacing w:after="0" w:line="240" w:lineRule="auto"/>
            <w:rPr>
              <w:sz w:val="24"/>
            </w:rPr>
          </w:pPr>
          <w:r>
            <w:rPr>
              <w:rFonts w:ascii="Arial" w:eastAsia="Calibri" w:hAnsi="Arial" w:cs="Arial"/>
              <w:sz w:val="24"/>
            </w:rPr>
            <w:t>ESTADO DE SANTA CATARINA</w:t>
          </w:r>
        </w:p>
        <w:p w14:paraId="33A64F0B" w14:textId="77777777" w:rsidR="00B3068C" w:rsidRDefault="002242B0">
          <w:pPr>
            <w:spacing w:after="0" w:line="240" w:lineRule="auto"/>
            <w:rPr>
              <w:sz w:val="24"/>
            </w:rPr>
          </w:pPr>
          <w:r>
            <w:rPr>
              <w:rFonts w:ascii="Arial" w:eastAsia="Calibri" w:hAnsi="Arial" w:cs="Arial"/>
              <w:sz w:val="24"/>
            </w:rPr>
            <w:t>MUNICÍPIO DE BALNEÁRIO CAMBORIÚ</w:t>
          </w:r>
        </w:p>
        <w:p w14:paraId="0E332461" w14:textId="77777777" w:rsidR="00B3068C" w:rsidRDefault="002242B0">
          <w:pPr>
            <w:spacing w:after="0" w:line="240" w:lineRule="auto"/>
            <w:rPr>
              <w:rFonts w:ascii="Arial" w:hAnsi="Arial" w:cs="Arial"/>
            </w:rPr>
          </w:pPr>
          <w:r>
            <w:rPr>
              <w:rFonts w:ascii="Arial" w:eastAsia="Calibri" w:hAnsi="Arial" w:cs="Arial"/>
              <w:sz w:val="24"/>
            </w:rPr>
            <w:t>SECRETARIA DE COMPRAS</w:t>
          </w:r>
        </w:p>
      </w:tc>
      <w:tc>
        <w:tcPr>
          <w:tcW w:w="3746" w:type="dxa"/>
          <w:tcBorders>
            <w:top w:val="nil"/>
            <w:left w:val="nil"/>
            <w:right w:val="nil"/>
          </w:tcBorders>
        </w:tcPr>
        <w:p w14:paraId="5B07465F" w14:textId="77777777" w:rsidR="00B3068C" w:rsidRDefault="00B3068C">
          <w:pPr>
            <w:pStyle w:val="Cabealho"/>
            <w:rPr>
              <w:rFonts w:ascii="Calibri" w:eastAsia="Calibri" w:hAnsi="Calibri" w:cs="Times New Roman"/>
            </w:rPr>
          </w:pPr>
        </w:p>
        <w:p w14:paraId="4123A000" w14:textId="77777777" w:rsidR="00B3068C" w:rsidRDefault="00B3068C">
          <w:pPr>
            <w:pStyle w:val="Cabealho"/>
            <w:rPr>
              <w:rFonts w:ascii="Calibri" w:eastAsia="Calibri" w:hAnsi="Calibri" w:cs="Times New Roman"/>
            </w:rPr>
          </w:pPr>
        </w:p>
        <w:p w14:paraId="0EBDF2A6" w14:textId="77777777" w:rsidR="00B3068C" w:rsidRDefault="00B3068C">
          <w:pPr>
            <w:pStyle w:val="Cabealho"/>
            <w:rPr>
              <w:rFonts w:ascii="Calibri" w:eastAsia="Calibri" w:hAnsi="Calibri" w:cs="Times New Roman"/>
            </w:rPr>
          </w:pPr>
        </w:p>
        <w:p w14:paraId="28128B32" w14:textId="77777777" w:rsidR="00B3068C" w:rsidRDefault="002242B0">
          <w:pPr>
            <w:pStyle w:val="Cabealho"/>
            <w:rPr>
              <w:rFonts w:ascii="Calibri" w:eastAsia="Calibri" w:hAnsi="Calibri" w:cs="Times New Roman"/>
            </w:rPr>
          </w:pPr>
          <w:r>
            <w:rPr>
              <w:rFonts w:eastAsia="Calibri" w:cs="Times New Roman"/>
              <w:noProof/>
            </w:rPr>
            <w:drawing>
              <wp:anchor distT="0" distB="0" distL="114300" distR="114300" simplePos="0" relativeHeight="2" behindDoc="1" locked="0" layoutInCell="1" allowOverlap="1" wp14:anchorId="19082419" wp14:editId="685D9192">
                <wp:simplePos x="0" y="0"/>
                <wp:positionH relativeFrom="margin">
                  <wp:posOffset>652780</wp:posOffset>
                </wp:positionH>
                <wp:positionV relativeFrom="margin">
                  <wp:posOffset>3810</wp:posOffset>
                </wp:positionV>
                <wp:extent cx="1615440" cy="628015"/>
                <wp:effectExtent l="0" t="0" r="0" b="0"/>
                <wp:wrapSquare wrapText="bothSides"/>
                <wp:docPr id="1" name="Imagem 5" descr="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descr="Logo Horizontal Azul"/>
                        <pic:cNvPicPr>
                          <a:picLocks noChangeAspect="1" noChangeArrowheads="1"/>
                        </pic:cNvPicPr>
                      </pic:nvPicPr>
                      <pic:blipFill>
                        <a:blip r:embed="rId1"/>
                        <a:stretch>
                          <a:fillRect/>
                        </a:stretch>
                      </pic:blipFill>
                      <pic:spPr bwMode="auto">
                        <a:xfrm>
                          <a:off x="0" y="0"/>
                          <a:ext cx="1615440" cy="628015"/>
                        </a:xfrm>
                        <a:prstGeom prst="rect">
                          <a:avLst/>
                        </a:prstGeom>
                      </pic:spPr>
                    </pic:pic>
                  </a:graphicData>
                </a:graphic>
              </wp:anchor>
            </w:drawing>
          </w:r>
        </w:p>
      </w:tc>
    </w:tr>
  </w:tbl>
  <w:p w14:paraId="6B0204CD" w14:textId="77777777" w:rsidR="00B3068C" w:rsidRDefault="00B3068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220120"/>
    <w:multiLevelType w:val="multilevel"/>
    <w:tmpl w:val="CECAD98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215E3919"/>
    <w:multiLevelType w:val="hybridMultilevel"/>
    <w:tmpl w:val="A208A26A"/>
    <w:lvl w:ilvl="0" w:tplc="643247C6">
      <w:start w:val="1"/>
      <w:numFmt w:val="upperRoman"/>
      <w:lvlText w:val="%1."/>
      <w:lvlJc w:val="right"/>
      <w:pPr>
        <w:ind w:left="791" w:hanging="360"/>
      </w:pPr>
      <w:rPr>
        <w:b/>
        <w:bCs/>
      </w:rPr>
    </w:lvl>
    <w:lvl w:ilvl="1" w:tplc="04160019" w:tentative="1">
      <w:start w:val="1"/>
      <w:numFmt w:val="lowerLetter"/>
      <w:lvlText w:val="%2."/>
      <w:lvlJc w:val="left"/>
      <w:pPr>
        <w:ind w:left="1511" w:hanging="360"/>
      </w:pPr>
    </w:lvl>
    <w:lvl w:ilvl="2" w:tplc="0416001B" w:tentative="1">
      <w:start w:val="1"/>
      <w:numFmt w:val="lowerRoman"/>
      <w:lvlText w:val="%3."/>
      <w:lvlJc w:val="right"/>
      <w:pPr>
        <w:ind w:left="2231" w:hanging="180"/>
      </w:pPr>
    </w:lvl>
    <w:lvl w:ilvl="3" w:tplc="0416000F" w:tentative="1">
      <w:start w:val="1"/>
      <w:numFmt w:val="decimal"/>
      <w:lvlText w:val="%4."/>
      <w:lvlJc w:val="left"/>
      <w:pPr>
        <w:ind w:left="2951" w:hanging="360"/>
      </w:pPr>
    </w:lvl>
    <w:lvl w:ilvl="4" w:tplc="04160019" w:tentative="1">
      <w:start w:val="1"/>
      <w:numFmt w:val="lowerLetter"/>
      <w:lvlText w:val="%5."/>
      <w:lvlJc w:val="left"/>
      <w:pPr>
        <w:ind w:left="3671" w:hanging="360"/>
      </w:pPr>
    </w:lvl>
    <w:lvl w:ilvl="5" w:tplc="0416001B" w:tentative="1">
      <w:start w:val="1"/>
      <w:numFmt w:val="lowerRoman"/>
      <w:lvlText w:val="%6."/>
      <w:lvlJc w:val="right"/>
      <w:pPr>
        <w:ind w:left="4391" w:hanging="180"/>
      </w:pPr>
    </w:lvl>
    <w:lvl w:ilvl="6" w:tplc="0416000F" w:tentative="1">
      <w:start w:val="1"/>
      <w:numFmt w:val="decimal"/>
      <w:lvlText w:val="%7."/>
      <w:lvlJc w:val="left"/>
      <w:pPr>
        <w:ind w:left="5111" w:hanging="360"/>
      </w:pPr>
    </w:lvl>
    <w:lvl w:ilvl="7" w:tplc="04160019" w:tentative="1">
      <w:start w:val="1"/>
      <w:numFmt w:val="lowerLetter"/>
      <w:lvlText w:val="%8."/>
      <w:lvlJc w:val="left"/>
      <w:pPr>
        <w:ind w:left="5831" w:hanging="360"/>
      </w:pPr>
    </w:lvl>
    <w:lvl w:ilvl="8" w:tplc="0416001B" w:tentative="1">
      <w:start w:val="1"/>
      <w:numFmt w:val="lowerRoman"/>
      <w:lvlText w:val="%9."/>
      <w:lvlJc w:val="right"/>
      <w:pPr>
        <w:ind w:left="6551" w:hanging="180"/>
      </w:pPr>
    </w:lvl>
  </w:abstractNum>
  <w:abstractNum w:abstractNumId="2" w15:restartNumberingAfterBreak="0">
    <w:nsid w:val="4A91618F"/>
    <w:multiLevelType w:val="multilevel"/>
    <w:tmpl w:val="238AD872"/>
    <w:lvl w:ilvl="0">
      <w:start w:val="1"/>
      <w:numFmt w:val="lowerLetter"/>
      <w:lvlText w:val="%1)"/>
      <w:lvlJc w:val="left"/>
      <w:pPr>
        <w:ind w:left="786" w:hanging="360"/>
      </w:pPr>
      <w:rPr>
        <w:rFonts w:ascii="Times New Roman" w:hAnsi="Times New Roman" w:cs="Times New Roman" w:hint="default"/>
        <w:b/>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516C529C"/>
    <w:multiLevelType w:val="multilevel"/>
    <w:tmpl w:val="DDE2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E766D8"/>
    <w:multiLevelType w:val="multilevel"/>
    <w:tmpl w:val="995E21FC"/>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302030990">
    <w:abstractNumId w:val="4"/>
  </w:num>
  <w:num w:numId="2" w16cid:durableId="496382265">
    <w:abstractNumId w:val="0"/>
  </w:num>
  <w:num w:numId="3" w16cid:durableId="1118527697">
    <w:abstractNumId w:val="1"/>
  </w:num>
  <w:num w:numId="4" w16cid:durableId="1278101831">
    <w:abstractNumId w:val="3"/>
  </w:num>
  <w:num w:numId="5" w16cid:durableId="7965266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autoHyphenation/>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68C"/>
    <w:rsid w:val="0001003B"/>
    <w:rsid w:val="0001507F"/>
    <w:rsid w:val="00024A30"/>
    <w:rsid w:val="00037307"/>
    <w:rsid w:val="00042565"/>
    <w:rsid w:val="00043B16"/>
    <w:rsid w:val="00044059"/>
    <w:rsid w:val="00052E92"/>
    <w:rsid w:val="00067027"/>
    <w:rsid w:val="000A0DBB"/>
    <w:rsid w:val="000C6793"/>
    <w:rsid w:val="000D566D"/>
    <w:rsid w:val="000D56FF"/>
    <w:rsid w:val="000E576F"/>
    <w:rsid w:val="000E7B41"/>
    <w:rsid w:val="00121F1D"/>
    <w:rsid w:val="00151C52"/>
    <w:rsid w:val="00154C24"/>
    <w:rsid w:val="00161C9C"/>
    <w:rsid w:val="001864BB"/>
    <w:rsid w:val="001C7F5B"/>
    <w:rsid w:val="001F4D1C"/>
    <w:rsid w:val="002052FB"/>
    <w:rsid w:val="002142C7"/>
    <w:rsid w:val="00216CAD"/>
    <w:rsid w:val="002242B0"/>
    <w:rsid w:val="002426A9"/>
    <w:rsid w:val="0024758B"/>
    <w:rsid w:val="0026277E"/>
    <w:rsid w:val="00267E73"/>
    <w:rsid w:val="00276161"/>
    <w:rsid w:val="00277F0A"/>
    <w:rsid w:val="00281008"/>
    <w:rsid w:val="002B7B13"/>
    <w:rsid w:val="002C288B"/>
    <w:rsid w:val="002E270D"/>
    <w:rsid w:val="002F564C"/>
    <w:rsid w:val="0035323F"/>
    <w:rsid w:val="00376FB5"/>
    <w:rsid w:val="00381625"/>
    <w:rsid w:val="003867BE"/>
    <w:rsid w:val="00396327"/>
    <w:rsid w:val="003A7E20"/>
    <w:rsid w:val="003A7E74"/>
    <w:rsid w:val="003B506B"/>
    <w:rsid w:val="003C14A7"/>
    <w:rsid w:val="003C6BA9"/>
    <w:rsid w:val="003D4A68"/>
    <w:rsid w:val="003D59D8"/>
    <w:rsid w:val="003D79ED"/>
    <w:rsid w:val="003E0F2D"/>
    <w:rsid w:val="003E6A67"/>
    <w:rsid w:val="00413FE5"/>
    <w:rsid w:val="0042355D"/>
    <w:rsid w:val="00427BFF"/>
    <w:rsid w:val="00437F0F"/>
    <w:rsid w:val="0047431A"/>
    <w:rsid w:val="004945EC"/>
    <w:rsid w:val="004B1BA1"/>
    <w:rsid w:val="004E7CA8"/>
    <w:rsid w:val="005274D9"/>
    <w:rsid w:val="00543E85"/>
    <w:rsid w:val="00550E10"/>
    <w:rsid w:val="005C3108"/>
    <w:rsid w:val="005C6549"/>
    <w:rsid w:val="005E013A"/>
    <w:rsid w:val="005E6183"/>
    <w:rsid w:val="00616800"/>
    <w:rsid w:val="006328FE"/>
    <w:rsid w:val="00642E24"/>
    <w:rsid w:val="00647BF9"/>
    <w:rsid w:val="00650D16"/>
    <w:rsid w:val="006664E1"/>
    <w:rsid w:val="00696BD8"/>
    <w:rsid w:val="006A3BB3"/>
    <w:rsid w:val="006C140D"/>
    <w:rsid w:val="006D6E92"/>
    <w:rsid w:val="006F1D91"/>
    <w:rsid w:val="00700D8A"/>
    <w:rsid w:val="00767F7A"/>
    <w:rsid w:val="00791117"/>
    <w:rsid w:val="007D37DE"/>
    <w:rsid w:val="007E0826"/>
    <w:rsid w:val="007F6AA1"/>
    <w:rsid w:val="00800EF0"/>
    <w:rsid w:val="0080521D"/>
    <w:rsid w:val="00807861"/>
    <w:rsid w:val="00824F86"/>
    <w:rsid w:val="00830E70"/>
    <w:rsid w:val="00835E2F"/>
    <w:rsid w:val="0086590D"/>
    <w:rsid w:val="0088090D"/>
    <w:rsid w:val="008874E4"/>
    <w:rsid w:val="008A42C3"/>
    <w:rsid w:val="008B3AED"/>
    <w:rsid w:val="008C0882"/>
    <w:rsid w:val="008E3D70"/>
    <w:rsid w:val="008E745F"/>
    <w:rsid w:val="00901B77"/>
    <w:rsid w:val="009415A0"/>
    <w:rsid w:val="00942BB5"/>
    <w:rsid w:val="00945BC5"/>
    <w:rsid w:val="00994973"/>
    <w:rsid w:val="009B1403"/>
    <w:rsid w:val="009B39FE"/>
    <w:rsid w:val="009C1C29"/>
    <w:rsid w:val="009E0481"/>
    <w:rsid w:val="009E1E9B"/>
    <w:rsid w:val="009E6867"/>
    <w:rsid w:val="00A03A4F"/>
    <w:rsid w:val="00A163D6"/>
    <w:rsid w:val="00A61D61"/>
    <w:rsid w:val="00A62534"/>
    <w:rsid w:val="00A73211"/>
    <w:rsid w:val="00A87C30"/>
    <w:rsid w:val="00AE5839"/>
    <w:rsid w:val="00B018FB"/>
    <w:rsid w:val="00B3068C"/>
    <w:rsid w:val="00B31D90"/>
    <w:rsid w:val="00B80178"/>
    <w:rsid w:val="00BA7355"/>
    <w:rsid w:val="00BB705F"/>
    <w:rsid w:val="00BD16C9"/>
    <w:rsid w:val="00C07F09"/>
    <w:rsid w:val="00C10FC9"/>
    <w:rsid w:val="00C14E97"/>
    <w:rsid w:val="00C24AA0"/>
    <w:rsid w:val="00C41FC5"/>
    <w:rsid w:val="00C45101"/>
    <w:rsid w:val="00C55379"/>
    <w:rsid w:val="00C66C3B"/>
    <w:rsid w:val="00C82218"/>
    <w:rsid w:val="00CB1753"/>
    <w:rsid w:val="00CC0D80"/>
    <w:rsid w:val="00CC22D3"/>
    <w:rsid w:val="00CE5D75"/>
    <w:rsid w:val="00D022A3"/>
    <w:rsid w:val="00D65982"/>
    <w:rsid w:val="00D70CE6"/>
    <w:rsid w:val="00D75083"/>
    <w:rsid w:val="00D91497"/>
    <w:rsid w:val="00DD13B7"/>
    <w:rsid w:val="00E06CC1"/>
    <w:rsid w:val="00E1181D"/>
    <w:rsid w:val="00E31A98"/>
    <w:rsid w:val="00E705E2"/>
    <w:rsid w:val="00E7076B"/>
    <w:rsid w:val="00E8431A"/>
    <w:rsid w:val="00EA2E15"/>
    <w:rsid w:val="00EC3B05"/>
    <w:rsid w:val="00EC6603"/>
    <w:rsid w:val="00EE300A"/>
    <w:rsid w:val="00F02B63"/>
    <w:rsid w:val="00F240EC"/>
    <w:rsid w:val="00F31AC7"/>
    <w:rsid w:val="00F3378C"/>
    <w:rsid w:val="00F50E8F"/>
    <w:rsid w:val="00F544A2"/>
    <w:rsid w:val="00F665C8"/>
    <w:rsid w:val="00F93B96"/>
    <w:rsid w:val="00F96E5C"/>
    <w:rsid w:val="00FB2BD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773D043"/>
  <w15:docId w15:val="{E73602D5-5094-4F7C-A8D2-D31D63FB1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paragraph" w:styleId="Ttulo1">
    <w:name w:val="heading 1"/>
    <w:basedOn w:val="Normal"/>
    <w:next w:val="Normal"/>
    <w:link w:val="Ttulo1Char"/>
    <w:uiPriority w:val="9"/>
    <w:qFormat/>
    <w:rsid w:val="00C63EB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CD77E2"/>
    <w:pPr>
      <w:keepNext/>
      <w:numPr>
        <w:ilvl w:val="1"/>
        <w:numId w:val="1"/>
      </w:numPr>
      <w:spacing w:after="0" w:line="240" w:lineRule="auto"/>
      <w:outlineLvl w:val="1"/>
    </w:pPr>
    <w:rPr>
      <w:rFonts w:ascii="Tahoma" w:eastAsia="Times New Roman" w:hAnsi="Tahoma" w:cs="Times New Roman"/>
      <w:b/>
      <w:sz w:val="24"/>
      <w:szCs w:val="20"/>
      <w:lang w:eastAsia="ar-SA"/>
    </w:rPr>
  </w:style>
  <w:style w:type="paragraph" w:styleId="Ttulo3">
    <w:name w:val="heading 3"/>
    <w:basedOn w:val="Normal"/>
    <w:next w:val="Normal"/>
    <w:link w:val="Ttulo3Char"/>
    <w:uiPriority w:val="9"/>
    <w:semiHidden/>
    <w:unhideWhenUsed/>
    <w:qFormat/>
    <w:rsid w:val="00ED78B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191CE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CD77E2"/>
  </w:style>
  <w:style w:type="character" w:customStyle="1" w:styleId="RodapChar">
    <w:name w:val="Rodapé Char"/>
    <w:basedOn w:val="Fontepargpadro"/>
    <w:link w:val="Rodap"/>
    <w:uiPriority w:val="99"/>
    <w:qFormat/>
    <w:rsid w:val="00CD77E2"/>
  </w:style>
  <w:style w:type="character" w:customStyle="1" w:styleId="Ttulo2Char">
    <w:name w:val="Título 2 Char"/>
    <w:basedOn w:val="Fontepargpadro"/>
    <w:link w:val="Ttulo2"/>
    <w:qFormat/>
    <w:rsid w:val="00CD77E2"/>
    <w:rPr>
      <w:rFonts w:ascii="Tahoma" w:eastAsia="Times New Roman" w:hAnsi="Tahoma" w:cs="Times New Roman"/>
      <w:b/>
      <w:sz w:val="24"/>
      <w:szCs w:val="20"/>
      <w:lang w:eastAsia="ar-SA"/>
    </w:rPr>
  </w:style>
  <w:style w:type="character" w:customStyle="1" w:styleId="TextodebaloChar">
    <w:name w:val="Texto de balão Char"/>
    <w:basedOn w:val="Fontepargpadro"/>
    <w:link w:val="Textodebalo"/>
    <w:uiPriority w:val="99"/>
    <w:semiHidden/>
    <w:qFormat/>
    <w:rsid w:val="00CD77E2"/>
    <w:rPr>
      <w:rFonts w:ascii="Tahoma" w:hAnsi="Tahoma" w:cs="Tahoma"/>
      <w:sz w:val="16"/>
      <w:szCs w:val="16"/>
    </w:rPr>
  </w:style>
  <w:style w:type="character" w:customStyle="1" w:styleId="Ttulo1Char">
    <w:name w:val="Título 1 Char"/>
    <w:basedOn w:val="Fontepargpadro"/>
    <w:link w:val="Ttulo1"/>
    <w:qFormat/>
    <w:rsid w:val="00C63EB8"/>
    <w:rPr>
      <w:rFonts w:asciiTheme="majorHAnsi" w:eastAsiaTheme="majorEastAsia" w:hAnsiTheme="majorHAnsi" w:cstheme="majorBidi"/>
      <w:color w:val="365F91" w:themeColor="accent1" w:themeShade="BF"/>
      <w:sz w:val="32"/>
      <w:szCs w:val="32"/>
    </w:rPr>
  </w:style>
  <w:style w:type="character" w:customStyle="1" w:styleId="TextosemFormataoChar">
    <w:name w:val="Texto sem Formatação Char"/>
    <w:basedOn w:val="Fontepargpadro"/>
    <w:link w:val="TextosemFormatao"/>
    <w:uiPriority w:val="99"/>
    <w:qFormat/>
    <w:rsid w:val="000F7CFC"/>
    <w:rPr>
      <w:rFonts w:ascii="Courier New" w:eastAsia="Times New Roman" w:hAnsi="Courier New" w:cs="Times New Roman"/>
      <w:sz w:val="20"/>
      <w:szCs w:val="20"/>
      <w:lang w:eastAsia="pt-BR"/>
    </w:rPr>
  </w:style>
  <w:style w:type="character" w:customStyle="1" w:styleId="Ttulo4Char">
    <w:name w:val="Título 4 Char"/>
    <w:basedOn w:val="Fontepargpadro"/>
    <w:link w:val="Ttulo4"/>
    <w:uiPriority w:val="1"/>
    <w:qFormat/>
    <w:rsid w:val="00191CE5"/>
    <w:rPr>
      <w:rFonts w:asciiTheme="majorHAnsi" w:eastAsiaTheme="majorEastAsia" w:hAnsiTheme="majorHAnsi" w:cstheme="majorBidi"/>
      <w:i/>
      <w:iCs/>
      <w:color w:val="365F91" w:themeColor="accent1" w:themeShade="BF"/>
    </w:rPr>
  </w:style>
  <w:style w:type="character" w:customStyle="1" w:styleId="PargrafodaListaChar">
    <w:name w:val="Parágrafo da Lista Char"/>
    <w:aliases w:val="List I Paragraph Char,Colorful List - Accent 11 Char,Texto Char"/>
    <w:link w:val="PargrafodaLista"/>
    <w:qFormat/>
    <w:locked/>
    <w:rsid w:val="00E208D1"/>
    <w:rPr>
      <w:rFonts w:ascii="Calibri" w:eastAsia="Calibri" w:hAnsi="Calibri" w:cs="Times New Roman"/>
      <w:lang w:val="en-US"/>
    </w:rPr>
  </w:style>
  <w:style w:type="character" w:customStyle="1" w:styleId="TextodenotadefimChar">
    <w:name w:val="Texto de nota de fim Char"/>
    <w:basedOn w:val="Fontepargpadro"/>
    <w:link w:val="Textodenotadefim"/>
    <w:uiPriority w:val="99"/>
    <w:semiHidden/>
    <w:qFormat/>
    <w:rsid w:val="00585CB1"/>
    <w:rPr>
      <w:sz w:val="20"/>
      <w:szCs w:val="20"/>
    </w:rPr>
  </w:style>
  <w:style w:type="character" w:customStyle="1" w:styleId="ncoradanotadefim">
    <w:name w:val="Âncora da nota de fim"/>
    <w:rPr>
      <w:vertAlign w:val="superscript"/>
    </w:rPr>
  </w:style>
  <w:style w:type="character" w:customStyle="1" w:styleId="EndnoteCharacters">
    <w:name w:val="Endnote Characters"/>
    <w:basedOn w:val="Fontepargpadro"/>
    <w:uiPriority w:val="99"/>
    <w:semiHidden/>
    <w:unhideWhenUsed/>
    <w:qFormat/>
    <w:rsid w:val="00585CB1"/>
    <w:rPr>
      <w:vertAlign w:val="superscript"/>
    </w:rPr>
  </w:style>
  <w:style w:type="character" w:customStyle="1" w:styleId="TextodenotaderodapChar">
    <w:name w:val="Texto de nota de rodapé Char"/>
    <w:basedOn w:val="Fontepargpadro"/>
    <w:link w:val="Textodenotaderodap"/>
    <w:uiPriority w:val="99"/>
    <w:semiHidden/>
    <w:qFormat/>
    <w:rsid w:val="00585CB1"/>
    <w:rPr>
      <w:sz w:val="20"/>
      <w:szCs w:val="20"/>
    </w:rPr>
  </w:style>
  <w:style w:type="character" w:customStyle="1" w:styleId="ncoradanotaderodap">
    <w:name w:val="Âncora da nota de rodapé"/>
    <w:rPr>
      <w:vertAlign w:val="superscript"/>
    </w:rPr>
  </w:style>
  <w:style w:type="character" w:customStyle="1" w:styleId="FootnoteCharacters">
    <w:name w:val="Footnote Characters"/>
    <w:basedOn w:val="Fontepargpadro"/>
    <w:uiPriority w:val="99"/>
    <w:semiHidden/>
    <w:unhideWhenUsed/>
    <w:qFormat/>
    <w:rsid w:val="00585CB1"/>
    <w:rPr>
      <w:vertAlign w:val="superscript"/>
    </w:rPr>
  </w:style>
  <w:style w:type="character" w:customStyle="1" w:styleId="LinkdaInternet">
    <w:name w:val="Link da Internet"/>
    <w:basedOn w:val="Fontepargpadro"/>
    <w:uiPriority w:val="99"/>
    <w:unhideWhenUsed/>
    <w:rsid w:val="00FA40C1"/>
    <w:rPr>
      <w:color w:val="0000FF" w:themeColor="hyperlink"/>
      <w:u w:val="single"/>
    </w:rPr>
  </w:style>
  <w:style w:type="character" w:customStyle="1" w:styleId="Ttulo3Char">
    <w:name w:val="Título 3 Char"/>
    <w:basedOn w:val="Fontepargpadro"/>
    <w:link w:val="Ttulo3"/>
    <w:uiPriority w:val="9"/>
    <w:semiHidden/>
    <w:qFormat/>
    <w:rsid w:val="00ED78BE"/>
    <w:rPr>
      <w:rFonts w:asciiTheme="majorHAnsi" w:eastAsiaTheme="majorEastAsia" w:hAnsiTheme="majorHAnsi" w:cstheme="majorBidi"/>
      <w:color w:val="243F60" w:themeColor="accent1" w:themeShade="7F"/>
      <w:sz w:val="24"/>
      <w:szCs w:val="24"/>
    </w:rPr>
  </w:style>
  <w:style w:type="character" w:customStyle="1" w:styleId="apple-style-span">
    <w:name w:val="apple-style-span"/>
    <w:qFormat/>
    <w:rsid w:val="00ED78BE"/>
  </w:style>
  <w:style w:type="character" w:customStyle="1" w:styleId="Absatz-Standardschriftart">
    <w:name w:val="Absatz-Standardschriftart"/>
    <w:qFormat/>
    <w:rsid w:val="00965C2B"/>
  </w:style>
  <w:style w:type="character" w:styleId="Forte">
    <w:name w:val="Strong"/>
    <w:basedOn w:val="Fontepargpadro"/>
    <w:uiPriority w:val="22"/>
    <w:qFormat/>
    <w:rsid w:val="004D1341"/>
    <w:rPr>
      <w:b/>
      <w:bCs/>
    </w:rPr>
  </w:style>
  <w:style w:type="character" w:styleId="nfase">
    <w:name w:val="Emphasis"/>
    <w:basedOn w:val="Fontepargpadro"/>
    <w:uiPriority w:val="20"/>
    <w:qFormat/>
    <w:rsid w:val="004D1341"/>
    <w:rPr>
      <w:i/>
      <w:iCs/>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western">
    <w:name w:val="western"/>
    <w:basedOn w:val="Normal"/>
    <w:uiPriority w:val="99"/>
    <w:qFormat/>
    <w:rsid w:val="00CD77E2"/>
    <w:pPr>
      <w:spacing w:beforeAutospacing="1" w:after="119" w:line="240" w:lineRule="auto"/>
    </w:pPr>
    <w:rPr>
      <w:rFonts w:ascii="Times New Roman" w:eastAsia="Times New Roman" w:hAnsi="Times New Roman" w:cs="Times New Roman"/>
      <w:sz w:val="24"/>
      <w:szCs w:val="24"/>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CD77E2"/>
    <w:pPr>
      <w:tabs>
        <w:tab w:val="center" w:pos="4252"/>
        <w:tab w:val="right" w:pos="8504"/>
      </w:tabs>
      <w:spacing w:after="0" w:line="240" w:lineRule="auto"/>
    </w:pPr>
  </w:style>
  <w:style w:type="paragraph" w:styleId="Rodap">
    <w:name w:val="footer"/>
    <w:basedOn w:val="Normal"/>
    <w:link w:val="RodapChar"/>
    <w:uiPriority w:val="99"/>
    <w:unhideWhenUsed/>
    <w:rsid w:val="00CD77E2"/>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CD77E2"/>
    <w:pPr>
      <w:spacing w:after="0" w:line="240" w:lineRule="auto"/>
    </w:pPr>
    <w:rPr>
      <w:rFonts w:ascii="Tahoma" w:hAnsi="Tahoma" w:cs="Tahoma"/>
      <w:sz w:val="16"/>
      <w:szCs w:val="16"/>
    </w:rPr>
  </w:style>
  <w:style w:type="paragraph" w:styleId="PargrafodaLista">
    <w:name w:val="List Paragraph"/>
    <w:aliases w:val="List I Paragraph,Colorful List - Accent 11,Texto"/>
    <w:basedOn w:val="Normal"/>
    <w:link w:val="PargrafodaListaChar"/>
    <w:qFormat/>
    <w:rsid w:val="00C63EB8"/>
    <w:pPr>
      <w:widowControl w:val="0"/>
      <w:spacing w:after="0" w:line="240" w:lineRule="auto"/>
    </w:pPr>
    <w:rPr>
      <w:rFonts w:ascii="Calibri" w:eastAsia="Calibri" w:hAnsi="Calibri" w:cs="Times New Roman"/>
      <w:lang w:val="en-US"/>
    </w:rPr>
  </w:style>
  <w:style w:type="paragraph" w:styleId="TextosemFormatao">
    <w:name w:val="Plain Text"/>
    <w:basedOn w:val="Normal"/>
    <w:link w:val="TextosemFormataoChar"/>
    <w:uiPriority w:val="99"/>
    <w:qFormat/>
    <w:rsid w:val="000F7CFC"/>
    <w:pPr>
      <w:spacing w:after="0" w:line="240" w:lineRule="auto"/>
    </w:pPr>
    <w:rPr>
      <w:rFonts w:ascii="Courier New" w:eastAsia="Times New Roman" w:hAnsi="Courier New" w:cs="Times New Roman"/>
      <w:sz w:val="20"/>
      <w:szCs w:val="20"/>
      <w:lang w:eastAsia="pt-BR"/>
    </w:rPr>
  </w:style>
  <w:style w:type="paragraph" w:styleId="NormalWeb">
    <w:name w:val="Normal (Web)"/>
    <w:basedOn w:val="Normal"/>
    <w:uiPriority w:val="99"/>
    <w:qFormat/>
    <w:rsid w:val="00E208D1"/>
    <w:pPr>
      <w:spacing w:beforeAutospacing="1" w:afterAutospacing="1" w:line="240" w:lineRule="auto"/>
    </w:pPr>
    <w:rPr>
      <w:rFonts w:ascii="Arial Unicode MS" w:eastAsia="Arial Unicode MS" w:hAnsi="Arial Unicode MS" w:cs="Arial Unicode MS"/>
      <w:sz w:val="24"/>
      <w:szCs w:val="24"/>
      <w:lang w:eastAsia="pt-BR"/>
    </w:rPr>
  </w:style>
  <w:style w:type="paragraph" w:styleId="Textodenotadefim">
    <w:name w:val="endnote text"/>
    <w:basedOn w:val="Normal"/>
    <w:link w:val="TextodenotadefimChar"/>
    <w:uiPriority w:val="99"/>
    <w:semiHidden/>
    <w:unhideWhenUsed/>
    <w:rsid w:val="00585CB1"/>
    <w:pPr>
      <w:spacing w:after="0" w:line="240" w:lineRule="auto"/>
    </w:pPr>
    <w:rPr>
      <w:sz w:val="20"/>
      <w:szCs w:val="20"/>
    </w:rPr>
  </w:style>
  <w:style w:type="paragraph" w:styleId="Textodenotaderodap">
    <w:name w:val="footnote text"/>
    <w:basedOn w:val="Normal"/>
    <w:link w:val="TextodenotaderodapChar"/>
    <w:uiPriority w:val="99"/>
    <w:semiHidden/>
    <w:unhideWhenUsed/>
    <w:rsid w:val="00585CB1"/>
    <w:pPr>
      <w:spacing w:after="0" w:line="240" w:lineRule="auto"/>
    </w:pPr>
    <w:rPr>
      <w:sz w:val="20"/>
      <w:szCs w:val="20"/>
    </w:rPr>
  </w:style>
  <w:style w:type="paragraph" w:customStyle="1" w:styleId="textbody">
    <w:name w:val="textbody"/>
    <w:basedOn w:val="Normal"/>
    <w:qFormat/>
    <w:rsid w:val="00AA6D9C"/>
    <w:pPr>
      <w:spacing w:beforeAutospacing="1"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191CE5"/>
    <w:rPr>
      <w:sz w:val="20"/>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semiHidden/>
    <w:unhideWhenUsed/>
    <w:rsid w:val="00281008"/>
    <w:rPr>
      <w:color w:val="0000FF"/>
      <w:u w:val="single"/>
    </w:rPr>
  </w:style>
  <w:style w:type="character" w:styleId="Refdecomentrio">
    <w:name w:val="annotation reference"/>
    <w:basedOn w:val="Fontepargpadro"/>
    <w:uiPriority w:val="99"/>
    <w:semiHidden/>
    <w:unhideWhenUsed/>
    <w:rsid w:val="00396327"/>
    <w:rPr>
      <w:sz w:val="16"/>
      <w:szCs w:val="16"/>
    </w:rPr>
  </w:style>
  <w:style w:type="paragraph" w:styleId="Textodecomentrio">
    <w:name w:val="annotation text"/>
    <w:basedOn w:val="Normal"/>
    <w:link w:val="TextodecomentrioChar"/>
    <w:uiPriority w:val="99"/>
    <w:semiHidden/>
    <w:unhideWhenUsed/>
    <w:rsid w:val="00396327"/>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96327"/>
    <w:rPr>
      <w:sz w:val="20"/>
      <w:szCs w:val="20"/>
    </w:rPr>
  </w:style>
  <w:style w:type="paragraph" w:styleId="Assuntodocomentrio">
    <w:name w:val="annotation subject"/>
    <w:basedOn w:val="Textodecomentrio"/>
    <w:next w:val="Textodecomentrio"/>
    <w:link w:val="AssuntodocomentrioChar"/>
    <w:uiPriority w:val="99"/>
    <w:semiHidden/>
    <w:unhideWhenUsed/>
    <w:rsid w:val="00396327"/>
    <w:rPr>
      <w:b/>
      <w:bCs/>
    </w:rPr>
  </w:style>
  <w:style w:type="character" w:customStyle="1" w:styleId="AssuntodocomentrioChar">
    <w:name w:val="Assunto do comentário Char"/>
    <w:basedOn w:val="TextodecomentrioChar"/>
    <w:link w:val="Assuntodocomentrio"/>
    <w:uiPriority w:val="99"/>
    <w:semiHidden/>
    <w:rsid w:val="00396327"/>
    <w:rPr>
      <w:b/>
      <w:bCs/>
      <w:sz w:val="20"/>
      <w:szCs w:val="20"/>
    </w:rPr>
  </w:style>
  <w:style w:type="character" w:styleId="Refdenotaderodap">
    <w:name w:val="footnote reference"/>
    <w:basedOn w:val="Fontepargpadro"/>
    <w:uiPriority w:val="99"/>
    <w:semiHidden/>
    <w:unhideWhenUsed/>
    <w:rsid w:val="00A73211"/>
  </w:style>
  <w:style w:type="table" w:customStyle="1" w:styleId="Tabelacomgrade1">
    <w:name w:val="Tabela com grade1"/>
    <w:basedOn w:val="Tabelanormal"/>
    <w:rsid w:val="00151C52"/>
    <w:pPr>
      <w:suppressAutoHyphens w:val="0"/>
    </w:pPr>
    <w:rPr>
      <w:sz w:val="20"/>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bel">
    <w:name w:val="label"/>
    <w:basedOn w:val="Fontepargpadro"/>
    <w:rsid w:val="00A163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733800">
      <w:bodyDiv w:val="1"/>
      <w:marLeft w:val="0"/>
      <w:marRight w:val="0"/>
      <w:marTop w:val="0"/>
      <w:marBottom w:val="0"/>
      <w:divBdr>
        <w:top w:val="none" w:sz="0" w:space="0" w:color="auto"/>
        <w:left w:val="none" w:sz="0" w:space="0" w:color="auto"/>
        <w:bottom w:val="none" w:sz="0" w:space="0" w:color="auto"/>
        <w:right w:val="none" w:sz="0" w:space="0" w:color="auto"/>
      </w:divBdr>
      <w:divsChild>
        <w:div w:id="372534485">
          <w:marLeft w:val="0"/>
          <w:marRight w:val="0"/>
          <w:marTop w:val="0"/>
          <w:marBottom w:val="0"/>
          <w:divBdr>
            <w:top w:val="none" w:sz="0" w:space="0" w:color="auto"/>
            <w:left w:val="none" w:sz="0" w:space="0" w:color="auto"/>
            <w:bottom w:val="none" w:sz="0" w:space="0" w:color="auto"/>
            <w:right w:val="none" w:sz="0" w:space="0" w:color="auto"/>
          </w:divBdr>
        </w:div>
        <w:div w:id="1305700061">
          <w:marLeft w:val="0"/>
          <w:marRight w:val="0"/>
          <w:marTop w:val="0"/>
          <w:marBottom w:val="0"/>
          <w:divBdr>
            <w:top w:val="none" w:sz="0" w:space="0" w:color="auto"/>
            <w:left w:val="none" w:sz="0" w:space="0" w:color="auto"/>
            <w:bottom w:val="none" w:sz="0" w:space="0" w:color="auto"/>
            <w:right w:val="none" w:sz="0" w:space="0" w:color="auto"/>
          </w:divBdr>
        </w:div>
        <w:div w:id="1382170823">
          <w:marLeft w:val="0"/>
          <w:marRight w:val="0"/>
          <w:marTop w:val="0"/>
          <w:marBottom w:val="0"/>
          <w:divBdr>
            <w:top w:val="none" w:sz="0" w:space="0" w:color="auto"/>
            <w:left w:val="none" w:sz="0" w:space="0" w:color="auto"/>
            <w:bottom w:val="none" w:sz="0" w:space="0" w:color="auto"/>
            <w:right w:val="none" w:sz="0" w:space="0" w:color="auto"/>
          </w:divBdr>
        </w:div>
        <w:div w:id="1010333083">
          <w:marLeft w:val="0"/>
          <w:marRight w:val="0"/>
          <w:marTop w:val="0"/>
          <w:marBottom w:val="0"/>
          <w:divBdr>
            <w:top w:val="none" w:sz="0" w:space="0" w:color="auto"/>
            <w:left w:val="none" w:sz="0" w:space="0" w:color="auto"/>
            <w:bottom w:val="none" w:sz="0" w:space="0" w:color="auto"/>
            <w:right w:val="none" w:sz="0" w:space="0" w:color="auto"/>
          </w:divBdr>
        </w:div>
        <w:div w:id="1930574242">
          <w:marLeft w:val="0"/>
          <w:marRight w:val="0"/>
          <w:marTop w:val="0"/>
          <w:marBottom w:val="0"/>
          <w:divBdr>
            <w:top w:val="none" w:sz="0" w:space="0" w:color="auto"/>
            <w:left w:val="none" w:sz="0" w:space="0" w:color="auto"/>
            <w:bottom w:val="none" w:sz="0" w:space="0" w:color="auto"/>
            <w:right w:val="none" w:sz="0" w:space="0" w:color="auto"/>
          </w:divBdr>
        </w:div>
      </w:divsChild>
    </w:div>
    <w:div w:id="861745375">
      <w:bodyDiv w:val="1"/>
      <w:marLeft w:val="0"/>
      <w:marRight w:val="0"/>
      <w:marTop w:val="0"/>
      <w:marBottom w:val="0"/>
      <w:divBdr>
        <w:top w:val="none" w:sz="0" w:space="0" w:color="auto"/>
        <w:left w:val="none" w:sz="0" w:space="0" w:color="auto"/>
        <w:bottom w:val="none" w:sz="0" w:space="0" w:color="auto"/>
        <w:right w:val="none" w:sz="0" w:space="0" w:color="auto"/>
      </w:divBdr>
    </w:div>
    <w:div w:id="1206141716">
      <w:bodyDiv w:val="1"/>
      <w:marLeft w:val="0"/>
      <w:marRight w:val="0"/>
      <w:marTop w:val="0"/>
      <w:marBottom w:val="0"/>
      <w:divBdr>
        <w:top w:val="none" w:sz="0" w:space="0" w:color="auto"/>
        <w:left w:val="none" w:sz="0" w:space="0" w:color="auto"/>
        <w:bottom w:val="none" w:sz="0" w:space="0" w:color="auto"/>
        <w:right w:val="none" w:sz="0" w:space="0" w:color="auto"/>
      </w:divBdr>
    </w:div>
    <w:div w:id="1422330847">
      <w:bodyDiv w:val="1"/>
      <w:marLeft w:val="0"/>
      <w:marRight w:val="0"/>
      <w:marTop w:val="0"/>
      <w:marBottom w:val="0"/>
      <w:divBdr>
        <w:top w:val="none" w:sz="0" w:space="0" w:color="auto"/>
        <w:left w:val="none" w:sz="0" w:space="0" w:color="auto"/>
        <w:bottom w:val="none" w:sz="0" w:space="0" w:color="auto"/>
        <w:right w:val="none" w:sz="0" w:space="0" w:color="auto"/>
      </w:divBdr>
    </w:div>
    <w:div w:id="1785921652">
      <w:bodyDiv w:val="1"/>
      <w:marLeft w:val="0"/>
      <w:marRight w:val="0"/>
      <w:marTop w:val="0"/>
      <w:marBottom w:val="0"/>
      <w:divBdr>
        <w:top w:val="none" w:sz="0" w:space="0" w:color="auto"/>
        <w:left w:val="none" w:sz="0" w:space="0" w:color="auto"/>
        <w:bottom w:val="none" w:sz="0" w:space="0" w:color="auto"/>
        <w:right w:val="none" w:sz="0" w:space="0" w:color="auto"/>
      </w:divBdr>
      <w:divsChild>
        <w:div w:id="872808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6119851">
      <w:bodyDiv w:val="1"/>
      <w:marLeft w:val="0"/>
      <w:marRight w:val="0"/>
      <w:marTop w:val="0"/>
      <w:marBottom w:val="0"/>
      <w:divBdr>
        <w:top w:val="none" w:sz="0" w:space="0" w:color="auto"/>
        <w:left w:val="none" w:sz="0" w:space="0" w:color="auto"/>
        <w:bottom w:val="none" w:sz="0" w:space="0" w:color="auto"/>
        <w:right w:val="none" w:sz="0" w:space="0" w:color="auto"/>
      </w:divBdr>
    </w:div>
    <w:div w:id="1882670868">
      <w:bodyDiv w:val="1"/>
      <w:marLeft w:val="0"/>
      <w:marRight w:val="0"/>
      <w:marTop w:val="0"/>
      <w:marBottom w:val="0"/>
      <w:divBdr>
        <w:top w:val="none" w:sz="0" w:space="0" w:color="auto"/>
        <w:left w:val="none" w:sz="0" w:space="0" w:color="auto"/>
        <w:bottom w:val="none" w:sz="0" w:space="0" w:color="auto"/>
        <w:right w:val="none" w:sz="0" w:space="0" w:color="auto"/>
      </w:divBdr>
    </w:div>
    <w:div w:id="2095589162">
      <w:bodyDiv w:val="1"/>
      <w:marLeft w:val="0"/>
      <w:marRight w:val="0"/>
      <w:marTop w:val="0"/>
      <w:marBottom w:val="0"/>
      <w:divBdr>
        <w:top w:val="none" w:sz="0" w:space="0" w:color="auto"/>
        <w:left w:val="none" w:sz="0" w:space="0" w:color="auto"/>
        <w:bottom w:val="none" w:sz="0" w:space="0" w:color="auto"/>
        <w:right w:val="none" w:sz="0" w:space="0" w:color="auto"/>
      </w:divBdr>
      <w:divsChild>
        <w:div w:id="393047495">
          <w:blockQuote w:val="1"/>
          <w:marLeft w:val="720"/>
          <w:marRight w:val="720"/>
          <w:marTop w:val="100"/>
          <w:marBottom w:val="100"/>
          <w:divBdr>
            <w:top w:val="none" w:sz="0" w:space="0" w:color="auto"/>
            <w:left w:val="none" w:sz="0" w:space="0" w:color="auto"/>
            <w:bottom w:val="none" w:sz="0" w:space="0" w:color="auto"/>
            <w:right w:val="none" w:sz="0" w:space="0" w:color="auto"/>
          </w:divBdr>
        </w:div>
        <w:div w:id="309335533">
          <w:blockQuote w:val="1"/>
          <w:marLeft w:val="720"/>
          <w:marRight w:val="720"/>
          <w:marTop w:val="100"/>
          <w:marBottom w:val="100"/>
          <w:divBdr>
            <w:top w:val="none" w:sz="0" w:space="0" w:color="auto"/>
            <w:left w:val="none" w:sz="0" w:space="0" w:color="auto"/>
            <w:bottom w:val="none" w:sz="0" w:space="0" w:color="auto"/>
            <w:right w:val="none" w:sz="0" w:space="0" w:color="auto"/>
          </w:divBdr>
        </w:div>
        <w:div w:id="914625647">
          <w:blockQuote w:val="1"/>
          <w:marLeft w:val="720"/>
          <w:marRight w:val="720"/>
          <w:marTop w:val="100"/>
          <w:marBottom w:val="100"/>
          <w:divBdr>
            <w:top w:val="none" w:sz="0" w:space="0" w:color="auto"/>
            <w:left w:val="none" w:sz="0" w:space="0" w:color="auto"/>
            <w:bottom w:val="none" w:sz="0" w:space="0" w:color="auto"/>
            <w:right w:val="none" w:sz="0" w:space="0" w:color="auto"/>
          </w:divBdr>
        </w:div>
        <w:div w:id="1635212090">
          <w:blockQuote w:val="1"/>
          <w:marLeft w:val="720"/>
          <w:marRight w:val="720"/>
          <w:marTop w:val="100"/>
          <w:marBottom w:val="100"/>
          <w:divBdr>
            <w:top w:val="none" w:sz="0" w:space="0" w:color="auto"/>
            <w:left w:val="none" w:sz="0" w:space="0" w:color="auto"/>
            <w:bottom w:val="none" w:sz="0" w:space="0" w:color="auto"/>
            <w:right w:val="none" w:sz="0" w:space="0" w:color="auto"/>
          </w:divBdr>
        </w:div>
        <w:div w:id="1577936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32312186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0707125">
          <w:blockQuote w:val="1"/>
          <w:marLeft w:val="720"/>
          <w:marRight w:val="720"/>
          <w:marTop w:val="100"/>
          <w:marBottom w:val="100"/>
          <w:divBdr>
            <w:top w:val="none" w:sz="0" w:space="0" w:color="auto"/>
            <w:left w:val="none" w:sz="0" w:space="0" w:color="auto"/>
            <w:bottom w:val="none" w:sz="0" w:space="0" w:color="auto"/>
            <w:right w:val="none" w:sz="0" w:space="0" w:color="auto"/>
          </w:divBdr>
        </w:div>
        <w:div w:id="1830558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9106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068C4-6682-4135-A528-71608C360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1254</TotalTime>
  <Pages>7</Pages>
  <Words>2885</Words>
  <Characters>15585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Tiago Ramos</dc:creator>
  <dc:description/>
  <cp:lastModifiedBy>Renato Fogar Lopes Fogar</cp:lastModifiedBy>
  <cp:revision>76</cp:revision>
  <cp:lastPrinted>2022-12-08T17:45:00Z</cp:lastPrinted>
  <dcterms:created xsi:type="dcterms:W3CDTF">2021-02-08T19:17:00Z</dcterms:created>
  <dcterms:modified xsi:type="dcterms:W3CDTF">2022-12-08T17:55:00Z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