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 xml:space="preserve">I - </w:t>
      </w: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firstRow="0" w:noVBand="0" w:lastRow="0" w:firstColumn="0" w:lastColumn="0" w:noHBand="0" w:val="000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 xml:space="preserve">II - </w:t>
      </w:r>
      <w:r>
        <w:rPr>
          <w:rFonts w:cs="Calibri" w:cstheme="minorHAnsi"/>
          <w:lang w:val="pt-BR"/>
        </w:rPr>
        <w:t>DESCRIÇÃO DO OBJETO:</w:t>
      </w:r>
    </w:p>
    <w:p>
      <w:pPr>
        <w:pStyle w:val="Prembulo"/>
        <w:jc w:val="both"/>
        <w:rPr>
          <w:rFonts w:ascii="Calibri" w:hAnsi="Calibri" w:cs="Calibri" w:asciiTheme="minorHAnsi" w:cstheme="minorHAnsi" w:hAnsiTheme="minorHAnsi"/>
          <w:lang w:val="pt-BR"/>
        </w:rPr>
      </w:pPr>
      <w:r>
        <w:rPr>
          <w:rFonts w:cs="Calibri" w:cstheme="minorHAnsi"/>
          <w:lang w:val="pt-BR"/>
        </w:rPr>
      </w:r>
    </w:p>
    <w:tbl>
      <w:tblPr>
        <w:tblW w:w="10329"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626"/>
        <w:gridCol w:w="4009"/>
        <w:gridCol w:w="1548"/>
        <w:gridCol w:w="1135"/>
        <w:gridCol w:w="943"/>
        <w:gridCol w:w="1140"/>
        <w:gridCol w:w="928"/>
      </w:tblGrid>
      <w:tr>
        <w:trPr>
          <w:trHeight w:val="354" w:hRule="atLeast"/>
        </w:trPr>
        <w:tc>
          <w:tcPr>
            <w:tcW w:w="626"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cstheme="minorHAnsi"/>
                <w:b/>
                <w:bCs/>
                <w:sz w:val="18"/>
                <w:szCs w:val="18"/>
                <w:lang w:val="pt-BR"/>
              </w:rPr>
              <w:t>ITEM</w:t>
            </w:r>
          </w:p>
        </w:tc>
        <w:tc>
          <w:tcPr>
            <w:tcW w:w="4009"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asciiTheme="minorHAnsi" w:cstheme="minorHAnsi" w:hAnsiTheme="minorHAnsi"/>
                <w:b/>
                <w:bCs/>
                <w:sz w:val="18"/>
                <w:szCs w:val="18"/>
                <w:lang w:val="pt-BR"/>
              </w:rPr>
              <w:t>DESCRIÇÃO</w:t>
            </w:r>
          </w:p>
        </w:tc>
        <w:tc>
          <w:tcPr>
            <w:tcW w:w="1548"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asciiTheme="minorHAnsi" w:cstheme="minorHAnsi" w:hAnsiTheme="minorHAnsi"/>
                <w:b/>
                <w:bCs/>
                <w:sz w:val="18"/>
                <w:szCs w:val="18"/>
              </w:rPr>
              <w:t>M</w:t>
            </w:r>
            <w:r>
              <w:rPr>
                <w:rFonts w:cs="Calibri" w:ascii="Calibri" w:hAnsi="Calibri" w:asciiTheme="minorHAnsi" w:cstheme="minorHAnsi" w:hAnsiTheme="minorHAnsi"/>
                <w:b/>
                <w:bCs/>
                <w:sz w:val="18"/>
                <w:szCs w:val="18"/>
              </w:rPr>
              <w:t>ARCA OFERTADA</w:t>
            </w:r>
          </w:p>
        </w:tc>
        <w:tc>
          <w:tcPr>
            <w:tcW w:w="1135"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asciiTheme="minorHAnsi" w:cstheme="minorHAnsi" w:hAnsiTheme="minorHAnsi"/>
                <w:b/>
                <w:bCs/>
                <w:sz w:val="18"/>
                <w:szCs w:val="18"/>
              </w:rPr>
              <w:t>U</w:t>
            </w:r>
            <w:r>
              <w:rPr>
                <w:rFonts w:cs="Calibri" w:ascii="Calibri" w:hAnsi="Calibri" w:asciiTheme="minorHAnsi" w:cstheme="minorHAnsi" w:hAnsiTheme="minorHAnsi"/>
                <w:b/>
                <w:bCs/>
                <w:sz w:val="18"/>
                <w:szCs w:val="18"/>
              </w:rPr>
              <w:t>NDE.</w:t>
            </w:r>
          </w:p>
        </w:tc>
        <w:tc>
          <w:tcPr>
            <w:tcW w:w="943"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cstheme="minorHAnsi"/>
                <w:b/>
                <w:bCs/>
                <w:sz w:val="18"/>
                <w:szCs w:val="18"/>
              </w:rPr>
              <w:t>QTDE.</w:t>
            </w:r>
          </w:p>
        </w:tc>
        <w:tc>
          <w:tcPr>
            <w:tcW w:w="1140" w:type="dxa"/>
            <w:tcBorders>
              <w:top w:val="single" w:sz="4" w:space="0" w:color="000000"/>
              <w:left w:val="single" w:sz="4" w:space="0" w:color="000000"/>
              <w:bottom w:val="single" w:sz="4" w:space="0" w:color="000000"/>
            </w:tcBorders>
            <w:shd w:fill="F2EFEF" w:val="clear"/>
            <w:vAlign w:val="center"/>
          </w:tcPr>
          <w:p>
            <w:pPr>
              <w:pStyle w:val="Normal"/>
              <w:jc w:val="center"/>
              <w:rPr>
                <w:sz w:val="18"/>
                <w:szCs w:val="18"/>
              </w:rPr>
            </w:pPr>
            <w:r>
              <w:rPr>
                <w:rFonts w:cs="Calibri" w:ascii="Calibri" w:hAnsi="Calibri" w:asciiTheme="minorHAnsi" w:cstheme="minorHAnsi" w:hAnsiTheme="minorHAnsi"/>
                <w:b/>
                <w:bCs/>
                <w:sz w:val="18"/>
                <w:szCs w:val="18"/>
                <w:lang w:val="pt-BR"/>
              </w:rPr>
              <w:t>VALOR UNIT.</w:t>
            </w:r>
          </w:p>
        </w:tc>
        <w:tc>
          <w:tcPr>
            <w:tcW w:w="928" w:type="dxa"/>
            <w:tcBorders>
              <w:top w:val="single" w:sz="4" w:space="0" w:color="000000"/>
              <w:left w:val="single" w:sz="4" w:space="0" w:color="000000"/>
              <w:bottom w:val="single" w:sz="4" w:space="0" w:color="000000"/>
              <w:right w:val="single" w:sz="4" w:space="0" w:color="000000"/>
            </w:tcBorders>
            <w:shd w:fill="F2EFEF" w:val="clear"/>
            <w:vAlign w:val="center"/>
          </w:tcPr>
          <w:p>
            <w:pPr>
              <w:pStyle w:val="Normal"/>
              <w:jc w:val="center"/>
              <w:rPr>
                <w:sz w:val="18"/>
                <w:szCs w:val="18"/>
              </w:rPr>
            </w:pPr>
            <w:r>
              <w:rPr>
                <w:rFonts w:cs="Calibri" w:ascii="Calibri" w:hAnsi="Calibri" w:asciiTheme="minorHAnsi" w:cstheme="minorHAnsi" w:hAnsiTheme="minorHAnsi"/>
                <w:b/>
                <w:bCs/>
                <w:sz w:val="18"/>
                <w:szCs w:val="18"/>
                <w:lang w:val="pt-BR"/>
              </w:rPr>
              <w:t>VALOR TOTAL</w:t>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01</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ascii="Calibri" w:hAnsi="Calibri"/>
                <w:color w:val="000000"/>
                <w:sz w:val="18"/>
                <w:szCs w:val="18"/>
              </w:rPr>
              <w:t>FLUIDO PARA FREIOS DOT 3 (EMB. 500 ML), COM CERTIFICAÇÃO DO INMETRO, ATENDENDO À NORMA ABNT NBR 9292:2022 – TIPO 3.</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60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02</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FLUIDO PARA FREIOS DOT 4 (EMB. 500 ML), COM CERTIFICAÇÃO DO INMETRO, ATENDENDO À NORMA ABNT NBR 9292:2022 – TIPO 4.</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60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03</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ascii="Calibri" w:hAnsi="Calibri"/>
                <w:color w:val="000000"/>
                <w:sz w:val="18"/>
                <w:szCs w:val="18"/>
              </w:rPr>
              <w:t>ADITIVO PARA RADIADOR, TIPO ORGÂNICO (TECNOLOGIA OAT), CONCENTRADO, COR ROSA, INDICADO PARA SISTEMAS DE ARREFECIMENTO AUTOMOTIVO, COM PROTEÇÃO ANTICORROSIVA E ANTIFERVURA, EMBALAGEM DE 1 LITRO.</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150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04</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TRANSMISSÃO AUTOMÁTICA, TIPO ATF, CLASSIFICAÇÃO TIPO A OU SUPERIOR, INDICADO PARA SISTEMAS HIDRÁULICOS E TRANSMISSÕES AUTOMOTIVAS,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4</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05</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MOTOR DIESEL, MULTIVISCOSO, VISCOSIDADE SAE 15W40, CLASSIFICAÇÃO API CI-4 OU SUPERIOR, INDICADO PARA MOTORES DIESEL DE ALTA PERFORMANCE,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8</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06</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MOTOR A GASOLINA/ETANOL, MINERAL, VISCOSIDADE SAE 20W50, CLASSIFICAÇÃO API SL OU SUPERIOR, EMBALAGEM DE 1 LITRO.</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150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07</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MOTOR DIESEL, 100% SINTÉTICO, VISCOSIDADE SAE 5W30, COMPATÍVEL COM SISTEMAS DPF, CLASSIFICAÇÃO API CJ-4 OU SUPERIOR, EMBALAGEM DE 1 LITRO.</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200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08</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TRANSMISSÃO, VISCOSIDADE SAE 50, INDICADO PARA CAIXAS DE TRANSMISSÃO E SISTEMAS MECÂNICOS, EMBALAGEM DE 20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25</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09</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TRANSMISSÃO, VISCOSIDADE SAE 30, INDICADO PARA CAIXAS DE TRANSMISSÃO E SISTEMAS MECÂNICOS, EMBALAGEM DE 20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20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10</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ÓLEO LUBRIFICANTE PARA MOTOR A GASOLINA/ETANOL, 100% SINTÉTICO, VISCOSIDADE SAE 5W20, CLASSIFICAÇÃO API SN OU SUPERIOR, EMBALAGEM DE 1 LITRO.</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150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11</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GRAXA LUBRIFICANTE À BASE DE SABÃO DE LÍTIO, GRAU NLGI-2, INDICADA PARA USO AUTOMOTIVO E INDUSTRIAL, COM BOA RESISTÊNCIA À ÁGUA E ESTABILIDADE MECÂNICA, EMBALAGEM DE 170 KG.</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5</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12</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HIDRÁULICO, CLASSIFICAÇÃO ISO VG 68, TIPO HL, INDICADO PARA SISTEMAS HIDRÁULICOS, EMBALAGEM DE 20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300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13</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PARA MOTOR A GASOLINA/ETANOL, SEMISSINTÉTICO, VISCOSIDADE SAE 15W40, CLASSIFICAÇÃO API SL OU SUPERIOR, EMBALAGEM DE 1 LITRO.</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200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14</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PARA TRANSMISSÃO, VISCOSIDADE SAE 140, CLASSIFICAÇÃO API GL-5 OU SUPERIOR,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5</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15</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PARA TRANSMISSÃO, VISCOSIDADE SAE 90, CLASSIFICAÇÃO API GL-5 OU SUPERIOR,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5</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16</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PARA TRANSMISSÃO, MULTIVISCOSO, VISCOSIDADE SAE 80W90, CLASSIFICAÇÃO API GL-5 OU SUPERIOR, EMBALAGEM DE 20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100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17</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ÓLEO LUBRIFICANTE HIDRÁULICO E DE TRANSMISSÃO, TIPO UTTO (UNIVERSAL TRACTOR TRANSMISSION OIL), VISCOSIDADE SAE 10W, INDICADO PARA SISTEMAS HIDRÁULICOS E TRANSMISSÕES DE TRATORES E EQUIPAMENTOS PESADOS, DEVENDO ATENDER, NO MÍNIMO, ÀS ESPECIFICAÇÕES ALLISON C-4, CATERPILLAR TO-2 OU EQUIVALENTES, EMBALAGEM DE 20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100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18</w:t>
            </w:r>
          </w:p>
        </w:tc>
        <w:tc>
          <w:tcPr>
            <w:tcW w:w="4009" w:type="dxa"/>
            <w:tcBorders>
              <w:left w:val="single" w:sz="4" w:space="0" w:color="000000"/>
              <w:bottom w:val="single" w:sz="4" w:space="0" w:color="000000"/>
            </w:tcBorders>
            <w:shd w:fill="F2EFEF" w:val="clear"/>
            <w:vAlign w:val="center"/>
          </w:tcPr>
          <w:p>
            <w:pPr>
              <w:pStyle w:val="Normal"/>
              <w:widowControl/>
              <w:suppressAutoHyphens w:val="false"/>
              <w:spacing w:lineRule="auto" w:line="240"/>
              <w:jc w:val="both"/>
              <w:rPr>
                <w:sz w:val="18"/>
                <w:szCs w:val="18"/>
              </w:rPr>
            </w:pPr>
            <w:r>
              <w:rPr>
                <w:rFonts w:cs="Calibri" w:ascii="Calibri" w:hAnsi="Calibri"/>
                <w:color w:val="000000"/>
                <w:sz w:val="18"/>
                <w:szCs w:val="18"/>
                <w:lang w:eastAsia="pt-BR"/>
              </w:rPr>
              <w:t>SHAMPOO AUTOMOTIVO CONCENTRADO, INDICADO PARA LIMPEZA DE VEÍCULOS, COM ALTO PODER DESENGRAXANTE E SEM DANIFICAR A PINTURA,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626"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19</w:t>
            </w:r>
          </w:p>
        </w:tc>
        <w:tc>
          <w:tcPr>
            <w:tcW w:w="4009" w:type="dxa"/>
            <w:tcBorders>
              <w:left w:val="single" w:sz="4" w:space="0" w:color="000000"/>
              <w:bottom w:val="single" w:sz="4" w:space="0" w:color="000000"/>
            </w:tcBorders>
            <w:shd w:fill="F2EFEF" w:val="clear"/>
            <w:vAlign w:val="center"/>
          </w:tcPr>
          <w:p>
            <w:pPr>
              <w:pStyle w:val="Normal"/>
              <w:widowControl/>
              <w:suppressAutoHyphens w:val="false"/>
              <w:jc w:val="both"/>
              <w:rPr>
                <w:sz w:val="18"/>
                <w:szCs w:val="18"/>
              </w:rPr>
            </w:pPr>
            <w:r>
              <w:rPr>
                <w:rFonts w:cs="Calibri" w:ascii="Calibri" w:hAnsi="Calibri"/>
                <w:color w:val="000000"/>
                <w:sz w:val="18"/>
                <w:szCs w:val="18"/>
                <w:lang w:eastAsia="pt-BR"/>
              </w:rPr>
              <w:t>LIMPA ALUMÍNIO CONCENTRADO, INDICADO PARA LIMPEZA DE SUPERFÍCIES DE ALUMÍNIO E METAIS, COM ALTO PODER DESOXIDANTE E DESENGRAXANTE, EMBALAGEM DE 200 LITROS.</w:t>
            </w:r>
          </w:p>
        </w:tc>
        <w:tc>
          <w:tcPr>
            <w:tcW w:w="1548"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sz w:val="18"/>
                <w:szCs w:val="18"/>
              </w:rPr>
            </w:r>
          </w:p>
        </w:tc>
        <w:tc>
          <w:tcPr>
            <w:tcW w:w="1135"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UNIDADE</w:t>
            </w:r>
          </w:p>
        </w:tc>
        <w:tc>
          <w:tcPr>
            <w:tcW w:w="943" w:type="dxa"/>
            <w:tcBorders>
              <w:left w:val="single" w:sz="4" w:space="0" w:color="000000"/>
              <w:bottom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eastAsia="pt-BR"/>
              </w:rPr>
              <w:t>10</w:t>
            </w:r>
          </w:p>
        </w:tc>
        <w:tc>
          <w:tcPr>
            <w:tcW w:w="1140" w:type="dxa"/>
            <w:tcBorders>
              <w:left w:val="single" w:sz="4" w:space="0" w:color="000000"/>
              <w:bottom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928" w:type="dxa"/>
            <w:tcBorders>
              <w:left w:val="single" w:sz="4" w:space="0" w:color="000000"/>
              <w:bottom w:val="single" w:sz="4" w:space="0" w:color="000000"/>
              <w:right w:val="single" w:sz="4" w:space="0" w:color="000000"/>
            </w:tcBorders>
            <w:shd w:fill="F2EFEF" w:val="clear"/>
            <w:vAlign w:val="center"/>
          </w:tcPr>
          <w:p>
            <w:pPr>
              <w:pStyle w:val="Normal"/>
              <w:jc w:val="center"/>
              <w:rPr>
                <w:rFonts w:ascii="Calibri" w:hAnsi="Calibri" w:cs="Calibri" w:asciiTheme="minorHAnsi" w:cstheme="minorHAnsi" w:hAnsiTheme="minorHAnsi"/>
                <w:sz w:val="18"/>
                <w:szCs w:val="18"/>
                <w:lang w:val="pt-BR"/>
              </w:rPr>
            </w:pPr>
            <w:r>
              <w:rPr>
                <w:rFonts w:cs="Calibri" w:cstheme="minorHAnsi" w:ascii="Calibri" w:hAnsi="Calibri"/>
                <w:sz w:val="18"/>
                <w:szCs w:val="18"/>
                <w:lang w:val="pt-BR"/>
              </w:rPr>
            </w:r>
          </w:p>
        </w:tc>
      </w:tr>
      <w:tr>
        <w:trPr>
          <w:trHeight w:val="255" w:hRule="atLeast"/>
        </w:trPr>
        <w:tc>
          <w:tcPr>
            <w:tcW w:w="10329" w:type="dxa"/>
            <w:gridSpan w:val="7"/>
            <w:tcBorders>
              <w:left w:val="single" w:sz="4" w:space="0" w:color="000000"/>
              <w:bottom w:val="single" w:sz="4" w:space="0" w:color="000000"/>
              <w:right w:val="single" w:sz="4" w:space="0" w:color="000000"/>
            </w:tcBorders>
            <w:shd w:fill="F2EFEF" w:val="clear"/>
            <w:vAlign w:val="center"/>
          </w:tcPr>
          <w:p>
            <w:pPr>
              <w:pStyle w:val="Normal"/>
              <w:widowControl/>
              <w:suppressAutoHyphens w:val="false"/>
              <w:jc w:val="center"/>
              <w:rPr>
                <w:sz w:val="18"/>
                <w:szCs w:val="18"/>
              </w:rPr>
            </w:pPr>
            <w:r>
              <w:rPr>
                <w:rFonts w:cs="Calibri" w:ascii="Calibri" w:hAnsi="Calibri"/>
                <w:color w:val="000000"/>
                <w:sz w:val="18"/>
                <w:szCs w:val="18"/>
                <w:lang w:val="pt-BR" w:eastAsia="pt-BR"/>
              </w:rPr>
              <w:t>TOTAL: R$</w:t>
            </w:r>
          </w:p>
        </w:tc>
      </w:tr>
    </w:tbl>
    <w:p>
      <w:pPr>
        <w:pStyle w:val="Prembulo"/>
        <w:rPr>
          <w:rFonts w:ascii="Calibri" w:hAnsi="Calibri" w:cs="Calibri" w:asciiTheme="minorHAnsi" w:cstheme="minorHAnsi" w:hAnsiTheme="minorHAnsi"/>
        </w:rPr>
      </w:pPr>
      <w:r>
        <w:rPr>
          <w:rFonts w:cs="Calibri" w:cstheme="minorHAnsi"/>
        </w:rPr>
      </w:r>
    </w:p>
    <w:p>
      <w:pPr>
        <w:pStyle w:val="Prembulo"/>
        <w:jc w:val="both"/>
        <w:rPr>
          <w:rFonts w:ascii="Calibri" w:hAnsi="Calibri" w:cs="Calibri" w:asciiTheme="minorHAnsi" w:cstheme="minorHAnsi" w:hAnsiTheme="minorHAnsi"/>
          <w:lang w:val="pt-BR"/>
        </w:rPr>
      </w:pPr>
      <w:r>
        <w:rPr>
          <w:rFonts w:cs="Calibri" w:cstheme="minorHAnsi"/>
          <w:lang w:val="pt-BR"/>
        </w:rPr>
        <w:t xml:space="preserve">III - </w:t>
      </w: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left"/>
        <w:rPr>
          <w:rFonts w:cstheme="minorHAnsi"/>
          <w:highlight w:val="none"/>
          <w:shd w:fill="auto" w:val="clear"/>
        </w:rPr>
      </w:pPr>
      <w:r>
        <w:rPr>
          <w:rFonts w:cs="Calibri" w:cstheme="minorHAnsi"/>
          <w:b w:val="false"/>
          <w:bCs/>
          <w:shd w:fill="auto" w:val="clear"/>
          <w:lang w:val="pt-BR"/>
        </w:rPr>
        <w:t>Local e data:……………..</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536"/>
      </w:tblGrid>
      <w:tr>
        <w:trPr/>
        <w:tc>
          <w:tcPr>
            <w:tcW w:w="4536" w:type="dxa"/>
            <w:tcBorders>
              <w:left w:val="nil"/>
              <w:bottom w:val="nil"/>
              <w:right w:val="nil"/>
            </w:tcBorders>
            <w:vAlign w:val="center"/>
          </w:tcPr>
          <w:p>
            <w:pPr>
              <w:pStyle w:val="Prembulo"/>
              <w:suppressAutoHyphens w:val="true"/>
              <w:spacing w:before="0" w:after="0"/>
              <w:jc w:val="left"/>
              <w:rPr/>
            </w:pPr>
            <w:r>
              <w:rPr>
                <w:rFonts w:cs="Calibri" w:cstheme="minorHAnsi"/>
                <w:b w:val="false"/>
                <w:bCs/>
                <w:kern w:val="0"/>
                <w:sz w:val="22"/>
                <w:szCs w:val="22"/>
                <w:lang w:val="pt-BR" w:eastAsia="en-US" w:bidi="ar-SA"/>
              </w:rPr>
              <w:t>NOME DA EMPRESA</w:t>
            </w:r>
          </w:p>
          <w:p>
            <w:pPr>
              <w:pStyle w:val="Prembulo"/>
              <w:suppressAutoHyphens w:val="true"/>
              <w:spacing w:before="0" w:after="0"/>
              <w:jc w:val="left"/>
              <w:rPr/>
            </w:pPr>
            <w:r>
              <w:rPr>
                <w:rFonts w:cs="Calibri" w:cstheme="minorHAnsi"/>
                <w:b w:val="false"/>
                <w:bCs/>
                <w:kern w:val="0"/>
                <w:sz w:val="22"/>
                <w:szCs w:val="22"/>
                <w:lang w:val="pt-BR" w:eastAsia="en-US" w:bidi="ar-SA"/>
              </w:rPr>
              <w:t>CNPJ nº ***</w:t>
            </w:r>
          </w:p>
          <w:p>
            <w:pPr>
              <w:pStyle w:val="Prembulo"/>
              <w:suppressAutoHyphens w:val="true"/>
              <w:spacing w:before="0" w:after="0"/>
              <w:jc w:val="left"/>
              <w:rPr/>
            </w:pPr>
            <w:r>
              <w:rPr>
                <w:rFonts w:cs="Calibri" w:cstheme="minorHAnsi"/>
                <w:b w:val="false"/>
                <w:bCs/>
                <w:kern w:val="0"/>
                <w:sz w:val="22"/>
                <w:szCs w:val="22"/>
                <w:lang w:val="pt-BR" w:eastAsia="en-US" w:bidi="ar-SA"/>
              </w:rPr>
              <w:t>NOME/</w:t>
            </w:r>
            <w:r>
              <w:rPr>
                <w:rFonts w:cs="Calibri" w:cstheme="minorHAnsi"/>
                <w:b w:val="false"/>
                <w:bCs/>
                <w:kern w:val="0"/>
                <w:sz w:val="22"/>
                <w:szCs w:val="22"/>
                <w:lang w:val="pt-BR" w:eastAsia="en-US" w:bidi="ar-SA"/>
              </w:rPr>
              <w:t>ASSINATURA</w:t>
            </w:r>
            <w:r>
              <w:rPr>
                <w:rFonts w:cs="Calibri" w:cstheme="minorHAnsi"/>
                <w:b w:val="false"/>
                <w:bCs/>
                <w:kern w:val="0"/>
                <w:sz w:val="22"/>
                <w:szCs w:val="22"/>
                <w:lang w:val="pt-BR" w:eastAsia="en-US" w:bidi="ar-SA"/>
              </w:rPr>
              <w:t xml:space="preserve"> DO REPRESENTANTE</w:t>
            </w:r>
          </w:p>
          <w:p>
            <w:pPr>
              <w:pStyle w:val="Prembulo"/>
              <w:suppressAutoHyphens w:val="true"/>
              <w:spacing w:before="0" w:after="0"/>
              <w:jc w:val="left"/>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drawing>
              <wp:anchor distT="0" distB="0" distL="0" distR="0" simplePos="0" relativeHeight="4" behindDoc="1" locked="0" layoutInCell="1" allowOverlap="1">
                <wp:simplePos x="0" y="0"/>
                <wp:positionH relativeFrom="column">
                  <wp:posOffset>85725</wp:posOffset>
                </wp:positionH>
                <wp:positionV relativeFrom="paragraph">
                  <wp:posOffset>-132715</wp:posOffset>
                </wp:positionV>
                <wp:extent cx="671195" cy="694690"/>
                <wp:effectExtent l="0" t="0" r="0" b="0"/>
                <wp:wrapNone/>
                <wp:docPr id="1"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val="pt-BR" w:eastAsia="pt-BR" w:bidi="ar-SA"/>
              </w:rPr>
              <w:t>www.botuvera.sc.gov.br</w:t>
            </w:r>
          </w:hyperlink>
          <w:r>
            <w:rPr>
              <w:rStyle w:val="Hyperlink"/>
              <w:rFonts w:eastAsia="Arial" w:cs="Arial"/>
              <w:color w:val="1209FB"/>
              <w:kern w:val="0"/>
              <w:sz w:val="20"/>
              <w:szCs w:val="20"/>
              <w:u w:val="none"/>
              <w:lang w:val="pt-BR" w:eastAsia="pt-BR" w:bidi="ar-SA"/>
            </w:rPr>
            <w:t xml:space="preserve"> -</w:t>
          </w:r>
          <w:r>
            <w:rPr>
              <w:rStyle w:val="Fontepargpadro4"/>
              <w:rFonts w:eastAsia="Arial" w:cs="Arial"/>
              <w:color w:val="1209FB"/>
              <w:kern w:val="0"/>
              <w:sz w:val="20"/>
              <w:szCs w:val="20"/>
              <w:lang w:val="pt-BR" w:eastAsia="pt-BR" w:bidi="ar-SA"/>
            </w:rPr>
            <w:t xml:space="preserve"> </w:t>
          </w:r>
          <w:hyperlink r:id="rId3">
            <w:r>
              <w:rPr>
                <w:rStyle w:val="Hyperlink"/>
                <w:rFonts w:eastAsia="SimSun" w:cs="Arial"/>
                <w:color w:val="1209FB"/>
                <w:kern w:val="0"/>
                <w:sz w:val="20"/>
                <w:szCs w:val="20"/>
                <w:u w:val="none"/>
                <w:lang w:val="pt-BR" w:eastAsia="pt-BR" w:bidi="ar-SA"/>
              </w:rPr>
              <w:t>www.botuvera.atende.net</w:t>
            </w:r>
          </w:hyperlink>
        </w:p>
      </w:tc>
    </w:tr>
  </w:tbl>
  <w:p>
    <w:pPr>
      <w:pStyle w:val="Linhahorizontal"/>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drawing>
              <wp:anchor distT="0" distB="0" distL="0" distR="0" simplePos="0" relativeHeight="4" behindDoc="1" locked="0" layoutInCell="1" allowOverlap="1">
                <wp:simplePos x="0" y="0"/>
                <wp:positionH relativeFrom="column">
                  <wp:posOffset>85725</wp:posOffset>
                </wp:positionH>
                <wp:positionV relativeFrom="paragraph">
                  <wp:posOffset>-132715</wp:posOffset>
                </wp:positionV>
                <wp:extent cx="671195" cy="694690"/>
                <wp:effectExtent l="0" t="0" r="0" b="0"/>
                <wp:wrapNone/>
                <wp:docPr id="2"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val="pt-BR" w:eastAsia="pt-BR" w:bidi="ar-SA"/>
              </w:rPr>
              <w:t>www.botuvera.sc.gov.br</w:t>
            </w:r>
          </w:hyperlink>
          <w:r>
            <w:rPr>
              <w:rStyle w:val="Hyperlink"/>
              <w:rFonts w:eastAsia="Arial" w:cs="Arial"/>
              <w:color w:val="1209FB"/>
              <w:kern w:val="0"/>
              <w:sz w:val="20"/>
              <w:szCs w:val="20"/>
              <w:u w:val="none"/>
              <w:lang w:val="pt-BR" w:eastAsia="pt-BR" w:bidi="ar-SA"/>
            </w:rPr>
            <w:t xml:space="preserve"> -</w:t>
          </w:r>
          <w:r>
            <w:rPr>
              <w:rStyle w:val="Fontepargpadro4"/>
              <w:rFonts w:eastAsia="Arial" w:cs="Arial"/>
              <w:color w:val="1209FB"/>
              <w:kern w:val="0"/>
              <w:sz w:val="20"/>
              <w:szCs w:val="20"/>
              <w:lang w:val="pt-BR" w:eastAsia="pt-BR" w:bidi="ar-SA"/>
            </w:rPr>
            <w:t xml:space="preserve"> </w:t>
          </w:r>
          <w:hyperlink r:id="rId3">
            <w:r>
              <w:rPr>
                <w:rStyle w:val="Hyperlink"/>
                <w:rFonts w:eastAsia="SimSun" w:cs="Arial"/>
                <w:color w:val="1209FB"/>
                <w:kern w:val="0"/>
                <w:sz w:val="20"/>
                <w:szCs w:val="20"/>
                <w:u w:val="none"/>
                <w:lang w:val="pt-BR" w:eastAsia="pt-BR" w:bidi="ar-SA"/>
              </w:rPr>
              <w:t>www.botuvera.atende.net</w:t>
            </w:r>
          </w:hyperlink>
        </w:p>
      </w:tc>
    </w:tr>
  </w:tbl>
  <w:p>
    <w:pPr>
      <w:pStyle w:val="Linhahorizontal"/>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customStyle="1">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Noto Sans Devanagari"/>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Cabealhoerodap"/>
    <w:pPr/>
    <w:rPr/>
  </w:style>
  <w:style w:type="paragraph" w:styleId="Contedodoquadro" w:customStyle="1">
    <w:name w:val="Conteúdo do quadro"/>
    <w:basedOn w:val="Normal"/>
    <w:qFormat/>
    <w:pPr/>
    <w:rPr/>
  </w:style>
  <w:style w:type="paragraph" w:styleId="Cabealhoesquerda" w:customStyle="1">
    <w:name w:val="Cabeçalho à esquerda"/>
    <w:basedOn w:val="Header"/>
    <w:qFormat/>
    <w:pPr/>
    <w:rPr/>
  </w:style>
  <w:style w:type="paragraph" w:styleId="Linhahorizontal" w:customStyle="1">
    <w:name w:val="Linha horizontal"/>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Footer">
    <w:name w:val="footer"/>
    <w:basedOn w:val="Cabealhoerodap"/>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37</TotalTime>
  <Application>LibreOffice/25.8.5.2$Windows_X86_64 LibreOffice_project/9c8b85f387cc00a89945a79c9e6239f32e450ac2</Application>
  <AppVersion>15.0000</AppVersion>
  <Pages>3</Pages>
  <Words>783</Words>
  <Characters>4647</Characters>
  <CharactersWithSpaces>5308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2026-05-07T15:15:03Z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