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header2.xml" ContentType="application/vnd.openxmlformats-officedocument.wordprocessingml.header+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ANEXOS"/>
        <w:ind w:hanging="0" w:left="0"/>
        <w:rPr>
          <w:rFonts w:ascii="Calibri" w:hAnsi="Calibri"/>
          <w:sz w:val="22"/>
          <w:szCs w:val="22"/>
        </w:rPr>
      </w:pPr>
      <w:r>
        <w:rPr>
          <w:rFonts w:cs="Calibri" w:cstheme="minorHAnsi"/>
          <w:sz w:val="22"/>
          <w:szCs w:val="22"/>
        </w:rPr>
        <w:t>MODELO DA MINUTA DA ATA DE REGISTRO DE PREÇOS</w:t>
      </w:r>
    </w:p>
    <w:p>
      <w:pPr>
        <w:pStyle w:val="Prembulo"/>
        <w:rPr>
          <w:rFonts w:ascii="Calibri" w:hAnsi="Calibri" w:cs="Calibri" w:asciiTheme="minorHAnsi" w:cstheme="minorHAnsi" w:hAnsiTheme="minorHAnsi"/>
          <w:sz w:val="22"/>
          <w:szCs w:val="22"/>
        </w:rPr>
      </w:pPr>
      <w:r>
        <w:rPr>
          <w:rFonts w:cs="Calibri" w:cstheme="minorHAnsi"/>
          <w:sz w:val="22"/>
          <w:szCs w:val="22"/>
        </w:rPr>
      </w:r>
    </w:p>
    <w:p>
      <w:pPr>
        <w:pStyle w:val="Normal"/>
        <w:jc w:val="center"/>
        <w:rPr>
          <w:rFonts w:ascii="Calibri" w:hAnsi="Calibri"/>
          <w:sz w:val="22"/>
          <w:szCs w:val="22"/>
        </w:rPr>
      </w:pPr>
      <w:r>
        <w:rPr>
          <w:rFonts w:eastAsia="Calibri" w:cs="Calibri" w:ascii="Calibri" w:hAnsi="Calibri" w:asciiTheme="minorHAnsi" w:cstheme="minorHAnsi" w:hAnsiTheme="minorHAnsi"/>
          <w:b/>
          <w:sz w:val="22"/>
          <w:szCs w:val="22"/>
        </w:rPr>
        <w:t>ATA DE REGISTRO DE PREÇOS Nº ***/2026</w:t>
      </w:r>
    </w:p>
    <w:p>
      <w:pPr>
        <w:pStyle w:val="Normal"/>
        <w:jc w:val="center"/>
        <w:rPr/>
      </w:pPr>
      <w:r>
        <w:rPr>
          <w:rFonts w:eastAsia="Calibri" w:cs="Calibri" w:ascii="Calibri" w:hAnsi="Calibri" w:asciiTheme="minorHAnsi" w:cstheme="minorHAnsi" w:hAnsiTheme="minorHAnsi"/>
          <w:b/>
          <w:sz w:val="22"/>
          <w:szCs w:val="22"/>
        </w:rPr>
        <w:t>PROCESSO ADMI</w:t>
      </w:r>
      <w:r>
        <w:rPr>
          <w:rStyle w:val="PrembuloChar"/>
          <w:rFonts w:cs="Calibri" w:ascii="Calibri" w:hAnsi="Calibri" w:asciiTheme="minorHAnsi" w:cstheme="minorHAnsi" w:hAnsiTheme="minorHAnsi"/>
          <w:sz w:val="22"/>
          <w:szCs w:val="22"/>
          <w:lang w:val="pt-BR"/>
        </w:rPr>
        <w:t>NISTRATI</w:t>
      </w:r>
      <w:r>
        <w:rPr>
          <w:rFonts w:eastAsia="Calibri" w:cs="Calibri" w:ascii="Calibri" w:hAnsi="Calibri" w:asciiTheme="minorHAnsi" w:cstheme="minorHAnsi" w:hAnsiTheme="minorHAnsi"/>
          <w:b/>
          <w:sz w:val="22"/>
          <w:szCs w:val="22"/>
        </w:rPr>
        <w:t xml:space="preserve">VO Nº </w:t>
      </w:r>
      <w:r>
        <w:rPr>
          <w:rFonts w:eastAsia="Calibri" w:cs="Calibri" w:ascii="Calibri" w:hAnsi="Calibri" w:asciiTheme="minorHAnsi" w:cstheme="minorHAnsi" w:hAnsiTheme="minorHAnsi"/>
          <w:b/>
          <w:sz w:val="22"/>
          <w:szCs w:val="22"/>
          <w:highlight w:val="yellow"/>
        </w:rPr>
        <w:t>***</w:t>
      </w:r>
      <w:r>
        <w:rPr>
          <w:rFonts w:eastAsia="Calibri" w:cs="Calibri" w:ascii="Calibri" w:hAnsi="Calibri" w:asciiTheme="minorHAnsi" w:cstheme="minorHAnsi" w:hAnsiTheme="minorHAnsi"/>
          <w:b/>
          <w:sz w:val="22"/>
          <w:szCs w:val="22"/>
        </w:rPr>
        <w:t>/2026</w:t>
      </w:r>
    </w:p>
    <w:p>
      <w:pPr>
        <w:pStyle w:val="Normal"/>
        <w:jc w:val="center"/>
        <w:rPr>
          <w:rFonts w:ascii="Calibri" w:hAnsi="Calibri"/>
          <w:sz w:val="22"/>
          <w:szCs w:val="22"/>
        </w:rPr>
      </w:pPr>
      <w:r>
        <w:rPr>
          <w:rFonts w:eastAsia="Calibri" w:cs="Calibri" w:ascii="Calibri" w:hAnsi="Calibri" w:asciiTheme="minorHAnsi" w:cstheme="minorHAnsi" w:hAnsiTheme="minorHAnsi"/>
          <w:b/>
          <w:sz w:val="22"/>
          <w:szCs w:val="22"/>
        </w:rPr>
        <w:t xml:space="preserve">PREGÃO ELETRÔNICO Nº </w:t>
      </w:r>
      <w:r>
        <w:rPr>
          <w:rFonts w:eastAsia="Calibri" w:cs="Calibri" w:ascii="Calibri" w:hAnsi="Calibri" w:asciiTheme="minorHAnsi" w:cstheme="minorHAnsi" w:hAnsiTheme="minorHAnsi"/>
          <w:b/>
          <w:sz w:val="22"/>
          <w:szCs w:val="22"/>
          <w:highlight w:val="yellow"/>
        </w:rPr>
        <w:t>***</w:t>
      </w:r>
      <w:r>
        <w:rPr>
          <w:rFonts w:eastAsia="Calibri" w:cs="Calibri" w:ascii="Calibri" w:hAnsi="Calibri" w:asciiTheme="minorHAnsi" w:cstheme="minorHAnsi" w:hAnsiTheme="minorHAnsi"/>
          <w:b/>
          <w:sz w:val="22"/>
          <w:szCs w:val="22"/>
        </w:rPr>
        <w:t>/2026</w:t>
      </w:r>
    </w:p>
    <w:p>
      <w:pPr>
        <w:pStyle w:val="Normal"/>
        <w:jc w:val="both"/>
        <w:rPr>
          <w:rFonts w:ascii="Calibri" w:hAnsi="Calibri" w:eastAsia="Calibri" w:cs="Calibri" w:asciiTheme="minorHAnsi" w:cstheme="minorHAnsi" w:hAnsiTheme="minorHAnsi"/>
          <w:sz w:val="22"/>
          <w:szCs w:val="22"/>
        </w:rPr>
      </w:pPr>
      <w:r>
        <w:rPr>
          <w:rFonts w:eastAsia="Calibri" w:cs="Calibri" w:cstheme="minorHAnsi" w:ascii="Calibri" w:hAnsi="Calibri"/>
          <w:sz w:val="22"/>
          <w:szCs w:val="22"/>
        </w:rPr>
      </w:r>
    </w:p>
    <w:p>
      <w:pPr>
        <w:pStyle w:val="Normal"/>
        <w:jc w:val="both"/>
        <w:rPr>
          <w:rFonts w:ascii="Calibri" w:hAnsi="Calibri"/>
          <w:sz w:val="22"/>
          <w:szCs w:val="22"/>
        </w:rPr>
      </w:pPr>
      <w:r>
        <w:rPr>
          <w:rFonts w:eastAsia="Calibri" w:cs="Calibri" w:ascii="Calibri" w:hAnsi="Calibri" w:asciiTheme="minorHAnsi" w:cstheme="minorHAnsi" w:hAnsiTheme="minorHAnsi"/>
          <w:sz w:val="22"/>
          <w:szCs w:val="22"/>
        </w:rPr>
        <w:t>Aos *** dias do mês de *** do ano de 2026, presentes de um lado o</w:t>
      </w:r>
      <w:r>
        <w:rPr>
          <w:rFonts w:cs="Calibri" w:ascii="Calibri" w:hAnsi="Calibri" w:asciiTheme="minorHAnsi" w:cstheme="minorHAnsi" w:hAnsiTheme="minorHAnsi"/>
          <w:b/>
          <w:sz w:val="22"/>
          <w:szCs w:val="22"/>
        </w:rPr>
        <w:t xml:space="preserve"> MUNICÍPIO DE BOTUVERÁ</w:t>
      </w:r>
      <w:r>
        <w:rPr>
          <w:rFonts w:cs="Calibri" w:ascii="Calibri" w:hAnsi="Calibri" w:asciiTheme="minorHAnsi" w:cstheme="minorHAnsi" w:hAnsiTheme="minorHAnsi"/>
          <w:sz w:val="22"/>
          <w:szCs w:val="22"/>
        </w:rPr>
        <w:t xml:space="preserve">, pessoa jurídica de direito público, inscrita no CNPJ sob nº 83.102.350/0001-96, com sede à Rua João Morelli, nº 66, bairro Centro, na cidade de Botuverá-SC (CEP 88.295-000), representada pelo Prefeito Municipal, Sr. </w:t>
      </w:r>
      <w:r>
        <w:rPr>
          <w:rFonts w:cs="Calibri" w:ascii="Calibri" w:hAnsi="Calibri" w:asciiTheme="minorHAnsi" w:cstheme="minorHAnsi" w:hAnsiTheme="minorHAnsi"/>
          <w:b/>
          <w:sz w:val="22"/>
          <w:szCs w:val="22"/>
        </w:rPr>
        <w:t>VICTOR JOSÉ WIETCOWSKY</w:t>
      </w:r>
      <w:r>
        <w:rPr>
          <w:rFonts w:cs="Calibri" w:ascii="Calibri" w:hAnsi="Calibri" w:asciiTheme="minorHAnsi" w:cstheme="minorHAnsi" w:hAnsiTheme="minorHAnsi"/>
          <w:sz w:val="22"/>
          <w:szCs w:val="22"/>
        </w:rPr>
        <w:t xml:space="preserve">, doravante denominada apenas </w:t>
      </w:r>
      <w:r>
        <w:rPr>
          <w:rFonts w:cs="Calibri" w:ascii="Calibri" w:hAnsi="Calibri" w:asciiTheme="minorHAnsi" w:cstheme="minorHAnsi" w:hAnsiTheme="minorHAnsi"/>
          <w:b/>
          <w:sz w:val="22"/>
          <w:szCs w:val="22"/>
        </w:rPr>
        <w:t>MUNICÍPIO</w:t>
      </w:r>
      <w:r>
        <w:rPr>
          <w:rFonts w:cs="Calibri" w:ascii="Calibri" w:hAnsi="Calibri" w:asciiTheme="minorHAnsi" w:cstheme="minorHAnsi" w:hAnsiTheme="minorHAnsi"/>
          <w:sz w:val="22"/>
          <w:szCs w:val="22"/>
        </w:rPr>
        <w:t xml:space="preserve">, e de outro </w:t>
      </w:r>
      <w:r>
        <w:rPr>
          <w:rFonts w:cs="Calibri" w:ascii="Calibri" w:hAnsi="Calibri" w:asciiTheme="minorHAnsi" w:cstheme="minorHAnsi" w:hAnsiTheme="minorHAnsi"/>
          <w:b/>
          <w:bCs/>
          <w:sz w:val="22"/>
          <w:szCs w:val="22"/>
        </w:rPr>
        <w:t>NOME DA EMPRESA</w:t>
      </w:r>
      <w:r>
        <w:rPr>
          <w:rFonts w:cs="Calibri" w:ascii="Calibri" w:hAnsi="Calibri" w:asciiTheme="minorHAnsi" w:cstheme="minorHAnsi" w:hAnsiTheme="minorHAnsi"/>
          <w:sz w:val="22"/>
          <w:szCs w:val="22"/>
        </w:rPr>
        <w:t xml:space="preserve">, pessoa jurídica de direito privado, inscrita no CNPJ sob nº ***, com sede à Rua ***, nº ***, bairro ***, na cidade de ***-SC (CEP ***), representada por </w:t>
      </w:r>
      <w:r>
        <w:rPr>
          <w:rFonts w:cs="Calibri" w:ascii="Calibri" w:hAnsi="Calibri" w:asciiTheme="minorHAnsi" w:cstheme="minorHAnsi" w:hAnsiTheme="minorHAnsi"/>
          <w:b/>
          <w:bCs/>
          <w:sz w:val="22"/>
          <w:szCs w:val="22"/>
        </w:rPr>
        <w:t>NOME DO REPRESENTANTE</w:t>
      </w:r>
      <w:r>
        <w:rPr>
          <w:rFonts w:cs="Calibri" w:ascii="Calibri" w:hAnsi="Calibri" w:asciiTheme="minorHAnsi" w:cstheme="minorHAnsi" w:hAnsiTheme="minorHAnsi"/>
          <w:sz w:val="22"/>
          <w:szCs w:val="22"/>
        </w:rPr>
        <w:t xml:space="preserve">, inscrito no CPF sob nº ***, com endereço profissional à ***, doravante denominada apenas </w:t>
      </w:r>
      <w:r>
        <w:rPr>
          <w:rFonts w:cs="Calibri" w:ascii="Calibri" w:hAnsi="Calibri" w:asciiTheme="minorHAnsi" w:cstheme="minorHAnsi" w:hAnsiTheme="minorHAnsi"/>
          <w:b/>
          <w:bCs/>
          <w:sz w:val="22"/>
          <w:szCs w:val="22"/>
        </w:rPr>
        <w:t>FORNECEDOR</w:t>
      </w:r>
      <w:r>
        <w:rPr>
          <w:rFonts w:cs="Calibri" w:ascii="Calibri" w:hAnsi="Calibri" w:asciiTheme="minorHAnsi" w:cstheme="minorHAnsi" w:hAnsiTheme="minorHAnsi"/>
          <w:sz w:val="22"/>
          <w:szCs w:val="22"/>
        </w:rPr>
        <w:t>, independente de gênero ou critério quantitativo.</w:t>
      </w:r>
    </w:p>
    <w:p>
      <w:pPr>
        <w:pStyle w:val="Normal"/>
        <w:jc w:val="both"/>
        <w:rPr>
          <w:rFonts w:ascii="Calibri" w:hAnsi="Calibri" w:cs="Calibri" w:asciiTheme="minorHAnsi" w:cstheme="minorHAnsi" w:hAnsiTheme="minorHAnsi"/>
          <w:sz w:val="22"/>
          <w:szCs w:val="22"/>
        </w:rPr>
      </w:pPr>
      <w:r>
        <w:rPr>
          <w:rFonts w:cs="Calibri" w:cstheme="minorHAnsi" w:ascii="Calibri" w:hAnsi="Calibri"/>
          <w:sz w:val="22"/>
          <w:szCs w:val="22"/>
        </w:rPr>
      </w:r>
    </w:p>
    <w:p>
      <w:pPr>
        <w:pStyle w:val="Primeiro"/>
        <w:numPr>
          <w:ilvl w:val="0"/>
          <w:numId w:val="3"/>
        </w:numPr>
        <w:rPr>
          <w:rFonts w:ascii="Calibri" w:hAnsi="Calibri"/>
          <w:sz w:val="22"/>
          <w:szCs w:val="22"/>
        </w:rPr>
      </w:pPr>
      <w:r>
        <w:rPr>
          <w:sz w:val="22"/>
          <w:szCs w:val="22"/>
        </w:rPr>
        <w:t>DO OBJETO.</w:t>
      </w:r>
    </w:p>
    <w:p>
      <w:pPr>
        <w:pStyle w:val="Corpo"/>
        <w:ind w:hanging="0" w:left="0"/>
        <w:rPr>
          <w:rFonts w:ascii="Calibri" w:hAnsi="Calibri"/>
          <w:sz w:val="22"/>
          <w:szCs w:val="22"/>
        </w:rPr>
      </w:pPr>
      <w:r>
        <w:rPr>
          <w:sz w:val="22"/>
          <w:szCs w:val="22"/>
        </w:rPr>
      </w:r>
    </w:p>
    <w:p>
      <w:pPr>
        <w:pStyle w:val="Segundo"/>
        <w:numPr>
          <w:ilvl w:val="1"/>
          <w:numId w:val="3"/>
        </w:numPr>
        <w:ind w:hanging="0" w:left="0"/>
        <w:rPr>
          <w:rFonts w:ascii="Calibri" w:hAnsi="Calibri"/>
          <w:sz w:val="22"/>
          <w:szCs w:val="22"/>
        </w:rPr>
      </w:pPr>
      <w:r>
        <w:rPr>
          <w:sz w:val="22"/>
          <w:szCs w:val="22"/>
        </w:rPr>
        <w:t>O objeto da presente ARP – Ata de Registro de Preço consiste no</w:t>
      </w:r>
      <w:r>
        <w:rPr>
          <w:rFonts w:cs="Calibri" w:cstheme="minorHAnsi"/>
          <w:b/>
          <w:bCs/>
          <w:sz w:val="22"/>
          <w:szCs w:val="22"/>
        </w:rPr>
        <w:t xml:space="preserve"> fornecimento de materiais e ferramentas elétricas</w:t>
      </w:r>
      <w:r>
        <w:rPr>
          <w:rFonts w:cs="Calibri" w:cstheme="minorHAnsi"/>
          <w:b w:val="false"/>
          <w:bCs w:val="false"/>
          <w:sz w:val="22"/>
          <w:szCs w:val="22"/>
        </w:rPr>
        <w:t xml:space="preserve">, destinados à manutenção, conservação e execução de serviços realizados pela </w:t>
      </w:r>
      <w:r>
        <w:rPr>
          <w:rFonts w:cs="Calibri" w:cstheme="minorHAnsi"/>
          <w:b/>
          <w:bCs/>
          <w:sz w:val="22"/>
          <w:szCs w:val="22"/>
        </w:rPr>
        <w:t>Secretaria de Obras, Transportes e Serviços Urbanos</w:t>
      </w:r>
      <w:r>
        <w:rPr>
          <w:rFonts w:cs="Calibri" w:cstheme="minorHAnsi"/>
          <w:b w:val="false"/>
          <w:bCs w:val="false"/>
          <w:sz w:val="22"/>
          <w:szCs w:val="22"/>
        </w:rPr>
        <w:t>, garantindo a continuidade dos serviços públicos e atendimento adequado às demandas do Município de Botuverá</w:t>
      </w:r>
      <w:r>
        <w:rPr>
          <w:rFonts w:cs="Calibri" w:cstheme="minorHAnsi"/>
          <w:sz w:val="22"/>
          <w:szCs w:val="22"/>
        </w:rPr>
        <w:t xml:space="preserve">, </w:t>
      </w:r>
      <w:r>
        <w:rPr/>
        <w:t xml:space="preserve">conforme especificações, quantitativos e condições estabelecidas no Termo de Referência, Edital e demais anexos </w:t>
      </w:r>
    </w:p>
    <w:p>
      <w:pPr>
        <w:pStyle w:val="Segundo"/>
        <w:numPr>
          <w:ilvl w:val="0"/>
          <w:numId w:val="0"/>
        </w:numPr>
        <w:ind w:hanging="0" w:left="0"/>
        <w:rPr>
          <w:rFonts w:ascii="Calibri" w:hAnsi="Calibri"/>
          <w:sz w:val="22"/>
          <w:szCs w:val="22"/>
        </w:rPr>
      </w:pPr>
      <w:r>
        <w:rPr>
          <w:sz w:val="22"/>
          <w:szCs w:val="22"/>
        </w:rPr>
      </w:r>
    </w:p>
    <w:p>
      <w:pPr>
        <w:pStyle w:val="Segundo"/>
        <w:numPr>
          <w:ilvl w:val="1"/>
          <w:numId w:val="3"/>
        </w:numPr>
        <w:ind w:hanging="0" w:left="0"/>
        <w:rPr>
          <w:rFonts w:ascii="Calibri" w:hAnsi="Calibri"/>
          <w:sz w:val="22"/>
          <w:szCs w:val="22"/>
        </w:rPr>
      </w:pPr>
      <w:r>
        <w:rPr>
          <w:sz w:val="22"/>
          <w:szCs w:val="22"/>
        </w:rPr>
        <w:t>A existência de preços registrados não obriga o MUNICÍPIO a firmar as contratações que deles poderão advir, não cabendo direito à indenização de qualquer espécie.</w:t>
      </w:r>
    </w:p>
    <w:p>
      <w:pPr>
        <w:pStyle w:val="ListParagraph"/>
        <w:rPr>
          <w:rFonts w:ascii="Calibri" w:hAnsi="Calibri"/>
          <w:sz w:val="22"/>
          <w:szCs w:val="22"/>
        </w:rPr>
      </w:pPr>
      <w:r>
        <w:rPr>
          <w:rFonts w:ascii="Calibri" w:hAnsi="Calibri"/>
          <w:sz w:val="22"/>
          <w:szCs w:val="22"/>
        </w:rPr>
      </w:r>
    </w:p>
    <w:p>
      <w:pPr>
        <w:pStyle w:val="Segundo"/>
        <w:numPr>
          <w:ilvl w:val="1"/>
          <w:numId w:val="3"/>
        </w:numPr>
        <w:ind w:hanging="0" w:left="0"/>
        <w:rPr>
          <w:rFonts w:ascii="Calibri" w:hAnsi="Calibri"/>
          <w:sz w:val="22"/>
          <w:szCs w:val="22"/>
        </w:rPr>
      </w:pPr>
      <w:r>
        <w:rPr>
          <w:sz w:val="22"/>
          <w:szCs w:val="22"/>
        </w:rPr>
        <w:t>Fica, ainda, facultada a utilização de outros meios de aquisição, respeitada a legislação pertinente às licitações e ao sistema de registro de preços.</w:t>
      </w:r>
    </w:p>
    <w:p>
      <w:pPr>
        <w:pStyle w:val="Segundo"/>
        <w:numPr>
          <w:ilvl w:val="0"/>
          <w:numId w:val="0"/>
        </w:numPr>
        <w:ind w:hanging="0" w:left="0"/>
        <w:rPr>
          <w:rFonts w:ascii="Calibri" w:hAnsi="Calibri" w:cs="Calibri" w:asciiTheme="minorHAnsi" w:cstheme="minorHAnsi" w:hAnsiTheme="minorHAnsi"/>
          <w:sz w:val="22"/>
          <w:szCs w:val="22"/>
        </w:rPr>
      </w:pPr>
      <w:r>
        <w:rPr>
          <w:rFonts w:cs="Calibri" w:cstheme="minorHAnsi"/>
          <w:sz w:val="22"/>
          <w:szCs w:val="22"/>
        </w:rPr>
      </w:r>
    </w:p>
    <w:p>
      <w:pPr>
        <w:pStyle w:val="Primeiro"/>
        <w:numPr>
          <w:ilvl w:val="0"/>
          <w:numId w:val="3"/>
        </w:numPr>
        <w:rPr>
          <w:rFonts w:ascii="Calibri" w:hAnsi="Calibri"/>
          <w:sz w:val="22"/>
          <w:szCs w:val="22"/>
        </w:rPr>
      </w:pPr>
      <w:r>
        <w:rPr>
          <w:rFonts w:cs="Calibri" w:cstheme="minorHAnsi"/>
          <w:sz w:val="22"/>
          <w:szCs w:val="22"/>
        </w:rPr>
        <w:t>DAS ESPECIFICAÇÕES, QUANTITATIVOS E PREÇO DO OBJETO.</w:t>
      </w:r>
    </w:p>
    <w:p>
      <w:pPr>
        <w:pStyle w:val="Prembulo"/>
        <w:rPr>
          <w:rFonts w:ascii="Calibri" w:hAnsi="Calibri" w:cs="Calibri" w:asciiTheme="minorHAnsi" w:cstheme="minorHAnsi" w:hAnsiTheme="minorHAnsi"/>
          <w:sz w:val="22"/>
          <w:szCs w:val="22"/>
        </w:rPr>
      </w:pPr>
      <w:r>
        <w:rPr>
          <w:rFonts w:cs="Calibri" w:cstheme="minorHAnsi"/>
          <w:sz w:val="22"/>
          <w:szCs w:val="22"/>
        </w:rPr>
      </w:r>
    </w:p>
    <w:tbl>
      <w:tblPr>
        <w:tblW w:w="10187" w:type="dxa"/>
        <w:jc w:val="left"/>
        <w:tblInd w:w="8" w:type="dxa"/>
        <w:tblLayout w:type="fixed"/>
        <w:tblCellMar>
          <w:top w:w="0" w:type="dxa"/>
          <w:left w:w="70" w:type="dxa"/>
          <w:bottom w:w="0" w:type="dxa"/>
          <w:right w:w="70" w:type="dxa"/>
        </w:tblCellMar>
        <w:tblLook w:firstRow="1" w:noVBand="1" w:lastRow="0" w:firstColumn="1" w:lastColumn="0" w:noHBand="0" w:val="04a0"/>
      </w:tblPr>
      <w:tblGrid>
        <w:gridCol w:w="626"/>
        <w:gridCol w:w="4252"/>
        <w:gridCol w:w="1283"/>
        <w:gridCol w:w="1391"/>
        <w:gridCol w:w="1299"/>
        <w:gridCol w:w="1336"/>
      </w:tblGrid>
      <w:tr>
        <w:trPr>
          <w:trHeight w:val="175" w:hRule="atLeast"/>
        </w:trPr>
        <w:tc>
          <w:tcPr>
            <w:tcW w:w="626"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false"/>
              <w:jc w:val="center"/>
              <w:rPr>
                <w:rFonts w:ascii="Calibri" w:hAnsi="Calibri"/>
                <w:sz w:val="22"/>
                <w:szCs w:val="22"/>
              </w:rPr>
            </w:pPr>
            <w:r>
              <w:rPr>
                <w:rFonts w:cs="Calibri" w:ascii="Calibri" w:hAnsi="Calibri"/>
                <w:b/>
                <w:bCs/>
                <w:color w:val="000000"/>
                <w:sz w:val="22"/>
                <w:szCs w:val="22"/>
                <w:lang w:eastAsia="pt-BR"/>
              </w:rPr>
              <w:t>ITEM</w:t>
            </w:r>
          </w:p>
        </w:tc>
        <w:tc>
          <w:tcPr>
            <w:tcW w:w="4252"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false"/>
              <w:jc w:val="center"/>
              <w:rPr>
                <w:rFonts w:ascii="Calibri" w:hAnsi="Calibri"/>
                <w:sz w:val="22"/>
                <w:szCs w:val="22"/>
              </w:rPr>
            </w:pPr>
            <w:r>
              <w:rPr>
                <w:rFonts w:cs="Calibri" w:ascii="Calibri" w:hAnsi="Calibri"/>
                <w:b/>
                <w:bCs/>
                <w:color w:val="000000"/>
                <w:sz w:val="22"/>
                <w:szCs w:val="22"/>
                <w:lang w:eastAsia="pt-BR"/>
              </w:rPr>
              <w:t>DESCRIÇÃO</w:t>
            </w:r>
          </w:p>
        </w:tc>
        <w:tc>
          <w:tcPr>
            <w:tcW w:w="1283"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false"/>
              <w:jc w:val="center"/>
              <w:rPr>
                <w:rFonts w:ascii="Calibri" w:hAnsi="Calibri"/>
                <w:sz w:val="22"/>
                <w:szCs w:val="22"/>
              </w:rPr>
            </w:pPr>
            <w:r>
              <w:rPr>
                <w:rFonts w:cs="Calibri" w:ascii="Calibri" w:hAnsi="Calibri"/>
                <w:b/>
                <w:bCs/>
                <w:color w:val="000000"/>
                <w:sz w:val="22"/>
                <w:szCs w:val="22"/>
                <w:lang w:eastAsia="pt-BR"/>
              </w:rPr>
              <w:t>UNIDADE DE</w:t>
            </w:r>
          </w:p>
          <w:p>
            <w:pPr>
              <w:pStyle w:val="Normal"/>
              <w:widowControl/>
              <w:suppressAutoHyphens w:val="false"/>
              <w:jc w:val="center"/>
              <w:rPr>
                <w:rFonts w:ascii="Calibri" w:hAnsi="Calibri"/>
                <w:sz w:val="22"/>
                <w:szCs w:val="22"/>
              </w:rPr>
            </w:pPr>
            <w:r>
              <w:rPr>
                <w:rFonts w:cs="Calibri" w:ascii="Calibri" w:hAnsi="Calibri"/>
                <w:b/>
                <w:bCs/>
                <w:color w:val="000000"/>
                <w:sz w:val="22"/>
                <w:szCs w:val="22"/>
                <w:lang w:eastAsia="pt-BR"/>
              </w:rPr>
              <w:t>MEDIDA</w:t>
            </w:r>
          </w:p>
        </w:tc>
        <w:tc>
          <w:tcPr>
            <w:tcW w:w="1391" w:type="dxa"/>
            <w:tcBorders>
              <w:top w:val="single" w:sz="4" w:space="0" w:color="000000"/>
              <w:left w:val="single" w:sz="4" w:space="0" w:color="000000"/>
              <w:bottom w:val="single" w:sz="4" w:space="0" w:color="000000"/>
            </w:tcBorders>
            <w:vAlign w:val="center"/>
          </w:tcPr>
          <w:p>
            <w:pPr>
              <w:pStyle w:val="Normal"/>
              <w:widowControl/>
              <w:suppressAutoHyphens w:val="false"/>
              <w:jc w:val="center"/>
              <w:rPr>
                <w:rFonts w:ascii="Calibri" w:hAnsi="Calibri"/>
                <w:sz w:val="22"/>
                <w:szCs w:val="22"/>
              </w:rPr>
            </w:pPr>
            <w:r>
              <w:rPr>
                <w:rFonts w:cs="Calibri" w:ascii="Calibri" w:hAnsi="Calibri"/>
                <w:b/>
                <w:bCs/>
                <w:color w:val="000000"/>
                <w:sz w:val="22"/>
                <w:szCs w:val="22"/>
                <w:lang w:eastAsia="pt-BR"/>
              </w:rPr>
              <w:t>QUANTIDADE</w:t>
            </w:r>
          </w:p>
        </w:tc>
        <w:tc>
          <w:tcPr>
            <w:tcW w:w="1299" w:type="dxa"/>
            <w:tcBorders>
              <w:top w:val="single" w:sz="4" w:space="0" w:color="000000"/>
              <w:left w:val="single" w:sz="4" w:space="0" w:color="000000"/>
              <w:bottom w:val="single" w:sz="4" w:space="0" w:color="000000"/>
            </w:tcBorders>
            <w:vAlign w:val="center"/>
          </w:tcPr>
          <w:p>
            <w:pPr>
              <w:pStyle w:val="Normal"/>
              <w:widowControl/>
              <w:suppressAutoHyphens w:val="false"/>
              <w:jc w:val="center"/>
              <w:rPr>
                <w:rFonts w:ascii="Calibri" w:hAnsi="Calibri"/>
                <w:sz w:val="22"/>
                <w:szCs w:val="22"/>
              </w:rPr>
            </w:pPr>
            <w:r>
              <w:rPr>
                <w:rFonts w:cs="Calibri" w:ascii="Calibri" w:hAnsi="Calibri"/>
                <w:b/>
                <w:bCs/>
                <w:color w:val="000000"/>
                <w:sz w:val="22"/>
                <w:szCs w:val="22"/>
                <w:lang w:eastAsia="pt-BR"/>
              </w:rPr>
              <w:t>MÉDIA</w:t>
            </w:r>
          </w:p>
          <w:p>
            <w:pPr>
              <w:pStyle w:val="Normal"/>
              <w:widowControl/>
              <w:suppressAutoHyphens w:val="false"/>
              <w:jc w:val="center"/>
              <w:rPr>
                <w:rFonts w:ascii="Calibri" w:hAnsi="Calibri"/>
                <w:sz w:val="22"/>
                <w:szCs w:val="22"/>
              </w:rPr>
            </w:pPr>
            <w:r>
              <w:rPr>
                <w:rFonts w:cs="Calibri" w:ascii="Calibri" w:hAnsi="Calibri"/>
                <w:b/>
                <w:bCs/>
                <w:color w:val="000000"/>
                <w:sz w:val="22"/>
                <w:szCs w:val="22"/>
                <w:lang w:eastAsia="pt-BR"/>
              </w:rPr>
              <w:t>UNITÁRIA</w:t>
            </w:r>
          </w:p>
        </w:tc>
        <w:tc>
          <w:tcPr>
            <w:tcW w:w="1336"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false"/>
              <w:jc w:val="center"/>
              <w:rPr>
                <w:rFonts w:ascii="Calibri" w:hAnsi="Calibri"/>
                <w:sz w:val="22"/>
                <w:szCs w:val="22"/>
              </w:rPr>
            </w:pPr>
            <w:r>
              <w:rPr>
                <w:rFonts w:cs="Calibri" w:ascii="Calibri" w:hAnsi="Calibri"/>
                <w:b/>
                <w:bCs/>
                <w:color w:val="000000"/>
                <w:sz w:val="22"/>
                <w:szCs w:val="22"/>
                <w:lang w:eastAsia="pt-BR"/>
              </w:rPr>
              <w:t>MÉDIA</w:t>
            </w:r>
          </w:p>
          <w:p>
            <w:pPr>
              <w:pStyle w:val="Normal"/>
              <w:widowControl/>
              <w:suppressAutoHyphens w:val="false"/>
              <w:jc w:val="center"/>
              <w:rPr>
                <w:rFonts w:ascii="Calibri" w:hAnsi="Calibri"/>
                <w:sz w:val="22"/>
                <w:szCs w:val="22"/>
              </w:rPr>
            </w:pPr>
            <w:r>
              <w:rPr>
                <w:rFonts w:cs="Calibri" w:ascii="Calibri" w:hAnsi="Calibri"/>
                <w:b/>
                <w:bCs/>
                <w:color w:val="000000"/>
                <w:sz w:val="22"/>
                <w:szCs w:val="22"/>
                <w:lang w:eastAsia="pt-BR"/>
              </w:rPr>
              <w:t>TOTAL</w:t>
            </w:r>
          </w:p>
        </w:tc>
      </w:tr>
      <w:tr>
        <w:trPr>
          <w:trHeight w:val="197" w:hRule="atLeast"/>
        </w:trPr>
        <w:tc>
          <w:tcPr>
            <w:tcW w:w="626" w:type="dxa"/>
            <w:tcBorders>
              <w:top w:val="single" w:sz="4" w:space="0" w:color="000000"/>
              <w:left w:val="single" w:sz="4" w:space="0" w:color="000000"/>
              <w:bottom w:val="single" w:sz="4" w:space="0" w:color="000000"/>
              <w:right w:val="single" w:sz="4" w:space="0" w:color="000000"/>
            </w:tcBorders>
            <w:vAlign w:val="center"/>
          </w:tcPr>
          <w:p>
            <w:pPr>
              <w:pStyle w:val="TableParagraph"/>
              <w:spacing w:before="20" w:after="0"/>
              <w:jc w:val="center"/>
              <w:rPr>
                <w:b w:val="false"/>
                <w:bCs w:val="false"/>
                <w:spacing w:val="-5"/>
              </w:rPr>
            </w:pPr>
            <w:r>
              <w:rPr>
                <w:b w:val="false"/>
                <w:bCs w:val="false"/>
                <w:spacing w:val="-5"/>
              </w:rPr>
            </w:r>
          </w:p>
        </w:tc>
        <w:tc>
          <w:tcPr>
            <w:tcW w:w="4252" w:type="dxa"/>
            <w:tcBorders>
              <w:top w:val="single" w:sz="4" w:space="0" w:color="000000"/>
              <w:left w:val="single" w:sz="4" w:space="0" w:color="000000"/>
              <w:bottom w:val="single" w:sz="4" w:space="0" w:color="000000"/>
              <w:right w:val="single" w:sz="4" w:space="0" w:color="000000"/>
            </w:tcBorders>
            <w:vAlign w:val="center"/>
          </w:tcPr>
          <w:p>
            <w:pPr>
              <w:pStyle w:val="TableParagraph"/>
              <w:spacing w:before="54" w:after="0"/>
              <w:ind w:left="58" w:right="0"/>
              <w:rPr>
                <w:rFonts w:ascii="Calibri" w:hAnsi="Calibri"/>
                <w:sz w:val="22"/>
                <w:szCs w:val="22"/>
              </w:rPr>
            </w:pPr>
            <w:r>
              <w:rPr>
                <w:rFonts w:ascii="Calibri" w:hAnsi="Calibri"/>
                <w:sz w:val="22"/>
                <w:szCs w:val="22"/>
              </w:rPr>
            </w:r>
          </w:p>
        </w:tc>
        <w:tc>
          <w:tcPr>
            <w:tcW w:w="1283" w:type="dxa"/>
            <w:tcBorders>
              <w:top w:val="single" w:sz="4" w:space="0" w:color="000000"/>
              <w:left w:val="single" w:sz="4" w:space="0" w:color="000000"/>
              <w:bottom w:val="single" w:sz="4" w:space="0" w:color="000000"/>
              <w:right w:val="single" w:sz="4" w:space="0" w:color="000000"/>
            </w:tcBorders>
            <w:vAlign w:val="center"/>
          </w:tcPr>
          <w:p>
            <w:pPr>
              <w:pStyle w:val="TableParagraph"/>
              <w:ind w:hanging="0" w:left="0" w:right="0"/>
              <w:jc w:val="center"/>
              <w:rPr>
                <w:spacing w:val="-5"/>
              </w:rPr>
            </w:pPr>
            <w:r>
              <w:rPr>
                <w:spacing w:val="-5"/>
              </w:rPr>
            </w:r>
          </w:p>
        </w:tc>
        <w:tc>
          <w:tcPr>
            <w:tcW w:w="1391" w:type="dxa"/>
            <w:tcBorders>
              <w:top w:val="single" w:sz="4" w:space="0" w:color="000000"/>
              <w:left w:val="single" w:sz="4" w:space="0" w:color="000000"/>
              <w:bottom w:val="single" w:sz="4" w:space="0" w:color="000000"/>
            </w:tcBorders>
            <w:vAlign w:val="center"/>
          </w:tcPr>
          <w:p>
            <w:pPr>
              <w:pStyle w:val="TableParagraph"/>
              <w:spacing w:before="170" w:after="0"/>
              <w:jc w:val="center"/>
              <w:rPr>
                <w:spacing w:val="-2"/>
              </w:rPr>
            </w:pPr>
            <w:r>
              <w:rPr>
                <w:spacing w:val="-2"/>
              </w:rPr>
            </w:r>
          </w:p>
        </w:tc>
        <w:tc>
          <w:tcPr>
            <w:tcW w:w="1299" w:type="dxa"/>
            <w:tcBorders>
              <w:top w:val="single" w:sz="4" w:space="0" w:color="000000"/>
              <w:left w:val="single" w:sz="4" w:space="0" w:color="000000"/>
              <w:bottom w:val="single" w:sz="4" w:space="0" w:color="000000"/>
            </w:tcBorders>
            <w:vAlign w:val="center"/>
          </w:tcPr>
          <w:p>
            <w:pPr>
              <w:pStyle w:val="BodyText"/>
              <w:widowControl/>
              <w:suppressAutoHyphens w:val="false"/>
              <w:jc w:val="center"/>
              <w:rPr>
                <w:rFonts w:ascii="Calibri" w:hAnsi="Calibri"/>
                <w:sz w:val="22"/>
                <w:szCs w:val="22"/>
              </w:rPr>
            </w:pPr>
            <w:r>
              <w:rPr>
                <w:rFonts w:ascii="Calibri" w:hAnsi="Calibri"/>
                <w:sz w:val="22"/>
                <w:szCs w:val="22"/>
              </w:rPr>
            </w:r>
          </w:p>
        </w:tc>
        <w:tc>
          <w:tcPr>
            <w:tcW w:w="1336" w:type="dxa"/>
            <w:tcBorders>
              <w:top w:val="single" w:sz="4" w:space="0" w:color="000000"/>
              <w:left w:val="single" w:sz="4" w:space="0" w:color="000000"/>
              <w:bottom w:val="single" w:sz="4" w:space="0" w:color="000000"/>
              <w:right w:val="single" w:sz="4" w:space="0" w:color="000000"/>
            </w:tcBorders>
            <w:vAlign w:val="center"/>
          </w:tcPr>
          <w:p>
            <w:pPr>
              <w:pStyle w:val="BodyText"/>
              <w:widowControl/>
              <w:suppressAutoHyphens w:val="false"/>
              <w:jc w:val="center"/>
              <w:rPr>
                <w:rFonts w:ascii="Calibri" w:hAnsi="Calibri"/>
                <w:sz w:val="22"/>
                <w:szCs w:val="22"/>
              </w:rPr>
            </w:pPr>
            <w:r>
              <w:rPr>
                <w:rFonts w:ascii="Calibri" w:hAnsi="Calibri"/>
                <w:sz w:val="22"/>
                <w:szCs w:val="22"/>
              </w:rPr>
            </w:r>
          </w:p>
        </w:tc>
      </w:tr>
      <w:tr>
        <w:trPr>
          <w:trHeight w:val="138" w:hRule="atLeast"/>
        </w:trPr>
        <w:tc>
          <w:tcPr>
            <w:tcW w:w="626" w:type="dxa"/>
            <w:tcBorders>
              <w:left w:val="single" w:sz="4" w:space="0" w:color="000000"/>
              <w:bottom w:val="single" w:sz="4" w:space="0" w:color="000000"/>
              <w:right w:val="single" w:sz="4" w:space="0" w:color="000000"/>
            </w:tcBorders>
            <w:vAlign w:val="center"/>
          </w:tcPr>
          <w:p>
            <w:pPr>
              <w:pStyle w:val="TableParagraph"/>
              <w:spacing w:lineRule="exact" w:line="237" w:before="13" w:after="0"/>
              <w:jc w:val="center"/>
              <w:rPr>
                <w:b w:val="false"/>
                <w:bCs w:val="false"/>
                <w:spacing w:val="-5"/>
              </w:rPr>
            </w:pPr>
            <w:r>
              <w:rPr>
                <w:b w:val="false"/>
                <w:bCs w:val="false"/>
                <w:spacing w:val="-5"/>
              </w:rPr>
            </w:r>
          </w:p>
        </w:tc>
        <w:tc>
          <w:tcPr>
            <w:tcW w:w="4252" w:type="dxa"/>
            <w:tcBorders>
              <w:left w:val="single" w:sz="4" w:space="0" w:color="000000"/>
              <w:bottom w:val="single" w:sz="4" w:space="0" w:color="000000"/>
              <w:right w:val="single" w:sz="4" w:space="0" w:color="000000"/>
            </w:tcBorders>
            <w:vAlign w:val="center"/>
          </w:tcPr>
          <w:p>
            <w:pPr>
              <w:pStyle w:val="TableParagraph"/>
              <w:spacing w:before="54" w:after="0"/>
              <w:ind w:left="58" w:right="44"/>
              <w:jc w:val="both"/>
              <w:rPr>
                <w:rFonts w:ascii="Calibri" w:hAnsi="Calibri"/>
                <w:sz w:val="22"/>
                <w:szCs w:val="22"/>
              </w:rPr>
            </w:pPr>
            <w:r>
              <w:rPr>
                <w:rFonts w:ascii="Calibri" w:hAnsi="Calibri"/>
                <w:sz w:val="22"/>
                <w:szCs w:val="22"/>
              </w:rPr>
            </w:r>
          </w:p>
        </w:tc>
        <w:tc>
          <w:tcPr>
            <w:tcW w:w="1283" w:type="dxa"/>
            <w:tcBorders>
              <w:left w:val="single" w:sz="4" w:space="0" w:color="000000"/>
              <w:bottom w:val="single" w:sz="4" w:space="0" w:color="000000"/>
              <w:right w:val="single" w:sz="4" w:space="0" w:color="000000"/>
            </w:tcBorders>
            <w:vAlign w:val="center"/>
          </w:tcPr>
          <w:p>
            <w:pPr>
              <w:pStyle w:val="TableParagraph"/>
              <w:ind w:hanging="0" w:left="0" w:right="0"/>
              <w:jc w:val="center"/>
              <w:rPr>
                <w:spacing w:val="-5"/>
              </w:rPr>
            </w:pPr>
            <w:r>
              <w:rPr>
                <w:spacing w:val="-5"/>
              </w:rPr>
            </w:r>
          </w:p>
        </w:tc>
        <w:tc>
          <w:tcPr>
            <w:tcW w:w="1391" w:type="dxa"/>
            <w:tcBorders>
              <w:left w:val="single" w:sz="4" w:space="0" w:color="000000"/>
              <w:bottom w:val="single" w:sz="4" w:space="0" w:color="000000"/>
            </w:tcBorders>
            <w:vAlign w:val="center"/>
          </w:tcPr>
          <w:p>
            <w:pPr>
              <w:pStyle w:val="TableParagraph"/>
              <w:spacing w:before="170" w:after="0"/>
              <w:jc w:val="center"/>
              <w:rPr>
                <w:spacing w:val="-2"/>
              </w:rPr>
            </w:pPr>
            <w:r>
              <w:rPr>
                <w:spacing w:val="-2"/>
              </w:rPr>
            </w:r>
          </w:p>
        </w:tc>
        <w:tc>
          <w:tcPr>
            <w:tcW w:w="1299" w:type="dxa"/>
            <w:tcBorders>
              <w:left w:val="single" w:sz="4" w:space="0" w:color="000000"/>
              <w:bottom w:val="single" w:sz="4" w:space="0" w:color="000000"/>
            </w:tcBorders>
            <w:vAlign w:val="center"/>
          </w:tcPr>
          <w:p>
            <w:pPr>
              <w:pStyle w:val="BodyText"/>
              <w:widowControl/>
              <w:suppressAutoHyphens w:val="false"/>
              <w:jc w:val="center"/>
              <w:rPr>
                <w:rFonts w:ascii="Calibri" w:hAnsi="Calibri"/>
                <w:sz w:val="22"/>
                <w:szCs w:val="22"/>
              </w:rPr>
            </w:pPr>
            <w:r>
              <w:rPr>
                <w:rFonts w:ascii="Calibri" w:hAnsi="Calibri"/>
                <w:sz w:val="22"/>
                <w:szCs w:val="22"/>
              </w:rPr>
            </w:r>
          </w:p>
        </w:tc>
        <w:tc>
          <w:tcPr>
            <w:tcW w:w="1336" w:type="dxa"/>
            <w:tcBorders>
              <w:left w:val="single" w:sz="4" w:space="0" w:color="000000"/>
              <w:bottom w:val="single" w:sz="4" w:space="0" w:color="000000"/>
              <w:right w:val="single" w:sz="4" w:space="0" w:color="000000"/>
            </w:tcBorders>
            <w:vAlign w:val="center"/>
          </w:tcPr>
          <w:p>
            <w:pPr>
              <w:pStyle w:val="BodyText"/>
              <w:widowControl/>
              <w:suppressAutoHyphens w:val="false"/>
              <w:jc w:val="center"/>
              <w:rPr>
                <w:rFonts w:ascii="Calibri" w:hAnsi="Calibri"/>
                <w:sz w:val="22"/>
                <w:szCs w:val="22"/>
              </w:rPr>
            </w:pPr>
            <w:r>
              <w:rPr>
                <w:rFonts w:ascii="Calibri" w:hAnsi="Calibri"/>
                <w:sz w:val="22"/>
                <w:szCs w:val="22"/>
              </w:rPr>
            </w:r>
          </w:p>
        </w:tc>
      </w:tr>
      <w:tr>
        <w:trPr>
          <w:trHeight w:val="68" w:hRule="atLeast"/>
        </w:trPr>
        <w:tc>
          <w:tcPr>
            <w:tcW w:w="626" w:type="dxa"/>
            <w:tcBorders>
              <w:left w:val="single" w:sz="4" w:space="0" w:color="000000"/>
              <w:bottom w:val="single" w:sz="4" w:space="0" w:color="000000"/>
              <w:right w:val="single" w:sz="4" w:space="0" w:color="000000"/>
            </w:tcBorders>
            <w:vAlign w:val="center"/>
          </w:tcPr>
          <w:p>
            <w:pPr>
              <w:pStyle w:val="TableParagraph"/>
              <w:spacing w:before="123" w:after="0"/>
              <w:jc w:val="center"/>
              <w:rPr>
                <w:b w:val="false"/>
                <w:bCs w:val="false"/>
                <w:spacing w:val="-5"/>
              </w:rPr>
            </w:pPr>
            <w:r>
              <w:rPr>
                <w:b w:val="false"/>
                <w:bCs w:val="false"/>
                <w:spacing w:val="-5"/>
              </w:rPr>
            </w:r>
          </w:p>
        </w:tc>
        <w:tc>
          <w:tcPr>
            <w:tcW w:w="4252" w:type="dxa"/>
            <w:tcBorders>
              <w:left w:val="single" w:sz="4" w:space="0" w:color="000000"/>
              <w:bottom w:val="single" w:sz="4" w:space="0" w:color="000000"/>
              <w:right w:val="single" w:sz="4" w:space="0" w:color="000000"/>
            </w:tcBorders>
            <w:vAlign w:val="center"/>
          </w:tcPr>
          <w:p>
            <w:pPr>
              <w:pStyle w:val="TableParagraph"/>
              <w:spacing w:before="54" w:after="0"/>
              <w:ind w:left="58" w:right="45"/>
              <w:jc w:val="both"/>
              <w:rPr>
                <w:rFonts w:ascii="Calibri" w:hAnsi="Calibri"/>
                <w:sz w:val="22"/>
                <w:szCs w:val="22"/>
              </w:rPr>
            </w:pPr>
            <w:r>
              <w:rPr>
                <w:rFonts w:ascii="Calibri" w:hAnsi="Calibri"/>
                <w:sz w:val="22"/>
                <w:szCs w:val="22"/>
              </w:rPr>
            </w:r>
          </w:p>
        </w:tc>
        <w:tc>
          <w:tcPr>
            <w:tcW w:w="1283" w:type="dxa"/>
            <w:tcBorders>
              <w:left w:val="single" w:sz="4" w:space="0" w:color="000000"/>
              <w:bottom w:val="single" w:sz="4" w:space="0" w:color="000000"/>
              <w:right w:val="single" w:sz="4" w:space="0" w:color="000000"/>
            </w:tcBorders>
            <w:vAlign w:val="center"/>
          </w:tcPr>
          <w:p>
            <w:pPr>
              <w:pStyle w:val="TableParagraph"/>
              <w:ind w:hanging="0" w:left="0" w:right="0"/>
              <w:jc w:val="center"/>
              <w:rPr>
                <w:spacing w:val="-5"/>
              </w:rPr>
            </w:pPr>
            <w:r>
              <w:rPr>
                <w:spacing w:val="-5"/>
              </w:rPr>
            </w:r>
          </w:p>
        </w:tc>
        <w:tc>
          <w:tcPr>
            <w:tcW w:w="1391" w:type="dxa"/>
            <w:tcBorders>
              <w:left w:val="single" w:sz="4" w:space="0" w:color="000000"/>
              <w:bottom w:val="single" w:sz="4" w:space="0" w:color="000000"/>
            </w:tcBorders>
            <w:vAlign w:val="center"/>
          </w:tcPr>
          <w:p>
            <w:pPr>
              <w:pStyle w:val="TableParagraph"/>
              <w:spacing w:before="170" w:after="0"/>
              <w:jc w:val="center"/>
              <w:rPr>
                <w:spacing w:val="-4"/>
              </w:rPr>
            </w:pPr>
            <w:r>
              <w:rPr>
                <w:spacing w:val="-4"/>
              </w:rPr>
            </w:r>
          </w:p>
        </w:tc>
        <w:tc>
          <w:tcPr>
            <w:tcW w:w="1299" w:type="dxa"/>
            <w:tcBorders>
              <w:left w:val="single" w:sz="4" w:space="0" w:color="000000"/>
              <w:bottom w:val="single" w:sz="4" w:space="0" w:color="000000"/>
            </w:tcBorders>
            <w:vAlign w:val="center"/>
          </w:tcPr>
          <w:p>
            <w:pPr>
              <w:pStyle w:val="BodyText"/>
              <w:widowControl/>
              <w:suppressAutoHyphens w:val="false"/>
              <w:jc w:val="center"/>
              <w:rPr>
                <w:rFonts w:ascii="Calibri" w:hAnsi="Calibri"/>
                <w:sz w:val="22"/>
                <w:szCs w:val="22"/>
              </w:rPr>
            </w:pPr>
            <w:r>
              <w:rPr>
                <w:rFonts w:ascii="Calibri" w:hAnsi="Calibri"/>
                <w:sz w:val="22"/>
                <w:szCs w:val="22"/>
              </w:rPr>
            </w:r>
          </w:p>
        </w:tc>
        <w:tc>
          <w:tcPr>
            <w:tcW w:w="1336" w:type="dxa"/>
            <w:tcBorders>
              <w:left w:val="single" w:sz="4" w:space="0" w:color="000000"/>
              <w:bottom w:val="single" w:sz="4" w:space="0" w:color="000000"/>
              <w:right w:val="single" w:sz="4" w:space="0" w:color="000000"/>
            </w:tcBorders>
            <w:vAlign w:val="center"/>
          </w:tcPr>
          <w:p>
            <w:pPr>
              <w:pStyle w:val="BodyText"/>
              <w:widowControl/>
              <w:suppressAutoHyphens w:val="false"/>
              <w:jc w:val="center"/>
              <w:rPr>
                <w:rFonts w:ascii="Calibri" w:hAnsi="Calibri"/>
                <w:sz w:val="22"/>
                <w:szCs w:val="22"/>
              </w:rPr>
            </w:pPr>
            <w:r>
              <w:rPr>
                <w:rFonts w:ascii="Calibri" w:hAnsi="Calibri"/>
                <w:sz w:val="22"/>
                <w:szCs w:val="22"/>
              </w:rPr>
            </w:r>
          </w:p>
        </w:tc>
      </w:tr>
      <w:tr>
        <w:trPr>
          <w:trHeight w:val="285" w:hRule="atLeast"/>
        </w:trPr>
        <w:tc>
          <w:tcPr>
            <w:tcW w:w="10187" w:type="dxa"/>
            <w:gridSpan w:val="6"/>
            <w:tcBorders>
              <w:left w:val="single" w:sz="4" w:space="0" w:color="000000"/>
              <w:bottom w:val="single" w:sz="4" w:space="0" w:color="000000"/>
              <w:right w:val="single" w:sz="4" w:space="0" w:color="000000"/>
            </w:tcBorders>
            <w:vAlign w:val="center"/>
          </w:tcPr>
          <w:p>
            <w:pPr>
              <w:pStyle w:val="Normal"/>
              <w:widowControl/>
              <w:suppressAutoHyphens w:val="false"/>
              <w:jc w:val="center"/>
              <w:rPr>
                <w:rFonts w:ascii="Calibri" w:hAnsi="Calibri"/>
                <w:sz w:val="22"/>
                <w:szCs w:val="22"/>
              </w:rPr>
            </w:pPr>
            <w:r>
              <w:rPr>
                <w:rFonts w:cs="Calibri" w:ascii="Calibri" w:hAnsi="Calibri"/>
                <w:b/>
                <w:bCs/>
                <w:color w:val="000000"/>
                <w:sz w:val="22"/>
                <w:szCs w:val="22"/>
                <w:lang w:eastAsia="pt-BR"/>
              </w:rPr>
              <w:t>TOTAL: R$</w:t>
            </w:r>
          </w:p>
        </w:tc>
      </w:tr>
    </w:tbl>
    <w:p>
      <w:pPr>
        <w:pStyle w:val="Segundo"/>
        <w:numPr>
          <w:ilvl w:val="0"/>
          <w:numId w:val="0"/>
        </w:numPr>
        <w:ind w:hanging="0" w:left="0"/>
        <w:rPr>
          <w:rFonts w:ascii="Calibri" w:hAnsi="Calibri" w:cs="Calibri" w:cstheme="minorHAnsi"/>
          <w:b w:val="false"/>
          <w:bCs w:val="false"/>
          <w:sz w:val="22"/>
        </w:rPr>
      </w:pPr>
      <w:r>
        <w:rPr>
          <w:rFonts w:cs="Calibri" w:cstheme="minorHAnsi"/>
          <w:b w:val="false"/>
          <w:bCs w:val="false"/>
          <w:sz w:val="22"/>
        </w:rPr>
      </w:r>
    </w:p>
    <w:p>
      <w:pPr>
        <w:pStyle w:val="Segundo"/>
        <w:numPr>
          <w:ilvl w:val="1"/>
          <w:numId w:val="3"/>
        </w:numPr>
        <w:ind w:hanging="0" w:left="0"/>
        <w:rPr>
          <w:rFonts w:ascii="Calibri" w:hAnsi="Calibri" w:cs="Calibri" w:cstheme="minorHAnsi"/>
          <w:b w:val="false"/>
          <w:bCs w:val="false"/>
          <w:sz w:val="22"/>
        </w:rPr>
      </w:pPr>
      <w:r>
        <w:rPr/>
        <w:t>Os materiais e ferramentas elétricas deverão atender às especificações técnicas constantes da planilha de itens, observando padrões mínimos de qualidade, desempenho, segurança e durabilidade compatíveis com a finalidade da contratação.</w:t>
      </w:r>
    </w:p>
    <w:p>
      <w:pPr>
        <w:pStyle w:val="Terceiro"/>
        <w:numPr>
          <w:ilvl w:val="0"/>
          <w:numId w:val="0"/>
        </w:numPr>
        <w:bidi w:val="0"/>
        <w:spacing w:before="0" w:after="0"/>
        <w:ind w:hanging="0" w:left="646"/>
        <w:rPr/>
      </w:pPr>
      <w:r>
        <w:rPr/>
      </w:r>
    </w:p>
    <w:p>
      <w:pPr>
        <w:pStyle w:val="Primeiro"/>
        <w:numPr>
          <w:ilvl w:val="0"/>
          <w:numId w:val="3"/>
        </w:numPr>
        <w:rPr>
          <w:rFonts w:ascii="Calibri" w:hAnsi="Calibri"/>
          <w:sz w:val="22"/>
          <w:szCs w:val="22"/>
        </w:rPr>
      </w:pPr>
      <w:r>
        <w:rPr>
          <w:sz w:val="22"/>
          <w:szCs w:val="22"/>
        </w:rPr>
        <w:t>DA VIGÊNCIA.</w:t>
      </w:r>
    </w:p>
    <w:p>
      <w:pPr>
        <w:pStyle w:val="Corpo"/>
        <w:ind w:hanging="0" w:left="0"/>
        <w:rPr>
          <w:rFonts w:ascii="Calibri" w:hAnsi="Calibri"/>
          <w:sz w:val="22"/>
          <w:szCs w:val="22"/>
        </w:rPr>
      </w:pPr>
      <w:r>
        <w:rPr>
          <w:sz w:val="22"/>
          <w:szCs w:val="22"/>
        </w:rPr>
      </w:r>
    </w:p>
    <w:p>
      <w:pPr>
        <w:pStyle w:val="Segundo"/>
        <w:numPr>
          <w:ilvl w:val="1"/>
          <w:numId w:val="3"/>
        </w:numPr>
        <w:ind w:hanging="0" w:left="0"/>
        <w:rPr>
          <w:rFonts w:ascii="Calibri" w:hAnsi="Calibri"/>
          <w:sz w:val="22"/>
          <w:szCs w:val="22"/>
        </w:rPr>
      </w:pPr>
      <w:r>
        <w:rPr>
          <w:sz w:val="22"/>
          <w:szCs w:val="22"/>
        </w:rPr>
        <w:t xml:space="preserve">O </w:t>
      </w:r>
      <w:r>
        <w:rPr>
          <w:rFonts w:cs="Calibri" w:cstheme="minorHAnsi"/>
          <w:sz w:val="22"/>
          <w:szCs w:val="22"/>
        </w:rPr>
        <w:t>prazo de vigência da ATA DE REGISTRO DE PREÇOS será de 12 (doze) meses, a partir de sua assinatura, podendo ser prorrogado por igual período, nos termos do art. 84 da Lei Federal nº 14.133/2021.</w:t>
      </w:r>
    </w:p>
    <w:p>
      <w:pPr>
        <w:pStyle w:val="Segundo"/>
        <w:numPr>
          <w:ilvl w:val="0"/>
          <w:numId w:val="0"/>
        </w:numPr>
        <w:ind w:hanging="0" w:left="0"/>
        <w:rPr>
          <w:rFonts w:ascii="Calibri" w:hAnsi="Calibri" w:cs="Calibri" w:asciiTheme="minorHAnsi" w:cstheme="minorHAnsi" w:hAnsiTheme="minorHAnsi"/>
          <w:sz w:val="22"/>
          <w:szCs w:val="22"/>
        </w:rPr>
      </w:pPr>
      <w:r>
        <w:rPr>
          <w:rFonts w:cs="Calibri" w:cstheme="minorHAnsi"/>
          <w:sz w:val="22"/>
          <w:szCs w:val="22"/>
        </w:rPr>
      </w:r>
    </w:p>
    <w:p>
      <w:pPr>
        <w:pStyle w:val="Terceiro"/>
        <w:numPr>
          <w:ilvl w:val="2"/>
          <w:numId w:val="3"/>
        </w:numPr>
        <w:bidi w:val="0"/>
        <w:spacing w:before="0" w:after="0"/>
        <w:rPr>
          <w:rFonts w:ascii="Calibri" w:hAnsi="Calibri"/>
          <w:sz w:val="22"/>
          <w:szCs w:val="22"/>
        </w:rPr>
      </w:pPr>
      <w:r>
        <w:rPr>
          <w:sz w:val="22"/>
          <w:szCs w:val="22"/>
        </w:rPr>
        <w:t xml:space="preserve">Em caso de </w:t>
      </w:r>
      <w:r>
        <w:rPr>
          <w:color w:val="auto"/>
          <w:kern w:val="0"/>
          <w:sz w:val="22"/>
          <w:szCs w:val="22"/>
          <w:lang w:val="pt-BR" w:eastAsia="en-US" w:bidi="ar-SA"/>
        </w:rPr>
        <w:t>prorrogação</w:t>
      </w:r>
      <w:r>
        <w:rPr>
          <w:sz w:val="22"/>
          <w:szCs w:val="22"/>
        </w:rPr>
        <w:t xml:space="preserve"> da Ata de Registro de Preços, os quantitativos inicialmente previstos poderão ser renovad</w:t>
      </w:r>
      <w:r>
        <w:rPr>
          <w:b w:val="false"/>
          <w:bCs w:val="false"/>
          <w:sz w:val="22"/>
          <w:szCs w:val="22"/>
        </w:rPr>
        <w:t xml:space="preserve">os </w:t>
      </w:r>
      <w:r>
        <w:rPr>
          <w:b w:val="false"/>
          <w:bCs w:val="false"/>
          <w:i w:val="false"/>
          <w:strike w:val="false"/>
          <w:dstrike w:val="false"/>
          <w:color w:val="000000"/>
          <w:kern w:val="0"/>
          <w:sz w:val="22"/>
          <w:szCs w:val="22"/>
          <w:lang w:val="pt-BR" w:eastAsia="en-US" w:bidi="ar-SA"/>
        </w:rPr>
        <w:t>integralmente</w:t>
      </w:r>
      <w:r>
        <w:rPr>
          <w:b w:val="false"/>
          <w:bCs w:val="false"/>
          <w:sz w:val="22"/>
          <w:szCs w:val="22"/>
        </w:rPr>
        <w:t>, observadas as nece</w:t>
      </w:r>
      <w:r>
        <w:rPr>
          <w:sz w:val="22"/>
          <w:szCs w:val="22"/>
        </w:rPr>
        <w:t>ssidades da Administração Municipal, mediante justificativa e formalização em instrumento próprio</w:t>
      </w:r>
      <w:r>
        <w:rPr>
          <w:rFonts w:cs="Calibri" w:cstheme="minorHAnsi"/>
          <w:sz w:val="22"/>
          <w:szCs w:val="22"/>
        </w:rPr>
        <w:t>.</w:t>
      </w:r>
    </w:p>
    <w:p>
      <w:pPr>
        <w:pStyle w:val="Terceiro"/>
        <w:numPr>
          <w:ilvl w:val="0"/>
          <w:numId w:val="0"/>
        </w:numPr>
        <w:bidi w:val="0"/>
        <w:spacing w:before="0" w:after="0"/>
        <w:ind w:hanging="0" w:left="284"/>
        <w:rPr>
          <w:rFonts w:ascii="Calibri" w:hAnsi="Calibri" w:cs="Calibri" w:cstheme="minorHAnsi"/>
          <w:sz w:val="22"/>
          <w:szCs w:val="22"/>
        </w:rPr>
      </w:pPr>
      <w:r>
        <w:rPr>
          <w:rFonts w:cs="Calibri" w:cstheme="minorHAnsi"/>
          <w:sz w:val="22"/>
          <w:szCs w:val="22"/>
        </w:rPr>
      </w:r>
    </w:p>
    <w:p>
      <w:pPr>
        <w:pStyle w:val="Segundo"/>
        <w:numPr>
          <w:ilvl w:val="1"/>
          <w:numId w:val="3"/>
        </w:numPr>
        <w:ind w:hanging="0" w:left="0"/>
        <w:rPr>
          <w:rFonts w:ascii="Calibri" w:hAnsi="Calibri"/>
          <w:sz w:val="22"/>
          <w:szCs w:val="22"/>
        </w:rPr>
      </w:pPr>
      <w:r>
        <w:rPr>
          <w:sz w:val="22"/>
          <w:szCs w:val="22"/>
        </w:rPr>
        <w:t>A presente Ata de Registro de Preços é regida pela Lei Federal nº 14.133/2021, pelo Decreto Municipal nº 3.243/2024 e demais normas aplicáveis ao Sistema de Registro de Preços.</w:t>
      </w:r>
    </w:p>
    <w:p>
      <w:pPr>
        <w:pStyle w:val="Segundo"/>
        <w:numPr>
          <w:ilvl w:val="0"/>
          <w:numId w:val="0"/>
        </w:numPr>
        <w:ind w:hanging="0" w:left="0"/>
        <w:rPr>
          <w:rFonts w:ascii="Calibri" w:hAnsi="Calibri"/>
          <w:sz w:val="22"/>
          <w:szCs w:val="22"/>
        </w:rPr>
      </w:pPr>
      <w:r>
        <w:rPr>
          <w:sz w:val="22"/>
          <w:szCs w:val="22"/>
        </w:rPr>
      </w:r>
    </w:p>
    <w:p>
      <w:pPr>
        <w:pStyle w:val="Primeiro"/>
        <w:numPr>
          <w:ilvl w:val="0"/>
          <w:numId w:val="3"/>
        </w:numPr>
        <w:rPr>
          <w:rFonts w:ascii="Calibri" w:hAnsi="Calibri"/>
          <w:sz w:val="22"/>
          <w:szCs w:val="22"/>
        </w:rPr>
      </w:pPr>
      <w:r>
        <w:rPr>
          <w:sz w:val="22"/>
          <w:szCs w:val="22"/>
        </w:rPr>
        <w:t>DOS REQUISITOS, LOCAL E PRAZO DE ENTREGA.</w:t>
      </w:r>
    </w:p>
    <w:p>
      <w:pPr>
        <w:pStyle w:val="Corpo"/>
        <w:ind w:hanging="0" w:left="0"/>
        <w:rPr>
          <w:rFonts w:ascii="Calibri" w:hAnsi="Calibri"/>
          <w:sz w:val="22"/>
          <w:szCs w:val="22"/>
        </w:rPr>
      </w:pPr>
      <w:r>
        <w:rPr>
          <w:sz w:val="22"/>
          <w:szCs w:val="22"/>
        </w:rPr>
      </w:r>
    </w:p>
    <w:p>
      <w:pPr>
        <w:pStyle w:val="Segundo"/>
        <w:numPr>
          <w:ilvl w:val="1"/>
          <w:numId w:val="3"/>
        </w:numPr>
        <w:ind w:hanging="0" w:left="0"/>
        <w:rPr>
          <w:rFonts w:ascii="Calibri" w:hAnsi="Calibri" w:eastAsia="Calibri" w:cs="Calibri"/>
          <w:color w:val="000000"/>
          <w:sz w:val="22"/>
          <w:szCs w:val="22"/>
        </w:rPr>
      </w:pPr>
      <w:r>
        <w:rPr>
          <w:rFonts w:eastAsia="Calibri" w:cs="Calibri"/>
          <w:color w:val="000000"/>
          <w:sz w:val="22"/>
          <w:szCs w:val="22"/>
        </w:rPr>
        <w:t>Os materiais e ferramentas elétricas deverão ser fornecidos em estrita conformidade com as especificações, quantidades e exigências estabelecidas no Termo de Referência, no Edital e em seus anexos, observando as normas técnicas aplicáveis e os padrões mínimos de qualidade exigidos.</w:t>
      </w:r>
    </w:p>
    <w:p>
      <w:pPr>
        <w:pStyle w:val="Segundo"/>
        <w:numPr>
          <w:ilvl w:val="0"/>
          <w:numId w:val="0"/>
        </w:numPr>
        <w:ind w:hanging="0" w:left="0"/>
        <w:rPr>
          <w:rFonts w:ascii="Calibri" w:hAnsi="Calibri" w:eastAsia="Calibri" w:cs="Calibri"/>
          <w:color w:val="000000"/>
          <w:sz w:val="22"/>
          <w:szCs w:val="22"/>
        </w:rPr>
      </w:pPr>
      <w:r>
        <w:rPr>
          <w:rFonts w:eastAsia="Calibri" w:cs="Calibri"/>
          <w:color w:val="000000"/>
          <w:sz w:val="22"/>
          <w:szCs w:val="22"/>
        </w:rPr>
      </w:r>
    </w:p>
    <w:p>
      <w:pPr>
        <w:pStyle w:val="Segundo"/>
        <w:numPr>
          <w:ilvl w:val="1"/>
          <w:numId w:val="3"/>
        </w:numPr>
        <w:ind w:hanging="0" w:left="0"/>
        <w:rPr>
          <w:rFonts w:ascii="Calibri" w:hAnsi="Calibri" w:eastAsia="Calibri" w:cs="Calibri"/>
          <w:color w:val="000000"/>
          <w:sz w:val="22"/>
          <w:szCs w:val="22"/>
        </w:rPr>
      </w:pPr>
      <w:r>
        <w:rPr>
          <w:rFonts w:eastAsia="Calibri" w:cs="Calibri"/>
          <w:color w:val="000000"/>
          <w:sz w:val="22"/>
          <w:szCs w:val="22"/>
        </w:rPr>
        <w:t>Todos os produtos fornecidos deverão ser novos, sem uso, em perfeito estado de conservação e funcionamento, devidamente acondicionados e, quando aplicável, entregues em suas embalagens originais de fábrica.</w:t>
      </w:r>
    </w:p>
    <w:p>
      <w:pPr>
        <w:pStyle w:val="Segundo"/>
        <w:numPr>
          <w:ilvl w:val="0"/>
          <w:numId w:val="0"/>
        </w:numPr>
        <w:ind w:hanging="0" w:left="0"/>
        <w:rPr>
          <w:rFonts w:ascii="Calibri" w:hAnsi="Calibri" w:eastAsia="Calibri" w:cs="Calibri"/>
          <w:color w:val="000000"/>
          <w:sz w:val="22"/>
          <w:szCs w:val="22"/>
        </w:rPr>
      </w:pPr>
      <w:r>
        <w:rPr>
          <w:rFonts w:eastAsia="Calibri" w:cs="Calibri"/>
          <w:color w:val="000000"/>
          <w:sz w:val="22"/>
          <w:szCs w:val="22"/>
        </w:rPr>
      </w:r>
    </w:p>
    <w:p>
      <w:pPr>
        <w:pStyle w:val="Segundo"/>
        <w:numPr>
          <w:ilvl w:val="1"/>
          <w:numId w:val="3"/>
        </w:numPr>
        <w:ind w:hanging="0" w:left="0"/>
        <w:rPr>
          <w:rFonts w:ascii="Calibri" w:hAnsi="Calibri" w:eastAsia="Calibri" w:cs="Calibri"/>
          <w:color w:val="000000"/>
          <w:sz w:val="22"/>
          <w:szCs w:val="22"/>
        </w:rPr>
      </w:pPr>
      <w:r>
        <w:rPr/>
        <w:t xml:space="preserve">Os materiais e ferramentas elétricas deverão observar, quando aplicável, as normas técnicas da ABNT, NBR, NR-10, certificações compulsórias do INMETRO e demais regulamentações pertinentes ao objeto, bem como as exigências das concessionárias de energia elétrica competentes. </w:t>
      </w:r>
    </w:p>
    <w:p>
      <w:pPr>
        <w:pStyle w:val="Segundo"/>
        <w:numPr>
          <w:ilvl w:val="0"/>
          <w:numId w:val="0"/>
        </w:numPr>
        <w:ind w:hanging="0" w:left="0"/>
        <w:rPr>
          <w:rFonts w:ascii="Calibri" w:hAnsi="Calibri" w:eastAsia="Calibri" w:cs="Calibri"/>
          <w:color w:val="000000"/>
          <w:sz w:val="22"/>
          <w:szCs w:val="22"/>
        </w:rPr>
      </w:pPr>
      <w:r>
        <w:rPr>
          <w:rFonts w:eastAsia="Calibri" w:cs="Calibri"/>
          <w:color w:val="000000"/>
          <w:sz w:val="22"/>
          <w:szCs w:val="22"/>
        </w:rPr>
      </w:r>
    </w:p>
    <w:p>
      <w:pPr>
        <w:pStyle w:val="Segundo"/>
        <w:numPr>
          <w:ilvl w:val="1"/>
          <w:numId w:val="3"/>
        </w:numPr>
        <w:ind w:hanging="0" w:left="0"/>
        <w:rPr>
          <w:rFonts w:ascii="Calibri" w:hAnsi="Calibri" w:eastAsia="Calibri" w:cs="Calibri"/>
          <w:color w:val="000000"/>
          <w:sz w:val="22"/>
          <w:szCs w:val="22"/>
        </w:rPr>
      </w:pPr>
      <w:r>
        <w:rPr>
          <w:rFonts w:eastAsia="Calibri" w:cs="Calibri"/>
          <w:color w:val="000000"/>
          <w:sz w:val="22"/>
          <w:szCs w:val="22"/>
        </w:rPr>
        <w:t>O fornecimento ocorrerá de forma parcelada, conforme a necessidade da Administração Municipal, mediante emissão de Autorização de Fornecimento, empenho ou documento equivalente.</w:t>
      </w:r>
    </w:p>
    <w:p>
      <w:pPr>
        <w:pStyle w:val="Segundo"/>
        <w:numPr>
          <w:ilvl w:val="0"/>
          <w:numId w:val="0"/>
        </w:numPr>
        <w:ind w:hanging="0" w:left="0"/>
        <w:rPr>
          <w:rFonts w:ascii="Calibri" w:hAnsi="Calibri" w:eastAsia="Calibri" w:cs="Calibri"/>
          <w:color w:val="000000"/>
          <w:sz w:val="22"/>
          <w:szCs w:val="22"/>
        </w:rPr>
      </w:pPr>
      <w:r>
        <w:rPr>
          <w:rFonts w:eastAsia="Calibri" w:cs="Calibri"/>
          <w:color w:val="000000"/>
          <w:sz w:val="22"/>
          <w:szCs w:val="22"/>
        </w:rPr>
      </w:r>
    </w:p>
    <w:p>
      <w:pPr>
        <w:pStyle w:val="Segundo"/>
        <w:numPr>
          <w:ilvl w:val="1"/>
          <w:numId w:val="3"/>
        </w:numPr>
        <w:ind w:hanging="0" w:left="0"/>
        <w:rPr>
          <w:rFonts w:ascii="Calibri" w:hAnsi="Calibri" w:eastAsia="Calibri" w:cs="Calibri"/>
          <w:color w:val="000000"/>
          <w:sz w:val="22"/>
          <w:szCs w:val="22"/>
        </w:rPr>
      </w:pPr>
      <w:r>
        <w:rPr>
          <w:rFonts w:eastAsia="Calibri" w:cs="Calibri"/>
          <w:color w:val="000000"/>
          <w:sz w:val="22"/>
          <w:szCs w:val="22"/>
        </w:rPr>
        <w:t xml:space="preserve">O prazo para entrega dos materiais será de até </w:t>
      </w:r>
      <w:r>
        <w:rPr>
          <w:rFonts w:eastAsia="Calibri" w:cs="Calibri"/>
          <w:color w:val="000000"/>
          <w:sz w:val="22"/>
          <w:szCs w:val="22"/>
        </w:rPr>
        <w:t>7 (sete)</w:t>
      </w:r>
      <w:r>
        <w:rPr>
          <w:rFonts w:eastAsia="Calibri" w:cs="Calibri"/>
          <w:color w:val="000000"/>
          <w:sz w:val="22"/>
          <w:szCs w:val="22"/>
        </w:rPr>
        <w:t xml:space="preserve"> dias úteis, contados do recebimento da Autorização de Fornecimento pela detentora da Ata de Registro de Preços.</w:t>
      </w:r>
    </w:p>
    <w:p>
      <w:pPr>
        <w:pStyle w:val="Segundo"/>
        <w:numPr>
          <w:ilvl w:val="0"/>
          <w:numId w:val="0"/>
        </w:numPr>
        <w:ind w:hanging="0" w:left="0"/>
        <w:rPr>
          <w:rFonts w:ascii="Calibri" w:hAnsi="Calibri" w:eastAsia="Calibri" w:cs="Calibri"/>
          <w:color w:val="000000"/>
          <w:sz w:val="22"/>
          <w:szCs w:val="22"/>
        </w:rPr>
      </w:pPr>
      <w:r>
        <w:rPr>
          <w:rFonts w:eastAsia="Calibri" w:cs="Calibri"/>
          <w:color w:val="000000"/>
          <w:sz w:val="22"/>
          <w:szCs w:val="22"/>
        </w:rPr>
      </w:r>
    </w:p>
    <w:p>
      <w:pPr>
        <w:pStyle w:val="Terceiro"/>
        <w:numPr>
          <w:ilvl w:val="2"/>
          <w:numId w:val="3"/>
        </w:numPr>
        <w:bidi w:val="0"/>
        <w:spacing w:before="0" w:after="0"/>
        <w:rPr/>
      </w:pPr>
      <w:r>
        <w:rPr/>
        <w:t xml:space="preserve">Em situações </w:t>
      </w:r>
      <w:r>
        <w:rPr>
          <w:color w:val="auto"/>
          <w:kern w:val="0"/>
          <w:sz w:val="22"/>
          <w:szCs w:val="22"/>
          <w:lang w:val="pt-BR" w:eastAsia="en-US" w:bidi="ar-SA"/>
        </w:rPr>
        <w:t>excepcionais</w:t>
      </w:r>
      <w:r>
        <w:rPr/>
        <w:t xml:space="preserve"> e devidamente justificadas pela Administração, poderá ser solicitado fornecimento em car</w:t>
      </w:r>
      <w:r>
        <w:rPr>
          <w:b w:val="false"/>
          <w:bCs w:val="false"/>
        </w:rPr>
        <w:t xml:space="preserve">áter </w:t>
      </w:r>
      <w:r>
        <w:rPr>
          <w:b w:val="false"/>
          <w:bCs w:val="false"/>
          <w:i w:val="false"/>
          <w:strike w:val="false"/>
          <w:dstrike w:val="false"/>
          <w:color w:val="000000"/>
          <w:kern w:val="0"/>
          <w:sz w:val="22"/>
          <w:szCs w:val="22"/>
          <w:lang w:val="pt-BR" w:eastAsia="en-US" w:bidi="ar-SA"/>
        </w:rPr>
        <w:t>emergencial</w:t>
      </w:r>
      <w:r>
        <w:rPr>
          <w:b w:val="false"/>
          <w:bCs w:val="false"/>
        </w:rPr>
        <w:t>, deven</w:t>
      </w:r>
      <w:r>
        <w:rPr/>
        <w:t xml:space="preserve">do </w:t>
      </w:r>
      <w:r>
        <w:rPr>
          <w:rFonts w:eastAsia="Calibri" w:cs="Calibri"/>
          <w:color w:val="000000"/>
          <w:sz w:val="22"/>
          <w:szCs w:val="22"/>
        </w:rPr>
        <w:t>a detentora da Ata de Registro de Preços</w:t>
      </w:r>
      <w:r>
        <w:rPr/>
        <w:t xml:space="preserve"> atender ao prazo definido na solicitação específica. </w:t>
      </w:r>
    </w:p>
    <w:p>
      <w:pPr>
        <w:pStyle w:val="Segundo"/>
        <w:numPr>
          <w:ilvl w:val="0"/>
          <w:numId w:val="0"/>
        </w:numPr>
        <w:ind w:hanging="0" w:left="0"/>
        <w:rPr>
          <w:rFonts w:ascii="Calibri" w:hAnsi="Calibri" w:eastAsia="Calibri" w:cs="Calibri"/>
          <w:color w:val="000000"/>
          <w:sz w:val="22"/>
          <w:szCs w:val="22"/>
        </w:rPr>
      </w:pPr>
      <w:r>
        <w:rPr>
          <w:rFonts w:eastAsia="Calibri" w:cs="Calibri"/>
          <w:color w:val="000000"/>
          <w:sz w:val="22"/>
          <w:szCs w:val="22"/>
        </w:rPr>
      </w:r>
    </w:p>
    <w:p>
      <w:pPr>
        <w:pStyle w:val="Segundo"/>
        <w:numPr>
          <w:ilvl w:val="1"/>
          <w:numId w:val="3"/>
        </w:numPr>
        <w:ind w:hanging="0" w:left="0"/>
        <w:rPr>
          <w:rFonts w:ascii="Calibri" w:hAnsi="Calibri" w:eastAsia="Calibri" w:cs="Calibri"/>
          <w:color w:val="000000"/>
          <w:sz w:val="22"/>
          <w:szCs w:val="22"/>
        </w:rPr>
      </w:pPr>
      <w:r>
        <w:rPr>
          <w:rFonts w:eastAsia="Calibri" w:cs="Calibri"/>
          <w:color w:val="000000"/>
          <w:sz w:val="22"/>
          <w:szCs w:val="22"/>
        </w:rPr>
        <w:t>As entregas deverão ser realizadas junto à Secretaria de Obras, Transportes e Serviços Urbanos do Município de Botuverá, anexa à Prefeitura Municipal, localizada na Rua João Morelli, nº 66, Centro, Botuverá/SC, durante o horário de expediente da Administração Municipal.</w:t>
      </w:r>
    </w:p>
    <w:p>
      <w:pPr>
        <w:pStyle w:val="Segundo"/>
        <w:numPr>
          <w:ilvl w:val="0"/>
          <w:numId w:val="0"/>
        </w:numPr>
        <w:ind w:hanging="0" w:left="0"/>
        <w:rPr>
          <w:rFonts w:ascii="Calibri" w:hAnsi="Calibri" w:eastAsia="Calibri" w:cs="Calibri"/>
          <w:color w:val="000000"/>
          <w:sz w:val="22"/>
          <w:szCs w:val="22"/>
        </w:rPr>
      </w:pPr>
      <w:r>
        <w:rPr>
          <w:rFonts w:eastAsia="Calibri" w:cs="Calibri"/>
          <w:color w:val="000000"/>
          <w:sz w:val="22"/>
          <w:szCs w:val="22"/>
        </w:rPr>
      </w:r>
    </w:p>
    <w:p>
      <w:pPr>
        <w:pStyle w:val="Segundo"/>
        <w:numPr>
          <w:ilvl w:val="1"/>
          <w:numId w:val="3"/>
        </w:numPr>
        <w:ind w:hanging="0" w:left="0"/>
        <w:rPr>
          <w:rFonts w:ascii="Calibri" w:hAnsi="Calibri" w:eastAsia="Calibri" w:cs="Calibri"/>
          <w:color w:val="000000"/>
          <w:sz w:val="22"/>
          <w:szCs w:val="22"/>
        </w:rPr>
      </w:pPr>
      <w:r>
        <w:rPr>
          <w:rFonts w:eastAsia="Calibri" w:cs="Calibri"/>
          <w:color w:val="000000"/>
          <w:sz w:val="22"/>
          <w:szCs w:val="22"/>
        </w:rPr>
        <w:t>O recebimento dos materiais ocorrerá provisoriamente no ato da entrega, para fins de conferência quantitativa e qualitativa, e, definitivamente, após a verificação da conformidade dos produtos com as especificações exigidas, mediante atesto da fiscalização do contrato.</w:t>
      </w:r>
    </w:p>
    <w:p>
      <w:pPr>
        <w:pStyle w:val="Segundo"/>
        <w:numPr>
          <w:ilvl w:val="0"/>
          <w:numId w:val="0"/>
        </w:numPr>
        <w:ind w:hanging="0" w:left="0"/>
        <w:rPr>
          <w:rFonts w:ascii="Calibri" w:hAnsi="Calibri" w:eastAsia="Calibri" w:cs="Calibri"/>
          <w:color w:val="000000"/>
          <w:sz w:val="22"/>
          <w:szCs w:val="22"/>
        </w:rPr>
      </w:pPr>
      <w:r>
        <w:rPr>
          <w:rFonts w:eastAsia="Calibri" w:cs="Calibri"/>
          <w:color w:val="000000"/>
          <w:sz w:val="22"/>
          <w:szCs w:val="22"/>
        </w:rPr>
      </w:r>
    </w:p>
    <w:p>
      <w:pPr>
        <w:pStyle w:val="Segundo"/>
        <w:numPr>
          <w:ilvl w:val="1"/>
          <w:numId w:val="3"/>
        </w:numPr>
        <w:ind w:hanging="0" w:left="0"/>
        <w:rPr>
          <w:rFonts w:ascii="Calibri" w:hAnsi="Calibri" w:eastAsia="Calibri" w:cs="Calibri"/>
          <w:color w:val="000000"/>
          <w:sz w:val="22"/>
          <w:szCs w:val="22"/>
        </w:rPr>
      </w:pPr>
      <w:r>
        <w:rPr>
          <w:rFonts w:eastAsia="Calibri" w:cs="Calibri"/>
          <w:color w:val="000000"/>
          <w:sz w:val="22"/>
          <w:szCs w:val="22"/>
        </w:rPr>
        <w:t>Os materiais que apresentarem defeitos, avarias, incompatibilidade com as especificações exigidas ou quaisquer irregularidades deverão ser substituídos pelo licitante vencedor, às suas expensas, no prazo máximo de 48 (quarenta e oito) horas, contadas do recebimento da comunicação formal expedida pela Administração Municipal.</w:t>
      </w:r>
    </w:p>
    <w:p>
      <w:pPr>
        <w:pStyle w:val="Segundo"/>
        <w:numPr>
          <w:ilvl w:val="0"/>
          <w:numId w:val="0"/>
        </w:numPr>
        <w:ind w:hanging="0" w:left="0"/>
        <w:rPr>
          <w:rFonts w:ascii="Calibri" w:hAnsi="Calibri"/>
          <w:sz w:val="22"/>
          <w:szCs w:val="22"/>
        </w:rPr>
      </w:pPr>
      <w:r>
        <w:rPr>
          <w:sz w:val="22"/>
          <w:szCs w:val="22"/>
        </w:rPr>
      </w:r>
    </w:p>
    <w:p>
      <w:pPr>
        <w:pStyle w:val="Primeiro"/>
        <w:numPr>
          <w:ilvl w:val="0"/>
          <w:numId w:val="3"/>
        </w:numPr>
        <w:rPr>
          <w:rFonts w:ascii="Calibri" w:hAnsi="Calibri"/>
          <w:sz w:val="22"/>
          <w:szCs w:val="22"/>
        </w:rPr>
      </w:pPr>
      <w:r>
        <w:rPr>
          <w:rFonts w:cs="Calibri" w:cstheme="minorHAnsi"/>
          <w:sz w:val="22"/>
          <w:szCs w:val="22"/>
        </w:rPr>
        <w:t>DAS OBRIGAÇÕES.</w:t>
      </w:r>
    </w:p>
    <w:p>
      <w:pPr>
        <w:pStyle w:val="Segundo"/>
        <w:numPr>
          <w:ilvl w:val="0"/>
          <w:numId w:val="0"/>
        </w:numPr>
        <w:ind w:hanging="0" w:left="0"/>
        <w:rPr>
          <w:rFonts w:ascii="Calibri" w:hAnsi="Calibri" w:cs="Calibri" w:asciiTheme="minorHAnsi" w:cstheme="minorHAnsi" w:hAnsiTheme="minorHAnsi"/>
          <w:sz w:val="22"/>
          <w:szCs w:val="22"/>
        </w:rPr>
      </w:pPr>
      <w:r>
        <w:rPr>
          <w:rFonts w:cs="Calibri" w:cstheme="minorHAnsi"/>
          <w:sz w:val="22"/>
          <w:szCs w:val="22"/>
        </w:rPr>
      </w:r>
    </w:p>
    <w:p>
      <w:pPr>
        <w:pStyle w:val="Segundo"/>
        <w:numPr>
          <w:ilvl w:val="1"/>
          <w:numId w:val="3"/>
        </w:numPr>
        <w:ind w:hanging="0" w:left="0"/>
        <w:rPr>
          <w:rFonts w:ascii="Calibri" w:hAnsi="Calibri"/>
          <w:sz w:val="22"/>
          <w:szCs w:val="22"/>
        </w:rPr>
      </w:pPr>
      <w:r>
        <w:rPr>
          <w:rFonts w:cs="Calibri" w:cstheme="minorHAnsi"/>
          <w:b/>
          <w:bCs/>
          <w:sz w:val="22"/>
          <w:szCs w:val="22"/>
        </w:rPr>
        <w:t>OBRIGAÇÃO DAS PARTES:</w:t>
      </w:r>
    </w:p>
    <w:p>
      <w:pPr>
        <w:pStyle w:val="ListParagraph"/>
        <w:rPr>
          <w:rFonts w:ascii="Calibri" w:hAnsi="Calibri" w:cs="Calibri" w:asciiTheme="minorHAnsi" w:cstheme="minorHAnsi" w:hAnsiTheme="minorHAnsi"/>
          <w:b/>
          <w:bCs/>
          <w:sz w:val="22"/>
          <w:szCs w:val="22"/>
        </w:rPr>
      </w:pPr>
      <w:r>
        <w:rPr>
          <w:rFonts w:cs="Calibri" w:cstheme="minorHAnsi" w:ascii="Calibri" w:hAnsi="Calibri"/>
          <w:b/>
          <w:bCs/>
          <w:sz w:val="22"/>
          <w:szCs w:val="22"/>
        </w:rPr>
      </w:r>
    </w:p>
    <w:p>
      <w:pPr>
        <w:pStyle w:val="Terceiro"/>
        <w:numPr>
          <w:ilvl w:val="2"/>
          <w:numId w:val="3"/>
        </w:numPr>
        <w:ind w:hanging="0" w:left="284"/>
        <w:rPr>
          <w:rFonts w:ascii="Calibri" w:hAnsi="Calibri"/>
          <w:sz w:val="22"/>
          <w:szCs w:val="22"/>
        </w:rPr>
      </w:pPr>
      <w:r>
        <w:rPr>
          <w:rFonts w:cs="Calibri" w:cstheme="minorHAnsi"/>
          <w:sz w:val="22"/>
          <w:szCs w:val="22"/>
        </w:rPr>
        <w:t>Das obrigações da Administração:</w:t>
      </w:r>
    </w:p>
    <w:p>
      <w:pPr>
        <w:pStyle w:val="Terceiro"/>
        <w:numPr>
          <w:ilvl w:val="0"/>
          <w:numId w:val="0"/>
        </w:numPr>
        <w:ind w:hanging="0" w:left="284"/>
        <w:rPr>
          <w:rFonts w:ascii="Calibri" w:hAnsi="Calibri" w:cs="Calibri" w:asciiTheme="minorHAnsi" w:cstheme="minorHAnsi" w:hAnsiTheme="minorHAnsi"/>
          <w:sz w:val="22"/>
          <w:szCs w:val="22"/>
        </w:rPr>
      </w:pPr>
      <w:r>
        <w:rPr>
          <w:rFonts w:cs="Calibri" w:cstheme="minorHAnsi"/>
          <w:sz w:val="22"/>
          <w:szCs w:val="22"/>
        </w:rPr>
      </w:r>
    </w:p>
    <w:p>
      <w:pPr>
        <w:pStyle w:val="Quarto"/>
        <w:numPr>
          <w:ilvl w:val="3"/>
          <w:numId w:val="3"/>
        </w:numPr>
        <w:ind w:hanging="0" w:left="567"/>
        <w:rPr>
          <w:rFonts w:ascii="Calibri" w:hAnsi="Calibri"/>
          <w:sz w:val="22"/>
          <w:szCs w:val="22"/>
        </w:rPr>
      </w:pPr>
      <w:r>
        <w:rPr>
          <w:rFonts w:cs="Calibri" w:cstheme="minorHAnsi"/>
          <w:sz w:val="22"/>
          <w:szCs w:val="22"/>
        </w:rPr>
        <w:t>Assegurar os recursos orçamentários e financeiros para custear o fornecimento do objeto contratado.</w:t>
      </w:r>
    </w:p>
    <w:p>
      <w:pPr>
        <w:pStyle w:val="Quarto"/>
        <w:numPr>
          <w:ilvl w:val="0"/>
          <w:numId w:val="0"/>
        </w:numPr>
        <w:ind w:hanging="0" w:left="567"/>
        <w:rPr>
          <w:rFonts w:ascii="Calibri" w:hAnsi="Calibri" w:cs="Calibri" w:asciiTheme="minorHAnsi" w:cstheme="minorHAnsi" w:hAnsiTheme="minorHAnsi"/>
          <w:sz w:val="22"/>
          <w:szCs w:val="22"/>
        </w:rPr>
      </w:pPr>
      <w:r>
        <w:rPr>
          <w:rFonts w:cs="Calibri" w:cstheme="minorHAnsi"/>
          <w:sz w:val="22"/>
          <w:szCs w:val="22"/>
        </w:rPr>
      </w:r>
    </w:p>
    <w:p>
      <w:pPr>
        <w:pStyle w:val="Quarto"/>
        <w:numPr>
          <w:ilvl w:val="3"/>
          <w:numId w:val="3"/>
        </w:numPr>
        <w:ind w:hanging="0" w:left="567"/>
        <w:rPr>
          <w:rFonts w:ascii="Calibri" w:hAnsi="Calibri"/>
          <w:sz w:val="22"/>
          <w:szCs w:val="22"/>
        </w:rPr>
      </w:pPr>
      <w:r>
        <w:rPr>
          <w:rFonts w:cs="Calibri" w:cstheme="minorHAnsi"/>
          <w:sz w:val="22"/>
          <w:szCs w:val="22"/>
        </w:rPr>
        <w:t xml:space="preserve">Zelar para que durante a vigência da ARP – Ata de Registro de Preço sejam cumpridas as obrigações assumidas com </w:t>
      </w:r>
      <w:r>
        <w:rPr>
          <w:rFonts w:eastAsia="Calibri" w:cs="Calibri"/>
          <w:color w:val="000000"/>
          <w:sz w:val="22"/>
          <w:szCs w:val="22"/>
        </w:rPr>
        <w:t>a detentora da Ata de Registro de Preços</w:t>
      </w:r>
      <w:r>
        <w:rPr>
          <w:rFonts w:cs="Calibri" w:cstheme="minorHAnsi"/>
          <w:sz w:val="22"/>
          <w:szCs w:val="22"/>
        </w:rPr>
        <w:t>, bem como sejam mantidas todas as condições de habilitação e qualificação exigidas na prestação.</w:t>
      </w:r>
    </w:p>
    <w:p>
      <w:pPr>
        <w:pStyle w:val="ListParagraph"/>
        <w:rPr>
          <w:rFonts w:ascii="Calibri" w:hAnsi="Calibri" w:cs="Calibri" w:asciiTheme="minorHAnsi" w:cstheme="minorHAnsi" w:hAnsiTheme="minorHAnsi"/>
          <w:sz w:val="22"/>
          <w:szCs w:val="22"/>
        </w:rPr>
      </w:pPr>
      <w:r>
        <w:rPr>
          <w:rFonts w:cs="Calibri" w:cstheme="minorHAnsi" w:ascii="Calibri" w:hAnsi="Calibri"/>
          <w:sz w:val="22"/>
          <w:szCs w:val="22"/>
        </w:rPr>
      </w:r>
    </w:p>
    <w:p>
      <w:pPr>
        <w:pStyle w:val="Quarto"/>
        <w:numPr>
          <w:ilvl w:val="3"/>
          <w:numId w:val="3"/>
        </w:numPr>
        <w:ind w:hanging="0" w:left="567"/>
        <w:rPr>
          <w:rFonts w:ascii="Calibri" w:hAnsi="Calibri"/>
          <w:sz w:val="22"/>
          <w:szCs w:val="22"/>
        </w:rPr>
      </w:pPr>
      <w:r>
        <w:rPr>
          <w:rFonts w:cs="Calibri" w:cstheme="minorHAnsi"/>
          <w:sz w:val="22"/>
          <w:szCs w:val="22"/>
        </w:rPr>
        <w:t xml:space="preserve">Serão considerados para efeito de pagamento os materiais / </w:t>
      </w:r>
      <w:r>
        <w:rPr>
          <w:sz w:val="22"/>
          <w:szCs w:val="22"/>
        </w:rPr>
        <w:t>equipamentos</w:t>
      </w:r>
      <w:r>
        <w:rPr>
          <w:rFonts w:cs="Calibri" w:cstheme="minorHAnsi"/>
          <w:sz w:val="22"/>
          <w:szCs w:val="22"/>
        </w:rPr>
        <w:t xml:space="preserve"> efetivamente entregues pel</w:t>
      </w:r>
      <w:r>
        <w:rPr>
          <w:rFonts w:eastAsia="Calibri" w:cs="Calibri"/>
          <w:color w:val="000000"/>
          <w:sz w:val="22"/>
          <w:szCs w:val="22"/>
        </w:rPr>
        <w:t>a detentora da Ata de Registro de Preços</w:t>
      </w:r>
      <w:r>
        <w:rPr>
          <w:rFonts w:cs="Calibri" w:cstheme="minorHAnsi"/>
          <w:sz w:val="22"/>
          <w:szCs w:val="22"/>
        </w:rPr>
        <w:t xml:space="preserve"> desde que devidamente aprovados pelo fiscal de contrato responsável pelo recebimento.</w:t>
      </w:r>
    </w:p>
    <w:p>
      <w:pPr>
        <w:pStyle w:val="ListParagraph"/>
        <w:rPr>
          <w:rFonts w:ascii="Calibri" w:hAnsi="Calibri" w:cs="Calibri" w:asciiTheme="minorHAnsi" w:cstheme="minorHAnsi" w:hAnsiTheme="minorHAnsi"/>
          <w:sz w:val="22"/>
          <w:szCs w:val="22"/>
        </w:rPr>
      </w:pPr>
      <w:r>
        <w:rPr>
          <w:rFonts w:cs="Calibri" w:cstheme="minorHAnsi" w:ascii="Calibri" w:hAnsi="Calibri"/>
          <w:sz w:val="22"/>
          <w:szCs w:val="22"/>
        </w:rPr>
      </w:r>
    </w:p>
    <w:p>
      <w:pPr>
        <w:pStyle w:val="Quarto"/>
        <w:numPr>
          <w:ilvl w:val="3"/>
          <w:numId w:val="3"/>
        </w:numPr>
        <w:ind w:hanging="0" w:left="567"/>
        <w:rPr>
          <w:rFonts w:ascii="Calibri" w:hAnsi="Calibri"/>
          <w:sz w:val="22"/>
          <w:szCs w:val="22"/>
        </w:rPr>
      </w:pPr>
      <w:r>
        <w:rPr>
          <w:rFonts w:cs="Calibri" w:cstheme="minorHAnsi"/>
          <w:sz w:val="22"/>
          <w:szCs w:val="22"/>
        </w:rPr>
        <w:t>O órgão gerenciador acompanhará, periodicamente, os preços praticados no mercado para os itens registrados, para fins de controle no que se refere ao valor máximo a ser pago pela Administração.</w:t>
      </w:r>
    </w:p>
    <w:p>
      <w:pPr>
        <w:pStyle w:val="ListParagraph"/>
        <w:rPr>
          <w:rFonts w:ascii="Calibri" w:hAnsi="Calibri" w:cs="Calibri" w:asciiTheme="minorHAnsi" w:cstheme="minorHAnsi" w:hAnsiTheme="minorHAnsi"/>
          <w:sz w:val="22"/>
          <w:szCs w:val="22"/>
        </w:rPr>
      </w:pPr>
      <w:r>
        <w:rPr>
          <w:rFonts w:cs="Calibri" w:cstheme="minorHAnsi" w:ascii="Calibri" w:hAnsi="Calibri"/>
          <w:sz w:val="22"/>
          <w:szCs w:val="22"/>
        </w:rPr>
      </w:r>
    </w:p>
    <w:p>
      <w:pPr>
        <w:pStyle w:val="Quarto"/>
        <w:numPr>
          <w:ilvl w:val="3"/>
          <w:numId w:val="3"/>
        </w:numPr>
        <w:ind w:hanging="0" w:left="567"/>
        <w:rPr>
          <w:rFonts w:ascii="Calibri" w:hAnsi="Calibri" w:cs="Calibri" w:asciiTheme="minorHAnsi" w:cstheme="minorHAnsi" w:hAnsiTheme="minorHAnsi"/>
        </w:rPr>
      </w:pPr>
      <w:r>
        <w:rPr>
          <w:rFonts w:cs="Calibri" w:cstheme="minorHAnsi"/>
          <w:sz w:val="22"/>
          <w:szCs w:val="22"/>
        </w:rPr>
        <w:t>Prorrogar, mediante justificativa e formalização adequada, a vigência da Ata de Registro de Preços, observados os requisitos e limites previstos no art. 84 da Lei Federal nº 14.133/2021.</w:t>
      </w:r>
    </w:p>
    <w:p>
      <w:pPr>
        <w:pStyle w:val="ListParagraph"/>
        <w:rPr>
          <w:rFonts w:ascii="Calibri" w:hAnsi="Calibri" w:cs="Calibri" w:asciiTheme="minorHAnsi" w:cstheme="minorHAnsi" w:hAnsiTheme="minorHAnsi"/>
          <w:sz w:val="22"/>
          <w:szCs w:val="22"/>
        </w:rPr>
      </w:pPr>
      <w:r>
        <w:rPr>
          <w:rFonts w:cs="Calibri" w:cstheme="minorHAnsi" w:ascii="Calibri" w:hAnsi="Calibri"/>
          <w:sz w:val="22"/>
          <w:szCs w:val="22"/>
        </w:rPr>
      </w:r>
    </w:p>
    <w:p>
      <w:pPr>
        <w:pStyle w:val="Quarto"/>
        <w:numPr>
          <w:ilvl w:val="3"/>
          <w:numId w:val="3"/>
        </w:numPr>
        <w:ind w:hanging="0" w:left="567"/>
        <w:rPr>
          <w:rFonts w:ascii="Calibri" w:hAnsi="Calibri"/>
          <w:sz w:val="22"/>
          <w:szCs w:val="22"/>
        </w:rPr>
      </w:pPr>
      <w:r>
        <w:rPr>
          <w:rFonts w:cs="Calibri" w:cstheme="minorHAnsi"/>
          <w:sz w:val="22"/>
          <w:szCs w:val="22"/>
        </w:rPr>
        <w:t>Emitir a Ordem de Compra, ou documento equivalente, com todas as informações necessárias, tais como: endereço de entrega, servidor responsável pelo recebimento, entre outras.</w:t>
      </w:r>
    </w:p>
    <w:p>
      <w:pPr>
        <w:pStyle w:val="ListParagraph"/>
        <w:rPr>
          <w:rFonts w:ascii="Calibri" w:hAnsi="Calibri" w:cs="Calibri" w:asciiTheme="minorHAnsi" w:cstheme="minorHAnsi" w:hAnsiTheme="minorHAnsi"/>
          <w:sz w:val="22"/>
          <w:szCs w:val="22"/>
        </w:rPr>
      </w:pPr>
      <w:r>
        <w:rPr>
          <w:rFonts w:cs="Calibri" w:cstheme="minorHAnsi" w:ascii="Calibri" w:hAnsi="Calibri"/>
          <w:sz w:val="22"/>
          <w:szCs w:val="22"/>
        </w:rPr>
      </w:r>
    </w:p>
    <w:p>
      <w:pPr>
        <w:pStyle w:val="Quarto"/>
        <w:numPr>
          <w:ilvl w:val="3"/>
          <w:numId w:val="3"/>
        </w:numPr>
        <w:ind w:hanging="0" w:left="567"/>
        <w:rPr>
          <w:rFonts w:ascii="Calibri" w:hAnsi="Calibri"/>
          <w:sz w:val="22"/>
          <w:szCs w:val="22"/>
        </w:rPr>
      </w:pPr>
      <w:r>
        <w:rPr>
          <w:rFonts w:cs="Calibri" w:cstheme="minorHAnsi"/>
          <w:sz w:val="22"/>
          <w:szCs w:val="22"/>
        </w:rPr>
        <w:t>Proporcionar à detentora da Ata de Registro de Preços todas as condições para o cumprimento de suas obrigações e execução da ARP - Ata de Registro de Preço dentro das normas estabelecidas no Edital.</w:t>
      </w:r>
    </w:p>
    <w:p>
      <w:pPr>
        <w:pStyle w:val="ListParagraph"/>
        <w:rPr>
          <w:rFonts w:ascii="Calibri" w:hAnsi="Calibri" w:cs="Calibri" w:asciiTheme="minorHAnsi" w:cstheme="minorHAnsi" w:hAnsiTheme="minorHAnsi"/>
          <w:sz w:val="22"/>
          <w:szCs w:val="22"/>
        </w:rPr>
      </w:pPr>
      <w:r>
        <w:rPr>
          <w:rFonts w:cs="Calibri" w:cstheme="minorHAnsi" w:ascii="Calibri" w:hAnsi="Calibri"/>
          <w:sz w:val="22"/>
          <w:szCs w:val="22"/>
        </w:rPr>
      </w:r>
    </w:p>
    <w:p>
      <w:pPr>
        <w:pStyle w:val="Quarto"/>
        <w:numPr>
          <w:ilvl w:val="3"/>
          <w:numId w:val="3"/>
        </w:numPr>
        <w:ind w:hanging="0" w:left="567"/>
        <w:rPr>
          <w:rFonts w:ascii="Calibri" w:hAnsi="Calibri"/>
          <w:sz w:val="22"/>
          <w:szCs w:val="22"/>
        </w:rPr>
      </w:pPr>
      <w:r>
        <w:rPr>
          <w:rFonts w:cs="Calibri" w:cstheme="minorHAnsi"/>
          <w:sz w:val="22"/>
          <w:szCs w:val="22"/>
        </w:rPr>
        <w:t>Proceder à fiscalização da contratação, mediante controle do cumprimento de toda as obrigações relativas ao fornecimento.</w:t>
      </w:r>
    </w:p>
    <w:p>
      <w:pPr>
        <w:pStyle w:val="ListParagraph"/>
        <w:rPr>
          <w:rFonts w:ascii="Calibri" w:hAnsi="Calibri" w:cs="Calibri" w:asciiTheme="minorHAnsi" w:cstheme="minorHAnsi" w:hAnsiTheme="minorHAnsi"/>
          <w:sz w:val="22"/>
          <w:szCs w:val="22"/>
        </w:rPr>
      </w:pPr>
      <w:r>
        <w:rPr>
          <w:rFonts w:cs="Calibri" w:cstheme="minorHAnsi" w:ascii="Calibri" w:hAnsi="Calibri"/>
          <w:sz w:val="22"/>
          <w:szCs w:val="22"/>
        </w:rPr>
      </w:r>
    </w:p>
    <w:p>
      <w:pPr>
        <w:pStyle w:val="Quarto"/>
        <w:numPr>
          <w:ilvl w:val="3"/>
          <w:numId w:val="3"/>
        </w:numPr>
        <w:ind w:hanging="0" w:left="567"/>
        <w:rPr>
          <w:rFonts w:ascii="Calibri" w:hAnsi="Calibri"/>
          <w:sz w:val="22"/>
          <w:szCs w:val="22"/>
        </w:rPr>
      </w:pPr>
      <w:r>
        <w:rPr>
          <w:rFonts w:cs="Calibri" w:cstheme="minorHAnsi"/>
          <w:sz w:val="22"/>
          <w:szCs w:val="22"/>
        </w:rPr>
        <w:t>Rejeitar, no todo ou em parte, o objeto da contratação entregue em desacordo com as obrigações assumidas pelo detentor da ARP – Ata de Registro de Preços.</w:t>
      </w:r>
    </w:p>
    <w:p>
      <w:pPr>
        <w:pStyle w:val="ListParagraph"/>
        <w:rPr>
          <w:rFonts w:ascii="Calibri" w:hAnsi="Calibri" w:cs="Calibri" w:asciiTheme="minorHAnsi" w:cstheme="minorHAnsi" w:hAnsiTheme="minorHAnsi"/>
          <w:sz w:val="22"/>
          <w:szCs w:val="22"/>
        </w:rPr>
      </w:pPr>
      <w:r>
        <w:rPr>
          <w:rFonts w:cs="Calibri" w:cstheme="minorHAnsi" w:ascii="Calibri" w:hAnsi="Calibri"/>
          <w:sz w:val="22"/>
          <w:szCs w:val="22"/>
        </w:rPr>
      </w:r>
    </w:p>
    <w:p>
      <w:pPr>
        <w:pStyle w:val="Quarto"/>
        <w:numPr>
          <w:ilvl w:val="3"/>
          <w:numId w:val="3"/>
        </w:numPr>
        <w:ind w:hanging="0" w:left="567"/>
        <w:rPr>
          <w:rFonts w:ascii="Calibri" w:hAnsi="Calibri"/>
          <w:sz w:val="22"/>
          <w:szCs w:val="22"/>
        </w:rPr>
      </w:pPr>
      <w:r>
        <w:rPr>
          <w:rFonts w:cs="Calibri" w:cstheme="minorHAnsi"/>
          <w:sz w:val="22"/>
          <w:szCs w:val="22"/>
        </w:rPr>
        <w:t>Acompanhar, controlar e avaliar a execução da ARP – Ata de Registro de Preço através da fiscalização.</w:t>
      </w:r>
    </w:p>
    <w:p>
      <w:pPr>
        <w:pStyle w:val="ListParagraph"/>
        <w:rPr>
          <w:rFonts w:ascii="Calibri" w:hAnsi="Calibri" w:cs="Calibri" w:asciiTheme="minorHAnsi" w:cstheme="minorHAnsi" w:hAnsiTheme="minorHAnsi"/>
          <w:sz w:val="22"/>
          <w:szCs w:val="22"/>
        </w:rPr>
      </w:pPr>
      <w:r>
        <w:rPr>
          <w:rFonts w:cs="Calibri" w:cstheme="minorHAnsi" w:ascii="Calibri" w:hAnsi="Calibri"/>
          <w:sz w:val="22"/>
          <w:szCs w:val="22"/>
        </w:rPr>
      </w:r>
    </w:p>
    <w:p>
      <w:pPr>
        <w:pStyle w:val="Quarto"/>
        <w:numPr>
          <w:ilvl w:val="3"/>
          <w:numId w:val="3"/>
        </w:numPr>
        <w:ind w:hanging="0" w:left="567"/>
        <w:rPr>
          <w:rFonts w:ascii="Calibri" w:hAnsi="Calibri"/>
          <w:sz w:val="22"/>
          <w:szCs w:val="22"/>
        </w:rPr>
      </w:pPr>
      <w:r>
        <w:rPr>
          <w:rFonts w:cs="Calibri" w:cstheme="minorHAnsi"/>
          <w:sz w:val="22"/>
          <w:szCs w:val="22"/>
        </w:rPr>
        <w:t xml:space="preserve">Zelar pela entrega e segurança dos materiais / </w:t>
      </w:r>
      <w:r>
        <w:rPr>
          <w:sz w:val="22"/>
          <w:szCs w:val="22"/>
        </w:rPr>
        <w:t>equipamentos</w:t>
      </w:r>
      <w:r>
        <w:rPr>
          <w:rFonts w:cs="Calibri" w:cstheme="minorHAnsi"/>
          <w:sz w:val="22"/>
          <w:szCs w:val="22"/>
        </w:rPr>
        <w:t>, não permitindo seu manuseio por pessoas não habilitadas.</w:t>
      </w:r>
    </w:p>
    <w:p>
      <w:pPr>
        <w:pStyle w:val="ListParagraph"/>
        <w:rPr>
          <w:rFonts w:ascii="Calibri" w:hAnsi="Calibri" w:cs="Calibri" w:asciiTheme="minorHAnsi" w:cstheme="minorHAnsi" w:hAnsiTheme="minorHAnsi"/>
          <w:sz w:val="22"/>
          <w:szCs w:val="22"/>
        </w:rPr>
      </w:pPr>
      <w:r>
        <w:rPr>
          <w:rFonts w:cs="Calibri" w:cstheme="minorHAnsi" w:ascii="Calibri" w:hAnsi="Calibri"/>
          <w:sz w:val="22"/>
          <w:szCs w:val="22"/>
        </w:rPr>
      </w:r>
    </w:p>
    <w:p>
      <w:pPr>
        <w:pStyle w:val="Quarto"/>
        <w:numPr>
          <w:ilvl w:val="3"/>
          <w:numId w:val="3"/>
        </w:numPr>
        <w:ind w:hanging="0" w:left="567"/>
        <w:rPr>
          <w:rFonts w:ascii="Calibri" w:hAnsi="Calibri"/>
          <w:sz w:val="22"/>
          <w:szCs w:val="22"/>
        </w:rPr>
      </w:pPr>
      <w:r>
        <w:rPr>
          <w:rFonts w:cs="Calibri" w:cstheme="minorHAnsi"/>
          <w:sz w:val="22"/>
          <w:szCs w:val="22"/>
        </w:rPr>
        <w:t>Comprovar e relatar, por escrito, as eventuais irregularidades na entrega do objeto da contratação.</w:t>
      </w:r>
    </w:p>
    <w:p>
      <w:pPr>
        <w:pStyle w:val="ListParagraph"/>
        <w:rPr>
          <w:rFonts w:ascii="Calibri" w:hAnsi="Calibri" w:cs="Calibri" w:asciiTheme="minorHAnsi" w:cstheme="minorHAnsi" w:hAnsiTheme="minorHAnsi"/>
          <w:sz w:val="22"/>
          <w:szCs w:val="22"/>
        </w:rPr>
      </w:pPr>
      <w:r>
        <w:rPr>
          <w:rFonts w:cs="Calibri" w:cstheme="minorHAnsi" w:ascii="Calibri" w:hAnsi="Calibri"/>
          <w:sz w:val="22"/>
          <w:szCs w:val="22"/>
        </w:rPr>
      </w:r>
    </w:p>
    <w:p>
      <w:pPr>
        <w:pStyle w:val="Terceiro"/>
        <w:numPr>
          <w:ilvl w:val="2"/>
          <w:numId w:val="3"/>
        </w:numPr>
        <w:ind w:hanging="0" w:left="284"/>
        <w:rPr>
          <w:rFonts w:ascii="Calibri" w:hAnsi="Calibri"/>
          <w:sz w:val="22"/>
          <w:szCs w:val="22"/>
        </w:rPr>
      </w:pPr>
      <w:r>
        <w:rPr>
          <w:rFonts w:cs="Calibri" w:cstheme="minorHAnsi"/>
          <w:sz w:val="22"/>
          <w:szCs w:val="22"/>
        </w:rPr>
        <w:t>Das obrigações da detentora da ARP - Ata de Registro de Preços:</w:t>
      </w:r>
    </w:p>
    <w:p>
      <w:pPr>
        <w:pStyle w:val="Segundo"/>
        <w:numPr>
          <w:ilvl w:val="0"/>
          <w:numId w:val="0"/>
        </w:numPr>
        <w:ind w:hanging="0" w:left="0"/>
        <w:rPr>
          <w:rFonts w:ascii="Calibri" w:hAnsi="Calibri" w:cs="Calibri" w:asciiTheme="minorHAnsi" w:cstheme="minorHAnsi" w:hAnsiTheme="minorHAnsi"/>
          <w:sz w:val="22"/>
          <w:szCs w:val="22"/>
        </w:rPr>
      </w:pPr>
      <w:r>
        <w:rPr>
          <w:rFonts w:cs="Calibri" w:cstheme="minorHAnsi"/>
          <w:sz w:val="22"/>
          <w:szCs w:val="22"/>
        </w:rPr>
      </w:r>
    </w:p>
    <w:p>
      <w:pPr>
        <w:pStyle w:val="Quarto"/>
        <w:numPr>
          <w:ilvl w:val="3"/>
          <w:numId w:val="3"/>
        </w:numPr>
        <w:ind w:hanging="0" w:left="567"/>
        <w:rPr>
          <w:rFonts w:ascii="Calibri" w:hAnsi="Calibri"/>
          <w:sz w:val="22"/>
          <w:szCs w:val="22"/>
        </w:rPr>
      </w:pPr>
      <w:r>
        <w:rPr>
          <w:rFonts w:cs="Calibri" w:cstheme="minorHAnsi"/>
          <w:sz w:val="22"/>
          <w:szCs w:val="22"/>
        </w:rPr>
        <w:t>Manter, durante toda a execução da ARP – Ata de Registro de Preços, a compatibilidade com as obrigações assumidas e todas as condições de habilitação e qualificação exigidas no Edital e seus anexos.</w:t>
      </w:r>
    </w:p>
    <w:p>
      <w:pPr>
        <w:pStyle w:val="Terceiro"/>
        <w:numPr>
          <w:ilvl w:val="0"/>
          <w:numId w:val="0"/>
        </w:numPr>
        <w:ind w:hanging="0" w:left="0"/>
        <w:rPr>
          <w:rFonts w:ascii="Calibri" w:hAnsi="Calibri" w:cs="Calibri" w:asciiTheme="minorHAnsi" w:cstheme="minorHAnsi" w:hAnsiTheme="minorHAnsi"/>
          <w:sz w:val="22"/>
          <w:szCs w:val="22"/>
        </w:rPr>
      </w:pPr>
      <w:r>
        <w:rPr>
          <w:rFonts w:cs="Calibri" w:cstheme="minorHAnsi"/>
          <w:sz w:val="22"/>
          <w:szCs w:val="22"/>
        </w:rPr>
      </w:r>
    </w:p>
    <w:p>
      <w:pPr>
        <w:pStyle w:val="Quarto"/>
        <w:numPr>
          <w:ilvl w:val="3"/>
          <w:numId w:val="3"/>
        </w:numPr>
        <w:ind w:hanging="0" w:left="567"/>
        <w:rPr>
          <w:rFonts w:ascii="Calibri" w:hAnsi="Calibri"/>
          <w:sz w:val="22"/>
          <w:szCs w:val="22"/>
        </w:rPr>
      </w:pPr>
      <w:r>
        <w:rPr>
          <w:rFonts w:cs="Calibri" w:cstheme="minorHAnsi"/>
          <w:sz w:val="22"/>
          <w:szCs w:val="22"/>
        </w:rPr>
        <w:t>Entregar o objeto da contratação nos prazos estabelecidos, devidamente conferidos e acompanhados da nota fiscal corretamente preenchida.</w:t>
      </w:r>
    </w:p>
    <w:p>
      <w:pPr>
        <w:pStyle w:val="ListParagraph"/>
        <w:rPr>
          <w:rFonts w:ascii="Calibri" w:hAnsi="Calibri" w:cs="Calibri" w:asciiTheme="minorHAnsi" w:cstheme="minorHAnsi" w:hAnsiTheme="minorHAnsi"/>
          <w:sz w:val="22"/>
          <w:szCs w:val="22"/>
        </w:rPr>
      </w:pPr>
      <w:r>
        <w:rPr>
          <w:rFonts w:cs="Calibri" w:cstheme="minorHAnsi" w:ascii="Calibri" w:hAnsi="Calibri"/>
          <w:sz w:val="22"/>
          <w:szCs w:val="22"/>
        </w:rPr>
      </w:r>
    </w:p>
    <w:p>
      <w:pPr>
        <w:pStyle w:val="Quarto"/>
        <w:numPr>
          <w:ilvl w:val="3"/>
          <w:numId w:val="3"/>
        </w:numPr>
        <w:ind w:hanging="0" w:left="567"/>
        <w:rPr>
          <w:rFonts w:ascii="Calibri" w:hAnsi="Calibri"/>
          <w:sz w:val="22"/>
          <w:szCs w:val="22"/>
        </w:rPr>
      </w:pPr>
      <w:r>
        <w:rPr>
          <w:rFonts w:cs="Calibri" w:cstheme="minorHAnsi"/>
          <w:sz w:val="22"/>
          <w:szCs w:val="22"/>
        </w:rPr>
        <w:t>Demonstrar situação regular junto ao INSS, FGTS e Fazendas Federal, Estadual e Municipal, bem como não apresentar débitos trabalhistas.</w:t>
      </w:r>
    </w:p>
    <w:p>
      <w:pPr>
        <w:pStyle w:val="ListParagraph"/>
        <w:rPr>
          <w:rFonts w:ascii="Calibri" w:hAnsi="Calibri" w:cs="Calibri" w:asciiTheme="minorHAnsi" w:cstheme="minorHAnsi" w:hAnsiTheme="minorHAnsi"/>
          <w:sz w:val="22"/>
          <w:szCs w:val="22"/>
        </w:rPr>
      </w:pPr>
      <w:r>
        <w:rPr>
          <w:rFonts w:cs="Calibri" w:cstheme="minorHAnsi" w:ascii="Calibri" w:hAnsi="Calibri"/>
          <w:sz w:val="22"/>
          <w:szCs w:val="22"/>
        </w:rPr>
      </w:r>
    </w:p>
    <w:p>
      <w:pPr>
        <w:pStyle w:val="Quarto"/>
        <w:numPr>
          <w:ilvl w:val="3"/>
          <w:numId w:val="3"/>
        </w:numPr>
        <w:ind w:hanging="0" w:left="567"/>
        <w:rPr>
          <w:rFonts w:ascii="Calibri" w:hAnsi="Calibri"/>
          <w:sz w:val="22"/>
          <w:szCs w:val="22"/>
        </w:rPr>
      </w:pPr>
      <w:r>
        <w:rPr>
          <w:rFonts w:cs="Calibri" w:cstheme="minorHAnsi"/>
          <w:sz w:val="22"/>
          <w:szCs w:val="22"/>
        </w:rPr>
        <w:t>Comunicar ao fiscal da ARP – Ata de Registro de Preços, no prazo mínimo de 24 (vinte e quatro) horas que antecedem o prazo de vencimento da entrega, os motivos que venham a impossibilitar o seu cumprimento, com a devida comprovação.</w:t>
      </w:r>
    </w:p>
    <w:p>
      <w:pPr>
        <w:pStyle w:val="ListParagraph"/>
        <w:rPr>
          <w:rFonts w:ascii="Calibri" w:hAnsi="Calibri" w:cs="Calibri" w:asciiTheme="minorHAnsi" w:cstheme="minorHAnsi" w:hAnsiTheme="minorHAnsi"/>
          <w:sz w:val="22"/>
          <w:szCs w:val="22"/>
        </w:rPr>
      </w:pPr>
      <w:r>
        <w:rPr>
          <w:rFonts w:cs="Calibri" w:cstheme="minorHAnsi" w:ascii="Calibri" w:hAnsi="Calibri"/>
          <w:sz w:val="22"/>
          <w:szCs w:val="22"/>
        </w:rPr>
      </w:r>
    </w:p>
    <w:p>
      <w:pPr>
        <w:pStyle w:val="Quarto"/>
        <w:numPr>
          <w:ilvl w:val="3"/>
          <w:numId w:val="3"/>
        </w:numPr>
        <w:ind w:hanging="0" w:left="567"/>
        <w:rPr>
          <w:rFonts w:ascii="Calibri" w:hAnsi="Calibri"/>
          <w:sz w:val="22"/>
          <w:szCs w:val="22"/>
        </w:rPr>
      </w:pPr>
      <w:r>
        <w:rPr>
          <w:rFonts w:cs="Calibri" w:cstheme="minorHAnsi"/>
          <w:sz w:val="22"/>
          <w:szCs w:val="22"/>
        </w:rPr>
        <w:t>Assumir todos os encargos decorrentes da prestação do objeto, especialmente os referentes ao frete, taxas, seguros, encargos sociais e trabalhistas.</w:t>
      </w:r>
    </w:p>
    <w:p>
      <w:pPr>
        <w:pStyle w:val="ListParagraph"/>
        <w:rPr>
          <w:rFonts w:ascii="Calibri" w:hAnsi="Calibri" w:cs="Calibri" w:asciiTheme="minorHAnsi" w:cstheme="minorHAnsi" w:hAnsiTheme="minorHAnsi"/>
          <w:sz w:val="22"/>
          <w:szCs w:val="22"/>
        </w:rPr>
      </w:pPr>
      <w:r>
        <w:rPr>
          <w:rFonts w:cs="Calibri" w:cstheme="minorHAnsi" w:ascii="Calibri" w:hAnsi="Calibri"/>
          <w:sz w:val="22"/>
          <w:szCs w:val="22"/>
        </w:rPr>
      </w:r>
    </w:p>
    <w:p>
      <w:pPr>
        <w:pStyle w:val="Quarto"/>
        <w:numPr>
          <w:ilvl w:val="3"/>
          <w:numId w:val="3"/>
        </w:numPr>
        <w:ind w:hanging="0" w:left="567"/>
        <w:rPr>
          <w:rFonts w:ascii="Calibri" w:hAnsi="Calibri"/>
          <w:sz w:val="22"/>
          <w:szCs w:val="22"/>
        </w:rPr>
      </w:pPr>
      <w:r>
        <w:rPr>
          <w:rFonts w:cs="Calibri" w:cstheme="minorHAnsi"/>
          <w:sz w:val="22"/>
          <w:szCs w:val="22"/>
        </w:rPr>
        <w:t>A detentora da ARP - Ata de Registro de Preços deverá assumir integral responsabilidade pelos danos decorrentes deste fornecimento, inclusive perante terceiros.</w:t>
      </w:r>
    </w:p>
    <w:p>
      <w:pPr>
        <w:pStyle w:val="ListParagraph"/>
        <w:rPr>
          <w:rFonts w:ascii="Calibri" w:hAnsi="Calibri" w:cs="Calibri" w:asciiTheme="minorHAnsi" w:cstheme="minorHAnsi" w:hAnsiTheme="minorHAnsi"/>
          <w:sz w:val="22"/>
          <w:szCs w:val="22"/>
        </w:rPr>
      </w:pPr>
      <w:r>
        <w:rPr>
          <w:rFonts w:cs="Calibri" w:cstheme="minorHAnsi" w:ascii="Calibri" w:hAnsi="Calibri"/>
          <w:sz w:val="22"/>
          <w:szCs w:val="22"/>
        </w:rPr>
      </w:r>
    </w:p>
    <w:p>
      <w:pPr>
        <w:pStyle w:val="Quarto"/>
        <w:numPr>
          <w:ilvl w:val="3"/>
          <w:numId w:val="3"/>
        </w:numPr>
        <w:ind w:hanging="0" w:left="567"/>
        <w:rPr>
          <w:rFonts w:ascii="Calibri" w:hAnsi="Calibri"/>
          <w:sz w:val="22"/>
          <w:szCs w:val="22"/>
        </w:rPr>
      </w:pPr>
      <w:r>
        <w:rPr>
          <w:rFonts w:cs="Calibri" w:cstheme="minorHAnsi"/>
          <w:sz w:val="22"/>
          <w:szCs w:val="22"/>
        </w:rPr>
        <w:t>Comunicar, após assinatura da ARP – Ata de Registro de Preços, sempre que houver mudanças em seus meios de comunicação, tais como: e-mails e telefone, no intuito de possibilitar receber as notificações e comunicações da Administração.</w:t>
      </w:r>
    </w:p>
    <w:p>
      <w:pPr>
        <w:pStyle w:val="ListParagraph"/>
        <w:rPr>
          <w:rFonts w:ascii="Calibri" w:hAnsi="Calibri" w:cs="Calibri" w:asciiTheme="minorHAnsi" w:cstheme="minorHAnsi" w:hAnsiTheme="minorHAnsi"/>
          <w:sz w:val="22"/>
          <w:szCs w:val="22"/>
        </w:rPr>
      </w:pPr>
      <w:r>
        <w:rPr>
          <w:rFonts w:cs="Calibri" w:cstheme="minorHAnsi" w:ascii="Calibri" w:hAnsi="Calibri"/>
          <w:sz w:val="22"/>
          <w:szCs w:val="22"/>
        </w:rPr>
      </w:r>
    </w:p>
    <w:p>
      <w:pPr>
        <w:pStyle w:val="Quarto"/>
        <w:numPr>
          <w:ilvl w:val="3"/>
          <w:numId w:val="3"/>
        </w:numPr>
        <w:ind w:hanging="0" w:left="567"/>
        <w:rPr>
          <w:rFonts w:ascii="Calibri" w:hAnsi="Calibri"/>
          <w:sz w:val="22"/>
          <w:szCs w:val="22"/>
        </w:rPr>
      </w:pPr>
      <w:r>
        <w:rPr>
          <w:rFonts w:cs="Calibri" w:cstheme="minorHAnsi"/>
          <w:sz w:val="22"/>
          <w:szCs w:val="22"/>
        </w:rPr>
        <w:t>Responsabilizar-se pelos danos causados diretamente à Administração ou terceiros.</w:t>
      </w:r>
    </w:p>
    <w:p>
      <w:pPr>
        <w:pStyle w:val="ListParagraph"/>
        <w:rPr>
          <w:rFonts w:ascii="Calibri" w:hAnsi="Calibri" w:cs="Calibri" w:asciiTheme="minorHAnsi" w:cstheme="minorHAnsi" w:hAnsiTheme="minorHAnsi"/>
          <w:sz w:val="22"/>
          <w:szCs w:val="22"/>
        </w:rPr>
      </w:pPr>
      <w:r>
        <w:rPr>
          <w:rFonts w:cs="Calibri" w:cstheme="minorHAnsi" w:ascii="Calibri" w:hAnsi="Calibri"/>
          <w:sz w:val="22"/>
          <w:szCs w:val="22"/>
        </w:rPr>
      </w:r>
    </w:p>
    <w:p>
      <w:pPr>
        <w:pStyle w:val="Quarto"/>
        <w:numPr>
          <w:ilvl w:val="3"/>
          <w:numId w:val="3"/>
        </w:numPr>
        <w:ind w:hanging="0" w:left="567"/>
        <w:rPr>
          <w:rFonts w:ascii="Calibri" w:hAnsi="Calibri"/>
          <w:sz w:val="22"/>
          <w:szCs w:val="22"/>
        </w:rPr>
      </w:pPr>
      <w:r>
        <w:rPr>
          <w:rFonts w:cs="Calibri" w:cstheme="minorHAnsi"/>
          <w:sz w:val="22"/>
          <w:szCs w:val="22"/>
        </w:rPr>
        <w:t xml:space="preserve">Retirar e substituir materiais e ferramentas elétricas, sem ônus adicionais à Administração, após comunicado da mesma, no prazo máximo de 48 (quarenta e oito) horas, em relação àqueles que apresentarem defeitos, avarias, incompatibilidade com as especificações exigidas ou quaisquer irregularidades. </w:t>
      </w:r>
    </w:p>
    <w:p>
      <w:pPr>
        <w:pStyle w:val="ListParagraph"/>
        <w:rPr>
          <w:rFonts w:ascii="Calibri" w:hAnsi="Calibri" w:cs="Calibri" w:asciiTheme="minorHAnsi" w:cstheme="minorHAnsi" w:hAnsiTheme="minorHAnsi"/>
          <w:sz w:val="22"/>
          <w:szCs w:val="22"/>
        </w:rPr>
      </w:pPr>
      <w:r>
        <w:rPr>
          <w:rFonts w:cs="Calibri" w:cstheme="minorHAnsi" w:ascii="Calibri" w:hAnsi="Calibri"/>
          <w:sz w:val="22"/>
          <w:szCs w:val="22"/>
        </w:rPr>
      </w:r>
    </w:p>
    <w:p>
      <w:pPr>
        <w:pStyle w:val="Quarto"/>
        <w:numPr>
          <w:ilvl w:val="3"/>
          <w:numId w:val="3"/>
        </w:numPr>
        <w:ind w:hanging="0" w:left="567"/>
        <w:rPr>
          <w:rFonts w:ascii="Calibri" w:hAnsi="Calibri"/>
          <w:sz w:val="22"/>
          <w:szCs w:val="22"/>
        </w:rPr>
      </w:pPr>
      <w:r>
        <w:rPr>
          <w:rFonts w:cs="Calibri" w:cstheme="minorHAnsi"/>
          <w:sz w:val="22"/>
          <w:szCs w:val="22"/>
        </w:rPr>
        <w:t>Atender prontamente quaisquer exigências da Administração, inerentes ao objeto deste Termo de Referência.</w:t>
      </w:r>
    </w:p>
    <w:p>
      <w:pPr>
        <w:pStyle w:val="ListParagraph"/>
        <w:rPr>
          <w:rFonts w:ascii="Calibri" w:hAnsi="Calibri" w:cs="Calibri" w:asciiTheme="minorHAnsi" w:cstheme="minorHAnsi" w:hAnsiTheme="minorHAnsi"/>
          <w:sz w:val="22"/>
          <w:szCs w:val="22"/>
        </w:rPr>
      </w:pPr>
      <w:r>
        <w:rPr>
          <w:rFonts w:cs="Calibri" w:cstheme="minorHAnsi" w:ascii="Calibri" w:hAnsi="Calibri"/>
          <w:sz w:val="22"/>
          <w:szCs w:val="22"/>
        </w:rPr>
      </w:r>
    </w:p>
    <w:p>
      <w:pPr>
        <w:pStyle w:val="Quarto"/>
        <w:numPr>
          <w:ilvl w:val="3"/>
          <w:numId w:val="3"/>
        </w:numPr>
        <w:ind w:hanging="0" w:left="567"/>
        <w:rPr>
          <w:rFonts w:ascii="Calibri" w:hAnsi="Calibri"/>
          <w:sz w:val="22"/>
          <w:szCs w:val="22"/>
        </w:rPr>
      </w:pPr>
      <w:r>
        <w:rPr>
          <w:rFonts w:cs="Calibri" w:cstheme="minorHAnsi"/>
          <w:sz w:val="22"/>
          <w:szCs w:val="22"/>
        </w:rPr>
        <w:t>Manter, durante a vigência da ARP – Ata de Registro de Preços, todas as condições de habilitação e qualificação exigidas no Edital e seus anexos.</w:t>
      </w:r>
    </w:p>
    <w:p>
      <w:pPr>
        <w:pStyle w:val="ListParagraph"/>
        <w:rPr>
          <w:rFonts w:ascii="Calibri" w:hAnsi="Calibri" w:cs="Calibri" w:asciiTheme="minorHAnsi" w:cstheme="minorHAnsi" w:hAnsiTheme="minorHAnsi"/>
          <w:sz w:val="22"/>
          <w:szCs w:val="22"/>
        </w:rPr>
      </w:pPr>
      <w:r>
        <w:rPr>
          <w:rFonts w:cs="Calibri" w:cstheme="minorHAnsi" w:ascii="Calibri" w:hAnsi="Calibri"/>
          <w:sz w:val="22"/>
          <w:szCs w:val="22"/>
        </w:rPr>
      </w:r>
    </w:p>
    <w:p>
      <w:pPr>
        <w:pStyle w:val="Quarto"/>
        <w:numPr>
          <w:ilvl w:val="3"/>
          <w:numId w:val="3"/>
        </w:numPr>
        <w:ind w:hanging="0" w:left="567"/>
        <w:rPr>
          <w:rFonts w:ascii="Calibri" w:hAnsi="Calibri"/>
          <w:sz w:val="22"/>
          <w:szCs w:val="22"/>
        </w:rPr>
      </w:pPr>
      <w:r>
        <w:rPr>
          <w:rFonts w:cs="Calibri" w:cstheme="minorHAnsi"/>
          <w:sz w:val="22"/>
          <w:szCs w:val="22"/>
        </w:rPr>
        <w:t>Seguir rigorosamente o estabelecido no Edital e seus anexos.</w:t>
      </w:r>
    </w:p>
    <w:p>
      <w:pPr>
        <w:pStyle w:val="ListParagraph"/>
        <w:rPr>
          <w:rFonts w:ascii="Calibri" w:hAnsi="Calibri" w:cs="Calibri" w:asciiTheme="minorHAnsi" w:cstheme="minorHAnsi" w:hAnsiTheme="minorHAnsi"/>
          <w:sz w:val="22"/>
          <w:szCs w:val="22"/>
        </w:rPr>
      </w:pPr>
      <w:r>
        <w:rPr>
          <w:rFonts w:cs="Calibri" w:cstheme="minorHAnsi" w:ascii="Calibri" w:hAnsi="Calibri"/>
          <w:sz w:val="22"/>
          <w:szCs w:val="22"/>
        </w:rPr>
      </w:r>
    </w:p>
    <w:p>
      <w:pPr>
        <w:pStyle w:val="Segundo"/>
        <w:numPr>
          <w:ilvl w:val="1"/>
          <w:numId w:val="3"/>
        </w:numPr>
        <w:ind w:hanging="0" w:left="0"/>
        <w:rPr>
          <w:rFonts w:ascii="Calibri" w:hAnsi="Calibri"/>
          <w:sz w:val="22"/>
          <w:szCs w:val="22"/>
        </w:rPr>
      </w:pPr>
      <w:r>
        <w:rPr>
          <w:rFonts w:cs="Calibri" w:cstheme="minorHAnsi"/>
          <w:sz w:val="22"/>
          <w:szCs w:val="22"/>
        </w:rPr>
        <w:t>Garantia, manutenção e assistência técnica.</w:t>
      </w:r>
    </w:p>
    <w:p>
      <w:pPr>
        <w:pStyle w:val="Segundo"/>
        <w:numPr>
          <w:ilvl w:val="0"/>
          <w:numId w:val="0"/>
        </w:numPr>
        <w:ind w:hanging="0" w:left="0"/>
        <w:rPr>
          <w:rFonts w:ascii="Calibri" w:hAnsi="Calibri" w:cs="Calibri" w:asciiTheme="minorHAnsi" w:cstheme="minorHAnsi" w:hAnsiTheme="minorHAnsi"/>
          <w:sz w:val="22"/>
          <w:szCs w:val="22"/>
        </w:rPr>
      </w:pPr>
      <w:r>
        <w:rPr>
          <w:rFonts w:cs="Calibri" w:cstheme="minorHAnsi"/>
          <w:sz w:val="22"/>
          <w:szCs w:val="22"/>
        </w:rPr>
      </w:r>
    </w:p>
    <w:p>
      <w:pPr>
        <w:pStyle w:val="Terceiro"/>
        <w:numPr>
          <w:ilvl w:val="2"/>
          <w:numId w:val="3"/>
        </w:numPr>
        <w:ind w:hanging="0" w:left="284"/>
        <w:rPr>
          <w:rFonts w:ascii="Calibri" w:hAnsi="Calibri"/>
          <w:sz w:val="22"/>
          <w:szCs w:val="22"/>
        </w:rPr>
      </w:pPr>
      <w:r>
        <w:rPr>
          <w:rFonts w:cs="Calibri" w:cstheme="minorHAnsi"/>
          <w:sz w:val="22"/>
          <w:szCs w:val="22"/>
        </w:rPr>
        <w:t>O prazo de garantia do objeto entregue, quando aplicável, será de, no mínimo, 12 (doze) meses, contando a partir do primeiro dia útil subsequente à data de recebimento definitivo do objeto.</w:t>
      </w:r>
    </w:p>
    <w:p>
      <w:pPr>
        <w:pStyle w:val="Segundo"/>
        <w:numPr>
          <w:ilvl w:val="0"/>
          <w:numId w:val="0"/>
        </w:numPr>
        <w:ind w:hanging="0" w:left="0"/>
        <w:rPr>
          <w:rFonts w:ascii="Calibri" w:hAnsi="Calibri" w:cs="Calibri" w:asciiTheme="minorHAnsi" w:cstheme="minorHAnsi" w:hAnsiTheme="minorHAnsi"/>
          <w:sz w:val="22"/>
          <w:szCs w:val="22"/>
        </w:rPr>
      </w:pPr>
      <w:r>
        <w:rPr>
          <w:rFonts w:cs="Calibri" w:cstheme="minorHAnsi"/>
          <w:sz w:val="22"/>
          <w:szCs w:val="22"/>
        </w:rPr>
      </w:r>
    </w:p>
    <w:p>
      <w:pPr>
        <w:pStyle w:val="Quarto"/>
        <w:numPr>
          <w:ilvl w:val="3"/>
          <w:numId w:val="3"/>
        </w:numPr>
        <w:ind w:hanging="0" w:left="567"/>
        <w:rPr>
          <w:rFonts w:ascii="Calibri" w:hAnsi="Calibri"/>
          <w:sz w:val="22"/>
          <w:szCs w:val="22"/>
        </w:rPr>
      </w:pPr>
      <w:r>
        <w:rPr>
          <w:rFonts w:cs="Calibri" w:cstheme="minorHAnsi"/>
          <w:sz w:val="22"/>
          <w:szCs w:val="22"/>
        </w:rPr>
        <w:t>Caso o prazo de garantia oferecido pelo fabricante seja inferior ao estabelecido no Edital e seus anexos, o licitante vencedor deverá complementar a garantia do objeto ofertado pelo período restante.</w:t>
      </w:r>
    </w:p>
    <w:p>
      <w:pPr>
        <w:pStyle w:val="ListParagraph"/>
        <w:rPr>
          <w:rFonts w:ascii="Calibri" w:hAnsi="Calibri" w:cs="Calibri" w:asciiTheme="minorHAnsi" w:cstheme="minorHAnsi" w:hAnsiTheme="minorHAnsi"/>
          <w:sz w:val="22"/>
          <w:szCs w:val="22"/>
        </w:rPr>
      </w:pPr>
      <w:r>
        <w:rPr>
          <w:rFonts w:cs="Calibri" w:cstheme="minorHAnsi" w:ascii="Calibri" w:hAnsi="Calibri"/>
          <w:sz w:val="22"/>
          <w:szCs w:val="22"/>
        </w:rPr>
      </w:r>
    </w:p>
    <w:p>
      <w:pPr>
        <w:pStyle w:val="Terceiro"/>
        <w:numPr>
          <w:ilvl w:val="2"/>
          <w:numId w:val="3"/>
        </w:numPr>
        <w:ind w:hanging="0" w:left="284"/>
        <w:rPr>
          <w:rFonts w:ascii="Calibri" w:hAnsi="Calibri"/>
          <w:sz w:val="22"/>
          <w:szCs w:val="22"/>
        </w:rPr>
      </w:pPr>
      <w:r>
        <w:rPr>
          <w:rFonts w:cs="Calibri" w:cstheme="minorHAnsi"/>
          <w:sz w:val="22"/>
          <w:szCs w:val="22"/>
        </w:rPr>
        <w:t>A garantia será prestada com vistas a manter o objeto fornecido em perfeitas condições de uso, sem qualquer ônus ou custo adicional à Administração.</w:t>
      </w:r>
    </w:p>
    <w:p>
      <w:pPr>
        <w:pStyle w:val="Terceiro"/>
        <w:numPr>
          <w:ilvl w:val="0"/>
          <w:numId w:val="0"/>
        </w:numPr>
        <w:ind w:hanging="0" w:left="284"/>
        <w:rPr>
          <w:rFonts w:ascii="Calibri" w:hAnsi="Calibri" w:cs="Calibri" w:asciiTheme="minorHAnsi" w:cstheme="minorHAnsi" w:hAnsiTheme="minorHAnsi"/>
          <w:sz w:val="22"/>
          <w:szCs w:val="22"/>
        </w:rPr>
      </w:pPr>
      <w:r>
        <w:rPr>
          <w:rFonts w:cs="Calibri" w:cstheme="minorHAnsi"/>
          <w:sz w:val="22"/>
          <w:szCs w:val="22"/>
        </w:rPr>
      </w:r>
    </w:p>
    <w:p>
      <w:pPr>
        <w:pStyle w:val="Terceiro"/>
        <w:numPr>
          <w:ilvl w:val="2"/>
          <w:numId w:val="3"/>
        </w:numPr>
        <w:ind w:hanging="0" w:left="284"/>
        <w:rPr>
          <w:rFonts w:ascii="Calibri" w:hAnsi="Calibri"/>
          <w:sz w:val="22"/>
          <w:szCs w:val="22"/>
        </w:rPr>
      </w:pPr>
      <w:r>
        <w:rPr>
          <w:rFonts w:cs="Calibri" w:cstheme="minorHAnsi"/>
          <w:sz w:val="22"/>
          <w:szCs w:val="22"/>
        </w:rPr>
        <w:t>O objeto que apresentar vício ou defeito no período de vigência da garantia deverá ser substituído por outro novo, de primeiro uso, que apresentem padrões de qualidade e desempenho iguais ou superiores ao das peças utilizadas na fabricação do equipamento.</w:t>
      </w:r>
    </w:p>
    <w:p>
      <w:pPr>
        <w:pStyle w:val="ListParagraph"/>
        <w:rPr>
          <w:rFonts w:ascii="Calibri" w:hAnsi="Calibri" w:cs="Calibri" w:asciiTheme="minorHAnsi" w:cstheme="minorHAnsi" w:hAnsiTheme="minorHAnsi"/>
          <w:sz w:val="22"/>
          <w:szCs w:val="22"/>
        </w:rPr>
      </w:pPr>
      <w:r>
        <w:rPr>
          <w:rFonts w:cs="Calibri" w:cstheme="minorHAnsi" w:ascii="Calibri" w:hAnsi="Calibri"/>
          <w:sz w:val="22"/>
          <w:szCs w:val="22"/>
        </w:rPr>
      </w:r>
    </w:p>
    <w:p>
      <w:pPr>
        <w:pStyle w:val="Terceiro"/>
        <w:numPr>
          <w:ilvl w:val="2"/>
          <w:numId w:val="3"/>
        </w:numPr>
        <w:ind w:hanging="0" w:left="284"/>
        <w:rPr>
          <w:rFonts w:ascii="Calibri" w:hAnsi="Calibri"/>
          <w:sz w:val="22"/>
          <w:szCs w:val="22"/>
        </w:rPr>
      </w:pPr>
      <w:r>
        <w:rPr>
          <w:rFonts w:cs="Calibri" w:cstheme="minorHAnsi"/>
          <w:sz w:val="22"/>
          <w:szCs w:val="22"/>
        </w:rPr>
        <w:t xml:space="preserve">Uma vez notificado, a detentora da ARP - Ata de Registro de Preços realizará a substituição do objeto que apresentar vício ou defeito no prazo de até </w:t>
      </w:r>
      <w:r>
        <w:rPr>
          <w:rFonts w:eastAsia="Calibri" w:cs="Calibri"/>
          <w:color w:val="000000"/>
          <w:sz w:val="22"/>
          <w:szCs w:val="22"/>
        </w:rPr>
        <w:t xml:space="preserve"> 48 (quarenta e oito)</w:t>
      </w:r>
      <w:r>
        <w:rPr>
          <w:rFonts w:cs="Calibri" w:cstheme="minorHAnsi"/>
          <w:sz w:val="22"/>
          <w:szCs w:val="22"/>
        </w:rPr>
        <w:t xml:space="preserve"> horas, contados da data de notificação.</w:t>
      </w:r>
    </w:p>
    <w:p>
      <w:pPr>
        <w:pStyle w:val="ListParagraph"/>
        <w:rPr>
          <w:rFonts w:ascii="Calibri" w:hAnsi="Calibri" w:cs="Calibri" w:asciiTheme="minorHAnsi" w:cstheme="minorHAnsi" w:hAnsiTheme="minorHAnsi"/>
          <w:sz w:val="22"/>
          <w:szCs w:val="22"/>
        </w:rPr>
      </w:pPr>
      <w:r>
        <w:rPr>
          <w:rFonts w:cs="Calibri" w:cstheme="minorHAnsi" w:ascii="Calibri" w:hAnsi="Calibri"/>
          <w:sz w:val="22"/>
          <w:szCs w:val="22"/>
        </w:rPr>
      </w:r>
    </w:p>
    <w:p>
      <w:pPr>
        <w:pStyle w:val="Quarto"/>
        <w:numPr>
          <w:ilvl w:val="3"/>
          <w:numId w:val="3"/>
        </w:numPr>
        <w:ind w:hanging="0" w:left="567"/>
        <w:rPr>
          <w:rFonts w:ascii="Calibri" w:hAnsi="Calibri"/>
          <w:sz w:val="22"/>
          <w:szCs w:val="22"/>
        </w:rPr>
      </w:pPr>
      <w:r>
        <w:rPr>
          <w:rFonts w:cs="Calibri" w:cstheme="minorHAnsi"/>
          <w:sz w:val="22"/>
          <w:szCs w:val="22"/>
        </w:rPr>
        <w:t>O prazo indicado no subitem anterior, durante seu transcurso, poderá ser prorrogado uma única vez, por até igual período, mediante solicitação escrita e justificada do licitante vencedor, desde que aceita pela Administração.</w:t>
      </w:r>
    </w:p>
    <w:p>
      <w:pPr>
        <w:pStyle w:val="Segundo"/>
        <w:numPr>
          <w:ilvl w:val="0"/>
          <w:numId w:val="0"/>
        </w:numPr>
        <w:ind w:hanging="0" w:left="0"/>
        <w:rPr>
          <w:rFonts w:ascii="Calibri" w:hAnsi="Calibri" w:cs="Calibri" w:asciiTheme="minorHAnsi" w:cstheme="minorHAnsi" w:hAnsiTheme="minorHAnsi"/>
          <w:sz w:val="22"/>
          <w:szCs w:val="22"/>
        </w:rPr>
      </w:pPr>
      <w:r>
        <w:rPr>
          <w:rFonts w:cs="Calibri" w:cstheme="minorHAnsi"/>
          <w:sz w:val="22"/>
          <w:szCs w:val="22"/>
        </w:rPr>
      </w:r>
    </w:p>
    <w:p>
      <w:pPr>
        <w:pStyle w:val="Quarto"/>
        <w:numPr>
          <w:ilvl w:val="3"/>
          <w:numId w:val="3"/>
        </w:numPr>
        <w:ind w:hanging="0" w:left="567"/>
        <w:rPr>
          <w:rFonts w:ascii="Calibri" w:hAnsi="Calibri"/>
          <w:sz w:val="22"/>
          <w:szCs w:val="22"/>
        </w:rPr>
      </w:pPr>
      <w:r>
        <w:rPr>
          <w:rFonts w:cs="Calibri" w:cstheme="minorHAnsi"/>
          <w:sz w:val="22"/>
          <w:szCs w:val="22"/>
        </w:rPr>
        <w:t>O custo referente ao transporte/frete do objeto a ser trocado será de responsabilidade do licitante vencedor.</w:t>
      </w:r>
    </w:p>
    <w:p>
      <w:pPr>
        <w:pStyle w:val="ListParagraph"/>
        <w:rPr>
          <w:rFonts w:ascii="Calibri" w:hAnsi="Calibri" w:cs="Calibri" w:asciiTheme="minorHAnsi" w:cstheme="minorHAnsi" w:hAnsiTheme="minorHAnsi"/>
          <w:sz w:val="22"/>
          <w:szCs w:val="22"/>
        </w:rPr>
      </w:pPr>
      <w:r>
        <w:rPr>
          <w:rFonts w:cs="Calibri" w:cstheme="minorHAnsi" w:ascii="Calibri" w:hAnsi="Calibri"/>
          <w:sz w:val="22"/>
          <w:szCs w:val="22"/>
        </w:rPr>
      </w:r>
    </w:p>
    <w:p>
      <w:pPr>
        <w:pStyle w:val="Terceiro"/>
        <w:numPr>
          <w:ilvl w:val="2"/>
          <w:numId w:val="3"/>
        </w:numPr>
        <w:ind w:hanging="0" w:left="284"/>
        <w:rPr>
          <w:rFonts w:ascii="Calibri" w:hAnsi="Calibri"/>
          <w:sz w:val="22"/>
          <w:szCs w:val="22"/>
        </w:rPr>
      </w:pPr>
      <w:r>
        <w:rPr>
          <w:rFonts w:cs="Calibri" w:cstheme="minorHAnsi"/>
          <w:sz w:val="22"/>
          <w:szCs w:val="22"/>
        </w:rPr>
        <w:t>A garantia legal ou contatual do objeto tem prazo de vigência própria e desvinculado daquele fixado na ARP – Ata de Registro de Preços, permitindo eventual aplicação de penalidades em caso de descumprimento de alguma de suas condições, mesmo depois de expirada a vigência contratual.</w:t>
      </w:r>
    </w:p>
    <w:p>
      <w:pPr>
        <w:pStyle w:val="Terceiro"/>
        <w:numPr>
          <w:ilvl w:val="0"/>
          <w:numId w:val="0"/>
        </w:numPr>
        <w:ind w:hanging="0" w:left="284"/>
        <w:rPr>
          <w:rFonts w:ascii="Calibri" w:hAnsi="Calibri" w:cs="Calibri" w:asciiTheme="minorHAnsi" w:cstheme="minorHAnsi" w:hAnsiTheme="minorHAnsi"/>
          <w:sz w:val="22"/>
          <w:szCs w:val="22"/>
        </w:rPr>
      </w:pPr>
      <w:r>
        <w:rPr>
          <w:rFonts w:cs="Calibri" w:cstheme="minorHAnsi"/>
          <w:sz w:val="22"/>
          <w:szCs w:val="22"/>
        </w:rPr>
      </w:r>
    </w:p>
    <w:p>
      <w:pPr>
        <w:pStyle w:val="Primeiro"/>
        <w:numPr>
          <w:ilvl w:val="0"/>
          <w:numId w:val="3"/>
        </w:numPr>
        <w:rPr>
          <w:rFonts w:ascii="Calibri" w:hAnsi="Calibri"/>
          <w:sz w:val="22"/>
          <w:szCs w:val="22"/>
        </w:rPr>
      </w:pPr>
      <w:r>
        <w:rPr>
          <w:rFonts w:cs="Calibri" w:cstheme="minorHAnsi"/>
          <w:sz w:val="22"/>
          <w:szCs w:val="22"/>
        </w:rPr>
        <w:t>DOS CRITÉRIOS DE RECEBIMENTO E DE PAGAMENTO.</w:t>
      </w:r>
    </w:p>
    <w:p>
      <w:pPr>
        <w:pStyle w:val="Prembulo"/>
        <w:rPr>
          <w:rFonts w:ascii="Calibri" w:hAnsi="Calibri" w:cs="Calibri" w:asciiTheme="minorHAnsi" w:cstheme="minorHAnsi" w:hAnsiTheme="minorHAnsi"/>
          <w:sz w:val="22"/>
          <w:szCs w:val="22"/>
        </w:rPr>
      </w:pPr>
      <w:r>
        <w:rPr>
          <w:rFonts w:cs="Calibri" w:cstheme="minorHAnsi"/>
          <w:sz w:val="22"/>
          <w:szCs w:val="22"/>
        </w:rPr>
      </w:r>
    </w:p>
    <w:p>
      <w:pPr>
        <w:pStyle w:val="Segundo"/>
        <w:numPr>
          <w:ilvl w:val="1"/>
          <w:numId w:val="3"/>
        </w:numPr>
        <w:ind w:hanging="0" w:left="0"/>
        <w:rPr>
          <w:rFonts w:ascii="Calibri" w:hAnsi="Calibri"/>
          <w:sz w:val="22"/>
          <w:szCs w:val="22"/>
        </w:rPr>
      </w:pPr>
      <w:r>
        <w:rPr>
          <w:rFonts w:cs="Calibri" w:cstheme="minorHAnsi"/>
          <w:b/>
          <w:bCs/>
          <w:sz w:val="22"/>
          <w:szCs w:val="22"/>
        </w:rPr>
        <w:t>Recebimento do Objeto:</w:t>
      </w:r>
    </w:p>
    <w:p>
      <w:pPr>
        <w:pStyle w:val="Segundo"/>
        <w:numPr>
          <w:ilvl w:val="0"/>
          <w:numId w:val="0"/>
        </w:numPr>
        <w:ind w:hanging="0" w:left="0"/>
        <w:rPr>
          <w:rFonts w:ascii="Calibri" w:hAnsi="Calibri" w:cs="Calibri" w:asciiTheme="minorHAnsi" w:cstheme="minorHAnsi" w:hAnsiTheme="minorHAnsi"/>
          <w:sz w:val="22"/>
          <w:szCs w:val="22"/>
        </w:rPr>
      </w:pPr>
      <w:r>
        <w:rPr>
          <w:rFonts w:cs="Calibri" w:cstheme="minorHAnsi"/>
          <w:sz w:val="22"/>
          <w:szCs w:val="22"/>
        </w:rPr>
      </w:r>
    </w:p>
    <w:p>
      <w:pPr>
        <w:pStyle w:val="Terceiro"/>
        <w:numPr>
          <w:ilvl w:val="2"/>
          <w:numId w:val="3"/>
        </w:numPr>
        <w:ind w:hanging="0" w:left="284"/>
        <w:rPr>
          <w:rFonts w:ascii="Calibri" w:hAnsi="Calibri"/>
          <w:sz w:val="22"/>
          <w:szCs w:val="22"/>
        </w:rPr>
      </w:pPr>
      <w:r>
        <w:rPr>
          <w:rFonts w:cs="Calibri" w:cstheme="minorHAnsi"/>
          <w:sz w:val="22"/>
          <w:szCs w:val="22"/>
        </w:rPr>
        <w:t>O objeto de contatação será recebido provisoriamente, de forma sumária, no ato da entrega, juntamente com a nota fiscal ou instrumento de cobrança equivalente, pelo responsável pelo acompanhamento e fiscalização da ARP – Ata de Registro de Preços, para efeito de posterior verificação de sua conformidade com as especificações constantes no Edital e seus anexos.</w:t>
      </w:r>
    </w:p>
    <w:p>
      <w:pPr>
        <w:pStyle w:val="Segundo"/>
        <w:numPr>
          <w:ilvl w:val="0"/>
          <w:numId w:val="0"/>
        </w:numPr>
        <w:ind w:hanging="0" w:left="0"/>
        <w:rPr>
          <w:rFonts w:ascii="Calibri" w:hAnsi="Calibri" w:cs="Calibri" w:asciiTheme="minorHAnsi" w:cstheme="minorHAnsi" w:hAnsiTheme="minorHAnsi"/>
          <w:sz w:val="22"/>
          <w:szCs w:val="22"/>
        </w:rPr>
      </w:pPr>
      <w:r>
        <w:rPr>
          <w:rFonts w:cs="Calibri" w:cstheme="minorHAnsi"/>
          <w:sz w:val="22"/>
          <w:szCs w:val="22"/>
        </w:rPr>
      </w:r>
    </w:p>
    <w:p>
      <w:pPr>
        <w:pStyle w:val="Terceiro"/>
        <w:numPr>
          <w:ilvl w:val="2"/>
          <w:numId w:val="3"/>
        </w:numPr>
        <w:ind w:hanging="0" w:left="284"/>
        <w:rPr>
          <w:rFonts w:ascii="Calibri" w:hAnsi="Calibri"/>
          <w:sz w:val="22"/>
          <w:szCs w:val="22"/>
        </w:rPr>
      </w:pPr>
      <w:r>
        <w:rPr>
          <w:rFonts w:cs="Calibri" w:cstheme="minorHAnsi"/>
          <w:sz w:val="22"/>
          <w:szCs w:val="22"/>
        </w:rPr>
        <w:t xml:space="preserve">O objeto de contratação poderá ser rejeitado, no todo ou em parte, inclusive antes do recebimento provisório, quando em desacordo com as especificações constantes no Edital e seus anexos, devendo ser substituído, no prazo de </w:t>
      </w:r>
      <w:r>
        <w:rPr>
          <w:rFonts w:eastAsia="Calibri" w:cs="Calibri"/>
          <w:color w:val="000000"/>
          <w:sz w:val="22"/>
          <w:szCs w:val="22"/>
        </w:rPr>
        <w:t>48 (quarenta e oito)</w:t>
      </w:r>
      <w:r>
        <w:rPr>
          <w:rFonts w:cs="Calibri" w:cstheme="minorHAnsi"/>
          <w:sz w:val="22"/>
          <w:szCs w:val="22"/>
        </w:rPr>
        <w:t xml:space="preserve"> horas, a contar da notificação da detentora da ARP - Ata de Registro de Preços, correndo às suas custas todas as despesas, sem prejuízo da aplicação das penalidades.</w:t>
      </w:r>
    </w:p>
    <w:p>
      <w:pPr>
        <w:pStyle w:val="ListParagraph"/>
        <w:rPr>
          <w:rFonts w:ascii="Calibri" w:hAnsi="Calibri" w:cs="Calibri" w:asciiTheme="minorHAnsi" w:cstheme="minorHAnsi" w:hAnsiTheme="minorHAnsi"/>
          <w:sz w:val="22"/>
          <w:szCs w:val="22"/>
        </w:rPr>
      </w:pPr>
      <w:r>
        <w:rPr>
          <w:rFonts w:cs="Calibri" w:cstheme="minorHAnsi" w:ascii="Calibri" w:hAnsi="Calibri"/>
          <w:sz w:val="22"/>
          <w:szCs w:val="22"/>
        </w:rPr>
      </w:r>
    </w:p>
    <w:p>
      <w:pPr>
        <w:pStyle w:val="Terceiro"/>
        <w:numPr>
          <w:ilvl w:val="2"/>
          <w:numId w:val="3"/>
        </w:numPr>
        <w:ind w:hanging="0" w:left="284"/>
        <w:rPr>
          <w:rFonts w:ascii="Calibri" w:hAnsi="Calibri"/>
          <w:sz w:val="22"/>
          <w:szCs w:val="22"/>
        </w:rPr>
      </w:pPr>
      <w:r>
        <w:rPr>
          <w:rFonts w:cs="Calibri" w:cstheme="minorHAnsi"/>
          <w:sz w:val="22"/>
          <w:szCs w:val="22"/>
        </w:rPr>
        <w:t>O recebimento definitivo ocorrerá no prazo de 05 (cinco) dias úteis, a contar do recebimento da nota fiscal ou instrumento de cobrança equivalente pela Administração, após a verificação da qualidade e quantidade do objeto e consequente aceitação mediante termo detalhado.</w:t>
      </w:r>
    </w:p>
    <w:p>
      <w:pPr>
        <w:pStyle w:val="ListParagraph"/>
        <w:rPr>
          <w:rFonts w:ascii="Calibri" w:hAnsi="Calibri" w:cs="Calibri" w:asciiTheme="minorHAnsi" w:cstheme="minorHAnsi" w:hAnsiTheme="minorHAnsi"/>
          <w:sz w:val="22"/>
          <w:szCs w:val="22"/>
        </w:rPr>
      </w:pPr>
      <w:r>
        <w:rPr>
          <w:rFonts w:cs="Calibri" w:cstheme="minorHAnsi" w:ascii="Calibri" w:hAnsi="Calibri"/>
          <w:sz w:val="22"/>
          <w:szCs w:val="22"/>
        </w:rPr>
      </w:r>
    </w:p>
    <w:p>
      <w:pPr>
        <w:pStyle w:val="Terceiro"/>
        <w:numPr>
          <w:ilvl w:val="2"/>
          <w:numId w:val="3"/>
        </w:numPr>
        <w:ind w:hanging="0" w:left="284"/>
        <w:rPr>
          <w:rFonts w:ascii="Calibri" w:hAnsi="Calibri"/>
          <w:sz w:val="22"/>
          <w:szCs w:val="22"/>
        </w:rPr>
      </w:pPr>
      <w:r>
        <w:rPr>
          <w:rFonts w:cs="Calibri" w:cstheme="minorHAnsi"/>
          <w:sz w:val="22"/>
          <w:szCs w:val="22"/>
        </w:rPr>
        <w:t>O prazo para recebimento definitivo poderá ser excepcionalmente prorrogado, de forma justificada, por igual período, quando houver necessidade de diligências para a aferição do atendimento das exigências contratuais.</w:t>
      </w:r>
    </w:p>
    <w:p>
      <w:pPr>
        <w:pStyle w:val="ListParagraph"/>
        <w:rPr>
          <w:rFonts w:ascii="Calibri" w:hAnsi="Calibri" w:cs="Calibri" w:asciiTheme="minorHAnsi" w:cstheme="minorHAnsi" w:hAnsiTheme="minorHAnsi"/>
          <w:sz w:val="22"/>
          <w:szCs w:val="22"/>
        </w:rPr>
      </w:pPr>
      <w:r>
        <w:rPr>
          <w:rFonts w:cs="Calibri" w:cstheme="minorHAnsi" w:ascii="Calibri" w:hAnsi="Calibri"/>
          <w:sz w:val="22"/>
          <w:szCs w:val="22"/>
        </w:rPr>
      </w:r>
    </w:p>
    <w:p>
      <w:pPr>
        <w:pStyle w:val="Terceiro"/>
        <w:numPr>
          <w:ilvl w:val="2"/>
          <w:numId w:val="3"/>
        </w:numPr>
        <w:ind w:hanging="0" w:left="284"/>
        <w:rPr>
          <w:rFonts w:ascii="Calibri" w:hAnsi="Calibri"/>
          <w:sz w:val="22"/>
          <w:szCs w:val="22"/>
        </w:rPr>
      </w:pPr>
      <w:r>
        <w:rPr>
          <w:rFonts w:cs="Calibri" w:cstheme="minorHAnsi"/>
          <w:sz w:val="22"/>
          <w:szCs w:val="22"/>
        </w:rPr>
        <w:t>No caso de controvérsia sobre a execução do objeto, quanto à dimensão, qualidade e quantidade, deverá ser observado o teor do art. 143 da Lei Federal nº 14.133/2021, comunicando-se a detentora da ARP - Ata de Registro de Preços para emissão de nota fiscal em relação à parcela incontroversa da execução do objeto, para efeito de liquidação e pagamento.</w:t>
      </w:r>
    </w:p>
    <w:p>
      <w:pPr>
        <w:pStyle w:val="ListParagraph"/>
        <w:rPr>
          <w:rFonts w:ascii="Calibri" w:hAnsi="Calibri" w:cs="Calibri" w:asciiTheme="minorHAnsi" w:cstheme="minorHAnsi" w:hAnsiTheme="minorHAnsi"/>
          <w:sz w:val="22"/>
          <w:szCs w:val="22"/>
        </w:rPr>
      </w:pPr>
      <w:r>
        <w:rPr>
          <w:rFonts w:cs="Calibri" w:cstheme="minorHAnsi" w:ascii="Calibri" w:hAnsi="Calibri"/>
          <w:sz w:val="22"/>
          <w:szCs w:val="22"/>
        </w:rPr>
      </w:r>
    </w:p>
    <w:p>
      <w:pPr>
        <w:pStyle w:val="Terceiro"/>
        <w:numPr>
          <w:ilvl w:val="2"/>
          <w:numId w:val="3"/>
        </w:numPr>
        <w:ind w:hanging="0" w:left="284"/>
        <w:rPr>
          <w:rFonts w:ascii="Calibri" w:hAnsi="Calibri"/>
          <w:sz w:val="22"/>
          <w:szCs w:val="22"/>
        </w:rPr>
      </w:pPr>
      <w:r>
        <w:rPr>
          <w:rFonts w:cs="Calibri" w:cstheme="minorHAnsi"/>
          <w:sz w:val="22"/>
          <w:szCs w:val="22"/>
        </w:rPr>
        <w:t>O prazo para solução, pela detentora da ARP - Ata de Registro de Preços, da inconsistência na execução do objeto ou de saneamento da nota fiscal, ou documento equivalente, verificadas pela Administração durante a análise prévia à liquidação da despesa, não será computado para os fins do recebimento definitivo.</w:t>
      </w:r>
    </w:p>
    <w:p>
      <w:pPr>
        <w:pStyle w:val="ListParagraph"/>
        <w:rPr>
          <w:rFonts w:ascii="Calibri" w:hAnsi="Calibri" w:cs="Calibri" w:asciiTheme="minorHAnsi" w:cstheme="minorHAnsi" w:hAnsiTheme="minorHAnsi"/>
          <w:sz w:val="22"/>
          <w:szCs w:val="22"/>
        </w:rPr>
      </w:pPr>
      <w:r>
        <w:rPr>
          <w:rFonts w:cs="Calibri" w:cstheme="minorHAnsi" w:ascii="Calibri" w:hAnsi="Calibri"/>
          <w:sz w:val="22"/>
          <w:szCs w:val="22"/>
        </w:rPr>
      </w:r>
    </w:p>
    <w:p>
      <w:pPr>
        <w:pStyle w:val="Terceiro"/>
        <w:numPr>
          <w:ilvl w:val="2"/>
          <w:numId w:val="3"/>
        </w:numPr>
        <w:ind w:hanging="0" w:left="284"/>
        <w:rPr>
          <w:rFonts w:ascii="Calibri" w:hAnsi="Calibri"/>
          <w:sz w:val="22"/>
          <w:szCs w:val="22"/>
        </w:rPr>
      </w:pPr>
      <w:r>
        <w:rPr>
          <w:rFonts w:cs="Calibri" w:cstheme="minorHAnsi"/>
          <w:sz w:val="22"/>
          <w:szCs w:val="22"/>
        </w:rPr>
        <w:t xml:space="preserve">O recebimento provisório ou definitivo não excluirá a responsabilidade civil da detentora da ARP – Ata de Registro de Preços pela qualidade, segurança e conformidade dos produtos fornecidos. </w:t>
      </w:r>
    </w:p>
    <w:p>
      <w:pPr>
        <w:pStyle w:val="ListParagraph"/>
        <w:rPr>
          <w:rFonts w:ascii="Calibri" w:hAnsi="Calibri" w:cs="Calibri" w:asciiTheme="minorHAnsi" w:cstheme="minorHAnsi" w:hAnsiTheme="minorHAnsi"/>
          <w:sz w:val="22"/>
          <w:szCs w:val="22"/>
        </w:rPr>
      </w:pPr>
      <w:r>
        <w:rPr>
          <w:rFonts w:cs="Calibri" w:cstheme="minorHAnsi" w:ascii="Calibri" w:hAnsi="Calibri"/>
          <w:sz w:val="22"/>
          <w:szCs w:val="22"/>
        </w:rPr>
      </w:r>
    </w:p>
    <w:p>
      <w:pPr>
        <w:pStyle w:val="Segundo"/>
        <w:numPr>
          <w:ilvl w:val="1"/>
          <w:numId w:val="3"/>
        </w:numPr>
        <w:ind w:hanging="0" w:left="0"/>
        <w:rPr>
          <w:rFonts w:ascii="Calibri" w:hAnsi="Calibri"/>
          <w:sz w:val="22"/>
          <w:szCs w:val="22"/>
        </w:rPr>
      </w:pPr>
      <w:r>
        <w:rPr>
          <w:rFonts w:cs="Calibri" w:cstheme="minorHAnsi"/>
          <w:b/>
          <w:bCs/>
          <w:sz w:val="22"/>
          <w:szCs w:val="22"/>
        </w:rPr>
        <w:t>Do Pagamento:</w:t>
      </w:r>
    </w:p>
    <w:p>
      <w:pPr>
        <w:pStyle w:val="Prembulo"/>
        <w:rPr>
          <w:rFonts w:ascii="Calibri" w:hAnsi="Calibri" w:cs="Calibri" w:asciiTheme="minorHAnsi" w:cstheme="minorHAnsi" w:hAnsiTheme="minorHAnsi"/>
          <w:sz w:val="22"/>
          <w:szCs w:val="22"/>
        </w:rPr>
      </w:pPr>
      <w:r>
        <w:rPr>
          <w:rFonts w:cs="Calibri" w:cstheme="minorHAnsi"/>
          <w:sz w:val="22"/>
          <w:szCs w:val="22"/>
        </w:rPr>
      </w:r>
    </w:p>
    <w:p>
      <w:pPr>
        <w:pStyle w:val="Terceiro"/>
        <w:numPr>
          <w:ilvl w:val="2"/>
          <w:numId w:val="3"/>
        </w:numPr>
        <w:ind w:hanging="0" w:left="284"/>
        <w:rPr>
          <w:rFonts w:ascii="Calibri" w:hAnsi="Calibri"/>
          <w:sz w:val="22"/>
          <w:szCs w:val="22"/>
        </w:rPr>
      </w:pPr>
      <w:r>
        <w:rPr>
          <w:rFonts w:cs="Calibri" w:cstheme="minorHAnsi"/>
          <w:sz w:val="22"/>
          <w:szCs w:val="22"/>
        </w:rPr>
        <w:t>Da liquidação.</w:t>
      </w:r>
    </w:p>
    <w:p>
      <w:pPr>
        <w:pStyle w:val="Terceiro"/>
        <w:numPr>
          <w:ilvl w:val="0"/>
          <w:numId w:val="0"/>
        </w:numPr>
        <w:ind w:hanging="0" w:left="284"/>
        <w:rPr>
          <w:rFonts w:ascii="Calibri" w:hAnsi="Calibri" w:cs="Calibri" w:asciiTheme="minorHAnsi" w:cstheme="minorHAnsi" w:hAnsiTheme="minorHAnsi"/>
          <w:sz w:val="22"/>
          <w:szCs w:val="22"/>
        </w:rPr>
      </w:pPr>
      <w:r>
        <w:rPr>
          <w:rFonts w:cs="Calibri" w:cstheme="minorHAnsi"/>
          <w:sz w:val="22"/>
          <w:szCs w:val="22"/>
        </w:rPr>
      </w:r>
    </w:p>
    <w:p>
      <w:pPr>
        <w:pStyle w:val="Quarto"/>
        <w:numPr>
          <w:ilvl w:val="3"/>
          <w:numId w:val="3"/>
        </w:numPr>
        <w:ind w:hanging="0" w:left="567"/>
        <w:rPr>
          <w:rFonts w:ascii="Calibri" w:hAnsi="Calibri"/>
          <w:sz w:val="22"/>
          <w:szCs w:val="22"/>
        </w:rPr>
      </w:pPr>
      <w:r>
        <w:rPr>
          <w:rFonts w:cs="Calibri" w:cstheme="minorHAnsi"/>
          <w:sz w:val="22"/>
          <w:szCs w:val="22"/>
        </w:rPr>
        <w:t>Recebida a nota fiscal, ou documento equivalente, correrá o prazo de 30 (trinta) dias corridos para fins de liquidação.</w:t>
      </w:r>
    </w:p>
    <w:p>
      <w:pPr>
        <w:pStyle w:val="Terceiro"/>
        <w:numPr>
          <w:ilvl w:val="0"/>
          <w:numId w:val="0"/>
        </w:numPr>
        <w:ind w:hanging="0" w:left="284"/>
        <w:rPr>
          <w:rFonts w:ascii="Calibri" w:hAnsi="Calibri" w:cs="Calibri" w:asciiTheme="minorHAnsi" w:cstheme="minorHAnsi" w:hAnsiTheme="minorHAnsi"/>
          <w:sz w:val="22"/>
          <w:szCs w:val="22"/>
        </w:rPr>
      </w:pPr>
      <w:r>
        <w:rPr>
          <w:rFonts w:cs="Calibri" w:cstheme="minorHAnsi"/>
          <w:sz w:val="22"/>
          <w:szCs w:val="22"/>
        </w:rPr>
      </w:r>
    </w:p>
    <w:p>
      <w:pPr>
        <w:pStyle w:val="Quarto"/>
        <w:numPr>
          <w:ilvl w:val="3"/>
          <w:numId w:val="3"/>
        </w:numPr>
        <w:ind w:hanging="0" w:left="567"/>
        <w:rPr>
          <w:rFonts w:ascii="Calibri" w:hAnsi="Calibri"/>
          <w:sz w:val="22"/>
          <w:szCs w:val="22"/>
        </w:rPr>
      </w:pPr>
      <w:r>
        <w:rPr>
          <w:rFonts w:cs="Calibri" w:cstheme="minorHAnsi"/>
          <w:sz w:val="22"/>
          <w:szCs w:val="22"/>
        </w:rPr>
        <w:t>Para fins de liquidação, o setor competente deverá verificar se a nota fiscal, ou documento equivalente, expressa os elementos necessários e essenciais, tais como:</w:t>
      </w:r>
    </w:p>
    <w:p>
      <w:pPr>
        <w:pStyle w:val="ListParagraph"/>
        <w:rPr>
          <w:rFonts w:ascii="Calibri" w:hAnsi="Calibri" w:cs="Calibri" w:asciiTheme="minorHAnsi" w:cstheme="minorHAnsi" w:hAnsiTheme="minorHAnsi"/>
          <w:sz w:val="22"/>
          <w:szCs w:val="22"/>
        </w:rPr>
      </w:pPr>
      <w:r>
        <w:rPr>
          <w:rFonts w:cs="Calibri" w:cstheme="minorHAnsi" w:ascii="Calibri" w:hAnsi="Calibri"/>
          <w:sz w:val="22"/>
          <w:szCs w:val="22"/>
        </w:rPr>
      </w:r>
    </w:p>
    <w:p>
      <w:pPr>
        <w:pStyle w:val="Quarto"/>
        <w:numPr>
          <w:ilvl w:val="0"/>
          <w:numId w:val="5"/>
        </w:numPr>
        <w:rPr>
          <w:rFonts w:ascii="Calibri" w:hAnsi="Calibri"/>
          <w:sz w:val="22"/>
          <w:szCs w:val="22"/>
        </w:rPr>
      </w:pPr>
      <w:r>
        <w:rPr>
          <w:rFonts w:cs="Calibri" w:cstheme="minorHAnsi"/>
          <w:sz w:val="22"/>
          <w:szCs w:val="22"/>
        </w:rPr>
        <w:t>Prazo de validade;</w:t>
      </w:r>
    </w:p>
    <w:p>
      <w:pPr>
        <w:pStyle w:val="Quarto"/>
        <w:numPr>
          <w:ilvl w:val="0"/>
          <w:numId w:val="5"/>
        </w:numPr>
        <w:rPr>
          <w:rFonts w:ascii="Calibri" w:hAnsi="Calibri"/>
          <w:sz w:val="22"/>
          <w:szCs w:val="22"/>
        </w:rPr>
      </w:pPr>
      <w:r>
        <w:rPr>
          <w:rFonts w:cs="Calibri" w:cstheme="minorHAnsi"/>
          <w:sz w:val="22"/>
          <w:szCs w:val="22"/>
        </w:rPr>
        <w:t>Data de emissão;</w:t>
      </w:r>
    </w:p>
    <w:p>
      <w:pPr>
        <w:pStyle w:val="Quarto"/>
        <w:numPr>
          <w:ilvl w:val="0"/>
          <w:numId w:val="5"/>
        </w:numPr>
        <w:rPr>
          <w:rFonts w:ascii="Calibri" w:hAnsi="Calibri"/>
          <w:sz w:val="22"/>
          <w:szCs w:val="22"/>
        </w:rPr>
      </w:pPr>
      <w:r>
        <w:rPr>
          <w:rFonts w:cs="Calibri" w:cstheme="minorHAnsi"/>
          <w:sz w:val="22"/>
          <w:szCs w:val="22"/>
        </w:rPr>
        <w:t>Dados da ARP e da Administração;</w:t>
      </w:r>
    </w:p>
    <w:p>
      <w:pPr>
        <w:pStyle w:val="Quarto"/>
        <w:numPr>
          <w:ilvl w:val="0"/>
          <w:numId w:val="5"/>
        </w:numPr>
        <w:rPr>
          <w:rFonts w:ascii="Calibri" w:hAnsi="Calibri"/>
          <w:sz w:val="22"/>
          <w:szCs w:val="22"/>
        </w:rPr>
      </w:pPr>
      <w:r>
        <w:rPr>
          <w:rFonts w:cs="Calibri" w:cstheme="minorHAnsi"/>
          <w:sz w:val="22"/>
          <w:szCs w:val="22"/>
        </w:rPr>
        <w:t>Período respectivo de execução;</w:t>
      </w:r>
    </w:p>
    <w:p>
      <w:pPr>
        <w:pStyle w:val="Quarto"/>
        <w:numPr>
          <w:ilvl w:val="0"/>
          <w:numId w:val="5"/>
        </w:numPr>
        <w:rPr>
          <w:rFonts w:ascii="Calibri" w:hAnsi="Calibri"/>
          <w:sz w:val="22"/>
          <w:szCs w:val="22"/>
        </w:rPr>
      </w:pPr>
      <w:r>
        <w:rPr>
          <w:rFonts w:cs="Calibri" w:cstheme="minorHAnsi"/>
          <w:sz w:val="22"/>
          <w:szCs w:val="22"/>
        </w:rPr>
        <w:t xml:space="preserve">Valor a pagar; e </w:t>
      </w:r>
    </w:p>
    <w:p>
      <w:pPr>
        <w:pStyle w:val="Quarto"/>
        <w:numPr>
          <w:ilvl w:val="0"/>
          <w:numId w:val="5"/>
        </w:numPr>
        <w:rPr>
          <w:rFonts w:ascii="Calibri" w:hAnsi="Calibri"/>
          <w:sz w:val="22"/>
          <w:szCs w:val="22"/>
        </w:rPr>
      </w:pPr>
      <w:r>
        <w:rPr>
          <w:rFonts w:cs="Calibri" w:cstheme="minorHAnsi"/>
          <w:sz w:val="22"/>
          <w:szCs w:val="22"/>
        </w:rPr>
        <w:t>Eventual destaque do valor de retenção tributária cabível.</w:t>
      </w:r>
    </w:p>
    <w:p>
      <w:pPr>
        <w:pStyle w:val="Quarto"/>
        <w:numPr>
          <w:ilvl w:val="0"/>
          <w:numId w:val="0"/>
        </w:numPr>
        <w:ind w:hanging="0" w:left="567"/>
        <w:rPr>
          <w:rFonts w:ascii="Calibri" w:hAnsi="Calibri" w:cs="Calibri" w:asciiTheme="minorHAnsi" w:cstheme="minorHAnsi" w:hAnsiTheme="minorHAnsi"/>
          <w:sz w:val="22"/>
          <w:szCs w:val="22"/>
        </w:rPr>
      </w:pPr>
      <w:r>
        <w:rPr>
          <w:rFonts w:cs="Calibri" w:cstheme="minorHAnsi"/>
          <w:sz w:val="22"/>
          <w:szCs w:val="22"/>
        </w:rPr>
      </w:r>
    </w:p>
    <w:p>
      <w:pPr>
        <w:pStyle w:val="Quarto"/>
        <w:numPr>
          <w:ilvl w:val="3"/>
          <w:numId w:val="3"/>
        </w:numPr>
        <w:ind w:hanging="0" w:left="567"/>
        <w:rPr>
          <w:rFonts w:ascii="Calibri" w:hAnsi="Calibri"/>
          <w:sz w:val="22"/>
          <w:szCs w:val="22"/>
        </w:rPr>
      </w:pPr>
      <w:r>
        <w:rPr>
          <w:rFonts w:cs="Calibri" w:cstheme="minorHAnsi"/>
          <w:sz w:val="22"/>
          <w:szCs w:val="22"/>
        </w:rPr>
        <w:t>Havendo erro na apresentação da nota fiscal, ou documento equivalente, ou qualquer outra circunstância que impeça à liquidação da despesa, esta ficará sobrestada até que o contratado providencie as medidas saneadoras, reiniciando-se o prazo após comprovação da regularização da situação, sem ônus à Administração.</w:t>
      </w:r>
    </w:p>
    <w:p>
      <w:pPr>
        <w:pStyle w:val="Quarto"/>
        <w:numPr>
          <w:ilvl w:val="0"/>
          <w:numId w:val="0"/>
        </w:numPr>
        <w:ind w:hanging="0" w:left="567"/>
        <w:rPr>
          <w:rFonts w:ascii="Calibri" w:hAnsi="Calibri" w:cs="Calibri" w:asciiTheme="minorHAnsi" w:cstheme="minorHAnsi" w:hAnsiTheme="minorHAnsi"/>
          <w:sz w:val="22"/>
          <w:szCs w:val="22"/>
        </w:rPr>
      </w:pPr>
      <w:r>
        <w:rPr>
          <w:rFonts w:cs="Calibri" w:cstheme="minorHAnsi"/>
          <w:sz w:val="22"/>
          <w:szCs w:val="22"/>
        </w:rPr>
      </w:r>
    </w:p>
    <w:p>
      <w:pPr>
        <w:pStyle w:val="Quarto"/>
        <w:numPr>
          <w:ilvl w:val="3"/>
          <w:numId w:val="3"/>
        </w:numPr>
        <w:ind w:hanging="0" w:left="567"/>
        <w:rPr>
          <w:rFonts w:ascii="Calibri" w:hAnsi="Calibri"/>
          <w:sz w:val="22"/>
          <w:szCs w:val="22"/>
        </w:rPr>
      </w:pPr>
      <w:r>
        <w:rPr>
          <w:rFonts w:cs="Calibri" w:cstheme="minorHAnsi"/>
          <w:sz w:val="22"/>
          <w:szCs w:val="22"/>
        </w:rPr>
        <w:t>A nota fiscal, ou documento equivalente, deverá ser obrigatoriamente acompanhada da comprovação da regularidade fiscal, constatada mediante consulta aos sítios eletrônicos oficiais ou mediante apresentação da documentação mencionada no art. 68 da Lei Federal nº 14.133/2021.</w:t>
      </w:r>
    </w:p>
    <w:p>
      <w:pPr>
        <w:pStyle w:val="ListParagraph"/>
        <w:rPr>
          <w:rFonts w:ascii="Calibri" w:hAnsi="Calibri" w:cs="Calibri" w:asciiTheme="minorHAnsi" w:cstheme="minorHAnsi" w:hAnsiTheme="minorHAnsi"/>
          <w:sz w:val="22"/>
          <w:szCs w:val="22"/>
        </w:rPr>
      </w:pPr>
      <w:r>
        <w:rPr>
          <w:rFonts w:cs="Calibri" w:cstheme="minorHAnsi" w:ascii="Calibri" w:hAnsi="Calibri"/>
          <w:sz w:val="22"/>
          <w:szCs w:val="22"/>
        </w:rPr>
      </w:r>
    </w:p>
    <w:p>
      <w:pPr>
        <w:pStyle w:val="Quarto"/>
        <w:numPr>
          <w:ilvl w:val="3"/>
          <w:numId w:val="3"/>
        </w:numPr>
        <w:ind w:hanging="0" w:left="567"/>
        <w:rPr>
          <w:rFonts w:ascii="Calibri" w:hAnsi="Calibri"/>
          <w:sz w:val="22"/>
          <w:szCs w:val="22"/>
        </w:rPr>
      </w:pPr>
      <w:r>
        <w:rPr>
          <w:rFonts w:cs="Calibri" w:cstheme="minorHAnsi"/>
          <w:sz w:val="22"/>
          <w:szCs w:val="22"/>
        </w:rPr>
        <w:t>A Administração deverá realizar consulta para:</w:t>
      </w:r>
    </w:p>
    <w:p>
      <w:pPr>
        <w:pStyle w:val="ListParagraph"/>
        <w:rPr>
          <w:rFonts w:ascii="Calibri" w:hAnsi="Calibri" w:cs="Calibri" w:asciiTheme="minorHAnsi" w:cstheme="minorHAnsi" w:hAnsiTheme="minorHAnsi"/>
          <w:sz w:val="22"/>
          <w:szCs w:val="22"/>
        </w:rPr>
      </w:pPr>
      <w:r>
        <w:rPr>
          <w:rFonts w:cs="Calibri" w:cstheme="minorHAnsi" w:ascii="Calibri" w:hAnsi="Calibri"/>
          <w:sz w:val="22"/>
          <w:szCs w:val="22"/>
        </w:rPr>
      </w:r>
    </w:p>
    <w:p>
      <w:pPr>
        <w:pStyle w:val="Quarto"/>
        <w:numPr>
          <w:ilvl w:val="0"/>
          <w:numId w:val="6"/>
        </w:numPr>
        <w:rPr>
          <w:rFonts w:ascii="Calibri" w:hAnsi="Calibri"/>
          <w:sz w:val="22"/>
          <w:szCs w:val="22"/>
        </w:rPr>
      </w:pPr>
      <w:r>
        <w:rPr>
          <w:rFonts w:cs="Calibri" w:cstheme="minorHAnsi"/>
          <w:sz w:val="22"/>
          <w:szCs w:val="22"/>
        </w:rPr>
        <w:t>Verificar a manutenção das condições de habilitação exigidas no Edital e seus anexos; e</w:t>
      </w:r>
    </w:p>
    <w:p>
      <w:pPr>
        <w:pStyle w:val="Quarto"/>
        <w:numPr>
          <w:ilvl w:val="0"/>
          <w:numId w:val="6"/>
        </w:numPr>
        <w:rPr>
          <w:rFonts w:ascii="Calibri" w:hAnsi="Calibri"/>
          <w:sz w:val="22"/>
          <w:szCs w:val="22"/>
        </w:rPr>
      </w:pPr>
      <w:r>
        <w:rPr>
          <w:rFonts w:cs="Calibri" w:cstheme="minorHAnsi"/>
          <w:sz w:val="22"/>
          <w:szCs w:val="22"/>
        </w:rPr>
        <w:t>Identificar possível razão que impeça a participação em contratação direta mediante dispensa eletrônica, no âmbito do órgão ou entidade, que implique proibição de contratar com o poder público, bem como ocorrências impeditivas indiretas.</w:t>
      </w:r>
    </w:p>
    <w:p>
      <w:pPr>
        <w:pStyle w:val="Quarto"/>
        <w:numPr>
          <w:ilvl w:val="0"/>
          <w:numId w:val="0"/>
        </w:numPr>
        <w:ind w:hanging="0" w:left="567"/>
        <w:rPr>
          <w:rFonts w:ascii="Calibri" w:hAnsi="Calibri" w:cs="Calibri" w:asciiTheme="minorHAnsi" w:cstheme="minorHAnsi" w:hAnsiTheme="minorHAnsi"/>
          <w:sz w:val="22"/>
          <w:szCs w:val="22"/>
        </w:rPr>
      </w:pPr>
      <w:r>
        <w:rPr>
          <w:rFonts w:cs="Calibri" w:cstheme="minorHAnsi"/>
          <w:sz w:val="22"/>
          <w:szCs w:val="22"/>
        </w:rPr>
      </w:r>
    </w:p>
    <w:p>
      <w:pPr>
        <w:pStyle w:val="Quarto"/>
        <w:numPr>
          <w:ilvl w:val="3"/>
          <w:numId w:val="3"/>
        </w:numPr>
        <w:ind w:hanging="0" w:left="567"/>
        <w:rPr>
          <w:rFonts w:ascii="Calibri" w:hAnsi="Calibri"/>
          <w:sz w:val="22"/>
          <w:szCs w:val="22"/>
        </w:rPr>
      </w:pPr>
      <w:r>
        <w:rPr>
          <w:rFonts w:cs="Calibri" w:cstheme="minorHAnsi"/>
          <w:sz w:val="22"/>
          <w:szCs w:val="22"/>
        </w:rPr>
        <w:t>Constatando-se a situação de irregularidade da detentora da ARP - Ata de Registro de Preços, será providenciada sua notificação, por escrito, para que, no prazo de 05 (cinco) dias úteis, regularize sua situação ou, no mesmo prazo, apresente sua defesa, podendo respectivo prazo ser prorrogado, uma vez, por igual período, à critério da Administração.</w:t>
      </w:r>
    </w:p>
    <w:p>
      <w:pPr>
        <w:pStyle w:val="Quarto"/>
        <w:numPr>
          <w:ilvl w:val="0"/>
          <w:numId w:val="0"/>
        </w:numPr>
        <w:ind w:hanging="0" w:left="567"/>
        <w:rPr>
          <w:rFonts w:ascii="Calibri" w:hAnsi="Calibri" w:cs="Calibri" w:asciiTheme="minorHAnsi" w:cstheme="minorHAnsi" w:hAnsiTheme="minorHAnsi"/>
          <w:sz w:val="22"/>
          <w:szCs w:val="22"/>
        </w:rPr>
      </w:pPr>
      <w:r>
        <w:rPr>
          <w:rFonts w:cs="Calibri" w:cstheme="minorHAnsi"/>
          <w:sz w:val="22"/>
          <w:szCs w:val="22"/>
        </w:rPr>
      </w:r>
    </w:p>
    <w:p>
      <w:pPr>
        <w:pStyle w:val="Quarto"/>
        <w:numPr>
          <w:ilvl w:val="3"/>
          <w:numId w:val="3"/>
        </w:numPr>
        <w:ind w:hanging="0" w:left="567"/>
        <w:rPr>
          <w:rFonts w:ascii="Calibri" w:hAnsi="Calibri"/>
          <w:sz w:val="22"/>
          <w:szCs w:val="22"/>
        </w:rPr>
      </w:pPr>
      <w:r>
        <w:rPr>
          <w:rFonts w:cs="Calibri" w:cstheme="minorHAnsi"/>
          <w:sz w:val="22"/>
          <w:szCs w:val="22"/>
        </w:rPr>
        <w:t>Não havendo regularização ou sendo a defesa considerada improcedente, a Administração deverá comunicar aos órgãos responsáveis pela fiscalização da regularidade fiscal quanto à inadimplência da detentora da ARP - Ata de Registro de Preços, bem como quanto à existência de pagamento a set efetuado, para que sejam acionados os meios pertinentes e necessários para garantir o recebimento de seus créditos.</w:t>
      </w:r>
    </w:p>
    <w:p>
      <w:pPr>
        <w:pStyle w:val="ListParagraph"/>
        <w:rPr>
          <w:rFonts w:ascii="Calibri" w:hAnsi="Calibri" w:cs="Calibri" w:asciiTheme="minorHAnsi" w:cstheme="minorHAnsi" w:hAnsiTheme="minorHAnsi"/>
          <w:sz w:val="22"/>
          <w:szCs w:val="22"/>
        </w:rPr>
      </w:pPr>
      <w:r>
        <w:rPr>
          <w:rFonts w:cs="Calibri" w:cstheme="minorHAnsi" w:ascii="Calibri" w:hAnsi="Calibri"/>
          <w:sz w:val="22"/>
          <w:szCs w:val="22"/>
        </w:rPr>
      </w:r>
    </w:p>
    <w:p>
      <w:pPr>
        <w:pStyle w:val="Quarto"/>
        <w:numPr>
          <w:ilvl w:val="3"/>
          <w:numId w:val="3"/>
        </w:numPr>
        <w:ind w:hanging="0" w:left="567"/>
        <w:rPr>
          <w:rFonts w:ascii="Calibri" w:hAnsi="Calibri"/>
          <w:sz w:val="22"/>
          <w:szCs w:val="22"/>
        </w:rPr>
      </w:pPr>
      <w:r>
        <w:rPr>
          <w:rFonts w:cs="Calibri" w:cstheme="minorHAnsi"/>
          <w:sz w:val="22"/>
          <w:szCs w:val="22"/>
        </w:rPr>
        <w:t>Persistindo a irregularidade, a Administração deverá adotar as medidas necessárias à rescisão da ARP – Ata de Registro de Preços, assegurado à detentora da ARP - Ata de Registro de Preços a ampla defesa.</w:t>
      </w:r>
    </w:p>
    <w:p>
      <w:pPr>
        <w:pStyle w:val="ListParagraph"/>
        <w:rPr>
          <w:rFonts w:ascii="Calibri" w:hAnsi="Calibri" w:cs="Calibri" w:asciiTheme="minorHAnsi" w:cstheme="minorHAnsi" w:hAnsiTheme="minorHAnsi"/>
          <w:sz w:val="22"/>
          <w:szCs w:val="22"/>
        </w:rPr>
      </w:pPr>
      <w:r>
        <w:rPr>
          <w:rFonts w:cs="Calibri" w:cstheme="minorHAnsi" w:ascii="Calibri" w:hAnsi="Calibri"/>
          <w:sz w:val="22"/>
          <w:szCs w:val="22"/>
        </w:rPr>
      </w:r>
    </w:p>
    <w:p>
      <w:pPr>
        <w:pStyle w:val="Quarto"/>
        <w:numPr>
          <w:ilvl w:val="3"/>
          <w:numId w:val="3"/>
        </w:numPr>
        <w:ind w:hanging="0" w:left="567"/>
        <w:rPr>
          <w:rFonts w:ascii="Calibri" w:hAnsi="Calibri"/>
          <w:sz w:val="22"/>
          <w:szCs w:val="22"/>
        </w:rPr>
      </w:pPr>
      <w:r>
        <w:rPr>
          <w:rFonts w:cs="Calibri" w:cstheme="minorHAnsi"/>
          <w:sz w:val="22"/>
          <w:szCs w:val="22"/>
        </w:rPr>
        <w:t>Havendo a efetiva execução do objeto, os pagamentos serão realizados normalmente, até que se decida pela rescisão da ARP – Ata de Registro de Preços, caso a detentora da ARP - Ata de Registro de Preços não regularize sua situação.</w:t>
      </w:r>
    </w:p>
    <w:p>
      <w:pPr>
        <w:pStyle w:val="ListParagraph"/>
        <w:rPr>
          <w:rFonts w:ascii="Calibri" w:hAnsi="Calibri" w:cs="Calibri" w:asciiTheme="minorHAnsi" w:cstheme="minorHAnsi" w:hAnsiTheme="minorHAnsi"/>
          <w:sz w:val="22"/>
          <w:szCs w:val="22"/>
        </w:rPr>
      </w:pPr>
      <w:r>
        <w:rPr>
          <w:rFonts w:cs="Calibri" w:cstheme="minorHAnsi" w:ascii="Calibri" w:hAnsi="Calibri"/>
          <w:sz w:val="22"/>
          <w:szCs w:val="22"/>
        </w:rPr>
      </w:r>
    </w:p>
    <w:p>
      <w:pPr>
        <w:pStyle w:val="Terceiro"/>
        <w:numPr>
          <w:ilvl w:val="2"/>
          <w:numId w:val="3"/>
        </w:numPr>
        <w:ind w:hanging="0" w:left="284"/>
        <w:rPr>
          <w:rFonts w:ascii="Calibri" w:hAnsi="Calibri"/>
          <w:sz w:val="22"/>
          <w:szCs w:val="22"/>
        </w:rPr>
      </w:pPr>
      <w:r>
        <w:rPr>
          <w:rFonts w:cs="Calibri" w:cstheme="minorHAnsi"/>
          <w:sz w:val="22"/>
          <w:szCs w:val="22"/>
        </w:rPr>
        <w:t>Da forma de pagamento.</w:t>
      </w:r>
    </w:p>
    <w:p>
      <w:pPr>
        <w:pStyle w:val="Segundo"/>
        <w:numPr>
          <w:ilvl w:val="0"/>
          <w:numId w:val="0"/>
        </w:numPr>
        <w:ind w:hanging="0" w:left="0"/>
        <w:rPr>
          <w:rFonts w:ascii="Calibri" w:hAnsi="Calibri" w:cs="Calibri" w:asciiTheme="minorHAnsi" w:cstheme="minorHAnsi" w:hAnsiTheme="minorHAnsi"/>
          <w:sz w:val="22"/>
          <w:szCs w:val="22"/>
        </w:rPr>
      </w:pPr>
      <w:r>
        <w:rPr>
          <w:rFonts w:cs="Calibri" w:cstheme="minorHAnsi"/>
          <w:sz w:val="22"/>
          <w:szCs w:val="22"/>
        </w:rPr>
      </w:r>
    </w:p>
    <w:p>
      <w:pPr>
        <w:pStyle w:val="Quarto"/>
        <w:numPr>
          <w:ilvl w:val="3"/>
          <w:numId w:val="3"/>
        </w:numPr>
        <w:ind w:hanging="0" w:left="567"/>
        <w:rPr>
          <w:rFonts w:ascii="Calibri" w:hAnsi="Calibri"/>
          <w:sz w:val="22"/>
          <w:szCs w:val="22"/>
        </w:rPr>
      </w:pPr>
      <w:r>
        <w:rPr>
          <w:rFonts w:cs="Calibri" w:cstheme="minorHAnsi"/>
          <w:sz w:val="22"/>
          <w:szCs w:val="22"/>
        </w:rPr>
        <w:t>O pagamento será realizado em até 30 (trinta) dias após a emissão da nota fiscal, revestida do aceite pelas autoridades fiscalizadoras competentes e responsáveis, por meio de ordem bancária, para crédito em banco, agência e conta-corrente indicadas pela detentora da ARP - Ata de Registro de Preços .</w:t>
      </w:r>
    </w:p>
    <w:p>
      <w:pPr>
        <w:pStyle w:val="Corpo"/>
        <w:ind w:hanging="0" w:left="0"/>
        <w:rPr>
          <w:rFonts w:ascii="Calibri" w:hAnsi="Calibri"/>
          <w:sz w:val="22"/>
          <w:szCs w:val="22"/>
        </w:rPr>
      </w:pPr>
      <w:r>
        <w:rPr>
          <w:sz w:val="22"/>
          <w:szCs w:val="22"/>
        </w:rPr>
      </w:r>
    </w:p>
    <w:p>
      <w:pPr>
        <w:pStyle w:val="Primeiro"/>
        <w:numPr>
          <w:ilvl w:val="0"/>
          <w:numId w:val="3"/>
        </w:numPr>
        <w:rPr>
          <w:rFonts w:ascii="Calibri" w:hAnsi="Calibri"/>
          <w:sz w:val="22"/>
          <w:szCs w:val="22"/>
        </w:rPr>
      </w:pPr>
      <w:r>
        <w:rPr>
          <w:sz w:val="22"/>
          <w:szCs w:val="22"/>
        </w:rPr>
        <w:t>DO REAJUSTE E REEQUILÍBRIO EM SENTIDO GERAL.</w:t>
      </w:r>
    </w:p>
    <w:p>
      <w:pPr>
        <w:pStyle w:val="Corpo"/>
        <w:ind w:hanging="0" w:left="0"/>
        <w:rPr>
          <w:rFonts w:ascii="Calibri" w:hAnsi="Calibri"/>
          <w:sz w:val="22"/>
          <w:szCs w:val="22"/>
        </w:rPr>
      </w:pPr>
      <w:r>
        <w:rPr>
          <w:sz w:val="22"/>
          <w:szCs w:val="22"/>
        </w:rPr>
      </w:r>
    </w:p>
    <w:p>
      <w:pPr>
        <w:pStyle w:val="Segundo"/>
        <w:numPr>
          <w:ilvl w:val="1"/>
          <w:numId w:val="3"/>
        </w:numPr>
        <w:ind w:hanging="0" w:left="0"/>
        <w:rPr>
          <w:rFonts w:ascii="Calibri" w:hAnsi="Calibri"/>
          <w:sz w:val="22"/>
          <w:szCs w:val="22"/>
        </w:rPr>
      </w:pPr>
      <w:r>
        <w:rPr>
          <w:sz w:val="22"/>
          <w:szCs w:val="22"/>
        </w:rPr>
        <w:t>Os preços contratados serão irreajustáveis pelo período de 12 (doze) meses, a contar da data do orçamento estimado.</w:t>
      </w:r>
    </w:p>
    <w:p>
      <w:pPr>
        <w:pStyle w:val="Segundo"/>
        <w:numPr>
          <w:ilvl w:val="0"/>
          <w:numId w:val="0"/>
        </w:numPr>
        <w:ind w:hanging="0" w:left="0"/>
        <w:rPr>
          <w:rFonts w:ascii="Calibri" w:hAnsi="Calibri"/>
          <w:sz w:val="22"/>
          <w:szCs w:val="22"/>
        </w:rPr>
      </w:pPr>
      <w:r>
        <w:rPr>
          <w:sz w:val="22"/>
          <w:szCs w:val="22"/>
        </w:rPr>
      </w:r>
    </w:p>
    <w:p>
      <w:pPr>
        <w:pStyle w:val="Segundo"/>
        <w:numPr>
          <w:ilvl w:val="1"/>
          <w:numId w:val="3"/>
        </w:numPr>
        <w:ind w:hanging="0" w:left="0"/>
        <w:rPr>
          <w:rFonts w:ascii="Calibri" w:hAnsi="Calibri"/>
          <w:sz w:val="22"/>
          <w:szCs w:val="22"/>
        </w:rPr>
      </w:pPr>
      <w:r>
        <w:rPr>
          <w:kern w:val="0"/>
          <w:sz w:val="22"/>
          <w:szCs w:val="22"/>
          <w:lang w:val="pt-BR" w:eastAsia="en-US" w:bidi="ar-SA"/>
        </w:rPr>
        <w:t>Após</w:t>
      </w:r>
      <w:r>
        <w:rPr>
          <w:rFonts w:cs="Calibri" w:cstheme="minorHAnsi"/>
          <w:sz w:val="22"/>
          <w:szCs w:val="22"/>
          <w:shd w:fill="auto" w:val="clear"/>
        </w:rPr>
        <w:t xml:space="preserve"> o interregno mínimo de 12 (doze) meses, os preços registrados poderão ser reajustados mediante aplicação do INPC – Índice Nacional de Preços ao Consumidor, ou outro índice oficial que venha a substituí-lo, tomando-se por base a data do orçamento estimado.</w:t>
      </w:r>
    </w:p>
    <w:p>
      <w:pPr>
        <w:pStyle w:val="Segundo"/>
        <w:numPr>
          <w:ilvl w:val="0"/>
          <w:numId w:val="0"/>
        </w:numPr>
        <w:ind w:hanging="0" w:left="0"/>
        <w:rPr>
          <w:rFonts w:ascii="Calibri" w:hAnsi="Calibri" w:cs="Calibri" w:asciiTheme="minorHAnsi" w:cstheme="minorHAnsi" w:hAnsiTheme="minorHAnsi"/>
          <w:sz w:val="22"/>
          <w:szCs w:val="22"/>
        </w:rPr>
      </w:pPr>
      <w:r>
        <w:rPr>
          <w:rFonts w:cs="Calibri" w:cstheme="minorHAnsi"/>
          <w:sz w:val="22"/>
          <w:szCs w:val="22"/>
        </w:rPr>
      </w:r>
    </w:p>
    <w:p>
      <w:pPr>
        <w:pStyle w:val="Segundo"/>
        <w:numPr>
          <w:ilvl w:val="1"/>
          <w:numId w:val="3"/>
        </w:numPr>
        <w:ind w:hanging="0" w:left="0"/>
        <w:rPr>
          <w:rFonts w:ascii="Calibri" w:hAnsi="Calibri"/>
          <w:sz w:val="22"/>
          <w:szCs w:val="22"/>
        </w:rPr>
      </w:pPr>
      <w:r>
        <w:rPr>
          <w:rFonts w:cs="Calibri" w:cstheme="minorHAnsi"/>
          <w:sz w:val="22"/>
          <w:szCs w:val="22"/>
        </w:rPr>
        <w:t>A</w:t>
      </w:r>
      <w:r>
        <w:rPr/>
        <w:t xml:space="preserve"> periodicidade do reajuste será anual, produzindo efeitos apenas para as solicitações de fornecimento emitidas após o transcurso do período de 12 (doze) meses contado da data do orçamento estimado. </w:t>
      </w:r>
    </w:p>
    <w:p>
      <w:pPr>
        <w:pStyle w:val="Segundo"/>
        <w:numPr>
          <w:ilvl w:val="0"/>
          <w:numId w:val="0"/>
        </w:numPr>
        <w:ind w:hanging="0" w:left="0"/>
        <w:rPr>
          <w:rFonts w:ascii="Calibri" w:hAnsi="Calibri"/>
          <w:sz w:val="22"/>
          <w:szCs w:val="22"/>
        </w:rPr>
      </w:pPr>
      <w:r>
        <w:rPr>
          <w:sz w:val="22"/>
          <w:szCs w:val="22"/>
        </w:rPr>
      </w:r>
    </w:p>
    <w:p>
      <w:pPr>
        <w:pStyle w:val="Segundo"/>
        <w:numPr>
          <w:ilvl w:val="1"/>
          <w:numId w:val="3"/>
        </w:numPr>
        <w:ind w:hanging="0" w:left="0"/>
        <w:rPr>
          <w:rFonts w:ascii="Calibri" w:hAnsi="Calibri"/>
          <w:sz w:val="22"/>
          <w:szCs w:val="22"/>
        </w:rPr>
      </w:pPr>
      <w:r>
        <w:rPr>
          <w:rFonts w:cs="Calibri" w:cstheme="minorHAnsi"/>
          <w:sz w:val="22"/>
          <w:szCs w:val="22"/>
          <w:shd w:fill="auto" w:val="clear"/>
        </w:rPr>
        <w:t>O reajuste será concedido mediante solicitação formal da detentora da ARP – Ata de Registro de Preços, acompanhada da demonstração analítica da variação dos custos, observadas as disposições legais aplicáveis.</w:t>
      </w:r>
    </w:p>
    <w:p>
      <w:pPr>
        <w:pStyle w:val="Segundo"/>
        <w:numPr>
          <w:ilvl w:val="0"/>
          <w:numId w:val="0"/>
        </w:numPr>
        <w:ind w:hanging="0" w:left="0"/>
        <w:rPr>
          <w:rFonts w:ascii="Calibri" w:hAnsi="Calibri" w:cs="Calibri" w:asciiTheme="minorHAnsi" w:cstheme="minorHAnsi" w:hAnsiTheme="minorHAnsi"/>
          <w:sz w:val="22"/>
          <w:szCs w:val="22"/>
        </w:rPr>
      </w:pPr>
      <w:r>
        <w:rPr>
          <w:rFonts w:cs="Calibri" w:cstheme="minorHAnsi"/>
          <w:sz w:val="22"/>
          <w:szCs w:val="22"/>
        </w:rPr>
      </w:r>
    </w:p>
    <w:p>
      <w:pPr>
        <w:pStyle w:val="Segundo"/>
        <w:numPr>
          <w:ilvl w:val="1"/>
          <w:numId w:val="3"/>
        </w:numPr>
        <w:ind w:hanging="0" w:left="0"/>
        <w:rPr>
          <w:rFonts w:ascii="Calibri" w:hAnsi="Calibri"/>
          <w:sz w:val="22"/>
          <w:szCs w:val="22"/>
        </w:rPr>
      </w:pPr>
      <w:r>
        <w:rPr>
          <w:sz w:val="22"/>
          <w:szCs w:val="22"/>
        </w:rPr>
        <w:t>Após a aplicação do reajuste nos termos deste documento, o novo valor da parcela ou saldo contratual terá vigência e passará a ser praticado, pelo próximo período de 12 (doze) meses, sem reajuste adicional e, assim, sucessivamente, durante a existência jurídica da ARP – Ata de Registro de Preços.</w:t>
      </w:r>
    </w:p>
    <w:p>
      <w:pPr>
        <w:pStyle w:val="Segundo"/>
        <w:numPr>
          <w:ilvl w:val="0"/>
          <w:numId w:val="0"/>
        </w:numPr>
        <w:ind w:hanging="0" w:left="0"/>
        <w:rPr>
          <w:rFonts w:ascii="Calibri" w:hAnsi="Calibri" w:cs="Calibri" w:asciiTheme="minorHAnsi" w:cstheme="minorHAnsi" w:hAnsiTheme="minorHAnsi"/>
          <w:sz w:val="22"/>
          <w:szCs w:val="22"/>
        </w:rPr>
      </w:pPr>
      <w:r>
        <w:rPr>
          <w:rFonts w:cs="Calibri" w:cstheme="minorHAnsi"/>
          <w:sz w:val="22"/>
          <w:szCs w:val="22"/>
        </w:rPr>
      </w:r>
    </w:p>
    <w:p>
      <w:pPr>
        <w:pStyle w:val="Segundo"/>
        <w:numPr>
          <w:ilvl w:val="1"/>
          <w:numId w:val="3"/>
        </w:numPr>
        <w:ind w:hanging="0" w:left="0"/>
        <w:rPr>
          <w:rFonts w:ascii="Calibri" w:hAnsi="Calibri"/>
          <w:sz w:val="22"/>
          <w:szCs w:val="22"/>
        </w:rPr>
      </w:pPr>
      <w:r>
        <w:rPr>
          <w:sz w:val="22"/>
          <w:szCs w:val="22"/>
        </w:rPr>
        <w:t>Ocorrendo o desequilíbrio econômico-financeiro da ARP – Ata de Registro de Preços, poderá ser restabelecida à relação que as partes pactuaram inicialmente, nos termos do art. 124, inciso II, alínea d, da Lei Federal nº 14.133/2021, mediante comprovação documental e requerimento expresso do FORNECEDOR.</w:t>
      </w:r>
    </w:p>
    <w:p>
      <w:pPr>
        <w:pStyle w:val="Segundo"/>
        <w:numPr>
          <w:ilvl w:val="0"/>
          <w:numId w:val="0"/>
        </w:numPr>
        <w:ind w:hanging="0" w:left="0"/>
        <w:rPr>
          <w:rFonts w:ascii="Calibri" w:hAnsi="Calibri" w:cs="Calibri" w:asciiTheme="minorHAnsi" w:cstheme="minorHAnsi" w:hAnsiTheme="minorHAnsi"/>
          <w:sz w:val="22"/>
          <w:szCs w:val="22"/>
        </w:rPr>
      </w:pPr>
      <w:r>
        <w:rPr>
          <w:rFonts w:cs="Calibri" w:cstheme="minorHAnsi"/>
          <w:sz w:val="22"/>
          <w:szCs w:val="22"/>
        </w:rPr>
      </w:r>
    </w:p>
    <w:p>
      <w:pPr>
        <w:pStyle w:val="Segundo"/>
        <w:numPr>
          <w:ilvl w:val="1"/>
          <w:numId w:val="3"/>
        </w:numPr>
        <w:ind w:hanging="0" w:left="0"/>
        <w:rPr>
          <w:rFonts w:ascii="Calibri" w:hAnsi="Calibri"/>
          <w:sz w:val="22"/>
          <w:szCs w:val="22"/>
        </w:rPr>
      </w:pPr>
      <w:r>
        <w:rPr>
          <w:rFonts w:cs="Calibri" w:cstheme="minorHAnsi"/>
          <w:sz w:val="22"/>
          <w:szCs w:val="22"/>
        </w:rPr>
        <w:t xml:space="preserve">O </w:t>
      </w:r>
      <w:r>
        <w:rPr>
          <w:sz w:val="22"/>
          <w:szCs w:val="22"/>
        </w:rPr>
        <w:t>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p>
    <w:p>
      <w:pPr>
        <w:pStyle w:val="Segundo"/>
        <w:numPr>
          <w:ilvl w:val="0"/>
          <w:numId w:val="0"/>
        </w:numPr>
        <w:ind w:hanging="0" w:left="0"/>
        <w:rPr>
          <w:rFonts w:ascii="Calibri" w:hAnsi="Calibri"/>
          <w:sz w:val="22"/>
          <w:szCs w:val="22"/>
        </w:rPr>
      </w:pPr>
      <w:r>
        <w:rPr>
          <w:sz w:val="22"/>
          <w:szCs w:val="22"/>
        </w:rPr>
      </w:r>
    </w:p>
    <w:p>
      <w:pPr>
        <w:pStyle w:val="Terceiro"/>
        <w:numPr>
          <w:ilvl w:val="2"/>
          <w:numId w:val="3"/>
        </w:numPr>
        <w:bidi w:val="0"/>
        <w:spacing w:before="0" w:after="0"/>
        <w:rPr/>
      </w:pPr>
      <w:r>
        <w:rPr>
          <w:sz w:val="22"/>
          <w:szCs w:val="22"/>
        </w:rPr>
        <w:t xml:space="preserve">O pedido de reequilíbrio econômico-financeiro não autoriza a suspensão do fornecimento pelo licitante vencedor </w:t>
      </w:r>
      <w:r>
        <w:rPr>
          <w:color w:val="auto"/>
          <w:kern w:val="0"/>
          <w:sz w:val="22"/>
          <w:szCs w:val="22"/>
          <w:lang w:val="pt-BR" w:eastAsia="en-US" w:bidi="ar-SA"/>
        </w:rPr>
        <w:t>enquanto</w:t>
      </w:r>
      <w:r>
        <w:rPr>
          <w:sz w:val="22"/>
          <w:szCs w:val="22"/>
        </w:rPr>
        <w:t xml:space="preserve"> não houver decisão administrativa definitiva.</w:t>
      </w:r>
    </w:p>
    <w:p>
      <w:pPr>
        <w:pStyle w:val="Segundo"/>
        <w:numPr>
          <w:ilvl w:val="0"/>
          <w:numId w:val="0"/>
        </w:numPr>
        <w:ind w:hanging="0" w:left="0"/>
        <w:rPr>
          <w:rFonts w:ascii="Calibri" w:hAnsi="Calibri" w:cs="Calibri" w:asciiTheme="minorHAnsi" w:cstheme="minorHAnsi" w:hAnsiTheme="minorHAnsi"/>
          <w:sz w:val="22"/>
          <w:szCs w:val="22"/>
        </w:rPr>
      </w:pPr>
      <w:r>
        <w:rPr>
          <w:rFonts w:cs="Calibri" w:cstheme="minorHAnsi"/>
          <w:sz w:val="22"/>
          <w:szCs w:val="22"/>
        </w:rPr>
      </w:r>
    </w:p>
    <w:p>
      <w:pPr>
        <w:pStyle w:val="Primeiro"/>
        <w:numPr>
          <w:ilvl w:val="0"/>
          <w:numId w:val="3"/>
        </w:numPr>
        <w:rPr>
          <w:rFonts w:ascii="Calibri" w:hAnsi="Calibri"/>
          <w:sz w:val="22"/>
          <w:szCs w:val="22"/>
        </w:rPr>
      </w:pPr>
      <w:r>
        <w:rPr>
          <w:rFonts w:cs="Calibri" w:cstheme="minorHAnsi"/>
          <w:sz w:val="22"/>
          <w:szCs w:val="22"/>
        </w:rPr>
        <w:t>DOS RECURSOS ORÇAMENTÁRIOS.</w:t>
      </w:r>
    </w:p>
    <w:p>
      <w:pPr>
        <w:pStyle w:val="Prembulo"/>
        <w:rPr>
          <w:rFonts w:ascii="Calibri" w:hAnsi="Calibri" w:cs="Calibri" w:asciiTheme="minorHAnsi" w:cstheme="minorHAnsi" w:hAnsiTheme="minorHAnsi"/>
          <w:sz w:val="22"/>
          <w:szCs w:val="22"/>
        </w:rPr>
      </w:pPr>
      <w:r>
        <w:rPr>
          <w:rFonts w:cs="Calibri" w:cstheme="minorHAnsi"/>
          <w:sz w:val="22"/>
          <w:szCs w:val="22"/>
        </w:rPr>
      </w:r>
    </w:p>
    <w:p>
      <w:pPr>
        <w:pStyle w:val="Segundo"/>
        <w:numPr>
          <w:ilvl w:val="1"/>
          <w:numId w:val="3"/>
        </w:numPr>
        <w:ind w:hanging="0" w:left="0"/>
        <w:rPr>
          <w:rFonts w:ascii="Calibri" w:hAnsi="Calibri"/>
          <w:sz w:val="22"/>
          <w:szCs w:val="22"/>
        </w:rPr>
      </w:pPr>
      <w:r>
        <w:rPr>
          <w:sz w:val="22"/>
          <w:szCs w:val="22"/>
        </w:rPr>
        <w:t>Por tratar-se de licitação para aquisição através de Sistema de Registro de Preços, as despesas decorrentes das contratações feitas do FORNECEDOR correrão a conta do orçamento vigente, e nas indicadas na Ordem de Compra, ou documento equivalente, emitido pelo MUNICÍPIO.</w:t>
      </w:r>
    </w:p>
    <w:p>
      <w:pPr>
        <w:pStyle w:val="Corpo"/>
        <w:ind w:hanging="0" w:left="0"/>
        <w:rPr>
          <w:rFonts w:ascii="Calibri" w:hAnsi="Calibri"/>
          <w:sz w:val="22"/>
          <w:szCs w:val="22"/>
        </w:rPr>
      </w:pPr>
      <w:r>
        <w:rPr>
          <w:sz w:val="22"/>
          <w:szCs w:val="22"/>
        </w:rPr>
      </w:r>
    </w:p>
    <w:p>
      <w:pPr>
        <w:pStyle w:val="Primeiro"/>
        <w:numPr>
          <w:ilvl w:val="0"/>
          <w:numId w:val="3"/>
        </w:numPr>
        <w:rPr>
          <w:rFonts w:ascii="Calibri" w:hAnsi="Calibri"/>
          <w:sz w:val="22"/>
          <w:szCs w:val="22"/>
        </w:rPr>
      </w:pPr>
      <w:r>
        <w:rPr>
          <w:sz w:val="22"/>
          <w:szCs w:val="22"/>
        </w:rPr>
        <w:t>DO CANCELAMENTO DA ATA DE REGISTRO DE PREÇOS.</w:t>
      </w:r>
    </w:p>
    <w:p>
      <w:pPr>
        <w:pStyle w:val="Corpo"/>
        <w:ind w:hanging="0" w:left="0"/>
        <w:rPr>
          <w:rFonts w:ascii="Calibri" w:hAnsi="Calibri"/>
          <w:sz w:val="22"/>
          <w:szCs w:val="22"/>
        </w:rPr>
      </w:pPr>
      <w:r>
        <w:rPr>
          <w:sz w:val="22"/>
          <w:szCs w:val="22"/>
        </w:rPr>
      </w:r>
    </w:p>
    <w:p>
      <w:pPr>
        <w:pStyle w:val="Segundo"/>
        <w:numPr>
          <w:ilvl w:val="1"/>
          <w:numId w:val="3"/>
        </w:numPr>
        <w:ind w:hanging="0" w:left="0"/>
        <w:rPr>
          <w:rFonts w:ascii="Calibri" w:hAnsi="Calibri"/>
          <w:sz w:val="22"/>
          <w:szCs w:val="22"/>
        </w:rPr>
      </w:pPr>
      <w:r>
        <w:rPr>
          <w:sz w:val="22"/>
          <w:szCs w:val="22"/>
        </w:rPr>
        <w:t>A presente ARP – Ata de Registro de Preços poderá ser cancelada de pleno direito nas seguintes condições:</w:t>
      </w:r>
    </w:p>
    <w:p>
      <w:pPr>
        <w:pStyle w:val="Terceiro"/>
        <w:numPr>
          <w:ilvl w:val="0"/>
          <w:numId w:val="0"/>
        </w:numPr>
        <w:ind w:hanging="0" w:left="284"/>
        <w:rPr>
          <w:rFonts w:ascii="Calibri" w:hAnsi="Calibri"/>
          <w:sz w:val="22"/>
          <w:szCs w:val="22"/>
        </w:rPr>
      </w:pPr>
      <w:r>
        <w:rPr>
          <w:sz w:val="22"/>
          <w:szCs w:val="22"/>
        </w:rPr>
      </w:r>
    </w:p>
    <w:p>
      <w:pPr>
        <w:pStyle w:val="Terceiro"/>
        <w:numPr>
          <w:ilvl w:val="2"/>
          <w:numId w:val="3"/>
        </w:numPr>
        <w:ind w:hanging="0" w:left="284"/>
        <w:rPr>
          <w:rFonts w:ascii="Calibri" w:hAnsi="Calibri"/>
          <w:sz w:val="22"/>
          <w:szCs w:val="22"/>
        </w:rPr>
      </w:pPr>
      <w:r>
        <w:rPr>
          <w:sz w:val="22"/>
          <w:szCs w:val="22"/>
        </w:rPr>
        <w:t>Pelo MUNICÍPIO:</w:t>
      </w:r>
    </w:p>
    <w:p>
      <w:pPr>
        <w:pStyle w:val="Alnea"/>
        <w:numPr>
          <w:ilvl w:val="0"/>
          <w:numId w:val="0"/>
        </w:numPr>
        <w:ind w:hanging="0" w:left="1080"/>
        <w:rPr>
          <w:rFonts w:ascii="Calibri" w:hAnsi="Calibri"/>
          <w:sz w:val="22"/>
          <w:szCs w:val="22"/>
        </w:rPr>
      </w:pPr>
      <w:r>
        <w:rPr>
          <w:sz w:val="22"/>
          <w:szCs w:val="22"/>
        </w:rPr>
      </w:r>
    </w:p>
    <w:p>
      <w:pPr>
        <w:pStyle w:val="Alnea"/>
        <w:numPr>
          <w:ilvl w:val="1"/>
          <w:numId w:val="10"/>
        </w:numPr>
        <w:rPr>
          <w:rFonts w:ascii="Calibri" w:hAnsi="Calibri"/>
          <w:sz w:val="22"/>
          <w:szCs w:val="22"/>
        </w:rPr>
      </w:pPr>
      <w:r>
        <w:rPr>
          <w:sz w:val="22"/>
          <w:szCs w:val="22"/>
        </w:rPr>
        <w:t>Quando o FORNECEDOR não cumprir as obrigações constantes da presente ARP – Ata de Registro de Preços;</w:t>
      </w:r>
    </w:p>
    <w:p>
      <w:pPr>
        <w:pStyle w:val="Alnea"/>
        <w:numPr>
          <w:ilvl w:val="1"/>
          <w:numId w:val="8"/>
        </w:numPr>
        <w:rPr>
          <w:rFonts w:ascii="Calibri" w:hAnsi="Calibri"/>
          <w:sz w:val="22"/>
          <w:szCs w:val="22"/>
        </w:rPr>
      </w:pPr>
      <w:r>
        <w:rPr>
          <w:sz w:val="22"/>
          <w:szCs w:val="22"/>
        </w:rPr>
        <w:t>Quando o FORNECEDOR não assinar a presente ARP – Ata de Registro de Preços no prazo estabelecido;</w:t>
      </w:r>
    </w:p>
    <w:p>
      <w:pPr>
        <w:pStyle w:val="Alnea"/>
        <w:numPr>
          <w:ilvl w:val="1"/>
          <w:numId w:val="8"/>
        </w:numPr>
        <w:rPr>
          <w:rFonts w:ascii="Calibri" w:hAnsi="Calibri"/>
          <w:sz w:val="22"/>
          <w:szCs w:val="22"/>
        </w:rPr>
      </w:pPr>
      <w:r>
        <w:rPr>
          <w:sz w:val="22"/>
          <w:szCs w:val="22"/>
        </w:rPr>
        <w:t>Quando o FORNECEDOR der causa a rescisão administrativa deste registro de preços, nas hipóteses previstas na Lei Federal nº 14.133/2021;</w:t>
      </w:r>
    </w:p>
    <w:p>
      <w:pPr>
        <w:pStyle w:val="Alnea"/>
        <w:numPr>
          <w:ilvl w:val="1"/>
          <w:numId w:val="8"/>
        </w:numPr>
        <w:rPr>
          <w:rFonts w:ascii="Calibri" w:hAnsi="Calibri"/>
          <w:sz w:val="22"/>
          <w:szCs w:val="22"/>
        </w:rPr>
      </w:pPr>
      <w:r>
        <w:rPr>
          <w:sz w:val="22"/>
          <w:szCs w:val="22"/>
        </w:rPr>
        <w:t>Não aceitar reduzir o seu preço registrado, na hipótese de este se tornar superior aos praticados no mercado;</w:t>
      </w:r>
    </w:p>
    <w:p>
      <w:pPr>
        <w:pStyle w:val="Alnea"/>
        <w:numPr>
          <w:ilvl w:val="1"/>
          <w:numId w:val="8"/>
        </w:numPr>
        <w:rPr>
          <w:rFonts w:ascii="Calibri" w:hAnsi="Calibri"/>
          <w:sz w:val="22"/>
          <w:szCs w:val="22"/>
        </w:rPr>
      </w:pPr>
      <w:r>
        <w:rPr>
          <w:sz w:val="22"/>
          <w:szCs w:val="22"/>
        </w:rPr>
        <w:t>Por razoes de interesse público devidamente demonstrado e justificado pelo MUNICÍPIO.</w:t>
      </w:r>
    </w:p>
    <w:p>
      <w:pPr>
        <w:pStyle w:val="Alnea"/>
        <w:numPr>
          <w:ilvl w:val="0"/>
          <w:numId w:val="0"/>
        </w:numPr>
        <w:ind w:hanging="0" w:left="1080"/>
        <w:rPr>
          <w:rFonts w:ascii="Calibri" w:hAnsi="Calibri"/>
          <w:sz w:val="22"/>
          <w:szCs w:val="22"/>
        </w:rPr>
      </w:pPr>
      <w:r>
        <w:rPr>
          <w:sz w:val="22"/>
          <w:szCs w:val="22"/>
        </w:rPr>
      </w:r>
    </w:p>
    <w:p>
      <w:pPr>
        <w:pStyle w:val="Terceiro"/>
        <w:numPr>
          <w:ilvl w:val="2"/>
          <w:numId w:val="3"/>
        </w:numPr>
        <w:ind w:hanging="0" w:left="284"/>
        <w:rPr>
          <w:rFonts w:ascii="Calibri" w:hAnsi="Calibri"/>
          <w:sz w:val="22"/>
          <w:szCs w:val="22"/>
        </w:rPr>
      </w:pPr>
      <w:r>
        <w:rPr>
          <w:sz w:val="22"/>
          <w:szCs w:val="22"/>
        </w:rPr>
        <w:t xml:space="preserve"> </w:t>
      </w:r>
      <w:r>
        <w:rPr>
          <w:sz w:val="22"/>
          <w:szCs w:val="22"/>
        </w:rPr>
        <w:t>Pelo FORNECEDOR:</w:t>
      </w:r>
    </w:p>
    <w:p>
      <w:pPr>
        <w:pStyle w:val="Alnea"/>
        <w:numPr>
          <w:ilvl w:val="0"/>
          <w:numId w:val="0"/>
        </w:numPr>
        <w:ind w:hanging="0" w:left="1080"/>
        <w:rPr>
          <w:rFonts w:ascii="Calibri" w:hAnsi="Calibri"/>
          <w:sz w:val="22"/>
          <w:szCs w:val="22"/>
        </w:rPr>
      </w:pPr>
      <w:r>
        <w:rPr>
          <w:sz w:val="22"/>
          <w:szCs w:val="22"/>
        </w:rPr>
      </w:r>
    </w:p>
    <w:p>
      <w:pPr>
        <w:pStyle w:val="Alnea"/>
        <w:numPr>
          <w:ilvl w:val="1"/>
          <w:numId w:val="11"/>
        </w:numPr>
        <w:rPr>
          <w:rFonts w:ascii="Calibri" w:hAnsi="Calibri"/>
          <w:sz w:val="22"/>
          <w:szCs w:val="22"/>
        </w:rPr>
      </w:pPr>
      <w:r>
        <w:rPr>
          <w:sz w:val="22"/>
          <w:szCs w:val="22"/>
        </w:rPr>
        <w:t>Mediante solicitação por escrito, antes do pedido de fornecimento, comprovando estar impossibilitado de cumprir as exigências desta ARP – Ata de Registro de Preços;</w:t>
      </w:r>
    </w:p>
    <w:p>
      <w:pPr>
        <w:pStyle w:val="Alnea"/>
        <w:numPr>
          <w:ilvl w:val="1"/>
          <w:numId w:val="8"/>
        </w:numPr>
        <w:rPr>
          <w:rFonts w:ascii="Calibri" w:hAnsi="Calibri"/>
          <w:sz w:val="22"/>
          <w:szCs w:val="22"/>
        </w:rPr>
      </w:pPr>
      <w:r>
        <w:rPr>
          <w:sz w:val="22"/>
          <w:szCs w:val="22"/>
        </w:rPr>
        <w:t>Mediante solicitação por escrito, na ocorrência de fato superveniente, decorrente de caso fortuito ou força maior;</w:t>
      </w:r>
    </w:p>
    <w:p>
      <w:pPr>
        <w:pStyle w:val="Alnea"/>
        <w:numPr>
          <w:ilvl w:val="0"/>
          <w:numId w:val="0"/>
        </w:numPr>
        <w:ind w:hanging="0" w:left="720"/>
        <w:rPr>
          <w:rFonts w:ascii="Calibri" w:hAnsi="Calibri"/>
          <w:sz w:val="22"/>
          <w:szCs w:val="22"/>
        </w:rPr>
      </w:pPr>
      <w:r>
        <w:rPr>
          <w:sz w:val="22"/>
          <w:szCs w:val="22"/>
        </w:rPr>
      </w:r>
    </w:p>
    <w:p>
      <w:pPr>
        <w:pStyle w:val="Segundo"/>
        <w:numPr>
          <w:ilvl w:val="1"/>
          <w:numId w:val="3"/>
        </w:numPr>
        <w:ind w:hanging="0" w:left="0"/>
        <w:rPr>
          <w:rFonts w:ascii="Calibri" w:hAnsi="Calibri"/>
          <w:sz w:val="22"/>
          <w:szCs w:val="22"/>
        </w:rPr>
      </w:pPr>
      <w:r>
        <w:rPr>
          <w:sz w:val="22"/>
          <w:szCs w:val="22"/>
        </w:rPr>
        <w:t>Ocorrendo cancelamento dos preços registrados, o FORNECEDOR será informado por correspondência com Aviso de Recebimento, a qual será juntada ao processo administrativo da presente.</w:t>
      </w:r>
    </w:p>
    <w:p>
      <w:pPr>
        <w:pStyle w:val="Segundo"/>
        <w:numPr>
          <w:ilvl w:val="0"/>
          <w:numId w:val="0"/>
        </w:numPr>
        <w:ind w:hanging="0" w:left="0"/>
        <w:rPr>
          <w:rFonts w:ascii="Calibri" w:hAnsi="Calibri"/>
          <w:sz w:val="22"/>
          <w:szCs w:val="22"/>
        </w:rPr>
      </w:pPr>
      <w:r>
        <w:rPr>
          <w:sz w:val="22"/>
          <w:szCs w:val="22"/>
        </w:rPr>
      </w:r>
    </w:p>
    <w:p>
      <w:pPr>
        <w:pStyle w:val="Segundo"/>
        <w:numPr>
          <w:ilvl w:val="1"/>
          <w:numId w:val="3"/>
        </w:numPr>
        <w:ind w:hanging="0" w:left="0"/>
        <w:rPr>
          <w:rFonts w:ascii="Calibri" w:hAnsi="Calibri"/>
          <w:sz w:val="22"/>
          <w:szCs w:val="22"/>
        </w:rPr>
      </w:pPr>
      <w:r>
        <w:rPr>
          <w:sz w:val="22"/>
          <w:szCs w:val="22"/>
        </w:rPr>
        <w:t>A solicitação do FORNECEDOR para cancelamento dos preços registrados poderá não ser aceita pelo MUNICÍPIO, facultando-se a este à aplicação das sanções previstas nesta ARP – Ata de Registro de Preços.</w:t>
      </w:r>
    </w:p>
    <w:p>
      <w:pPr>
        <w:pStyle w:val="ListParagraph"/>
        <w:rPr>
          <w:rFonts w:ascii="Calibri" w:hAnsi="Calibri"/>
          <w:sz w:val="22"/>
          <w:szCs w:val="22"/>
        </w:rPr>
      </w:pPr>
      <w:r>
        <w:rPr>
          <w:rFonts w:ascii="Calibri" w:hAnsi="Calibri"/>
          <w:sz w:val="22"/>
          <w:szCs w:val="22"/>
        </w:rPr>
      </w:r>
    </w:p>
    <w:p>
      <w:pPr>
        <w:pStyle w:val="Segundo"/>
        <w:numPr>
          <w:ilvl w:val="1"/>
          <w:numId w:val="3"/>
        </w:numPr>
        <w:ind w:hanging="0" w:left="0"/>
        <w:rPr>
          <w:rFonts w:ascii="Calibri" w:hAnsi="Calibri"/>
          <w:sz w:val="22"/>
          <w:szCs w:val="22"/>
        </w:rPr>
      </w:pPr>
      <w:r>
        <w:rPr>
          <w:sz w:val="22"/>
          <w:szCs w:val="22"/>
        </w:rPr>
        <w:t>Havendo o cancelamento dos preços registrados, cessarão todas as atividades do FORNECEDOR em relação ao fornecimento dos itens registrados.</w:t>
      </w:r>
    </w:p>
    <w:p>
      <w:pPr>
        <w:pStyle w:val="Corpo"/>
        <w:ind w:hanging="0" w:left="0"/>
        <w:rPr>
          <w:rFonts w:ascii="Calibri" w:hAnsi="Calibri"/>
          <w:sz w:val="22"/>
          <w:szCs w:val="22"/>
        </w:rPr>
      </w:pPr>
      <w:r>
        <w:rPr>
          <w:sz w:val="22"/>
          <w:szCs w:val="22"/>
        </w:rPr>
      </w:r>
    </w:p>
    <w:p>
      <w:pPr>
        <w:pStyle w:val="Primeiro"/>
        <w:numPr>
          <w:ilvl w:val="0"/>
          <w:numId w:val="3"/>
        </w:numPr>
        <w:rPr>
          <w:rFonts w:ascii="Calibri" w:hAnsi="Calibri"/>
          <w:sz w:val="22"/>
          <w:szCs w:val="22"/>
        </w:rPr>
      </w:pPr>
      <w:r>
        <w:rPr>
          <w:sz w:val="22"/>
          <w:szCs w:val="22"/>
        </w:rPr>
        <w:t>DAS PENALIDADES</w:t>
      </w:r>
    </w:p>
    <w:p>
      <w:pPr>
        <w:pStyle w:val="Corpo"/>
        <w:ind w:hanging="0" w:left="0"/>
        <w:rPr>
          <w:rFonts w:ascii="Calibri" w:hAnsi="Calibri"/>
          <w:sz w:val="22"/>
          <w:szCs w:val="22"/>
        </w:rPr>
      </w:pPr>
      <w:r>
        <w:rPr>
          <w:sz w:val="22"/>
          <w:szCs w:val="22"/>
        </w:rPr>
      </w:r>
    </w:p>
    <w:p>
      <w:pPr>
        <w:pStyle w:val="Segundo"/>
        <w:numPr>
          <w:ilvl w:val="1"/>
          <w:numId w:val="3"/>
        </w:numPr>
        <w:ind w:hanging="0" w:left="0"/>
        <w:rPr>
          <w:rFonts w:ascii="Calibri" w:hAnsi="Calibri"/>
          <w:sz w:val="22"/>
          <w:szCs w:val="22"/>
        </w:rPr>
      </w:pPr>
      <w:r>
        <w:rPr>
          <w:sz w:val="22"/>
          <w:szCs w:val="22"/>
        </w:rPr>
        <w:t>Comete infração administrativa, nos termos da Lei Federal nº 14.133/2021 e do Decreto Municipal nº 3.243/2024, o FORNECEDOR que:</w:t>
      </w:r>
    </w:p>
    <w:p>
      <w:pPr>
        <w:pStyle w:val="Segundo"/>
        <w:numPr>
          <w:ilvl w:val="0"/>
          <w:numId w:val="0"/>
        </w:numPr>
        <w:ind w:hanging="0" w:left="0"/>
        <w:rPr>
          <w:rFonts w:ascii="Calibri" w:hAnsi="Calibri"/>
          <w:sz w:val="22"/>
          <w:szCs w:val="22"/>
        </w:rPr>
      </w:pPr>
      <w:r>
        <w:rPr>
          <w:sz w:val="22"/>
          <w:szCs w:val="22"/>
        </w:rPr>
      </w:r>
    </w:p>
    <w:p>
      <w:pPr>
        <w:pStyle w:val="Terceiro"/>
        <w:numPr>
          <w:ilvl w:val="2"/>
          <w:numId w:val="3"/>
        </w:numPr>
        <w:tabs>
          <w:tab w:val="clear" w:pos="851"/>
          <w:tab w:val="left" w:pos="846" w:leader="none"/>
          <w:tab w:val="left" w:pos="993" w:leader="none"/>
          <w:tab w:val="left" w:pos="1701" w:leader="none"/>
        </w:tabs>
        <w:ind w:hanging="0" w:left="284"/>
        <w:rPr>
          <w:rFonts w:ascii="Calibri" w:hAnsi="Calibri"/>
          <w:sz w:val="22"/>
          <w:szCs w:val="22"/>
        </w:rPr>
      </w:pPr>
      <w:r>
        <w:rPr>
          <w:sz w:val="22"/>
          <w:szCs w:val="22"/>
        </w:rPr>
        <w:t>Dar</w:t>
      </w:r>
      <w:r>
        <w:rPr>
          <w:spacing w:val="-4"/>
          <w:sz w:val="22"/>
          <w:szCs w:val="22"/>
        </w:rPr>
        <w:t xml:space="preserve"> </w:t>
      </w:r>
      <w:r>
        <w:rPr>
          <w:sz w:val="22"/>
          <w:szCs w:val="22"/>
        </w:rPr>
        <w:t>causa</w:t>
      </w:r>
      <w:r>
        <w:rPr>
          <w:spacing w:val="-3"/>
          <w:sz w:val="22"/>
          <w:szCs w:val="22"/>
        </w:rPr>
        <w:t xml:space="preserve"> </w:t>
      </w:r>
      <w:r>
        <w:rPr>
          <w:sz w:val="22"/>
          <w:szCs w:val="22"/>
        </w:rPr>
        <w:t>à</w:t>
      </w:r>
      <w:r>
        <w:rPr>
          <w:spacing w:val="-2"/>
          <w:sz w:val="22"/>
          <w:szCs w:val="22"/>
        </w:rPr>
        <w:t xml:space="preserve"> </w:t>
      </w:r>
      <w:r>
        <w:rPr>
          <w:sz w:val="22"/>
          <w:szCs w:val="22"/>
        </w:rPr>
        <w:t>inexecução</w:t>
      </w:r>
      <w:r>
        <w:rPr>
          <w:spacing w:val="-2"/>
          <w:sz w:val="22"/>
          <w:szCs w:val="22"/>
        </w:rPr>
        <w:t xml:space="preserve"> </w:t>
      </w:r>
      <w:r>
        <w:rPr>
          <w:sz w:val="22"/>
          <w:szCs w:val="22"/>
        </w:rPr>
        <w:t>parcial</w:t>
      </w:r>
      <w:r>
        <w:rPr>
          <w:spacing w:val="-2"/>
          <w:sz w:val="22"/>
          <w:szCs w:val="22"/>
        </w:rPr>
        <w:t xml:space="preserve"> </w:t>
      </w:r>
      <w:r>
        <w:rPr>
          <w:sz w:val="22"/>
          <w:szCs w:val="22"/>
        </w:rPr>
        <w:t>da</w:t>
      </w:r>
      <w:r>
        <w:rPr>
          <w:spacing w:val="-2"/>
          <w:sz w:val="22"/>
          <w:szCs w:val="22"/>
        </w:rPr>
        <w:t xml:space="preserve"> ARP - </w:t>
      </w:r>
      <w:r>
        <w:rPr>
          <w:sz w:val="22"/>
          <w:szCs w:val="22"/>
        </w:rPr>
        <w:t>Ata</w:t>
      </w:r>
      <w:r>
        <w:rPr>
          <w:spacing w:val="-3"/>
          <w:sz w:val="22"/>
          <w:szCs w:val="22"/>
        </w:rPr>
        <w:t xml:space="preserve"> </w:t>
      </w:r>
      <w:r>
        <w:rPr>
          <w:sz w:val="22"/>
          <w:szCs w:val="22"/>
        </w:rPr>
        <w:t>de</w:t>
      </w:r>
      <w:r>
        <w:rPr>
          <w:spacing w:val="-2"/>
          <w:sz w:val="22"/>
          <w:szCs w:val="22"/>
        </w:rPr>
        <w:t xml:space="preserve"> </w:t>
      </w:r>
      <w:r>
        <w:rPr>
          <w:sz w:val="22"/>
          <w:szCs w:val="22"/>
        </w:rPr>
        <w:t>Registro</w:t>
      </w:r>
      <w:r>
        <w:rPr>
          <w:spacing w:val="-2"/>
          <w:sz w:val="22"/>
          <w:szCs w:val="22"/>
        </w:rPr>
        <w:t xml:space="preserve"> </w:t>
      </w:r>
      <w:r>
        <w:rPr>
          <w:sz w:val="22"/>
          <w:szCs w:val="22"/>
        </w:rPr>
        <w:t>de</w:t>
      </w:r>
      <w:r>
        <w:rPr>
          <w:spacing w:val="-2"/>
          <w:sz w:val="22"/>
          <w:szCs w:val="22"/>
        </w:rPr>
        <w:t xml:space="preserve"> Preços;</w:t>
      </w:r>
    </w:p>
    <w:p>
      <w:pPr>
        <w:pStyle w:val="Terceiro"/>
        <w:numPr>
          <w:ilvl w:val="0"/>
          <w:numId w:val="0"/>
        </w:numPr>
        <w:tabs>
          <w:tab w:val="clear" w:pos="851"/>
          <w:tab w:val="left" w:pos="846" w:leader="none"/>
          <w:tab w:val="left" w:pos="993" w:leader="none"/>
          <w:tab w:val="left" w:pos="1701" w:leader="none"/>
        </w:tabs>
        <w:ind w:hanging="0" w:left="284"/>
        <w:rPr>
          <w:rFonts w:ascii="Calibri" w:hAnsi="Calibri"/>
          <w:sz w:val="22"/>
          <w:szCs w:val="22"/>
        </w:rPr>
      </w:pPr>
      <w:r>
        <w:rPr>
          <w:sz w:val="22"/>
          <w:szCs w:val="22"/>
        </w:rPr>
      </w:r>
    </w:p>
    <w:p>
      <w:pPr>
        <w:pStyle w:val="Terceiro"/>
        <w:numPr>
          <w:ilvl w:val="2"/>
          <w:numId w:val="3"/>
        </w:numPr>
        <w:tabs>
          <w:tab w:val="clear" w:pos="851"/>
          <w:tab w:val="left" w:pos="846" w:leader="none"/>
          <w:tab w:val="left" w:pos="993" w:leader="none"/>
          <w:tab w:val="left" w:pos="1701" w:leader="none"/>
        </w:tabs>
        <w:ind w:hanging="0" w:left="284"/>
        <w:rPr>
          <w:rFonts w:ascii="Calibri" w:hAnsi="Calibri"/>
          <w:sz w:val="22"/>
          <w:szCs w:val="22"/>
        </w:rPr>
      </w:pPr>
      <w:r>
        <w:rPr>
          <w:rFonts w:eastAsia="Abyssinica SIL" w:cs="Abyssinica SIL"/>
          <w:sz w:val="22"/>
          <w:szCs w:val="22"/>
        </w:rPr>
        <w:t>Dar causa à inexecução parcial da ARP - Ata de Registro de Preços que cause grave dano ao MUNICÍPIO, ao funcionamento dos serviços públicos ou ao interesse coletivo;</w:t>
      </w:r>
    </w:p>
    <w:p>
      <w:pPr>
        <w:pStyle w:val="ListParagraph"/>
        <w:rPr>
          <w:rFonts w:ascii="Calibri" w:hAnsi="Calibri" w:eastAsia="Abyssinica SIL" w:cs="Abyssinica SIL"/>
          <w:sz w:val="22"/>
          <w:szCs w:val="22"/>
        </w:rPr>
      </w:pPr>
      <w:r>
        <w:rPr>
          <w:rFonts w:eastAsia="Abyssinica SIL" w:cs="Abyssinica SIL" w:ascii="Calibri" w:hAnsi="Calibri"/>
          <w:sz w:val="22"/>
          <w:szCs w:val="22"/>
        </w:rPr>
      </w:r>
    </w:p>
    <w:p>
      <w:pPr>
        <w:pStyle w:val="Terceiro"/>
        <w:numPr>
          <w:ilvl w:val="2"/>
          <w:numId w:val="3"/>
        </w:numPr>
        <w:tabs>
          <w:tab w:val="clear" w:pos="851"/>
          <w:tab w:val="left" w:pos="846" w:leader="none"/>
          <w:tab w:val="left" w:pos="993" w:leader="none"/>
          <w:tab w:val="left" w:pos="1701" w:leader="none"/>
        </w:tabs>
        <w:ind w:hanging="0" w:left="284"/>
        <w:rPr>
          <w:rFonts w:ascii="Calibri" w:hAnsi="Calibri"/>
          <w:sz w:val="22"/>
          <w:szCs w:val="22"/>
        </w:rPr>
      </w:pPr>
      <w:r>
        <w:rPr>
          <w:rFonts w:eastAsia="Abyssinica SIL" w:cs="Abyssinica SIL"/>
          <w:sz w:val="22"/>
          <w:szCs w:val="22"/>
        </w:rPr>
        <w:t>Dar</w:t>
      </w:r>
      <w:r>
        <w:rPr>
          <w:rFonts w:eastAsia="Abyssinica SIL" w:cs="Abyssinica SIL"/>
          <w:spacing w:val="-4"/>
          <w:sz w:val="22"/>
          <w:szCs w:val="22"/>
        </w:rPr>
        <w:t xml:space="preserve"> </w:t>
      </w:r>
      <w:r>
        <w:rPr>
          <w:rFonts w:eastAsia="Abyssinica SIL" w:cs="Abyssinica SIL"/>
          <w:sz w:val="22"/>
          <w:szCs w:val="22"/>
        </w:rPr>
        <w:t>causa</w:t>
      </w:r>
      <w:r>
        <w:rPr>
          <w:rFonts w:eastAsia="Abyssinica SIL" w:cs="Abyssinica SIL"/>
          <w:spacing w:val="-2"/>
          <w:sz w:val="22"/>
          <w:szCs w:val="22"/>
        </w:rPr>
        <w:t xml:space="preserve"> </w:t>
      </w:r>
      <w:r>
        <w:rPr>
          <w:rFonts w:eastAsia="Abyssinica SIL" w:cs="Abyssinica SIL"/>
          <w:sz w:val="22"/>
          <w:szCs w:val="22"/>
        </w:rPr>
        <w:t>à</w:t>
      </w:r>
      <w:r>
        <w:rPr>
          <w:rFonts w:eastAsia="Abyssinica SIL" w:cs="Abyssinica SIL"/>
          <w:spacing w:val="-2"/>
          <w:sz w:val="22"/>
          <w:szCs w:val="22"/>
        </w:rPr>
        <w:t xml:space="preserve"> </w:t>
      </w:r>
      <w:r>
        <w:rPr>
          <w:rFonts w:eastAsia="Abyssinica SIL" w:cs="Abyssinica SIL"/>
          <w:sz w:val="22"/>
          <w:szCs w:val="22"/>
        </w:rPr>
        <w:t>inexecução</w:t>
      </w:r>
      <w:r>
        <w:rPr>
          <w:rFonts w:eastAsia="Abyssinica SIL" w:cs="Abyssinica SIL"/>
          <w:spacing w:val="-2"/>
          <w:sz w:val="22"/>
          <w:szCs w:val="22"/>
        </w:rPr>
        <w:t xml:space="preserve"> </w:t>
      </w:r>
      <w:r>
        <w:rPr>
          <w:rFonts w:eastAsia="Abyssinica SIL" w:cs="Abyssinica SIL"/>
          <w:sz w:val="22"/>
          <w:szCs w:val="22"/>
        </w:rPr>
        <w:t>total</w:t>
      </w:r>
      <w:r>
        <w:rPr>
          <w:rFonts w:eastAsia="Abyssinica SIL" w:cs="Abyssinica SIL"/>
          <w:spacing w:val="-2"/>
          <w:sz w:val="22"/>
          <w:szCs w:val="22"/>
        </w:rPr>
        <w:t xml:space="preserve"> </w:t>
      </w:r>
      <w:r>
        <w:rPr>
          <w:rFonts w:eastAsia="Abyssinica SIL" w:cs="Abyssinica SIL"/>
          <w:sz w:val="22"/>
          <w:szCs w:val="22"/>
        </w:rPr>
        <w:t>da ARP -</w:t>
      </w:r>
      <w:r>
        <w:rPr>
          <w:rFonts w:eastAsia="Abyssinica SIL" w:cs="Abyssinica SIL"/>
          <w:spacing w:val="-2"/>
          <w:sz w:val="22"/>
          <w:szCs w:val="22"/>
        </w:rPr>
        <w:t xml:space="preserve"> </w:t>
      </w:r>
      <w:r>
        <w:rPr>
          <w:rFonts w:eastAsia="Abyssinica SIL" w:cs="Abyssinica SIL"/>
          <w:sz w:val="22"/>
          <w:szCs w:val="22"/>
        </w:rPr>
        <w:t>Ata</w:t>
      </w:r>
      <w:r>
        <w:rPr>
          <w:rFonts w:eastAsia="Abyssinica SIL" w:cs="Abyssinica SIL"/>
          <w:spacing w:val="-3"/>
          <w:sz w:val="22"/>
          <w:szCs w:val="22"/>
        </w:rPr>
        <w:t xml:space="preserve"> </w:t>
      </w:r>
      <w:r>
        <w:rPr>
          <w:rFonts w:eastAsia="Abyssinica SIL" w:cs="Abyssinica SIL"/>
          <w:sz w:val="22"/>
          <w:szCs w:val="22"/>
        </w:rPr>
        <w:t>de</w:t>
      </w:r>
      <w:r>
        <w:rPr>
          <w:rFonts w:eastAsia="Abyssinica SIL" w:cs="Abyssinica SIL"/>
          <w:spacing w:val="-2"/>
          <w:sz w:val="22"/>
          <w:szCs w:val="22"/>
        </w:rPr>
        <w:t xml:space="preserve"> </w:t>
      </w:r>
      <w:r>
        <w:rPr>
          <w:rFonts w:eastAsia="Abyssinica SIL" w:cs="Abyssinica SIL"/>
          <w:sz w:val="22"/>
          <w:szCs w:val="22"/>
        </w:rPr>
        <w:t>Registro</w:t>
      </w:r>
      <w:r>
        <w:rPr>
          <w:rFonts w:eastAsia="Abyssinica SIL" w:cs="Abyssinica SIL"/>
          <w:spacing w:val="-1"/>
          <w:sz w:val="22"/>
          <w:szCs w:val="22"/>
        </w:rPr>
        <w:t xml:space="preserve"> </w:t>
      </w:r>
      <w:r>
        <w:rPr>
          <w:rFonts w:eastAsia="Abyssinica SIL" w:cs="Abyssinica SIL"/>
          <w:sz w:val="22"/>
          <w:szCs w:val="22"/>
        </w:rPr>
        <w:t>de</w:t>
      </w:r>
      <w:r>
        <w:rPr>
          <w:rFonts w:eastAsia="Abyssinica SIL" w:cs="Abyssinica SIL"/>
          <w:spacing w:val="-2"/>
          <w:sz w:val="22"/>
          <w:szCs w:val="22"/>
        </w:rPr>
        <w:t xml:space="preserve"> Preços;</w:t>
      </w:r>
    </w:p>
    <w:p>
      <w:pPr>
        <w:pStyle w:val="ListParagraph"/>
        <w:rPr>
          <w:rFonts w:ascii="Calibri" w:hAnsi="Calibri" w:eastAsia="Abyssinica SIL" w:cs="Abyssinica SIL"/>
          <w:sz w:val="22"/>
          <w:szCs w:val="22"/>
        </w:rPr>
      </w:pPr>
      <w:r>
        <w:rPr>
          <w:rFonts w:eastAsia="Abyssinica SIL" w:cs="Abyssinica SIL" w:ascii="Calibri" w:hAnsi="Calibri"/>
          <w:sz w:val="22"/>
          <w:szCs w:val="22"/>
        </w:rPr>
      </w:r>
    </w:p>
    <w:p>
      <w:pPr>
        <w:pStyle w:val="Terceiro"/>
        <w:numPr>
          <w:ilvl w:val="2"/>
          <w:numId w:val="3"/>
        </w:numPr>
        <w:tabs>
          <w:tab w:val="clear" w:pos="851"/>
          <w:tab w:val="left" w:pos="846" w:leader="none"/>
          <w:tab w:val="left" w:pos="993" w:leader="none"/>
          <w:tab w:val="left" w:pos="1701" w:leader="none"/>
        </w:tabs>
        <w:ind w:hanging="0" w:left="284"/>
        <w:rPr>
          <w:rFonts w:ascii="Calibri" w:hAnsi="Calibri"/>
          <w:sz w:val="22"/>
          <w:szCs w:val="22"/>
        </w:rPr>
      </w:pPr>
      <w:r>
        <w:rPr>
          <w:rFonts w:eastAsia="Abyssinica SIL" w:cs="Abyssinica SIL"/>
          <w:sz w:val="22"/>
          <w:szCs w:val="22"/>
        </w:rPr>
        <w:t>Ensejar</w:t>
      </w:r>
      <w:r>
        <w:rPr>
          <w:rFonts w:eastAsia="Abyssinica SIL" w:cs="Abyssinica SIL"/>
          <w:spacing w:val="-3"/>
          <w:sz w:val="22"/>
          <w:szCs w:val="22"/>
        </w:rPr>
        <w:t xml:space="preserve"> </w:t>
      </w:r>
      <w:r>
        <w:rPr>
          <w:rFonts w:eastAsia="Abyssinica SIL" w:cs="Abyssinica SIL"/>
          <w:sz w:val="22"/>
          <w:szCs w:val="22"/>
        </w:rPr>
        <w:t>o</w:t>
      </w:r>
      <w:r>
        <w:rPr>
          <w:rFonts w:eastAsia="Abyssinica SIL" w:cs="Abyssinica SIL"/>
          <w:spacing w:val="-1"/>
          <w:sz w:val="22"/>
          <w:szCs w:val="22"/>
        </w:rPr>
        <w:t xml:space="preserve"> </w:t>
      </w:r>
      <w:r>
        <w:rPr>
          <w:rFonts w:eastAsia="Abyssinica SIL" w:cs="Abyssinica SIL"/>
          <w:sz w:val="22"/>
          <w:szCs w:val="22"/>
        </w:rPr>
        <w:t>retardamento</w:t>
      </w:r>
      <w:r>
        <w:rPr>
          <w:rFonts w:eastAsia="Abyssinica SIL" w:cs="Abyssinica SIL"/>
          <w:spacing w:val="-1"/>
          <w:sz w:val="22"/>
          <w:szCs w:val="22"/>
        </w:rPr>
        <w:t xml:space="preserve"> </w:t>
      </w:r>
      <w:r>
        <w:rPr>
          <w:rFonts w:eastAsia="Abyssinica SIL" w:cs="Abyssinica SIL"/>
          <w:sz w:val="22"/>
          <w:szCs w:val="22"/>
        </w:rPr>
        <w:t>da</w:t>
      </w:r>
      <w:r>
        <w:rPr>
          <w:rFonts w:eastAsia="Abyssinica SIL" w:cs="Abyssinica SIL"/>
          <w:spacing w:val="-2"/>
          <w:sz w:val="22"/>
          <w:szCs w:val="22"/>
        </w:rPr>
        <w:t xml:space="preserve"> </w:t>
      </w:r>
      <w:r>
        <w:rPr>
          <w:rFonts w:eastAsia="Abyssinica SIL" w:cs="Abyssinica SIL"/>
          <w:sz w:val="22"/>
          <w:szCs w:val="22"/>
        </w:rPr>
        <w:t>execução ou</w:t>
      </w:r>
      <w:r>
        <w:rPr>
          <w:rFonts w:eastAsia="Abyssinica SIL" w:cs="Abyssinica SIL"/>
          <w:spacing w:val="-1"/>
          <w:sz w:val="22"/>
          <w:szCs w:val="22"/>
        </w:rPr>
        <w:t xml:space="preserve"> </w:t>
      </w:r>
      <w:r>
        <w:rPr>
          <w:rFonts w:eastAsia="Abyssinica SIL" w:cs="Abyssinica SIL"/>
          <w:sz w:val="22"/>
          <w:szCs w:val="22"/>
        </w:rPr>
        <w:t>da</w:t>
      </w:r>
      <w:r>
        <w:rPr>
          <w:rFonts w:eastAsia="Abyssinica SIL" w:cs="Abyssinica SIL"/>
          <w:spacing w:val="-2"/>
          <w:sz w:val="22"/>
          <w:szCs w:val="22"/>
        </w:rPr>
        <w:t xml:space="preserve"> </w:t>
      </w:r>
      <w:r>
        <w:rPr>
          <w:rFonts w:eastAsia="Abyssinica SIL" w:cs="Abyssinica SIL"/>
          <w:sz w:val="22"/>
          <w:szCs w:val="22"/>
        </w:rPr>
        <w:t>entrega</w:t>
      </w:r>
      <w:r>
        <w:rPr>
          <w:rFonts w:eastAsia="Abyssinica SIL" w:cs="Abyssinica SIL"/>
          <w:spacing w:val="-2"/>
          <w:sz w:val="22"/>
          <w:szCs w:val="22"/>
        </w:rPr>
        <w:t xml:space="preserve"> </w:t>
      </w:r>
      <w:r>
        <w:rPr>
          <w:rFonts w:eastAsia="Abyssinica SIL" w:cs="Abyssinica SIL"/>
          <w:sz w:val="22"/>
          <w:szCs w:val="22"/>
        </w:rPr>
        <w:t>do</w:t>
      </w:r>
      <w:r>
        <w:rPr>
          <w:rFonts w:eastAsia="Abyssinica SIL" w:cs="Abyssinica SIL"/>
          <w:spacing w:val="-1"/>
          <w:sz w:val="22"/>
          <w:szCs w:val="22"/>
        </w:rPr>
        <w:t xml:space="preserve"> </w:t>
      </w:r>
      <w:r>
        <w:rPr>
          <w:rFonts w:eastAsia="Abyssinica SIL" w:cs="Abyssinica SIL"/>
          <w:sz w:val="22"/>
          <w:szCs w:val="22"/>
        </w:rPr>
        <w:t>objeto da</w:t>
      </w:r>
      <w:r>
        <w:rPr>
          <w:rFonts w:eastAsia="Abyssinica SIL" w:cs="Abyssinica SIL"/>
          <w:spacing w:val="-2"/>
          <w:sz w:val="22"/>
          <w:szCs w:val="22"/>
        </w:rPr>
        <w:t xml:space="preserve"> </w:t>
      </w:r>
      <w:r>
        <w:rPr>
          <w:rFonts w:eastAsia="Abyssinica SIL" w:cs="Abyssinica SIL"/>
          <w:sz w:val="22"/>
          <w:szCs w:val="22"/>
        </w:rPr>
        <w:t>licitação</w:t>
      </w:r>
      <w:r>
        <w:rPr>
          <w:rFonts w:eastAsia="Abyssinica SIL" w:cs="Abyssinica SIL"/>
          <w:spacing w:val="-1"/>
          <w:sz w:val="22"/>
          <w:szCs w:val="22"/>
        </w:rPr>
        <w:t xml:space="preserve"> </w:t>
      </w:r>
      <w:r>
        <w:rPr>
          <w:rFonts w:eastAsia="Abyssinica SIL" w:cs="Abyssinica SIL"/>
          <w:sz w:val="22"/>
          <w:szCs w:val="22"/>
        </w:rPr>
        <w:t>sem</w:t>
      </w:r>
      <w:r>
        <w:rPr>
          <w:rFonts w:eastAsia="Abyssinica SIL" w:cs="Abyssinica SIL"/>
          <w:spacing w:val="-2"/>
          <w:sz w:val="22"/>
          <w:szCs w:val="22"/>
        </w:rPr>
        <w:t xml:space="preserve"> </w:t>
      </w:r>
      <w:r>
        <w:rPr>
          <w:rFonts w:eastAsia="Abyssinica SIL" w:cs="Abyssinica SIL"/>
          <w:sz w:val="22"/>
          <w:szCs w:val="22"/>
        </w:rPr>
        <w:t xml:space="preserve">motivo </w:t>
      </w:r>
      <w:r>
        <w:rPr>
          <w:rFonts w:eastAsia="Abyssinica SIL" w:cs="Abyssinica SIL"/>
          <w:spacing w:val="-2"/>
          <w:sz w:val="22"/>
          <w:szCs w:val="22"/>
        </w:rPr>
        <w:t>justificado;</w:t>
      </w:r>
    </w:p>
    <w:p>
      <w:pPr>
        <w:pStyle w:val="ListParagraph"/>
        <w:rPr>
          <w:rFonts w:ascii="Calibri" w:hAnsi="Calibri" w:eastAsia="Abyssinica SIL" w:cs="Abyssinica SIL"/>
          <w:sz w:val="22"/>
          <w:szCs w:val="22"/>
        </w:rPr>
      </w:pPr>
      <w:r>
        <w:rPr>
          <w:rFonts w:eastAsia="Abyssinica SIL" w:cs="Abyssinica SIL" w:ascii="Calibri" w:hAnsi="Calibri"/>
          <w:sz w:val="22"/>
          <w:szCs w:val="22"/>
        </w:rPr>
      </w:r>
    </w:p>
    <w:p>
      <w:pPr>
        <w:pStyle w:val="Terceiro"/>
        <w:numPr>
          <w:ilvl w:val="2"/>
          <w:numId w:val="3"/>
        </w:numPr>
        <w:tabs>
          <w:tab w:val="clear" w:pos="851"/>
          <w:tab w:val="left" w:pos="846" w:leader="none"/>
          <w:tab w:val="left" w:pos="993" w:leader="none"/>
          <w:tab w:val="left" w:pos="1701" w:leader="none"/>
        </w:tabs>
        <w:ind w:hanging="0" w:left="284"/>
        <w:rPr>
          <w:rFonts w:ascii="Calibri" w:hAnsi="Calibri"/>
          <w:sz w:val="22"/>
          <w:szCs w:val="22"/>
        </w:rPr>
      </w:pPr>
      <w:r>
        <w:rPr>
          <w:rFonts w:eastAsia="Abyssinica SIL" w:cs="Abyssinica SIL"/>
          <w:sz w:val="22"/>
          <w:szCs w:val="22"/>
        </w:rPr>
        <w:t>Apresentar declaração ou documentação falsa exigida para o certame ou prestar declaração falsa durante a licitação ou a execução do contrato;</w:t>
      </w:r>
    </w:p>
    <w:p>
      <w:pPr>
        <w:pStyle w:val="ListParagraph"/>
        <w:rPr>
          <w:rFonts w:ascii="Calibri" w:hAnsi="Calibri" w:eastAsia="Abyssinica SIL" w:cs="Abyssinica SIL"/>
          <w:sz w:val="22"/>
          <w:szCs w:val="22"/>
        </w:rPr>
      </w:pPr>
      <w:r>
        <w:rPr>
          <w:rFonts w:eastAsia="Abyssinica SIL" w:cs="Abyssinica SIL" w:ascii="Calibri" w:hAnsi="Calibri"/>
          <w:sz w:val="22"/>
          <w:szCs w:val="22"/>
        </w:rPr>
      </w:r>
    </w:p>
    <w:p>
      <w:pPr>
        <w:pStyle w:val="Terceiro"/>
        <w:numPr>
          <w:ilvl w:val="2"/>
          <w:numId w:val="3"/>
        </w:numPr>
        <w:tabs>
          <w:tab w:val="clear" w:pos="851"/>
          <w:tab w:val="left" w:pos="846" w:leader="none"/>
          <w:tab w:val="left" w:pos="993" w:leader="none"/>
          <w:tab w:val="left" w:pos="1701" w:leader="none"/>
        </w:tabs>
        <w:ind w:hanging="0" w:left="284"/>
        <w:rPr>
          <w:rFonts w:ascii="Calibri" w:hAnsi="Calibri"/>
          <w:sz w:val="22"/>
          <w:szCs w:val="22"/>
        </w:rPr>
      </w:pPr>
      <w:r>
        <w:rPr>
          <w:rFonts w:eastAsia="Abyssinica SIL" w:cs="Abyssinica SIL"/>
          <w:sz w:val="22"/>
          <w:szCs w:val="22"/>
        </w:rPr>
        <w:t>Fraudar</w:t>
      </w:r>
      <w:r>
        <w:rPr>
          <w:rFonts w:eastAsia="Abyssinica SIL" w:cs="Abyssinica SIL"/>
          <w:spacing w:val="-3"/>
          <w:sz w:val="22"/>
          <w:szCs w:val="22"/>
        </w:rPr>
        <w:t xml:space="preserve"> </w:t>
      </w:r>
      <w:r>
        <w:rPr>
          <w:rFonts w:eastAsia="Abyssinica SIL" w:cs="Abyssinica SIL"/>
          <w:sz w:val="22"/>
          <w:szCs w:val="22"/>
        </w:rPr>
        <w:t>a</w:t>
      </w:r>
      <w:r>
        <w:rPr>
          <w:rFonts w:eastAsia="Abyssinica SIL" w:cs="Abyssinica SIL"/>
          <w:spacing w:val="-1"/>
          <w:sz w:val="22"/>
          <w:szCs w:val="22"/>
        </w:rPr>
        <w:t xml:space="preserve"> </w:t>
      </w:r>
      <w:r>
        <w:rPr>
          <w:rFonts w:eastAsia="Abyssinica SIL" w:cs="Abyssinica SIL"/>
          <w:sz w:val="22"/>
          <w:szCs w:val="22"/>
        </w:rPr>
        <w:t>licitação ou praticar ato fraudulento na</w:t>
      </w:r>
      <w:r>
        <w:rPr>
          <w:rFonts w:eastAsia="Abyssinica SIL" w:cs="Abyssinica SIL"/>
          <w:spacing w:val="-1"/>
          <w:sz w:val="22"/>
          <w:szCs w:val="22"/>
        </w:rPr>
        <w:t xml:space="preserve"> </w:t>
      </w:r>
      <w:r>
        <w:rPr>
          <w:rFonts w:eastAsia="Abyssinica SIL" w:cs="Abyssinica SIL"/>
          <w:sz w:val="22"/>
          <w:szCs w:val="22"/>
        </w:rPr>
        <w:t xml:space="preserve">execução do </w:t>
      </w:r>
      <w:r>
        <w:rPr>
          <w:rFonts w:eastAsia="Abyssinica SIL" w:cs="Abyssinica SIL"/>
          <w:spacing w:val="-2"/>
          <w:sz w:val="22"/>
          <w:szCs w:val="22"/>
        </w:rPr>
        <w:t>contrato;</w:t>
      </w:r>
    </w:p>
    <w:p>
      <w:pPr>
        <w:pStyle w:val="ListParagraph"/>
        <w:rPr>
          <w:rFonts w:ascii="Calibri" w:hAnsi="Calibri" w:eastAsia="Abyssinica SIL" w:cs="Abyssinica SIL"/>
          <w:sz w:val="22"/>
          <w:szCs w:val="22"/>
        </w:rPr>
      </w:pPr>
      <w:r>
        <w:rPr>
          <w:rFonts w:eastAsia="Abyssinica SIL" w:cs="Abyssinica SIL" w:ascii="Calibri" w:hAnsi="Calibri"/>
          <w:sz w:val="22"/>
          <w:szCs w:val="22"/>
        </w:rPr>
      </w:r>
    </w:p>
    <w:p>
      <w:pPr>
        <w:pStyle w:val="Terceiro"/>
        <w:numPr>
          <w:ilvl w:val="2"/>
          <w:numId w:val="3"/>
        </w:numPr>
        <w:tabs>
          <w:tab w:val="clear" w:pos="851"/>
          <w:tab w:val="left" w:pos="846" w:leader="none"/>
          <w:tab w:val="left" w:pos="993" w:leader="none"/>
          <w:tab w:val="left" w:pos="1701" w:leader="none"/>
        </w:tabs>
        <w:ind w:hanging="0" w:left="284"/>
        <w:rPr>
          <w:rFonts w:ascii="Calibri" w:hAnsi="Calibri"/>
          <w:sz w:val="22"/>
          <w:szCs w:val="22"/>
        </w:rPr>
      </w:pPr>
      <w:r>
        <w:rPr>
          <w:rFonts w:eastAsia="Abyssinica SIL" w:cs="Abyssinica SIL"/>
          <w:sz w:val="22"/>
          <w:szCs w:val="22"/>
        </w:rPr>
        <w:t>Comportar-se</w:t>
      </w:r>
      <w:r>
        <w:rPr>
          <w:rFonts w:eastAsia="Abyssinica SIL" w:cs="Abyssinica SIL"/>
          <w:spacing w:val="-3"/>
          <w:sz w:val="22"/>
          <w:szCs w:val="22"/>
        </w:rPr>
        <w:t xml:space="preserve"> </w:t>
      </w:r>
      <w:r>
        <w:rPr>
          <w:rFonts w:eastAsia="Abyssinica SIL" w:cs="Abyssinica SIL"/>
          <w:sz w:val="22"/>
          <w:szCs w:val="22"/>
        </w:rPr>
        <w:t>de</w:t>
      </w:r>
      <w:r>
        <w:rPr>
          <w:rFonts w:eastAsia="Abyssinica SIL" w:cs="Abyssinica SIL"/>
          <w:spacing w:val="-3"/>
          <w:sz w:val="22"/>
          <w:szCs w:val="22"/>
        </w:rPr>
        <w:t xml:space="preserve"> </w:t>
      </w:r>
      <w:r>
        <w:rPr>
          <w:rFonts w:eastAsia="Abyssinica SIL" w:cs="Abyssinica SIL"/>
          <w:sz w:val="22"/>
          <w:szCs w:val="22"/>
        </w:rPr>
        <w:t>modo</w:t>
      </w:r>
      <w:r>
        <w:rPr>
          <w:rFonts w:eastAsia="Abyssinica SIL" w:cs="Abyssinica SIL"/>
          <w:spacing w:val="-2"/>
          <w:sz w:val="22"/>
          <w:szCs w:val="22"/>
        </w:rPr>
        <w:t xml:space="preserve"> </w:t>
      </w:r>
      <w:r>
        <w:rPr>
          <w:rFonts w:eastAsia="Abyssinica SIL" w:cs="Abyssinica SIL"/>
          <w:sz w:val="22"/>
          <w:szCs w:val="22"/>
        </w:rPr>
        <w:t>inidôneo</w:t>
      </w:r>
      <w:r>
        <w:rPr>
          <w:rFonts w:eastAsia="Abyssinica SIL" w:cs="Abyssinica SIL"/>
          <w:spacing w:val="-2"/>
          <w:sz w:val="22"/>
          <w:szCs w:val="22"/>
        </w:rPr>
        <w:t xml:space="preserve"> </w:t>
      </w:r>
      <w:r>
        <w:rPr>
          <w:rFonts w:eastAsia="Abyssinica SIL" w:cs="Abyssinica SIL"/>
          <w:sz w:val="22"/>
          <w:szCs w:val="22"/>
        </w:rPr>
        <w:t>ou</w:t>
      </w:r>
      <w:r>
        <w:rPr>
          <w:rFonts w:eastAsia="Abyssinica SIL" w:cs="Abyssinica SIL"/>
          <w:spacing w:val="-2"/>
          <w:sz w:val="22"/>
          <w:szCs w:val="22"/>
        </w:rPr>
        <w:t xml:space="preserve"> </w:t>
      </w:r>
      <w:r>
        <w:rPr>
          <w:rFonts w:eastAsia="Abyssinica SIL" w:cs="Abyssinica SIL"/>
          <w:sz w:val="22"/>
          <w:szCs w:val="22"/>
        </w:rPr>
        <w:t>cometer</w:t>
      </w:r>
      <w:r>
        <w:rPr>
          <w:rFonts w:eastAsia="Abyssinica SIL" w:cs="Abyssinica SIL"/>
          <w:spacing w:val="-3"/>
          <w:sz w:val="22"/>
          <w:szCs w:val="22"/>
        </w:rPr>
        <w:t xml:space="preserve"> </w:t>
      </w:r>
      <w:r>
        <w:rPr>
          <w:rFonts w:eastAsia="Abyssinica SIL" w:cs="Abyssinica SIL"/>
          <w:sz w:val="22"/>
          <w:szCs w:val="22"/>
        </w:rPr>
        <w:t>fraude</w:t>
      </w:r>
      <w:r>
        <w:rPr>
          <w:rFonts w:eastAsia="Abyssinica SIL" w:cs="Abyssinica SIL"/>
          <w:spacing w:val="-2"/>
          <w:sz w:val="22"/>
          <w:szCs w:val="22"/>
        </w:rPr>
        <w:t xml:space="preserve"> </w:t>
      </w:r>
      <w:r>
        <w:rPr>
          <w:rFonts w:eastAsia="Abyssinica SIL" w:cs="Abyssinica SIL"/>
          <w:sz w:val="22"/>
          <w:szCs w:val="22"/>
        </w:rPr>
        <w:t>de</w:t>
      </w:r>
      <w:r>
        <w:rPr>
          <w:rFonts w:eastAsia="Abyssinica SIL" w:cs="Abyssinica SIL"/>
          <w:spacing w:val="-3"/>
          <w:sz w:val="22"/>
          <w:szCs w:val="22"/>
        </w:rPr>
        <w:t xml:space="preserve"> </w:t>
      </w:r>
      <w:r>
        <w:rPr>
          <w:rFonts w:eastAsia="Abyssinica SIL" w:cs="Abyssinica SIL"/>
          <w:sz w:val="22"/>
          <w:szCs w:val="22"/>
        </w:rPr>
        <w:t>qualquer</w:t>
      </w:r>
      <w:r>
        <w:rPr>
          <w:rFonts w:eastAsia="Abyssinica SIL" w:cs="Abyssinica SIL"/>
          <w:spacing w:val="-2"/>
          <w:sz w:val="22"/>
          <w:szCs w:val="22"/>
        </w:rPr>
        <w:t xml:space="preserve"> natureza;</w:t>
      </w:r>
    </w:p>
    <w:p>
      <w:pPr>
        <w:pStyle w:val="ListParagraph"/>
        <w:rPr>
          <w:rFonts w:ascii="Calibri" w:hAnsi="Calibri" w:eastAsia="Abyssinica SIL" w:cs="Abyssinica SIL"/>
          <w:sz w:val="22"/>
          <w:szCs w:val="22"/>
        </w:rPr>
      </w:pPr>
      <w:r>
        <w:rPr>
          <w:rFonts w:eastAsia="Abyssinica SIL" w:cs="Abyssinica SIL" w:ascii="Calibri" w:hAnsi="Calibri"/>
          <w:sz w:val="22"/>
          <w:szCs w:val="22"/>
        </w:rPr>
      </w:r>
    </w:p>
    <w:p>
      <w:pPr>
        <w:pStyle w:val="Terceiro"/>
        <w:numPr>
          <w:ilvl w:val="2"/>
          <w:numId w:val="3"/>
        </w:numPr>
        <w:tabs>
          <w:tab w:val="clear" w:pos="851"/>
          <w:tab w:val="left" w:pos="846" w:leader="none"/>
          <w:tab w:val="left" w:pos="993" w:leader="none"/>
          <w:tab w:val="left" w:pos="1701" w:leader="none"/>
        </w:tabs>
        <w:ind w:hanging="0" w:left="284"/>
        <w:rPr>
          <w:rFonts w:ascii="Calibri" w:hAnsi="Calibri"/>
          <w:sz w:val="22"/>
          <w:szCs w:val="22"/>
        </w:rPr>
      </w:pPr>
      <w:r>
        <w:rPr>
          <w:rFonts w:eastAsia="Abyssinica SIL" w:cs="Abyssinica SIL"/>
          <w:sz w:val="22"/>
          <w:szCs w:val="22"/>
        </w:rPr>
        <w:t>Praticar</w:t>
      </w:r>
      <w:r>
        <w:rPr>
          <w:rFonts w:eastAsia="Abyssinica SIL" w:cs="Abyssinica SIL"/>
          <w:spacing w:val="-5"/>
          <w:sz w:val="22"/>
          <w:szCs w:val="22"/>
        </w:rPr>
        <w:t xml:space="preserve"> </w:t>
      </w:r>
      <w:r>
        <w:rPr>
          <w:rFonts w:eastAsia="Abyssinica SIL" w:cs="Abyssinica SIL"/>
          <w:sz w:val="22"/>
          <w:szCs w:val="22"/>
        </w:rPr>
        <w:t>atos</w:t>
      </w:r>
      <w:r>
        <w:rPr>
          <w:rFonts w:eastAsia="Abyssinica SIL" w:cs="Abyssinica SIL"/>
          <w:spacing w:val="-4"/>
          <w:sz w:val="22"/>
          <w:szCs w:val="22"/>
        </w:rPr>
        <w:t xml:space="preserve"> </w:t>
      </w:r>
      <w:r>
        <w:rPr>
          <w:rFonts w:eastAsia="Abyssinica SIL" w:cs="Abyssinica SIL"/>
          <w:sz w:val="22"/>
          <w:szCs w:val="22"/>
        </w:rPr>
        <w:t>ilícitos</w:t>
      </w:r>
      <w:r>
        <w:rPr>
          <w:rFonts w:eastAsia="Abyssinica SIL" w:cs="Abyssinica SIL"/>
          <w:spacing w:val="-4"/>
          <w:sz w:val="22"/>
          <w:szCs w:val="22"/>
        </w:rPr>
        <w:t xml:space="preserve"> </w:t>
      </w:r>
      <w:r>
        <w:rPr>
          <w:rFonts w:eastAsia="Abyssinica SIL" w:cs="Abyssinica SIL"/>
          <w:sz w:val="22"/>
          <w:szCs w:val="22"/>
        </w:rPr>
        <w:t>com</w:t>
      </w:r>
      <w:r>
        <w:rPr>
          <w:rFonts w:eastAsia="Abyssinica SIL" w:cs="Abyssinica SIL"/>
          <w:spacing w:val="-3"/>
          <w:sz w:val="22"/>
          <w:szCs w:val="22"/>
        </w:rPr>
        <w:t xml:space="preserve"> </w:t>
      </w:r>
      <w:r>
        <w:rPr>
          <w:rFonts w:eastAsia="Abyssinica SIL" w:cs="Abyssinica SIL"/>
          <w:sz w:val="22"/>
          <w:szCs w:val="22"/>
        </w:rPr>
        <w:t>vistas</w:t>
      </w:r>
      <w:r>
        <w:rPr>
          <w:rFonts w:eastAsia="Abyssinica SIL" w:cs="Abyssinica SIL"/>
          <w:spacing w:val="-4"/>
          <w:sz w:val="22"/>
          <w:szCs w:val="22"/>
        </w:rPr>
        <w:t xml:space="preserve"> </w:t>
      </w:r>
      <w:r>
        <w:rPr>
          <w:rFonts w:eastAsia="Abyssinica SIL" w:cs="Abyssinica SIL"/>
          <w:sz w:val="22"/>
          <w:szCs w:val="22"/>
        </w:rPr>
        <w:t>a</w:t>
      </w:r>
      <w:r>
        <w:rPr>
          <w:rFonts w:eastAsia="Abyssinica SIL" w:cs="Abyssinica SIL"/>
          <w:spacing w:val="-4"/>
          <w:sz w:val="22"/>
          <w:szCs w:val="22"/>
        </w:rPr>
        <w:t xml:space="preserve"> </w:t>
      </w:r>
      <w:r>
        <w:rPr>
          <w:rFonts w:eastAsia="Abyssinica SIL" w:cs="Abyssinica SIL"/>
          <w:sz w:val="22"/>
          <w:szCs w:val="22"/>
        </w:rPr>
        <w:t>frustrar</w:t>
      </w:r>
      <w:r>
        <w:rPr>
          <w:rFonts w:eastAsia="Abyssinica SIL" w:cs="Abyssinica SIL"/>
          <w:spacing w:val="-2"/>
          <w:sz w:val="22"/>
          <w:szCs w:val="22"/>
        </w:rPr>
        <w:t xml:space="preserve"> </w:t>
      </w:r>
      <w:r>
        <w:rPr>
          <w:rFonts w:eastAsia="Abyssinica SIL" w:cs="Abyssinica SIL"/>
          <w:sz w:val="22"/>
          <w:szCs w:val="22"/>
        </w:rPr>
        <w:t>os</w:t>
      </w:r>
      <w:r>
        <w:rPr>
          <w:rFonts w:eastAsia="Abyssinica SIL" w:cs="Abyssinica SIL"/>
          <w:spacing w:val="-4"/>
          <w:sz w:val="22"/>
          <w:szCs w:val="22"/>
        </w:rPr>
        <w:t xml:space="preserve"> </w:t>
      </w:r>
      <w:r>
        <w:rPr>
          <w:rFonts w:eastAsia="Abyssinica SIL" w:cs="Abyssinica SIL"/>
          <w:sz w:val="22"/>
          <w:szCs w:val="22"/>
        </w:rPr>
        <w:t>objetivos</w:t>
      </w:r>
      <w:r>
        <w:rPr>
          <w:rFonts w:eastAsia="Abyssinica SIL" w:cs="Abyssinica SIL"/>
          <w:spacing w:val="-4"/>
          <w:sz w:val="22"/>
          <w:szCs w:val="22"/>
        </w:rPr>
        <w:t xml:space="preserve"> </w:t>
      </w:r>
      <w:r>
        <w:rPr>
          <w:rFonts w:eastAsia="Abyssinica SIL" w:cs="Abyssinica SIL"/>
          <w:sz w:val="22"/>
          <w:szCs w:val="22"/>
        </w:rPr>
        <w:t>da</w:t>
      </w:r>
      <w:r>
        <w:rPr>
          <w:rFonts w:eastAsia="Abyssinica SIL" w:cs="Abyssinica SIL"/>
          <w:spacing w:val="-3"/>
          <w:sz w:val="22"/>
          <w:szCs w:val="22"/>
        </w:rPr>
        <w:t xml:space="preserve"> </w:t>
      </w:r>
      <w:r>
        <w:rPr>
          <w:rFonts w:eastAsia="Abyssinica SIL" w:cs="Abyssinica SIL"/>
          <w:spacing w:val="-2"/>
          <w:sz w:val="22"/>
          <w:szCs w:val="22"/>
        </w:rPr>
        <w:t>licitação;</w:t>
      </w:r>
    </w:p>
    <w:p>
      <w:pPr>
        <w:pStyle w:val="ListParagraph"/>
        <w:rPr>
          <w:rFonts w:ascii="Calibri" w:hAnsi="Calibri" w:eastAsia="Abyssinica SIL" w:cs="Abyssinica SIL"/>
          <w:sz w:val="22"/>
          <w:szCs w:val="22"/>
        </w:rPr>
      </w:pPr>
      <w:r>
        <w:rPr>
          <w:rFonts w:eastAsia="Abyssinica SIL" w:cs="Abyssinica SIL" w:ascii="Calibri" w:hAnsi="Calibri"/>
          <w:sz w:val="22"/>
          <w:szCs w:val="22"/>
        </w:rPr>
      </w:r>
    </w:p>
    <w:p>
      <w:pPr>
        <w:pStyle w:val="Terceiro"/>
        <w:numPr>
          <w:ilvl w:val="2"/>
          <w:numId w:val="3"/>
        </w:numPr>
        <w:tabs>
          <w:tab w:val="clear" w:pos="851"/>
          <w:tab w:val="left" w:pos="846" w:leader="none"/>
          <w:tab w:val="left" w:pos="993" w:leader="none"/>
          <w:tab w:val="left" w:pos="1701" w:leader="none"/>
        </w:tabs>
        <w:ind w:hanging="0" w:left="284"/>
        <w:rPr>
          <w:rFonts w:ascii="Calibri" w:hAnsi="Calibri"/>
          <w:sz w:val="22"/>
          <w:szCs w:val="22"/>
        </w:rPr>
      </w:pPr>
      <w:r>
        <w:rPr>
          <w:rFonts w:eastAsia="Abyssinica SIL" w:cs="Abyssinica SIL"/>
          <w:sz w:val="22"/>
          <w:szCs w:val="22"/>
        </w:rPr>
        <w:t>Praticar</w:t>
      </w:r>
      <w:r>
        <w:rPr>
          <w:rFonts w:eastAsia="Abyssinica SIL" w:cs="Abyssinica SIL"/>
          <w:spacing w:val="-3"/>
          <w:sz w:val="22"/>
          <w:szCs w:val="22"/>
        </w:rPr>
        <w:t xml:space="preserve"> </w:t>
      </w:r>
      <w:r>
        <w:rPr>
          <w:rFonts w:eastAsia="Abyssinica SIL" w:cs="Abyssinica SIL"/>
          <w:sz w:val="22"/>
          <w:szCs w:val="22"/>
        </w:rPr>
        <w:t>ato</w:t>
      </w:r>
      <w:r>
        <w:rPr>
          <w:rFonts w:eastAsia="Abyssinica SIL" w:cs="Abyssinica SIL"/>
          <w:spacing w:val="-1"/>
          <w:sz w:val="22"/>
          <w:szCs w:val="22"/>
        </w:rPr>
        <w:t xml:space="preserve"> </w:t>
      </w:r>
      <w:r>
        <w:rPr>
          <w:rFonts w:eastAsia="Abyssinica SIL" w:cs="Abyssinica SIL"/>
          <w:sz w:val="22"/>
          <w:szCs w:val="22"/>
        </w:rPr>
        <w:t>lesivo previsto</w:t>
      </w:r>
      <w:r>
        <w:rPr>
          <w:rFonts w:eastAsia="Abyssinica SIL" w:cs="Abyssinica SIL"/>
          <w:spacing w:val="-1"/>
          <w:sz w:val="22"/>
          <w:szCs w:val="22"/>
        </w:rPr>
        <w:t xml:space="preserve"> </w:t>
      </w:r>
      <w:r>
        <w:rPr>
          <w:rFonts w:eastAsia="Abyssinica SIL" w:cs="Abyssinica SIL"/>
          <w:sz w:val="22"/>
          <w:szCs w:val="22"/>
        </w:rPr>
        <w:t>no art.</w:t>
      </w:r>
      <w:r>
        <w:rPr>
          <w:rFonts w:eastAsia="Abyssinica SIL" w:cs="Abyssinica SIL"/>
          <w:spacing w:val="-1"/>
          <w:sz w:val="22"/>
          <w:szCs w:val="22"/>
        </w:rPr>
        <w:t xml:space="preserve"> </w:t>
      </w:r>
      <w:r>
        <w:rPr>
          <w:rFonts w:eastAsia="Abyssinica SIL" w:cs="Abyssinica SIL"/>
          <w:sz w:val="22"/>
          <w:szCs w:val="22"/>
        </w:rPr>
        <w:t>5º</w:t>
      </w:r>
      <w:r>
        <w:rPr>
          <w:rFonts w:eastAsia="Abyssinica SIL" w:cs="Abyssinica SIL"/>
          <w:spacing w:val="-1"/>
          <w:sz w:val="22"/>
          <w:szCs w:val="22"/>
        </w:rPr>
        <w:t xml:space="preserve"> </w:t>
      </w:r>
      <w:r>
        <w:rPr>
          <w:rFonts w:eastAsia="Abyssinica SIL" w:cs="Abyssinica SIL"/>
          <w:sz w:val="22"/>
          <w:szCs w:val="22"/>
        </w:rPr>
        <w:t>da</w:t>
      </w:r>
      <w:r>
        <w:rPr>
          <w:rFonts w:eastAsia="Abyssinica SIL" w:cs="Abyssinica SIL"/>
          <w:spacing w:val="-2"/>
          <w:sz w:val="22"/>
          <w:szCs w:val="22"/>
        </w:rPr>
        <w:t xml:space="preserve"> </w:t>
      </w:r>
      <w:r>
        <w:rPr>
          <w:rFonts w:eastAsia="Abyssinica SIL" w:cs="Abyssinica SIL"/>
          <w:sz w:val="22"/>
          <w:szCs w:val="22"/>
        </w:rPr>
        <w:t>Lei</w:t>
      </w:r>
      <w:r>
        <w:rPr>
          <w:rFonts w:eastAsia="Abyssinica SIL" w:cs="Abyssinica SIL"/>
          <w:spacing w:val="-2"/>
          <w:sz w:val="22"/>
          <w:szCs w:val="22"/>
        </w:rPr>
        <w:t xml:space="preserve"> </w:t>
      </w:r>
      <w:r>
        <w:rPr>
          <w:rFonts w:eastAsia="Abyssinica SIL" w:cs="Abyssinica SIL"/>
          <w:sz w:val="22"/>
          <w:szCs w:val="22"/>
        </w:rPr>
        <w:t>nº</w:t>
      </w:r>
      <w:r>
        <w:rPr>
          <w:rFonts w:eastAsia="Abyssinica SIL" w:cs="Abyssinica SIL"/>
          <w:spacing w:val="-1"/>
          <w:sz w:val="22"/>
          <w:szCs w:val="22"/>
        </w:rPr>
        <w:t xml:space="preserve"> </w:t>
      </w:r>
      <w:r>
        <w:rPr>
          <w:rFonts w:eastAsia="Abyssinica SIL" w:cs="Abyssinica SIL"/>
          <w:sz w:val="22"/>
          <w:szCs w:val="22"/>
        </w:rPr>
        <w:t>12.846/</w:t>
      </w:r>
      <w:r>
        <w:rPr>
          <w:rFonts w:eastAsia="Abyssinica SIL" w:cs="Abyssinica SIL"/>
          <w:spacing w:val="-2"/>
          <w:sz w:val="22"/>
          <w:szCs w:val="22"/>
        </w:rPr>
        <w:t>2013.</w:t>
      </w:r>
    </w:p>
    <w:p>
      <w:pPr>
        <w:pStyle w:val="Terceiro"/>
        <w:numPr>
          <w:ilvl w:val="0"/>
          <w:numId w:val="0"/>
        </w:numPr>
        <w:tabs>
          <w:tab w:val="clear" w:pos="851"/>
          <w:tab w:val="left" w:pos="846" w:leader="none"/>
          <w:tab w:val="left" w:pos="993" w:leader="none"/>
          <w:tab w:val="left" w:pos="1701" w:leader="none"/>
        </w:tabs>
        <w:ind w:hanging="0" w:left="0"/>
        <w:rPr>
          <w:rFonts w:ascii="Calibri" w:hAnsi="Calibri"/>
          <w:sz w:val="22"/>
          <w:szCs w:val="22"/>
        </w:rPr>
      </w:pPr>
      <w:r>
        <w:rPr>
          <w:sz w:val="22"/>
          <w:szCs w:val="22"/>
        </w:rPr>
      </w:r>
    </w:p>
    <w:p>
      <w:pPr>
        <w:pStyle w:val="Segundo"/>
        <w:numPr>
          <w:ilvl w:val="1"/>
          <w:numId w:val="3"/>
        </w:numPr>
        <w:ind w:hanging="0" w:left="0"/>
        <w:rPr>
          <w:rFonts w:ascii="Calibri" w:hAnsi="Calibri"/>
          <w:sz w:val="22"/>
          <w:szCs w:val="22"/>
        </w:rPr>
      </w:pPr>
      <w:r>
        <w:rPr>
          <w:sz w:val="22"/>
          <w:szCs w:val="22"/>
        </w:rPr>
        <w:t>O FORNECEDOR que cometer qualquer das infrações discriminadas no subitem anterior ficará sujeito, sem prejuízo da responsabilidade civil e criminal, às seguintes sanções:</w:t>
      </w:r>
    </w:p>
    <w:p>
      <w:pPr>
        <w:pStyle w:val="Segundo"/>
        <w:numPr>
          <w:ilvl w:val="0"/>
          <w:numId w:val="0"/>
        </w:numPr>
        <w:ind w:hanging="0" w:left="0"/>
        <w:rPr>
          <w:rFonts w:ascii="Calibri" w:hAnsi="Calibri"/>
          <w:sz w:val="22"/>
          <w:szCs w:val="22"/>
        </w:rPr>
      </w:pPr>
      <w:r>
        <w:rPr>
          <w:sz w:val="22"/>
          <w:szCs w:val="22"/>
        </w:rPr>
      </w:r>
    </w:p>
    <w:p>
      <w:pPr>
        <w:pStyle w:val="Terceiro"/>
        <w:numPr>
          <w:ilvl w:val="2"/>
          <w:numId w:val="3"/>
        </w:numPr>
        <w:ind w:hanging="0" w:left="284"/>
        <w:rPr>
          <w:rFonts w:ascii="Calibri" w:hAnsi="Calibri"/>
          <w:sz w:val="22"/>
          <w:szCs w:val="22"/>
        </w:rPr>
      </w:pPr>
      <w:r>
        <w:rPr>
          <w:sz w:val="22"/>
          <w:szCs w:val="22"/>
        </w:rPr>
        <w:t>Advertência, notificada por meio de ofício, mediante contra recibo do representante legal do FORNECEDOR, estabelecendo o prazo de 5 (cinco) dias úteis para que apresente justificativas para o atraso, que só serão aceitas mediante crivo do MUNICÍPIO;</w:t>
      </w:r>
    </w:p>
    <w:p>
      <w:pPr>
        <w:pStyle w:val="Terceiro"/>
        <w:numPr>
          <w:ilvl w:val="0"/>
          <w:numId w:val="0"/>
        </w:numPr>
        <w:tabs>
          <w:tab w:val="clear" w:pos="851"/>
          <w:tab w:val="left" w:pos="846" w:leader="none"/>
          <w:tab w:val="left" w:pos="993" w:leader="none"/>
          <w:tab w:val="left" w:pos="1701" w:leader="none"/>
        </w:tabs>
        <w:ind w:hanging="0" w:left="284"/>
        <w:rPr>
          <w:rFonts w:ascii="Calibri" w:hAnsi="Calibri"/>
          <w:sz w:val="22"/>
          <w:szCs w:val="22"/>
        </w:rPr>
      </w:pPr>
      <w:r>
        <w:rPr>
          <w:sz w:val="22"/>
          <w:szCs w:val="22"/>
        </w:rPr>
      </w:r>
    </w:p>
    <w:p>
      <w:pPr>
        <w:pStyle w:val="Terceiro"/>
        <w:numPr>
          <w:ilvl w:val="2"/>
          <w:numId w:val="3"/>
        </w:numPr>
        <w:ind w:hanging="0" w:left="284"/>
        <w:rPr>
          <w:rFonts w:ascii="Calibri" w:hAnsi="Calibri"/>
          <w:sz w:val="22"/>
          <w:szCs w:val="22"/>
        </w:rPr>
      </w:pPr>
      <w:r>
        <w:rPr>
          <w:sz w:val="22"/>
          <w:szCs w:val="22"/>
        </w:rPr>
        <w:t>M</w:t>
      </w:r>
      <w:r>
        <w:rPr/>
        <w:t xml:space="preserve">ulta moratória de 0,5% (zero vírgula cinco por cento) por dia de atraso injustificado no cumprimento das obrigações assumidas, incidente sobre o valor da parcela inadimplida, limitada a 30% (trinta por cento). </w:t>
      </w:r>
    </w:p>
    <w:p>
      <w:pPr>
        <w:pStyle w:val="Terceiro"/>
        <w:numPr>
          <w:ilvl w:val="0"/>
          <w:numId w:val="0"/>
        </w:numPr>
        <w:ind w:hanging="0" w:left="0"/>
        <w:rPr>
          <w:rFonts w:ascii="Calibri" w:hAnsi="Calibri"/>
          <w:sz w:val="22"/>
          <w:szCs w:val="22"/>
        </w:rPr>
      </w:pPr>
      <w:r>
        <w:rPr>
          <w:sz w:val="22"/>
          <w:szCs w:val="22"/>
        </w:rPr>
      </w:r>
    </w:p>
    <w:p>
      <w:pPr>
        <w:pStyle w:val="Terceiro"/>
        <w:numPr>
          <w:ilvl w:val="2"/>
          <w:numId w:val="3"/>
        </w:numPr>
        <w:ind w:hanging="0" w:left="284"/>
        <w:rPr>
          <w:rFonts w:ascii="Calibri" w:hAnsi="Calibri"/>
          <w:sz w:val="22"/>
          <w:szCs w:val="22"/>
        </w:rPr>
      </w:pPr>
      <w:r>
        <w:rPr>
          <w:sz w:val="22"/>
          <w:szCs w:val="22"/>
        </w:rPr>
        <w:t>Impedimento de licitar e de contratar com a Administração Pública e descredenciamento no Cadastro do MUNICÍPIO, pelo prazo mínimo de 3 (três) anos e máximo de 6 (seis) anos.</w:t>
      </w:r>
    </w:p>
    <w:p>
      <w:pPr>
        <w:pStyle w:val="Terceiro"/>
        <w:numPr>
          <w:ilvl w:val="0"/>
          <w:numId w:val="0"/>
        </w:numPr>
        <w:ind w:hanging="0" w:left="0"/>
        <w:rPr>
          <w:rFonts w:ascii="Calibri" w:hAnsi="Calibri"/>
          <w:sz w:val="22"/>
          <w:szCs w:val="22"/>
        </w:rPr>
      </w:pPr>
      <w:r>
        <w:rPr>
          <w:sz w:val="22"/>
          <w:szCs w:val="22"/>
        </w:rPr>
      </w:r>
    </w:p>
    <w:p>
      <w:pPr>
        <w:pStyle w:val="Terceiro"/>
        <w:numPr>
          <w:ilvl w:val="2"/>
          <w:numId w:val="3"/>
        </w:numPr>
        <w:tabs>
          <w:tab w:val="clear" w:pos="851"/>
          <w:tab w:val="left" w:pos="846" w:leader="none"/>
          <w:tab w:val="left" w:pos="993" w:leader="none"/>
          <w:tab w:val="left" w:pos="1701" w:leader="none"/>
        </w:tabs>
        <w:ind w:hanging="0" w:left="284"/>
        <w:rPr>
          <w:rFonts w:ascii="Calibri" w:hAnsi="Calibri"/>
          <w:sz w:val="22"/>
          <w:szCs w:val="22"/>
        </w:rPr>
      </w:pPr>
      <w:r>
        <w:rPr>
          <w:sz w:val="22"/>
          <w:szCs w:val="22"/>
        </w:rPr>
        <w:t>Declaração</w:t>
      </w:r>
      <w:r>
        <w:rPr>
          <w:spacing w:val="-3"/>
          <w:sz w:val="22"/>
          <w:szCs w:val="22"/>
        </w:rPr>
        <w:t xml:space="preserve"> </w:t>
      </w:r>
      <w:r>
        <w:rPr>
          <w:sz w:val="22"/>
          <w:szCs w:val="22"/>
        </w:rPr>
        <w:t>de</w:t>
      </w:r>
      <w:r>
        <w:rPr>
          <w:spacing w:val="-3"/>
          <w:sz w:val="22"/>
          <w:szCs w:val="22"/>
        </w:rPr>
        <w:t xml:space="preserve"> </w:t>
      </w:r>
      <w:r>
        <w:rPr>
          <w:sz w:val="22"/>
          <w:szCs w:val="22"/>
        </w:rPr>
        <w:t>inidoneidade</w:t>
      </w:r>
      <w:r>
        <w:rPr>
          <w:spacing w:val="-4"/>
          <w:sz w:val="22"/>
          <w:szCs w:val="22"/>
        </w:rPr>
        <w:t xml:space="preserve"> </w:t>
      </w:r>
      <w:r>
        <w:rPr>
          <w:sz w:val="22"/>
          <w:szCs w:val="22"/>
        </w:rPr>
        <w:t>para</w:t>
      </w:r>
      <w:r>
        <w:rPr>
          <w:spacing w:val="-3"/>
          <w:sz w:val="22"/>
          <w:szCs w:val="22"/>
        </w:rPr>
        <w:t xml:space="preserve"> </w:t>
      </w:r>
      <w:r>
        <w:rPr>
          <w:sz w:val="22"/>
          <w:szCs w:val="22"/>
        </w:rPr>
        <w:t>licitar</w:t>
      </w:r>
      <w:r>
        <w:rPr>
          <w:spacing w:val="-3"/>
          <w:sz w:val="22"/>
          <w:szCs w:val="22"/>
        </w:rPr>
        <w:t xml:space="preserve"> </w:t>
      </w:r>
      <w:r>
        <w:rPr>
          <w:sz w:val="22"/>
          <w:szCs w:val="22"/>
        </w:rPr>
        <w:t>ou</w:t>
      </w:r>
      <w:r>
        <w:rPr>
          <w:spacing w:val="-2"/>
          <w:sz w:val="22"/>
          <w:szCs w:val="22"/>
        </w:rPr>
        <w:t xml:space="preserve"> contratar.</w:t>
      </w:r>
    </w:p>
    <w:p>
      <w:pPr>
        <w:pStyle w:val="ListParagraph"/>
        <w:rPr>
          <w:rFonts w:ascii="Calibri" w:hAnsi="Calibri" w:eastAsia="Abyssinica SIL" w:cs="Abyssinica SIL"/>
          <w:sz w:val="22"/>
          <w:szCs w:val="22"/>
        </w:rPr>
      </w:pPr>
      <w:r>
        <w:rPr>
          <w:rFonts w:eastAsia="Abyssinica SIL" w:cs="Abyssinica SIL" w:ascii="Calibri" w:hAnsi="Calibri"/>
          <w:sz w:val="22"/>
          <w:szCs w:val="22"/>
        </w:rPr>
      </w:r>
    </w:p>
    <w:p>
      <w:pPr>
        <w:pStyle w:val="Terceiro"/>
        <w:numPr>
          <w:ilvl w:val="2"/>
          <w:numId w:val="3"/>
        </w:numPr>
        <w:tabs>
          <w:tab w:val="clear" w:pos="851"/>
          <w:tab w:val="left" w:pos="846" w:leader="none"/>
          <w:tab w:val="left" w:pos="993" w:leader="none"/>
          <w:tab w:val="left" w:pos="1701" w:leader="none"/>
        </w:tabs>
        <w:ind w:hanging="0" w:left="284"/>
        <w:rPr>
          <w:rFonts w:ascii="Calibri" w:hAnsi="Calibri"/>
          <w:sz w:val="22"/>
          <w:szCs w:val="22"/>
        </w:rPr>
      </w:pPr>
      <w:r>
        <w:rPr>
          <w:rFonts w:eastAsia="Abyssinica SIL" w:cs="Abyssinica SIL"/>
          <w:sz w:val="22"/>
          <w:szCs w:val="22"/>
        </w:rPr>
        <w:t>A</w:t>
      </w:r>
      <w:r>
        <w:rPr>
          <w:rFonts w:eastAsia="Abyssinica SIL" w:cs="Abyssinica SIL"/>
          <w:spacing w:val="-6"/>
          <w:sz w:val="22"/>
          <w:szCs w:val="22"/>
        </w:rPr>
        <w:t xml:space="preserve"> </w:t>
      </w:r>
      <w:r>
        <w:rPr>
          <w:rFonts w:eastAsia="Abyssinica SIL" w:cs="Abyssinica SIL"/>
          <w:sz w:val="22"/>
          <w:szCs w:val="22"/>
        </w:rPr>
        <w:t>penalidade</w:t>
      </w:r>
      <w:r>
        <w:rPr>
          <w:rFonts w:eastAsia="Abyssinica SIL" w:cs="Abyssinica SIL"/>
          <w:spacing w:val="-5"/>
          <w:sz w:val="22"/>
          <w:szCs w:val="22"/>
        </w:rPr>
        <w:t xml:space="preserve"> </w:t>
      </w:r>
      <w:r>
        <w:rPr>
          <w:rFonts w:eastAsia="Abyssinica SIL" w:cs="Abyssinica SIL"/>
          <w:sz w:val="22"/>
          <w:szCs w:val="22"/>
        </w:rPr>
        <w:t>de</w:t>
      </w:r>
      <w:r>
        <w:rPr>
          <w:rFonts w:eastAsia="Abyssinica SIL" w:cs="Abyssinica SIL"/>
          <w:spacing w:val="-5"/>
          <w:sz w:val="22"/>
          <w:szCs w:val="22"/>
        </w:rPr>
        <w:t xml:space="preserve"> </w:t>
      </w:r>
      <w:r>
        <w:rPr>
          <w:rFonts w:eastAsia="Abyssinica SIL" w:cs="Abyssinica SIL"/>
          <w:sz w:val="22"/>
          <w:szCs w:val="22"/>
        </w:rPr>
        <w:t>multa</w:t>
      </w:r>
      <w:r>
        <w:rPr>
          <w:rFonts w:eastAsia="Abyssinica SIL" w:cs="Abyssinica SIL"/>
          <w:spacing w:val="-5"/>
          <w:sz w:val="22"/>
          <w:szCs w:val="22"/>
        </w:rPr>
        <w:t xml:space="preserve"> </w:t>
      </w:r>
      <w:r>
        <w:rPr>
          <w:rFonts w:eastAsia="Abyssinica SIL" w:cs="Abyssinica SIL"/>
          <w:sz w:val="22"/>
          <w:szCs w:val="22"/>
        </w:rPr>
        <w:t>pode</w:t>
      </w:r>
      <w:r>
        <w:rPr>
          <w:rFonts w:eastAsia="Abyssinica SIL" w:cs="Abyssinica SIL"/>
          <w:spacing w:val="-5"/>
          <w:sz w:val="22"/>
          <w:szCs w:val="22"/>
        </w:rPr>
        <w:t xml:space="preserve"> </w:t>
      </w:r>
      <w:r>
        <w:rPr>
          <w:rFonts w:eastAsia="Abyssinica SIL" w:cs="Abyssinica SIL"/>
          <w:sz w:val="22"/>
          <w:szCs w:val="22"/>
        </w:rPr>
        <w:t>ser</w:t>
      </w:r>
      <w:r>
        <w:rPr>
          <w:rFonts w:eastAsia="Abyssinica SIL" w:cs="Abyssinica SIL"/>
          <w:spacing w:val="-5"/>
          <w:sz w:val="22"/>
          <w:szCs w:val="22"/>
        </w:rPr>
        <w:t xml:space="preserve"> </w:t>
      </w:r>
      <w:r>
        <w:rPr>
          <w:rFonts w:eastAsia="Abyssinica SIL" w:cs="Abyssinica SIL"/>
          <w:sz w:val="22"/>
          <w:szCs w:val="22"/>
        </w:rPr>
        <w:t>aplicada</w:t>
      </w:r>
      <w:r>
        <w:rPr>
          <w:rFonts w:eastAsia="Abyssinica SIL" w:cs="Abyssinica SIL"/>
          <w:spacing w:val="-5"/>
          <w:sz w:val="22"/>
          <w:szCs w:val="22"/>
        </w:rPr>
        <w:t xml:space="preserve"> </w:t>
      </w:r>
      <w:r>
        <w:rPr>
          <w:rFonts w:eastAsia="Abyssinica SIL" w:cs="Abyssinica SIL"/>
          <w:sz w:val="22"/>
          <w:szCs w:val="22"/>
        </w:rPr>
        <w:t>cumulativamente</w:t>
      </w:r>
      <w:r>
        <w:rPr>
          <w:rFonts w:eastAsia="Abyssinica SIL" w:cs="Abyssinica SIL"/>
          <w:spacing w:val="-5"/>
          <w:sz w:val="22"/>
          <w:szCs w:val="22"/>
        </w:rPr>
        <w:t xml:space="preserve"> </w:t>
      </w:r>
      <w:r>
        <w:rPr>
          <w:rFonts w:eastAsia="Abyssinica SIL" w:cs="Abyssinica SIL"/>
          <w:sz w:val="22"/>
          <w:szCs w:val="22"/>
        </w:rPr>
        <w:t>com</w:t>
      </w:r>
      <w:r>
        <w:rPr>
          <w:rFonts w:eastAsia="Abyssinica SIL" w:cs="Abyssinica SIL"/>
          <w:spacing w:val="-5"/>
          <w:sz w:val="22"/>
          <w:szCs w:val="22"/>
        </w:rPr>
        <w:t xml:space="preserve"> </w:t>
      </w:r>
      <w:r>
        <w:rPr>
          <w:rFonts w:eastAsia="Abyssinica SIL" w:cs="Abyssinica SIL"/>
          <w:sz w:val="22"/>
          <w:szCs w:val="22"/>
        </w:rPr>
        <w:t>as</w:t>
      </w:r>
      <w:r>
        <w:rPr>
          <w:rFonts w:eastAsia="Abyssinica SIL" w:cs="Abyssinica SIL"/>
          <w:spacing w:val="-5"/>
          <w:sz w:val="22"/>
          <w:szCs w:val="22"/>
        </w:rPr>
        <w:t xml:space="preserve"> </w:t>
      </w:r>
      <w:r>
        <w:rPr>
          <w:rFonts w:eastAsia="Abyssinica SIL" w:cs="Abyssinica SIL"/>
          <w:sz w:val="22"/>
          <w:szCs w:val="22"/>
        </w:rPr>
        <w:t>demais</w:t>
      </w:r>
      <w:r>
        <w:rPr>
          <w:rFonts w:eastAsia="Abyssinica SIL" w:cs="Abyssinica SIL"/>
          <w:spacing w:val="-5"/>
          <w:sz w:val="22"/>
          <w:szCs w:val="22"/>
        </w:rPr>
        <w:t xml:space="preserve"> </w:t>
      </w:r>
      <w:r>
        <w:rPr>
          <w:rFonts w:eastAsia="Abyssinica SIL" w:cs="Abyssinica SIL"/>
          <w:spacing w:val="-2"/>
          <w:sz w:val="22"/>
          <w:szCs w:val="22"/>
        </w:rPr>
        <w:t>sanções.</w:t>
      </w:r>
    </w:p>
    <w:p>
      <w:pPr>
        <w:pStyle w:val="Terceiro"/>
        <w:numPr>
          <w:ilvl w:val="0"/>
          <w:numId w:val="0"/>
        </w:numPr>
        <w:tabs>
          <w:tab w:val="clear" w:pos="851"/>
          <w:tab w:val="left" w:pos="846" w:leader="none"/>
          <w:tab w:val="left" w:pos="993" w:leader="none"/>
          <w:tab w:val="left" w:pos="1701" w:leader="none"/>
        </w:tabs>
        <w:ind w:hanging="0" w:left="284"/>
        <w:rPr>
          <w:rFonts w:ascii="Calibri" w:hAnsi="Calibri" w:eastAsia="Abyssinica SIL" w:cs="Abyssinica SIL"/>
          <w:spacing w:val="-2"/>
          <w:sz w:val="22"/>
          <w:szCs w:val="22"/>
        </w:rPr>
      </w:pPr>
      <w:r>
        <w:rPr>
          <w:rFonts w:eastAsia="Abyssinica SIL" w:cs="Abyssinica SIL"/>
          <w:spacing w:val="-2"/>
          <w:sz w:val="22"/>
          <w:szCs w:val="22"/>
        </w:rPr>
      </w:r>
    </w:p>
    <w:p>
      <w:pPr>
        <w:pStyle w:val="Terceiro"/>
        <w:numPr>
          <w:ilvl w:val="2"/>
          <w:numId w:val="3"/>
        </w:numPr>
        <w:tabs>
          <w:tab w:val="clear" w:pos="851"/>
          <w:tab w:val="left" w:pos="846" w:leader="none"/>
          <w:tab w:val="left" w:pos="993" w:leader="none"/>
          <w:tab w:val="left" w:pos="1701" w:leader="none"/>
        </w:tabs>
        <w:ind w:hanging="0" w:left="284"/>
        <w:rPr>
          <w:rFonts w:ascii="Calibri" w:hAnsi="Calibri" w:eastAsia="Abyssinica SIL" w:cs="Abyssinica SIL"/>
          <w:spacing w:val="-2"/>
          <w:sz w:val="22"/>
          <w:szCs w:val="22"/>
        </w:rPr>
      </w:pPr>
      <w:r>
        <w:rPr>
          <w:rFonts w:eastAsia="Abyssinica SIL" w:cs="Abyssinica SIL"/>
          <w:spacing w:val="-2"/>
          <w:sz w:val="22"/>
          <w:szCs w:val="22"/>
        </w:rPr>
        <w:t>A recusa injustificada do licitante vencedor em assinar a Ata de Registro de Preços, no prazo estabelecido pela Administração, caracterizará descumprimento total da obrigação assumida, sujeitando-o às penalidades previstas na legislação aplicável.</w:t>
      </w:r>
    </w:p>
    <w:p>
      <w:pPr>
        <w:pStyle w:val="Terceiro"/>
        <w:numPr>
          <w:ilvl w:val="0"/>
          <w:numId w:val="0"/>
        </w:numPr>
        <w:tabs>
          <w:tab w:val="clear" w:pos="851"/>
          <w:tab w:val="left" w:pos="846" w:leader="none"/>
          <w:tab w:val="left" w:pos="993" w:leader="none"/>
          <w:tab w:val="left" w:pos="1701" w:leader="none"/>
        </w:tabs>
        <w:ind w:hanging="0" w:left="0"/>
        <w:rPr>
          <w:rFonts w:ascii="Calibri" w:hAnsi="Calibri"/>
          <w:sz w:val="22"/>
          <w:szCs w:val="22"/>
        </w:rPr>
      </w:pPr>
      <w:r>
        <w:rPr>
          <w:sz w:val="22"/>
          <w:szCs w:val="22"/>
        </w:rPr>
      </w:r>
    </w:p>
    <w:p>
      <w:pPr>
        <w:pStyle w:val="Segundo"/>
        <w:numPr>
          <w:ilvl w:val="1"/>
          <w:numId w:val="3"/>
        </w:numPr>
        <w:ind w:hanging="0" w:left="0"/>
        <w:rPr>
          <w:rFonts w:ascii="Calibri" w:hAnsi="Calibri"/>
          <w:sz w:val="22"/>
          <w:szCs w:val="22"/>
        </w:rPr>
      </w:pPr>
      <w:r>
        <w:rPr>
          <w:sz w:val="22"/>
          <w:szCs w:val="22"/>
        </w:rPr>
        <w:t>Em</w:t>
      </w:r>
      <w:r>
        <w:rPr>
          <w:spacing w:val="-3"/>
          <w:sz w:val="22"/>
          <w:szCs w:val="22"/>
        </w:rPr>
        <w:t xml:space="preserve"> </w:t>
      </w:r>
      <w:r>
        <w:rPr>
          <w:sz w:val="22"/>
          <w:szCs w:val="22"/>
        </w:rPr>
        <w:t>qualquer</w:t>
      </w:r>
      <w:r>
        <w:rPr>
          <w:spacing w:val="-2"/>
          <w:sz w:val="22"/>
          <w:szCs w:val="22"/>
        </w:rPr>
        <w:t xml:space="preserve"> </w:t>
      </w:r>
      <w:r>
        <w:rPr>
          <w:sz w:val="22"/>
          <w:szCs w:val="22"/>
        </w:rPr>
        <w:t>hipótese</w:t>
      </w:r>
      <w:r>
        <w:rPr>
          <w:spacing w:val="-3"/>
          <w:sz w:val="22"/>
          <w:szCs w:val="22"/>
        </w:rPr>
        <w:t xml:space="preserve"> </w:t>
      </w:r>
      <w:r>
        <w:rPr>
          <w:sz w:val="22"/>
          <w:szCs w:val="22"/>
        </w:rPr>
        <w:t>de</w:t>
      </w:r>
      <w:r>
        <w:rPr>
          <w:spacing w:val="-3"/>
          <w:sz w:val="22"/>
          <w:szCs w:val="22"/>
        </w:rPr>
        <w:t xml:space="preserve"> </w:t>
      </w:r>
      <w:r>
        <w:rPr>
          <w:sz w:val="22"/>
          <w:szCs w:val="22"/>
        </w:rPr>
        <w:t>aplicação</w:t>
      </w:r>
      <w:r>
        <w:rPr>
          <w:spacing w:val="-2"/>
          <w:sz w:val="22"/>
          <w:szCs w:val="22"/>
        </w:rPr>
        <w:t xml:space="preserve"> </w:t>
      </w:r>
      <w:r>
        <w:rPr>
          <w:sz w:val="22"/>
          <w:szCs w:val="22"/>
        </w:rPr>
        <w:t>de</w:t>
      </w:r>
      <w:r>
        <w:rPr>
          <w:spacing w:val="-3"/>
          <w:sz w:val="22"/>
          <w:szCs w:val="22"/>
        </w:rPr>
        <w:t xml:space="preserve"> </w:t>
      </w:r>
      <w:r>
        <w:rPr>
          <w:sz w:val="22"/>
          <w:szCs w:val="22"/>
        </w:rPr>
        <w:t>sanções</w:t>
      </w:r>
      <w:r>
        <w:rPr>
          <w:spacing w:val="-3"/>
          <w:sz w:val="22"/>
          <w:szCs w:val="22"/>
        </w:rPr>
        <w:t xml:space="preserve"> </w:t>
      </w:r>
      <w:r>
        <w:rPr>
          <w:sz w:val="22"/>
          <w:szCs w:val="22"/>
        </w:rPr>
        <w:t>será</w:t>
      </w:r>
      <w:r>
        <w:rPr>
          <w:spacing w:val="-3"/>
          <w:sz w:val="22"/>
          <w:szCs w:val="22"/>
        </w:rPr>
        <w:t xml:space="preserve"> </w:t>
      </w:r>
      <w:r>
        <w:rPr>
          <w:sz w:val="22"/>
          <w:szCs w:val="22"/>
        </w:rPr>
        <w:t>assegurado</w:t>
      </w:r>
      <w:r>
        <w:rPr>
          <w:spacing w:val="-2"/>
          <w:sz w:val="22"/>
          <w:szCs w:val="22"/>
        </w:rPr>
        <w:t xml:space="preserve"> </w:t>
      </w:r>
      <w:r>
        <w:rPr>
          <w:sz w:val="22"/>
          <w:szCs w:val="22"/>
        </w:rPr>
        <w:t>ao FORNECEDOR</w:t>
      </w:r>
      <w:r>
        <w:rPr>
          <w:spacing w:val="-3"/>
          <w:sz w:val="22"/>
          <w:szCs w:val="22"/>
        </w:rPr>
        <w:t xml:space="preserve"> </w:t>
      </w:r>
      <w:r>
        <w:rPr>
          <w:sz w:val="22"/>
          <w:szCs w:val="22"/>
        </w:rPr>
        <w:t>o</w:t>
      </w:r>
      <w:r>
        <w:rPr>
          <w:spacing w:val="-2"/>
          <w:sz w:val="22"/>
          <w:szCs w:val="22"/>
        </w:rPr>
        <w:t xml:space="preserve"> </w:t>
      </w:r>
      <w:r>
        <w:rPr>
          <w:sz w:val="22"/>
          <w:szCs w:val="22"/>
        </w:rPr>
        <w:t>contraditório</w:t>
      </w:r>
      <w:r>
        <w:rPr>
          <w:spacing w:val="-2"/>
          <w:sz w:val="22"/>
          <w:szCs w:val="22"/>
        </w:rPr>
        <w:t xml:space="preserve"> </w:t>
      </w:r>
      <w:r>
        <w:rPr>
          <w:sz w:val="22"/>
          <w:szCs w:val="22"/>
        </w:rPr>
        <w:t>e</w:t>
      </w:r>
      <w:r>
        <w:rPr>
          <w:spacing w:val="-3"/>
          <w:sz w:val="22"/>
          <w:szCs w:val="22"/>
        </w:rPr>
        <w:t xml:space="preserve"> </w:t>
      </w:r>
      <w:r>
        <w:rPr>
          <w:sz w:val="22"/>
          <w:szCs w:val="22"/>
        </w:rPr>
        <w:t>a</w:t>
      </w:r>
      <w:r>
        <w:rPr>
          <w:spacing w:val="-3"/>
          <w:sz w:val="22"/>
          <w:szCs w:val="22"/>
        </w:rPr>
        <w:t xml:space="preserve"> </w:t>
      </w:r>
      <w:r>
        <w:rPr>
          <w:sz w:val="22"/>
          <w:szCs w:val="22"/>
        </w:rPr>
        <w:t xml:space="preserve">ampla </w:t>
      </w:r>
      <w:r>
        <w:rPr>
          <w:spacing w:val="-2"/>
          <w:sz w:val="22"/>
          <w:szCs w:val="22"/>
        </w:rPr>
        <w:t>defesa.</w:t>
      </w:r>
    </w:p>
    <w:p>
      <w:pPr>
        <w:pStyle w:val="Segundo"/>
        <w:numPr>
          <w:ilvl w:val="0"/>
          <w:numId w:val="0"/>
        </w:numPr>
        <w:ind w:hanging="0" w:left="0"/>
        <w:rPr>
          <w:rFonts w:ascii="Calibri" w:hAnsi="Calibri"/>
          <w:sz w:val="22"/>
          <w:szCs w:val="22"/>
        </w:rPr>
      </w:pPr>
      <w:r>
        <w:rPr>
          <w:sz w:val="22"/>
          <w:szCs w:val="22"/>
        </w:rPr>
      </w:r>
    </w:p>
    <w:p>
      <w:pPr>
        <w:pStyle w:val="Segundo"/>
        <w:numPr>
          <w:ilvl w:val="1"/>
          <w:numId w:val="3"/>
        </w:numPr>
        <w:ind w:hanging="0" w:left="0"/>
        <w:rPr>
          <w:rFonts w:ascii="Calibri" w:hAnsi="Calibri"/>
          <w:sz w:val="22"/>
          <w:szCs w:val="22"/>
        </w:rPr>
      </w:pPr>
      <w:r>
        <w:rPr>
          <w:rFonts w:eastAsia="Abyssinica SIL" w:cs="Abyssinica SIL"/>
          <w:sz w:val="22"/>
          <w:szCs w:val="22"/>
        </w:rPr>
        <w:t>O FORNECEDOR aceita receber citações e intimações referentes a processos administrativos no e-mail informado com a proposta, devendo qualquer modificação no e-mail ser comunicada com antecedência, sob pena</w:t>
      </w:r>
      <w:r>
        <w:rPr>
          <w:rFonts w:eastAsia="Abyssinica SIL" w:cs="Abyssinica SIL"/>
          <w:spacing w:val="40"/>
          <w:sz w:val="22"/>
          <w:szCs w:val="22"/>
        </w:rPr>
        <w:t xml:space="preserve"> </w:t>
      </w:r>
      <w:r>
        <w:rPr>
          <w:rFonts w:eastAsia="Abyssinica SIL" w:cs="Abyssinica SIL"/>
          <w:sz w:val="22"/>
          <w:szCs w:val="22"/>
        </w:rPr>
        <w:t>de se reputarem válidas as intimações enviadas, iniciando-se a contagem do prazo depois de cinco dias corridos do encaminhamento do e-mail.</w:t>
      </w:r>
    </w:p>
    <w:p>
      <w:pPr>
        <w:pStyle w:val="Terceiro"/>
        <w:numPr>
          <w:ilvl w:val="0"/>
          <w:numId w:val="0"/>
        </w:numPr>
        <w:ind w:hanging="0" w:left="0"/>
        <w:rPr>
          <w:rFonts w:ascii="Calibri" w:hAnsi="Calibri"/>
          <w:sz w:val="22"/>
          <w:szCs w:val="22"/>
        </w:rPr>
      </w:pPr>
      <w:r>
        <w:rPr>
          <w:sz w:val="22"/>
          <w:szCs w:val="22"/>
        </w:rPr>
      </w:r>
    </w:p>
    <w:p>
      <w:pPr>
        <w:pStyle w:val="Primeiro"/>
        <w:numPr>
          <w:ilvl w:val="0"/>
          <w:numId w:val="3"/>
        </w:numPr>
        <w:rPr>
          <w:rFonts w:ascii="Calibri" w:hAnsi="Calibri"/>
          <w:sz w:val="22"/>
          <w:szCs w:val="22"/>
        </w:rPr>
      </w:pPr>
      <w:r>
        <w:rPr>
          <w:rFonts w:cs="Calibri" w:cstheme="minorHAnsi"/>
          <w:sz w:val="22"/>
          <w:szCs w:val="22"/>
        </w:rPr>
        <w:t>DO GESTOR E DO FISCAL DA ATA DE REGISTRO DE PREÇOS</w:t>
      </w:r>
    </w:p>
    <w:p>
      <w:pPr>
        <w:pStyle w:val="Terceiro"/>
        <w:numPr>
          <w:ilvl w:val="0"/>
          <w:numId w:val="0"/>
        </w:numPr>
        <w:ind w:hanging="0" w:left="284"/>
        <w:rPr>
          <w:rFonts w:ascii="Calibri" w:hAnsi="Calibri"/>
          <w:sz w:val="22"/>
          <w:szCs w:val="22"/>
        </w:rPr>
      </w:pPr>
      <w:r>
        <w:rPr>
          <w:sz w:val="22"/>
          <w:szCs w:val="22"/>
        </w:rPr>
      </w:r>
    </w:p>
    <w:p>
      <w:pPr>
        <w:pStyle w:val="Segundo"/>
        <w:numPr>
          <w:ilvl w:val="1"/>
          <w:numId w:val="3"/>
        </w:numPr>
        <w:ind w:hanging="0" w:left="0"/>
        <w:rPr>
          <w:rFonts w:ascii="Calibri" w:hAnsi="Calibri"/>
          <w:sz w:val="22"/>
          <w:szCs w:val="22"/>
        </w:rPr>
      </w:pPr>
      <w:r>
        <w:rPr>
          <w:sz w:val="22"/>
          <w:szCs w:val="22"/>
        </w:rPr>
        <w:t xml:space="preserve">Fica designado como GESTOR DA ATA DE REGISTRO DE PREÇOS o Sr. JOSÉ MIGUEL LEONI – Secretário Municipal </w:t>
      </w:r>
      <w:r>
        <w:rPr>
          <w:rFonts w:cs="Calibri" w:cstheme="minorHAnsi"/>
          <w:bCs/>
          <w:spacing w:val="-2"/>
          <w:sz w:val="22"/>
          <w:szCs w:val="22"/>
          <w:lang w:eastAsia="pt-BR"/>
        </w:rPr>
        <w:t>de Obras, Transportes e Serviços Urbanos.</w:t>
      </w:r>
    </w:p>
    <w:p>
      <w:pPr>
        <w:pStyle w:val="Segundo"/>
        <w:numPr>
          <w:ilvl w:val="0"/>
          <w:numId w:val="0"/>
        </w:numPr>
        <w:ind w:hanging="0" w:left="0"/>
        <w:rPr>
          <w:rFonts w:ascii="Calibri" w:hAnsi="Calibri"/>
          <w:sz w:val="22"/>
          <w:szCs w:val="22"/>
        </w:rPr>
      </w:pPr>
      <w:r>
        <w:rPr>
          <w:sz w:val="22"/>
          <w:szCs w:val="22"/>
        </w:rPr>
      </w:r>
    </w:p>
    <w:p>
      <w:pPr>
        <w:pStyle w:val="Segundo"/>
        <w:numPr>
          <w:ilvl w:val="1"/>
          <w:numId w:val="3"/>
        </w:numPr>
        <w:ind w:hanging="0" w:left="0"/>
        <w:rPr>
          <w:rFonts w:ascii="Calibri" w:hAnsi="Calibri"/>
          <w:sz w:val="22"/>
          <w:szCs w:val="22"/>
        </w:rPr>
      </w:pPr>
      <w:r>
        <w:rPr>
          <w:sz w:val="22"/>
          <w:szCs w:val="22"/>
        </w:rPr>
        <w:t xml:space="preserve">Fica </w:t>
      </w:r>
      <w:r>
        <w:rPr>
          <w:rFonts w:eastAsia="Calibri" w:cs="Calibri" w:cstheme="minorHAnsi"/>
          <w:bCs/>
          <w:color w:val="000000"/>
          <w:spacing w:val="-2"/>
          <w:sz w:val="22"/>
          <w:szCs w:val="22"/>
          <w:lang w:eastAsia="pt-BR"/>
        </w:rPr>
        <w:t>designado como FISCAL DA ATA DE REGISTRO DE PREÇOS o Sr. RENATO CURT JOSTER – Eletricista.</w:t>
      </w:r>
    </w:p>
    <w:p>
      <w:pPr>
        <w:pStyle w:val="Corpo"/>
        <w:ind w:hanging="0" w:left="0"/>
        <w:rPr>
          <w:rFonts w:ascii="Calibri" w:hAnsi="Calibri"/>
          <w:sz w:val="22"/>
          <w:szCs w:val="22"/>
        </w:rPr>
      </w:pPr>
      <w:r>
        <w:rPr>
          <w:sz w:val="22"/>
          <w:szCs w:val="22"/>
        </w:rPr>
      </w:r>
    </w:p>
    <w:p>
      <w:pPr>
        <w:pStyle w:val="Primeiro"/>
        <w:numPr>
          <w:ilvl w:val="0"/>
          <w:numId w:val="3"/>
        </w:numPr>
        <w:rPr>
          <w:rFonts w:ascii="Calibri" w:hAnsi="Calibri"/>
          <w:sz w:val="22"/>
          <w:szCs w:val="22"/>
        </w:rPr>
      </w:pPr>
      <w:r>
        <w:rPr>
          <w:sz w:val="22"/>
          <w:szCs w:val="22"/>
        </w:rPr>
        <w:t>DAS DISPOSIÇÕES FINAIS.</w:t>
      </w:r>
    </w:p>
    <w:p>
      <w:pPr>
        <w:pStyle w:val="Corpo"/>
        <w:ind w:hanging="0" w:left="0"/>
        <w:rPr>
          <w:rFonts w:ascii="Calibri" w:hAnsi="Calibri"/>
          <w:sz w:val="22"/>
          <w:szCs w:val="22"/>
        </w:rPr>
      </w:pPr>
      <w:r>
        <w:rPr>
          <w:sz w:val="22"/>
          <w:szCs w:val="22"/>
        </w:rPr>
      </w:r>
    </w:p>
    <w:p>
      <w:pPr>
        <w:pStyle w:val="Segundo"/>
        <w:numPr>
          <w:ilvl w:val="1"/>
          <w:numId w:val="3"/>
        </w:numPr>
        <w:ind w:hanging="0" w:left="0"/>
        <w:rPr>
          <w:rFonts w:ascii="Calibri" w:hAnsi="Calibri"/>
          <w:sz w:val="22"/>
          <w:szCs w:val="22"/>
        </w:rPr>
      </w:pPr>
      <w:r>
        <w:rPr>
          <w:sz w:val="22"/>
          <w:szCs w:val="22"/>
        </w:rPr>
        <w:t xml:space="preserve">A presente ARP – Ata de Registro de Preços, bem como o Edital e seus anexos, são complementares entre si, de modo que qualquer </w:t>
      </w:r>
      <w:r>
        <w:rPr/>
        <w:t xml:space="preserve">disposição prevista em um documento e omitida em outro será considerada válida e aplicável. </w:t>
      </w:r>
    </w:p>
    <w:p>
      <w:pPr>
        <w:pStyle w:val="Segundo"/>
        <w:numPr>
          <w:ilvl w:val="0"/>
          <w:numId w:val="0"/>
        </w:numPr>
        <w:ind w:hanging="0" w:left="0"/>
        <w:rPr>
          <w:rFonts w:ascii="Calibri" w:hAnsi="Calibri"/>
          <w:sz w:val="22"/>
          <w:szCs w:val="22"/>
        </w:rPr>
      </w:pPr>
      <w:r>
        <w:rPr>
          <w:sz w:val="22"/>
          <w:szCs w:val="22"/>
        </w:rPr>
      </w:r>
    </w:p>
    <w:p>
      <w:pPr>
        <w:pStyle w:val="Segundo"/>
        <w:numPr>
          <w:ilvl w:val="1"/>
          <w:numId w:val="3"/>
        </w:numPr>
        <w:ind w:hanging="0" w:left="0"/>
        <w:rPr>
          <w:rFonts w:ascii="Calibri" w:hAnsi="Calibri"/>
          <w:sz w:val="22"/>
          <w:szCs w:val="22"/>
        </w:rPr>
      </w:pPr>
      <w:r>
        <w:rPr>
          <w:sz w:val="22"/>
          <w:szCs w:val="22"/>
        </w:rPr>
        <w:t>Integram a presente ARP – Ata de Registro de Preços, para todos os fins e efeitos legais, o Edital do Pregão Eletrônico, seus anexos e a proposta apresentada pelo FORNECEDOR, independentemente de transcrição.</w:t>
      </w:r>
    </w:p>
    <w:p>
      <w:pPr>
        <w:pStyle w:val="Segundo"/>
        <w:numPr>
          <w:ilvl w:val="0"/>
          <w:numId w:val="0"/>
        </w:numPr>
        <w:ind w:hanging="0" w:left="0"/>
        <w:rPr>
          <w:rFonts w:ascii="Calibri" w:hAnsi="Calibri"/>
          <w:sz w:val="22"/>
          <w:szCs w:val="22"/>
        </w:rPr>
      </w:pPr>
      <w:r>
        <w:rPr>
          <w:sz w:val="22"/>
          <w:szCs w:val="22"/>
        </w:rPr>
      </w:r>
    </w:p>
    <w:p>
      <w:pPr>
        <w:pStyle w:val="Segundo"/>
        <w:numPr>
          <w:ilvl w:val="1"/>
          <w:numId w:val="3"/>
        </w:numPr>
        <w:ind w:hanging="0" w:left="0"/>
        <w:rPr>
          <w:rFonts w:ascii="Calibri" w:hAnsi="Calibri"/>
          <w:sz w:val="22"/>
          <w:szCs w:val="22"/>
        </w:rPr>
      </w:pPr>
      <w:r>
        <w:rPr>
          <w:sz w:val="22"/>
          <w:szCs w:val="22"/>
        </w:rPr>
        <w:t>Os casos omissos serão resolvidos conforme os princípios e disposições da Lei Federal nº 14.133/2021 e demais normas aplicáveis.</w:t>
      </w:r>
    </w:p>
    <w:p>
      <w:pPr>
        <w:pStyle w:val="Corpo"/>
        <w:ind w:hanging="0" w:left="0"/>
        <w:rPr>
          <w:rFonts w:ascii="Calibri" w:hAnsi="Calibri"/>
          <w:sz w:val="22"/>
          <w:szCs w:val="22"/>
        </w:rPr>
      </w:pPr>
      <w:r>
        <w:rPr>
          <w:sz w:val="22"/>
          <w:szCs w:val="22"/>
        </w:rPr>
      </w:r>
    </w:p>
    <w:p>
      <w:pPr>
        <w:pStyle w:val="Primeiro"/>
        <w:numPr>
          <w:ilvl w:val="0"/>
          <w:numId w:val="3"/>
        </w:numPr>
        <w:rPr>
          <w:rFonts w:ascii="Calibri" w:hAnsi="Calibri"/>
          <w:sz w:val="22"/>
          <w:szCs w:val="22"/>
        </w:rPr>
      </w:pPr>
      <w:r>
        <w:rPr>
          <w:sz w:val="22"/>
          <w:szCs w:val="22"/>
        </w:rPr>
        <w:t>DO FORO</w:t>
      </w:r>
    </w:p>
    <w:p>
      <w:pPr>
        <w:pStyle w:val="Corpo"/>
        <w:ind w:hanging="0" w:left="0"/>
        <w:rPr>
          <w:rFonts w:ascii="Calibri" w:hAnsi="Calibri"/>
          <w:sz w:val="22"/>
          <w:szCs w:val="22"/>
        </w:rPr>
      </w:pPr>
      <w:r>
        <w:rPr>
          <w:sz w:val="22"/>
          <w:szCs w:val="22"/>
        </w:rPr>
      </w:r>
    </w:p>
    <w:p>
      <w:pPr>
        <w:pStyle w:val="Segundo"/>
        <w:numPr>
          <w:ilvl w:val="1"/>
          <w:numId w:val="3"/>
        </w:numPr>
        <w:ind w:hanging="0" w:left="0"/>
        <w:rPr>
          <w:rFonts w:ascii="Calibri" w:hAnsi="Calibri"/>
          <w:sz w:val="22"/>
          <w:szCs w:val="22"/>
        </w:rPr>
      </w:pPr>
      <w:r>
        <w:rPr>
          <w:sz w:val="22"/>
          <w:szCs w:val="22"/>
        </w:rPr>
        <w:t>As PARTES elegem o Foro da Comarca de Brusque-SC, com renúncia de qualquer outro, por mais privilegiado que seja, para dirimir questões relativas à aplicação desta ARP – Ata de Registro de Preços, ou execução do ajuste, não resolvidas na esfera administrativa.</w:t>
      </w:r>
    </w:p>
    <w:p>
      <w:pPr>
        <w:pStyle w:val="Corpo"/>
        <w:ind w:hanging="0" w:left="0"/>
        <w:rPr>
          <w:rFonts w:ascii="Calibri" w:hAnsi="Calibri"/>
          <w:sz w:val="22"/>
          <w:szCs w:val="22"/>
        </w:rPr>
      </w:pPr>
      <w:r>
        <w:rPr>
          <w:sz w:val="22"/>
          <w:szCs w:val="22"/>
        </w:rPr>
      </w:r>
    </w:p>
    <w:p>
      <w:pPr>
        <w:pStyle w:val="Corpo"/>
        <w:ind w:hanging="0" w:left="0"/>
        <w:rPr>
          <w:rFonts w:ascii="Calibri" w:hAnsi="Calibri"/>
          <w:sz w:val="22"/>
          <w:szCs w:val="22"/>
        </w:rPr>
      </w:pPr>
      <w:r>
        <w:rPr>
          <w:rFonts w:cs="Calibri" w:cstheme="minorHAnsi"/>
          <w:sz w:val="22"/>
          <w:szCs w:val="22"/>
        </w:rPr>
        <w:t xml:space="preserve">E por estarem assim justo e avençado, as </w:t>
      </w:r>
      <w:r>
        <w:rPr>
          <w:rFonts w:cs="Calibri" w:cstheme="minorHAnsi"/>
          <w:bCs/>
          <w:sz w:val="22"/>
          <w:szCs w:val="22"/>
        </w:rPr>
        <w:t>PARTES</w:t>
      </w:r>
      <w:r>
        <w:rPr>
          <w:rFonts w:cs="Calibri" w:cstheme="minorHAnsi"/>
          <w:sz w:val="22"/>
          <w:szCs w:val="22"/>
        </w:rPr>
        <w:t xml:space="preserve"> firmam o presente instrumento de forma eletrônica, dispensando assinatura de testemunhas, nos termos do art. 784, §4º, da Lei nº 13.105/15 (Código de Processo Civil).</w:t>
      </w:r>
    </w:p>
    <w:p>
      <w:pPr>
        <w:pStyle w:val="Prembulo"/>
        <w:jc w:val="left"/>
        <w:rPr>
          <w:rFonts w:ascii="Calibri" w:hAnsi="Calibri" w:cs="Calibri" w:asciiTheme="minorHAnsi" w:cstheme="minorHAnsi" w:hAnsiTheme="minorHAnsi"/>
          <w:sz w:val="22"/>
          <w:szCs w:val="22"/>
        </w:rPr>
      </w:pPr>
      <w:r>
        <w:rPr>
          <w:rFonts w:cs="Calibri" w:cstheme="minorHAnsi"/>
          <w:sz w:val="22"/>
          <w:szCs w:val="22"/>
        </w:rPr>
      </w:r>
    </w:p>
    <w:p>
      <w:pPr>
        <w:pStyle w:val="Prembulo"/>
        <w:rPr>
          <w:rFonts w:ascii="Calibri" w:hAnsi="Calibri"/>
          <w:sz w:val="22"/>
          <w:szCs w:val="22"/>
        </w:rPr>
      </w:pPr>
      <w:r>
        <w:rPr>
          <w:rFonts w:cs="Calibri" w:cstheme="minorHAnsi"/>
          <w:b w:val="false"/>
          <w:bCs/>
          <w:sz w:val="22"/>
          <w:szCs w:val="22"/>
        </w:rPr>
        <w:t xml:space="preserve">Botuverá-SC, </w:t>
      </w:r>
      <w:r>
        <w:rPr>
          <w:b w:val="false"/>
          <w:bCs/>
          <w:sz w:val="22"/>
          <w:szCs w:val="22"/>
        </w:rPr>
        <w:fldChar w:fldCharType="begin"/>
      </w:r>
      <w:r>
        <w:rPr>
          <w:b w:val="false"/>
          <w:bCs/>
          <w:sz w:val="22"/>
          <w:szCs w:val="22"/>
        </w:rPr>
        <w:instrText xml:space="preserve"> DATE \@"d' de 'MMMM' de 'yyyy" </w:instrText>
      </w:r>
      <w:r>
        <w:rPr>
          <w:b w:val="false"/>
          <w:bCs/>
          <w:sz w:val="22"/>
          <w:szCs w:val="22"/>
        </w:rPr>
        <w:fldChar w:fldCharType="separate"/>
      </w:r>
      <w:r>
        <w:rPr>
          <w:b w:val="false"/>
          <w:bCs/>
          <w:sz w:val="22"/>
          <w:szCs w:val="22"/>
        </w:rPr>
        <w:t>22 de maio de 2026</w:t>
      </w:r>
      <w:r>
        <w:rPr>
          <w:b w:val="false"/>
          <w:bCs/>
          <w:sz w:val="22"/>
          <w:szCs w:val="22"/>
        </w:rPr>
        <w:fldChar w:fldCharType="end"/>
      </w:r>
      <w:r>
        <w:rPr>
          <w:rFonts w:cs="Calibri" w:cstheme="minorHAnsi"/>
          <w:b w:val="false"/>
          <w:bCs/>
          <w:sz w:val="22"/>
          <w:szCs w:val="22"/>
        </w:rPr>
        <w:t>.</w:t>
      </w:r>
    </w:p>
    <w:p>
      <w:pPr>
        <w:pStyle w:val="Prembulo"/>
        <w:rPr>
          <w:rFonts w:ascii="Calibri" w:hAnsi="Calibri" w:cs="Calibri" w:asciiTheme="minorHAnsi" w:cstheme="minorHAnsi" w:hAnsiTheme="minorHAnsi"/>
          <w:b w:val="false"/>
          <w:bCs/>
          <w:sz w:val="22"/>
          <w:szCs w:val="22"/>
        </w:rPr>
      </w:pPr>
      <w:r>
        <w:rPr>
          <w:rFonts w:cs="Calibri" w:cstheme="minorHAnsi"/>
          <w:b w:val="false"/>
          <w:bCs/>
          <w:sz w:val="22"/>
          <w:szCs w:val="22"/>
        </w:rPr>
      </w:r>
    </w:p>
    <w:tbl>
      <w:tblPr>
        <w:tblStyle w:val="Tabelacomgrade"/>
        <w:tblW w:w="9353"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4535"/>
        <w:gridCol w:w="278"/>
        <w:gridCol w:w="4540"/>
      </w:tblGrid>
      <w:tr>
        <w:trPr>
          <w:trHeight w:val="850" w:hRule="atLeast"/>
        </w:trPr>
        <w:tc>
          <w:tcPr>
            <w:tcW w:w="4535" w:type="dxa"/>
            <w:tcBorders>
              <w:top w:val="nil"/>
              <w:left w:val="nil"/>
              <w:right w:val="nil"/>
            </w:tcBorders>
          </w:tcPr>
          <w:p>
            <w:pPr>
              <w:pStyle w:val="Prembulo"/>
              <w:suppressAutoHyphens w:val="true"/>
              <w:spacing w:before="0" w:after="0"/>
              <w:rPr>
                <w:rFonts w:ascii="Calibri" w:hAnsi="Calibri" w:cs="Calibri" w:asciiTheme="minorHAnsi" w:cstheme="minorHAnsi" w:hAnsiTheme="minorHAnsi"/>
                <w:b w:val="false"/>
                <w:bCs/>
                <w:sz w:val="22"/>
                <w:szCs w:val="22"/>
              </w:rPr>
            </w:pPr>
            <w:r>
              <w:rPr>
                <w:rFonts w:cs="Calibri" w:cstheme="minorHAnsi"/>
                <w:b w:val="false"/>
                <w:bCs/>
                <w:sz w:val="22"/>
                <w:szCs w:val="22"/>
              </w:rPr>
            </w:r>
          </w:p>
          <w:p>
            <w:pPr>
              <w:pStyle w:val="Prembulo"/>
              <w:suppressAutoHyphens w:val="true"/>
              <w:spacing w:before="0" w:after="0"/>
              <w:rPr>
                <w:rFonts w:ascii="Calibri" w:hAnsi="Calibri" w:cs="Calibri" w:asciiTheme="minorHAnsi" w:cstheme="minorHAnsi" w:hAnsiTheme="minorHAnsi"/>
                <w:b w:val="false"/>
                <w:bCs/>
                <w:sz w:val="22"/>
                <w:szCs w:val="22"/>
              </w:rPr>
            </w:pPr>
            <w:r>
              <w:rPr>
                <w:rFonts w:cs="Calibri" w:cstheme="minorHAnsi"/>
                <w:b w:val="false"/>
                <w:bCs/>
                <w:sz w:val="22"/>
                <w:szCs w:val="22"/>
              </w:rPr>
            </w:r>
          </w:p>
          <w:p>
            <w:pPr>
              <w:pStyle w:val="Prembulo"/>
              <w:suppressAutoHyphens w:val="true"/>
              <w:spacing w:before="0" w:after="0"/>
              <w:rPr>
                <w:rFonts w:ascii="Calibri" w:hAnsi="Calibri" w:cs="Calibri" w:asciiTheme="minorHAnsi" w:cstheme="minorHAnsi" w:hAnsiTheme="minorHAnsi"/>
                <w:b w:val="false"/>
                <w:bCs/>
                <w:sz w:val="22"/>
                <w:szCs w:val="22"/>
              </w:rPr>
            </w:pPr>
            <w:r>
              <w:rPr>
                <w:rFonts w:cs="Calibri" w:cstheme="minorHAnsi"/>
                <w:b w:val="false"/>
                <w:bCs/>
                <w:sz w:val="22"/>
                <w:szCs w:val="22"/>
              </w:rPr>
            </w:r>
          </w:p>
          <w:p>
            <w:pPr>
              <w:pStyle w:val="Prembulo"/>
              <w:suppressAutoHyphens w:val="true"/>
              <w:spacing w:before="0" w:after="0"/>
              <w:rPr>
                <w:rFonts w:ascii="Calibri" w:hAnsi="Calibri" w:cs="Calibri" w:asciiTheme="minorHAnsi" w:cstheme="minorHAnsi" w:hAnsiTheme="minorHAnsi"/>
                <w:b w:val="false"/>
                <w:bCs/>
                <w:sz w:val="22"/>
                <w:szCs w:val="22"/>
              </w:rPr>
            </w:pPr>
            <w:r>
              <w:rPr>
                <w:rFonts w:cs="Calibri" w:cstheme="minorHAnsi"/>
                <w:b w:val="false"/>
                <w:bCs/>
                <w:sz w:val="22"/>
                <w:szCs w:val="22"/>
              </w:rPr>
            </w:r>
          </w:p>
          <w:p>
            <w:pPr>
              <w:pStyle w:val="Prembulo"/>
              <w:suppressAutoHyphens w:val="true"/>
              <w:spacing w:before="0" w:after="0"/>
              <w:rPr>
                <w:rFonts w:ascii="Calibri" w:hAnsi="Calibri" w:cs="Calibri" w:asciiTheme="minorHAnsi" w:cstheme="minorHAnsi" w:hAnsiTheme="minorHAnsi"/>
                <w:b w:val="false"/>
                <w:bCs/>
                <w:sz w:val="22"/>
                <w:szCs w:val="22"/>
              </w:rPr>
            </w:pPr>
            <w:r>
              <w:rPr>
                <w:rFonts w:cs="Calibri" w:cstheme="minorHAnsi"/>
                <w:b w:val="false"/>
                <w:bCs/>
                <w:sz w:val="22"/>
                <w:szCs w:val="22"/>
              </w:rPr>
            </w:r>
          </w:p>
        </w:tc>
        <w:tc>
          <w:tcPr>
            <w:tcW w:w="278" w:type="dxa"/>
            <w:tcBorders>
              <w:top w:val="nil"/>
              <w:left w:val="nil"/>
              <w:bottom w:val="nil"/>
              <w:right w:val="nil"/>
            </w:tcBorders>
          </w:tcPr>
          <w:p>
            <w:pPr>
              <w:pStyle w:val="Prembulo"/>
              <w:suppressAutoHyphens w:val="true"/>
              <w:spacing w:before="0" w:after="0"/>
              <w:rPr>
                <w:rFonts w:ascii="Calibri" w:hAnsi="Calibri" w:cs="Calibri" w:asciiTheme="minorHAnsi" w:cstheme="minorHAnsi" w:hAnsiTheme="minorHAnsi"/>
                <w:b w:val="false"/>
                <w:bCs/>
                <w:sz w:val="22"/>
                <w:szCs w:val="22"/>
              </w:rPr>
            </w:pPr>
            <w:r>
              <w:rPr>
                <w:rFonts w:cs="Calibri" w:cstheme="minorHAnsi"/>
                <w:b w:val="false"/>
                <w:bCs/>
                <w:sz w:val="22"/>
                <w:szCs w:val="22"/>
              </w:rPr>
            </w:r>
          </w:p>
        </w:tc>
        <w:tc>
          <w:tcPr>
            <w:tcW w:w="4540" w:type="dxa"/>
            <w:tcBorders>
              <w:top w:val="nil"/>
              <w:left w:val="nil"/>
              <w:right w:val="nil"/>
            </w:tcBorders>
          </w:tcPr>
          <w:p>
            <w:pPr>
              <w:pStyle w:val="Prembulo"/>
              <w:suppressAutoHyphens w:val="true"/>
              <w:spacing w:before="0" w:after="0"/>
              <w:rPr>
                <w:rFonts w:ascii="Calibri" w:hAnsi="Calibri" w:cs="Calibri" w:asciiTheme="minorHAnsi" w:cstheme="minorHAnsi" w:hAnsiTheme="minorHAnsi"/>
                <w:b w:val="false"/>
                <w:bCs/>
                <w:sz w:val="22"/>
                <w:szCs w:val="22"/>
              </w:rPr>
            </w:pPr>
            <w:r>
              <w:rPr>
                <w:rFonts w:cs="Calibri" w:cstheme="minorHAnsi"/>
                <w:b w:val="false"/>
                <w:bCs/>
                <w:sz w:val="22"/>
                <w:szCs w:val="22"/>
              </w:rPr>
            </w:r>
          </w:p>
        </w:tc>
      </w:tr>
      <w:tr>
        <w:trPr>
          <w:trHeight w:val="1020" w:hRule="atLeast"/>
        </w:trPr>
        <w:tc>
          <w:tcPr>
            <w:tcW w:w="4535" w:type="dxa"/>
            <w:tcBorders>
              <w:left w:val="nil"/>
              <w:bottom w:val="nil"/>
              <w:right w:val="nil"/>
            </w:tcBorders>
          </w:tcPr>
          <w:p>
            <w:pPr>
              <w:pStyle w:val="Normal"/>
              <w:suppressAutoHyphens w:val="true"/>
              <w:spacing w:before="0" w:after="0"/>
              <w:jc w:val="center"/>
              <w:rPr>
                <w:rFonts w:ascii="Calibri" w:hAnsi="Calibri"/>
                <w:sz w:val="22"/>
                <w:szCs w:val="22"/>
              </w:rPr>
            </w:pPr>
            <w:r>
              <w:rPr>
                <w:rFonts w:eastAsia="Calibri" w:cs="Calibri" w:ascii="Calibri" w:hAnsi="Calibri" w:asciiTheme="minorHAnsi" w:cstheme="minorHAnsi" w:hAnsiTheme="minorHAnsi"/>
                <w:b/>
                <w:bCs/>
                <w:kern w:val="0"/>
                <w:sz w:val="22"/>
                <w:szCs w:val="22"/>
                <w:lang w:eastAsia="en-US" w:bidi="ar-SA"/>
              </w:rPr>
              <w:t>VICTOR JOSÉ WIETCOWSKY</w:t>
            </w:r>
          </w:p>
          <w:p>
            <w:pPr>
              <w:pStyle w:val="Normal"/>
              <w:suppressAutoHyphens w:val="true"/>
              <w:spacing w:before="0" w:after="0"/>
              <w:jc w:val="center"/>
              <w:rPr>
                <w:rFonts w:ascii="Calibri" w:hAnsi="Calibri"/>
                <w:sz w:val="22"/>
                <w:szCs w:val="22"/>
              </w:rPr>
            </w:pPr>
            <w:r>
              <w:rPr>
                <w:rFonts w:eastAsia="Calibri" w:cs="Calibri" w:ascii="Calibri" w:hAnsi="Calibri" w:asciiTheme="minorHAnsi" w:cstheme="minorHAnsi" w:hAnsiTheme="minorHAnsi"/>
                <w:kern w:val="0"/>
                <w:sz w:val="22"/>
                <w:szCs w:val="22"/>
                <w:lang w:eastAsia="en-US" w:bidi="ar-SA"/>
              </w:rPr>
              <w:t>Prefeito Municipal</w:t>
            </w:r>
          </w:p>
          <w:p>
            <w:pPr>
              <w:pStyle w:val="Prembulo"/>
              <w:suppressAutoHyphens w:val="true"/>
              <w:spacing w:before="0" w:after="0"/>
              <w:rPr>
                <w:rFonts w:ascii="Calibri" w:hAnsi="Calibri"/>
                <w:sz w:val="22"/>
                <w:szCs w:val="22"/>
              </w:rPr>
            </w:pPr>
            <w:r>
              <w:rPr>
                <w:rFonts w:cs="Calibri" w:cstheme="minorHAnsi"/>
                <w:kern w:val="0"/>
                <w:sz w:val="22"/>
                <w:szCs w:val="22"/>
                <w:lang w:eastAsia="en-US" w:bidi="ar-SA"/>
              </w:rPr>
              <w:t>(MUNICÍPIO)</w:t>
            </w:r>
          </w:p>
        </w:tc>
        <w:tc>
          <w:tcPr>
            <w:tcW w:w="278" w:type="dxa"/>
            <w:tcBorders>
              <w:top w:val="nil"/>
              <w:left w:val="nil"/>
              <w:bottom w:val="nil"/>
              <w:right w:val="nil"/>
            </w:tcBorders>
          </w:tcPr>
          <w:p>
            <w:pPr>
              <w:pStyle w:val="Prembulo"/>
              <w:suppressAutoHyphens w:val="true"/>
              <w:spacing w:before="0" w:after="0"/>
              <w:rPr>
                <w:rFonts w:ascii="Calibri" w:hAnsi="Calibri" w:cs="Calibri" w:asciiTheme="minorHAnsi" w:cstheme="minorHAnsi" w:hAnsiTheme="minorHAnsi"/>
                <w:b w:val="false"/>
                <w:bCs/>
                <w:sz w:val="22"/>
                <w:szCs w:val="22"/>
              </w:rPr>
            </w:pPr>
            <w:r>
              <w:rPr>
                <w:rFonts w:cs="Calibri" w:cstheme="minorHAnsi"/>
                <w:b w:val="false"/>
                <w:bCs/>
                <w:sz w:val="22"/>
                <w:szCs w:val="22"/>
              </w:rPr>
            </w:r>
          </w:p>
        </w:tc>
        <w:tc>
          <w:tcPr>
            <w:tcW w:w="4540" w:type="dxa"/>
            <w:tcBorders>
              <w:left w:val="nil"/>
              <w:bottom w:val="nil"/>
              <w:right w:val="nil"/>
            </w:tcBorders>
          </w:tcPr>
          <w:p>
            <w:pPr>
              <w:pStyle w:val="Prembulo"/>
              <w:suppressAutoHyphens w:val="true"/>
              <w:spacing w:before="0" w:after="0"/>
              <w:rPr>
                <w:rFonts w:ascii="Calibri" w:hAnsi="Calibri"/>
                <w:sz w:val="22"/>
                <w:szCs w:val="22"/>
              </w:rPr>
            </w:pPr>
            <w:r>
              <w:rPr>
                <w:rFonts w:cs="Calibri" w:cstheme="minorHAnsi"/>
                <w:kern w:val="0"/>
                <w:sz w:val="22"/>
                <w:szCs w:val="22"/>
                <w:lang w:eastAsia="en-US" w:bidi="ar-SA"/>
              </w:rPr>
              <w:t>NOME DA EMPRESA</w:t>
            </w:r>
          </w:p>
          <w:p>
            <w:pPr>
              <w:pStyle w:val="Prembulo"/>
              <w:suppressAutoHyphens w:val="true"/>
              <w:spacing w:before="0" w:after="0"/>
              <w:rPr>
                <w:rFonts w:ascii="Calibri" w:hAnsi="Calibri"/>
                <w:sz w:val="22"/>
                <w:szCs w:val="22"/>
              </w:rPr>
            </w:pPr>
            <w:r>
              <w:rPr>
                <w:rFonts w:cs="Calibri" w:cstheme="minorHAnsi"/>
                <w:b w:val="false"/>
                <w:bCs/>
                <w:kern w:val="0"/>
                <w:sz w:val="22"/>
                <w:szCs w:val="22"/>
                <w:lang w:eastAsia="en-US" w:bidi="ar-SA"/>
              </w:rPr>
              <w:t>rep. NOME DO RESPONSÁVEL</w:t>
            </w:r>
          </w:p>
          <w:p>
            <w:pPr>
              <w:pStyle w:val="Prembulo"/>
              <w:suppressAutoHyphens w:val="true"/>
              <w:spacing w:before="0" w:after="0"/>
              <w:rPr>
                <w:rFonts w:ascii="Calibri" w:hAnsi="Calibri"/>
                <w:sz w:val="22"/>
                <w:szCs w:val="22"/>
              </w:rPr>
            </w:pPr>
            <w:r>
              <w:rPr>
                <w:rFonts w:cs="Calibri" w:cstheme="minorHAnsi"/>
                <w:kern w:val="0"/>
                <w:sz w:val="22"/>
                <w:szCs w:val="22"/>
                <w:lang w:eastAsia="en-US" w:bidi="ar-SA"/>
              </w:rPr>
              <w:t>(FORNECEDOR)</w:t>
            </w:r>
          </w:p>
        </w:tc>
      </w:tr>
      <w:tr>
        <w:trPr>
          <w:trHeight w:val="850" w:hRule="atLeast"/>
        </w:trPr>
        <w:tc>
          <w:tcPr>
            <w:tcW w:w="4535" w:type="dxa"/>
            <w:tcBorders>
              <w:top w:val="nil"/>
              <w:left w:val="nil"/>
              <w:right w:val="nil"/>
            </w:tcBorders>
          </w:tcPr>
          <w:p>
            <w:pPr>
              <w:pStyle w:val="Prembulo"/>
              <w:suppressAutoHyphens w:val="true"/>
              <w:spacing w:before="0" w:after="0"/>
              <w:rPr>
                <w:rFonts w:ascii="Calibri" w:hAnsi="Calibri" w:cs="Calibri" w:cstheme="minorHAnsi"/>
                <w:b w:val="false"/>
                <w:bCs/>
                <w:sz w:val="22"/>
                <w:szCs w:val="22"/>
              </w:rPr>
            </w:pPr>
            <w:r>
              <w:rPr>
                <w:rFonts w:cs="Calibri" w:cstheme="minorHAnsi"/>
                <w:b w:val="false"/>
                <w:bCs/>
                <w:sz w:val="22"/>
                <w:szCs w:val="22"/>
              </w:rPr>
            </w:r>
          </w:p>
          <w:p>
            <w:pPr>
              <w:pStyle w:val="Prembulo"/>
              <w:suppressAutoHyphens w:val="true"/>
              <w:spacing w:before="0" w:after="0"/>
              <w:rPr>
                <w:rFonts w:ascii="Calibri" w:hAnsi="Calibri" w:cs="Calibri" w:cstheme="minorHAnsi"/>
                <w:b w:val="false"/>
                <w:bCs/>
                <w:sz w:val="22"/>
                <w:szCs w:val="22"/>
              </w:rPr>
            </w:pPr>
            <w:r>
              <w:rPr>
                <w:rFonts w:cs="Calibri" w:cstheme="minorHAnsi"/>
                <w:b w:val="false"/>
                <w:bCs/>
                <w:sz w:val="22"/>
                <w:szCs w:val="22"/>
              </w:rPr>
            </w:r>
          </w:p>
          <w:p>
            <w:pPr>
              <w:pStyle w:val="Prembulo"/>
              <w:suppressAutoHyphens w:val="true"/>
              <w:spacing w:before="0" w:after="0"/>
              <w:rPr>
                <w:rFonts w:ascii="Calibri" w:hAnsi="Calibri" w:cs="Calibri" w:cstheme="minorHAnsi"/>
                <w:b w:val="false"/>
                <w:bCs/>
                <w:sz w:val="22"/>
                <w:szCs w:val="22"/>
              </w:rPr>
            </w:pPr>
            <w:r>
              <w:rPr>
                <w:rFonts w:cs="Calibri" w:cstheme="minorHAnsi"/>
                <w:b w:val="false"/>
                <w:bCs/>
                <w:sz w:val="22"/>
                <w:szCs w:val="22"/>
              </w:rPr>
            </w:r>
          </w:p>
          <w:p>
            <w:pPr>
              <w:pStyle w:val="Prembulo"/>
              <w:suppressAutoHyphens w:val="true"/>
              <w:spacing w:before="0" w:after="0"/>
              <w:rPr>
                <w:rFonts w:ascii="Calibri" w:hAnsi="Calibri" w:cs="Calibri" w:cstheme="minorHAnsi"/>
                <w:b w:val="false"/>
                <w:bCs/>
                <w:sz w:val="22"/>
                <w:szCs w:val="22"/>
              </w:rPr>
            </w:pPr>
            <w:r>
              <w:rPr>
                <w:rFonts w:cs="Calibri" w:cstheme="minorHAnsi"/>
                <w:b w:val="false"/>
                <w:bCs/>
                <w:sz w:val="22"/>
                <w:szCs w:val="22"/>
              </w:rPr>
            </w:r>
          </w:p>
          <w:p>
            <w:pPr>
              <w:pStyle w:val="Prembulo"/>
              <w:suppressAutoHyphens w:val="true"/>
              <w:spacing w:before="0" w:after="0"/>
              <w:rPr>
                <w:rFonts w:ascii="Calibri" w:hAnsi="Calibri" w:cs="Calibri" w:cstheme="minorHAnsi"/>
                <w:b w:val="false"/>
                <w:bCs/>
                <w:sz w:val="22"/>
                <w:szCs w:val="22"/>
              </w:rPr>
            </w:pPr>
            <w:r>
              <w:rPr>
                <w:rFonts w:cs="Calibri" w:cstheme="minorHAnsi"/>
                <w:b w:val="false"/>
                <w:bCs/>
                <w:sz w:val="22"/>
                <w:szCs w:val="22"/>
              </w:rPr>
            </w:r>
          </w:p>
          <w:p>
            <w:pPr>
              <w:pStyle w:val="Prembulo"/>
              <w:suppressAutoHyphens w:val="true"/>
              <w:spacing w:before="0" w:after="0"/>
              <w:rPr>
                <w:rFonts w:ascii="Calibri" w:hAnsi="Calibri" w:cs="Calibri" w:cstheme="minorHAnsi"/>
                <w:b w:val="false"/>
                <w:bCs/>
                <w:sz w:val="22"/>
                <w:szCs w:val="22"/>
              </w:rPr>
            </w:pPr>
            <w:r>
              <w:rPr>
                <w:rFonts w:cs="Calibri" w:cstheme="minorHAnsi"/>
                <w:b w:val="false"/>
                <w:bCs/>
                <w:sz w:val="22"/>
                <w:szCs w:val="22"/>
              </w:rPr>
            </w:r>
          </w:p>
        </w:tc>
        <w:tc>
          <w:tcPr>
            <w:tcW w:w="278" w:type="dxa"/>
            <w:tcBorders>
              <w:top w:val="nil"/>
              <w:left w:val="nil"/>
              <w:bottom w:val="nil"/>
              <w:right w:val="nil"/>
            </w:tcBorders>
          </w:tcPr>
          <w:p>
            <w:pPr>
              <w:pStyle w:val="Prembulo"/>
              <w:suppressAutoHyphens w:val="true"/>
              <w:spacing w:before="0" w:after="0"/>
              <w:rPr>
                <w:rFonts w:ascii="Calibri" w:hAnsi="Calibri" w:cs="Calibri" w:asciiTheme="minorHAnsi" w:cstheme="minorHAnsi" w:hAnsiTheme="minorHAnsi"/>
                <w:b w:val="false"/>
                <w:bCs/>
                <w:sz w:val="22"/>
                <w:szCs w:val="22"/>
              </w:rPr>
            </w:pPr>
            <w:r>
              <w:rPr>
                <w:rFonts w:cs="Calibri" w:cstheme="minorHAnsi"/>
                <w:b w:val="false"/>
                <w:bCs/>
                <w:sz w:val="22"/>
                <w:szCs w:val="22"/>
              </w:rPr>
            </w:r>
          </w:p>
        </w:tc>
        <w:tc>
          <w:tcPr>
            <w:tcW w:w="4540" w:type="dxa"/>
            <w:tcBorders>
              <w:top w:val="nil"/>
              <w:left w:val="nil"/>
              <w:right w:val="nil"/>
            </w:tcBorders>
          </w:tcPr>
          <w:p>
            <w:pPr>
              <w:pStyle w:val="Prembulo"/>
              <w:suppressAutoHyphens w:val="true"/>
              <w:spacing w:before="0" w:after="0"/>
              <w:rPr>
                <w:rFonts w:ascii="Calibri" w:hAnsi="Calibri" w:cs="Calibri" w:cstheme="minorHAnsi"/>
                <w:b w:val="false"/>
                <w:bCs/>
                <w:sz w:val="22"/>
                <w:szCs w:val="22"/>
              </w:rPr>
            </w:pPr>
            <w:r>
              <w:rPr>
                <w:rFonts w:cs="Calibri" w:cstheme="minorHAnsi"/>
                <w:b w:val="false"/>
                <w:bCs/>
                <w:sz w:val="22"/>
                <w:szCs w:val="22"/>
              </w:rPr>
            </w:r>
          </w:p>
        </w:tc>
      </w:tr>
      <w:tr>
        <w:trPr>
          <w:trHeight w:val="1020" w:hRule="atLeast"/>
        </w:trPr>
        <w:tc>
          <w:tcPr>
            <w:tcW w:w="4535" w:type="dxa"/>
            <w:tcBorders>
              <w:left w:val="nil"/>
              <w:bottom w:val="nil"/>
              <w:right w:val="nil"/>
            </w:tcBorders>
          </w:tcPr>
          <w:p>
            <w:pPr>
              <w:pStyle w:val="Prembulo"/>
              <w:suppressAutoHyphens w:val="true"/>
              <w:spacing w:before="0" w:after="0"/>
              <w:rPr>
                <w:rFonts w:ascii="Calibri" w:hAnsi="Calibri"/>
                <w:sz w:val="22"/>
                <w:szCs w:val="22"/>
              </w:rPr>
            </w:pPr>
            <w:r>
              <w:rPr>
                <w:rFonts w:cs="Calibri" w:cstheme="minorHAnsi"/>
                <w:kern w:val="0"/>
                <w:sz w:val="22"/>
                <w:szCs w:val="22"/>
                <w:lang w:eastAsia="en-US" w:bidi="ar-SA"/>
              </w:rPr>
              <w:t>JOSÉ MIGUEL LEONI</w:t>
            </w:r>
          </w:p>
          <w:p>
            <w:pPr>
              <w:pStyle w:val="Segundo"/>
              <w:numPr>
                <w:ilvl w:val="0"/>
                <w:numId w:val="0"/>
              </w:numPr>
              <w:spacing w:before="0" w:after="0"/>
              <w:ind w:hanging="0" w:left="0"/>
              <w:jc w:val="center"/>
              <w:rPr>
                <w:rFonts w:ascii="Calibri" w:hAnsi="Calibri"/>
                <w:sz w:val="22"/>
                <w:szCs w:val="22"/>
              </w:rPr>
            </w:pPr>
            <w:r>
              <w:rPr>
                <w:rFonts w:cs="Calibri" w:cstheme="minorHAnsi"/>
                <w:bCs/>
                <w:spacing w:val="-2"/>
                <w:kern w:val="0"/>
                <w:sz w:val="22"/>
                <w:szCs w:val="22"/>
                <w:lang w:eastAsia="en-US" w:bidi="ar-SA"/>
              </w:rPr>
              <w:t>Secretário Municipal</w:t>
            </w:r>
            <w:r>
              <w:rPr>
                <w:rFonts w:cs="Calibri" w:cstheme="minorHAnsi"/>
                <w:bCs/>
                <w:spacing w:val="-2"/>
                <w:kern w:val="0"/>
                <w:sz w:val="22"/>
                <w:szCs w:val="22"/>
                <w:lang w:eastAsia="pt-BR" w:bidi="ar-SA"/>
              </w:rPr>
              <w:t xml:space="preserve"> de Obras, Transportes e Serviços Urbanos</w:t>
            </w:r>
          </w:p>
          <w:p>
            <w:pPr>
              <w:pStyle w:val="Prembulo"/>
              <w:suppressAutoHyphens w:val="true"/>
              <w:spacing w:before="0" w:after="0"/>
              <w:rPr>
                <w:rFonts w:cs="Calibri" w:cstheme="minorHAnsi"/>
                <w:b w:val="false"/>
                <w:bCs/>
                <w:kern w:val="0"/>
                <w:lang w:eastAsia="en-US" w:bidi="ar-SA"/>
              </w:rPr>
            </w:pPr>
            <w:r>
              <w:rPr>
                <w:rFonts w:cs="Calibri" w:cstheme="minorHAnsi"/>
                <w:b w:val="false"/>
                <w:bCs/>
                <w:kern w:val="0"/>
                <w:sz w:val="22"/>
                <w:szCs w:val="22"/>
                <w:lang w:eastAsia="en-US" w:bidi="ar-SA"/>
              </w:rPr>
              <w:t xml:space="preserve">(GESTOR </w:t>
            </w:r>
            <w:r>
              <w:rPr>
                <w:rFonts w:eastAsia="Calibri" w:cs="Calibri" w:cstheme="minorHAnsi"/>
                <w:b w:val="false"/>
                <w:bCs/>
                <w:kern w:val="0"/>
                <w:sz w:val="22"/>
                <w:szCs w:val="22"/>
                <w:lang w:eastAsia="en-US" w:bidi="ar-SA"/>
              </w:rPr>
              <w:t>DA ATA DE REGISTRO DE PREÇOS)</w:t>
            </w:r>
          </w:p>
        </w:tc>
        <w:tc>
          <w:tcPr>
            <w:tcW w:w="278" w:type="dxa"/>
            <w:tcBorders>
              <w:top w:val="nil"/>
              <w:left w:val="nil"/>
              <w:bottom w:val="nil"/>
              <w:right w:val="nil"/>
            </w:tcBorders>
          </w:tcPr>
          <w:p>
            <w:pPr>
              <w:pStyle w:val="Prembulo"/>
              <w:suppressAutoHyphens w:val="true"/>
              <w:spacing w:before="0" w:after="0"/>
              <w:rPr>
                <w:rFonts w:ascii="Calibri" w:hAnsi="Calibri" w:cs="Calibri" w:asciiTheme="minorHAnsi" w:cstheme="minorHAnsi" w:hAnsiTheme="minorHAnsi"/>
                <w:b w:val="false"/>
                <w:bCs/>
                <w:sz w:val="22"/>
                <w:szCs w:val="22"/>
              </w:rPr>
            </w:pPr>
            <w:r>
              <w:rPr>
                <w:rFonts w:cs="Calibri" w:cstheme="minorHAnsi"/>
                <w:b w:val="false"/>
                <w:bCs/>
                <w:sz w:val="22"/>
                <w:szCs w:val="22"/>
              </w:rPr>
            </w:r>
          </w:p>
        </w:tc>
        <w:tc>
          <w:tcPr>
            <w:tcW w:w="4540" w:type="dxa"/>
            <w:tcBorders>
              <w:left w:val="nil"/>
              <w:bottom w:val="nil"/>
              <w:right w:val="nil"/>
            </w:tcBorders>
          </w:tcPr>
          <w:p>
            <w:pPr>
              <w:pStyle w:val="Normal"/>
              <w:suppressAutoHyphens w:val="true"/>
              <w:spacing w:before="0" w:after="0"/>
              <w:jc w:val="center"/>
              <w:rPr>
                <w:rFonts w:ascii="Calibri" w:hAnsi="Calibri"/>
                <w:sz w:val="22"/>
                <w:szCs w:val="22"/>
              </w:rPr>
            </w:pPr>
            <w:r>
              <w:rPr>
                <w:rFonts w:eastAsia="Calibri" w:cs="Calibri" w:ascii="Calibri" w:hAnsi="Calibri"/>
                <w:b/>
                <w:bCs/>
                <w:kern w:val="0"/>
                <w:sz w:val="22"/>
                <w:szCs w:val="22"/>
                <w:lang w:eastAsia="en-US" w:bidi="ar-SA"/>
              </w:rPr>
              <w:t>RENATO CURT JOSTER</w:t>
            </w:r>
          </w:p>
          <w:p>
            <w:pPr>
              <w:pStyle w:val="Normal"/>
              <w:suppressAutoHyphens w:val="true"/>
              <w:spacing w:before="0" w:after="0"/>
              <w:jc w:val="center"/>
              <w:rPr>
                <w:rFonts w:ascii="Calibri" w:hAnsi="Calibri"/>
                <w:sz w:val="22"/>
                <w:szCs w:val="22"/>
              </w:rPr>
            </w:pPr>
            <w:r>
              <w:rPr>
                <w:rFonts w:eastAsia="Calibri" w:cs="Calibri" w:ascii="Calibri" w:hAnsi="Calibri"/>
                <w:kern w:val="0"/>
                <w:sz w:val="22"/>
                <w:szCs w:val="22"/>
                <w:lang w:eastAsia="en-US" w:bidi="ar-SA"/>
              </w:rPr>
              <w:t>Eletricista</w:t>
            </w:r>
          </w:p>
          <w:p>
            <w:pPr>
              <w:pStyle w:val="Normal"/>
              <w:suppressAutoHyphens w:val="true"/>
              <w:spacing w:before="0" w:after="0"/>
              <w:jc w:val="center"/>
              <w:rPr>
                <w:rFonts w:ascii="Calibri" w:hAnsi="Calibri"/>
                <w:sz w:val="22"/>
                <w:szCs w:val="22"/>
              </w:rPr>
            </w:pPr>
            <w:r>
              <w:rPr>
                <w:rFonts w:eastAsia="Calibri" w:cs="Calibri" w:ascii="Calibri" w:hAnsi="Calibri" w:cstheme="minorHAnsi"/>
                <w:b w:val="false"/>
                <w:bCs/>
                <w:kern w:val="0"/>
                <w:sz w:val="22"/>
                <w:szCs w:val="22"/>
                <w:lang w:eastAsia="en-US" w:bidi="ar-SA"/>
              </w:rPr>
              <w:t>(FISCAL DA ATA DE REGISTRO DE PREÇOS)</w:t>
            </w:r>
          </w:p>
        </w:tc>
      </w:tr>
    </w:tbl>
    <w:p>
      <w:pPr>
        <w:pStyle w:val="Normal"/>
        <w:widowControl/>
        <w:rPr>
          <w:rFonts w:ascii="Calibri" w:hAnsi="Calibri" w:eastAsia="Calibri" w:cs="Calibri" w:asciiTheme="minorHAnsi" w:cstheme="minorHAnsi" w:hAnsiTheme="minorHAnsi"/>
          <w:b/>
          <w:sz w:val="22"/>
          <w:szCs w:val="22"/>
        </w:rPr>
      </w:pPr>
      <w:r>
        <w:rPr>
          <w:rFonts w:eastAsia="Calibri" w:cs="Calibri" w:cstheme="minorHAnsi" w:ascii="Calibri" w:hAnsi="Calibri"/>
          <w:b/>
          <w:sz w:val="22"/>
          <w:szCs w:val="22"/>
        </w:rPr>
      </w:r>
    </w:p>
    <w:sectPr>
      <w:headerReference w:type="even" r:id="rId2"/>
      <w:headerReference w:type="default" r:id="rId3"/>
      <w:headerReference w:type="first" r:id="rId4"/>
      <w:type w:val="nextPage"/>
      <w:pgSz w:w="11906" w:h="16838"/>
      <w:pgMar w:left="850" w:right="850" w:gutter="0" w:header="595" w:top="2177" w:footer="0" w:bottom="101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Liberation Sans">
    <w:altName w:val="Arial"/>
    <w:charset w:val="00"/>
    <w:family w:val="swiss"/>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Style w:val="TableNormal"/>
      <w:tblW w:w="9638" w:type="dxa"/>
      <w:jc w:val="center"/>
      <w:tblInd w:w="0" w:type="dxa"/>
      <w:tblLayout w:type="fixed"/>
      <w:tblCellMar>
        <w:top w:w="0" w:type="dxa"/>
        <w:left w:w="70" w:type="dxa"/>
        <w:bottom w:w="0" w:type="dxa"/>
        <w:right w:w="70" w:type="dxa"/>
      </w:tblCellMar>
      <w:tblLook w:firstRow="1" w:noVBand="1" w:lastRow="0" w:firstColumn="1" w:lastColumn="0" w:noHBand="0" w:val="04a0"/>
    </w:tblPr>
    <w:tblGrid>
      <w:gridCol w:w="1597"/>
      <w:gridCol w:w="8041"/>
    </w:tblGrid>
    <w:tr>
      <w:trPr>
        <w:trHeight w:val="1475" w:hRule="atLeast"/>
      </w:trPr>
      <w:tc>
        <w:tcPr>
          <w:tcW w:w="1597" w:type="dxa"/>
          <w:tcBorders>
            <w:top w:val="single" w:sz="4" w:space="0" w:color="FFFFFF"/>
            <w:left w:val="single" w:sz="4" w:space="0" w:color="FFFFFF"/>
            <w:bottom w:val="single" w:sz="4" w:space="0" w:color="FFFFFF"/>
            <w:right w:val="single" w:sz="4" w:space="0" w:color="FFFFFF"/>
          </w:tcBorders>
          <w:vAlign w:val="center"/>
        </w:tcPr>
        <w:p>
          <w:pPr>
            <w:pStyle w:val="Normal"/>
            <w:suppressAutoHyphens w:val="true"/>
            <w:snapToGrid w:val="false"/>
            <w:spacing w:before="0" w:after="0"/>
            <w:jc w:val="center"/>
            <w:rPr>
              <w:b/>
              <w:sz w:val="52"/>
              <w:lang w:eastAsia="pt-BR"/>
            </w:rPr>
          </w:pPr>
          <w:r>
            <w:rPr>
              <w:b/>
              <w:sz w:val="52"/>
              <w:lang w:eastAsia="pt-BR"/>
            </w:rPr>
            <w:drawing>
              <wp:anchor distT="0" distB="0" distL="0" distR="0" simplePos="0" relativeHeight="11" behindDoc="1" locked="0" layoutInCell="1" allowOverlap="1">
                <wp:simplePos x="0" y="0"/>
                <wp:positionH relativeFrom="column">
                  <wp:align>center</wp:align>
                </wp:positionH>
                <wp:positionV relativeFrom="paragraph">
                  <wp:posOffset>89535</wp:posOffset>
                </wp:positionV>
                <wp:extent cx="671195" cy="694690"/>
                <wp:effectExtent l="0" t="0" r="0" b="0"/>
                <wp:wrapNone/>
                <wp:docPr id="1" name="Figura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Copia 1"/>
                        <pic:cNvPicPr>
                          <a:picLocks noChangeAspect="1" noChangeArrowheads="1"/>
                        </pic:cNvPicPr>
                      </pic:nvPicPr>
                      <pic:blipFill>
                        <a:blip r:embed="rId1"/>
                        <a:srcRect l="-73" t="-63" r="-73" b="-63"/>
                        <a:stretch>
                          <a:fillRect/>
                        </a:stretch>
                      </pic:blipFill>
                      <pic:spPr bwMode="auto">
                        <a:xfrm>
                          <a:off x="0" y="0"/>
                          <a:ext cx="671195" cy="694690"/>
                        </a:xfrm>
                        <a:prstGeom prst="rect">
                          <a:avLst/>
                        </a:prstGeom>
                        <a:noFill/>
                      </pic:spPr>
                    </pic:pic>
                  </a:graphicData>
                </a:graphic>
              </wp:anchor>
            </w:drawing>
          </w:r>
        </w:p>
      </w:tc>
      <w:tc>
        <w:tcPr>
          <w:tcW w:w="8041" w:type="dxa"/>
          <w:tcBorders>
            <w:top w:val="single" w:sz="4" w:space="0" w:color="FFFFFF"/>
            <w:left w:val="single" w:sz="4" w:space="0" w:color="FFFFFF"/>
            <w:bottom w:val="single" w:sz="4" w:space="0" w:color="FFFFFF"/>
            <w:right w:val="single" w:sz="4" w:space="0" w:color="FFFFFF"/>
          </w:tcBorders>
          <w:vAlign w:val="center"/>
        </w:tcPr>
        <w:p>
          <w:pPr>
            <w:pStyle w:val="Normal"/>
            <w:suppressAutoHyphens w:val="true"/>
            <w:spacing w:before="0" w:after="0"/>
            <w:jc w:val="left"/>
            <w:rPr>
              <w:kern w:val="0"/>
              <w:sz w:val="22"/>
              <w:szCs w:val="22"/>
              <w:lang w:eastAsia="en-US" w:bidi="ar-SA"/>
            </w:rPr>
          </w:pPr>
          <w:r>
            <w:rPr>
              <w:rFonts w:eastAsia="Arial" w:cs="Arial"/>
              <w:color w:val="000000"/>
              <w:kern w:val="0"/>
              <w:sz w:val="24"/>
              <w:szCs w:val="24"/>
              <w:lang w:eastAsia="en-US" w:bidi="ar-SA"/>
            </w:rPr>
            <w:t>ESTADO DE SANTA CATARINA</w:t>
          </w:r>
        </w:p>
        <w:p>
          <w:pPr>
            <w:pStyle w:val="Normal"/>
            <w:suppressAutoHyphens w:val="true"/>
            <w:spacing w:before="0" w:after="0"/>
            <w:jc w:val="left"/>
            <w:rPr>
              <w:kern w:val="0"/>
              <w:sz w:val="22"/>
              <w:szCs w:val="22"/>
              <w:lang w:eastAsia="en-US" w:bidi="ar-SA"/>
            </w:rPr>
          </w:pPr>
          <w:r>
            <w:rPr>
              <w:rFonts w:eastAsia="Arial" w:cs="Arial"/>
              <w:b/>
              <w:color w:val="000000"/>
              <w:spacing w:val="50"/>
              <w:kern w:val="0"/>
              <w:sz w:val="24"/>
              <w:szCs w:val="24"/>
              <w:lang w:eastAsia="en-US" w:bidi="ar-SA"/>
            </w:rPr>
            <w:t>MUNICÍPIO DE BOTUVERÁ</w:t>
          </w:r>
        </w:p>
        <w:p>
          <w:pPr>
            <w:pStyle w:val="Normal"/>
            <w:suppressAutoHyphens w:val="true"/>
            <w:spacing w:before="0" w:after="0"/>
            <w:jc w:val="left"/>
            <w:rPr>
              <w:kern w:val="0"/>
              <w:sz w:val="22"/>
              <w:szCs w:val="22"/>
              <w:lang w:eastAsia="en-US" w:bidi="ar-SA"/>
            </w:rPr>
          </w:pPr>
          <w:r>
            <w:rPr>
              <w:rFonts w:eastAsia="Arial" w:cs="Arial"/>
              <w:color w:val="000000"/>
              <w:kern w:val="0"/>
              <w:sz w:val="20"/>
              <w:szCs w:val="20"/>
              <w:lang w:eastAsia="en-US" w:bidi="ar-SA"/>
            </w:rPr>
            <w:t xml:space="preserve">CNPJ: 83.102.350/0001-96 - Rua João Morelli, 66 – Centro – 88295-000 - </w:t>
          </w:r>
          <w:r>
            <w:rPr>
              <w:rStyle w:val="Fontepargpadro4"/>
              <w:rFonts w:eastAsia="Arial" w:cs="Arial"/>
              <w:color w:val="000000"/>
              <w:kern w:val="0"/>
              <w:sz w:val="20"/>
              <w:szCs w:val="20"/>
              <w:lang w:eastAsia="en-US" w:bidi="ar-SA"/>
            </w:rPr>
            <w:t xml:space="preserve">Fone:(47) 3359-3200 </w:t>
          </w:r>
          <w:hyperlink r:id="rId2">
            <w:r>
              <w:rPr>
                <w:rStyle w:val="Hyperlink"/>
                <w:rFonts w:eastAsia="Arial" w:cs="Arial"/>
                <w:color w:val="1209FB"/>
                <w:kern w:val="0"/>
                <w:sz w:val="20"/>
                <w:szCs w:val="20"/>
                <w:u w:val="none"/>
                <w:lang w:eastAsia="pt-BR" w:bidi="ar-SA"/>
              </w:rPr>
              <w:t>www.botuvera.sc.gov.br</w:t>
            </w:r>
          </w:hyperlink>
          <w:r>
            <w:rPr>
              <w:rStyle w:val="Hyperlink"/>
              <w:rFonts w:eastAsia="Arial" w:cs="Arial"/>
              <w:color w:val="1209FB"/>
              <w:kern w:val="0"/>
              <w:sz w:val="20"/>
              <w:szCs w:val="20"/>
              <w:u w:val="none"/>
              <w:lang w:eastAsia="pt-BR" w:bidi="ar-SA"/>
            </w:rPr>
            <w:t xml:space="preserve"> -</w:t>
          </w:r>
          <w:r>
            <w:rPr>
              <w:rStyle w:val="Fontepargpadro4"/>
              <w:rFonts w:eastAsia="Arial" w:cs="Arial"/>
              <w:color w:val="1209FB"/>
              <w:kern w:val="0"/>
              <w:sz w:val="20"/>
              <w:szCs w:val="20"/>
              <w:lang w:eastAsia="pt-BR" w:bidi="ar-SA"/>
            </w:rPr>
            <w:t xml:space="preserve"> </w:t>
          </w:r>
          <w:hyperlink r:id="rId3">
            <w:r>
              <w:rPr>
                <w:rStyle w:val="Hyperlink"/>
                <w:rFonts w:eastAsia="SimSun" w:cs="Arial"/>
                <w:color w:val="1209FB"/>
                <w:kern w:val="0"/>
                <w:sz w:val="20"/>
                <w:szCs w:val="20"/>
                <w:u w:val="none"/>
                <w:lang w:eastAsia="pt-BR" w:bidi="ar-SA"/>
              </w:rPr>
              <w:t>www.botuvera.atende.net</w:t>
            </w:r>
          </w:hyperlink>
        </w:p>
      </w:tc>
    </w:tr>
  </w:tbl>
  <w:p>
    <w:pPr>
      <w:pStyle w:val="Linhahorizontaluser"/>
      <w:suppressLineNumbers/>
      <w:pBdr>
        <w:bottom w:val="double" w:sz="2" w:space="0" w:color="808080"/>
      </w:pBdr>
      <w:spacing w:before="0" w:after="283"/>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Style w:val="TableNormal"/>
      <w:tblW w:w="9638" w:type="dxa"/>
      <w:jc w:val="center"/>
      <w:tblInd w:w="0" w:type="dxa"/>
      <w:tblLayout w:type="fixed"/>
      <w:tblCellMar>
        <w:top w:w="0" w:type="dxa"/>
        <w:left w:w="70" w:type="dxa"/>
        <w:bottom w:w="0" w:type="dxa"/>
        <w:right w:w="70" w:type="dxa"/>
      </w:tblCellMar>
      <w:tblLook w:firstRow="1" w:noVBand="1" w:lastRow="0" w:firstColumn="1" w:lastColumn="0" w:noHBand="0" w:val="04a0"/>
    </w:tblPr>
    <w:tblGrid>
      <w:gridCol w:w="1597"/>
      <w:gridCol w:w="8041"/>
    </w:tblGrid>
    <w:tr>
      <w:trPr>
        <w:trHeight w:val="1475" w:hRule="atLeast"/>
      </w:trPr>
      <w:tc>
        <w:tcPr>
          <w:tcW w:w="1597" w:type="dxa"/>
          <w:tcBorders>
            <w:top w:val="single" w:sz="4" w:space="0" w:color="FFFFFF"/>
            <w:left w:val="single" w:sz="4" w:space="0" w:color="FFFFFF"/>
            <w:bottom w:val="single" w:sz="4" w:space="0" w:color="FFFFFF"/>
            <w:right w:val="single" w:sz="4" w:space="0" w:color="FFFFFF"/>
          </w:tcBorders>
          <w:vAlign w:val="center"/>
        </w:tcPr>
        <w:p>
          <w:pPr>
            <w:pStyle w:val="Normal"/>
            <w:suppressAutoHyphens w:val="true"/>
            <w:snapToGrid w:val="false"/>
            <w:spacing w:before="0" w:after="0"/>
            <w:jc w:val="center"/>
            <w:rPr>
              <w:b/>
              <w:sz w:val="52"/>
              <w:lang w:eastAsia="pt-BR"/>
            </w:rPr>
          </w:pPr>
          <w:r>
            <w:rPr>
              <w:b/>
              <w:sz w:val="52"/>
              <w:lang w:eastAsia="pt-BR"/>
            </w:rPr>
            <w:drawing>
              <wp:anchor distT="0" distB="0" distL="0" distR="0" simplePos="0" relativeHeight="11" behindDoc="1" locked="0" layoutInCell="1" allowOverlap="1">
                <wp:simplePos x="0" y="0"/>
                <wp:positionH relativeFrom="column">
                  <wp:align>center</wp:align>
                </wp:positionH>
                <wp:positionV relativeFrom="paragraph">
                  <wp:posOffset>89535</wp:posOffset>
                </wp:positionV>
                <wp:extent cx="671195" cy="694690"/>
                <wp:effectExtent l="0" t="0" r="0" b="0"/>
                <wp:wrapNone/>
                <wp:docPr id="2" name="Figura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Copia 1"/>
                        <pic:cNvPicPr>
                          <a:picLocks noChangeAspect="1" noChangeArrowheads="1"/>
                        </pic:cNvPicPr>
                      </pic:nvPicPr>
                      <pic:blipFill>
                        <a:blip r:embed="rId1"/>
                        <a:srcRect l="-73" t="-63" r="-73" b="-63"/>
                        <a:stretch>
                          <a:fillRect/>
                        </a:stretch>
                      </pic:blipFill>
                      <pic:spPr bwMode="auto">
                        <a:xfrm>
                          <a:off x="0" y="0"/>
                          <a:ext cx="671195" cy="694690"/>
                        </a:xfrm>
                        <a:prstGeom prst="rect">
                          <a:avLst/>
                        </a:prstGeom>
                        <a:noFill/>
                      </pic:spPr>
                    </pic:pic>
                  </a:graphicData>
                </a:graphic>
              </wp:anchor>
            </w:drawing>
          </w:r>
        </w:p>
      </w:tc>
      <w:tc>
        <w:tcPr>
          <w:tcW w:w="8041" w:type="dxa"/>
          <w:tcBorders>
            <w:top w:val="single" w:sz="4" w:space="0" w:color="FFFFFF"/>
            <w:left w:val="single" w:sz="4" w:space="0" w:color="FFFFFF"/>
            <w:bottom w:val="single" w:sz="4" w:space="0" w:color="FFFFFF"/>
            <w:right w:val="single" w:sz="4" w:space="0" w:color="FFFFFF"/>
          </w:tcBorders>
          <w:vAlign w:val="center"/>
        </w:tcPr>
        <w:p>
          <w:pPr>
            <w:pStyle w:val="Normal"/>
            <w:suppressAutoHyphens w:val="true"/>
            <w:spacing w:before="0" w:after="0"/>
            <w:jc w:val="left"/>
            <w:rPr>
              <w:kern w:val="0"/>
              <w:sz w:val="22"/>
              <w:szCs w:val="22"/>
              <w:lang w:eastAsia="en-US" w:bidi="ar-SA"/>
            </w:rPr>
          </w:pPr>
          <w:r>
            <w:rPr>
              <w:rFonts w:eastAsia="Arial" w:cs="Arial"/>
              <w:color w:val="000000"/>
              <w:kern w:val="0"/>
              <w:sz w:val="24"/>
              <w:szCs w:val="24"/>
              <w:lang w:eastAsia="en-US" w:bidi="ar-SA"/>
            </w:rPr>
            <w:t>ESTADO DE SANTA CATARINA</w:t>
          </w:r>
        </w:p>
        <w:p>
          <w:pPr>
            <w:pStyle w:val="Normal"/>
            <w:suppressAutoHyphens w:val="true"/>
            <w:spacing w:before="0" w:after="0"/>
            <w:jc w:val="left"/>
            <w:rPr>
              <w:kern w:val="0"/>
              <w:sz w:val="22"/>
              <w:szCs w:val="22"/>
              <w:lang w:eastAsia="en-US" w:bidi="ar-SA"/>
            </w:rPr>
          </w:pPr>
          <w:r>
            <w:rPr>
              <w:rFonts w:eastAsia="Arial" w:cs="Arial"/>
              <w:b/>
              <w:color w:val="000000"/>
              <w:spacing w:val="50"/>
              <w:kern w:val="0"/>
              <w:sz w:val="24"/>
              <w:szCs w:val="24"/>
              <w:lang w:eastAsia="en-US" w:bidi="ar-SA"/>
            </w:rPr>
            <w:t>MUNICÍPIO DE BOTUVERÁ</w:t>
          </w:r>
        </w:p>
        <w:p>
          <w:pPr>
            <w:pStyle w:val="Normal"/>
            <w:suppressAutoHyphens w:val="true"/>
            <w:spacing w:before="0" w:after="0"/>
            <w:jc w:val="left"/>
            <w:rPr>
              <w:kern w:val="0"/>
              <w:sz w:val="22"/>
              <w:szCs w:val="22"/>
              <w:lang w:eastAsia="en-US" w:bidi="ar-SA"/>
            </w:rPr>
          </w:pPr>
          <w:r>
            <w:rPr>
              <w:rFonts w:eastAsia="Arial" w:cs="Arial"/>
              <w:color w:val="000000"/>
              <w:kern w:val="0"/>
              <w:sz w:val="20"/>
              <w:szCs w:val="20"/>
              <w:lang w:eastAsia="en-US" w:bidi="ar-SA"/>
            </w:rPr>
            <w:t xml:space="preserve">CNPJ: 83.102.350/0001-96 - Rua João Morelli, 66 – Centro – 88295-000 - </w:t>
          </w:r>
          <w:r>
            <w:rPr>
              <w:rStyle w:val="Fontepargpadro4"/>
              <w:rFonts w:eastAsia="Arial" w:cs="Arial"/>
              <w:color w:val="000000"/>
              <w:kern w:val="0"/>
              <w:sz w:val="20"/>
              <w:szCs w:val="20"/>
              <w:lang w:eastAsia="en-US" w:bidi="ar-SA"/>
            </w:rPr>
            <w:t xml:space="preserve">Fone:(47) 3359-3200 </w:t>
          </w:r>
          <w:hyperlink r:id="rId2">
            <w:r>
              <w:rPr>
                <w:rStyle w:val="Hyperlink"/>
                <w:rFonts w:eastAsia="Arial" w:cs="Arial"/>
                <w:color w:val="1209FB"/>
                <w:kern w:val="0"/>
                <w:sz w:val="20"/>
                <w:szCs w:val="20"/>
                <w:u w:val="none"/>
                <w:lang w:eastAsia="pt-BR" w:bidi="ar-SA"/>
              </w:rPr>
              <w:t>www.botuvera.sc.gov.br</w:t>
            </w:r>
          </w:hyperlink>
          <w:r>
            <w:rPr>
              <w:rStyle w:val="Hyperlink"/>
              <w:rFonts w:eastAsia="Arial" w:cs="Arial"/>
              <w:color w:val="1209FB"/>
              <w:kern w:val="0"/>
              <w:sz w:val="20"/>
              <w:szCs w:val="20"/>
              <w:u w:val="none"/>
              <w:lang w:eastAsia="pt-BR" w:bidi="ar-SA"/>
            </w:rPr>
            <w:t xml:space="preserve"> -</w:t>
          </w:r>
          <w:r>
            <w:rPr>
              <w:rStyle w:val="Fontepargpadro4"/>
              <w:rFonts w:eastAsia="Arial" w:cs="Arial"/>
              <w:color w:val="1209FB"/>
              <w:kern w:val="0"/>
              <w:sz w:val="20"/>
              <w:szCs w:val="20"/>
              <w:lang w:eastAsia="pt-BR" w:bidi="ar-SA"/>
            </w:rPr>
            <w:t xml:space="preserve"> </w:t>
          </w:r>
          <w:hyperlink r:id="rId3">
            <w:r>
              <w:rPr>
                <w:rStyle w:val="Hyperlink"/>
                <w:rFonts w:eastAsia="SimSun" w:cs="Arial"/>
                <w:color w:val="1209FB"/>
                <w:kern w:val="0"/>
                <w:sz w:val="20"/>
                <w:szCs w:val="20"/>
                <w:u w:val="none"/>
                <w:lang w:eastAsia="pt-BR" w:bidi="ar-SA"/>
              </w:rPr>
              <w:t>www.botuvera.atende.net</w:t>
            </w:r>
          </w:hyperlink>
        </w:p>
      </w:tc>
    </w:tr>
  </w:tbl>
  <w:p>
    <w:pPr>
      <w:pStyle w:val="Linhahorizontaluser"/>
      <w:suppressLineNumbers/>
      <w:pBdr>
        <w:bottom w:val="double" w:sz="2" w:space="0" w:color="808080"/>
      </w:pBdr>
      <w:spacing w:before="0" w:after="283"/>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lowerLetter"/>
      <w:lvlText w:val="%1)"/>
      <w:lvlJc w:val="left"/>
      <w:pPr>
        <w:tabs>
          <w:tab w:val="num" w:pos="0"/>
        </w:tabs>
        <w:ind w:left="360" w:hanging="360"/>
      </w:pPr>
      <w:rPr>
        <w:b/>
      </w:rPr>
    </w:lvl>
    <w:lvl w:ilvl="1">
      <w:start w:val="1"/>
      <w:numFmt w:val="lowerLetter"/>
      <w:lvlText w:val="%2."/>
      <w:lvlJc w:val="left"/>
      <w:pPr>
        <w:tabs>
          <w:tab w:val="num" w:pos="0"/>
        </w:tabs>
        <w:ind w:left="1080" w:hanging="360"/>
      </w:pPr>
      <w:rPr>
        <w:b/>
        <w:bCs/>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3">
    <w:lvl w:ilvl="0">
      <w:start w:val="1"/>
      <w:numFmt w:val="decimal"/>
      <w:lvlText w:val="%1."/>
      <w:lvlJc w:val="left"/>
      <w:pPr>
        <w:tabs>
          <w:tab w:val="num" w:pos="0"/>
        </w:tabs>
        <w:ind w:left="360" w:hanging="360"/>
      </w:pPr>
      <w:rPr>
        <w:rFonts w:ascii="Calibri" w:hAnsi="Calibri" w:eastAsia="Calibri" w:cs="Calibri"/>
        <w:b/>
      </w:rPr>
    </w:lvl>
    <w:lvl w:ilvl="1">
      <w:start w:val="1"/>
      <w:numFmt w:val="decimal"/>
      <w:lvlText w:val="%1.%2."/>
      <w:lvlJc w:val="left"/>
      <w:pPr>
        <w:tabs>
          <w:tab w:val="num" w:pos="0"/>
        </w:tabs>
        <w:ind w:left="574" w:hanging="432"/>
      </w:pPr>
      <w:rPr>
        <w:rFonts w:ascii="Calibri" w:hAnsi="Calibri" w:eastAsia="Calibri" w:cs="Calibri"/>
        <w:b/>
        <w:color w:val="000000"/>
        <w:sz w:val="22"/>
        <w:szCs w:val="22"/>
      </w:rPr>
    </w:lvl>
    <w:lvl w:ilvl="2">
      <w:start w:val="1"/>
      <w:numFmt w:val="decimal"/>
      <w:lvlText w:val="%1.%2.%3."/>
      <w:lvlJc w:val="left"/>
      <w:pPr>
        <w:tabs>
          <w:tab w:val="num" w:pos="0"/>
        </w:tabs>
        <w:ind w:left="646" w:hanging="504"/>
      </w:pPr>
      <w:rPr>
        <w:rFonts w:ascii="Calibri" w:hAnsi="Calibri" w:eastAsia="Calibri" w:cs="Calibri"/>
        <w:b/>
        <w:i w:val="false"/>
        <w:strike w:val="false"/>
        <w:dstrike w:val="false"/>
        <w:color w:val="000000"/>
        <w:sz w:val="22"/>
        <w:szCs w:val="22"/>
      </w:rPr>
    </w:lvl>
    <w:lvl w:ilvl="3">
      <w:start w:val="1"/>
      <w:numFmt w:val="decimal"/>
      <w:lvlText w:val="%1.%2.%3.%4."/>
      <w:lvlJc w:val="left"/>
      <w:pPr>
        <w:tabs>
          <w:tab w:val="num" w:pos="0"/>
        </w:tabs>
        <w:ind w:left="2208" w:hanging="648"/>
      </w:pPr>
      <w:rPr>
        <w:b/>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5"/>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4">
    <w:lvl w:ilvl="0">
      <w:start w:val="1"/>
      <w:numFmt w:val="decimal"/>
      <w:lvlText w:val="%1."/>
      <w:lvlJc w:val="left"/>
      <w:pPr>
        <w:tabs>
          <w:tab w:val="num" w:pos="0"/>
        </w:tabs>
        <w:ind w:left="720" w:hanging="360"/>
      </w:pPr>
      <w:rPr>
        <w:b/>
        <w:bCs/>
      </w:rPr>
    </w:lvl>
    <w:lvl w:ilvl="1">
      <w:start w:val="1"/>
      <w:numFmt w:val="decimal"/>
      <w:isLgl/>
      <w:lvlText w:val="%1.%2."/>
      <w:lvlJc w:val="left"/>
      <w:pPr>
        <w:tabs>
          <w:tab w:val="num" w:pos="0"/>
        </w:tabs>
        <w:ind w:left="720" w:hanging="360"/>
      </w:pPr>
      <w:rPr>
        <w:b w:val="false"/>
        <w:bCs w:val="false"/>
      </w:rPr>
    </w:lvl>
    <w:lvl w:ilvl="2">
      <w:start w:val="1"/>
      <w:numFmt w:val="decimal"/>
      <w:isLgl/>
      <w:lvlText w:val="%1.%2.%3."/>
      <w:lvlJc w:val="left"/>
      <w:pPr>
        <w:tabs>
          <w:tab w:val="num" w:pos="0"/>
        </w:tabs>
        <w:ind w:left="1080" w:hanging="720"/>
      </w:pPr>
      <w:rPr>
        <w:b w:val="false"/>
        <w:bCs w:val="false"/>
      </w:rPr>
    </w:lvl>
    <w:lvl w:ilvl="3">
      <w:start w:val="1"/>
      <w:numFmt w:val="decimal"/>
      <w:isLgl/>
      <w:lvlText w:val="%1.%2.%3.%4."/>
      <w:lvlJc w:val="left"/>
      <w:pPr>
        <w:tabs>
          <w:tab w:val="num" w:pos="0"/>
        </w:tabs>
        <w:ind w:left="1080" w:hanging="720"/>
      </w:pPr>
      <w:rPr>
        <w:b w:val="false"/>
        <w:bCs w:val="false"/>
      </w:rPr>
    </w:lvl>
    <w:lvl w:ilvl="4">
      <w:start w:val="1"/>
      <w:numFmt w:val="decimal"/>
      <w:isLgl/>
      <w:lvlText w:val="%1.%2.%3.%4.%5."/>
      <w:lvlJc w:val="left"/>
      <w:pPr>
        <w:tabs>
          <w:tab w:val="num" w:pos="0"/>
        </w:tabs>
        <w:ind w:left="1440" w:hanging="1080"/>
      </w:pPr>
      <w:rPr/>
    </w:lvl>
    <w:lvl w:ilvl="5">
      <w:start w:val="1"/>
      <w:numFmt w:val="decimal"/>
      <w:isLgl/>
      <w:lvlText w:val="%1.%2.%3.%4.%5.%6."/>
      <w:lvlJc w:val="left"/>
      <w:pPr>
        <w:tabs>
          <w:tab w:val="num" w:pos="0"/>
        </w:tabs>
        <w:ind w:left="1440" w:hanging="1080"/>
      </w:pPr>
      <w:rPr/>
    </w:lvl>
    <w:lvl w:ilvl="6">
      <w:start w:val="1"/>
      <w:numFmt w:val="decimal"/>
      <w:isLgl/>
      <w:lvlText w:val="%1.%2.%3.%4.%5.%6.%7."/>
      <w:lvlJc w:val="left"/>
      <w:pPr>
        <w:tabs>
          <w:tab w:val="num" w:pos="0"/>
        </w:tabs>
        <w:ind w:left="1440" w:hanging="1080"/>
      </w:pPr>
      <w:rPr/>
    </w:lvl>
    <w:lvl w:ilvl="7">
      <w:start w:val="1"/>
      <w:numFmt w:val="decimal"/>
      <w:isLgl/>
      <w:lvlText w:val="%1.%2.%3.%4.%5.%6.%7.%8."/>
      <w:lvlJc w:val="left"/>
      <w:pPr>
        <w:tabs>
          <w:tab w:val="num" w:pos="0"/>
        </w:tabs>
        <w:ind w:left="1800" w:hanging="1440"/>
      </w:pPr>
      <w:rPr/>
    </w:lvl>
    <w:lvl w:ilvl="8">
      <w:start w:val="1"/>
      <w:numFmt w:val="decimal"/>
      <w:isLgl/>
      <w:lvlText w:val="%1.%2.%3.%4.%5.%6.%7.%8.%9."/>
      <w:lvlJc w:val="left"/>
      <w:pPr>
        <w:tabs>
          <w:tab w:val="num" w:pos="0"/>
        </w:tabs>
        <w:ind w:left="1800" w:hanging="1440"/>
      </w:pPr>
      <w:rPr/>
    </w:lvl>
  </w:abstractNum>
  <w:abstractNum w:abstractNumId="5">
    <w:lvl w:ilvl="0">
      <w:start w:val="1"/>
      <w:numFmt w:val="lowerLetter"/>
      <w:lvlText w:val="%1."/>
      <w:lvlJc w:val="left"/>
      <w:pPr>
        <w:tabs>
          <w:tab w:val="num" w:pos="0"/>
        </w:tabs>
        <w:ind w:left="927" w:hanging="360"/>
      </w:pPr>
      <w:rPr/>
    </w:lvl>
    <w:lvl w:ilvl="1">
      <w:start w:val="1"/>
      <w:numFmt w:val="lowerLetter"/>
      <w:lvlText w:val="%2."/>
      <w:lvlJc w:val="left"/>
      <w:pPr>
        <w:tabs>
          <w:tab w:val="num" w:pos="0"/>
        </w:tabs>
        <w:ind w:left="1647" w:hanging="360"/>
      </w:pPr>
      <w:rPr/>
    </w:lvl>
    <w:lvl w:ilvl="2">
      <w:start w:val="1"/>
      <w:numFmt w:val="lowerRoman"/>
      <w:lvlText w:val="%3."/>
      <w:lvlJc w:val="right"/>
      <w:pPr>
        <w:tabs>
          <w:tab w:val="num" w:pos="0"/>
        </w:tabs>
        <w:ind w:left="2367" w:hanging="180"/>
      </w:pPr>
      <w:rPr/>
    </w:lvl>
    <w:lvl w:ilvl="3">
      <w:start w:val="1"/>
      <w:numFmt w:val="decimal"/>
      <w:lvlText w:val="%4."/>
      <w:lvlJc w:val="left"/>
      <w:pPr>
        <w:tabs>
          <w:tab w:val="num" w:pos="0"/>
        </w:tabs>
        <w:ind w:left="3087" w:hanging="360"/>
      </w:pPr>
      <w:rPr/>
    </w:lvl>
    <w:lvl w:ilvl="4">
      <w:start w:val="1"/>
      <w:numFmt w:val="lowerLetter"/>
      <w:lvlText w:val="%5."/>
      <w:lvlJc w:val="left"/>
      <w:pPr>
        <w:tabs>
          <w:tab w:val="num" w:pos="0"/>
        </w:tabs>
        <w:ind w:left="3807" w:hanging="360"/>
      </w:pPr>
      <w:rPr/>
    </w:lvl>
    <w:lvl w:ilvl="5">
      <w:start w:val="1"/>
      <w:numFmt w:val="lowerRoman"/>
      <w:lvlText w:val="%6."/>
      <w:lvlJc w:val="right"/>
      <w:pPr>
        <w:tabs>
          <w:tab w:val="num" w:pos="0"/>
        </w:tabs>
        <w:ind w:left="4527" w:hanging="180"/>
      </w:pPr>
      <w:rPr/>
    </w:lvl>
    <w:lvl w:ilvl="6">
      <w:start w:val="1"/>
      <w:numFmt w:val="decimal"/>
      <w:lvlText w:val="%7."/>
      <w:lvlJc w:val="left"/>
      <w:pPr>
        <w:tabs>
          <w:tab w:val="num" w:pos="0"/>
        </w:tabs>
        <w:ind w:left="5247" w:hanging="360"/>
      </w:pPr>
      <w:rPr/>
    </w:lvl>
    <w:lvl w:ilvl="7">
      <w:start w:val="1"/>
      <w:numFmt w:val="lowerLetter"/>
      <w:lvlText w:val="%8."/>
      <w:lvlJc w:val="left"/>
      <w:pPr>
        <w:tabs>
          <w:tab w:val="num" w:pos="0"/>
        </w:tabs>
        <w:ind w:left="5967" w:hanging="360"/>
      </w:pPr>
      <w:rPr/>
    </w:lvl>
    <w:lvl w:ilvl="8">
      <w:start w:val="1"/>
      <w:numFmt w:val="lowerRoman"/>
      <w:lvlText w:val="%9."/>
      <w:lvlJc w:val="right"/>
      <w:pPr>
        <w:tabs>
          <w:tab w:val="num" w:pos="0"/>
        </w:tabs>
        <w:ind w:left="6687" w:hanging="180"/>
      </w:pPr>
      <w:rPr/>
    </w:lvl>
  </w:abstractNum>
  <w:abstractNum w:abstractNumId="6">
    <w:lvl w:ilvl="0">
      <w:start w:val="1"/>
      <w:numFmt w:val="lowerLetter"/>
      <w:lvlText w:val="%1."/>
      <w:lvlJc w:val="left"/>
      <w:pPr>
        <w:tabs>
          <w:tab w:val="num" w:pos="0"/>
        </w:tabs>
        <w:ind w:left="927" w:hanging="360"/>
      </w:pPr>
      <w:rPr/>
    </w:lvl>
    <w:lvl w:ilvl="1">
      <w:start w:val="1"/>
      <w:numFmt w:val="lowerLetter"/>
      <w:lvlText w:val="%2."/>
      <w:lvlJc w:val="left"/>
      <w:pPr>
        <w:tabs>
          <w:tab w:val="num" w:pos="0"/>
        </w:tabs>
        <w:ind w:left="1647" w:hanging="360"/>
      </w:pPr>
      <w:rPr/>
    </w:lvl>
    <w:lvl w:ilvl="2">
      <w:start w:val="1"/>
      <w:numFmt w:val="lowerRoman"/>
      <w:lvlText w:val="%3."/>
      <w:lvlJc w:val="right"/>
      <w:pPr>
        <w:tabs>
          <w:tab w:val="num" w:pos="0"/>
        </w:tabs>
        <w:ind w:left="2367" w:hanging="180"/>
      </w:pPr>
      <w:rPr/>
    </w:lvl>
    <w:lvl w:ilvl="3">
      <w:start w:val="1"/>
      <w:numFmt w:val="decimal"/>
      <w:lvlText w:val="%4."/>
      <w:lvlJc w:val="left"/>
      <w:pPr>
        <w:tabs>
          <w:tab w:val="num" w:pos="0"/>
        </w:tabs>
        <w:ind w:left="3087" w:hanging="360"/>
      </w:pPr>
      <w:rPr/>
    </w:lvl>
    <w:lvl w:ilvl="4">
      <w:start w:val="1"/>
      <w:numFmt w:val="lowerLetter"/>
      <w:lvlText w:val="%5."/>
      <w:lvlJc w:val="left"/>
      <w:pPr>
        <w:tabs>
          <w:tab w:val="num" w:pos="0"/>
        </w:tabs>
        <w:ind w:left="3807" w:hanging="360"/>
      </w:pPr>
      <w:rPr/>
    </w:lvl>
    <w:lvl w:ilvl="5">
      <w:start w:val="1"/>
      <w:numFmt w:val="lowerRoman"/>
      <w:lvlText w:val="%6."/>
      <w:lvlJc w:val="right"/>
      <w:pPr>
        <w:tabs>
          <w:tab w:val="num" w:pos="0"/>
        </w:tabs>
        <w:ind w:left="4527" w:hanging="180"/>
      </w:pPr>
      <w:rPr/>
    </w:lvl>
    <w:lvl w:ilvl="6">
      <w:start w:val="1"/>
      <w:numFmt w:val="decimal"/>
      <w:lvlText w:val="%7."/>
      <w:lvlJc w:val="left"/>
      <w:pPr>
        <w:tabs>
          <w:tab w:val="num" w:pos="0"/>
        </w:tabs>
        <w:ind w:left="5247" w:hanging="360"/>
      </w:pPr>
      <w:rPr/>
    </w:lvl>
    <w:lvl w:ilvl="7">
      <w:start w:val="1"/>
      <w:numFmt w:val="lowerLetter"/>
      <w:lvlText w:val="%8."/>
      <w:lvlJc w:val="left"/>
      <w:pPr>
        <w:tabs>
          <w:tab w:val="num" w:pos="0"/>
        </w:tabs>
        <w:ind w:left="5967" w:hanging="360"/>
      </w:pPr>
      <w:rPr/>
    </w:lvl>
    <w:lvl w:ilvl="8">
      <w:start w:val="1"/>
      <w:numFmt w:val="lowerRoman"/>
      <w:lvlText w:val="%9."/>
      <w:lvlJc w:val="right"/>
      <w:pPr>
        <w:tabs>
          <w:tab w:val="num" w:pos="0"/>
        </w:tabs>
        <w:ind w:left="6687" w:hanging="180"/>
      </w:pPr>
      <w:rPr/>
    </w:lvl>
  </w:abstractNum>
  <w:abstractNum w:abstractNumId="7">
    <w:lvl w:ilvl="0">
      <w:start w:val="1"/>
      <w:numFmt w:val="lowerLetter"/>
      <w:lvlText w:val="%1)"/>
      <w:lvlJc w:val="left"/>
      <w:pPr>
        <w:tabs>
          <w:tab w:val="num" w:pos="0"/>
        </w:tabs>
        <w:ind w:left="360" w:hanging="360"/>
      </w:pPr>
      <w:rPr>
        <w:b/>
      </w:rPr>
    </w:lvl>
    <w:lvl w:ilvl="1">
      <w:start w:val="1"/>
      <w:numFmt w:val="lowerLetter"/>
      <w:lvlText w:val="%2."/>
      <w:lvlJc w:val="left"/>
      <w:pPr>
        <w:tabs>
          <w:tab w:val="num" w:pos="0"/>
        </w:tabs>
        <w:ind w:left="1080" w:hanging="360"/>
      </w:pPr>
      <w:rPr>
        <w:b/>
        <w:bCs/>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8">
    <w:lvl w:ilvl="0">
      <w:start w:val="1"/>
      <w:numFmt w:val="lowerLetter"/>
      <w:lvlText w:val="%1)"/>
      <w:lvlJc w:val="left"/>
      <w:pPr>
        <w:tabs>
          <w:tab w:val="num" w:pos="0"/>
        </w:tabs>
        <w:ind w:left="360" w:hanging="360"/>
      </w:pPr>
      <w:rPr>
        <w:b/>
      </w:rPr>
    </w:lvl>
    <w:lvl w:ilvl="1">
      <w:start w:val="1"/>
      <w:numFmt w:val="lowerLetter"/>
      <w:lvlText w:val="%2."/>
      <w:lvlJc w:val="left"/>
      <w:pPr>
        <w:tabs>
          <w:tab w:val="num" w:pos="0"/>
        </w:tabs>
        <w:ind w:left="1080" w:hanging="360"/>
      </w:pPr>
      <w:rPr>
        <w:b/>
        <w:bCs/>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9">
    <w:lvl w:ilvl="0">
      <w:start w:val="1"/>
      <w:numFmt w:val="lowerLetter"/>
      <w:lvlText w:val="%1)"/>
      <w:lvlJc w:val="left"/>
      <w:pPr>
        <w:tabs>
          <w:tab w:val="num" w:pos="0"/>
        </w:tabs>
        <w:ind w:left="360" w:hanging="360"/>
      </w:pPr>
      <w:rPr>
        <w:b/>
      </w:rPr>
    </w:lvl>
    <w:lvl w:ilvl="1">
      <w:start w:val="1"/>
      <w:numFmt w:val="lowerLetter"/>
      <w:lvlText w:val="%2."/>
      <w:lvlJc w:val="left"/>
      <w:pPr>
        <w:tabs>
          <w:tab w:val="num" w:pos="0"/>
        </w:tabs>
        <w:ind w:left="1080" w:hanging="360"/>
      </w:pPr>
      <w:rPr>
        <w:b/>
        <w:bCs/>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8"/>
    <w:lvlOverride w:ilvl="0">
      <w:startOverride w:val="1"/>
    </w:lvlOverride>
    <w:lvlOverride w:ilvl="1">
      <w:startOverride w:val="1"/>
    </w:lvlOverride>
  </w:num>
  <w:num w:numId="11">
    <w:abstractNumId w:val="8"/>
    <w:lvlOverride w:ilvl="0">
      <w:startOverride w:val="1"/>
    </w:lvlOverride>
    <w:lvlOverride w:ilvl="1">
      <w:startOverride w:val="1"/>
    </w:lvlOverride>
  </w:num>
</w:numbering>
</file>

<file path=word/settings.xml><?xml version="1.0" encoding="utf-8"?>
<w:settings xmlns:w="http://schemas.openxmlformats.org/wordprocessingml/2006/main">
  <w:zoom w:percent="110"/>
  <w:defaultTabStop w:val="720"/>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6">
    <w:lsdException w:name="Normal" w:uiPriority="0"/>
    <w:lsdException w:name="heading 1" w:uiPriority="9"/>
    <w:lsdException w:name="heading 2" w:uiPriority="9" w:semiHidden="1" w:unhideWhenUsed="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val="false"/>
      <w:suppressAutoHyphens w:val="true"/>
      <w:bidi w:val="0"/>
      <w:spacing w:before="0" w:after="0"/>
      <w:jc w:val="left"/>
    </w:pPr>
    <w:rPr>
      <w:rFonts w:ascii="Times New Roman" w:hAnsi="Times New Roman" w:eastAsia="Times New Roman" w:cs="Times New Roman"/>
      <w:color w:val="auto"/>
      <w:kern w:val="0"/>
      <w:sz w:val="22"/>
      <w:szCs w:val="22"/>
      <w:lang w:val="pt-BR" w:eastAsia="en-US" w:bidi="ar-SA"/>
    </w:rPr>
  </w:style>
  <w:style w:type="paragraph" w:styleId="Heading1">
    <w:name w:val="heading 1"/>
    <w:basedOn w:val="Normal"/>
    <w:next w:val="Normal"/>
    <w:qFormat/>
    <w:pPr>
      <w:keepNext w:val="true"/>
      <w:keepLines/>
      <w:widowControl/>
      <w:numPr>
        <w:ilvl w:val="0"/>
        <w:numId w:val="0"/>
      </w:numPr>
      <w:suppressAutoHyphens w:val="false"/>
      <w:spacing w:lineRule="auto" w:line="278" w:before="360" w:after="80"/>
      <w:outlineLvl w:val="0"/>
    </w:pPr>
    <w:rPr>
      <w:rFonts w:ascii="Cambria" w:hAnsi="Cambria" w:eastAsia="Calibri"/>
      <w:color w:themeColor="accent1" w:themeShade="bf" w:val="365F91"/>
      <w:kern w:val="2"/>
      <w:sz w:val="40"/>
      <w:szCs w:val="40"/>
    </w:rPr>
  </w:style>
  <w:style w:type="paragraph" w:styleId="Heading2">
    <w:name w:val="heading 2"/>
    <w:basedOn w:val="Normal"/>
    <w:next w:val="Normal"/>
    <w:qFormat/>
    <w:pPr>
      <w:keepNext w:val="true"/>
      <w:keepLines/>
      <w:widowControl/>
      <w:numPr>
        <w:ilvl w:val="0"/>
        <w:numId w:val="0"/>
      </w:numPr>
      <w:suppressAutoHyphens w:val="false"/>
      <w:spacing w:lineRule="auto" w:line="278" w:before="160" w:after="80"/>
      <w:outlineLvl w:val="1"/>
    </w:pPr>
    <w:rPr>
      <w:rFonts w:ascii="Cambria" w:hAnsi="Cambria" w:eastAsia="Calibri"/>
      <w:color w:themeColor="accent1" w:themeShade="bf" w:val="365F91"/>
      <w:kern w:val="2"/>
      <w:sz w:val="32"/>
      <w:szCs w:val="32"/>
    </w:rPr>
  </w:style>
  <w:style w:type="paragraph" w:styleId="Heading3">
    <w:name w:val="heading 3"/>
    <w:basedOn w:val="Normal"/>
    <w:next w:val="Normal"/>
    <w:qFormat/>
    <w:pPr>
      <w:keepNext w:val="true"/>
      <w:keepLines/>
      <w:widowControl/>
      <w:numPr>
        <w:ilvl w:val="0"/>
        <w:numId w:val="0"/>
      </w:numPr>
      <w:suppressAutoHyphens w:val="false"/>
      <w:spacing w:lineRule="auto" w:line="278" w:before="160" w:after="80"/>
      <w:outlineLvl w:val="2"/>
    </w:pPr>
    <w:rPr>
      <w:rFonts w:ascii="Calibri" w:hAnsi="Calibri" w:eastAsia="Calibri"/>
      <w:color w:themeColor="accent1" w:themeShade="bf" w:val="365F91"/>
      <w:kern w:val="2"/>
      <w:sz w:val="28"/>
      <w:szCs w:val="28"/>
    </w:rPr>
  </w:style>
  <w:style w:type="paragraph" w:styleId="Heading4">
    <w:name w:val="heading 4"/>
    <w:basedOn w:val="Normal"/>
    <w:next w:val="Normal"/>
    <w:qFormat/>
    <w:pPr>
      <w:keepNext w:val="true"/>
      <w:keepLines/>
      <w:widowControl/>
      <w:numPr>
        <w:ilvl w:val="0"/>
        <w:numId w:val="0"/>
      </w:numPr>
      <w:suppressAutoHyphens w:val="false"/>
      <w:spacing w:lineRule="auto" w:line="278" w:before="80" w:after="40"/>
      <w:outlineLvl w:val="3"/>
    </w:pPr>
    <w:rPr>
      <w:rFonts w:ascii="Calibri" w:hAnsi="Calibri" w:eastAsia="Calibri"/>
      <w:i/>
      <w:iCs/>
      <w:color w:themeColor="accent1" w:themeShade="bf" w:val="365F91"/>
      <w:kern w:val="2"/>
      <w:sz w:val="24"/>
      <w:szCs w:val="24"/>
    </w:rPr>
  </w:style>
  <w:style w:type="paragraph" w:styleId="Heading5">
    <w:name w:val="heading 5"/>
    <w:basedOn w:val="Normal"/>
    <w:next w:val="Normal"/>
    <w:qFormat/>
    <w:pPr>
      <w:keepNext w:val="true"/>
      <w:keepLines/>
      <w:widowControl/>
      <w:numPr>
        <w:ilvl w:val="0"/>
        <w:numId w:val="0"/>
      </w:numPr>
      <w:suppressAutoHyphens w:val="false"/>
      <w:spacing w:lineRule="auto" w:line="278" w:before="80" w:after="40"/>
      <w:outlineLvl w:val="4"/>
    </w:pPr>
    <w:rPr>
      <w:rFonts w:ascii="Calibri" w:hAnsi="Calibri" w:eastAsia="Calibri"/>
      <w:color w:themeColor="accent1" w:themeShade="bf" w:val="365F91"/>
      <w:kern w:val="2"/>
      <w:sz w:val="24"/>
      <w:szCs w:val="24"/>
    </w:rPr>
  </w:style>
  <w:style w:type="paragraph" w:styleId="Heading6">
    <w:name w:val="heading 6"/>
    <w:basedOn w:val="Normal"/>
    <w:next w:val="Normal"/>
    <w:qFormat/>
    <w:pPr>
      <w:keepNext w:val="true"/>
      <w:keepLines/>
      <w:widowControl/>
      <w:numPr>
        <w:ilvl w:val="0"/>
        <w:numId w:val="0"/>
      </w:numPr>
      <w:suppressAutoHyphens w:val="false"/>
      <w:spacing w:lineRule="auto" w:line="278" w:before="40" w:after="0"/>
      <w:outlineLvl w:val="5"/>
    </w:pPr>
    <w:rPr>
      <w:rFonts w:ascii="Calibri" w:hAnsi="Calibri" w:eastAsia="Calibri"/>
      <w:i/>
      <w:iCs/>
      <w:color w:themeColor="dark1" w:themeTint="a6" w:val="595959"/>
      <w:kern w:val="2"/>
      <w:sz w:val="24"/>
      <w:szCs w:val="24"/>
    </w:rPr>
  </w:style>
  <w:style w:type="paragraph" w:styleId="Heading7">
    <w:name w:val="heading 7"/>
    <w:basedOn w:val="Normal"/>
    <w:next w:val="Normal"/>
    <w:qFormat/>
    <w:pPr>
      <w:keepNext w:val="true"/>
      <w:keepLines/>
      <w:widowControl/>
      <w:numPr>
        <w:ilvl w:val="0"/>
        <w:numId w:val="0"/>
      </w:numPr>
      <w:suppressAutoHyphens w:val="false"/>
      <w:spacing w:lineRule="auto" w:line="278" w:before="40" w:after="0"/>
      <w:outlineLvl w:val="6"/>
    </w:pPr>
    <w:rPr>
      <w:rFonts w:ascii="Calibri" w:hAnsi="Calibri" w:eastAsia="Calibri"/>
      <w:color w:themeColor="dark1" w:themeTint="a6" w:val="595959"/>
      <w:kern w:val="2"/>
      <w:sz w:val="24"/>
      <w:szCs w:val="24"/>
    </w:rPr>
  </w:style>
  <w:style w:type="paragraph" w:styleId="Heading8">
    <w:name w:val="heading 8"/>
    <w:basedOn w:val="Normal"/>
    <w:next w:val="Normal"/>
    <w:qFormat/>
    <w:pPr>
      <w:keepNext w:val="true"/>
      <w:keepLines/>
      <w:widowControl/>
      <w:numPr>
        <w:ilvl w:val="0"/>
        <w:numId w:val="0"/>
      </w:numPr>
      <w:suppressAutoHyphens w:val="false"/>
      <w:spacing w:lineRule="auto" w:line="278"/>
      <w:outlineLvl w:val="7"/>
    </w:pPr>
    <w:rPr>
      <w:rFonts w:ascii="Calibri" w:hAnsi="Calibri" w:eastAsia="Calibri"/>
      <w:i/>
      <w:iCs/>
      <w:color w:themeColor="dark1" w:themeTint="d8" w:val="272727"/>
      <w:kern w:val="2"/>
      <w:sz w:val="24"/>
      <w:szCs w:val="24"/>
    </w:rPr>
  </w:style>
  <w:style w:type="paragraph" w:styleId="Heading9">
    <w:name w:val="heading 9"/>
    <w:basedOn w:val="Normal"/>
    <w:next w:val="Normal"/>
    <w:qFormat/>
    <w:pPr>
      <w:keepNext w:val="true"/>
      <w:keepLines/>
      <w:widowControl/>
      <w:numPr>
        <w:ilvl w:val="0"/>
        <w:numId w:val="0"/>
      </w:numPr>
      <w:suppressAutoHyphens w:val="false"/>
      <w:spacing w:lineRule="auto" w:line="278"/>
      <w:outlineLvl w:val="8"/>
    </w:pPr>
    <w:rPr>
      <w:rFonts w:ascii="Calibri" w:hAnsi="Calibri" w:eastAsia="Calibri"/>
      <w:color w:themeColor="dark1" w:themeTint="d8" w:val="272727"/>
      <w:kern w:val="2"/>
      <w:sz w:val="24"/>
      <w:szCs w:val="24"/>
    </w:rPr>
  </w:style>
  <w:style w:type="character" w:styleId="DefaultParagraphFont" w:default="1">
    <w:name w:val="Default Paragraph Font"/>
    <w:uiPriority w:val="1"/>
    <w:semiHidden/>
    <w:unhideWhenUsed/>
    <w:qFormat/>
    <w:rPr/>
  </w:style>
  <w:style w:type="character" w:styleId="Hyperlink">
    <w:name w:val="Hyperlink"/>
    <w:rPr>
      <w:color w:val="000080"/>
      <w:u w:val="single"/>
    </w:rPr>
  </w:style>
  <w:style w:type="character" w:styleId="Fontepargpadro4" w:customStyle="1">
    <w:name w:val="Fonte parág. padrão4"/>
    <w:qFormat/>
    <w:rPr/>
  </w:style>
  <w:style w:type="character" w:styleId="FollowedHyperlink">
    <w:name w:val="FollowedHyperlink"/>
    <w:basedOn w:val="DefaultParagraphFont"/>
    <w:rPr>
      <w:color w:themeColor="followedHyperlink" w:val="800080"/>
      <w:u w:val="single"/>
    </w:rPr>
  </w:style>
  <w:style w:type="character" w:styleId="Strong">
    <w:name w:val="Strong"/>
    <w:qFormat/>
    <w:rPr>
      <w:b/>
      <w:bCs/>
    </w:rPr>
  </w:style>
  <w:style w:type="character" w:styleId="Emphasis">
    <w:name w:val="Emphasis"/>
    <w:qFormat/>
    <w:rPr>
      <w:i/>
      <w:iCs/>
    </w:rPr>
  </w:style>
  <w:style w:type="character" w:styleId="PrimeiroChar" w:customStyle="1">
    <w:name w:val="Primeiro Char"/>
    <w:basedOn w:val="DefaultParagraphFont"/>
    <w:link w:val="Primeiro"/>
    <w:qFormat/>
    <w:rsid w:val="00cc3dc6"/>
    <w:rPr>
      <w:rFonts w:ascii="Calibri" w:hAnsi="Calibri" w:eastAsia="Calibri" w:cs="Calibri"/>
      <w:b/>
      <w:color w:val="000000"/>
      <w:shd w:fill="D7E3BC" w:val="clear"/>
      <w:lang w:val="pt-PT"/>
    </w:rPr>
  </w:style>
  <w:style w:type="character" w:styleId="SegundoChar" w:customStyle="1">
    <w:name w:val="Segundo Char"/>
    <w:basedOn w:val="DefaultParagraphFont"/>
    <w:link w:val="Segundo"/>
    <w:qFormat/>
    <w:rsid w:val="00cc3dc6"/>
    <w:rPr>
      <w:rFonts w:ascii="Calibri" w:hAnsi="Calibri" w:eastAsia="Calibri" w:cs="Calibri"/>
      <w:color w:val="000000"/>
      <w:lang w:val="pt-PT"/>
    </w:rPr>
  </w:style>
  <w:style w:type="character" w:styleId="TerceiroChar" w:customStyle="1">
    <w:name w:val="Terceiro Char"/>
    <w:basedOn w:val="DefaultParagraphFont"/>
    <w:link w:val="Terceiro"/>
    <w:qFormat/>
    <w:rsid w:val="0083024c"/>
    <w:rPr>
      <w:rFonts w:ascii="Calibri" w:hAnsi="Calibri" w:eastAsia="Calibri" w:cs="Calibri"/>
      <w:lang w:val="pt-PT"/>
    </w:rPr>
  </w:style>
  <w:style w:type="character" w:styleId="TerceriraChar" w:customStyle="1">
    <w:name w:val="Tercerira Char"/>
    <w:basedOn w:val="DefaultParagraphFont"/>
    <w:link w:val="Tercerira"/>
    <w:qFormat/>
    <w:rsid w:val="00a178c2"/>
    <w:rPr>
      <w:rFonts w:ascii="Times New Roman" w:hAnsi="Times New Roman" w:cs="Times New Roman"/>
      <w:kern w:val="2"/>
      <w:sz w:val="20"/>
      <w:szCs w:val="20"/>
      <w:lang w:val="pt-BR"/>
      <w14:ligatures w14:val="standardContextual"/>
    </w:rPr>
  </w:style>
  <w:style w:type="character" w:styleId="QuartoChar" w:customStyle="1">
    <w:name w:val="Quarto Char"/>
    <w:basedOn w:val="DefaultParagraphFont"/>
    <w:link w:val="Quarto"/>
    <w:qFormat/>
    <w:rsid w:val="00754af2"/>
    <w:rPr>
      <w:rFonts w:ascii="Calibri" w:hAnsi="Calibri" w:eastAsia="Calibri" w:cs="Calibri"/>
      <w:color w:val="000000"/>
      <w:lang w:val="pt-PT"/>
    </w:rPr>
  </w:style>
  <w:style w:type="character" w:styleId="AlneaChar" w:customStyle="1">
    <w:name w:val="Alínea Char"/>
    <w:basedOn w:val="SegundoChar"/>
    <w:link w:val="Alnea"/>
    <w:qFormat/>
    <w:rsid w:val="00ea140e"/>
    <w:rPr>
      <w:rFonts w:ascii="Calibri" w:hAnsi="Calibri" w:eastAsia="Calibri" w:cs="Calibri"/>
      <w:color w:val="000000"/>
      <w:lang w:val="pt-PT"/>
    </w:rPr>
  </w:style>
  <w:style w:type="character" w:styleId="UnresolvedMention">
    <w:name w:val="Unresolved Mention"/>
    <w:basedOn w:val="DefaultParagraphFont"/>
    <w:uiPriority w:val="99"/>
    <w:semiHidden/>
    <w:unhideWhenUsed/>
    <w:qFormat/>
    <w:rsid w:val="009f67e5"/>
    <w:rPr>
      <w:color w:val="605E5C"/>
      <w:shd w:fill="E1DFDD" w:val="clear"/>
    </w:rPr>
  </w:style>
  <w:style w:type="character" w:styleId="ANEXOSChar" w:customStyle="1">
    <w:name w:val="ANEXOS Char"/>
    <w:basedOn w:val="PrimeiroChar"/>
    <w:link w:val="ANEXOS"/>
    <w:qFormat/>
    <w:rsid w:val="00f34118"/>
    <w:rPr>
      <w:rFonts w:ascii="Calibri" w:hAnsi="Calibri" w:eastAsia="Calibri" w:cs="Calibri"/>
      <w:b/>
      <w:color w:val="000000"/>
      <w:shd w:fill="D7E3BC" w:val="clear"/>
      <w:lang w:val="pt-PT"/>
    </w:rPr>
  </w:style>
  <w:style w:type="character" w:styleId="PrembuloChar" w:customStyle="1">
    <w:name w:val="Preâmbulo Char"/>
    <w:basedOn w:val="DefaultParagraphFont"/>
    <w:link w:val="Prembulo"/>
    <w:qFormat/>
    <w:rsid w:val="00855b7a"/>
    <w:rPr>
      <w:rFonts w:ascii="Calibri" w:hAnsi="Calibri" w:eastAsia="Calibri" w:cs="Calibri"/>
      <w:b/>
      <w:lang w:val="pt-PT"/>
    </w:rPr>
  </w:style>
  <w:style w:type="character" w:styleId="CorpoChar" w:customStyle="1">
    <w:name w:val="Corpo Char"/>
    <w:basedOn w:val="SegundoChar"/>
    <w:link w:val="Corpo"/>
    <w:qFormat/>
    <w:rsid w:val="00ab0b1a"/>
    <w:rPr>
      <w:rFonts w:ascii="Calibri" w:hAnsi="Calibri" w:eastAsia="Calibri" w:cs="Calibri"/>
      <w:color w:val="000000"/>
      <w:lang w:val="pt-PT"/>
    </w:rPr>
  </w:style>
  <w:style w:type="character" w:styleId="SegundaChar">
    <w:name w:val="Segunda Char"/>
    <w:basedOn w:val="DefaultParagraphFont"/>
    <w:qFormat/>
    <w:rPr>
      <w:rFonts w:ascii="Times New Roman" w:hAnsi="Times New Roman" w:cs="Times New Roman"/>
      <w:kern w:val="2"/>
      <w:sz w:val="20"/>
      <w:szCs w:val="20"/>
      <w:lang w:val="pt-BR"/>
    </w:rPr>
  </w:style>
  <w:style w:type="character" w:styleId="QuartaChar">
    <w:name w:val="Quarta Char"/>
    <w:basedOn w:val="TerceriraChar"/>
    <w:qFormat/>
    <w:rPr>
      <w:rFonts w:ascii="Times New Roman" w:hAnsi="Times New Roman" w:cs="Times New Roman"/>
      <w:kern w:val="2"/>
      <w:sz w:val="20"/>
      <w:szCs w:val="20"/>
      <w:lang w:val="pt-BR"/>
    </w:rPr>
  </w:style>
  <w:style w:type="character" w:styleId="PrimeiraChar">
    <w:name w:val="Primeira Char"/>
    <w:basedOn w:val="CorpoChar"/>
    <w:qFormat/>
    <w:rPr>
      <w:rFonts w:ascii="Times New Roman" w:hAnsi="Times New Roman" w:eastAsia="Calibri" w:cs="Times New Roman"/>
      <w:b/>
      <w:bCs/>
      <w:kern w:val="2"/>
      <w:sz w:val="20"/>
      <w:szCs w:val="20"/>
      <w:lang w:val="pt-BR"/>
    </w:rPr>
  </w:style>
  <w:style w:type="character" w:styleId="Ttulo1Char">
    <w:name w:val="Título 1 Char"/>
    <w:basedOn w:val="DefaultParagraphFont"/>
    <w:qFormat/>
    <w:rPr>
      <w:rFonts w:ascii="Cambria" w:hAnsi="Cambria" w:eastAsia="Calibri"/>
      <w:color w:themeColor="accent1" w:themeShade="bf" w:val="365F91"/>
      <w:kern w:val="2"/>
      <w:sz w:val="40"/>
      <w:szCs w:val="40"/>
      <w:lang w:val="pt-BR"/>
    </w:rPr>
  </w:style>
  <w:style w:type="character" w:styleId="Ttulo2Char">
    <w:name w:val="Título 2 Char"/>
    <w:basedOn w:val="DefaultParagraphFont"/>
    <w:qFormat/>
    <w:rPr>
      <w:rFonts w:ascii="Cambria" w:hAnsi="Cambria" w:eastAsia="Calibri"/>
      <w:color w:themeColor="accent1" w:themeShade="bf" w:val="365F91"/>
      <w:kern w:val="2"/>
      <w:sz w:val="32"/>
      <w:szCs w:val="32"/>
      <w:lang w:val="pt-BR"/>
    </w:rPr>
  </w:style>
  <w:style w:type="character" w:styleId="Ttulo3Char">
    <w:name w:val="Título 3 Char"/>
    <w:basedOn w:val="DefaultParagraphFont"/>
    <w:qFormat/>
    <w:rPr>
      <w:rFonts w:eastAsia="Calibri"/>
      <w:color w:themeColor="accent1" w:themeShade="bf" w:val="365F91"/>
      <w:kern w:val="2"/>
      <w:sz w:val="28"/>
      <w:szCs w:val="28"/>
      <w:lang w:val="pt-BR"/>
    </w:rPr>
  </w:style>
  <w:style w:type="character" w:styleId="Ttulo4Char">
    <w:name w:val="Título 4 Char"/>
    <w:basedOn w:val="DefaultParagraphFont"/>
    <w:qFormat/>
    <w:rPr>
      <w:rFonts w:eastAsia="Calibri"/>
      <w:i/>
      <w:iCs/>
      <w:color w:themeColor="accent1" w:themeShade="bf" w:val="365F91"/>
      <w:kern w:val="2"/>
      <w:sz w:val="24"/>
      <w:szCs w:val="24"/>
      <w:lang w:val="pt-BR"/>
    </w:rPr>
  </w:style>
  <w:style w:type="character" w:styleId="Ttulo5Char">
    <w:name w:val="Título 5 Char"/>
    <w:basedOn w:val="DefaultParagraphFont"/>
    <w:qFormat/>
    <w:rPr>
      <w:rFonts w:eastAsia="Calibri"/>
      <w:color w:themeColor="accent1" w:themeShade="bf" w:val="365F91"/>
      <w:kern w:val="2"/>
      <w:sz w:val="24"/>
      <w:szCs w:val="24"/>
      <w:lang w:val="pt-BR"/>
    </w:rPr>
  </w:style>
  <w:style w:type="character" w:styleId="Ttulo6Char">
    <w:name w:val="Título 6 Char"/>
    <w:basedOn w:val="DefaultParagraphFont"/>
    <w:qFormat/>
    <w:rPr>
      <w:rFonts w:eastAsia="Calibri"/>
      <w:i/>
      <w:iCs/>
      <w:color w:themeColor="dark1" w:themeTint="a6" w:val="595959"/>
      <w:kern w:val="2"/>
      <w:sz w:val="24"/>
      <w:szCs w:val="24"/>
      <w:lang w:val="pt-BR"/>
    </w:rPr>
  </w:style>
  <w:style w:type="character" w:styleId="Ttulo7Char">
    <w:name w:val="Título 7 Char"/>
    <w:basedOn w:val="DefaultParagraphFont"/>
    <w:qFormat/>
    <w:rPr>
      <w:rFonts w:eastAsia="Calibri"/>
      <w:color w:themeColor="dark1" w:themeTint="a6" w:val="595959"/>
      <w:kern w:val="2"/>
      <w:sz w:val="24"/>
      <w:szCs w:val="24"/>
      <w:lang w:val="pt-BR"/>
    </w:rPr>
  </w:style>
  <w:style w:type="character" w:styleId="Ttulo8Char">
    <w:name w:val="Título 8 Char"/>
    <w:basedOn w:val="DefaultParagraphFont"/>
    <w:qFormat/>
    <w:rPr>
      <w:rFonts w:eastAsia="Calibri"/>
      <w:i/>
      <w:iCs/>
      <w:color w:themeColor="dark1" w:themeTint="d8" w:val="272727"/>
      <w:kern w:val="2"/>
      <w:sz w:val="24"/>
      <w:szCs w:val="24"/>
      <w:lang w:val="pt-BR"/>
    </w:rPr>
  </w:style>
  <w:style w:type="character" w:styleId="Ttulo9Char">
    <w:name w:val="Título 9 Char"/>
    <w:basedOn w:val="DefaultParagraphFont"/>
    <w:qFormat/>
    <w:rPr>
      <w:rFonts w:eastAsia="Calibri"/>
      <w:color w:themeColor="dark1" w:themeTint="d8" w:val="272727"/>
      <w:kern w:val="2"/>
      <w:sz w:val="24"/>
      <w:szCs w:val="24"/>
      <w:lang w:val="pt-BR"/>
    </w:rPr>
  </w:style>
  <w:style w:type="character" w:styleId="TtuloChar">
    <w:name w:val="Título Char"/>
    <w:basedOn w:val="DefaultParagraphFont"/>
    <w:qFormat/>
    <w:rPr>
      <w:rFonts w:ascii="Liberation Sans" w:hAnsi="Liberation Sans" w:eastAsia="Noto Sans CJK SC" w:cs="Noto Sans Devanagari"/>
      <w:sz w:val="28"/>
      <w:szCs w:val="28"/>
      <w:lang w:val="pt-PT"/>
    </w:rPr>
  </w:style>
  <w:style w:type="character" w:styleId="SubttuloChar">
    <w:name w:val="Subtítulo Char"/>
    <w:basedOn w:val="DefaultParagraphFont"/>
    <w:qFormat/>
    <w:rPr>
      <w:rFonts w:eastAsia="Calibri"/>
      <w:color w:themeColor="dark1" w:themeTint="a6" w:val="595959"/>
      <w:spacing w:val="15"/>
      <w:kern w:val="2"/>
      <w:sz w:val="28"/>
      <w:szCs w:val="28"/>
      <w:lang w:val="pt-BR"/>
    </w:rPr>
  </w:style>
  <w:style w:type="character" w:styleId="CitaoChar">
    <w:name w:val="Citação Char"/>
    <w:basedOn w:val="DefaultParagraphFont"/>
    <w:qFormat/>
    <w:rPr>
      <w:i/>
      <w:iCs/>
      <w:color w:themeColor="dark1" w:themeTint="bf" w:val="404040"/>
      <w:kern w:val="2"/>
      <w:sz w:val="24"/>
      <w:szCs w:val="24"/>
      <w:lang w:val="pt-BR"/>
    </w:rPr>
  </w:style>
  <w:style w:type="character" w:styleId="IntenseEmphasis">
    <w:name w:val="Intense Emphasis"/>
    <w:basedOn w:val="DefaultParagraphFont"/>
    <w:qFormat/>
    <w:rPr>
      <w:i/>
      <w:iCs/>
      <w:color w:themeColor="accent1" w:themeShade="bf" w:val="365F91"/>
    </w:rPr>
  </w:style>
  <w:style w:type="character" w:styleId="CitaoIntensaChar">
    <w:name w:val="Citação Intensa Char"/>
    <w:basedOn w:val="DefaultParagraphFont"/>
    <w:qFormat/>
    <w:rPr>
      <w:i/>
      <w:iCs/>
      <w:color w:themeColor="accent1" w:themeShade="bf" w:val="365F91"/>
      <w:kern w:val="2"/>
      <w:sz w:val="24"/>
      <w:szCs w:val="24"/>
      <w:lang w:val="pt-BR"/>
    </w:rPr>
  </w:style>
  <w:style w:type="character" w:styleId="IntenseReference">
    <w:name w:val="Intense Reference"/>
    <w:basedOn w:val="DefaultParagraphFont"/>
    <w:qFormat/>
    <w:rPr>
      <w:b/>
      <w:bCs/>
      <w:smallCaps/>
      <w:color w:themeColor="accent1" w:themeShade="bf" w:val="365F91"/>
      <w:spacing w:val="5"/>
    </w:rPr>
  </w:style>
  <w:style w:type="character" w:styleId="CabealhoChar">
    <w:name w:val="Cabeçalho Char"/>
    <w:basedOn w:val="DefaultParagraphFont"/>
    <w:qFormat/>
    <w:rPr>
      <w:rFonts w:ascii="Times New Roman" w:hAnsi="Times New Roman" w:eastAsia="Times New Roman" w:cs="Times New Roman"/>
      <w:lang w:val="pt-PT"/>
    </w:rPr>
  </w:style>
  <w:style w:type="character" w:styleId="RodapChar">
    <w:name w:val="Rodapé Char"/>
    <w:basedOn w:val="DefaultParagraphFont"/>
    <w:qFormat/>
    <w:rPr>
      <w:rFonts w:ascii="Times New Roman" w:hAnsi="Times New Roman" w:eastAsia="Times New Roman" w:cs="Times New Roman"/>
      <w:lang w:val="pt-PT"/>
    </w:rPr>
  </w:style>
  <w:style w:type="character" w:styleId="IdentificaoChar">
    <w:name w:val="Identificação Char"/>
    <w:basedOn w:val="DefaultParagraphFont"/>
    <w:qFormat/>
    <w:rPr>
      <w:rFonts w:ascii="Times New Roman" w:hAnsi="Times New Roman" w:cs="Times New Roman"/>
      <w:kern w:val="2"/>
      <w:sz w:val="20"/>
      <w:szCs w:val="20"/>
      <w:lang w:val="pt-BR"/>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uiPriority w:val="1"/>
    <w:pPr/>
    <w:rPr>
      <w:sz w:val="21"/>
      <w:szCs w:val="21"/>
    </w:rPr>
  </w:style>
  <w:style w:type="paragraph" w:styleId="List">
    <w:name w:val="List"/>
    <w:basedOn w:val="BodyText"/>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ndice" w:customStyle="1">
    <w:name w:val="Índice"/>
    <w:basedOn w:val="Normal"/>
    <w:qFormat/>
    <w:pPr>
      <w:suppressLineNumbers/>
    </w:pPr>
    <w:rPr>
      <w:rFonts w:cs="Arial"/>
    </w:rPr>
  </w:style>
  <w:style w:type="paragraph" w:styleId="Ttulouser">
    <w:name w:val="Título (user)"/>
    <w:basedOn w:val="Normal"/>
    <w:next w:val="BodyText"/>
    <w:qFormat/>
    <w:pPr>
      <w:keepNext w:val="true"/>
      <w:spacing w:before="240" w:after="120"/>
    </w:pPr>
    <w:rPr>
      <w:rFonts w:ascii="Liberation Sans" w:hAnsi="Liberation Sans" w:eastAsia="Microsoft YaHei" w:cs="Arial"/>
      <w:sz w:val="28"/>
      <w:szCs w:val="28"/>
    </w:rPr>
  </w:style>
  <w:style w:type="paragraph" w:styleId="ndiceuser" w:customStyle="1">
    <w:name w:val="Índice (user)"/>
    <w:basedOn w:val="Normal"/>
    <w:qFormat/>
    <w:pPr>
      <w:suppressLineNumbers/>
    </w:pPr>
    <w:rPr>
      <w:rFonts w:cs="Noto Sans Devanagari"/>
    </w:rPr>
  </w:style>
  <w:style w:type="paragraph" w:styleId="Title">
    <w:name w:val="Title"/>
    <w:basedOn w:val="Normal"/>
    <w:next w:val="BodyText"/>
    <w:uiPriority w:val="10"/>
    <w:qFormat/>
    <w:pPr>
      <w:keepNext w:val="true"/>
      <w:spacing w:before="240" w:after="120"/>
    </w:pPr>
    <w:rPr>
      <w:rFonts w:ascii="Liberation Sans" w:hAnsi="Liberation Sans" w:eastAsia="Noto Sans CJK SC" w:cs="Noto Sans Devanagari"/>
      <w:sz w:val="28"/>
      <w:szCs w:val="28"/>
    </w:rPr>
  </w:style>
  <w:style w:type="paragraph" w:styleId="Ttulo1" w:customStyle="1">
    <w:name w:val="Título1"/>
    <w:basedOn w:val="Normal"/>
    <w:next w:val="BodyText"/>
    <w:qFormat/>
    <w:pPr>
      <w:keepNext w:val="true"/>
      <w:spacing w:before="240" w:after="120"/>
    </w:pPr>
    <w:rPr>
      <w:rFonts w:ascii="Liberation Sans" w:hAnsi="Liberation Sans" w:eastAsia="Microsoft YaHei" w:cs="Arial"/>
      <w:sz w:val="28"/>
      <w:szCs w:val="28"/>
    </w:rPr>
  </w:style>
  <w:style w:type="paragraph" w:styleId="ListParagraph">
    <w:name w:val="List Paragraph"/>
    <w:basedOn w:val="Normal"/>
    <w:uiPriority w:val="1"/>
    <w:qFormat/>
    <w:pPr/>
    <w:rPr/>
  </w:style>
  <w:style w:type="paragraph" w:styleId="TableParagraph" w:customStyle="1">
    <w:name w:val="Table Paragraph"/>
    <w:basedOn w:val="Normal"/>
    <w:uiPriority w:val="1"/>
    <w:qFormat/>
    <w:pPr/>
    <w:rPr/>
  </w:style>
  <w:style w:type="paragraph" w:styleId="Cabealhoerodapuser" w:customStyle="1">
    <w:name w:val="Cabeçalho e rodapé (user)"/>
    <w:basedOn w:val="Normal"/>
    <w:qFormat/>
    <w:pPr/>
    <w:rPr/>
  </w:style>
  <w:style w:type="paragraph" w:styleId="Cabealhoerodap" w:customStyle="1">
    <w:name w:val="Cabeçalho e rodapé"/>
    <w:basedOn w:val="Normal"/>
    <w:qFormat/>
    <w:pPr/>
    <w:rPr/>
  </w:style>
  <w:style w:type="paragraph" w:styleId="Header">
    <w:name w:val="header"/>
    <w:basedOn w:val="Cabealhoerodapuser"/>
    <w:pPr/>
    <w:rPr/>
  </w:style>
  <w:style w:type="paragraph" w:styleId="Contedodoquadrouser" w:customStyle="1">
    <w:name w:val="Conteúdo do quadro (user)"/>
    <w:basedOn w:val="Normal"/>
    <w:qFormat/>
    <w:pPr/>
    <w:rPr/>
  </w:style>
  <w:style w:type="paragraph" w:styleId="Cabealhoesquerdauser" w:customStyle="1">
    <w:name w:val="Cabeçalho à esquerda (user)"/>
    <w:basedOn w:val="Header"/>
    <w:qFormat/>
    <w:pPr/>
    <w:rPr/>
  </w:style>
  <w:style w:type="paragraph" w:styleId="Linhahorizontaluser" w:customStyle="1">
    <w:name w:val="Linha horizontal (user)"/>
    <w:basedOn w:val="Normal"/>
    <w:next w:val="BodyText"/>
    <w:qFormat/>
    <w:pPr>
      <w:suppressLineNumbers/>
      <w:pBdr>
        <w:bottom w:val="double" w:sz="2" w:space="0" w:color="808080"/>
      </w:pBdr>
      <w:spacing w:before="0" w:after="283"/>
    </w:pPr>
    <w:rPr>
      <w:sz w:val="12"/>
      <w:szCs w:val="12"/>
    </w:rPr>
  </w:style>
  <w:style w:type="paragraph" w:styleId="NoSpacing">
    <w:name w:val="No Spacing"/>
    <w:qFormat/>
    <w:pPr>
      <w:widowControl/>
      <w:suppressAutoHyphens w:val="true"/>
      <w:bidi w:val="0"/>
      <w:spacing w:before="0" w:after="0"/>
      <w:contextualSpacing/>
      <w:jc w:val="left"/>
    </w:pPr>
    <w:rPr>
      <w:rFonts w:ascii="Calibri" w:hAnsi="Calibri" w:eastAsia="Calibri" w:cs="" w:asciiTheme="minorHAnsi" w:cstheme="minorBidi" w:eastAsiaTheme="minorHAnsi" w:hAnsiTheme="minorHAnsi"/>
      <w:color w:val="auto"/>
      <w:kern w:val="0"/>
      <w:sz w:val="24"/>
      <w:szCs w:val="24"/>
      <w:lang w:val="pt-BR" w:eastAsia="en-US" w:bidi="ar-SA"/>
    </w:rPr>
  </w:style>
  <w:style w:type="paragraph" w:styleId="Contedodatabelauser" w:customStyle="1">
    <w:name w:val="Conteúdo da tabela (user)"/>
    <w:basedOn w:val="Normal"/>
    <w:qFormat/>
    <w:pPr>
      <w:suppressLineNumbers/>
    </w:pPr>
    <w:rPr/>
  </w:style>
  <w:style w:type="paragraph" w:styleId="Ttulodetabelauser" w:customStyle="1">
    <w:name w:val="Título de tabela (user)"/>
    <w:basedOn w:val="Contedodatabelauser"/>
    <w:qFormat/>
    <w:pPr>
      <w:jc w:val="center"/>
    </w:pPr>
    <w:rPr>
      <w:b/>
      <w:bCs/>
    </w:rPr>
  </w:style>
  <w:style w:type="paragraph" w:styleId="Footer">
    <w:name w:val="footer"/>
    <w:basedOn w:val="Cabealhoerodapuser"/>
    <w:pPr>
      <w:suppressLineNumbers/>
      <w:tabs>
        <w:tab w:val="clear" w:pos="720"/>
        <w:tab w:val="center" w:pos="5103" w:leader="none"/>
        <w:tab w:val="right" w:pos="10206" w:leader="none"/>
      </w:tabs>
    </w:pPr>
    <w:rPr/>
  </w:style>
  <w:style w:type="paragraph" w:styleId="Primeiro" w:customStyle="1">
    <w:name w:val="Primeiro"/>
    <w:basedOn w:val="Normal"/>
    <w:link w:val="PrimeiroChar"/>
    <w:qFormat/>
    <w:rsid w:val="00cc3dc6"/>
    <w:pPr>
      <w:keepNext w:val="true"/>
      <w:keepLines/>
      <w:widowControl/>
      <w:numPr>
        <w:ilvl w:val="0"/>
        <w:numId w:val="3"/>
      </w:numPr>
      <w:shd w:val="clear" w:color="auto" w:fill="D7E3BC"/>
      <w:tabs>
        <w:tab w:val="clear" w:pos="720"/>
        <w:tab w:val="left" w:pos="426" w:leader="none"/>
        <w:tab w:val="left" w:pos="567" w:leader="none"/>
      </w:tabs>
      <w:suppressAutoHyphens w:val="false"/>
      <w:jc w:val="both"/>
    </w:pPr>
    <w:rPr>
      <w:rFonts w:ascii="Calibri" w:hAnsi="Calibri" w:eastAsia="Calibri" w:cs="Calibri"/>
      <w:b/>
      <w:color w:val="000000"/>
    </w:rPr>
  </w:style>
  <w:style w:type="paragraph" w:styleId="Segundo" w:customStyle="1">
    <w:name w:val="Segundo"/>
    <w:basedOn w:val="Normal"/>
    <w:link w:val="SegundoChar"/>
    <w:qFormat/>
    <w:rsid w:val="00cc3dc6"/>
    <w:pPr>
      <w:widowControl/>
      <w:numPr>
        <w:ilvl w:val="1"/>
        <w:numId w:val="3"/>
      </w:numPr>
      <w:tabs>
        <w:tab w:val="clear" w:pos="720"/>
        <w:tab w:val="left" w:pos="426" w:leader="none"/>
      </w:tabs>
      <w:suppressAutoHyphens w:val="false"/>
      <w:ind w:hanging="0" w:left="0"/>
      <w:jc w:val="both"/>
    </w:pPr>
    <w:rPr>
      <w:rFonts w:ascii="Calibri" w:hAnsi="Calibri" w:eastAsia="Calibri" w:cs="Calibri"/>
      <w:color w:val="000000"/>
    </w:rPr>
  </w:style>
  <w:style w:type="paragraph" w:styleId="Terceiro" w:customStyle="1">
    <w:name w:val="Terceiro"/>
    <w:basedOn w:val="Normal"/>
    <w:link w:val="TerceiroChar"/>
    <w:qFormat/>
    <w:rsid w:val="0083024c"/>
    <w:pPr>
      <w:widowControl/>
      <w:numPr>
        <w:ilvl w:val="2"/>
        <w:numId w:val="3"/>
      </w:numPr>
      <w:tabs>
        <w:tab w:val="clear" w:pos="720"/>
        <w:tab w:val="left" w:pos="851" w:leader="none"/>
        <w:tab w:val="left" w:pos="993" w:leader="none"/>
        <w:tab w:val="left" w:pos="1701" w:leader="none"/>
      </w:tabs>
      <w:suppressAutoHyphens w:val="false"/>
      <w:ind w:hanging="0" w:left="284"/>
      <w:jc w:val="both"/>
    </w:pPr>
    <w:rPr>
      <w:rFonts w:ascii="Calibri" w:hAnsi="Calibri" w:eastAsia="Calibri" w:cs="Calibri"/>
    </w:rPr>
  </w:style>
  <w:style w:type="paragraph" w:styleId="Primeira" w:customStyle="1">
    <w:name w:val="Primeira"/>
    <w:basedOn w:val="Normal"/>
    <w:qFormat/>
    <w:rsid w:val="00a178c2"/>
    <w:pPr>
      <w:widowControl/>
      <w:numPr>
        <w:ilvl w:val="0"/>
        <w:numId w:val="4"/>
      </w:numPr>
      <w:suppressAutoHyphens w:val="false"/>
      <w:spacing w:lineRule="auto" w:line="360" w:before="80" w:after="120"/>
      <w:ind w:hanging="851" w:left="851"/>
      <w:contextualSpacing/>
      <w:jc w:val="both"/>
    </w:pPr>
    <w:rPr>
      <w:rFonts w:eastAsia="Calibri" w:eastAsiaTheme="minorHAnsi"/>
      <w:b/>
      <w:bCs/>
      <w:kern w:val="2"/>
      <w:sz w:val="20"/>
      <w:szCs w:val="20"/>
      <w14:ligatures w14:val="standardContextual"/>
    </w:rPr>
  </w:style>
  <w:style w:type="paragraph" w:styleId="Segunda" w:customStyle="1">
    <w:name w:val="Segunda"/>
    <w:basedOn w:val="Normal"/>
    <w:qFormat/>
    <w:rsid w:val="00a178c2"/>
    <w:pPr>
      <w:widowControl/>
      <w:numPr>
        <w:ilvl w:val="1"/>
        <w:numId w:val="4"/>
      </w:numPr>
      <w:suppressAutoHyphens w:val="false"/>
      <w:spacing w:lineRule="auto" w:line="360" w:before="80" w:after="120"/>
      <w:ind w:hanging="851" w:left="851"/>
      <w:contextualSpacing/>
      <w:jc w:val="both"/>
    </w:pPr>
    <w:rPr>
      <w:rFonts w:eastAsia="Calibri" w:eastAsiaTheme="minorHAnsi"/>
      <w:kern w:val="2"/>
      <w:sz w:val="20"/>
      <w:szCs w:val="20"/>
      <w14:ligatures w14:val="standardContextual"/>
    </w:rPr>
  </w:style>
  <w:style w:type="paragraph" w:styleId="Tercerira" w:customStyle="1">
    <w:name w:val="Tercerira"/>
    <w:basedOn w:val="Segunda"/>
    <w:link w:val="TerceriraChar"/>
    <w:qFormat/>
    <w:rsid w:val="00a178c2"/>
    <w:pPr/>
    <w:rPr/>
  </w:style>
  <w:style w:type="paragraph" w:styleId="Quarta" w:customStyle="1">
    <w:name w:val="Quarta"/>
    <w:basedOn w:val="Tercerira"/>
    <w:qFormat/>
    <w:rsid w:val="00a178c2"/>
    <w:pPr/>
    <w:rPr/>
  </w:style>
  <w:style w:type="paragraph" w:styleId="Quarto" w:customStyle="1">
    <w:name w:val="Quarto"/>
    <w:basedOn w:val="Normal"/>
    <w:link w:val="QuartoChar"/>
    <w:qFormat/>
    <w:rsid w:val="00754af2"/>
    <w:pPr>
      <w:widowControl/>
      <w:numPr>
        <w:ilvl w:val="3"/>
        <w:numId w:val="3"/>
      </w:numPr>
      <w:tabs>
        <w:tab w:val="clear" w:pos="720"/>
        <w:tab w:val="left" w:pos="851" w:leader="none"/>
        <w:tab w:val="left" w:pos="1418" w:leader="none"/>
      </w:tabs>
      <w:suppressAutoHyphens w:val="false"/>
      <w:ind w:hanging="0" w:left="567"/>
      <w:jc w:val="both"/>
    </w:pPr>
    <w:rPr>
      <w:rFonts w:ascii="Calibri" w:hAnsi="Calibri" w:eastAsia="Calibri" w:cs="Calibri"/>
      <w:color w:val="000000"/>
    </w:rPr>
  </w:style>
  <w:style w:type="paragraph" w:styleId="Alnea" w:customStyle="1">
    <w:name w:val="Alínea"/>
    <w:basedOn w:val="Segundo"/>
    <w:link w:val="AlneaChar"/>
    <w:qFormat/>
    <w:rsid w:val="00ea140e"/>
    <w:pPr>
      <w:numPr>
        <w:ilvl w:val="1"/>
        <w:numId w:val="2"/>
      </w:numPr>
    </w:pPr>
    <w:rPr/>
  </w:style>
  <w:style w:type="paragraph" w:styleId="ANEXOS" w:customStyle="1">
    <w:name w:val="ANEXOS"/>
    <w:basedOn w:val="Primeiro"/>
    <w:link w:val="ANEXOSChar"/>
    <w:qFormat/>
    <w:rsid w:val="00f34118"/>
    <w:pPr>
      <w:numPr>
        <w:ilvl w:val="0"/>
        <w:numId w:val="0"/>
      </w:numPr>
      <w:tabs>
        <w:tab w:val="clear" w:pos="567"/>
        <w:tab w:val="left" w:pos="142" w:leader="none"/>
        <w:tab w:val="left" w:pos="426" w:leader="none"/>
      </w:tabs>
      <w:jc w:val="center"/>
    </w:pPr>
    <w:rPr/>
  </w:style>
  <w:style w:type="paragraph" w:styleId="Prembulo" w:customStyle="1">
    <w:name w:val="Preâmbulo"/>
    <w:basedOn w:val="Normal"/>
    <w:link w:val="PrembuloChar"/>
    <w:qFormat/>
    <w:rsid w:val="00855b7a"/>
    <w:pPr>
      <w:jc w:val="center"/>
    </w:pPr>
    <w:rPr>
      <w:rFonts w:ascii="Calibri" w:hAnsi="Calibri" w:eastAsia="Calibri" w:cs="Calibri"/>
      <w:b/>
    </w:rPr>
  </w:style>
  <w:style w:type="paragraph" w:styleId="Corpo" w:customStyle="1">
    <w:name w:val="Corpo"/>
    <w:basedOn w:val="Segundo"/>
    <w:link w:val="CorpoChar"/>
    <w:qFormat/>
    <w:rsid w:val="00ab0b1a"/>
    <w:pPr>
      <w:numPr>
        <w:ilvl w:val="0"/>
        <w:numId w:val="0"/>
      </w:numPr>
      <w:ind w:hanging="0" w:left="0"/>
    </w:pPr>
    <w:rPr/>
  </w:style>
  <w:style w:type="paragraph" w:styleId="Blocodecitaouser">
    <w:name w:val="Bloco de citação (user)"/>
    <w:basedOn w:val="Normal"/>
    <w:qFormat/>
    <w:pPr>
      <w:spacing w:before="0" w:after="283"/>
      <w:ind w:hanging="0" w:left="567" w:right="567"/>
    </w:pPr>
    <w:rPr/>
  </w:style>
  <w:style w:type="paragraph" w:styleId="Contedodoquadro">
    <w:name w:val="Conteúdo do quadro"/>
    <w:basedOn w:val="Normal"/>
    <w:qFormat/>
    <w:pPr/>
    <w:rPr/>
  </w:style>
  <w:style w:type="paragraph" w:styleId="Cabealhoesquerda">
    <w:name w:val="Cabeçalho à esquerda"/>
    <w:basedOn w:val="Header"/>
    <w:qFormat/>
    <w:pPr/>
    <w:rPr/>
  </w:style>
  <w:style w:type="paragraph" w:styleId="Linhahorizontal">
    <w:name w:val="Linha horizontal"/>
    <w:basedOn w:val="Normal"/>
    <w:next w:val="BodyText"/>
    <w:qFormat/>
    <w:pPr>
      <w:suppressLineNumbers/>
      <w:pBdr>
        <w:bottom w:val="double" w:sz="2" w:space="0" w:color="808080"/>
      </w:pBdr>
      <w:spacing w:before="0" w:after="283"/>
    </w:pPr>
    <w:rPr>
      <w:sz w:val="12"/>
      <w:szCs w:val="12"/>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jc w:val="center"/>
    </w:pPr>
    <w:rPr>
      <w:b/>
      <w:bCs/>
    </w:rPr>
  </w:style>
  <w:style w:type="paragraph" w:styleId="Subtitle">
    <w:name w:val="Subtitle"/>
    <w:basedOn w:val="Normal"/>
    <w:next w:val="Normal"/>
    <w:qFormat/>
    <w:pPr>
      <w:widowControl/>
      <w:suppressAutoHyphens w:val="false"/>
      <w:spacing w:lineRule="auto" w:line="278" w:before="0" w:after="160"/>
    </w:pPr>
    <w:rPr>
      <w:rFonts w:ascii="Calibri" w:hAnsi="Calibri" w:eastAsia="Calibri"/>
      <w:color w:themeColor="dark1" w:themeTint="a6" w:val="595959"/>
      <w:spacing w:val="15"/>
      <w:kern w:val="2"/>
      <w:sz w:val="28"/>
      <w:szCs w:val="28"/>
    </w:rPr>
  </w:style>
  <w:style w:type="paragraph" w:styleId="Quote">
    <w:name w:val="Quote"/>
    <w:basedOn w:val="Normal"/>
    <w:next w:val="Normal"/>
    <w:qFormat/>
    <w:pPr>
      <w:widowControl/>
      <w:suppressAutoHyphens w:val="false"/>
      <w:spacing w:lineRule="auto" w:line="278" w:before="160" w:after="160"/>
      <w:jc w:val="center"/>
    </w:pPr>
    <w:rPr>
      <w:rFonts w:ascii="Calibri" w:hAnsi="Calibri" w:eastAsia="Calibri"/>
      <w:i/>
      <w:iCs/>
      <w:color w:themeColor="dark1" w:themeTint="bf" w:val="404040"/>
      <w:kern w:val="2"/>
      <w:sz w:val="24"/>
      <w:szCs w:val="24"/>
    </w:rPr>
  </w:style>
  <w:style w:type="paragraph" w:styleId="IntenseQuote">
    <w:name w:val="Intense Quote"/>
    <w:basedOn w:val="Normal"/>
    <w:next w:val="Normal"/>
    <w:qFormat/>
    <w:pPr>
      <w:widowControl/>
      <w:pBdr>
        <w:top w:val="single" w:sz="4" w:space="10" w:color="365F91"/>
        <w:bottom w:val="single" w:sz="4" w:space="10" w:color="365F91"/>
      </w:pBdr>
      <w:suppressAutoHyphens w:val="false"/>
      <w:spacing w:lineRule="auto" w:line="278" w:before="360" w:after="360"/>
      <w:ind w:left="864" w:right="864"/>
      <w:jc w:val="center"/>
    </w:pPr>
    <w:rPr>
      <w:rFonts w:ascii="Calibri" w:hAnsi="Calibri" w:eastAsia="Calibri"/>
      <w:i/>
      <w:iCs/>
      <w:color w:themeColor="accent1" w:themeShade="bf" w:val="365F91"/>
      <w:kern w:val="2"/>
      <w:sz w:val="24"/>
      <w:szCs w:val="24"/>
    </w:rPr>
  </w:style>
  <w:style w:type="paragraph" w:styleId="western">
    <w:name w:val="western"/>
    <w:basedOn w:val="Normal"/>
    <w:qFormat/>
    <w:pPr>
      <w:spacing w:before="280" w:after="119"/>
    </w:pPr>
    <w:rPr/>
  </w:style>
  <w:style w:type="paragraph" w:styleId="Identificao">
    <w:name w:val="Identificação"/>
    <w:basedOn w:val="Normal"/>
    <w:qFormat/>
    <w:pPr>
      <w:widowControl/>
      <w:suppressAutoHyphens w:val="false"/>
      <w:spacing w:lineRule="auto" w:line="360" w:before="120" w:after="160"/>
      <w:contextualSpacing/>
      <w:jc w:val="center"/>
    </w:pPr>
    <w:rPr>
      <w:rFonts w:eastAsia="Calibri"/>
      <w:kern w:val="2"/>
      <w:sz w:val="20"/>
      <w:szCs w:val="20"/>
    </w:rPr>
  </w:style>
  <w:style w:type="paragraph" w:styleId="Corpodetexto32">
    <w:name w:val="Corpo de texto 32"/>
    <w:basedOn w:val="Normal"/>
    <w:qFormat/>
    <w:pPr>
      <w:jc w:val="both"/>
    </w:pPr>
    <w:rPr>
      <w:rFonts w:eastAsia="Arial Unicode MS"/>
      <w:kern w:val="2"/>
      <w:sz w:val="28"/>
      <w:szCs w:val="24"/>
      <w:lang w:eastAsia="zh-CN"/>
    </w:rPr>
  </w:style>
  <w:style w:type="paragraph" w:styleId="WW-Corpodetexto3">
    <w:name w:val="WW-Corpo de texto 3"/>
    <w:basedOn w:val="Normal"/>
    <w:qFormat/>
    <w:pPr>
      <w:jc w:val="both"/>
    </w:pPr>
    <w:rPr>
      <w:rFonts w:ascii="Arial" w:hAnsi="Arial" w:eastAsia="Arial Unicode MS" w:cs="Arial"/>
      <w:b/>
      <w:kern w:val="2"/>
      <w:sz w:val="24"/>
      <w:szCs w:val="24"/>
      <w:lang w:eastAsia="zh-CN"/>
    </w:rPr>
  </w:style>
  <w:style w:type="numbering" w:styleId="Semlista" w:default="1">
    <w:name w:val="Sem lista"/>
    <w:uiPriority w:val="99"/>
    <w:semiHidden/>
    <w:unhideWhenUsed/>
    <w:qFormat/>
  </w:style>
  <w:style w:type="numbering" w:styleId="Semlista1" w:customStyle="1">
    <w:name w:val="Sem lista1"/>
    <w:uiPriority w:val="99"/>
    <w:semiHidden/>
    <w:unhideWhenUsed/>
    <w:qFormat/>
  </w:style>
  <w:style w:type="numbering" w:styleId="Semlistauser">
    <w:name w:val="Sem lista (user)"/>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customStyle="1" w:styleId="TableNormal">
    <w:name w:val="Table Normal"/>
    <w:uiPriority w:val="2"/>
    <w:semiHidden/>
    <w:unhideWhenUsed/>
    <w:qFormat/>
    <w:tblPr>
      <w:tblCellMar>
        <w:top w:w="0" w:type="dxa"/>
        <w:left w:w="0" w:type="dxa"/>
        <w:bottom w:w="0" w:type="dxa"/>
        <w:right w:w="0" w:type="dxa"/>
      </w:tblCellMar>
    </w:tblPr>
  </w:style>
  <w:style w:type="table" w:styleId="Tabelacomgrade">
    <w:name w:val="Table Grid"/>
    <w:basedOn w:val="Tabelanormal"/>
    <w:uiPriority w:val="39"/>
    <w:rsid w:val="00aa2c0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_rels/header2.xml.rels><?xml version="1.0" encoding="UTF-8"?>
<Relationships xmlns="http://schemas.openxmlformats.org/package/2006/relationships"><Relationship Id="rId1" Type="http://schemas.openxmlformats.org/officeDocument/2006/relationships/image" Target="media/image1.jpeg"/><Relationship Id="rId2" Type="http://schemas.openxmlformats.org/officeDocument/2006/relationships/hyperlink" Target="http://www.botuvera.sc.gov.br/" TargetMode="External"/><Relationship Id="rId3" Type="http://schemas.openxmlformats.org/officeDocument/2006/relationships/hyperlink" Target="http://www.botuvera.atende.net/" TargetMode="External"/>
</Relationships>
</file>

<file path=word/_rels/header3.xml.rels><?xml version="1.0" encoding="UTF-8"?>
<Relationships xmlns="http://schemas.openxmlformats.org/package/2006/relationships"><Relationship Id="rId1" Type="http://schemas.openxmlformats.org/officeDocument/2006/relationships/image" Target="media/image1.jpeg"/><Relationship Id="rId2" Type="http://schemas.openxmlformats.org/officeDocument/2006/relationships/hyperlink" Target="http://www.botuvera.sc.gov.br/" TargetMode="External"/><Relationship Id="rId3" Type="http://schemas.openxmlformats.org/officeDocument/2006/relationships/hyperlink" Target="http://www.botuvera.atende.net/" TargetMode="Externa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763094-7D73-4DA0-A565-DACD760B76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Application>LibreOffice/25.8.6.2$Windows_X86_64 LibreOffice_project/b4b39682cd9868fa725bc664aff94278d315bd04</Application>
  <AppVersion>15.0000</AppVersion>
  <Pages>10</Pages>
  <Words>3743</Words>
  <Characters>21346</Characters>
  <CharactersWithSpaces>24814</CharactersWithSpaces>
  <Paragraphs>176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2026-02-02T16:11:00Z</dcterms:created>
  <dc:creator>TRIBUNAL DE CONTAS DA UNIAO</dc:creator>
  <dc:description/>
  <dc:language>pt-BR</dc:language>
  <cp:lastModifiedBy/>
  <cp:lastPrinted>2025-10-10T17:37:00Z</cp:lastPrinted>
  <dcterms:modified xsi:type="dcterms:W3CDTF">2026-05-22T15:35:12Z</dcterms:modified>
  <cp:revision>12</cp:revision>
  <dc:subject/>
  <dc:title>TRIBUNAL DE CONTAS DA UNIÃO</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2024-01-31T00:00:00Z</vt:filetime>
  </property>
  <property fmtid="{D5CDD505-2E9C-101B-9397-08002B2CF9AE}" pid="3" name="Creator">
    <vt:lpwstr>Writer</vt:lpwstr>
  </property>
  <property fmtid="{D5CDD505-2E9C-101B-9397-08002B2CF9AE}" pid="4" name="LastSaved">
    <vt:filetime>2024-01-31T00:00:00Z</vt:filetime>
  </property>
  <property fmtid="{D5CDD505-2E9C-101B-9397-08002B2CF9AE}" pid="5" name="Producer">
    <vt:lpwstr>LibreOffice 7.3</vt:lpwstr>
  </property>
</Properties>
</file>