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header2.xml" ContentType="application/vnd.openxmlformats-officedocument.wordprocessingml.header+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ANEXOS"/>
        <w:keepNext w:val="false"/>
        <w:keepLines w:val="false"/>
        <w:widowControl w:val="false"/>
        <w:suppressAutoHyphens w:val="true"/>
        <w:ind w:hanging="0" w:left="0"/>
        <w:rPr/>
      </w:pPr>
      <w:r>
        <w:rPr>
          <w:rFonts w:cs="Calibri" w:cstheme="minorHAnsi"/>
        </w:rPr>
        <w:t>MODELO DA MINUTA DA ATA DE REGISTRO DE PREÇOS / CONTRATO</w:t>
      </w:r>
    </w:p>
    <w:p>
      <w:pPr>
        <w:pStyle w:val="Prembulo"/>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rPr>
      </w:r>
    </w:p>
    <w:p>
      <w:pPr>
        <w:pStyle w:val="Normal"/>
        <w:keepNext w:val="false"/>
        <w:keepLines w:val="false"/>
        <w:widowControl w:val="false"/>
        <w:suppressAutoHyphens w:val="true"/>
        <w:ind w:hanging="0" w:left="0"/>
        <w:jc w:val="center"/>
        <w:rPr/>
      </w:pPr>
      <w:r>
        <w:rPr>
          <w:rFonts w:eastAsia="Calibri" w:cs="Calibri" w:ascii="Calibri" w:hAnsi="Calibri" w:asciiTheme="minorHAnsi" w:cstheme="minorHAnsi" w:hAnsiTheme="minorHAnsi"/>
          <w:b/>
        </w:rPr>
        <w:t>ATA DE REGISTRO DE PREÇOS Nº ***/2026</w:t>
      </w:r>
    </w:p>
    <w:p>
      <w:pPr>
        <w:pStyle w:val="Normal"/>
        <w:keepNext w:val="false"/>
        <w:keepLines w:val="false"/>
        <w:widowControl w:val="false"/>
        <w:suppressAutoHyphens w:val="true"/>
        <w:ind w:hanging="0" w:left="0"/>
        <w:jc w:val="center"/>
        <w:rPr/>
      </w:pPr>
      <w:r>
        <w:rPr>
          <w:rFonts w:eastAsia="Calibri" w:cs="Calibri" w:ascii="Calibri" w:hAnsi="Calibri" w:asciiTheme="minorHAnsi" w:cstheme="minorHAnsi" w:hAnsiTheme="minorHAnsi"/>
          <w:b/>
        </w:rPr>
        <w:t>PROCESSO ADMI</w:t>
      </w:r>
      <w:r>
        <w:rPr>
          <w:rStyle w:val="PrembuloChar"/>
          <w:rFonts w:cs="Calibri" w:ascii="Calibri" w:hAnsi="Calibri" w:asciiTheme="minorHAnsi" w:cstheme="minorHAnsi" w:hAnsiTheme="minorHAnsi"/>
          <w:lang w:val="pt-BR"/>
        </w:rPr>
        <w:t>NISTRATI</w:t>
      </w:r>
      <w:r>
        <w:rPr>
          <w:rFonts w:eastAsia="Calibri" w:cs="Calibri" w:ascii="Calibri" w:hAnsi="Calibri" w:asciiTheme="minorHAnsi" w:cstheme="minorHAnsi" w:hAnsiTheme="minorHAnsi"/>
          <w:b/>
        </w:rPr>
        <w:t xml:space="preserve">VO Nº </w:t>
      </w:r>
      <w:r>
        <w:rPr>
          <w:rFonts w:eastAsia="Calibri" w:cs="Calibri" w:ascii="Calibri" w:hAnsi="Calibri" w:asciiTheme="minorHAnsi" w:cstheme="minorHAnsi" w:hAnsiTheme="minorHAnsi"/>
          <w:b/>
          <w:highlight w:val="yellow"/>
        </w:rPr>
        <w:t>***</w:t>
      </w:r>
      <w:r>
        <w:rPr>
          <w:rFonts w:eastAsia="Calibri" w:cs="Calibri" w:ascii="Calibri" w:hAnsi="Calibri" w:asciiTheme="minorHAnsi" w:cstheme="minorHAnsi" w:hAnsiTheme="minorHAnsi"/>
          <w:b/>
        </w:rPr>
        <w:t>/2026</w:t>
      </w:r>
    </w:p>
    <w:p>
      <w:pPr>
        <w:pStyle w:val="Normal"/>
        <w:keepNext w:val="false"/>
        <w:keepLines w:val="false"/>
        <w:widowControl w:val="false"/>
        <w:suppressAutoHyphens w:val="true"/>
        <w:ind w:hanging="0" w:left="0"/>
        <w:jc w:val="center"/>
        <w:rPr/>
      </w:pPr>
      <w:r>
        <w:rPr>
          <w:rFonts w:eastAsia="Calibri" w:cs="Calibri" w:ascii="Calibri" w:hAnsi="Calibri" w:asciiTheme="minorHAnsi" w:cstheme="minorHAnsi" w:hAnsiTheme="minorHAnsi"/>
          <w:b/>
        </w:rPr>
        <w:t xml:space="preserve">PREGÃO ELETRÔNICO Nº </w:t>
      </w:r>
      <w:r>
        <w:rPr>
          <w:rFonts w:eastAsia="Calibri" w:cs="Calibri" w:ascii="Calibri" w:hAnsi="Calibri" w:asciiTheme="minorHAnsi" w:cstheme="minorHAnsi" w:hAnsiTheme="minorHAnsi"/>
          <w:b/>
          <w:highlight w:val="yellow"/>
        </w:rPr>
        <w:t>***</w:t>
      </w:r>
      <w:r>
        <w:rPr>
          <w:rFonts w:eastAsia="Calibri" w:cs="Calibri" w:ascii="Calibri" w:hAnsi="Calibri" w:asciiTheme="minorHAnsi" w:cstheme="minorHAnsi" w:hAnsiTheme="minorHAnsi"/>
          <w:b/>
        </w:rPr>
        <w:t>/2026</w:t>
      </w:r>
    </w:p>
    <w:p>
      <w:pPr>
        <w:pStyle w:val="Normal"/>
        <w:keepNext w:val="false"/>
        <w:keepLines w:val="false"/>
        <w:widowControl w:val="false"/>
        <w:suppressAutoHyphens w:val="true"/>
        <w:ind w:hanging="0" w:left="0"/>
        <w:jc w:val="both"/>
        <w:rPr>
          <w:rFonts w:ascii="Calibri" w:hAnsi="Calibri" w:eastAsia="Calibri" w:cs="Calibri" w:asciiTheme="minorHAnsi" w:cstheme="minorHAnsi" w:hAnsiTheme="minorHAnsi"/>
        </w:rPr>
      </w:pPr>
      <w:r>
        <w:rPr>
          <w:rFonts w:eastAsia="Calibri" w:cs="Calibri" w:cstheme="minorHAnsi" w:ascii="Calibri" w:hAnsi="Calibri"/>
        </w:rPr>
      </w:r>
    </w:p>
    <w:p>
      <w:pPr>
        <w:pStyle w:val="Normal"/>
        <w:keepNext w:val="false"/>
        <w:keepLines w:val="false"/>
        <w:widowControl w:val="false"/>
        <w:suppressAutoHyphens w:val="true"/>
        <w:ind w:hanging="0" w:left="0"/>
        <w:jc w:val="both"/>
        <w:rPr/>
      </w:pPr>
      <w:r>
        <w:rPr>
          <w:rFonts w:eastAsia="Calibri" w:cs="Calibri" w:ascii="Calibri" w:hAnsi="Calibri" w:asciiTheme="minorHAnsi" w:cstheme="minorHAnsi" w:hAnsiTheme="minorHAnsi"/>
        </w:rPr>
        <w:t>Aos *** dias do mês de *** do ano de 2026, presentes de um lado o</w:t>
      </w:r>
      <w:r>
        <w:rPr>
          <w:rFonts w:cs="Calibri" w:ascii="Calibri" w:hAnsi="Calibri" w:asciiTheme="minorHAnsi" w:cstheme="minorHAnsi" w:hAnsiTheme="minorHAnsi"/>
          <w:b/>
        </w:rPr>
        <w:t xml:space="preserve"> MUNICÍPIO DE BOTUVERÁ</w:t>
      </w:r>
      <w:r>
        <w:rPr>
          <w:rFonts w:cs="Calibri" w:ascii="Calibri" w:hAnsi="Calibri" w:asciiTheme="minorHAnsi" w:cstheme="minorHAnsi" w:hAnsiTheme="minorHAnsi"/>
        </w:rPr>
        <w:t xml:space="preserve">, pessoa jurídica de direto público, inscrita no CNPJ sob nº 83.102.350/0001-96, com sede à Rua João Morelli, nº 66, bairro Centro, na cidade de Botuverá-SC (CEP 88.295-000), representada pelo Prefeito Municipal, Sr. </w:t>
      </w:r>
      <w:r>
        <w:rPr>
          <w:rFonts w:cs="Calibri" w:ascii="Calibri" w:hAnsi="Calibri" w:asciiTheme="minorHAnsi" w:cstheme="minorHAnsi" w:hAnsiTheme="minorHAnsi"/>
          <w:b/>
        </w:rPr>
        <w:t>VICTOR JOSÉ WIETCOWSKY</w:t>
      </w:r>
      <w:r>
        <w:rPr>
          <w:rFonts w:cs="Calibri" w:ascii="Calibri" w:hAnsi="Calibri" w:asciiTheme="minorHAnsi" w:cstheme="minorHAnsi" w:hAnsiTheme="minorHAnsi"/>
        </w:rPr>
        <w:t xml:space="preserve">, doravante denominada apenas </w:t>
      </w:r>
      <w:r>
        <w:rPr>
          <w:rFonts w:cs="Calibri" w:ascii="Calibri" w:hAnsi="Calibri" w:asciiTheme="minorHAnsi" w:cstheme="minorHAnsi" w:hAnsiTheme="minorHAnsi"/>
          <w:b/>
        </w:rPr>
        <w:t>MUNICÍPIO</w:t>
      </w:r>
      <w:r>
        <w:rPr>
          <w:rFonts w:cs="Calibri" w:ascii="Calibri" w:hAnsi="Calibri" w:asciiTheme="minorHAnsi" w:cstheme="minorHAnsi" w:hAnsiTheme="minorHAnsi"/>
        </w:rPr>
        <w:t xml:space="preserve">, e de outro </w:t>
      </w:r>
      <w:r>
        <w:rPr>
          <w:rFonts w:cs="Calibri" w:ascii="Calibri" w:hAnsi="Calibri" w:asciiTheme="minorHAnsi" w:cstheme="minorHAnsi" w:hAnsiTheme="minorHAnsi"/>
          <w:b/>
          <w:bCs/>
        </w:rPr>
        <w:t>NOME DA EMPRESA</w:t>
      </w:r>
      <w:r>
        <w:rPr>
          <w:rFonts w:cs="Calibri" w:ascii="Calibri" w:hAnsi="Calibri" w:asciiTheme="minorHAnsi" w:cstheme="minorHAnsi" w:hAnsiTheme="minorHAnsi"/>
        </w:rPr>
        <w:t xml:space="preserve">, pessoa jurídica de direito privado, inscrita no CNPJ sob nº ***, com sede à Rua ***, nº ***, bairro ***, na cidade de ***-SC (CEP ***), representada por </w:t>
      </w:r>
      <w:r>
        <w:rPr>
          <w:rFonts w:cs="Calibri" w:ascii="Calibri" w:hAnsi="Calibri" w:asciiTheme="minorHAnsi" w:cstheme="minorHAnsi" w:hAnsiTheme="minorHAnsi"/>
          <w:b/>
          <w:bCs/>
        </w:rPr>
        <w:t>NOME DO REPRESENTANTE</w:t>
      </w:r>
      <w:r>
        <w:rPr>
          <w:rFonts w:cs="Calibri" w:ascii="Calibri" w:hAnsi="Calibri" w:asciiTheme="minorHAnsi" w:cstheme="minorHAnsi" w:hAnsiTheme="minorHAnsi"/>
        </w:rPr>
        <w:t xml:space="preserve">, inscrito no CPF sob nº ***, com endereço profissional à ***, doravante denominada apenas </w:t>
      </w:r>
      <w:r>
        <w:rPr>
          <w:rFonts w:cs="Calibri" w:ascii="Calibri" w:hAnsi="Calibri" w:asciiTheme="minorHAnsi" w:cstheme="minorHAnsi" w:hAnsiTheme="minorHAnsi"/>
          <w:b/>
          <w:bCs/>
        </w:rPr>
        <w:t>FORNECEDOR</w:t>
      </w:r>
      <w:r>
        <w:rPr>
          <w:rFonts w:cs="Calibri" w:ascii="Calibri" w:hAnsi="Calibri" w:asciiTheme="minorHAnsi" w:cstheme="minorHAnsi" w:hAnsiTheme="minorHAnsi"/>
        </w:rPr>
        <w:t>, independente de gênero ou critério quantitativo.</w:t>
      </w:r>
    </w:p>
    <w:p>
      <w:pPr>
        <w:pStyle w:val="Normal"/>
        <w:keepNext w:val="false"/>
        <w:keepLines w:val="false"/>
        <w:widowControl w:val="false"/>
        <w:suppressAutoHyphens w:val="true"/>
        <w:ind w:hanging="0" w:left="0"/>
        <w:jc w:val="both"/>
        <w:rPr>
          <w:rFonts w:ascii="Calibri" w:hAnsi="Calibri" w:cs="Calibri" w:asciiTheme="minorHAnsi" w:cstheme="minorHAnsi" w:hAnsiTheme="minorHAnsi"/>
        </w:rPr>
      </w:pPr>
      <w:r>
        <w:rPr>
          <w:rFonts w:cs="Calibri" w:cstheme="minorHAnsi" w:ascii="Calibri" w:hAnsi="Calibri"/>
        </w:rPr>
      </w:r>
    </w:p>
    <w:p>
      <w:pPr>
        <w:pStyle w:val="Primeiro"/>
        <w:keepNext w:val="false"/>
        <w:keepLines w:val="false"/>
        <w:widowControl w:val="false"/>
        <w:numPr>
          <w:ilvl w:val="0"/>
          <w:numId w:val="2"/>
        </w:numPr>
        <w:suppressAutoHyphens w:val="true"/>
        <w:ind w:hanging="0" w:left="0"/>
        <w:rPr/>
      </w:pPr>
      <w:r>
        <w:rPr/>
        <w:t>DO OBJETO.</w:t>
      </w:r>
    </w:p>
    <w:p>
      <w:pPr>
        <w:pStyle w:val="Corpo"/>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O objeto da presente Ata de Registro de Preços consiste no registro de preços para futura e eventual a</w:t>
      </w:r>
      <w:r>
        <w:rPr>
          <w:b/>
          <w:bCs/>
        </w:rPr>
        <w:t>quisição de óleos lubrificantes, fluidos automotivos, graxas lubrificantes, aditivos e produtos correlatos</w:t>
      </w:r>
      <w:r>
        <w:rPr/>
        <w:t xml:space="preserve">, destinados à manutenção preventiva e corretiva da frota de veículos, máquinas e equipamentos da </w:t>
      </w:r>
      <w:r>
        <w:rPr>
          <w:b/>
          <w:bCs/>
        </w:rPr>
        <w:t>Secretaria de Obras, Transportes e Serviços Urbanos</w:t>
      </w:r>
      <w:r>
        <w:rPr/>
        <w:t xml:space="preserve"> do Município de Botuverá/SC. </w:t>
      </w:r>
    </w:p>
    <w:p>
      <w:pPr>
        <w:pStyle w:val="Segundo"/>
        <w:keepNext w:val="false"/>
        <w:keepLines w:val="false"/>
        <w:widowControl w:val="false"/>
        <w:numPr>
          <w:ilvl w:val="0"/>
          <w:numId w:val="0"/>
        </w:numPr>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A existência de preços registrados não obriga o MUNICÍPIO a firmar as contratações que deles poderão advir, não cabendo direito à indenização de qualquer espécie.</w:t>
      </w:r>
    </w:p>
    <w:p>
      <w:pPr>
        <w:pStyle w:val="ListParagraph"/>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Fica, ainda, facultada a utilização de outros meios de aquisição, respeitada a legislação pertinente às licitações e ao sistema de registro de preços.</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Primeiro"/>
        <w:keepNext w:val="false"/>
        <w:keepLines w:val="false"/>
        <w:widowControl w:val="false"/>
        <w:numPr>
          <w:ilvl w:val="0"/>
          <w:numId w:val="2"/>
        </w:numPr>
        <w:suppressAutoHyphens w:val="true"/>
        <w:ind w:hanging="0" w:left="0"/>
        <w:rPr/>
      </w:pPr>
      <w:r>
        <w:rPr>
          <w:rFonts w:cs="Calibri" w:cstheme="minorHAnsi"/>
        </w:rPr>
        <w:t>DAS ESPECIFICAÇÕES, QUANTITATIVOS E PREÇO DO OBJETO.</w:t>
      </w:r>
    </w:p>
    <w:p>
      <w:pPr>
        <w:pStyle w:val="Prembulo"/>
        <w:keepNext w:val="false"/>
        <w:keepLines w:val="false"/>
        <w:widowControl w:val="false"/>
        <w:suppressAutoHyphens w:val="true"/>
        <w:ind w:hanging="0" w:left="0"/>
        <w:rPr>
          <w:rFonts w:ascii="Calibri" w:hAnsi="Calibri"/>
          <w:sz w:val="22"/>
          <w:szCs w:val="22"/>
        </w:rPr>
      </w:pPr>
      <w:r>
        <w:rPr>
          <w:sz w:val="22"/>
          <w:szCs w:val="22"/>
        </w:rPr>
      </w:r>
    </w:p>
    <w:tbl>
      <w:tblPr>
        <w:tblW w:w="10188" w:type="dxa"/>
        <w:jc w:val="left"/>
        <w:tblInd w:w="8" w:type="dxa"/>
        <w:tblLayout w:type="fixed"/>
        <w:tblCellMar>
          <w:top w:w="0" w:type="dxa"/>
          <w:left w:w="70" w:type="dxa"/>
          <w:bottom w:w="0" w:type="dxa"/>
          <w:right w:w="70" w:type="dxa"/>
        </w:tblCellMar>
        <w:tblLook w:val="04a0" w:firstRow="1" w:noVBand="1" w:lastRow="0" w:firstColumn="1" w:lastColumn="0" w:noHBand="0"/>
      </w:tblPr>
      <w:tblGrid>
        <w:gridCol w:w="682"/>
        <w:gridCol w:w="4936"/>
        <w:gridCol w:w="1078"/>
        <w:gridCol w:w="908"/>
        <w:gridCol w:w="1194"/>
        <w:gridCol w:w="1390"/>
      </w:tblGrid>
      <w:tr>
        <w:trPr>
          <w:trHeight w:val="593" w:hRule="atLeast"/>
        </w:trPr>
        <w:tc>
          <w:tcPr>
            <w:tcW w:w="682" w:type="dxa"/>
            <w:tcBorders>
              <w:top w:val="single" w:sz="4" w:space="0" w:color="000000"/>
              <w:left w:val="single" w:sz="4" w:space="0" w:color="000000"/>
              <w:bottom w:val="single" w:sz="4" w:space="0" w:color="000000"/>
            </w:tcBorders>
            <w:shd w:color="auto" w:fill="DDDDDD" w:val="clear"/>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bCs/>
                <w:color w:val="000000"/>
                <w:sz w:val="20"/>
                <w:szCs w:val="20"/>
                <w:lang w:eastAsia="pt-BR"/>
              </w:rPr>
              <w:t>ITEM</w:t>
            </w:r>
          </w:p>
        </w:tc>
        <w:tc>
          <w:tcPr>
            <w:tcW w:w="4936" w:type="dxa"/>
            <w:tcBorders>
              <w:top w:val="single" w:sz="4" w:space="0" w:color="000000"/>
              <w:left w:val="single" w:sz="4" w:space="0" w:color="000000"/>
              <w:bottom w:val="single" w:sz="4" w:space="0" w:color="000000"/>
            </w:tcBorders>
            <w:shd w:color="auto" w:fill="DDDDDD" w:val="clear"/>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bCs/>
                <w:color w:val="000000"/>
                <w:sz w:val="20"/>
                <w:szCs w:val="20"/>
                <w:lang w:eastAsia="pt-BR"/>
              </w:rPr>
              <w:t>DESCRIÇÃO</w:t>
            </w:r>
          </w:p>
        </w:tc>
        <w:tc>
          <w:tcPr>
            <w:tcW w:w="1078" w:type="dxa"/>
            <w:tcBorders>
              <w:top w:val="single" w:sz="4" w:space="0" w:color="000000"/>
              <w:left w:val="single" w:sz="4" w:space="0" w:color="000000"/>
              <w:bottom w:val="single" w:sz="4" w:space="0" w:color="000000"/>
            </w:tcBorders>
            <w:shd w:color="auto" w:fill="DDDDDD" w:val="clear"/>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bCs/>
                <w:color w:val="000000"/>
                <w:sz w:val="20"/>
                <w:szCs w:val="20"/>
                <w:lang w:eastAsia="pt-BR"/>
              </w:rPr>
              <w:t>UNID</w:t>
            </w:r>
          </w:p>
          <w:p>
            <w:pPr>
              <w:pStyle w:val="Normal"/>
              <w:keepNext w:val="false"/>
              <w:keepLines w:val="false"/>
              <w:widowControl w:val="false"/>
              <w:suppressAutoHyphens w:val="true"/>
              <w:ind w:hanging="0" w:left="0"/>
              <w:jc w:val="center"/>
              <w:rPr>
                <w:sz w:val="20"/>
                <w:szCs w:val="20"/>
              </w:rPr>
            </w:pPr>
            <w:r>
              <w:rPr>
                <w:rFonts w:cs="Calibri" w:ascii="Calibri" w:hAnsi="Calibri"/>
                <w:b/>
                <w:bCs/>
                <w:color w:val="000000"/>
                <w:sz w:val="20"/>
                <w:szCs w:val="20"/>
                <w:lang w:eastAsia="pt-BR"/>
              </w:rPr>
              <w:t>MEDIDA</w:t>
            </w:r>
          </w:p>
        </w:tc>
        <w:tc>
          <w:tcPr>
            <w:tcW w:w="908" w:type="dxa"/>
            <w:tcBorders>
              <w:top w:val="single" w:sz="4" w:space="0" w:color="000000"/>
              <w:left w:val="single" w:sz="4" w:space="0" w:color="000000"/>
              <w:bottom w:val="single" w:sz="4" w:space="0" w:color="000000"/>
            </w:tcBorders>
            <w:shd w:color="auto" w:fill="DDDDDD" w:val="clear"/>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bCs/>
                <w:color w:val="000000"/>
                <w:sz w:val="20"/>
                <w:szCs w:val="20"/>
                <w:lang w:eastAsia="pt-BR"/>
              </w:rPr>
              <w:t>QTDE</w:t>
            </w:r>
          </w:p>
        </w:tc>
        <w:tc>
          <w:tcPr>
            <w:tcW w:w="1194" w:type="dxa"/>
            <w:tcBorders>
              <w:top w:val="single" w:sz="4" w:space="0" w:color="000000"/>
              <w:left w:val="single" w:sz="4" w:space="0" w:color="000000"/>
              <w:bottom w:val="single" w:sz="4" w:space="0" w:color="000000"/>
            </w:tcBorders>
            <w:shd w:color="auto" w:fill="DDDDDD" w:val="clear"/>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bCs/>
                <w:color w:val="000000"/>
                <w:sz w:val="20"/>
                <w:szCs w:val="20"/>
                <w:lang w:eastAsia="pt-BR"/>
              </w:rPr>
              <w:t xml:space="preserve">R$ </w:t>
            </w:r>
            <w:r>
              <w:rPr>
                <w:rFonts w:cs="Calibri" w:ascii="Calibri" w:hAnsi="Calibri"/>
                <w:b/>
                <w:bCs/>
                <w:color w:val="000000"/>
                <w:sz w:val="20"/>
                <w:szCs w:val="20"/>
                <w:lang w:eastAsia="pt-BR"/>
              </w:rPr>
              <w:t>UNIT</w:t>
            </w:r>
          </w:p>
        </w:tc>
        <w:tc>
          <w:tcPr>
            <w:tcW w:w="1390" w:type="dxa"/>
            <w:tcBorders>
              <w:top w:val="single" w:sz="4" w:space="0" w:color="000000"/>
              <w:left w:val="single" w:sz="4" w:space="0" w:color="000000"/>
              <w:bottom w:val="single" w:sz="4" w:space="0" w:color="000000"/>
              <w:right w:val="single" w:sz="4" w:space="0" w:color="000000"/>
            </w:tcBorders>
            <w:shd w:color="auto" w:fill="DDDDDD" w:val="clear"/>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bCs/>
                <w:color w:val="000000"/>
                <w:sz w:val="20"/>
                <w:szCs w:val="20"/>
                <w:lang w:eastAsia="pt-BR"/>
              </w:rPr>
              <w:t>R$</w:t>
            </w:r>
          </w:p>
          <w:p>
            <w:pPr>
              <w:pStyle w:val="Normal"/>
              <w:keepNext w:val="false"/>
              <w:keepLines w:val="false"/>
              <w:widowControl w:val="false"/>
              <w:suppressAutoHyphens w:val="true"/>
              <w:ind w:hanging="0" w:left="0"/>
              <w:jc w:val="center"/>
              <w:rPr>
                <w:sz w:val="20"/>
                <w:szCs w:val="20"/>
              </w:rPr>
            </w:pPr>
            <w:r>
              <w:rPr>
                <w:rFonts w:cs="Calibri" w:ascii="Calibri" w:hAnsi="Calibri"/>
                <w:b/>
                <w:bCs/>
                <w:color w:val="000000"/>
                <w:sz w:val="20"/>
                <w:szCs w:val="20"/>
                <w:lang w:eastAsia="pt-BR"/>
              </w:rPr>
              <w:t>TOTAL</w:t>
            </w:r>
          </w:p>
        </w:tc>
      </w:tr>
      <w:tr>
        <w:trPr>
          <w:trHeight w:val="682" w:hRule="atLeast"/>
        </w:trPr>
        <w:tc>
          <w:tcPr>
            <w:tcW w:w="682"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01</w:t>
            </w:r>
          </w:p>
        </w:tc>
        <w:tc>
          <w:tcPr>
            <w:tcW w:w="4936"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both"/>
              <w:rPr>
                <w:sz w:val="20"/>
                <w:szCs w:val="20"/>
              </w:rPr>
            </w:pPr>
            <w:r>
              <w:rPr>
                <w:rFonts w:cs="Calibri" w:ascii="Calibri" w:hAnsi="Calibri"/>
                <w:b w:val="false"/>
                <w:bCs w:val="false"/>
                <w:color w:val="000000"/>
                <w:sz w:val="20"/>
                <w:szCs w:val="20"/>
                <w:lang w:eastAsia="pt-BR"/>
              </w:rPr>
              <w:t>ÓLEO LUBRIFICANTE PARA MOTOR A GASOLINA/ETANOL, MINERAL, VISCOSIDADE SAE 20W50, CLASSIFICAÇÃO API SL OU SUPERIOR, EMBALAGEM DE 1 LITRO.</w:t>
            </w:r>
          </w:p>
        </w:tc>
        <w:tc>
          <w:tcPr>
            <w:tcW w:w="107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UNIDADE</w:t>
            </w:r>
          </w:p>
        </w:tc>
        <w:tc>
          <w:tcPr>
            <w:tcW w:w="90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150</w:t>
            </w:r>
          </w:p>
        </w:tc>
        <w:tc>
          <w:tcPr>
            <w:tcW w:w="1194" w:type="dxa"/>
            <w:tcBorders>
              <w:left w:val="single" w:sz="4" w:space="0" w:color="000000"/>
              <w:bottom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c>
          <w:tcPr>
            <w:tcW w:w="1390" w:type="dxa"/>
            <w:tcBorders>
              <w:left w:val="single" w:sz="4" w:space="0" w:color="000000"/>
              <w:bottom w:val="single" w:sz="4" w:space="0" w:color="000000"/>
              <w:right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r>
      <w:tr>
        <w:trPr>
          <w:trHeight w:val="593" w:hRule="atLeast"/>
        </w:trPr>
        <w:tc>
          <w:tcPr>
            <w:tcW w:w="682"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02</w:t>
            </w:r>
          </w:p>
        </w:tc>
        <w:tc>
          <w:tcPr>
            <w:tcW w:w="4936"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both"/>
              <w:rPr>
                <w:sz w:val="20"/>
                <w:szCs w:val="20"/>
              </w:rPr>
            </w:pPr>
            <w:r>
              <w:rPr>
                <w:rFonts w:cs="Calibri" w:ascii="Calibri" w:hAnsi="Calibri"/>
                <w:b w:val="false"/>
                <w:bCs w:val="false"/>
                <w:color w:val="000000"/>
                <w:sz w:val="20"/>
                <w:szCs w:val="20"/>
                <w:lang w:eastAsia="pt-BR"/>
              </w:rPr>
              <w:t>ÓLEO LUBRIFICANTE PARA MOTOR DIESEL, 100% SINTÉTICO, VISCOSIDADE SAE 5W30, COMPATÍVEL COM SISTEMAS DPF, CLASSIFICAÇÃO API CJ-4 OU SUPERIOR, EMBALAGEM DE 1 LITRO.</w:t>
            </w:r>
          </w:p>
        </w:tc>
        <w:tc>
          <w:tcPr>
            <w:tcW w:w="107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UNIDADE</w:t>
            </w:r>
          </w:p>
        </w:tc>
        <w:tc>
          <w:tcPr>
            <w:tcW w:w="90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200</w:t>
            </w:r>
          </w:p>
        </w:tc>
        <w:tc>
          <w:tcPr>
            <w:tcW w:w="1194" w:type="dxa"/>
            <w:tcBorders>
              <w:left w:val="single" w:sz="4" w:space="0" w:color="000000"/>
              <w:bottom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c>
          <w:tcPr>
            <w:tcW w:w="1390" w:type="dxa"/>
            <w:tcBorders>
              <w:left w:val="single" w:sz="4" w:space="0" w:color="000000"/>
              <w:bottom w:val="single" w:sz="4" w:space="0" w:color="000000"/>
              <w:right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r>
      <w:tr>
        <w:trPr>
          <w:trHeight w:val="593" w:hRule="atLeast"/>
        </w:trPr>
        <w:tc>
          <w:tcPr>
            <w:tcW w:w="682"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03</w:t>
            </w:r>
          </w:p>
        </w:tc>
        <w:tc>
          <w:tcPr>
            <w:tcW w:w="4936"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both"/>
              <w:rPr>
                <w:sz w:val="20"/>
                <w:szCs w:val="20"/>
              </w:rPr>
            </w:pPr>
            <w:r>
              <w:rPr>
                <w:rFonts w:cs="Calibri" w:ascii="Calibri" w:hAnsi="Calibri"/>
                <w:b w:val="false"/>
                <w:bCs w:val="false"/>
                <w:color w:val="000000"/>
                <w:sz w:val="20"/>
                <w:szCs w:val="20"/>
                <w:lang w:eastAsia="pt-BR"/>
              </w:rPr>
              <w:t>ÓLEO LUBRIFICANTE PARA TRANSMISSÃO, VISCOSIDADE SAE 50, INDICADO PARA CAIXAS DE TRANSMISSÃO E SISTEMAS MECÂNICOS, EMBALAGEM DE 20 LITROS.</w:t>
            </w:r>
          </w:p>
        </w:tc>
        <w:tc>
          <w:tcPr>
            <w:tcW w:w="107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UNIDADE</w:t>
            </w:r>
          </w:p>
        </w:tc>
        <w:tc>
          <w:tcPr>
            <w:tcW w:w="90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25</w:t>
            </w:r>
          </w:p>
        </w:tc>
        <w:tc>
          <w:tcPr>
            <w:tcW w:w="1194" w:type="dxa"/>
            <w:tcBorders>
              <w:left w:val="single" w:sz="4" w:space="0" w:color="000000"/>
              <w:bottom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c>
          <w:tcPr>
            <w:tcW w:w="1390" w:type="dxa"/>
            <w:tcBorders>
              <w:left w:val="single" w:sz="4" w:space="0" w:color="000000"/>
              <w:bottom w:val="single" w:sz="4" w:space="0" w:color="000000"/>
              <w:right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r>
      <w:tr>
        <w:trPr>
          <w:trHeight w:val="593" w:hRule="atLeast"/>
        </w:trPr>
        <w:tc>
          <w:tcPr>
            <w:tcW w:w="682"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04</w:t>
            </w:r>
          </w:p>
        </w:tc>
        <w:tc>
          <w:tcPr>
            <w:tcW w:w="4936"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both"/>
              <w:rPr>
                <w:sz w:val="20"/>
                <w:szCs w:val="20"/>
              </w:rPr>
            </w:pPr>
            <w:r>
              <w:rPr>
                <w:rFonts w:cs="Calibri" w:ascii="Calibri" w:hAnsi="Calibri"/>
                <w:b w:val="false"/>
                <w:bCs w:val="false"/>
                <w:color w:val="000000"/>
                <w:sz w:val="20"/>
                <w:szCs w:val="20"/>
                <w:lang w:eastAsia="pt-BR"/>
              </w:rPr>
              <w:t>ÓLEO LUBRIFICANTE PARA TRANSMISSÃO, VISCOSIDADE SAE 30, INDICADO PARA CAIXAS DE TRANSMISSÃO E SISTEMAS MECÂNICOS, EMBALAGEM DE 20 LITROS.</w:t>
            </w:r>
          </w:p>
        </w:tc>
        <w:tc>
          <w:tcPr>
            <w:tcW w:w="107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UNIDADE</w:t>
            </w:r>
          </w:p>
        </w:tc>
        <w:tc>
          <w:tcPr>
            <w:tcW w:w="90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20</w:t>
            </w:r>
          </w:p>
        </w:tc>
        <w:tc>
          <w:tcPr>
            <w:tcW w:w="1194" w:type="dxa"/>
            <w:tcBorders>
              <w:left w:val="single" w:sz="4" w:space="0" w:color="000000"/>
              <w:bottom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c>
          <w:tcPr>
            <w:tcW w:w="1390" w:type="dxa"/>
            <w:tcBorders>
              <w:left w:val="single" w:sz="4" w:space="0" w:color="000000"/>
              <w:bottom w:val="single" w:sz="4" w:space="0" w:color="000000"/>
              <w:right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r>
      <w:tr>
        <w:trPr>
          <w:trHeight w:val="593" w:hRule="atLeast"/>
        </w:trPr>
        <w:tc>
          <w:tcPr>
            <w:tcW w:w="682"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05</w:t>
            </w:r>
          </w:p>
        </w:tc>
        <w:tc>
          <w:tcPr>
            <w:tcW w:w="4936" w:type="dxa"/>
            <w:tcBorders>
              <w:left w:val="single" w:sz="4" w:space="0" w:color="000000"/>
              <w:bottom w:val="single" w:sz="4" w:space="0" w:color="000000"/>
            </w:tcBorders>
            <w:vAlign w:val="center"/>
          </w:tcPr>
          <w:p>
            <w:pPr>
              <w:pStyle w:val="Normal"/>
              <w:keepNext w:val="false"/>
              <w:keepLines w:val="false"/>
              <w:widowControl w:val="false"/>
              <w:suppressAutoHyphens w:val="true"/>
              <w:spacing w:lineRule="auto" w:line="240"/>
              <w:ind w:hanging="0" w:left="0"/>
              <w:jc w:val="both"/>
              <w:rPr>
                <w:sz w:val="20"/>
                <w:szCs w:val="20"/>
              </w:rPr>
            </w:pPr>
            <w:r>
              <w:rPr>
                <w:rFonts w:cs="Calibri" w:ascii="Calibri" w:hAnsi="Calibri"/>
                <w:b w:val="false"/>
                <w:bCs w:val="false"/>
                <w:color w:val="000000"/>
                <w:sz w:val="20"/>
                <w:szCs w:val="20"/>
                <w:lang w:eastAsia="pt-BR"/>
              </w:rPr>
              <w:t>ÓLEO LUBRIFICANTE PARA MOTOR A GASOLINA/ETANOL, SEMISSINTÉTICO, VISCOSIDADE SAE 15W40, CLASSIFICAÇÃO API SL OU SUPERIOR, EMBALAGEM DE 1 LITRO.</w:t>
            </w:r>
          </w:p>
        </w:tc>
        <w:tc>
          <w:tcPr>
            <w:tcW w:w="107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UNIDADE</w:t>
            </w:r>
          </w:p>
        </w:tc>
        <w:tc>
          <w:tcPr>
            <w:tcW w:w="90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200</w:t>
            </w:r>
          </w:p>
        </w:tc>
        <w:tc>
          <w:tcPr>
            <w:tcW w:w="1194" w:type="dxa"/>
            <w:tcBorders>
              <w:left w:val="single" w:sz="4" w:space="0" w:color="000000"/>
              <w:bottom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c>
          <w:tcPr>
            <w:tcW w:w="1390" w:type="dxa"/>
            <w:tcBorders>
              <w:left w:val="single" w:sz="4" w:space="0" w:color="000000"/>
              <w:bottom w:val="single" w:sz="4" w:space="0" w:color="000000"/>
              <w:right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r>
      <w:tr>
        <w:trPr>
          <w:trHeight w:val="593" w:hRule="atLeast"/>
        </w:trPr>
        <w:tc>
          <w:tcPr>
            <w:tcW w:w="682"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06</w:t>
            </w:r>
          </w:p>
        </w:tc>
        <w:tc>
          <w:tcPr>
            <w:tcW w:w="4936"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both"/>
              <w:rPr>
                <w:sz w:val="20"/>
                <w:szCs w:val="20"/>
              </w:rPr>
            </w:pPr>
            <w:r>
              <w:rPr>
                <w:rFonts w:cs="Calibri" w:ascii="Calibri" w:hAnsi="Calibri"/>
                <w:b w:val="false"/>
                <w:bCs w:val="false"/>
                <w:color w:val="000000"/>
                <w:sz w:val="20"/>
                <w:szCs w:val="20"/>
                <w:lang w:eastAsia="pt-BR"/>
              </w:rPr>
              <w:t>LIMPA ALUMÍNIO CONCENTRADO, INDICADO PARA LIMPEZA DE SUPERFÍCIES DE ALUMÍNIO E METAIS, COM ALTO PODER DESOXIDANTE E DESENGRAXANTE, EMBALAGEM DE 200 LITROS.</w:t>
            </w:r>
          </w:p>
        </w:tc>
        <w:tc>
          <w:tcPr>
            <w:tcW w:w="107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UNIDADE</w:t>
            </w:r>
          </w:p>
        </w:tc>
        <w:tc>
          <w:tcPr>
            <w:tcW w:w="908" w:type="dxa"/>
            <w:tcBorders>
              <w:left w:val="single" w:sz="4" w:space="0" w:color="000000"/>
              <w:bottom w:val="single" w:sz="4" w:space="0" w:color="000000"/>
            </w:tcBorders>
            <w:vAlign w:val="center"/>
          </w:tcPr>
          <w:p>
            <w:pPr>
              <w:pStyle w:val="Normal"/>
              <w:keepNext w:val="false"/>
              <w:keepLines w:val="false"/>
              <w:widowControl w:val="false"/>
              <w:suppressAutoHyphens w:val="true"/>
              <w:ind w:hanging="0" w:left="0"/>
              <w:jc w:val="center"/>
              <w:rPr>
                <w:sz w:val="20"/>
                <w:szCs w:val="20"/>
              </w:rPr>
            </w:pPr>
            <w:r>
              <w:rPr>
                <w:rFonts w:cs="Calibri" w:ascii="Calibri" w:hAnsi="Calibri"/>
                <w:b w:val="false"/>
                <w:bCs w:val="false"/>
                <w:color w:val="000000"/>
                <w:sz w:val="20"/>
                <w:szCs w:val="20"/>
                <w:lang w:eastAsia="pt-BR"/>
              </w:rPr>
              <w:t>10</w:t>
            </w:r>
          </w:p>
        </w:tc>
        <w:tc>
          <w:tcPr>
            <w:tcW w:w="1194" w:type="dxa"/>
            <w:tcBorders>
              <w:left w:val="single" w:sz="4" w:space="0" w:color="000000"/>
              <w:bottom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c>
          <w:tcPr>
            <w:tcW w:w="1390" w:type="dxa"/>
            <w:tcBorders>
              <w:left w:val="single" w:sz="4" w:space="0" w:color="000000"/>
              <w:bottom w:val="single" w:sz="4" w:space="0" w:color="000000"/>
              <w:right w:val="single" w:sz="4" w:space="0" w:color="000000"/>
            </w:tcBorders>
            <w:vAlign w:val="center"/>
          </w:tcPr>
          <w:p>
            <w:pPr>
              <w:pStyle w:val="Normal"/>
              <w:keepNext w:val="false"/>
              <w:keepLines w:val="false"/>
              <w:widowControl w:val="false"/>
              <w:tabs>
                <w:tab w:val="clear" w:pos="720"/>
              </w:tabs>
              <w:suppressAutoHyphens w:val="true"/>
              <w:ind w:hanging="0" w:left="0"/>
              <w:jc w:val="center"/>
              <w:rPr>
                <w:rFonts w:ascii="Calibri" w:hAnsi="Calibri"/>
                <w:sz w:val="20"/>
                <w:szCs w:val="20"/>
              </w:rPr>
            </w:pPr>
            <w:r>
              <w:rPr>
                <w:rFonts w:ascii="Calibri" w:hAnsi="Calibri"/>
                <w:sz w:val="20"/>
                <w:szCs w:val="20"/>
              </w:rPr>
            </w:r>
          </w:p>
        </w:tc>
      </w:tr>
      <w:tr>
        <w:trPr>
          <w:trHeight w:val="285" w:hRule="atLeast"/>
        </w:trPr>
        <w:tc>
          <w:tcPr>
            <w:tcW w:w="10188" w:type="dxa"/>
            <w:gridSpan w:val="6"/>
            <w:tcBorders>
              <w:left w:val="single" w:sz="4" w:space="0" w:color="000000"/>
              <w:bottom w:val="single" w:sz="4" w:space="0" w:color="000000"/>
              <w:right w:val="single" w:sz="4" w:space="0" w:color="000000"/>
            </w:tcBorders>
            <w:shd w:color="auto" w:fill="DDDDDD" w:val="clear"/>
            <w:vAlign w:val="center"/>
          </w:tcPr>
          <w:p>
            <w:pPr>
              <w:pStyle w:val="Normal"/>
              <w:keepNext w:val="false"/>
              <w:keepLines w:val="false"/>
              <w:widowControl w:val="false"/>
              <w:suppressAutoHyphens w:val="true"/>
              <w:ind w:hanging="0" w:left="0"/>
              <w:jc w:val="center"/>
              <w:rPr/>
            </w:pPr>
            <w:r>
              <w:rPr>
                <w:rFonts w:cs="Calibri" w:ascii="Calibri" w:hAnsi="Calibri"/>
                <w:b/>
                <w:bCs/>
                <w:color w:val="000000"/>
                <w:sz w:val="20"/>
                <w:szCs w:val="20"/>
                <w:shd w:fill="auto" w:val="clear"/>
                <w:lang w:eastAsia="pt-BR"/>
              </w:rPr>
              <w:t xml:space="preserve">TOTAL GERAL: </w:t>
            </w:r>
            <w:r>
              <w:rPr>
                <w:rStyle w:val="Strong"/>
                <w:rFonts w:cs="Calibri" w:ascii="Calibri" w:hAnsi="Calibri"/>
                <w:b/>
                <w:bCs/>
                <w:color w:val="000000"/>
                <w:sz w:val="20"/>
                <w:szCs w:val="20"/>
                <w:shd w:fill="auto" w:val="clear"/>
                <w:lang w:eastAsia="pt-BR"/>
              </w:rPr>
              <w:t>R$</w:t>
            </w:r>
          </w:p>
        </w:tc>
      </w:tr>
    </w:tbl>
    <w:p>
      <w:pPr>
        <w:pStyle w:val="Normal"/>
        <w:keepNext w:val="false"/>
        <w:keepLines w:val="false"/>
        <w:widowControl w:val="false"/>
        <w:suppressAutoHyphens w:val="true"/>
        <w:ind w:hanging="0" w:left="0"/>
        <w:rPr>
          <w:rFonts w:ascii="Calibri" w:hAnsi="Calibri"/>
          <w:sz w:val="22"/>
          <w:szCs w:val="22"/>
        </w:rPr>
      </w:pPr>
      <w:r>
        <w:rPr>
          <w:rFonts w:ascii="Calibri" w:hAnsi="Calibri"/>
          <w:sz w:val="22"/>
          <w:szCs w:val="22"/>
        </w:rPr>
      </w:r>
    </w:p>
    <w:p>
      <w:pPr>
        <w:pStyle w:val="Primeiro"/>
        <w:keepNext w:val="false"/>
        <w:keepLines w:val="false"/>
        <w:widowControl w:val="false"/>
        <w:numPr>
          <w:ilvl w:val="0"/>
          <w:numId w:val="2"/>
        </w:numPr>
        <w:suppressAutoHyphens w:val="true"/>
        <w:ind w:hanging="0" w:left="0"/>
        <w:rPr/>
      </w:pPr>
      <w:r>
        <w:rPr/>
        <w:t>DA VIGÊNCIA.</w:t>
      </w:r>
    </w:p>
    <w:p>
      <w:pPr>
        <w:pStyle w:val="Corpo"/>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rFonts w:cs="Calibri" w:cstheme="minorHAnsi"/>
          <w:sz w:val="22"/>
          <w:szCs w:val="22"/>
        </w:rPr>
        <w:t xml:space="preserve">O </w:t>
      </w:r>
      <w:r>
        <w:rPr>
          <w:sz w:val="22"/>
          <w:szCs w:val="22"/>
        </w:rPr>
        <w:t xml:space="preserve">prazo de vigência da Ata de Registro de Preços será de 12 (doze) meses, contados a partir de sua assinatura, podendo ser prorrogado por igual período, nos termos do art. 84 da Lei Federal nº 14.133/2021. </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sz w:val="22"/>
          <w:szCs w:val="22"/>
        </w:rPr>
      </w:pPr>
      <w:r>
        <w:rPr>
          <w:rFonts w:cs="Calibri" w:cstheme="minorHAnsi"/>
          <w:sz w:val="22"/>
          <w:szCs w:val="22"/>
        </w:rPr>
      </w:r>
    </w:p>
    <w:p>
      <w:pPr>
        <w:pStyle w:val="Terceiro"/>
        <w:keepNext w:val="false"/>
        <w:keepLines w:val="false"/>
        <w:widowControl w:val="false"/>
        <w:numPr>
          <w:ilvl w:val="2"/>
          <w:numId w:val="2"/>
        </w:numPr>
        <w:suppressAutoHyphens w:val="true"/>
        <w:bidi w:val="0"/>
        <w:spacing w:before="0" w:after="0"/>
        <w:ind w:hanging="0" w:left="0"/>
        <w:rPr/>
      </w:pPr>
      <w:r>
        <w:rPr>
          <w:rFonts w:eastAsia="Calibri" w:cs="Calibri" w:cstheme="minorHAnsi"/>
          <w:sz w:val="22"/>
          <w:szCs w:val="22"/>
        </w:rPr>
        <w:t xml:space="preserve">A prorrogação da Ata de Registro de Preços ficará condicionada à manutenção das condições que </w:t>
      </w:r>
      <w:r>
        <w:rPr>
          <w:color w:val="auto"/>
          <w:kern w:val="0"/>
          <w:sz w:val="22"/>
          <w:szCs w:val="22"/>
          <w:lang w:val="pt-BR" w:eastAsia="en-US" w:bidi="ar-SA"/>
        </w:rPr>
        <w:t>justificaram</w:t>
      </w:r>
      <w:r>
        <w:rPr>
          <w:rFonts w:eastAsia="Calibri" w:cs="Calibri" w:cstheme="minorHAnsi"/>
          <w:sz w:val="22"/>
          <w:szCs w:val="22"/>
        </w:rPr>
        <w:t xml:space="preserve"> a </w:t>
      </w:r>
      <w:r>
        <w:rPr>
          <w:color w:val="auto"/>
          <w:kern w:val="0"/>
          <w:sz w:val="22"/>
          <w:szCs w:val="22"/>
          <w:lang w:val="pt-BR" w:eastAsia="en-US" w:bidi="ar-SA"/>
        </w:rPr>
        <w:t>contratação</w:t>
      </w:r>
      <w:r>
        <w:rPr>
          <w:rFonts w:eastAsia="Calibri" w:cs="Calibri" w:cstheme="minorHAnsi"/>
          <w:sz w:val="22"/>
          <w:szCs w:val="22"/>
        </w:rPr>
        <w:t>, à disponibilidade orçamentária e à concordância do fornecedor, devidamente formalizada.</w:t>
      </w:r>
    </w:p>
    <w:p>
      <w:pPr>
        <w:pStyle w:val="Terceiro"/>
        <w:keepNext w:val="false"/>
        <w:keepLines w:val="false"/>
        <w:widowControl w:val="false"/>
        <w:numPr>
          <w:ilvl w:val="0"/>
          <w:numId w:val="0"/>
        </w:numPr>
        <w:suppressAutoHyphens w:val="true"/>
        <w:bidi w:val="0"/>
        <w:spacing w:before="0" w:after="0"/>
        <w:ind w:hanging="0" w:left="0"/>
        <w:rPr>
          <w:rFonts w:ascii="Calibri" w:hAnsi="Calibri" w:cs="Calibri" w:asciiTheme="minorHAnsi" w:cstheme="minorHAnsi" w:hAnsiTheme="minorHAnsi"/>
        </w:rPr>
      </w:pPr>
      <w:r>
        <w:rPr>
          <w:rFonts w:cs="Calibri" w:cstheme="minorHAnsi"/>
        </w:rPr>
      </w:r>
    </w:p>
    <w:p>
      <w:pPr>
        <w:pStyle w:val="Terceiro"/>
        <w:keepNext w:val="false"/>
        <w:keepLines w:val="false"/>
        <w:widowControl w:val="false"/>
        <w:numPr>
          <w:ilvl w:val="2"/>
          <w:numId w:val="2"/>
        </w:numPr>
        <w:suppressAutoHyphens w:val="true"/>
        <w:bidi w:val="0"/>
        <w:spacing w:before="0" w:after="0"/>
        <w:ind w:hanging="0" w:left="0"/>
        <w:rPr/>
      </w:pPr>
      <w:r>
        <w:rPr>
          <w:rFonts w:eastAsia="Calibri" w:cs="Calibri" w:cstheme="minorHAnsi"/>
          <w:sz w:val="22"/>
          <w:szCs w:val="22"/>
        </w:rPr>
        <w:t>Em</w:t>
      </w:r>
      <w:r>
        <w:rPr>
          <w:sz w:val="22"/>
          <w:szCs w:val="22"/>
        </w:rPr>
        <w:t xml:space="preserve"> caso de prorrogação da Ata de Registro de Preços, os saldos remanescentes não serão aproveitados, iniciando-se nova vigência com novos quantitativos. </w:t>
      </w:r>
    </w:p>
    <w:p>
      <w:pPr>
        <w:pStyle w:val="Corpo"/>
        <w:keepNext w:val="false"/>
        <w:keepLines w:val="false"/>
        <w:widowControl w:val="false"/>
        <w:suppressAutoHyphens w:val="true"/>
        <w:ind w:hanging="0" w:left="0"/>
        <w:rPr/>
      </w:pPr>
      <w:r>
        <w:rPr/>
      </w:r>
    </w:p>
    <w:p>
      <w:pPr>
        <w:pStyle w:val="Primeiro"/>
        <w:keepNext w:val="false"/>
        <w:keepLines w:val="false"/>
        <w:widowControl w:val="false"/>
        <w:numPr>
          <w:ilvl w:val="0"/>
          <w:numId w:val="2"/>
        </w:numPr>
        <w:suppressAutoHyphens w:val="true"/>
        <w:ind w:hanging="0" w:left="0"/>
        <w:rPr/>
      </w:pPr>
      <w:r>
        <w:rPr/>
        <w:t>DOS REQUISITOS, LOCAL E PRAZO DE ENTREGA.</w:t>
      </w:r>
    </w:p>
    <w:p>
      <w:pPr>
        <w:pStyle w:val="Corpo"/>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O</w:t>
      </w:r>
      <w:r>
        <w:rPr>
          <w:rFonts w:eastAsia="Calibri" w:cs="Calibri"/>
          <w:color w:val="000000"/>
          <w:sz w:val="22"/>
          <w:szCs w:val="22"/>
        </w:rPr>
        <w:t>s produtos deverão ser entregues conforme solicitação da Administração, de acordo com sua necessidade, devendo atender rigorosamente às especificações técnicas descritas neste Termo de Referência.</w:t>
      </w:r>
    </w:p>
    <w:p>
      <w:pPr>
        <w:pStyle w:val="Segundo"/>
        <w:keepNext w:val="false"/>
        <w:keepLines w:val="false"/>
        <w:widowControl w:val="false"/>
        <w:numPr>
          <w:ilvl w:val="0"/>
          <w:numId w:val="0"/>
        </w:numPr>
        <w:suppressAutoHyphens w:val="true"/>
        <w:ind w:hanging="0" w:left="0"/>
        <w:rPr>
          <w:rFonts w:ascii="Calibri" w:hAnsi="Calibri" w:eastAsia="Calibri" w:cs="Calibri"/>
          <w:color w:val="000000"/>
          <w:sz w:val="22"/>
          <w:szCs w:val="22"/>
        </w:rPr>
      </w:pPr>
      <w:r>
        <w:rPr>
          <w:rFonts w:eastAsia="Calibri" w:cs="Calibr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olor w:val="000000"/>
          <w:sz w:val="22"/>
          <w:szCs w:val="22"/>
        </w:rPr>
        <w:t>Após o recebimento da Ordem de Compra, ou documento equivalente, o licitante vencedor terá o prazo máximo de até 10 (dez) dias corridos para a entrega dos itens solicitados.</w:t>
      </w:r>
    </w:p>
    <w:p>
      <w:pPr>
        <w:pStyle w:val="Segundo"/>
        <w:keepNext w:val="false"/>
        <w:keepLines w:val="false"/>
        <w:widowControl w:val="false"/>
        <w:numPr>
          <w:ilvl w:val="0"/>
          <w:numId w:val="0"/>
        </w:numPr>
        <w:suppressAutoHyphens w:val="true"/>
        <w:ind w:hanging="0" w:left="0"/>
        <w:rPr>
          <w:rFonts w:ascii="Calibri" w:hAnsi="Calibri" w:eastAsia="Calibri" w:cs="Calibri"/>
          <w:color w:val="000000"/>
          <w:sz w:val="22"/>
          <w:szCs w:val="22"/>
        </w:rPr>
      </w:pPr>
      <w:r>
        <w:rPr>
          <w:rFonts w:eastAsia="Calibri" w:cs="Calibr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olor w:val="000000"/>
          <w:sz w:val="22"/>
          <w:szCs w:val="22"/>
        </w:rPr>
        <w:t>As entregas deverão ser realizadas diretamente na Secretaria de Obras, Transportes e Serviços Urbanos do Município de Botuverá/SC, ou em local previamente indicado na Ordem de Compra, sendo o transporte, carga e descarga de responsabilidade do licitante vencedor.</w:t>
      </w:r>
    </w:p>
    <w:p>
      <w:pPr>
        <w:pStyle w:val="Segundo"/>
        <w:keepNext w:val="false"/>
        <w:keepLines w:val="false"/>
        <w:widowControl w:val="false"/>
        <w:numPr>
          <w:ilvl w:val="0"/>
          <w:numId w:val="0"/>
        </w:numPr>
        <w:suppressAutoHyphens w:val="true"/>
        <w:ind w:hanging="0" w:left="0"/>
        <w:rPr>
          <w:rFonts w:ascii="Calibri" w:hAnsi="Calibri" w:eastAsia="Calibri" w:cs="Calibri"/>
          <w:color w:val="000000"/>
          <w:sz w:val="22"/>
          <w:szCs w:val="22"/>
        </w:rPr>
      </w:pPr>
      <w:r>
        <w:rPr>
          <w:rFonts w:eastAsia="Calibri" w:cs="Calibr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olor w:val="000000"/>
          <w:sz w:val="22"/>
          <w:szCs w:val="22"/>
        </w:rPr>
        <w:t>Os produtos deverão ser entregues em embalagens originais, lacradas, em perfeitas condições de conservação e uso, acompanhados da respectiva nota fiscal.</w:t>
      </w:r>
    </w:p>
    <w:p>
      <w:pPr>
        <w:pStyle w:val="Segundo"/>
        <w:keepNext w:val="false"/>
        <w:keepLines w:val="false"/>
        <w:widowControl w:val="false"/>
        <w:numPr>
          <w:ilvl w:val="0"/>
          <w:numId w:val="0"/>
        </w:numPr>
        <w:suppressAutoHyphens w:val="true"/>
        <w:ind w:hanging="0" w:left="0"/>
        <w:rPr>
          <w:rFonts w:ascii="Calibri" w:hAnsi="Calibri" w:eastAsia="Calibri" w:cs="Calibri"/>
          <w:color w:val="000000"/>
          <w:sz w:val="22"/>
          <w:szCs w:val="22"/>
        </w:rPr>
      </w:pPr>
      <w:r>
        <w:rPr>
          <w:rFonts w:eastAsia="Calibri" w:cs="Calibr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olor w:val="000000"/>
          <w:sz w:val="22"/>
          <w:szCs w:val="22"/>
        </w:rPr>
        <w:t>Todos os produtos deverão estar em conformidade com as normas técnicas aplicáveis, tais como ABNT, INMETRO, API, SAE, ISO, entre outras, observando critérios de qualidade, segurança e desempenho adequados à sua finalidade.</w:t>
      </w:r>
    </w:p>
    <w:p>
      <w:pPr>
        <w:pStyle w:val="Segundo"/>
        <w:keepNext w:val="false"/>
        <w:keepLines w:val="false"/>
        <w:widowControl w:val="false"/>
        <w:numPr>
          <w:ilvl w:val="0"/>
          <w:numId w:val="0"/>
        </w:numPr>
        <w:suppressAutoHyphens w:val="true"/>
        <w:ind w:hanging="0" w:left="0"/>
        <w:rPr>
          <w:rFonts w:ascii="Calibri" w:hAnsi="Calibri" w:eastAsia="Calibri" w:cs="Calibri"/>
          <w:color w:val="000000"/>
          <w:sz w:val="22"/>
          <w:szCs w:val="22"/>
        </w:rPr>
      </w:pPr>
      <w:r>
        <w:rPr>
          <w:rFonts w:eastAsia="Calibri" w:cs="Calibr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olor w:val="000000"/>
          <w:sz w:val="22"/>
          <w:szCs w:val="22"/>
        </w:rPr>
        <w:t>Não serão aceitos produtos fora das especificações, com indícios de adulteração, recondicionamento ou em desacordo com o solicitado, ficando o pagamento condicionado ao atendimento integral das exigências.</w:t>
      </w:r>
    </w:p>
    <w:p>
      <w:pPr>
        <w:pStyle w:val="Segundo"/>
        <w:keepNext w:val="false"/>
        <w:keepLines w:val="false"/>
        <w:widowControl w:val="false"/>
        <w:numPr>
          <w:ilvl w:val="0"/>
          <w:numId w:val="0"/>
        </w:numPr>
        <w:suppressAutoHyphens w:val="true"/>
        <w:ind w:hanging="0" w:left="0"/>
        <w:rPr>
          <w:rFonts w:ascii="Calibri" w:hAnsi="Calibri" w:eastAsia="Calibri" w:cs="Calibri"/>
          <w:color w:val="000000"/>
          <w:sz w:val="22"/>
          <w:szCs w:val="22"/>
        </w:rPr>
      </w:pPr>
      <w:r>
        <w:rPr>
          <w:rFonts w:eastAsia="Calibri" w:cs="Calibr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olor w:val="000000"/>
          <w:sz w:val="22"/>
          <w:szCs w:val="22"/>
        </w:rPr>
        <w:t>Os produtos entregues em desacordo com as especificações deverão ser substituídos pelo licitante vencedor no prazo máximo de 48 (quarenta e oito) horas, às suas expensas.</w:t>
      </w:r>
    </w:p>
    <w:p>
      <w:pPr>
        <w:pStyle w:val="Segundo"/>
        <w:keepNext w:val="false"/>
        <w:keepLines w:val="false"/>
        <w:widowControl w:val="false"/>
        <w:numPr>
          <w:ilvl w:val="0"/>
          <w:numId w:val="0"/>
        </w:numPr>
        <w:suppressAutoHyphens w:val="true"/>
        <w:ind w:hanging="0" w:left="0"/>
        <w:rPr>
          <w:rFonts w:ascii="Calibri" w:hAnsi="Calibri" w:eastAsia="Calibri" w:cs="Calibri"/>
          <w:color w:val="000000"/>
          <w:sz w:val="22"/>
          <w:szCs w:val="22"/>
        </w:rPr>
      </w:pPr>
      <w:r>
        <w:rPr>
          <w:rFonts w:eastAsia="Calibri" w:cs="Calibr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olor w:val="000000"/>
          <w:sz w:val="22"/>
          <w:szCs w:val="22"/>
        </w:rPr>
        <w:t>O recebimento dos produtos será realizado de forma provisória no ato da entrega, sendo o recebimento definitivo condicionado à verificação da conformidade com as especificações e quantidades contratadas.</w:t>
      </w:r>
    </w:p>
    <w:p>
      <w:pPr>
        <w:pStyle w:val="Segundo"/>
        <w:keepNext w:val="false"/>
        <w:keepLines w:val="false"/>
        <w:widowControl w:val="false"/>
        <w:numPr>
          <w:ilvl w:val="0"/>
          <w:numId w:val="0"/>
        </w:numPr>
        <w:suppressAutoHyphens w:val="true"/>
        <w:ind w:hanging="0" w:left="0"/>
        <w:rPr>
          <w:rFonts w:ascii="Calibri" w:hAnsi="Calibri" w:eastAsia="Calibri" w:cs="Calibri"/>
          <w:color w:val="000000"/>
          <w:sz w:val="22"/>
          <w:szCs w:val="22"/>
        </w:rPr>
      </w:pPr>
      <w:r>
        <w:rPr>
          <w:rFonts w:eastAsia="Calibri" w:cs="Calibr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olor w:val="000000"/>
          <w:sz w:val="22"/>
          <w:szCs w:val="22"/>
        </w:rPr>
        <w:t>O licitante vencedor deverá comunicar previamente à Administração, com antecedência mínima de 24 (vinte e quatro) horas, qualquer fato que possa ocasionar atraso na entrega dos produtos.</w:t>
      </w:r>
    </w:p>
    <w:p>
      <w:pPr>
        <w:pStyle w:val="Segundo"/>
        <w:keepNext w:val="false"/>
        <w:keepLines w:val="false"/>
        <w:widowControl w:val="false"/>
        <w:numPr>
          <w:ilvl w:val="0"/>
          <w:numId w:val="0"/>
        </w:numPr>
        <w:suppressAutoHyphens w:val="true"/>
        <w:ind w:hanging="0" w:left="0"/>
        <w:rPr/>
      </w:pPr>
      <w:r>
        <w:rPr/>
      </w:r>
    </w:p>
    <w:p>
      <w:pPr>
        <w:pStyle w:val="Primeiro"/>
        <w:keepNext w:val="false"/>
        <w:keepLines w:val="false"/>
        <w:widowControl w:val="false"/>
        <w:numPr>
          <w:ilvl w:val="0"/>
          <w:numId w:val="2"/>
        </w:numPr>
        <w:suppressAutoHyphens w:val="true"/>
        <w:ind w:hanging="0" w:left="0"/>
        <w:rPr/>
      </w:pPr>
      <w:r>
        <w:rPr>
          <w:rFonts w:cs="Calibri" w:cstheme="minorHAnsi"/>
        </w:rPr>
        <w:t>DAS OBRIGAÇÕES.</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Segundo"/>
        <w:keepNext w:val="false"/>
        <w:keepLines w:val="false"/>
        <w:widowControl w:val="false"/>
        <w:numPr>
          <w:ilvl w:val="1"/>
          <w:numId w:val="2"/>
        </w:numPr>
        <w:suppressAutoHyphens w:val="true"/>
        <w:ind w:hanging="0" w:left="0"/>
        <w:rPr/>
      </w:pPr>
      <w:r>
        <w:rPr>
          <w:rFonts w:cs="Calibri" w:cstheme="minorHAnsi"/>
          <w:b/>
          <w:bCs/>
        </w:rPr>
        <w:t>OBRIGAÇÃO DAS PARTES:</w:t>
      </w:r>
    </w:p>
    <w:p>
      <w:pPr>
        <w:pStyle w:val="ListParagraph"/>
        <w:keepNext w:val="false"/>
        <w:keepLines w:val="false"/>
        <w:widowControl w:val="false"/>
        <w:suppressAutoHyphens w:val="true"/>
        <w:ind w:hanging="0" w:left="0"/>
        <w:rPr>
          <w:rFonts w:ascii="Calibri" w:hAnsi="Calibri" w:cs="Calibri" w:asciiTheme="minorHAnsi" w:cstheme="minorHAnsi" w:hAnsiTheme="minorHAnsi"/>
          <w:b/>
          <w:bCs/>
        </w:rPr>
      </w:pPr>
      <w:r>
        <w:rPr>
          <w:rFonts w:cs="Calibri" w:cstheme="minorHAnsi" w:ascii="Calibri" w:hAnsi="Calibri"/>
          <w:b/>
          <w:bCs/>
        </w:rPr>
      </w:r>
    </w:p>
    <w:p>
      <w:pPr>
        <w:pStyle w:val="Terceiro"/>
        <w:keepNext w:val="false"/>
        <w:keepLines w:val="false"/>
        <w:widowControl w:val="false"/>
        <w:numPr>
          <w:ilvl w:val="2"/>
          <w:numId w:val="2"/>
        </w:numPr>
        <w:suppressAutoHyphens w:val="true"/>
        <w:ind w:hanging="0" w:left="0"/>
        <w:rPr/>
      </w:pPr>
      <w:r>
        <w:rPr>
          <w:rFonts w:cs="Calibri" w:cstheme="minorHAnsi"/>
        </w:rPr>
        <w:t>Das obrigações da Administração:</w:t>
      </w:r>
    </w:p>
    <w:p>
      <w:pPr>
        <w:pStyle w:val="Terceir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Assegurar os recursos orçamentários e financeiros para custear o fornecimento do objeto contratado.</w:t>
      </w:r>
    </w:p>
    <w:p>
      <w:pPr>
        <w:pStyle w:val="Quart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Zelar para que durante a vigência da ARP – Ata de Registro de Preço sejam cumpridas as obrigações assumidas com o licitante vencedor, bem como sejam mantidas todas as condições de habilitação e qualificação exigidas na prestação.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 xml:space="preserve">Serão considerados para efeito de pagamento os </w:t>
      </w:r>
      <w:r>
        <w:rPr/>
        <w:t>equipamentos</w:t>
      </w:r>
      <w:r>
        <w:rPr>
          <w:rFonts w:cs="Calibri" w:cstheme="minorHAnsi"/>
        </w:rPr>
        <w:t xml:space="preserve"> efetivamente entregues pelo licitante vencedor desde que devidamente aprovados pelo fiscal de contrato responsável pelo recebimento.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 xml:space="preserve">O órgão gerenciador acompanhará, periodicamente, os preços praticados no mercado para os </w:t>
      </w:r>
      <w:r>
        <w:rPr/>
        <w:t>equipamentos</w:t>
      </w:r>
      <w:r>
        <w:rPr>
          <w:rFonts w:cs="Calibri" w:cstheme="minorHAnsi"/>
        </w:rPr>
        <w:t xml:space="preserve"> registrados, para fins de controle no que se refere ao valor máximo a ser pago pela Administração.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Dilatar o prazo de vigência da ARP – Ata de Registro de Preços, de ofício, através de termo aditivo, com a publicação oficial, observado o prazo legalmente permitido, quando os preços apresentaram mais vantajoso para a Administração e existirem demandas para atendimento do órgão usuário.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Emitir a Ordem de Compra, ou documento equivalente, com todas as informações necessárias, tais como: endereço de entrega, servidor responsável pelo recebimento, entre outras.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Proporcionar ao licitante vencedor todas as condições para o cumprimento de suas obrigações e execução da ARP - Ata de Registro de Preço dentro das normas estabelecidas no Edital.</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Proceder à fiscalização da contratação, mediante controle do cumprimento de toda as obrigações relativas ao fornecimento.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Rejeitar, no todo ou em parte, o objeto da contratação entregue em desacordo com as obrigações assumidas pelo detentor da ARP – Ata de Registro de Preços.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Acompanhar, controlar e avaliar a execução da ART – Ata de Registro de Preço através da fiscalização.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 xml:space="preserve">Zelar pela entrega e segurança dos </w:t>
      </w:r>
      <w:r>
        <w:rPr/>
        <w:t>equipamentos</w:t>
      </w:r>
      <w:r>
        <w:rPr>
          <w:rFonts w:cs="Calibri" w:cstheme="minorHAnsi"/>
        </w:rPr>
        <w:t>, não permitindo seu manuseio por pessoas não habilitadas.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Comprovar e relatar, por escrito, as eventuais irregularidades na entrega do objeto da contratação.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Das obrigações do Licitante Vencedor:</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Manter, durante toda a execução da ARP – Ata de Registro de Preços, a compatibilidade com as obrigações assumidas e todas as condições de habilitação e qualificação exigidas no Edital e seus anexos.</w:t>
      </w:r>
    </w:p>
    <w:p>
      <w:pPr>
        <w:pStyle w:val="Terceir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Entregar o objeto da contratação nos prazos estabelecidos, devidamente conferidos e acompanhados da nota fiscal corretamente preenchida.</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Demonstrar situação regular junto ao INSS, FGTS e Fazendas Federal, Estadual e Municipal, bem como não apresentar débitos trabalhistas.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Comunicar ao fiscal da ARP – Ata de Registro de Preços, no prazo mínimo de 24 (vinte e quatro) horas que antecedem o prazo de vencimento da entrega, os motivos que venham a impossibilitar o seu cumprimento, com a devida comprovação.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Assumir todos os encargos decorrentes da prestação do objeto, especialmente os referentes ao frete, taxas, seguros, encargos sociais e trabalhistas.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O licitante vencedor deverá assumir integral responsabilidade pelos danos decorrentes deste fornecimento, inclusive perante terceiros.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Comunicar, após assinatura da ARP – Ata de Registro de Preços, sempre que houver mudanças em seus meios de comunicação, tais como: e-mails e telefone, no intuito de possibilitar receber as notificações e comunicações da Administração.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Responsabilizar-se pelos danos causados diretamente à Administração ou terceiros.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 xml:space="preserve">Retirar e substituir </w:t>
      </w:r>
      <w:r>
        <w:rPr/>
        <w:t>equipamentos</w:t>
      </w:r>
      <w:r>
        <w:rPr>
          <w:rFonts w:cs="Calibri" w:cstheme="minorHAnsi"/>
        </w:rPr>
        <w:t>, sem ônus adicionais à Administração, após comunicado da mesma, no prazo máximo de 48 (quarenta e oito) horas, em relação àqueles que estejam com validade vencida e/ou que não estejam em conformidade com o Edital e seus anexos.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Atender prontamente quaisquer exigências da Administração, inerentes ao objeto deste Termo de Referência.</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Manter, durante a vigência da ARP – Ata de Registro de Preços, todas as condições de habilitação e qualificação exigidas no Edital e seus anexos.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Seguir rigorosamente o estabelecido no Edital e seus anexos.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Segundo"/>
        <w:keepNext w:val="false"/>
        <w:keepLines w:val="false"/>
        <w:widowControl w:val="false"/>
        <w:numPr>
          <w:ilvl w:val="1"/>
          <w:numId w:val="2"/>
        </w:numPr>
        <w:suppressAutoHyphens w:val="true"/>
        <w:ind w:hanging="0" w:left="0"/>
        <w:rPr/>
      </w:pPr>
      <w:r>
        <w:rPr>
          <w:rFonts w:cs="Calibri" w:cstheme="minorHAnsi"/>
        </w:rPr>
        <w:t>Garantia, manutenção e assistência técnica.</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Terceiro"/>
        <w:keepNext w:val="false"/>
        <w:keepLines w:val="false"/>
        <w:widowControl w:val="false"/>
        <w:numPr>
          <w:ilvl w:val="2"/>
          <w:numId w:val="2"/>
        </w:numPr>
        <w:suppressAutoHyphens w:val="true"/>
        <w:ind w:hanging="0" w:left="0"/>
        <w:rPr/>
      </w:pPr>
      <w:r>
        <w:rPr>
          <w:rFonts w:cs="Calibri" w:cstheme="minorHAnsi"/>
        </w:rPr>
        <w:t>O prazo de garantia do objeto entregue, quando aplicável, será de no mínimo 12 (doze) meses, contando a partir do primeiro dia útil subsequente à data de recebimento definitivo do objeto.</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Caso o prazo de garantia oferecido pelo fabricante seja inferior ao estabelecido no Edital e seus anexos, o licitante vencedor deverá complementar a garantia do objeto ofertado pelo período restante.</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A garantia será prestada com vistas a manter o objeto fornecido em perfeitas condições de uso, sem qualquer ônus ou custo adicional à Administração.</w:t>
      </w:r>
    </w:p>
    <w:p>
      <w:pPr>
        <w:pStyle w:val="Terceir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Terceiro"/>
        <w:keepNext w:val="false"/>
        <w:keepLines w:val="false"/>
        <w:widowControl w:val="false"/>
        <w:numPr>
          <w:ilvl w:val="2"/>
          <w:numId w:val="2"/>
        </w:numPr>
        <w:suppressAutoHyphens w:val="true"/>
        <w:ind w:hanging="0" w:left="0"/>
        <w:rPr/>
      </w:pPr>
      <w:r>
        <w:rPr>
          <w:rFonts w:cs="Calibri" w:cstheme="minorHAnsi"/>
        </w:rPr>
        <w:t>O objeto que apresentar vício ou defeito no período de vigência da garantia deverá ser substituído por outro novo, de primeiro uso, que apresentem padrões de qualidade e desempenho iguais ou superiores ao das peças utilizadas na fabricação do equipamento.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Uma vez notificado, o licitante vencedor realizará a substituição do objeto que apresentar vício ou defeito no prazo de até 48 (quarenta e oito) horas, contados da data de notificação.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O prazo indicado no subitem anterior, durante seu transcurso, poderá ser prorrogado uma úncia vez, por até igual período, mediante solicitação escrita e justificada do licitante vencedor, desde que aceita pela Administração.</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O custo referente ao transporte/frete do objeto a ser trocado será de responsabilidade do licitante vencedor.</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A garantia legal ou contatual do objeto tem prazo de vigência própria e desvinculado daquele fixado na ARP – Ata de Registro de Preços, permitindo eventual aplicação de penalidades em caso de descumprimento de alguma de suas condições, mesmo depois de expirada a vigência contratual.</w:t>
      </w:r>
    </w:p>
    <w:p>
      <w:pPr>
        <w:pStyle w:val="Terceir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Primeiro"/>
        <w:keepNext w:val="false"/>
        <w:keepLines w:val="false"/>
        <w:widowControl w:val="false"/>
        <w:numPr>
          <w:ilvl w:val="0"/>
          <w:numId w:val="2"/>
        </w:numPr>
        <w:suppressAutoHyphens w:val="true"/>
        <w:ind w:hanging="0" w:left="0"/>
        <w:rPr/>
      </w:pPr>
      <w:r>
        <w:rPr>
          <w:rFonts w:cs="Calibri" w:cstheme="minorHAnsi"/>
        </w:rPr>
        <w:t>DOS CRITÉRIOS DE RECEBIMENTO E DE PAGAMENTO.</w:t>
      </w:r>
    </w:p>
    <w:p>
      <w:pPr>
        <w:pStyle w:val="Prembulo"/>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rPr>
      </w:r>
    </w:p>
    <w:p>
      <w:pPr>
        <w:pStyle w:val="Segundo"/>
        <w:keepNext w:val="false"/>
        <w:keepLines w:val="false"/>
        <w:widowControl w:val="false"/>
        <w:numPr>
          <w:ilvl w:val="1"/>
          <w:numId w:val="2"/>
        </w:numPr>
        <w:suppressAutoHyphens w:val="true"/>
        <w:ind w:hanging="0" w:left="0"/>
        <w:rPr/>
      </w:pPr>
      <w:r>
        <w:rPr>
          <w:rFonts w:cs="Calibri" w:cstheme="minorHAnsi"/>
          <w:b/>
          <w:bCs/>
        </w:rPr>
        <w:t>Recebimento do Objeto:</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Terceiro"/>
        <w:keepNext w:val="false"/>
        <w:keepLines w:val="false"/>
        <w:widowControl w:val="false"/>
        <w:numPr>
          <w:ilvl w:val="2"/>
          <w:numId w:val="2"/>
        </w:numPr>
        <w:suppressAutoHyphens w:val="true"/>
        <w:ind w:hanging="0" w:left="0"/>
        <w:rPr/>
      </w:pPr>
      <w:r>
        <w:rPr>
          <w:rFonts w:cs="Calibri" w:cstheme="minorHAnsi"/>
        </w:rPr>
        <w:t>O objeto de contatação será recebido provisoriamente, de forma sumária, no ato da entrega, juntamente com a nota fiscal ou instrumento de cobrança equivalente, pelo responsável pelo acompanhamento e fiscalização da ARP – Ata de Registro de Preços, para efeito de posterior verificação de sua conformidade com as especificações constantes no Edital e seus anexos.</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Terceiro"/>
        <w:keepNext w:val="false"/>
        <w:keepLines w:val="false"/>
        <w:widowControl w:val="false"/>
        <w:numPr>
          <w:ilvl w:val="2"/>
          <w:numId w:val="2"/>
        </w:numPr>
        <w:suppressAutoHyphens w:val="true"/>
        <w:ind w:hanging="0" w:left="0"/>
        <w:rPr/>
      </w:pPr>
      <w:r>
        <w:rPr>
          <w:rFonts w:cs="Calibri" w:cstheme="minorHAnsi"/>
        </w:rPr>
        <w:t>O objeto de contratação poderá ser rejeitado, no todo ou em parte, inclusive antes do recebimento provisório, quando em desacordo com as especificações constantes no Edital e seus anexos, devendo ser substituído, no prazo de 48 (quarenta e oito) horas, a contar da notificação do licitante vencedor, correndo às suas custas todas as despesas, sem prejuízo da aplicação das penalidades.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O recebimento definitivo ocorrerá no prazo de 05 (cinco) dias úteis, a contar do recebimento da nota fiscal ou instrumento de cobrança equivalente pela Administração, após a verificação da qualidade e quantidade do objeto e consequente aceitação mediante termo detalhado.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O prazo para recebimento definitivo poderá ser excepcionalmente prorrogado, de forma justificada, por igual período, quando houver necessidade de diligências para a aferição do atendimento das exigências contratuais.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No caso de controvérsia sobre a execução do objeto, quanto à dimensão, qualidade e quantidade, deverá ser observado o teor do art. 143 da Lei Federal nº 14.133/2021, comunicando-se ao licitante vencedor para emissão de nota fiscal em relação à parcela incontroversa da execução do objeto, para efeito de liquidação e pagamento.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O prazo para solução, pelo licitante vencedor, da inconsistência na execução do objeto ou de saneamento da nota fiscal, ou documento equivalente, verificadas pela Administração durante a análise prévia à liquidação da despesa, não será computado para os fins do recebimento definitivo.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O recebimento provisório ou definitivo não excluíra a responsabilidade civil pela solidez e pela segurança do serviço, nem a responsabilidade ético-profissional pela perfeita execução do objeto.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Segundo"/>
        <w:keepNext w:val="false"/>
        <w:keepLines w:val="false"/>
        <w:widowControl w:val="false"/>
        <w:numPr>
          <w:ilvl w:val="1"/>
          <w:numId w:val="2"/>
        </w:numPr>
        <w:suppressAutoHyphens w:val="true"/>
        <w:ind w:hanging="0" w:left="0"/>
        <w:rPr/>
      </w:pPr>
      <w:r>
        <w:rPr>
          <w:rFonts w:cs="Calibri" w:cstheme="minorHAnsi"/>
          <w:b/>
          <w:bCs/>
        </w:rPr>
        <w:t>Do Pagamento:</w:t>
      </w:r>
    </w:p>
    <w:p>
      <w:pPr>
        <w:pStyle w:val="Prembulo"/>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rPr>
      </w:r>
    </w:p>
    <w:p>
      <w:pPr>
        <w:pStyle w:val="Terceiro"/>
        <w:keepNext w:val="false"/>
        <w:keepLines w:val="false"/>
        <w:widowControl w:val="false"/>
        <w:numPr>
          <w:ilvl w:val="2"/>
          <w:numId w:val="2"/>
        </w:numPr>
        <w:suppressAutoHyphens w:val="true"/>
        <w:ind w:hanging="0" w:left="0"/>
        <w:rPr/>
      </w:pPr>
      <w:r>
        <w:rPr>
          <w:rFonts w:cs="Calibri" w:cstheme="minorHAnsi"/>
        </w:rPr>
        <w:t>Da liquidação.</w:t>
      </w:r>
    </w:p>
    <w:p>
      <w:pPr>
        <w:pStyle w:val="Terceir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Recebida a nota fiscal, ou documento equivalente, correrá o prazo de 30 (trinta) dias para fins de liquidação.</w:t>
      </w:r>
    </w:p>
    <w:p>
      <w:pPr>
        <w:pStyle w:val="Terceir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Para fins de liquidação, o setor competente deverá verificar se a nota fiscal, ou documento equivalente, expressa os elementos necessários e essenciais, tais como: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0"/>
          <w:numId w:val="4"/>
        </w:numPr>
        <w:suppressAutoHyphens w:val="true"/>
        <w:ind w:hanging="0" w:left="0"/>
        <w:rPr/>
      </w:pPr>
      <w:r>
        <w:rPr>
          <w:rFonts w:cs="Calibri" w:cstheme="minorHAnsi"/>
        </w:rPr>
        <w:t>Prazo de validade;</w:t>
      </w:r>
    </w:p>
    <w:p>
      <w:pPr>
        <w:pStyle w:val="Quarto"/>
        <w:keepNext w:val="false"/>
        <w:keepLines w:val="false"/>
        <w:widowControl w:val="false"/>
        <w:numPr>
          <w:ilvl w:val="0"/>
          <w:numId w:val="4"/>
        </w:numPr>
        <w:suppressAutoHyphens w:val="true"/>
        <w:ind w:hanging="0" w:left="0"/>
        <w:rPr/>
      </w:pPr>
      <w:r>
        <w:rPr>
          <w:rFonts w:cs="Calibri" w:cstheme="minorHAnsi"/>
        </w:rPr>
        <w:t>Data de emissão;</w:t>
      </w:r>
    </w:p>
    <w:p>
      <w:pPr>
        <w:pStyle w:val="Quarto"/>
        <w:keepNext w:val="false"/>
        <w:keepLines w:val="false"/>
        <w:widowControl w:val="false"/>
        <w:numPr>
          <w:ilvl w:val="0"/>
          <w:numId w:val="4"/>
        </w:numPr>
        <w:suppressAutoHyphens w:val="true"/>
        <w:ind w:hanging="0" w:left="0"/>
        <w:rPr/>
      </w:pPr>
      <w:r>
        <w:rPr>
          <w:rFonts w:cs="Calibri" w:cstheme="minorHAnsi"/>
        </w:rPr>
        <w:t>Dados da ARP e da Administração;</w:t>
      </w:r>
    </w:p>
    <w:p>
      <w:pPr>
        <w:pStyle w:val="Quarto"/>
        <w:keepNext w:val="false"/>
        <w:keepLines w:val="false"/>
        <w:widowControl w:val="false"/>
        <w:numPr>
          <w:ilvl w:val="0"/>
          <w:numId w:val="4"/>
        </w:numPr>
        <w:suppressAutoHyphens w:val="true"/>
        <w:ind w:hanging="0" w:left="0"/>
        <w:rPr/>
      </w:pPr>
      <w:r>
        <w:rPr>
          <w:rFonts w:cs="Calibri" w:cstheme="minorHAnsi"/>
        </w:rPr>
        <w:t>Período respectivo de execução;</w:t>
      </w:r>
    </w:p>
    <w:p>
      <w:pPr>
        <w:pStyle w:val="Quarto"/>
        <w:keepNext w:val="false"/>
        <w:keepLines w:val="false"/>
        <w:widowControl w:val="false"/>
        <w:numPr>
          <w:ilvl w:val="0"/>
          <w:numId w:val="4"/>
        </w:numPr>
        <w:suppressAutoHyphens w:val="true"/>
        <w:ind w:hanging="0" w:left="0"/>
        <w:rPr/>
      </w:pPr>
      <w:r>
        <w:rPr>
          <w:rFonts w:cs="Calibri" w:cstheme="minorHAnsi"/>
        </w:rPr>
        <w:t xml:space="preserve">Valor a pagar; e </w:t>
      </w:r>
    </w:p>
    <w:p>
      <w:pPr>
        <w:pStyle w:val="Quarto"/>
        <w:keepNext w:val="false"/>
        <w:keepLines w:val="false"/>
        <w:widowControl w:val="false"/>
        <w:numPr>
          <w:ilvl w:val="0"/>
          <w:numId w:val="4"/>
        </w:numPr>
        <w:suppressAutoHyphens w:val="true"/>
        <w:ind w:hanging="0" w:left="0"/>
        <w:rPr/>
      </w:pPr>
      <w:r>
        <w:rPr>
          <w:rFonts w:cs="Calibri" w:cstheme="minorHAnsi"/>
        </w:rPr>
        <w:t>Eventual destaque do valor de retenção tributária cabível.</w:t>
      </w:r>
    </w:p>
    <w:p>
      <w:pPr>
        <w:pStyle w:val="Quart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Havendo erro na apresentação da nota fiscal, ou documento equivalente, ou qualquer outra circunstância que impeça à liquidação da despesa, esta ficará sobrestada até que o contratado providencie as medidas saneadoras, reiniciando-se o prazo após comprovação da regularização da situação, sem ônus à Administração.</w:t>
      </w:r>
    </w:p>
    <w:p>
      <w:pPr>
        <w:pStyle w:val="Quart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A nota fiscal, ou documento equivalente, deverá ser obrigatoriamente acompanhada da comprovação da regularidade fiscal, constatada mediante consulta aos sítios eletrônicos oficiais ou mediante apresentação da documentação mencionada no art. 68 da Lei Federal nº 14.133/2021.</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A Administração deverá realizar consulta para:</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0"/>
          <w:numId w:val="5"/>
        </w:numPr>
        <w:suppressAutoHyphens w:val="true"/>
        <w:ind w:hanging="0" w:left="0"/>
        <w:rPr/>
      </w:pPr>
      <w:r>
        <w:rPr>
          <w:rFonts w:cs="Calibri" w:cstheme="minorHAnsi"/>
        </w:rPr>
        <w:t>Verificar a manutenção das condições de habilitação exigidas no Edital e seus anexos; e</w:t>
      </w:r>
    </w:p>
    <w:p>
      <w:pPr>
        <w:pStyle w:val="Quarto"/>
        <w:keepNext w:val="false"/>
        <w:keepLines w:val="false"/>
        <w:widowControl w:val="false"/>
        <w:numPr>
          <w:ilvl w:val="0"/>
          <w:numId w:val="5"/>
        </w:numPr>
        <w:suppressAutoHyphens w:val="true"/>
        <w:ind w:hanging="0" w:left="0"/>
        <w:rPr/>
      </w:pPr>
      <w:r>
        <w:rPr>
          <w:rFonts w:cs="Calibri" w:cstheme="minorHAnsi"/>
        </w:rPr>
        <w:t>Identificar possível razão que impeça a participação em contratação direta mediante dispensa eletrônica, no âmbito do órgão ou entidade, que implique proibição de contratar com o poder público, bem como ocorrências impeditivas indiretas.</w:t>
      </w:r>
    </w:p>
    <w:p>
      <w:pPr>
        <w:pStyle w:val="Quart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Constatando-se a situação de irregularidade do licitante vencedor, será providenciada sua notificação, por escrito, para que, no prazo de 05 (cinco) dias úteis, regularize sua situação ou, no mesmo prazo, apresente sua defesa, podendo respectivo prazo ser prorrogado, uma vez, por igual período, à critério da Administração.</w:t>
      </w:r>
    </w:p>
    <w:p>
      <w:pPr>
        <w:pStyle w:val="Quart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Não havendo regularização ou sendo a defesa considerada improcedente, a Administração deverá comunicar aos órgãos responsáveis pela fiscalização da regularidade fiscal quanto à inadimplência do licitante vencedor, bem como quanto à existência de pagamento a set efetuado, para que sejam acionados os meios pertinentes e necessários para garantir o recebimento de seus créditos.</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Persistindo a irregularidade, a Administração deverá adotar as medidas necessárias à rescisão da ARP – Ata de Registro de Preços, assegurado ao licitante vencedor a ampla defesa.</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Quarto"/>
        <w:keepNext w:val="false"/>
        <w:keepLines w:val="false"/>
        <w:widowControl w:val="false"/>
        <w:numPr>
          <w:ilvl w:val="3"/>
          <w:numId w:val="2"/>
        </w:numPr>
        <w:suppressAutoHyphens w:val="true"/>
        <w:ind w:hanging="0" w:left="0"/>
        <w:rPr/>
      </w:pPr>
      <w:r>
        <w:rPr>
          <w:rFonts w:cs="Calibri" w:cstheme="minorHAnsi"/>
        </w:rPr>
        <w:t>Havendo a efetiva execução do objeto, os pagamentos serão realizados normalmente, até que se decida pela rescisão da ARP – Ata de Registro de Preços, caso o licitante vencedor não regularize sua situação.</w:t>
      </w:r>
    </w:p>
    <w:p>
      <w:pPr>
        <w:pStyle w:val="ListParagraph"/>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ascii="Calibri" w:hAnsi="Calibri"/>
        </w:rPr>
      </w:r>
    </w:p>
    <w:p>
      <w:pPr>
        <w:pStyle w:val="Terceiro"/>
        <w:keepNext w:val="false"/>
        <w:keepLines w:val="false"/>
        <w:widowControl w:val="false"/>
        <w:numPr>
          <w:ilvl w:val="2"/>
          <w:numId w:val="2"/>
        </w:numPr>
        <w:suppressAutoHyphens w:val="true"/>
        <w:ind w:hanging="0" w:left="0"/>
        <w:rPr/>
      </w:pPr>
      <w:r>
        <w:rPr>
          <w:rFonts w:cs="Calibri" w:cstheme="minorHAnsi"/>
        </w:rPr>
        <w:t>Da forma de pagamento.</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Quarto"/>
        <w:keepNext w:val="false"/>
        <w:keepLines w:val="false"/>
        <w:widowControl w:val="false"/>
        <w:numPr>
          <w:ilvl w:val="3"/>
          <w:numId w:val="2"/>
        </w:numPr>
        <w:suppressAutoHyphens w:val="true"/>
        <w:ind w:hanging="0" w:left="0"/>
        <w:rPr/>
      </w:pPr>
      <w:r>
        <w:rPr>
          <w:rFonts w:cs="Calibri" w:cstheme="minorHAnsi"/>
        </w:rPr>
        <w:t>O pagamento será realizado em até 30 (trinta) dias após a emissão da nota fiscal, revestida do aceite pelas autoridades fiscalizadoras competentes e responsáveis, por meio de ordem bancária, para crédito em banco, agência e conta corrente indicadas pelo licitante vencedor.</w:t>
      </w:r>
    </w:p>
    <w:p>
      <w:pPr>
        <w:pStyle w:val="Corpo"/>
        <w:keepNext w:val="false"/>
        <w:keepLines w:val="false"/>
        <w:widowControl w:val="false"/>
        <w:suppressAutoHyphens w:val="true"/>
        <w:ind w:hanging="0" w:left="0"/>
        <w:rPr/>
      </w:pPr>
      <w:r>
        <w:rPr/>
      </w:r>
    </w:p>
    <w:p>
      <w:pPr>
        <w:pStyle w:val="Primeiro"/>
        <w:keepNext w:val="false"/>
        <w:keepLines w:val="false"/>
        <w:widowControl w:val="false"/>
        <w:numPr>
          <w:ilvl w:val="0"/>
          <w:numId w:val="2"/>
        </w:numPr>
        <w:suppressAutoHyphens w:val="true"/>
        <w:ind w:hanging="0" w:left="0"/>
        <w:rPr/>
      </w:pPr>
      <w:r>
        <w:rPr/>
        <w:t>DO REAJUSTE E REEQUILÍBRIO EM SENTIDO GERAL.</w:t>
      </w:r>
    </w:p>
    <w:p>
      <w:pPr>
        <w:pStyle w:val="Corpo"/>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Os</w:t>
      </w:r>
      <w:r>
        <w:rPr>
          <w:rFonts w:eastAsia="Calibri" w:cs="Calibri" w:cstheme="minorHAnsi"/>
          <w:color w:val="000000"/>
          <w:sz w:val="22"/>
          <w:szCs w:val="22"/>
        </w:rPr>
        <w:t xml:space="preserve"> preços registrados serão fixos e irreajustáveis pelo período de 12 (doze) meses, contados da data do orçamento estimado, nos termos da legislação vigente.</w:t>
      </w:r>
    </w:p>
    <w:p>
      <w:pPr>
        <w:pStyle w:val="Segundo"/>
        <w:keepNext w:val="false"/>
        <w:keepLines w:val="false"/>
        <w:widowControl w:val="false"/>
        <w:numPr>
          <w:ilvl w:val="0"/>
          <w:numId w:val="0"/>
        </w:numPr>
        <w:suppressAutoHyphens w:val="true"/>
        <w:ind w:hanging="0" w:left="0"/>
        <w:rPr>
          <w:rFonts w:ascii="Calibri" w:hAnsi="Calibri" w:eastAsia="Calibri" w:cs="Calibri" w:cstheme="minorHAnsi"/>
          <w:color w:val="000000"/>
          <w:sz w:val="22"/>
          <w:szCs w:val="22"/>
        </w:rPr>
      </w:pPr>
      <w:r>
        <w:rPr>
          <w:rFonts w:eastAsia="Calibri" w:cs="Calibri" w:cstheme="minorHAns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stheme="minorHAnsi"/>
          <w:color w:val="000000"/>
          <w:sz w:val="22"/>
          <w:szCs w:val="22"/>
        </w:rPr>
        <w:t>Após o interregno mínimo de 12 (doze) meses, os preços poderão ser reajustados, mediante aplicação do Índice Nacional de Preços ao Consumidor – INPC, ou outro índice que venha a substituí-lo, tomando-se por base a data do orçamento estimado.</w:t>
      </w:r>
    </w:p>
    <w:p>
      <w:pPr>
        <w:pStyle w:val="Segundo"/>
        <w:keepNext w:val="false"/>
        <w:keepLines w:val="false"/>
        <w:widowControl w:val="false"/>
        <w:numPr>
          <w:ilvl w:val="0"/>
          <w:numId w:val="0"/>
        </w:numPr>
        <w:suppressAutoHyphens w:val="true"/>
        <w:ind w:hanging="0" w:left="0"/>
        <w:rPr>
          <w:rFonts w:ascii="Calibri" w:hAnsi="Calibri" w:eastAsia="Calibri" w:cs="Calibri" w:cstheme="minorHAnsi"/>
          <w:color w:val="000000"/>
          <w:sz w:val="22"/>
          <w:szCs w:val="22"/>
        </w:rPr>
      </w:pPr>
      <w:r>
        <w:rPr>
          <w:rFonts w:eastAsia="Calibri" w:cs="Calibri" w:cstheme="minorHAns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stheme="minorHAnsi"/>
          <w:color w:val="000000"/>
          <w:sz w:val="22"/>
          <w:szCs w:val="22"/>
        </w:rPr>
        <w:t>O reajuste será aplicado apenas aos itens efetivamente contratados após o período mínimo de 12 (doze) meses, não incidindo sobre aquisições realizadas anteriormente.</w:t>
      </w:r>
    </w:p>
    <w:p>
      <w:pPr>
        <w:pStyle w:val="Segundo"/>
        <w:keepNext w:val="false"/>
        <w:keepLines w:val="false"/>
        <w:widowControl w:val="false"/>
        <w:numPr>
          <w:ilvl w:val="0"/>
          <w:numId w:val="0"/>
        </w:numPr>
        <w:suppressAutoHyphens w:val="true"/>
        <w:ind w:hanging="0" w:left="0"/>
        <w:rPr>
          <w:rFonts w:ascii="Calibri" w:hAnsi="Calibri" w:eastAsia="Calibri" w:cs="Calibri" w:cstheme="minorHAnsi"/>
          <w:color w:val="000000"/>
          <w:sz w:val="22"/>
          <w:szCs w:val="22"/>
        </w:rPr>
      </w:pPr>
      <w:r>
        <w:rPr>
          <w:rFonts w:eastAsia="Calibri" w:cs="Calibri" w:cstheme="minorHAns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stheme="minorHAnsi"/>
          <w:color w:val="000000"/>
          <w:sz w:val="22"/>
          <w:szCs w:val="22"/>
        </w:rPr>
        <w:t>Os novos valores reajustados passarão a vigorar a partir da data de sua concessão, mantendo-se válidos pelo período de 12 (doze) meses subsequentes.</w:t>
      </w:r>
    </w:p>
    <w:p>
      <w:pPr>
        <w:pStyle w:val="Segundo"/>
        <w:keepNext w:val="false"/>
        <w:keepLines w:val="false"/>
        <w:widowControl w:val="false"/>
        <w:numPr>
          <w:ilvl w:val="0"/>
          <w:numId w:val="0"/>
        </w:numPr>
        <w:suppressAutoHyphens w:val="true"/>
        <w:ind w:hanging="0" w:left="0"/>
        <w:rPr>
          <w:rFonts w:ascii="Calibri" w:hAnsi="Calibri" w:eastAsia="Calibri" w:cs="Calibri" w:cstheme="minorHAnsi"/>
          <w:color w:val="000000"/>
          <w:sz w:val="22"/>
          <w:szCs w:val="22"/>
        </w:rPr>
      </w:pPr>
      <w:r>
        <w:rPr>
          <w:rFonts w:eastAsia="Calibri" w:cs="Calibri" w:cstheme="minorHAns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stheme="minorHAnsi"/>
          <w:color w:val="000000"/>
          <w:sz w:val="22"/>
          <w:szCs w:val="22"/>
        </w:rPr>
        <w:t>Fica assegurado o restabelecimento do equilíbrio econômico-financeiro, nos termos do art. 124, inciso II, alínea “d”, da Lei Federal nº 14.133/2021, mediante solicitação formal do contratado, devidamente instruída com documentação comprobatória.</w:t>
      </w:r>
    </w:p>
    <w:p>
      <w:pPr>
        <w:pStyle w:val="Segundo"/>
        <w:keepNext w:val="false"/>
        <w:keepLines w:val="false"/>
        <w:widowControl w:val="false"/>
        <w:numPr>
          <w:ilvl w:val="0"/>
          <w:numId w:val="0"/>
        </w:numPr>
        <w:suppressAutoHyphens w:val="true"/>
        <w:ind w:hanging="0" w:left="0"/>
        <w:rPr>
          <w:rFonts w:ascii="Calibri" w:hAnsi="Calibri" w:eastAsia="Calibri" w:cs="Calibri" w:cstheme="minorHAnsi"/>
          <w:color w:val="000000"/>
          <w:sz w:val="22"/>
          <w:szCs w:val="22"/>
        </w:rPr>
      </w:pPr>
      <w:r>
        <w:rPr>
          <w:rFonts w:eastAsia="Calibri" w:cs="Calibri" w:cstheme="minorHAnsi"/>
          <w:color w:val="000000"/>
          <w:sz w:val="22"/>
          <w:szCs w:val="22"/>
        </w:rPr>
      </w:r>
    </w:p>
    <w:p>
      <w:pPr>
        <w:pStyle w:val="Segundo"/>
        <w:keepNext w:val="false"/>
        <w:keepLines w:val="false"/>
        <w:widowControl w:val="false"/>
        <w:numPr>
          <w:ilvl w:val="1"/>
          <w:numId w:val="2"/>
        </w:numPr>
        <w:suppressAutoHyphens w:val="true"/>
        <w:ind w:hanging="0" w:left="0"/>
        <w:rPr/>
      </w:pPr>
      <w:r>
        <w:rPr>
          <w:rFonts w:eastAsia="Calibri" w:cs="Calibri" w:cstheme="minorHAnsi"/>
          <w:color w:val="000000"/>
          <w:sz w:val="22"/>
          <w:szCs w:val="22"/>
        </w:rPr>
        <w:t>O pedido de reequilíbrio econômico-financeiro deverá ser analisado pela Administração, podendo ser precedido de pesquisa de preços de mercado, consulta a bancos de dados, índices oficiais ou outros meios idôneos que permitam verificar a efetiva variação dos custos, assegurando a manutenção da equação econômico-financeira do contrato.</w:t>
      </w:r>
    </w:p>
    <w:p>
      <w:pPr>
        <w:pStyle w:val="Segundo"/>
        <w:keepNext w:val="false"/>
        <w:keepLines w:val="false"/>
        <w:widowControl w:val="false"/>
        <w:numPr>
          <w:ilvl w:val="0"/>
          <w:numId w:val="0"/>
        </w:numPr>
        <w:suppressAutoHyphens w:val="true"/>
        <w:ind w:hanging="0" w:left="0"/>
        <w:rPr>
          <w:rFonts w:ascii="Calibri" w:hAnsi="Calibri" w:cs="Calibri" w:asciiTheme="minorHAnsi" w:cstheme="minorHAnsi" w:hAnsiTheme="minorHAnsi"/>
        </w:rPr>
      </w:pPr>
      <w:r>
        <w:rPr>
          <w:rFonts w:cs="Calibri" w:cstheme="minorHAnsi"/>
        </w:rPr>
      </w:r>
    </w:p>
    <w:p>
      <w:pPr>
        <w:pStyle w:val="Primeiro"/>
        <w:keepNext w:val="false"/>
        <w:keepLines w:val="false"/>
        <w:widowControl w:val="false"/>
        <w:numPr>
          <w:ilvl w:val="0"/>
          <w:numId w:val="2"/>
        </w:numPr>
        <w:suppressAutoHyphens w:val="true"/>
        <w:ind w:hanging="0" w:left="0"/>
        <w:rPr/>
      </w:pPr>
      <w:r>
        <w:rPr>
          <w:rFonts w:cs="Calibri" w:cstheme="minorHAnsi"/>
        </w:rPr>
        <w:t>DOS RECURSOS ORÇAMENTÁRIOS.</w:t>
      </w:r>
    </w:p>
    <w:p>
      <w:pPr>
        <w:pStyle w:val="Prembulo"/>
        <w:keepNext w:val="false"/>
        <w:keepLines w:val="false"/>
        <w:widowControl w:val="false"/>
        <w:suppressAutoHyphens w:val="true"/>
        <w:ind w:hanging="0" w:left="0"/>
        <w:rPr>
          <w:rFonts w:ascii="Calibri" w:hAnsi="Calibri" w:cs="Calibri" w:asciiTheme="minorHAnsi" w:cstheme="minorHAnsi" w:hAnsiTheme="minorHAnsi"/>
        </w:rPr>
      </w:pPr>
      <w:r>
        <w:rPr>
          <w:rFonts w:cs="Calibri" w:cstheme="minorHAnsi"/>
        </w:rPr>
      </w:r>
    </w:p>
    <w:p>
      <w:pPr>
        <w:pStyle w:val="Segundo"/>
        <w:keepNext w:val="false"/>
        <w:keepLines w:val="false"/>
        <w:widowControl w:val="false"/>
        <w:numPr>
          <w:ilvl w:val="1"/>
          <w:numId w:val="2"/>
        </w:numPr>
        <w:suppressAutoHyphens w:val="true"/>
        <w:ind w:hanging="0" w:left="0"/>
        <w:rPr/>
      </w:pPr>
      <w:r>
        <w:rPr/>
        <w:t>Por tratar-se de licitação para aquisição através de Sistema de Registro de Preços, as despesas decorrentes das contratações feitas do FORNECEDOR correrão a conta do orçamento vigente, e nas indicadas na Ordem de Compra, ou documento equivalente, emitido pelo MUNICIÍPIO.</w:t>
      </w:r>
    </w:p>
    <w:p>
      <w:pPr>
        <w:pStyle w:val="Corpo"/>
        <w:keepNext w:val="false"/>
        <w:keepLines w:val="false"/>
        <w:widowControl w:val="false"/>
        <w:suppressAutoHyphens w:val="true"/>
        <w:ind w:hanging="0" w:left="0"/>
        <w:rPr/>
      </w:pPr>
      <w:r>
        <w:rPr/>
      </w:r>
    </w:p>
    <w:p>
      <w:pPr>
        <w:pStyle w:val="Primeiro"/>
        <w:keepNext w:val="false"/>
        <w:keepLines w:val="false"/>
        <w:widowControl w:val="false"/>
        <w:numPr>
          <w:ilvl w:val="0"/>
          <w:numId w:val="2"/>
        </w:numPr>
        <w:suppressAutoHyphens w:val="true"/>
        <w:ind w:hanging="0" w:left="0"/>
        <w:rPr/>
      </w:pPr>
      <w:r>
        <w:rPr/>
        <w:t>DO CANCELAMENTO DA ATA DE REGISTRO DE PREÇOS.</w:t>
      </w:r>
    </w:p>
    <w:p>
      <w:pPr>
        <w:pStyle w:val="Corpo"/>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A presente ARP – Ata de Registro de Preços poderá ser cancelada de pleno direito nas seguintes condições:</w:t>
      </w:r>
    </w:p>
    <w:p>
      <w:pPr>
        <w:pStyle w:val="Terceiro"/>
        <w:keepNext w:val="false"/>
        <w:keepLines w:val="false"/>
        <w:widowControl w:val="false"/>
        <w:numPr>
          <w:ilvl w:val="0"/>
          <w:numId w:val="0"/>
        </w:numPr>
        <w:suppressAutoHyphens w:val="true"/>
        <w:ind w:hanging="0" w:left="0"/>
        <w:rPr/>
      </w:pPr>
      <w:r>
        <w:rPr/>
      </w:r>
    </w:p>
    <w:p>
      <w:pPr>
        <w:pStyle w:val="Terceiro"/>
        <w:keepNext w:val="false"/>
        <w:keepLines w:val="false"/>
        <w:widowControl w:val="false"/>
        <w:numPr>
          <w:ilvl w:val="2"/>
          <w:numId w:val="2"/>
        </w:numPr>
        <w:suppressAutoHyphens w:val="true"/>
        <w:ind w:hanging="0" w:left="0"/>
        <w:rPr/>
      </w:pPr>
      <w:r>
        <w:rPr/>
        <w:t>Pelo MUNICÍPIO:</w:t>
      </w:r>
    </w:p>
    <w:p>
      <w:pPr>
        <w:pStyle w:val="Alnea"/>
        <w:keepNext w:val="false"/>
        <w:keepLines w:val="false"/>
        <w:widowControl w:val="false"/>
        <w:numPr>
          <w:ilvl w:val="0"/>
          <w:numId w:val="0"/>
        </w:numPr>
        <w:suppressAutoHyphens w:val="true"/>
        <w:ind w:hanging="0" w:left="0"/>
        <w:rPr/>
      </w:pPr>
      <w:r>
        <w:rPr/>
      </w:r>
    </w:p>
    <w:p>
      <w:pPr>
        <w:pStyle w:val="Alnea"/>
        <w:keepNext w:val="false"/>
        <w:keepLines w:val="false"/>
        <w:widowControl w:val="false"/>
        <w:numPr>
          <w:ilvl w:val="1"/>
          <w:numId w:val="10"/>
        </w:numPr>
        <w:suppressAutoHyphens w:val="true"/>
        <w:ind w:hanging="0" w:left="0"/>
        <w:rPr/>
      </w:pPr>
      <w:r>
        <w:rPr/>
        <w:t>Quando o FORNECEDOR não cumprir as obrigações constantes da presente ARP – Ata de Registro de Preços;</w:t>
      </w:r>
    </w:p>
    <w:p>
      <w:pPr>
        <w:pStyle w:val="Alnea"/>
        <w:keepNext w:val="false"/>
        <w:keepLines w:val="false"/>
        <w:widowControl w:val="false"/>
        <w:numPr>
          <w:ilvl w:val="1"/>
          <w:numId w:val="7"/>
        </w:numPr>
        <w:suppressAutoHyphens w:val="true"/>
        <w:ind w:hanging="0" w:left="0"/>
        <w:rPr/>
      </w:pPr>
      <w:r>
        <w:rPr/>
        <w:t>Quando o FORNECEDOR não assinar a presente ARP – Ata de Registro de Preços no prazo estabelecido;</w:t>
      </w:r>
    </w:p>
    <w:p>
      <w:pPr>
        <w:pStyle w:val="Alnea"/>
        <w:keepNext w:val="false"/>
        <w:keepLines w:val="false"/>
        <w:widowControl w:val="false"/>
        <w:numPr>
          <w:ilvl w:val="1"/>
          <w:numId w:val="7"/>
        </w:numPr>
        <w:suppressAutoHyphens w:val="true"/>
        <w:ind w:hanging="0" w:left="0"/>
        <w:rPr/>
      </w:pPr>
      <w:r>
        <w:rPr/>
        <w:t>Quando o FORNECEDOR der causa a rescisão administrativa deste registro de preços, nas hipóteses previstas na Lei Federal nº 14.133/2021;</w:t>
      </w:r>
    </w:p>
    <w:p>
      <w:pPr>
        <w:pStyle w:val="Alnea"/>
        <w:keepNext w:val="false"/>
        <w:keepLines w:val="false"/>
        <w:widowControl w:val="false"/>
        <w:numPr>
          <w:ilvl w:val="1"/>
          <w:numId w:val="7"/>
        </w:numPr>
        <w:suppressAutoHyphens w:val="true"/>
        <w:ind w:hanging="0" w:left="0"/>
        <w:rPr/>
      </w:pPr>
      <w:r>
        <w:rPr/>
        <w:t>Não aceita reduzir o seu preço registrado, na hipótese de este se tornar superior aos praticados no mercado;</w:t>
      </w:r>
    </w:p>
    <w:p>
      <w:pPr>
        <w:pStyle w:val="Alnea"/>
        <w:keepNext w:val="false"/>
        <w:keepLines w:val="false"/>
        <w:widowControl w:val="false"/>
        <w:numPr>
          <w:ilvl w:val="1"/>
          <w:numId w:val="7"/>
        </w:numPr>
        <w:suppressAutoHyphens w:val="true"/>
        <w:ind w:hanging="0" w:left="0"/>
        <w:rPr/>
      </w:pPr>
      <w:r>
        <w:rPr/>
        <w:t>Por razoes de interesse público devidamente demonstrado e justificado pelo MUNICÍPIO.</w:t>
      </w:r>
    </w:p>
    <w:p>
      <w:pPr>
        <w:pStyle w:val="Alnea"/>
        <w:keepNext w:val="false"/>
        <w:keepLines w:val="false"/>
        <w:widowControl w:val="false"/>
        <w:numPr>
          <w:ilvl w:val="0"/>
          <w:numId w:val="0"/>
        </w:numPr>
        <w:suppressAutoHyphens w:val="true"/>
        <w:ind w:hanging="0" w:left="0"/>
        <w:rPr/>
      </w:pPr>
      <w:r>
        <w:rPr/>
      </w:r>
    </w:p>
    <w:p>
      <w:pPr>
        <w:pStyle w:val="Terceiro"/>
        <w:keepNext w:val="false"/>
        <w:keepLines w:val="false"/>
        <w:widowControl w:val="false"/>
        <w:numPr>
          <w:ilvl w:val="2"/>
          <w:numId w:val="2"/>
        </w:numPr>
        <w:suppressAutoHyphens w:val="true"/>
        <w:ind w:hanging="0" w:left="0"/>
        <w:rPr/>
      </w:pPr>
      <w:r>
        <w:rPr/>
        <w:t xml:space="preserve"> </w:t>
      </w:r>
      <w:r>
        <w:rPr/>
        <w:t>Pelo FORNECEDOR:</w:t>
      </w:r>
    </w:p>
    <w:p>
      <w:pPr>
        <w:pStyle w:val="Alnea"/>
        <w:keepNext w:val="false"/>
        <w:keepLines w:val="false"/>
        <w:widowControl w:val="false"/>
        <w:numPr>
          <w:ilvl w:val="0"/>
          <w:numId w:val="0"/>
        </w:numPr>
        <w:suppressAutoHyphens w:val="true"/>
        <w:ind w:hanging="0" w:left="0"/>
        <w:rPr/>
      </w:pPr>
      <w:r>
        <w:rPr/>
      </w:r>
    </w:p>
    <w:p>
      <w:pPr>
        <w:pStyle w:val="Alnea"/>
        <w:keepNext w:val="false"/>
        <w:keepLines w:val="false"/>
        <w:widowControl w:val="false"/>
        <w:numPr>
          <w:ilvl w:val="1"/>
          <w:numId w:val="11"/>
        </w:numPr>
        <w:suppressAutoHyphens w:val="true"/>
        <w:ind w:hanging="0" w:left="0"/>
        <w:rPr/>
      </w:pPr>
      <w:r>
        <w:rPr/>
        <w:t>Mediante solicitação por escrito, antes do pedido de fornecimento, comprovando estar impossibilitado de cumprir as exigências desta ARP – Ata de Registro de Preços;</w:t>
      </w:r>
    </w:p>
    <w:p>
      <w:pPr>
        <w:pStyle w:val="Alnea"/>
        <w:keepNext w:val="false"/>
        <w:keepLines w:val="false"/>
        <w:widowControl w:val="false"/>
        <w:numPr>
          <w:ilvl w:val="1"/>
          <w:numId w:val="7"/>
        </w:numPr>
        <w:suppressAutoHyphens w:val="true"/>
        <w:ind w:hanging="0" w:left="0"/>
        <w:rPr/>
      </w:pPr>
      <w:r>
        <w:rPr/>
        <w:t>Mediante solicitação por escrito, na ocorrência de fato superveniente, decorrentes de caso fortuito ou força maior;</w:t>
      </w:r>
    </w:p>
    <w:p>
      <w:pPr>
        <w:pStyle w:val="Alnea"/>
        <w:keepNext w:val="false"/>
        <w:keepLines w:val="false"/>
        <w:widowControl w:val="false"/>
        <w:numPr>
          <w:ilvl w:val="0"/>
          <w:numId w:val="0"/>
        </w:numPr>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Ocorrendo cancelamento dos preços registrados, o FORNECEDOR será informado por correspondência com Aviso de Recebimento, a qual será juntada ao processo administrativo da presente.</w:t>
      </w:r>
    </w:p>
    <w:p>
      <w:pPr>
        <w:pStyle w:val="Segundo"/>
        <w:keepNext w:val="false"/>
        <w:keepLines w:val="false"/>
        <w:widowControl w:val="false"/>
        <w:numPr>
          <w:ilvl w:val="0"/>
          <w:numId w:val="0"/>
        </w:numPr>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A solicitação do FORNECEDOR para cancelamento dos preços registrados poderá não ser aceita pelo MUNICÍPIO, facultando-se a este à aplicação das sanções previstas nesta ARP – Ata de Registro de Preços.</w:t>
      </w:r>
    </w:p>
    <w:p>
      <w:pPr>
        <w:pStyle w:val="ListParagraph"/>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Havendo o cancelamento dos preços registrados, cessarão todas as atividades do FORNECEDOR em relação ao fornecimento dos itens registrados.</w:t>
      </w:r>
    </w:p>
    <w:p>
      <w:pPr>
        <w:pStyle w:val="Corpo"/>
        <w:keepNext w:val="false"/>
        <w:keepLines w:val="false"/>
        <w:widowControl w:val="false"/>
        <w:suppressAutoHyphens w:val="true"/>
        <w:ind w:hanging="0" w:left="0"/>
        <w:rPr/>
      </w:pPr>
      <w:r>
        <w:rPr/>
      </w:r>
    </w:p>
    <w:p>
      <w:pPr>
        <w:pStyle w:val="Primeiro"/>
        <w:keepNext w:val="false"/>
        <w:keepLines w:val="false"/>
        <w:widowControl w:val="false"/>
        <w:numPr>
          <w:ilvl w:val="0"/>
          <w:numId w:val="2"/>
        </w:numPr>
        <w:suppressAutoHyphens w:val="true"/>
        <w:ind w:hanging="0" w:left="0"/>
        <w:rPr/>
      </w:pPr>
      <w:r>
        <w:rPr/>
        <w:t>DAS PENALIDADES</w:t>
      </w:r>
    </w:p>
    <w:p>
      <w:pPr>
        <w:pStyle w:val="Corpo"/>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Comete infração administrativa, nos termos da Lei Federal nº 14.133/2021 e do Decreto Municipal nº 3.243/2024, o FORNECEDOR que:</w:t>
      </w:r>
    </w:p>
    <w:p>
      <w:pPr>
        <w:pStyle w:val="Segundo"/>
        <w:keepNext w:val="false"/>
        <w:keepLines w:val="false"/>
        <w:widowControl w:val="false"/>
        <w:numPr>
          <w:ilvl w:val="0"/>
          <w:numId w:val="0"/>
        </w:numPr>
        <w:suppressAutoHyphens w:val="true"/>
        <w:ind w:hanging="0" w:left="0"/>
        <w:rPr/>
      </w:pPr>
      <w:r>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t>Dar</w:t>
      </w:r>
      <w:r>
        <w:rPr>
          <w:spacing w:val="-4"/>
        </w:rPr>
        <w:t xml:space="preserve"> </w:t>
      </w:r>
      <w:r>
        <w:rPr/>
        <w:t>causa</w:t>
      </w:r>
      <w:r>
        <w:rPr>
          <w:spacing w:val="-3"/>
        </w:rPr>
        <w:t xml:space="preserve"> </w:t>
      </w:r>
      <w:r>
        <w:rPr/>
        <w:t>à</w:t>
      </w:r>
      <w:r>
        <w:rPr>
          <w:spacing w:val="-2"/>
        </w:rPr>
        <w:t xml:space="preserve"> </w:t>
      </w:r>
      <w:r>
        <w:rPr/>
        <w:t>inexecução</w:t>
      </w:r>
      <w:r>
        <w:rPr>
          <w:spacing w:val="-2"/>
        </w:rPr>
        <w:t xml:space="preserve"> </w:t>
      </w:r>
      <w:r>
        <w:rPr/>
        <w:t>parcial</w:t>
      </w:r>
      <w:r>
        <w:rPr>
          <w:spacing w:val="-2"/>
        </w:rPr>
        <w:t xml:space="preserve"> </w:t>
      </w:r>
      <w:r>
        <w:rPr/>
        <w:t>da</w:t>
      </w:r>
      <w:r>
        <w:rPr>
          <w:spacing w:val="-2"/>
        </w:rPr>
        <w:t xml:space="preserve"> ARP - </w:t>
      </w:r>
      <w:r>
        <w:rPr/>
        <w:t>Ata</w:t>
      </w:r>
      <w:r>
        <w:rPr>
          <w:spacing w:val="-3"/>
        </w:rPr>
        <w:t xml:space="preserve"> </w:t>
      </w:r>
      <w:r>
        <w:rPr/>
        <w:t>de</w:t>
      </w:r>
      <w:r>
        <w:rPr>
          <w:spacing w:val="-2"/>
        </w:rPr>
        <w:t xml:space="preserve"> </w:t>
      </w:r>
      <w:r>
        <w:rPr/>
        <w:t>Registro</w:t>
      </w:r>
      <w:r>
        <w:rPr>
          <w:spacing w:val="-2"/>
        </w:rPr>
        <w:t xml:space="preserve"> </w:t>
      </w:r>
      <w:r>
        <w:rPr/>
        <w:t>de</w:t>
      </w:r>
      <w:r>
        <w:rPr>
          <w:spacing w:val="-2"/>
        </w:rPr>
        <w:t xml:space="preserve"> Preços;</w:t>
      </w:r>
    </w:p>
    <w:p>
      <w:pPr>
        <w:pStyle w:val="Terceiro"/>
        <w:keepNext w:val="false"/>
        <w:keepLines w:val="false"/>
        <w:widowControl w:val="false"/>
        <w:numPr>
          <w:ilvl w:val="0"/>
          <w:numId w:val="0"/>
        </w:numPr>
        <w:tabs>
          <w:tab w:val="clear" w:pos="851"/>
          <w:tab w:val="left" w:pos="846" w:leader="none"/>
        </w:tabs>
        <w:suppressAutoHyphens w:val="true"/>
        <w:ind w:hanging="0" w:left="0"/>
        <w:rPr/>
      </w:pPr>
      <w:r>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Dar causa à inexecução parcial da ARP - Ata de Registro de Preços que cause grave dano ao MUNICÍPIO, ao funcionamento dos serviços públicos ou ao interesse coletivo;</w:t>
      </w:r>
    </w:p>
    <w:p>
      <w:pPr>
        <w:pStyle w:val="ListParagraph"/>
        <w:keepNext w:val="false"/>
        <w:keepLines w:val="false"/>
        <w:widowControl w:val="false"/>
        <w:suppressAutoHyphens w:val="true"/>
        <w:ind w:hanging="0" w:left="0"/>
        <w:rPr>
          <w:rFonts w:eastAsia="Abyssinica SIL" w:cs="Abyssinica SIL"/>
        </w:rPr>
      </w:pPr>
      <w:r>
        <w:rPr>
          <w:rFonts w:eastAsia="Abyssinica SIL" w:cs="Abyssinica SIL"/>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Dar</w:t>
      </w:r>
      <w:r>
        <w:rPr>
          <w:rFonts w:eastAsia="Abyssinica SIL" w:cs="Abyssinica SIL"/>
          <w:spacing w:val="-4"/>
        </w:rPr>
        <w:t xml:space="preserve"> </w:t>
      </w:r>
      <w:r>
        <w:rPr>
          <w:rFonts w:eastAsia="Abyssinica SIL" w:cs="Abyssinica SIL"/>
        </w:rPr>
        <w:t>causa</w:t>
      </w:r>
      <w:r>
        <w:rPr>
          <w:rFonts w:eastAsia="Abyssinica SIL" w:cs="Abyssinica SIL"/>
          <w:spacing w:val="-2"/>
        </w:rPr>
        <w:t xml:space="preserve"> </w:t>
      </w:r>
      <w:r>
        <w:rPr>
          <w:rFonts w:eastAsia="Abyssinica SIL" w:cs="Abyssinica SIL"/>
        </w:rPr>
        <w:t>à</w:t>
      </w:r>
      <w:r>
        <w:rPr>
          <w:rFonts w:eastAsia="Abyssinica SIL" w:cs="Abyssinica SIL"/>
          <w:spacing w:val="-2"/>
        </w:rPr>
        <w:t xml:space="preserve"> </w:t>
      </w:r>
      <w:r>
        <w:rPr>
          <w:rFonts w:eastAsia="Abyssinica SIL" w:cs="Abyssinica SIL"/>
        </w:rPr>
        <w:t>inexecução</w:t>
      </w:r>
      <w:r>
        <w:rPr>
          <w:rFonts w:eastAsia="Abyssinica SIL" w:cs="Abyssinica SIL"/>
          <w:spacing w:val="-2"/>
        </w:rPr>
        <w:t xml:space="preserve"> </w:t>
      </w:r>
      <w:r>
        <w:rPr>
          <w:rFonts w:eastAsia="Abyssinica SIL" w:cs="Abyssinica SIL"/>
        </w:rPr>
        <w:t>total</w:t>
      </w:r>
      <w:r>
        <w:rPr>
          <w:rFonts w:eastAsia="Abyssinica SIL" w:cs="Abyssinica SIL"/>
          <w:spacing w:val="-2"/>
        </w:rPr>
        <w:t xml:space="preserve"> </w:t>
      </w:r>
      <w:r>
        <w:rPr>
          <w:rFonts w:eastAsia="Abyssinica SIL" w:cs="Abyssinica SIL"/>
        </w:rPr>
        <w:t>da ARP -</w:t>
      </w:r>
      <w:r>
        <w:rPr>
          <w:rFonts w:eastAsia="Abyssinica SIL" w:cs="Abyssinica SIL"/>
          <w:spacing w:val="-2"/>
        </w:rPr>
        <w:t xml:space="preserve"> </w:t>
      </w:r>
      <w:r>
        <w:rPr>
          <w:rFonts w:eastAsia="Abyssinica SIL" w:cs="Abyssinica SIL"/>
        </w:rPr>
        <w:t>Ata</w:t>
      </w:r>
      <w:r>
        <w:rPr>
          <w:rFonts w:eastAsia="Abyssinica SIL" w:cs="Abyssinica SIL"/>
          <w:spacing w:val="-3"/>
        </w:rPr>
        <w:t xml:space="preserve"> </w:t>
      </w:r>
      <w:r>
        <w:rPr>
          <w:rFonts w:eastAsia="Abyssinica SIL" w:cs="Abyssinica SIL"/>
        </w:rPr>
        <w:t>de</w:t>
      </w:r>
      <w:r>
        <w:rPr>
          <w:rFonts w:eastAsia="Abyssinica SIL" w:cs="Abyssinica SIL"/>
          <w:spacing w:val="-2"/>
        </w:rPr>
        <w:t xml:space="preserve"> </w:t>
      </w:r>
      <w:r>
        <w:rPr>
          <w:rFonts w:eastAsia="Abyssinica SIL" w:cs="Abyssinica SIL"/>
        </w:rPr>
        <w:t>Registro</w:t>
      </w:r>
      <w:r>
        <w:rPr>
          <w:rFonts w:eastAsia="Abyssinica SIL" w:cs="Abyssinica SIL"/>
          <w:spacing w:val="-1"/>
        </w:rPr>
        <w:t xml:space="preserve"> </w:t>
      </w:r>
      <w:r>
        <w:rPr>
          <w:rFonts w:eastAsia="Abyssinica SIL" w:cs="Abyssinica SIL"/>
        </w:rPr>
        <w:t>de</w:t>
      </w:r>
      <w:r>
        <w:rPr>
          <w:rFonts w:eastAsia="Abyssinica SIL" w:cs="Abyssinica SIL"/>
          <w:spacing w:val="-2"/>
        </w:rPr>
        <w:t xml:space="preserve"> Preços;</w:t>
      </w:r>
    </w:p>
    <w:p>
      <w:pPr>
        <w:pStyle w:val="ListParagraph"/>
        <w:keepNext w:val="false"/>
        <w:keepLines w:val="false"/>
        <w:widowControl w:val="false"/>
        <w:suppressAutoHyphens w:val="true"/>
        <w:ind w:hanging="0" w:left="0"/>
        <w:rPr>
          <w:rFonts w:eastAsia="Abyssinica SIL" w:cs="Abyssinica SIL"/>
        </w:rPr>
      </w:pPr>
      <w:r>
        <w:rPr>
          <w:rFonts w:eastAsia="Abyssinica SIL" w:cs="Abyssinica SIL"/>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Ensejar</w:t>
      </w:r>
      <w:r>
        <w:rPr>
          <w:rFonts w:eastAsia="Abyssinica SIL" w:cs="Abyssinica SIL"/>
          <w:spacing w:val="-3"/>
        </w:rPr>
        <w:t xml:space="preserve"> </w:t>
      </w:r>
      <w:r>
        <w:rPr>
          <w:rFonts w:eastAsia="Abyssinica SIL" w:cs="Abyssinica SIL"/>
        </w:rPr>
        <w:t>o</w:t>
      </w:r>
      <w:r>
        <w:rPr>
          <w:rFonts w:eastAsia="Abyssinica SIL" w:cs="Abyssinica SIL"/>
          <w:spacing w:val="-1"/>
        </w:rPr>
        <w:t xml:space="preserve"> </w:t>
      </w:r>
      <w:r>
        <w:rPr>
          <w:rFonts w:eastAsia="Abyssinica SIL" w:cs="Abyssinica SIL"/>
        </w:rPr>
        <w:t>retardamento</w:t>
      </w:r>
      <w:r>
        <w:rPr>
          <w:rFonts w:eastAsia="Abyssinica SIL" w:cs="Abyssinica SIL"/>
          <w:spacing w:val="-1"/>
        </w:rPr>
        <w:t xml:space="preserve"> </w:t>
      </w:r>
      <w:r>
        <w:rPr>
          <w:rFonts w:eastAsia="Abyssinica SIL" w:cs="Abyssinica SIL"/>
        </w:rPr>
        <w:t>da</w:t>
      </w:r>
      <w:r>
        <w:rPr>
          <w:rFonts w:eastAsia="Abyssinica SIL" w:cs="Abyssinica SIL"/>
          <w:spacing w:val="-2"/>
        </w:rPr>
        <w:t xml:space="preserve"> </w:t>
      </w:r>
      <w:r>
        <w:rPr>
          <w:rFonts w:eastAsia="Abyssinica SIL" w:cs="Abyssinica SIL"/>
        </w:rPr>
        <w:t>execução ou</w:t>
      </w:r>
      <w:r>
        <w:rPr>
          <w:rFonts w:eastAsia="Abyssinica SIL" w:cs="Abyssinica SIL"/>
          <w:spacing w:val="-1"/>
        </w:rPr>
        <w:t xml:space="preserve"> </w:t>
      </w:r>
      <w:r>
        <w:rPr>
          <w:rFonts w:eastAsia="Abyssinica SIL" w:cs="Abyssinica SIL"/>
        </w:rPr>
        <w:t>da</w:t>
      </w:r>
      <w:r>
        <w:rPr>
          <w:rFonts w:eastAsia="Abyssinica SIL" w:cs="Abyssinica SIL"/>
          <w:spacing w:val="-2"/>
        </w:rPr>
        <w:t xml:space="preserve"> </w:t>
      </w:r>
      <w:r>
        <w:rPr>
          <w:rFonts w:eastAsia="Abyssinica SIL" w:cs="Abyssinica SIL"/>
        </w:rPr>
        <w:t>entrega</w:t>
      </w:r>
      <w:r>
        <w:rPr>
          <w:rFonts w:eastAsia="Abyssinica SIL" w:cs="Abyssinica SIL"/>
          <w:spacing w:val="-2"/>
        </w:rPr>
        <w:t xml:space="preserve"> </w:t>
      </w:r>
      <w:r>
        <w:rPr>
          <w:rFonts w:eastAsia="Abyssinica SIL" w:cs="Abyssinica SIL"/>
        </w:rPr>
        <w:t>do</w:t>
      </w:r>
      <w:r>
        <w:rPr>
          <w:rFonts w:eastAsia="Abyssinica SIL" w:cs="Abyssinica SIL"/>
          <w:spacing w:val="-1"/>
        </w:rPr>
        <w:t xml:space="preserve"> </w:t>
      </w:r>
      <w:r>
        <w:rPr>
          <w:rFonts w:eastAsia="Abyssinica SIL" w:cs="Abyssinica SIL"/>
        </w:rPr>
        <w:t>objeto da</w:t>
      </w:r>
      <w:r>
        <w:rPr>
          <w:rFonts w:eastAsia="Abyssinica SIL" w:cs="Abyssinica SIL"/>
          <w:spacing w:val="-2"/>
        </w:rPr>
        <w:t xml:space="preserve"> </w:t>
      </w:r>
      <w:r>
        <w:rPr>
          <w:rFonts w:eastAsia="Abyssinica SIL" w:cs="Abyssinica SIL"/>
        </w:rPr>
        <w:t>licitação</w:t>
      </w:r>
      <w:r>
        <w:rPr>
          <w:rFonts w:eastAsia="Abyssinica SIL" w:cs="Abyssinica SIL"/>
          <w:spacing w:val="-1"/>
        </w:rPr>
        <w:t xml:space="preserve"> </w:t>
      </w:r>
      <w:r>
        <w:rPr>
          <w:rFonts w:eastAsia="Abyssinica SIL" w:cs="Abyssinica SIL"/>
        </w:rPr>
        <w:t>sem</w:t>
      </w:r>
      <w:r>
        <w:rPr>
          <w:rFonts w:eastAsia="Abyssinica SIL" w:cs="Abyssinica SIL"/>
          <w:spacing w:val="-2"/>
        </w:rPr>
        <w:t xml:space="preserve"> </w:t>
      </w:r>
      <w:r>
        <w:rPr>
          <w:rFonts w:eastAsia="Abyssinica SIL" w:cs="Abyssinica SIL"/>
        </w:rPr>
        <w:t xml:space="preserve">motivo </w:t>
      </w:r>
      <w:r>
        <w:rPr>
          <w:rFonts w:eastAsia="Abyssinica SIL" w:cs="Abyssinica SIL"/>
          <w:spacing w:val="-2"/>
        </w:rPr>
        <w:t>justificado;</w:t>
      </w:r>
    </w:p>
    <w:p>
      <w:pPr>
        <w:pStyle w:val="ListParagraph"/>
        <w:keepNext w:val="false"/>
        <w:keepLines w:val="false"/>
        <w:widowControl w:val="false"/>
        <w:suppressAutoHyphens w:val="true"/>
        <w:ind w:hanging="0" w:left="0"/>
        <w:rPr>
          <w:rFonts w:eastAsia="Abyssinica SIL" w:cs="Abyssinica SIL"/>
        </w:rPr>
      </w:pPr>
      <w:r>
        <w:rPr>
          <w:rFonts w:eastAsia="Abyssinica SIL" w:cs="Abyssinica SIL"/>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Apresentar declaração ou documentação falsa exigida para o certame ou prestar declaração falsa durante a licitação ou a execução do contrato;</w:t>
      </w:r>
    </w:p>
    <w:p>
      <w:pPr>
        <w:pStyle w:val="ListParagraph"/>
        <w:keepNext w:val="false"/>
        <w:keepLines w:val="false"/>
        <w:widowControl w:val="false"/>
        <w:suppressAutoHyphens w:val="true"/>
        <w:ind w:hanging="0" w:left="0"/>
        <w:rPr>
          <w:rFonts w:eastAsia="Abyssinica SIL" w:cs="Abyssinica SIL"/>
        </w:rPr>
      </w:pPr>
      <w:r>
        <w:rPr>
          <w:rFonts w:eastAsia="Abyssinica SIL" w:cs="Abyssinica SIL"/>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Fraudar</w:t>
      </w:r>
      <w:r>
        <w:rPr>
          <w:rFonts w:eastAsia="Abyssinica SIL" w:cs="Abyssinica SIL"/>
          <w:spacing w:val="-3"/>
        </w:rPr>
        <w:t xml:space="preserve"> </w:t>
      </w:r>
      <w:r>
        <w:rPr>
          <w:rFonts w:eastAsia="Abyssinica SIL" w:cs="Abyssinica SIL"/>
        </w:rPr>
        <w:t>a</w:t>
      </w:r>
      <w:r>
        <w:rPr>
          <w:rFonts w:eastAsia="Abyssinica SIL" w:cs="Abyssinica SIL"/>
          <w:spacing w:val="-1"/>
        </w:rPr>
        <w:t xml:space="preserve"> </w:t>
      </w:r>
      <w:r>
        <w:rPr>
          <w:rFonts w:eastAsia="Abyssinica SIL" w:cs="Abyssinica SIL"/>
        </w:rPr>
        <w:t>licitação ou praticar ato fraudulento na</w:t>
      </w:r>
      <w:r>
        <w:rPr>
          <w:rFonts w:eastAsia="Abyssinica SIL" w:cs="Abyssinica SIL"/>
          <w:spacing w:val="-1"/>
        </w:rPr>
        <w:t xml:space="preserve"> </w:t>
      </w:r>
      <w:r>
        <w:rPr>
          <w:rFonts w:eastAsia="Abyssinica SIL" w:cs="Abyssinica SIL"/>
        </w:rPr>
        <w:t xml:space="preserve">execução do </w:t>
      </w:r>
      <w:r>
        <w:rPr>
          <w:rFonts w:eastAsia="Abyssinica SIL" w:cs="Abyssinica SIL"/>
          <w:spacing w:val="-2"/>
        </w:rPr>
        <w:t>contrato;</w:t>
      </w:r>
    </w:p>
    <w:p>
      <w:pPr>
        <w:pStyle w:val="ListParagraph"/>
        <w:keepNext w:val="false"/>
        <w:keepLines w:val="false"/>
        <w:widowControl w:val="false"/>
        <w:suppressAutoHyphens w:val="true"/>
        <w:ind w:hanging="0" w:left="0"/>
        <w:rPr>
          <w:rFonts w:eastAsia="Abyssinica SIL" w:cs="Abyssinica SIL"/>
        </w:rPr>
      </w:pPr>
      <w:r>
        <w:rPr>
          <w:rFonts w:eastAsia="Abyssinica SIL" w:cs="Abyssinica SIL"/>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Comportar-se</w:t>
      </w:r>
      <w:r>
        <w:rPr>
          <w:rFonts w:eastAsia="Abyssinica SIL" w:cs="Abyssinica SIL"/>
          <w:spacing w:val="-3"/>
        </w:rPr>
        <w:t xml:space="preserve"> </w:t>
      </w:r>
      <w:r>
        <w:rPr>
          <w:rFonts w:eastAsia="Abyssinica SIL" w:cs="Abyssinica SIL"/>
        </w:rPr>
        <w:t>de</w:t>
      </w:r>
      <w:r>
        <w:rPr>
          <w:rFonts w:eastAsia="Abyssinica SIL" w:cs="Abyssinica SIL"/>
          <w:spacing w:val="-3"/>
        </w:rPr>
        <w:t xml:space="preserve"> </w:t>
      </w:r>
      <w:r>
        <w:rPr>
          <w:rFonts w:eastAsia="Abyssinica SIL" w:cs="Abyssinica SIL"/>
        </w:rPr>
        <w:t>modo</w:t>
      </w:r>
      <w:r>
        <w:rPr>
          <w:rFonts w:eastAsia="Abyssinica SIL" w:cs="Abyssinica SIL"/>
          <w:spacing w:val="-2"/>
        </w:rPr>
        <w:t xml:space="preserve"> </w:t>
      </w:r>
      <w:r>
        <w:rPr>
          <w:rFonts w:eastAsia="Abyssinica SIL" w:cs="Abyssinica SIL"/>
        </w:rPr>
        <w:t>inidôneo</w:t>
      </w:r>
      <w:r>
        <w:rPr>
          <w:rFonts w:eastAsia="Abyssinica SIL" w:cs="Abyssinica SIL"/>
          <w:spacing w:val="-2"/>
        </w:rPr>
        <w:t xml:space="preserve"> </w:t>
      </w:r>
      <w:r>
        <w:rPr>
          <w:rFonts w:eastAsia="Abyssinica SIL" w:cs="Abyssinica SIL"/>
        </w:rPr>
        <w:t>ou</w:t>
      </w:r>
      <w:r>
        <w:rPr>
          <w:rFonts w:eastAsia="Abyssinica SIL" w:cs="Abyssinica SIL"/>
          <w:spacing w:val="-2"/>
        </w:rPr>
        <w:t xml:space="preserve"> </w:t>
      </w:r>
      <w:r>
        <w:rPr>
          <w:rFonts w:eastAsia="Abyssinica SIL" w:cs="Abyssinica SIL"/>
        </w:rPr>
        <w:t>cometer</w:t>
      </w:r>
      <w:r>
        <w:rPr>
          <w:rFonts w:eastAsia="Abyssinica SIL" w:cs="Abyssinica SIL"/>
          <w:spacing w:val="-3"/>
        </w:rPr>
        <w:t xml:space="preserve"> </w:t>
      </w:r>
      <w:r>
        <w:rPr>
          <w:rFonts w:eastAsia="Abyssinica SIL" w:cs="Abyssinica SIL"/>
        </w:rPr>
        <w:t>fraude</w:t>
      </w:r>
      <w:r>
        <w:rPr>
          <w:rFonts w:eastAsia="Abyssinica SIL" w:cs="Abyssinica SIL"/>
          <w:spacing w:val="-2"/>
        </w:rPr>
        <w:t xml:space="preserve"> </w:t>
      </w:r>
      <w:r>
        <w:rPr>
          <w:rFonts w:eastAsia="Abyssinica SIL" w:cs="Abyssinica SIL"/>
        </w:rPr>
        <w:t>de</w:t>
      </w:r>
      <w:r>
        <w:rPr>
          <w:rFonts w:eastAsia="Abyssinica SIL" w:cs="Abyssinica SIL"/>
          <w:spacing w:val="-3"/>
        </w:rPr>
        <w:t xml:space="preserve"> </w:t>
      </w:r>
      <w:r>
        <w:rPr>
          <w:rFonts w:eastAsia="Abyssinica SIL" w:cs="Abyssinica SIL"/>
        </w:rPr>
        <w:t>qualquer</w:t>
      </w:r>
      <w:r>
        <w:rPr>
          <w:rFonts w:eastAsia="Abyssinica SIL" w:cs="Abyssinica SIL"/>
          <w:spacing w:val="-2"/>
        </w:rPr>
        <w:t xml:space="preserve"> natureza;</w:t>
      </w:r>
    </w:p>
    <w:p>
      <w:pPr>
        <w:pStyle w:val="ListParagraph"/>
        <w:keepNext w:val="false"/>
        <w:keepLines w:val="false"/>
        <w:widowControl w:val="false"/>
        <w:suppressAutoHyphens w:val="true"/>
        <w:ind w:hanging="0" w:left="0"/>
        <w:rPr>
          <w:rFonts w:eastAsia="Abyssinica SIL" w:cs="Abyssinica SIL"/>
        </w:rPr>
      </w:pPr>
      <w:r>
        <w:rPr>
          <w:rFonts w:eastAsia="Abyssinica SIL" w:cs="Abyssinica SIL"/>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Praticar</w:t>
      </w:r>
      <w:r>
        <w:rPr>
          <w:rFonts w:eastAsia="Abyssinica SIL" w:cs="Abyssinica SIL"/>
          <w:spacing w:val="-5"/>
        </w:rPr>
        <w:t xml:space="preserve"> </w:t>
      </w:r>
      <w:r>
        <w:rPr>
          <w:rFonts w:eastAsia="Abyssinica SIL" w:cs="Abyssinica SIL"/>
        </w:rPr>
        <w:t>atos</w:t>
      </w:r>
      <w:r>
        <w:rPr>
          <w:rFonts w:eastAsia="Abyssinica SIL" w:cs="Abyssinica SIL"/>
          <w:spacing w:val="-4"/>
        </w:rPr>
        <w:t xml:space="preserve"> </w:t>
      </w:r>
      <w:r>
        <w:rPr>
          <w:rFonts w:eastAsia="Abyssinica SIL" w:cs="Abyssinica SIL"/>
        </w:rPr>
        <w:t>ilícitos</w:t>
      </w:r>
      <w:r>
        <w:rPr>
          <w:rFonts w:eastAsia="Abyssinica SIL" w:cs="Abyssinica SIL"/>
          <w:spacing w:val="-4"/>
        </w:rPr>
        <w:t xml:space="preserve"> </w:t>
      </w:r>
      <w:r>
        <w:rPr>
          <w:rFonts w:eastAsia="Abyssinica SIL" w:cs="Abyssinica SIL"/>
        </w:rPr>
        <w:t>com</w:t>
      </w:r>
      <w:r>
        <w:rPr>
          <w:rFonts w:eastAsia="Abyssinica SIL" w:cs="Abyssinica SIL"/>
          <w:spacing w:val="-3"/>
        </w:rPr>
        <w:t xml:space="preserve"> </w:t>
      </w:r>
      <w:r>
        <w:rPr>
          <w:rFonts w:eastAsia="Abyssinica SIL" w:cs="Abyssinica SIL"/>
        </w:rPr>
        <w:t>vistas</w:t>
      </w:r>
      <w:r>
        <w:rPr>
          <w:rFonts w:eastAsia="Abyssinica SIL" w:cs="Abyssinica SIL"/>
          <w:spacing w:val="-4"/>
        </w:rPr>
        <w:t xml:space="preserve"> </w:t>
      </w:r>
      <w:r>
        <w:rPr>
          <w:rFonts w:eastAsia="Abyssinica SIL" w:cs="Abyssinica SIL"/>
        </w:rPr>
        <w:t>a</w:t>
      </w:r>
      <w:r>
        <w:rPr>
          <w:rFonts w:eastAsia="Abyssinica SIL" w:cs="Abyssinica SIL"/>
          <w:spacing w:val="-4"/>
        </w:rPr>
        <w:t xml:space="preserve"> </w:t>
      </w:r>
      <w:r>
        <w:rPr>
          <w:rFonts w:eastAsia="Abyssinica SIL" w:cs="Abyssinica SIL"/>
        </w:rPr>
        <w:t>frustrar</w:t>
      </w:r>
      <w:r>
        <w:rPr>
          <w:rFonts w:eastAsia="Abyssinica SIL" w:cs="Abyssinica SIL"/>
          <w:spacing w:val="-2"/>
        </w:rPr>
        <w:t xml:space="preserve"> </w:t>
      </w:r>
      <w:r>
        <w:rPr>
          <w:rFonts w:eastAsia="Abyssinica SIL" w:cs="Abyssinica SIL"/>
        </w:rPr>
        <w:t>os</w:t>
      </w:r>
      <w:r>
        <w:rPr>
          <w:rFonts w:eastAsia="Abyssinica SIL" w:cs="Abyssinica SIL"/>
          <w:spacing w:val="-4"/>
        </w:rPr>
        <w:t xml:space="preserve"> </w:t>
      </w:r>
      <w:r>
        <w:rPr>
          <w:rFonts w:eastAsia="Abyssinica SIL" w:cs="Abyssinica SIL"/>
        </w:rPr>
        <w:t>objetivos</w:t>
      </w:r>
      <w:r>
        <w:rPr>
          <w:rFonts w:eastAsia="Abyssinica SIL" w:cs="Abyssinica SIL"/>
          <w:spacing w:val="-4"/>
        </w:rPr>
        <w:t xml:space="preserve"> </w:t>
      </w:r>
      <w:r>
        <w:rPr>
          <w:rFonts w:eastAsia="Abyssinica SIL" w:cs="Abyssinica SIL"/>
        </w:rPr>
        <w:t>da</w:t>
      </w:r>
      <w:r>
        <w:rPr>
          <w:rFonts w:eastAsia="Abyssinica SIL" w:cs="Abyssinica SIL"/>
          <w:spacing w:val="-3"/>
        </w:rPr>
        <w:t xml:space="preserve"> </w:t>
      </w:r>
      <w:r>
        <w:rPr>
          <w:rFonts w:eastAsia="Abyssinica SIL" w:cs="Abyssinica SIL"/>
          <w:spacing w:val="-2"/>
        </w:rPr>
        <w:t>licitação;</w:t>
      </w:r>
    </w:p>
    <w:p>
      <w:pPr>
        <w:pStyle w:val="ListParagraph"/>
        <w:keepNext w:val="false"/>
        <w:keepLines w:val="false"/>
        <w:widowControl w:val="false"/>
        <w:suppressAutoHyphens w:val="true"/>
        <w:ind w:hanging="0" w:left="0"/>
        <w:rPr>
          <w:rFonts w:eastAsia="Abyssinica SIL" w:cs="Abyssinica SIL"/>
        </w:rPr>
      </w:pPr>
      <w:r>
        <w:rPr>
          <w:rFonts w:eastAsia="Abyssinica SIL" w:cs="Abyssinica SIL"/>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Praticar</w:t>
      </w:r>
      <w:r>
        <w:rPr>
          <w:rFonts w:eastAsia="Abyssinica SIL" w:cs="Abyssinica SIL"/>
          <w:spacing w:val="-3"/>
        </w:rPr>
        <w:t xml:space="preserve"> </w:t>
      </w:r>
      <w:r>
        <w:rPr>
          <w:rFonts w:eastAsia="Abyssinica SIL" w:cs="Abyssinica SIL"/>
        </w:rPr>
        <w:t>ato</w:t>
      </w:r>
      <w:r>
        <w:rPr>
          <w:rFonts w:eastAsia="Abyssinica SIL" w:cs="Abyssinica SIL"/>
          <w:spacing w:val="-1"/>
        </w:rPr>
        <w:t xml:space="preserve"> </w:t>
      </w:r>
      <w:r>
        <w:rPr>
          <w:rFonts w:eastAsia="Abyssinica SIL" w:cs="Abyssinica SIL"/>
        </w:rPr>
        <w:t>lesivo previsto</w:t>
      </w:r>
      <w:r>
        <w:rPr>
          <w:rFonts w:eastAsia="Abyssinica SIL" w:cs="Abyssinica SIL"/>
          <w:spacing w:val="-1"/>
        </w:rPr>
        <w:t xml:space="preserve"> </w:t>
      </w:r>
      <w:r>
        <w:rPr>
          <w:rFonts w:eastAsia="Abyssinica SIL" w:cs="Abyssinica SIL"/>
        </w:rPr>
        <w:t>no art.</w:t>
      </w:r>
      <w:r>
        <w:rPr>
          <w:rFonts w:eastAsia="Abyssinica SIL" w:cs="Abyssinica SIL"/>
          <w:spacing w:val="-1"/>
        </w:rPr>
        <w:t xml:space="preserve"> </w:t>
      </w:r>
      <w:r>
        <w:rPr>
          <w:rFonts w:eastAsia="Abyssinica SIL" w:cs="Abyssinica SIL"/>
        </w:rPr>
        <w:t>5º</w:t>
      </w:r>
      <w:r>
        <w:rPr>
          <w:rFonts w:eastAsia="Abyssinica SIL" w:cs="Abyssinica SIL"/>
          <w:spacing w:val="-1"/>
        </w:rPr>
        <w:t xml:space="preserve"> </w:t>
      </w:r>
      <w:r>
        <w:rPr>
          <w:rFonts w:eastAsia="Abyssinica SIL" w:cs="Abyssinica SIL"/>
        </w:rPr>
        <w:t>da</w:t>
      </w:r>
      <w:r>
        <w:rPr>
          <w:rFonts w:eastAsia="Abyssinica SIL" w:cs="Abyssinica SIL"/>
          <w:spacing w:val="-2"/>
        </w:rPr>
        <w:t xml:space="preserve"> </w:t>
      </w:r>
      <w:r>
        <w:rPr>
          <w:rFonts w:eastAsia="Abyssinica SIL" w:cs="Abyssinica SIL"/>
        </w:rPr>
        <w:t>Lei</w:t>
      </w:r>
      <w:r>
        <w:rPr>
          <w:rFonts w:eastAsia="Abyssinica SIL" w:cs="Abyssinica SIL"/>
          <w:spacing w:val="-2"/>
        </w:rPr>
        <w:t xml:space="preserve"> </w:t>
      </w:r>
      <w:r>
        <w:rPr>
          <w:rFonts w:eastAsia="Abyssinica SIL" w:cs="Abyssinica SIL"/>
        </w:rPr>
        <w:t>nº</w:t>
      </w:r>
      <w:r>
        <w:rPr>
          <w:rFonts w:eastAsia="Abyssinica SIL" w:cs="Abyssinica SIL"/>
          <w:spacing w:val="-1"/>
        </w:rPr>
        <w:t xml:space="preserve"> </w:t>
      </w:r>
      <w:r>
        <w:rPr>
          <w:rFonts w:eastAsia="Abyssinica SIL" w:cs="Abyssinica SIL"/>
        </w:rPr>
        <w:t>12.846/</w:t>
      </w:r>
      <w:r>
        <w:rPr>
          <w:rFonts w:eastAsia="Abyssinica SIL" w:cs="Abyssinica SIL"/>
          <w:spacing w:val="-2"/>
        </w:rPr>
        <w:t>2013.</w:t>
      </w:r>
    </w:p>
    <w:p>
      <w:pPr>
        <w:pStyle w:val="Terceiro"/>
        <w:keepNext w:val="false"/>
        <w:keepLines w:val="false"/>
        <w:widowControl w:val="false"/>
        <w:numPr>
          <w:ilvl w:val="0"/>
          <w:numId w:val="0"/>
        </w:numPr>
        <w:tabs>
          <w:tab w:val="clear" w:pos="851"/>
          <w:tab w:val="left" w:pos="846" w:leader="none"/>
        </w:tabs>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O FORNECEDOR que cometer qualquer das infrações discriminadas no subitem anterior ficará sujeito, sem prejuízo da responsabilidade civil e criminal, às seguintes sanções:</w:t>
      </w:r>
    </w:p>
    <w:p>
      <w:pPr>
        <w:pStyle w:val="Segundo"/>
        <w:keepNext w:val="false"/>
        <w:keepLines w:val="false"/>
        <w:widowControl w:val="false"/>
        <w:numPr>
          <w:ilvl w:val="0"/>
          <w:numId w:val="0"/>
        </w:numPr>
        <w:suppressAutoHyphens w:val="true"/>
        <w:ind w:hanging="0" w:left="0"/>
        <w:rPr/>
      </w:pPr>
      <w:r>
        <w:rPr/>
      </w:r>
    </w:p>
    <w:p>
      <w:pPr>
        <w:pStyle w:val="Terceiro"/>
        <w:keepNext w:val="false"/>
        <w:keepLines w:val="false"/>
        <w:widowControl w:val="false"/>
        <w:numPr>
          <w:ilvl w:val="2"/>
          <w:numId w:val="2"/>
        </w:numPr>
        <w:suppressAutoHyphens w:val="true"/>
        <w:ind w:hanging="0" w:left="0"/>
        <w:rPr/>
      </w:pPr>
      <w:r>
        <w:rPr/>
        <w:t>Advertência, notificada por meio de ofício, mediante contra recibo do representante legal do FORNECEDOR, estabelecendo o prazo de 5 (cinco) dias úteis para que apresente justificativas para o atraso, que só serão aceitas mediante crivo do MUNICÍPIO;</w:t>
      </w:r>
    </w:p>
    <w:p>
      <w:pPr>
        <w:pStyle w:val="Terceiro"/>
        <w:keepNext w:val="false"/>
        <w:keepLines w:val="false"/>
        <w:widowControl w:val="false"/>
        <w:numPr>
          <w:ilvl w:val="0"/>
          <w:numId w:val="0"/>
        </w:numPr>
        <w:tabs>
          <w:tab w:val="clear" w:pos="851"/>
          <w:tab w:val="left" w:pos="846" w:leader="none"/>
        </w:tabs>
        <w:suppressAutoHyphens w:val="true"/>
        <w:ind w:hanging="0" w:left="0"/>
        <w:rPr/>
      </w:pPr>
      <w:r>
        <w:rPr/>
      </w:r>
    </w:p>
    <w:p>
      <w:pPr>
        <w:pStyle w:val="Terceiro"/>
        <w:keepNext w:val="false"/>
        <w:keepLines w:val="false"/>
        <w:widowControl w:val="false"/>
        <w:numPr>
          <w:ilvl w:val="2"/>
          <w:numId w:val="2"/>
        </w:numPr>
        <w:suppressAutoHyphens w:val="true"/>
        <w:ind w:hanging="0" w:left="0"/>
        <w:rPr/>
      </w:pPr>
      <w:r>
        <w:rPr/>
        <w:t>Multa no percentual correspondente a 0,5% (zero vírgula cinco por cento) por dia de atraso no cumprimento das obrigações assumidas, incidente sobre o valor dos serviços/fornecimentos não realizados, até a data do efetivo adimplemento, observado o limite de 30% (trinta por cento);</w:t>
      </w:r>
    </w:p>
    <w:p>
      <w:pPr>
        <w:pStyle w:val="Terceiro"/>
        <w:keepNext w:val="false"/>
        <w:keepLines w:val="false"/>
        <w:widowControl w:val="false"/>
        <w:numPr>
          <w:ilvl w:val="0"/>
          <w:numId w:val="0"/>
        </w:numPr>
        <w:suppressAutoHyphens w:val="true"/>
        <w:ind w:hanging="0" w:left="0"/>
        <w:rPr/>
      </w:pPr>
      <w:r>
        <w:rPr/>
      </w:r>
    </w:p>
    <w:p>
      <w:pPr>
        <w:pStyle w:val="Terceiro"/>
        <w:keepNext w:val="false"/>
        <w:keepLines w:val="false"/>
        <w:widowControl w:val="false"/>
        <w:numPr>
          <w:ilvl w:val="2"/>
          <w:numId w:val="2"/>
        </w:numPr>
        <w:suppressAutoHyphens w:val="true"/>
        <w:ind w:hanging="0" w:left="0"/>
        <w:rPr/>
      </w:pPr>
      <w:r>
        <w:rPr/>
        <w:t>Impedimento de licitar e de contratar com a Administração Pública e descredenciamento no Cadastro do MUNICÍPIO, pelo prazo mínimo de 3 (três) anos e máximo de 6 (seis) anos.</w:t>
      </w:r>
    </w:p>
    <w:p>
      <w:pPr>
        <w:pStyle w:val="Terceiro"/>
        <w:keepNext w:val="false"/>
        <w:keepLines w:val="false"/>
        <w:widowControl w:val="false"/>
        <w:numPr>
          <w:ilvl w:val="0"/>
          <w:numId w:val="0"/>
        </w:numPr>
        <w:suppressAutoHyphens w:val="true"/>
        <w:ind w:hanging="0" w:left="0"/>
        <w:rPr/>
      </w:pPr>
      <w:r>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t>Declaração</w:t>
      </w:r>
      <w:r>
        <w:rPr>
          <w:spacing w:val="-3"/>
        </w:rPr>
        <w:t xml:space="preserve"> </w:t>
      </w:r>
      <w:r>
        <w:rPr/>
        <w:t>de</w:t>
      </w:r>
      <w:r>
        <w:rPr>
          <w:spacing w:val="-3"/>
        </w:rPr>
        <w:t xml:space="preserve"> </w:t>
      </w:r>
      <w:r>
        <w:rPr/>
        <w:t>inidoneidade</w:t>
      </w:r>
      <w:r>
        <w:rPr>
          <w:spacing w:val="-4"/>
        </w:rPr>
        <w:t xml:space="preserve"> </w:t>
      </w:r>
      <w:r>
        <w:rPr/>
        <w:t>para</w:t>
      </w:r>
      <w:r>
        <w:rPr>
          <w:spacing w:val="-3"/>
        </w:rPr>
        <w:t xml:space="preserve"> </w:t>
      </w:r>
      <w:r>
        <w:rPr/>
        <w:t>licitar</w:t>
      </w:r>
      <w:r>
        <w:rPr>
          <w:spacing w:val="-3"/>
        </w:rPr>
        <w:t xml:space="preserve"> </w:t>
      </w:r>
      <w:r>
        <w:rPr/>
        <w:t>ou</w:t>
      </w:r>
      <w:r>
        <w:rPr>
          <w:spacing w:val="-2"/>
        </w:rPr>
        <w:t xml:space="preserve"> contratar.</w:t>
      </w:r>
    </w:p>
    <w:p>
      <w:pPr>
        <w:pStyle w:val="ListParagraph"/>
        <w:keepNext w:val="false"/>
        <w:keepLines w:val="false"/>
        <w:widowControl w:val="false"/>
        <w:suppressAutoHyphens w:val="true"/>
        <w:ind w:hanging="0" w:left="0"/>
        <w:rPr>
          <w:rFonts w:eastAsia="Abyssinica SIL" w:cs="Abyssinica SIL"/>
        </w:rPr>
      </w:pPr>
      <w:r>
        <w:rPr>
          <w:rFonts w:eastAsia="Abyssinica SIL" w:cs="Abyssinica SIL"/>
        </w:rPr>
      </w:r>
    </w:p>
    <w:p>
      <w:pPr>
        <w:pStyle w:val="Terceiro"/>
        <w:keepNext w:val="false"/>
        <w:keepLines w:val="false"/>
        <w:widowControl w:val="false"/>
        <w:numPr>
          <w:ilvl w:val="2"/>
          <w:numId w:val="2"/>
        </w:numPr>
        <w:tabs>
          <w:tab w:val="clear" w:pos="851"/>
          <w:tab w:val="left" w:pos="846" w:leader="none"/>
        </w:tabs>
        <w:suppressAutoHyphens w:val="true"/>
        <w:ind w:hanging="0" w:left="0"/>
        <w:rPr/>
      </w:pPr>
      <w:r>
        <w:rPr>
          <w:rFonts w:eastAsia="Abyssinica SIL" w:cs="Abyssinica SIL"/>
        </w:rPr>
        <w:t>A</w:t>
      </w:r>
      <w:r>
        <w:rPr>
          <w:rFonts w:eastAsia="Abyssinica SIL" w:cs="Abyssinica SIL"/>
          <w:spacing w:val="-6"/>
        </w:rPr>
        <w:t xml:space="preserve"> </w:t>
      </w:r>
      <w:r>
        <w:rPr>
          <w:rFonts w:eastAsia="Abyssinica SIL" w:cs="Abyssinica SIL"/>
        </w:rPr>
        <w:t>penalidade</w:t>
      </w:r>
      <w:r>
        <w:rPr>
          <w:rFonts w:eastAsia="Abyssinica SIL" w:cs="Abyssinica SIL"/>
          <w:spacing w:val="-5"/>
        </w:rPr>
        <w:t xml:space="preserve"> </w:t>
      </w:r>
      <w:r>
        <w:rPr>
          <w:rFonts w:eastAsia="Abyssinica SIL" w:cs="Abyssinica SIL"/>
        </w:rPr>
        <w:t>de</w:t>
      </w:r>
      <w:r>
        <w:rPr>
          <w:rFonts w:eastAsia="Abyssinica SIL" w:cs="Abyssinica SIL"/>
          <w:spacing w:val="-5"/>
        </w:rPr>
        <w:t xml:space="preserve"> </w:t>
      </w:r>
      <w:r>
        <w:rPr>
          <w:rFonts w:eastAsia="Abyssinica SIL" w:cs="Abyssinica SIL"/>
        </w:rPr>
        <w:t>multa</w:t>
      </w:r>
      <w:r>
        <w:rPr>
          <w:rFonts w:eastAsia="Abyssinica SIL" w:cs="Abyssinica SIL"/>
          <w:spacing w:val="-5"/>
        </w:rPr>
        <w:t xml:space="preserve"> </w:t>
      </w:r>
      <w:r>
        <w:rPr>
          <w:rFonts w:eastAsia="Abyssinica SIL" w:cs="Abyssinica SIL"/>
        </w:rPr>
        <w:t>pode</w:t>
      </w:r>
      <w:r>
        <w:rPr>
          <w:rFonts w:eastAsia="Abyssinica SIL" w:cs="Abyssinica SIL"/>
          <w:spacing w:val="-5"/>
        </w:rPr>
        <w:t xml:space="preserve"> </w:t>
      </w:r>
      <w:r>
        <w:rPr>
          <w:rFonts w:eastAsia="Abyssinica SIL" w:cs="Abyssinica SIL"/>
        </w:rPr>
        <w:t>ser</w:t>
      </w:r>
      <w:r>
        <w:rPr>
          <w:rFonts w:eastAsia="Abyssinica SIL" w:cs="Abyssinica SIL"/>
          <w:spacing w:val="-5"/>
        </w:rPr>
        <w:t xml:space="preserve"> </w:t>
      </w:r>
      <w:r>
        <w:rPr>
          <w:rFonts w:eastAsia="Abyssinica SIL" w:cs="Abyssinica SIL"/>
        </w:rPr>
        <w:t>aplicada</w:t>
      </w:r>
      <w:r>
        <w:rPr>
          <w:rFonts w:eastAsia="Abyssinica SIL" w:cs="Abyssinica SIL"/>
          <w:spacing w:val="-5"/>
        </w:rPr>
        <w:t xml:space="preserve"> </w:t>
      </w:r>
      <w:r>
        <w:rPr>
          <w:rFonts w:eastAsia="Abyssinica SIL" w:cs="Abyssinica SIL"/>
        </w:rPr>
        <w:t>cumulativamente</w:t>
      </w:r>
      <w:r>
        <w:rPr>
          <w:rFonts w:eastAsia="Abyssinica SIL" w:cs="Abyssinica SIL"/>
          <w:spacing w:val="-5"/>
        </w:rPr>
        <w:t xml:space="preserve"> </w:t>
      </w:r>
      <w:r>
        <w:rPr>
          <w:rFonts w:eastAsia="Abyssinica SIL" w:cs="Abyssinica SIL"/>
        </w:rPr>
        <w:t>com</w:t>
      </w:r>
      <w:r>
        <w:rPr>
          <w:rFonts w:eastAsia="Abyssinica SIL" w:cs="Abyssinica SIL"/>
          <w:spacing w:val="-5"/>
        </w:rPr>
        <w:t xml:space="preserve"> </w:t>
      </w:r>
      <w:r>
        <w:rPr>
          <w:rFonts w:eastAsia="Abyssinica SIL" w:cs="Abyssinica SIL"/>
        </w:rPr>
        <w:t>as</w:t>
      </w:r>
      <w:r>
        <w:rPr>
          <w:rFonts w:eastAsia="Abyssinica SIL" w:cs="Abyssinica SIL"/>
          <w:spacing w:val="-5"/>
        </w:rPr>
        <w:t xml:space="preserve"> </w:t>
      </w:r>
      <w:r>
        <w:rPr>
          <w:rFonts w:eastAsia="Abyssinica SIL" w:cs="Abyssinica SIL"/>
        </w:rPr>
        <w:t>demais</w:t>
      </w:r>
      <w:r>
        <w:rPr>
          <w:rFonts w:eastAsia="Abyssinica SIL" w:cs="Abyssinica SIL"/>
          <w:spacing w:val="-5"/>
        </w:rPr>
        <w:t xml:space="preserve"> </w:t>
      </w:r>
      <w:r>
        <w:rPr>
          <w:rFonts w:eastAsia="Abyssinica SIL" w:cs="Abyssinica SIL"/>
          <w:spacing w:val="-2"/>
        </w:rPr>
        <w:t>sanções.</w:t>
      </w:r>
    </w:p>
    <w:p>
      <w:pPr>
        <w:pStyle w:val="Terceiro"/>
        <w:keepNext w:val="false"/>
        <w:keepLines w:val="false"/>
        <w:widowControl w:val="false"/>
        <w:numPr>
          <w:ilvl w:val="0"/>
          <w:numId w:val="0"/>
        </w:numPr>
        <w:tabs>
          <w:tab w:val="clear" w:pos="851"/>
          <w:tab w:val="left" w:pos="846" w:leader="none"/>
        </w:tabs>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Em</w:t>
      </w:r>
      <w:r>
        <w:rPr>
          <w:spacing w:val="-3"/>
        </w:rPr>
        <w:t xml:space="preserve"> </w:t>
      </w:r>
      <w:r>
        <w:rPr/>
        <w:t>qualquer</w:t>
      </w:r>
      <w:r>
        <w:rPr>
          <w:spacing w:val="-2"/>
        </w:rPr>
        <w:t xml:space="preserve"> </w:t>
      </w:r>
      <w:r>
        <w:rPr/>
        <w:t>hipótese</w:t>
      </w:r>
      <w:r>
        <w:rPr>
          <w:spacing w:val="-3"/>
        </w:rPr>
        <w:t xml:space="preserve"> </w:t>
      </w:r>
      <w:r>
        <w:rPr/>
        <w:t>de</w:t>
      </w:r>
      <w:r>
        <w:rPr>
          <w:spacing w:val="-3"/>
        </w:rPr>
        <w:t xml:space="preserve"> </w:t>
      </w:r>
      <w:r>
        <w:rPr/>
        <w:t>aplicação</w:t>
      </w:r>
      <w:r>
        <w:rPr>
          <w:spacing w:val="-2"/>
        </w:rPr>
        <w:t xml:space="preserve"> </w:t>
      </w:r>
      <w:r>
        <w:rPr/>
        <w:t>de</w:t>
      </w:r>
      <w:r>
        <w:rPr>
          <w:spacing w:val="-3"/>
        </w:rPr>
        <w:t xml:space="preserve"> </w:t>
      </w:r>
      <w:r>
        <w:rPr/>
        <w:t>sanções</w:t>
      </w:r>
      <w:r>
        <w:rPr>
          <w:spacing w:val="-3"/>
        </w:rPr>
        <w:t xml:space="preserve"> </w:t>
      </w:r>
      <w:r>
        <w:rPr/>
        <w:t>será</w:t>
      </w:r>
      <w:r>
        <w:rPr>
          <w:spacing w:val="-3"/>
        </w:rPr>
        <w:t xml:space="preserve"> </w:t>
      </w:r>
      <w:r>
        <w:rPr/>
        <w:t>assegurado</w:t>
      </w:r>
      <w:r>
        <w:rPr>
          <w:spacing w:val="-2"/>
        </w:rPr>
        <w:t xml:space="preserve"> </w:t>
      </w:r>
      <w:r>
        <w:rPr/>
        <w:t>ao FORNECEDOR</w:t>
      </w:r>
      <w:r>
        <w:rPr>
          <w:spacing w:val="-3"/>
        </w:rPr>
        <w:t xml:space="preserve"> </w:t>
      </w:r>
      <w:r>
        <w:rPr/>
        <w:t>o</w:t>
      </w:r>
      <w:r>
        <w:rPr>
          <w:spacing w:val="-2"/>
        </w:rPr>
        <w:t xml:space="preserve"> </w:t>
      </w:r>
      <w:r>
        <w:rPr/>
        <w:t>contraditório</w:t>
      </w:r>
      <w:r>
        <w:rPr>
          <w:spacing w:val="-2"/>
        </w:rPr>
        <w:t xml:space="preserve"> </w:t>
      </w:r>
      <w:r>
        <w:rPr/>
        <w:t>e</w:t>
      </w:r>
      <w:r>
        <w:rPr>
          <w:spacing w:val="-3"/>
        </w:rPr>
        <w:t xml:space="preserve"> </w:t>
      </w:r>
      <w:r>
        <w:rPr/>
        <w:t>a</w:t>
      </w:r>
      <w:r>
        <w:rPr>
          <w:spacing w:val="-3"/>
        </w:rPr>
        <w:t xml:space="preserve"> </w:t>
      </w:r>
      <w:r>
        <w:rPr/>
        <w:t xml:space="preserve">ampla </w:t>
      </w:r>
      <w:r>
        <w:rPr>
          <w:spacing w:val="-2"/>
        </w:rPr>
        <w:t>defesa.</w:t>
      </w:r>
    </w:p>
    <w:p>
      <w:pPr>
        <w:pStyle w:val="Segundo"/>
        <w:keepNext w:val="false"/>
        <w:keepLines w:val="false"/>
        <w:widowControl w:val="false"/>
        <w:numPr>
          <w:ilvl w:val="0"/>
          <w:numId w:val="0"/>
        </w:numPr>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rFonts w:eastAsia="Abyssinica SIL" w:cs="Abyssinica SIL"/>
        </w:rPr>
        <w:t>O FORNECEDOR aceita receber citações e intimações referentes a processos administrativos no e-mail informado com a proposta, devendo qualquer modificação no e-mail ser comunicada com antecedência, sob pena</w:t>
      </w:r>
      <w:r>
        <w:rPr>
          <w:rFonts w:eastAsia="Abyssinica SIL" w:cs="Abyssinica SIL"/>
          <w:spacing w:val="40"/>
        </w:rPr>
        <w:t xml:space="preserve"> </w:t>
      </w:r>
      <w:r>
        <w:rPr>
          <w:rFonts w:eastAsia="Abyssinica SIL" w:cs="Abyssinica SIL"/>
        </w:rPr>
        <w:t>de se reputarem válidas as intimações enviadas, iniciando-se a contagem do prazo depois de cinco dias corridos do encaminhamento do e-mail.</w:t>
      </w:r>
    </w:p>
    <w:p>
      <w:pPr>
        <w:pStyle w:val="Terceiro"/>
        <w:keepNext w:val="false"/>
        <w:keepLines w:val="false"/>
        <w:widowControl w:val="false"/>
        <w:numPr>
          <w:ilvl w:val="0"/>
          <w:numId w:val="0"/>
        </w:numPr>
        <w:suppressAutoHyphens w:val="true"/>
        <w:ind w:hanging="0" w:left="0"/>
        <w:rPr/>
      </w:pPr>
      <w:r>
        <w:rPr/>
      </w:r>
    </w:p>
    <w:p>
      <w:pPr>
        <w:pStyle w:val="Primeiro"/>
        <w:keepNext w:val="false"/>
        <w:keepLines w:val="false"/>
        <w:widowControl w:val="false"/>
        <w:numPr>
          <w:ilvl w:val="0"/>
          <w:numId w:val="2"/>
        </w:numPr>
        <w:suppressAutoHyphens w:val="true"/>
        <w:ind w:hanging="0" w:left="0"/>
        <w:rPr/>
      </w:pPr>
      <w:r>
        <w:rPr>
          <w:rFonts w:cs="Calibri" w:cstheme="minorHAnsi"/>
        </w:rPr>
        <w:t>DO GESTOR E DO FISCAL DA ATA DE REGISTRO DE PREÇOS</w:t>
      </w:r>
    </w:p>
    <w:p>
      <w:pPr>
        <w:pStyle w:val="Terceiro"/>
        <w:keepNext w:val="false"/>
        <w:keepLines w:val="false"/>
        <w:widowControl w:val="false"/>
        <w:numPr>
          <w:ilvl w:val="0"/>
          <w:numId w:val="0"/>
        </w:numPr>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sz w:val="22"/>
          <w:szCs w:val="22"/>
        </w:rPr>
        <w:t>Fica</w:t>
      </w:r>
      <w:r>
        <w:rPr>
          <w:rFonts w:eastAsia="Calibri" w:cs="Calibri" w:cstheme="minorHAnsi"/>
          <w:bCs/>
          <w:color w:val="000000"/>
          <w:spacing w:val="-2"/>
          <w:sz w:val="22"/>
          <w:szCs w:val="22"/>
          <w:lang w:eastAsia="pt-BR"/>
        </w:rPr>
        <w:t xml:space="preserve"> designado como gestor da Ata de Registro de Preços o Sr. José Miguel Leoni, Secretário Municipal de Obras, Transportes e Serviços Urbanos, a quem competirá o acompanhamento da execução e a adoção das providências necessárias ao fiel cumprimento das obrigações assumidas.</w:t>
      </w:r>
    </w:p>
    <w:p>
      <w:pPr>
        <w:pStyle w:val="Segundo"/>
        <w:keepNext w:val="false"/>
        <w:keepLines w:val="false"/>
        <w:widowControl w:val="false"/>
        <w:numPr>
          <w:ilvl w:val="0"/>
          <w:numId w:val="0"/>
        </w:numPr>
        <w:suppressAutoHyphens w:val="true"/>
        <w:ind w:hanging="0" w:left="0"/>
        <w:rPr>
          <w:rFonts w:ascii="Calibri" w:hAnsi="Calibri" w:eastAsia="Calibri" w:cs="Calibri" w:cstheme="minorHAnsi"/>
          <w:bCs/>
          <w:color w:val="000000"/>
          <w:spacing w:val="-2"/>
          <w:sz w:val="22"/>
          <w:szCs w:val="22"/>
          <w:lang w:eastAsia="pt-BR"/>
        </w:rPr>
      </w:pPr>
      <w:r>
        <w:rPr>
          <w:rFonts w:eastAsia="Calibri" w:cs="Calibri" w:cstheme="minorHAnsi"/>
          <w:bCs/>
          <w:color w:val="000000"/>
          <w:spacing w:val="-2"/>
          <w:sz w:val="22"/>
          <w:szCs w:val="22"/>
          <w:lang w:eastAsia="pt-BR"/>
        </w:rPr>
      </w:r>
    </w:p>
    <w:p>
      <w:pPr>
        <w:pStyle w:val="Segundo"/>
        <w:keepNext w:val="false"/>
        <w:keepLines w:val="false"/>
        <w:widowControl w:val="false"/>
        <w:numPr>
          <w:ilvl w:val="1"/>
          <w:numId w:val="2"/>
        </w:numPr>
        <w:suppressAutoHyphens w:val="true"/>
        <w:ind w:hanging="0" w:left="0"/>
        <w:rPr/>
      </w:pPr>
      <w:r>
        <w:rPr>
          <w:rFonts w:eastAsia="Calibri" w:cs="Calibri" w:cstheme="minorHAnsi"/>
          <w:bCs/>
          <w:color w:val="000000"/>
          <w:spacing w:val="-2"/>
          <w:sz w:val="22"/>
          <w:szCs w:val="22"/>
          <w:lang w:eastAsia="pt-BR"/>
        </w:rPr>
        <w:t>Fica designado como fiscal da Ata de Registro de Preços o Sr. Juliano Sardo, Diretor de Transportes, responsável pela fiscalização da execução, verificação do cumprimento das condições estabelecidas e atesto das notas fiscais.</w:t>
      </w:r>
    </w:p>
    <w:p>
      <w:pPr>
        <w:pStyle w:val="Corpo"/>
        <w:keepNext w:val="false"/>
        <w:keepLines w:val="false"/>
        <w:widowControl w:val="false"/>
        <w:suppressAutoHyphens w:val="true"/>
        <w:ind w:hanging="0" w:left="0"/>
        <w:rPr/>
      </w:pPr>
      <w:r>
        <w:rPr/>
      </w:r>
    </w:p>
    <w:p>
      <w:pPr>
        <w:pStyle w:val="Primeiro"/>
        <w:keepNext w:val="false"/>
        <w:keepLines w:val="false"/>
        <w:widowControl w:val="false"/>
        <w:numPr>
          <w:ilvl w:val="0"/>
          <w:numId w:val="2"/>
        </w:numPr>
        <w:suppressAutoHyphens w:val="true"/>
        <w:ind w:hanging="0" w:left="0"/>
        <w:rPr/>
      </w:pPr>
      <w:r>
        <w:rPr/>
        <w:t>DAS DISPOSIÇÕES FINAIS.</w:t>
      </w:r>
    </w:p>
    <w:p>
      <w:pPr>
        <w:pStyle w:val="Corpo"/>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 xml:space="preserve">A presente ARP – Ata de Registro de Preços, bem como o Edital e seus anexos, são complementares entre si, de modo que qualquer condição, cláusula ou detalhe mencionado em um documento e omitido em outro será considerado válido e plenamente aplicável. </w:t>
      </w:r>
    </w:p>
    <w:p>
      <w:pPr>
        <w:pStyle w:val="Corpo"/>
        <w:keepNext w:val="false"/>
        <w:keepLines w:val="false"/>
        <w:widowControl w:val="false"/>
        <w:suppressAutoHyphens w:val="true"/>
        <w:ind w:hanging="0" w:left="0"/>
        <w:rPr/>
      </w:pPr>
      <w:r>
        <w:rPr/>
      </w:r>
    </w:p>
    <w:p>
      <w:pPr>
        <w:pStyle w:val="Primeiro"/>
        <w:keepNext w:val="false"/>
        <w:keepLines w:val="false"/>
        <w:widowControl w:val="false"/>
        <w:numPr>
          <w:ilvl w:val="0"/>
          <w:numId w:val="2"/>
        </w:numPr>
        <w:suppressAutoHyphens w:val="true"/>
        <w:ind w:hanging="0" w:left="0"/>
        <w:rPr/>
      </w:pPr>
      <w:r>
        <w:rPr/>
        <w:t>DO FORO</w:t>
      </w:r>
    </w:p>
    <w:p>
      <w:pPr>
        <w:pStyle w:val="Corpo"/>
        <w:keepNext w:val="false"/>
        <w:keepLines w:val="false"/>
        <w:widowControl w:val="false"/>
        <w:suppressAutoHyphens w:val="true"/>
        <w:ind w:hanging="0" w:left="0"/>
        <w:rPr/>
      </w:pPr>
      <w:r>
        <w:rPr/>
      </w:r>
    </w:p>
    <w:p>
      <w:pPr>
        <w:pStyle w:val="Segundo"/>
        <w:keepNext w:val="false"/>
        <w:keepLines w:val="false"/>
        <w:widowControl w:val="false"/>
        <w:numPr>
          <w:ilvl w:val="1"/>
          <w:numId w:val="2"/>
        </w:numPr>
        <w:suppressAutoHyphens w:val="true"/>
        <w:ind w:hanging="0" w:left="0"/>
        <w:rPr/>
      </w:pPr>
      <w:r>
        <w:rPr/>
        <w:t xml:space="preserve">As PARTES elegem o Foro da Comarca de Brusque/SC, com renúncia expressa de qualquer outro, por mais privilegiado que seja, para dirimir quaisquer questões relativas à aplicação desta ARP – Ata de Registro de Preços, bem como à execução do ajuste, que não puderem ser resolvidas na esfera administrativa. </w:t>
      </w:r>
    </w:p>
    <w:p>
      <w:pPr>
        <w:pStyle w:val="Corpo"/>
        <w:keepNext w:val="false"/>
        <w:keepLines w:val="false"/>
        <w:widowControl w:val="false"/>
        <w:suppressAutoHyphens w:val="true"/>
        <w:ind w:hanging="0" w:left="0"/>
        <w:rPr/>
      </w:pPr>
      <w:r>
        <w:rPr/>
      </w:r>
    </w:p>
    <w:p>
      <w:pPr>
        <w:pStyle w:val="Corpo"/>
        <w:keepNext w:val="false"/>
        <w:keepLines w:val="false"/>
        <w:widowControl w:val="false"/>
        <w:suppressAutoHyphens w:val="true"/>
        <w:ind w:hanging="0" w:left="0"/>
        <w:rPr/>
      </w:pPr>
      <w:r>
        <w:rPr>
          <w:rFonts w:cs="Calibri" w:cstheme="minorHAnsi"/>
        </w:rPr>
        <w:t xml:space="preserve">E, por estarem assim justas e acordadas, as PARTES firmam o presente instrumento de forma eletrônica, dispensando a assinatura de testemunhas, nos termos do art. 784, §4º, da Lei nº 13.105/2015 (Código de Processo Civil). </w:t>
      </w:r>
    </w:p>
    <w:p>
      <w:pPr>
        <w:pStyle w:val="Prembulo"/>
        <w:keepNext w:val="false"/>
        <w:keepLines w:val="false"/>
        <w:widowControl w:val="false"/>
        <w:suppressAutoHyphens w:val="true"/>
        <w:ind w:hanging="0" w:left="0"/>
        <w:jc w:val="left"/>
        <w:rPr>
          <w:rFonts w:ascii="Calibri" w:hAnsi="Calibri" w:cs="Calibri" w:asciiTheme="minorHAnsi" w:cstheme="minorHAnsi" w:hAnsiTheme="minorHAnsi"/>
        </w:rPr>
      </w:pPr>
      <w:r>
        <w:rPr>
          <w:rFonts w:cs="Calibri" w:cstheme="minorHAnsi"/>
        </w:rPr>
      </w:r>
    </w:p>
    <w:p>
      <w:pPr>
        <w:pStyle w:val="Prembulo"/>
        <w:keepNext w:val="false"/>
        <w:keepLines w:val="false"/>
        <w:widowControl w:val="false"/>
        <w:suppressAutoHyphens w:val="true"/>
        <w:ind w:hanging="0" w:left="0"/>
        <w:jc w:val="left"/>
        <w:rPr/>
      </w:pPr>
      <w:r>
        <w:rPr>
          <w:rFonts w:cs="Calibri" w:cstheme="minorHAnsi"/>
          <w:b w:val="false"/>
          <w:bCs/>
        </w:rPr>
        <w:t xml:space="preserve">Botuverá-SC, </w:t>
      </w:r>
      <w:r>
        <w:rPr>
          <w:rFonts w:cs="Calibri" w:cstheme="minorHAnsi"/>
          <w:b w:val="false"/>
          <w:bCs/>
        </w:rPr>
        <w:t>xxx</w:t>
      </w:r>
      <w:r>
        <w:rPr>
          <w:b w:val="false"/>
          <w:bCs/>
        </w:rPr>
        <w:t xml:space="preserve"> de </w:t>
      </w:r>
      <w:r>
        <w:rPr>
          <w:b w:val="false"/>
          <w:bCs/>
        </w:rPr>
        <w:t>xxxxxxx</w:t>
      </w:r>
      <w:r>
        <w:rPr>
          <w:b w:val="false"/>
          <w:bCs/>
        </w:rPr>
        <w:t xml:space="preserve"> de 2026</w:t>
      </w:r>
      <w:r>
        <w:rPr>
          <w:rFonts w:cs="Calibri" w:cstheme="minorHAnsi"/>
          <w:b w:val="false"/>
          <w:bCs/>
        </w:rPr>
        <w:t>.</w:t>
      </w:r>
    </w:p>
    <w:p>
      <w:pPr>
        <w:pStyle w:val="Prembulo"/>
        <w:widowControl w:val="false"/>
        <w:suppressAutoHyphens w:val="true"/>
        <w:ind w:hanging="0" w:left="0"/>
        <w:jc w:val="left"/>
        <w:rPr>
          <w:rFonts w:cs="Calibri" w:cstheme="minorHAnsi"/>
          <w:b w:val="false"/>
          <w:bCs/>
        </w:rPr>
      </w:pPr>
      <w:r>
        <w:rPr>
          <w:rFonts w:cs="Calibri" w:cstheme="minorHAnsi"/>
          <w:b w:val="false"/>
          <w:bCs/>
        </w:rPr>
      </w:r>
    </w:p>
    <w:p>
      <w:pPr>
        <w:pStyle w:val="Prembulo"/>
        <w:keepNext w:val="false"/>
        <w:keepLines w:val="false"/>
        <w:widowControl w:val="false"/>
        <w:suppressAutoHyphens w:val="true"/>
        <w:ind w:hanging="0" w:left="0"/>
        <w:jc w:val="left"/>
        <w:rPr>
          <w:rFonts w:cs="Calibri" w:cstheme="minorHAnsi"/>
          <w:b w:val="false"/>
          <w:bCs/>
        </w:rPr>
      </w:pPr>
      <w:r>
        <w:rPr>
          <w:rFonts w:cs="Calibri" w:cstheme="minorHAnsi"/>
          <w:b w:val="false"/>
          <w:bCs/>
        </w:rPr>
      </w:r>
    </w:p>
    <w:tbl>
      <w:tblPr>
        <w:tblStyle w:val="Tabelacomgrade"/>
        <w:tblW w:w="9353" w:type="dxa"/>
        <w:jc w:val="center"/>
        <w:tblInd w:w="0" w:type="dxa"/>
        <w:tblLayout w:type="fixed"/>
        <w:tblCellMar>
          <w:top w:w="55" w:type="dxa"/>
          <w:left w:w="108" w:type="dxa"/>
          <w:bottom w:w="55" w:type="dxa"/>
          <w:right w:w="108" w:type="dxa"/>
        </w:tblCellMar>
        <w:tblLook w:val="04a0" w:firstRow="1" w:noVBand="1" w:lastRow="0" w:firstColumn="1" w:lastColumn="0" w:noHBand="0"/>
      </w:tblPr>
      <w:tblGrid>
        <w:gridCol w:w="4535"/>
        <w:gridCol w:w="4818"/>
      </w:tblGrid>
      <w:tr>
        <w:trPr>
          <w:trHeight w:val="1020" w:hRule="atLeast"/>
        </w:trPr>
        <w:tc>
          <w:tcPr>
            <w:tcW w:w="4535" w:type="dxa"/>
            <w:tcBorders>
              <w:top w:val="single" w:sz="4" w:space="0" w:color="FFFFFF"/>
              <w:left w:val="single" w:sz="4" w:space="0" w:color="FFFFFF"/>
              <w:bottom w:val="single" w:sz="4" w:space="0" w:color="FFFFFF"/>
              <w:right w:val="single" w:sz="4" w:space="0" w:color="FFFFFF"/>
            </w:tcBorders>
          </w:tcPr>
          <w:p>
            <w:pPr>
              <w:pStyle w:val="Normal"/>
              <w:keepNext w:val="false"/>
              <w:keepLines w:val="false"/>
              <w:widowControl w:val="false"/>
              <w:suppressAutoHyphens w:val="true"/>
              <w:spacing w:before="0" w:after="0"/>
              <w:ind w:hanging="0" w:left="0"/>
              <w:jc w:val="center"/>
              <w:rPr/>
            </w:pPr>
            <w:r>
              <w:rPr>
                <w:rFonts w:eastAsia="Calibri" w:cs="Calibri" w:ascii="Calibri" w:hAnsi="Calibri" w:asciiTheme="minorHAnsi" w:cstheme="minorHAnsi" w:hAnsiTheme="minorHAnsi"/>
                <w:b/>
                <w:bCs/>
                <w:kern w:val="0"/>
                <w:sz w:val="22"/>
                <w:szCs w:val="22"/>
                <w:lang w:eastAsia="en-US" w:bidi="ar-SA"/>
              </w:rPr>
              <w:t>VICTOR JOSÉ WIETCOWSKY</w:t>
            </w:r>
          </w:p>
          <w:p>
            <w:pPr>
              <w:pStyle w:val="Normal"/>
              <w:keepNext w:val="false"/>
              <w:keepLines w:val="false"/>
              <w:widowControl w:val="false"/>
              <w:suppressAutoHyphens w:val="true"/>
              <w:spacing w:before="0" w:after="0"/>
              <w:ind w:hanging="0" w:left="0"/>
              <w:jc w:val="center"/>
              <w:rPr/>
            </w:pPr>
            <w:r>
              <w:rPr>
                <w:rFonts w:eastAsia="Calibri" w:cs="Calibri" w:ascii="Calibri" w:hAnsi="Calibri" w:asciiTheme="minorHAnsi" w:cstheme="minorHAnsi" w:hAnsiTheme="minorHAnsi"/>
                <w:kern w:val="0"/>
                <w:sz w:val="22"/>
                <w:szCs w:val="22"/>
                <w:lang w:eastAsia="en-US" w:bidi="ar-SA"/>
              </w:rPr>
              <w:t>Prefeito Municipal</w:t>
            </w:r>
          </w:p>
          <w:p>
            <w:pPr>
              <w:pStyle w:val="Prembulo"/>
              <w:keepNext w:val="false"/>
              <w:keepLines w:val="false"/>
              <w:widowControl w:val="false"/>
              <w:suppressAutoHyphens w:val="true"/>
              <w:spacing w:before="0" w:after="0"/>
              <w:ind w:hanging="0" w:left="0"/>
              <w:rPr/>
            </w:pPr>
            <w:r>
              <w:rPr>
                <w:rFonts w:cs="Calibri" w:cstheme="minorHAnsi"/>
                <w:kern w:val="0"/>
                <w:sz w:val="22"/>
                <w:szCs w:val="22"/>
                <w:lang w:eastAsia="en-US" w:bidi="ar-SA"/>
              </w:rPr>
              <w:t>(MUNICÍPIO)</w:t>
            </w:r>
          </w:p>
        </w:tc>
        <w:tc>
          <w:tcPr>
            <w:tcW w:w="4818" w:type="dxa"/>
            <w:tcBorders>
              <w:top w:val="single" w:sz="4" w:space="0" w:color="FFFFFF"/>
              <w:left w:val="single" w:sz="4" w:space="0" w:color="FFFFFF"/>
              <w:bottom w:val="single" w:sz="4" w:space="0" w:color="FFFFFF"/>
              <w:right w:val="single" w:sz="4" w:space="0" w:color="FFFFFF"/>
            </w:tcBorders>
            <w:tcMar>
              <w:top w:w="0" w:type="dxa"/>
              <w:bottom w:w="0" w:type="dxa"/>
            </w:tcMar>
          </w:tcPr>
          <w:p>
            <w:pPr>
              <w:pStyle w:val="Prembulo"/>
              <w:keepNext w:val="false"/>
              <w:keepLines w:val="false"/>
              <w:widowControl w:val="false"/>
              <w:suppressAutoHyphens w:val="true"/>
              <w:spacing w:before="0" w:after="0"/>
              <w:ind w:hanging="0" w:left="0"/>
              <w:rPr/>
            </w:pPr>
            <w:r>
              <w:rPr>
                <w:rFonts w:cs="Calibri" w:cstheme="minorHAnsi"/>
                <w:kern w:val="0"/>
                <w:sz w:val="22"/>
                <w:szCs w:val="22"/>
                <w:lang w:eastAsia="en-US" w:bidi="ar-SA"/>
              </w:rPr>
              <w:t>NOME DA EMPRESA</w:t>
            </w:r>
          </w:p>
          <w:p>
            <w:pPr>
              <w:pStyle w:val="Prembulo"/>
              <w:keepNext w:val="false"/>
              <w:keepLines w:val="false"/>
              <w:widowControl w:val="false"/>
              <w:suppressAutoHyphens w:val="true"/>
              <w:spacing w:before="0" w:after="0"/>
              <w:ind w:hanging="0" w:left="0"/>
              <w:rPr/>
            </w:pPr>
            <w:r>
              <w:rPr>
                <w:rFonts w:cs="Calibri" w:cstheme="minorHAnsi"/>
                <w:b w:val="false"/>
                <w:bCs/>
                <w:kern w:val="0"/>
                <w:sz w:val="22"/>
                <w:szCs w:val="22"/>
                <w:lang w:eastAsia="en-US" w:bidi="ar-SA"/>
              </w:rPr>
              <w:t>rp. NOME DO RESPOSÁVEL</w:t>
            </w:r>
          </w:p>
          <w:p>
            <w:pPr>
              <w:pStyle w:val="Prembulo"/>
              <w:keepNext w:val="false"/>
              <w:keepLines w:val="false"/>
              <w:widowControl w:val="false"/>
              <w:suppressAutoHyphens w:val="true"/>
              <w:spacing w:before="0" w:after="0"/>
              <w:ind w:hanging="0" w:left="0"/>
              <w:rPr/>
            </w:pPr>
            <w:r>
              <w:rPr>
                <w:rFonts w:cs="Calibri" w:cstheme="minorHAnsi"/>
                <w:kern w:val="0"/>
                <w:sz w:val="22"/>
                <w:szCs w:val="22"/>
                <w:lang w:eastAsia="en-US" w:bidi="ar-SA"/>
              </w:rPr>
              <w:t>(FORNECEDOR)</w:t>
            </w:r>
          </w:p>
        </w:tc>
      </w:tr>
    </w:tbl>
    <w:p>
      <w:pPr>
        <w:pStyle w:val="Normal"/>
        <w:keepNext w:val="false"/>
        <w:keepLines w:val="false"/>
        <w:widowControl w:val="false"/>
        <w:suppressAutoHyphens w:val="true"/>
        <w:ind w:hanging="0" w:left="0"/>
        <w:jc w:val="left"/>
        <w:rPr>
          <w:rFonts w:cs="Calibri" w:cstheme="minorHAnsi"/>
          <w:b w:val="false"/>
          <w:bCs/>
        </w:rPr>
      </w:pPr>
      <w:r>
        <w:rPr>
          <w:rFonts w:cs="Calibri" w:cstheme="minorHAnsi"/>
          <w:b w:val="false"/>
          <w:bCs/>
        </w:rPr>
      </w:r>
    </w:p>
    <w:p>
      <w:pPr>
        <w:pStyle w:val="Prembulo"/>
        <w:keepNext w:val="false"/>
        <w:keepLines w:val="false"/>
        <w:widowControl w:val="false"/>
        <w:suppressAutoHyphens w:val="true"/>
        <w:ind w:hanging="0" w:left="0"/>
        <w:rPr>
          <w:rFonts w:ascii="Calibri" w:hAnsi="Calibri" w:cs="Calibri" w:asciiTheme="minorHAnsi" w:cstheme="minorHAnsi" w:hAnsiTheme="minorHAnsi"/>
          <w:b w:val="false"/>
          <w:bCs/>
          <w:sz w:val="22"/>
          <w:szCs w:val="22"/>
        </w:rPr>
      </w:pPr>
      <w:r>
        <w:rPr>
          <w:rFonts w:cs="Calibri" w:cstheme="minorHAnsi"/>
          <w:b w:val="false"/>
          <w:bCs/>
          <w:sz w:val="22"/>
          <w:szCs w:val="22"/>
        </w:rPr>
      </w:r>
    </w:p>
    <w:p>
      <w:pPr>
        <w:pStyle w:val="Prembulo"/>
        <w:keepNext w:val="false"/>
        <w:keepLines w:val="false"/>
        <w:widowControl w:val="false"/>
        <w:suppressAutoHyphens w:val="true"/>
        <w:ind w:hanging="0" w:left="0"/>
        <w:jc w:val="left"/>
        <w:rPr>
          <w:rFonts w:ascii="Calibri" w:hAnsi="Calibri" w:cs="Calibri" w:asciiTheme="minorHAnsi" w:cstheme="minorHAnsi" w:hAnsiTheme="minorHAnsi"/>
          <w:b w:val="false"/>
          <w:bCs/>
          <w:sz w:val="22"/>
          <w:szCs w:val="22"/>
        </w:rPr>
      </w:pPr>
      <w:r>
        <w:rPr>
          <w:rFonts w:cs="Calibri" w:cstheme="minorHAnsi"/>
          <w:b w:val="false"/>
          <w:bCs/>
          <w:sz w:val="22"/>
          <w:szCs w:val="22"/>
        </w:rPr>
      </w:r>
    </w:p>
    <w:tbl>
      <w:tblPr>
        <w:tblStyle w:val="Tabelacomgrade"/>
        <w:tblW w:w="9353" w:type="dxa"/>
        <w:jc w:val="center"/>
        <w:tblInd w:w="0" w:type="dxa"/>
        <w:tblLayout w:type="fixed"/>
        <w:tblCellMar>
          <w:top w:w="55" w:type="dxa"/>
          <w:left w:w="108" w:type="dxa"/>
          <w:bottom w:w="55" w:type="dxa"/>
          <w:right w:w="108" w:type="dxa"/>
        </w:tblCellMar>
        <w:tblLook w:val="04a0" w:firstRow="1" w:noVBand="1" w:lastRow="0" w:firstColumn="1" w:lastColumn="0" w:noHBand="0"/>
      </w:tblPr>
      <w:tblGrid>
        <w:gridCol w:w="4535"/>
        <w:gridCol w:w="4818"/>
      </w:tblGrid>
      <w:tr>
        <w:trPr>
          <w:trHeight w:val="1020" w:hRule="atLeast"/>
        </w:trPr>
        <w:tc>
          <w:tcPr>
            <w:tcW w:w="4535" w:type="dxa"/>
            <w:tcBorders>
              <w:top w:val="single" w:sz="4" w:space="0" w:color="FFFFFF"/>
              <w:left w:val="single" w:sz="4" w:space="0" w:color="FFFFFF"/>
              <w:bottom w:val="single" w:sz="4" w:space="0" w:color="FFFFFF"/>
              <w:right w:val="single" w:sz="4" w:space="0" w:color="FFFFFF"/>
            </w:tcBorders>
          </w:tcPr>
          <w:p>
            <w:pPr>
              <w:pStyle w:val="Normal"/>
              <w:keepNext w:val="false"/>
              <w:keepLines w:val="false"/>
              <w:widowControl w:val="false"/>
              <w:suppressAutoHyphens w:val="true"/>
              <w:spacing w:before="0" w:after="0"/>
              <w:ind w:hanging="0" w:left="0"/>
              <w:jc w:val="center"/>
              <w:rPr/>
            </w:pPr>
            <w:r>
              <w:rPr>
                <w:rFonts w:eastAsia="Calibri" w:cs="Calibri" w:ascii="Calibri" w:hAnsi="Calibri"/>
                <w:b/>
                <w:bCs/>
                <w:kern w:val="0"/>
                <w:sz w:val="22"/>
                <w:szCs w:val="22"/>
                <w:lang w:eastAsia="en-US" w:bidi="ar-SA"/>
              </w:rPr>
              <w:t>JOSÉ MIGUEL LEONI</w:t>
            </w:r>
          </w:p>
          <w:p>
            <w:pPr>
              <w:pStyle w:val="Normal"/>
              <w:keepNext w:val="false"/>
              <w:keepLines w:val="false"/>
              <w:widowControl w:val="false"/>
              <w:suppressAutoHyphens w:val="true"/>
              <w:spacing w:before="0" w:after="0"/>
              <w:ind w:hanging="0" w:left="0"/>
              <w:jc w:val="center"/>
              <w:rPr/>
            </w:pPr>
            <w:r>
              <w:rPr>
                <w:rFonts w:eastAsia="Calibri" w:cs="Calibri" w:ascii="Calibri" w:hAnsi="Calibri"/>
                <w:kern w:val="0"/>
                <w:sz w:val="22"/>
                <w:szCs w:val="22"/>
                <w:lang w:eastAsia="en-US" w:bidi="ar-SA"/>
              </w:rPr>
              <w:t>Secretário Municipal de Obras, Transportes e Serviços Urbanos</w:t>
            </w:r>
          </w:p>
          <w:p>
            <w:pPr>
              <w:pStyle w:val="Normal"/>
              <w:keepNext w:val="false"/>
              <w:keepLines w:val="false"/>
              <w:widowControl w:val="false"/>
              <w:suppressAutoHyphens w:val="true"/>
              <w:spacing w:before="0" w:after="0"/>
              <w:ind w:hanging="0" w:left="0"/>
              <w:jc w:val="center"/>
              <w:rPr/>
            </w:pPr>
            <w:r>
              <w:rPr>
                <w:rFonts w:eastAsia="Calibri" w:cs="Calibri" w:ascii="Calibri" w:hAnsi="Calibri"/>
                <w:kern w:val="0"/>
                <w:sz w:val="22"/>
                <w:szCs w:val="22"/>
                <w:lang w:eastAsia="en-US" w:bidi="ar-SA"/>
              </w:rPr>
              <w:t>(GESTOR DA ARP)</w:t>
            </w:r>
          </w:p>
        </w:tc>
        <w:tc>
          <w:tcPr>
            <w:tcW w:w="4818" w:type="dxa"/>
            <w:tcBorders>
              <w:top w:val="single" w:sz="4" w:space="0" w:color="FFFFFF"/>
              <w:left w:val="single" w:sz="4" w:space="0" w:color="FFFFFF"/>
              <w:bottom w:val="single" w:sz="4" w:space="0" w:color="FFFFFF"/>
              <w:right w:val="single" w:sz="4" w:space="0" w:color="FFFFFF"/>
            </w:tcBorders>
            <w:tcMar>
              <w:top w:w="0" w:type="dxa"/>
              <w:bottom w:w="0" w:type="dxa"/>
            </w:tcMar>
          </w:tcPr>
          <w:p>
            <w:pPr>
              <w:pStyle w:val="Normal"/>
              <w:keepNext w:val="false"/>
              <w:keepLines w:val="false"/>
              <w:widowControl w:val="false"/>
              <w:suppressAutoHyphens w:val="true"/>
              <w:spacing w:before="0" w:after="0"/>
              <w:ind w:hanging="0" w:left="0"/>
              <w:jc w:val="center"/>
              <w:rPr>
                <w:rFonts w:ascii="Calibri" w:hAnsi="Calibri" w:eastAsia="Calibri" w:cs="Calibri"/>
                <w:b/>
                <w:bCs/>
                <w:sz w:val="22"/>
                <w:szCs w:val="22"/>
              </w:rPr>
            </w:pPr>
            <w:r>
              <w:rPr>
                <w:rFonts w:eastAsia="Calibri" w:cs="Calibri" w:ascii="Calibri" w:hAnsi="Calibri"/>
                <w:b/>
                <w:bCs/>
                <w:sz w:val="22"/>
                <w:szCs w:val="22"/>
              </w:rPr>
            </w:r>
          </w:p>
          <w:p>
            <w:pPr>
              <w:pStyle w:val="Normal"/>
              <w:keepNext w:val="false"/>
              <w:keepLines w:val="false"/>
              <w:widowControl w:val="false"/>
              <w:suppressAutoHyphens w:val="true"/>
              <w:spacing w:before="0" w:after="0"/>
              <w:ind w:hanging="0" w:left="0"/>
              <w:jc w:val="center"/>
              <w:rPr/>
            </w:pPr>
            <w:r>
              <w:rPr>
                <w:rFonts w:eastAsia="Calibri" w:cs="Calibri" w:ascii="Calibri" w:hAnsi="Calibri"/>
                <w:b/>
                <w:bCs/>
                <w:kern w:val="0"/>
                <w:sz w:val="22"/>
                <w:szCs w:val="22"/>
                <w:lang w:eastAsia="en-US" w:bidi="ar-SA"/>
              </w:rPr>
              <w:t>JULIANO SARDO</w:t>
            </w:r>
          </w:p>
          <w:p>
            <w:pPr>
              <w:pStyle w:val="Normal"/>
              <w:keepNext w:val="false"/>
              <w:keepLines w:val="false"/>
              <w:widowControl w:val="false"/>
              <w:suppressAutoHyphens w:val="true"/>
              <w:spacing w:before="0" w:after="0"/>
              <w:ind w:hanging="0" w:left="0"/>
              <w:jc w:val="center"/>
              <w:rPr/>
            </w:pPr>
            <w:r>
              <w:rPr>
                <w:rFonts w:eastAsia="Calibri" w:cs="Calibri" w:ascii="Calibri" w:hAnsi="Calibri"/>
                <w:kern w:val="0"/>
                <w:sz w:val="22"/>
                <w:szCs w:val="22"/>
                <w:lang w:eastAsia="en-US" w:bidi="ar-SA"/>
              </w:rPr>
              <w:t>Diretor de Transportes</w:t>
            </w:r>
          </w:p>
          <w:p>
            <w:pPr>
              <w:pStyle w:val="Normal"/>
              <w:keepNext w:val="false"/>
              <w:keepLines w:val="false"/>
              <w:widowControl w:val="false"/>
              <w:suppressAutoHyphens w:val="true"/>
              <w:spacing w:before="0" w:after="0"/>
              <w:ind w:hanging="0" w:left="0"/>
              <w:jc w:val="center"/>
              <w:rPr/>
            </w:pPr>
            <w:r>
              <w:rPr>
                <w:rFonts w:eastAsia="Calibri" w:cs="Calibri" w:ascii="Calibri" w:hAnsi="Calibri"/>
                <w:kern w:val="0"/>
                <w:sz w:val="22"/>
                <w:szCs w:val="22"/>
                <w:lang w:eastAsia="en-US" w:bidi="ar-SA"/>
              </w:rPr>
              <w:t>(FISCAL DA ARP)</w:t>
            </w:r>
          </w:p>
        </w:tc>
      </w:tr>
    </w:tbl>
    <w:p>
      <w:pPr>
        <w:pStyle w:val="Normal"/>
        <w:keepNext w:val="false"/>
        <w:keepLines w:val="false"/>
        <w:widowControl w:val="false"/>
        <w:suppressAutoHyphens w:val="true"/>
        <w:ind w:hanging="0" w:left="0"/>
        <w:rPr>
          <w:rFonts w:ascii="Calibri" w:hAnsi="Calibri" w:eastAsia="Calibri" w:cs="Calibri" w:asciiTheme="minorHAnsi" w:cstheme="minorHAnsi" w:hAnsiTheme="minorHAnsi"/>
          <w:b/>
          <w:sz w:val="22"/>
          <w:szCs w:val="22"/>
        </w:rPr>
      </w:pPr>
      <w:r>
        <w:rPr>
          <w:rFonts w:eastAsia="Calibri" w:cs="Calibri" w:cstheme="minorHAnsi" w:ascii="Calibri" w:hAnsi="Calibri"/>
          <w:b/>
          <w:sz w:val="22"/>
          <w:szCs w:val="22"/>
        </w:rPr>
      </w:r>
    </w:p>
    <w:p>
      <w:pPr>
        <w:pStyle w:val="Normal"/>
        <w:keepNext w:val="false"/>
        <w:keepLines w:val="false"/>
        <w:widowControl w:val="false"/>
        <w:suppressAutoHyphens w:val="true"/>
        <w:ind w:hanging="0" w:left="0"/>
        <w:rPr>
          <w:rFonts w:ascii="Calibri" w:hAnsi="Calibri" w:eastAsia="Calibri" w:cs="Calibri" w:asciiTheme="minorHAnsi" w:cstheme="minorHAnsi" w:hAnsiTheme="minorHAnsi"/>
          <w:b/>
          <w:sz w:val="22"/>
          <w:szCs w:val="22"/>
        </w:rPr>
      </w:pPr>
      <w:r>
        <w:rPr>
          <w:rFonts w:eastAsia="Calibri" w:cs="Calibri" w:cstheme="minorHAnsi" w:ascii="Calibri" w:hAnsi="Calibri"/>
          <w:b/>
          <w:sz w:val="22"/>
          <w:szCs w:val="22"/>
        </w:rPr>
      </w:r>
    </w:p>
    <w:p>
      <w:pPr>
        <w:pStyle w:val="Normal"/>
        <w:keepNext w:val="false"/>
        <w:keepLines w:val="false"/>
        <w:widowControl w:val="false"/>
        <w:suppressAutoHyphens w:val="true"/>
        <w:ind w:hanging="0" w:left="0"/>
        <w:rPr>
          <w:rFonts w:ascii="Calibri" w:hAnsi="Calibri" w:eastAsia="Calibri" w:cs="Calibri" w:asciiTheme="minorHAnsi" w:cstheme="minorHAnsi" w:hAnsiTheme="minorHAnsi"/>
          <w:b/>
          <w:sz w:val="22"/>
          <w:szCs w:val="22"/>
        </w:rPr>
      </w:pPr>
      <w:r>
        <w:rPr>
          <w:rFonts w:eastAsia="Calibri" w:cs="Calibri" w:cstheme="minorHAnsi" w:ascii="Calibri" w:hAnsi="Calibri"/>
          <w:b/>
          <w:sz w:val="22"/>
          <w:szCs w:val="22"/>
        </w:rPr>
      </w:r>
    </w:p>
    <w:p>
      <w:pPr>
        <w:pStyle w:val="Normal"/>
        <w:keepNext w:val="false"/>
        <w:keepLines w:val="false"/>
        <w:widowControl w:val="false"/>
        <w:suppressAutoHyphens w:val="true"/>
        <w:ind w:hanging="0" w:left="0"/>
        <w:rPr>
          <w:rFonts w:ascii="Calibri" w:hAnsi="Calibri" w:eastAsia="Calibri" w:cs="Calibri" w:asciiTheme="minorHAnsi" w:cstheme="minorHAnsi" w:hAnsiTheme="minorHAnsi"/>
          <w:b/>
          <w:sz w:val="22"/>
          <w:szCs w:val="22"/>
        </w:rPr>
      </w:pPr>
      <w:r>
        <w:rPr>
          <w:rFonts w:eastAsia="Calibri" w:cs="Calibri" w:cstheme="minorHAnsi" w:ascii="Calibri" w:hAnsi="Calibri"/>
          <w:b/>
          <w:sz w:val="22"/>
          <w:szCs w:val="22"/>
        </w:rPr>
      </w:r>
    </w:p>
    <w:p>
      <w:pPr>
        <w:pStyle w:val="Normal"/>
        <w:keepNext w:val="false"/>
        <w:keepLines w:val="false"/>
        <w:widowControl w:val="false"/>
        <w:suppressAutoHyphens w:val="true"/>
        <w:ind w:hanging="0" w:left="0"/>
        <w:jc w:val="center"/>
        <w:rPr>
          <w:rFonts w:ascii="Calibri" w:hAnsi="Calibri" w:eastAsia="Calibri" w:cs="Calibri" w:asciiTheme="minorHAnsi" w:cstheme="minorHAnsi" w:hAnsiTheme="minorHAnsi"/>
          <w:b/>
          <w:sz w:val="22"/>
          <w:szCs w:val="22"/>
        </w:rPr>
      </w:pPr>
      <w:r>
        <w:rPr>
          <w:rFonts w:eastAsia="Calibri" w:cs="Calibri" w:cstheme="minorHAnsi" w:ascii="Calibri" w:hAnsi="Calibri"/>
          <w:b/>
          <w:sz w:val="22"/>
          <w:szCs w:val="22"/>
        </w:rPr>
      </w:r>
    </w:p>
    <w:p>
      <w:pPr>
        <w:pStyle w:val="Normal"/>
        <w:keepNext w:val="false"/>
        <w:keepLines w:val="false"/>
        <w:widowControl w:val="false"/>
        <w:suppressAutoHyphens w:val="true"/>
        <w:ind w:hanging="0" w:left="0"/>
        <w:jc w:val="center"/>
        <w:rPr>
          <w:rFonts w:ascii="Calibri" w:hAnsi="Calibri" w:eastAsia="Calibri" w:cs="Calibri" w:asciiTheme="minorHAnsi" w:cstheme="minorHAnsi" w:hAnsiTheme="minorHAnsi"/>
          <w:b/>
          <w:sz w:val="22"/>
          <w:szCs w:val="22"/>
        </w:rPr>
      </w:pPr>
      <w:r>
        <w:rPr>
          <w:rFonts w:eastAsia="Calibri" w:cs="Calibri" w:cstheme="minorHAnsi" w:ascii="Calibri" w:hAnsi="Calibri"/>
          <w:b/>
          <w:sz w:val="22"/>
          <w:szCs w:val="22"/>
        </w:rPr>
      </w:r>
    </w:p>
    <w:p>
      <w:pPr>
        <w:pStyle w:val="Normal"/>
        <w:keepNext w:val="false"/>
        <w:keepLines w:val="false"/>
        <w:widowControl w:val="false"/>
        <w:suppressAutoHyphens w:val="true"/>
        <w:ind w:hanging="0" w:left="0"/>
        <w:jc w:val="center"/>
        <w:rPr>
          <w:rFonts w:ascii="Calibri" w:hAnsi="Calibri" w:eastAsia="Calibri" w:cs="Calibri" w:asciiTheme="minorHAnsi" w:cstheme="minorHAnsi" w:hAnsiTheme="minorHAnsi"/>
          <w:b/>
          <w:sz w:val="22"/>
          <w:szCs w:val="22"/>
        </w:rPr>
      </w:pPr>
      <w:r>
        <w:rPr>
          <w:rFonts w:eastAsia="Calibri" w:cs="Calibri" w:cstheme="minorHAnsi" w:ascii="Calibri" w:hAnsi="Calibri"/>
          <w:b/>
          <w:sz w:val="22"/>
          <w:szCs w:val="22"/>
        </w:rPr>
      </w:r>
    </w:p>
    <w:sectPr>
      <w:headerReference w:type="even" r:id="rId2"/>
      <w:headerReference w:type="default" r:id="rId3"/>
      <w:headerReference w:type="first" r:id="rId4"/>
      <w:type w:val="nextPage"/>
      <w:pgSz w:w="11906" w:h="16838"/>
      <w:pgMar w:left="850" w:right="850" w:gutter="0" w:header="567" w:top="2149" w:footer="0" w:bottom="567"/>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tcBorders>
          <w:vAlign w:val="center"/>
        </w:tcPr>
        <w:p>
          <w:pPr>
            <w:pStyle w:val="Normal"/>
            <w:suppressAutoHyphens w:val="true"/>
            <w:snapToGrid w:val="false"/>
            <w:spacing w:before="0" w:after="0"/>
            <w:jc w:val="center"/>
            <w:rPr>
              <w:b/>
              <w:sz w:val="24"/>
              <w:szCs w:val="24"/>
              <w:lang w:eastAsia="pt-BR"/>
            </w:rPr>
          </w:pPr>
          <w:r>
            <w:rPr>
              <w:b/>
              <w:sz w:val="24"/>
              <w:szCs w:val="24"/>
              <w:lang w:eastAsia="pt-BR"/>
            </w:rPr>
            <w:drawing>
              <wp:anchor distT="0" distB="0" distL="0" distR="0" simplePos="0" relativeHeight="2" behindDoc="0" locked="0" layoutInCell="1" allowOverlap="1">
                <wp:simplePos x="0" y="0"/>
                <wp:positionH relativeFrom="column">
                  <wp:align>center</wp:align>
                </wp:positionH>
                <wp:positionV relativeFrom="paragraph">
                  <wp:posOffset>89535</wp:posOffset>
                </wp:positionV>
                <wp:extent cx="671195" cy="694690"/>
                <wp:effectExtent l="0" t="0" r="0" b="0"/>
                <wp:wrapSquare wrapText="bothSides"/>
                <wp:docPr id="1"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Copia 1"/>
                        <pic:cNvPicPr>
                          <a:picLocks noChangeAspect="1" noChangeArrowheads="1"/>
                        </pic:cNvPicPr>
                      </pic:nvPicPr>
                      <pic:blipFill>
                        <a:blip r:embed="rId1"/>
                        <a:srcRect l="-73" t="-63" r="-73" b="-63"/>
                        <a:stretch>
                          <a:fillRect/>
                        </a:stretch>
                      </pic:blipFill>
                      <pic:spPr bwMode="auto">
                        <a:xfrm>
                          <a:off x="0" y="0"/>
                          <a:ext cx="671195" cy="694690"/>
                        </a:xfrm>
                        <a:prstGeom prst="rect">
                          <a:avLst/>
                        </a:prstGeom>
                        <a:noFill/>
                      </pic:spPr>
                    </pic:pic>
                  </a:graphicData>
                </a:graphic>
              </wp:anchor>
            </w:drawing>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Fonts w:eastAsia="Arial" w:cs="Arial"/>
              <w:color w:val="000000"/>
              <w:kern w:val="0"/>
              <w:sz w:val="24"/>
              <w:szCs w:val="24"/>
              <w:lang w:eastAsia="en-US" w:bidi="ar-SA"/>
            </w:rPr>
            <w:t>ESTADO DE SANTA CATARINA</w:t>
          </w:r>
        </w:p>
        <w:p>
          <w:pPr>
            <w:pStyle w:val="Normal"/>
            <w:suppressAutoHyphens w:val="true"/>
            <w:spacing w:before="0" w:after="0"/>
            <w:jc w:val="left"/>
            <w:rPr>
              <w:kern w:val="0"/>
              <w:sz w:val="22"/>
              <w:szCs w:val="22"/>
              <w:lang w:eastAsia="en-US" w:bidi="ar-SA"/>
            </w:rPr>
          </w:pPr>
          <w:r>
            <w:rPr>
              <w:rFonts w:eastAsia="Arial" w:cs="Arial"/>
              <w:b/>
              <w:color w:val="000000"/>
              <w:spacing w:val="50"/>
              <w:kern w:val="0"/>
              <w:sz w:val="24"/>
              <w:szCs w:val="24"/>
              <w:lang w:eastAsia="en-US" w:bidi="ar-SA"/>
            </w:rPr>
            <w:t>MUNICÍPIO DE BOTUVERÁ</w:t>
          </w:r>
        </w:p>
        <w:p>
          <w:pPr>
            <w:pStyle w:val="Normal"/>
            <w:suppressAutoHyphens w:val="true"/>
            <w:spacing w:before="0" w:after="0"/>
            <w:jc w:val="left"/>
            <w:rPr>
              <w:kern w:val="0"/>
              <w:sz w:val="22"/>
              <w:szCs w:val="22"/>
              <w:lang w:eastAsia="en-US" w:bidi="ar-SA"/>
            </w:rPr>
          </w:pPr>
          <w:r>
            <w:rPr>
              <w:rFonts w:eastAsia="Arial" w:cs="Arial"/>
              <w:color w:val="000000"/>
              <w:kern w:val="0"/>
              <w:sz w:val="20"/>
              <w:szCs w:val="20"/>
              <w:lang w:eastAsia="en-US" w:bidi="ar-SA"/>
            </w:rPr>
            <w:t xml:space="preserve">CNPJ: 83.102.350/0001-96 - Rua João Morelli, 66 – Centro – 88295-000 - </w:t>
          </w:r>
          <w:r>
            <w:rPr>
              <w:rStyle w:val="Fontepargpadro4"/>
              <w:rFonts w:eastAsia="Arial" w:cs="Arial"/>
              <w:color w:val="000000"/>
              <w:kern w:val="0"/>
              <w:sz w:val="20"/>
              <w:szCs w:val="20"/>
              <w:lang w:eastAsia="en-US" w:bidi="ar-SA"/>
            </w:rPr>
            <w:t xml:space="preserve">Fone:(47) 3359-3200 </w:t>
          </w:r>
          <w:hyperlink r:id="rId2">
            <w:r>
              <w:rPr>
                <w:rStyle w:val="Hyperlink"/>
                <w:rFonts w:eastAsia="Arial" w:cs="Arial"/>
                <w:color w:val="1209FB"/>
                <w:kern w:val="0"/>
                <w:sz w:val="20"/>
                <w:szCs w:val="20"/>
                <w:u w:val="none"/>
                <w:lang w:eastAsia="pt-BR" w:bidi="ar-SA"/>
              </w:rPr>
              <w:t>www.botuvera.sc.gov.br</w:t>
            </w:r>
          </w:hyperlink>
          <w:r>
            <w:rPr>
              <w:rStyle w:val="Hyperlink"/>
              <w:rFonts w:eastAsia="Arial" w:cs="Arial"/>
              <w:color w:val="1209FB"/>
              <w:kern w:val="0"/>
              <w:sz w:val="20"/>
              <w:szCs w:val="20"/>
              <w:u w:val="none"/>
              <w:lang w:eastAsia="pt-BR" w:bidi="ar-SA"/>
            </w:rPr>
            <w:t xml:space="preserve"> -</w:t>
          </w:r>
          <w:r>
            <w:rPr>
              <w:rStyle w:val="Fontepargpadro4"/>
              <w:rFonts w:eastAsia="Arial" w:cs="Arial"/>
              <w:color w:val="1209FB"/>
              <w:kern w:val="0"/>
              <w:sz w:val="20"/>
              <w:szCs w:val="20"/>
              <w:lang w:eastAsia="pt-BR" w:bidi="ar-SA"/>
            </w:rPr>
            <w:t xml:space="preserve"> </w:t>
          </w:r>
          <w:hyperlink r:id="rId3">
            <w:r>
              <w:rPr>
                <w:rStyle w:val="Hyperlink"/>
                <w:rFonts w:eastAsia="SimSun" w:cs="Arial"/>
                <w:color w:val="1209FB"/>
                <w:kern w:val="0"/>
                <w:sz w:val="20"/>
                <w:szCs w:val="20"/>
                <w:u w:val="none"/>
                <w:lang w:eastAsia="pt-BR" w:bidi="ar-SA"/>
              </w:rPr>
              <w:t>www.botuvera.atende.net</w:t>
            </w:r>
          </w:hyperlink>
        </w:p>
      </w:tc>
    </w:tr>
  </w:tbl>
  <w:p>
    <w:pPr>
      <w:pStyle w:val="Linhahorizontaluser"/>
      <w:suppressLineNumbers/>
      <w:pBdr>
        <w:bottom w:val="double" w:sz="2" w:space="0" w:color="808080"/>
      </w:pBdr>
      <w:spacing w:before="0" w:after="283"/>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tbl>
    <w:tblPr>
      <w:tblStyle w:val="TableNormal"/>
      <w:tblW w:w="9638" w:type="dxa"/>
      <w:jc w:val="center"/>
      <w:tblInd w:w="0" w:type="dxa"/>
      <w:tblLayout w:type="fixed"/>
      <w:tblCellMar>
        <w:top w:w="0" w:type="dxa"/>
        <w:left w:w="70" w:type="dxa"/>
        <w:bottom w:w="0" w:type="dxa"/>
        <w:right w:w="70" w:type="dxa"/>
      </w:tblCellMar>
      <w:tblLook w:val="04a0" w:firstRow="1" w:noVBand="1" w:lastRow="0" w:firstColumn="1" w:lastColumn="0" w:noHBand="0"/>
    </w:tblPr>
    <w:tblGrid>
      <w:gridCol w:w="1597"/>
      <w:gridCol w:w="8041"/>
    </w:tblGrid>
    <w:tr>
      <w:trPr>
        <w:trHeight w:val="1475" w:hRule="atLeast"/>
      </w:trPr>
      <w:tc>
        <w:tcPr>
          <w:tcW w:w="1597" w:type="dxa"/>
          <w:tcBorders>
            <w:top w:val="single" w:sz="4" w:space="0" w:color="FFFFFF"/>
            <w:left w:val="single" w:sz="4" w:space="0" w:color="FFFFFF"/>
            <w:bottom w:val="single" w:sz="4" w:space="0" w:color="FFFFFF"/>
          </w:tcBorders>
          <w:vAlign w:val="center"/>
        </w:tcPr>
        <w:p>
          <w:pPr>
            <w:pStyle w:val="Normal"/>
            <w:suppressAutoHyphens w:val="true"/>
            <w:snapToGrid w:val="false"/>
            <w:spacing w:before="0" w:after="0"/>
            <w:jc w:val="center"/>
            <w:rPr>
              <w:b/>
              <w:sz w:val="24"/>
              <w:szCs w:val="24"/>
              <w:lang w:eastAsia="pt-BR"/>
            </w:rPr>
          </w:pPr>
          <w:r>
            <w:rPr>
              <w:b/>
              <w:sz w:val="24"/>
              <w:szCs w:val="24"/>
              <w:lang w:eastAsia="pt-BR"/>
            </w:rPr>
            <w:drawing>
              <wp:anchor distT="0" distB="0" distL="0" distR="0" simplePos="0" relativeHeight="2" behindDoc="0" locked="0" layoutInCell="1" allowOverlap="1">
                <wp:simplePos x="0" y="0"/>
                <wp:positionH relativeFrom="column">
                  <wp:align>center</wp:align>
                </wp:positionH>
                <wp:positionV relativeFrom="paragraph">
                  <wp:posOffset>89535</wp:posOffset>
                </wp:positionV>
                <wp:extent cx="671195" cy="694690"/>
                <wp:effectExtent l="0" t="0" r="0" b="0"/>
                <wp:wrapSquare wrapText="bothSides"/>
                <wp:docPr id="2" name="Figura1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1 Copia 1"/>
                        <pic:cNvPicPr>
                          <a:picLocks noChangeAspect="1" noChangeArrowheads="1"/>
                        </pic:cNvPicPr>
                      </pic:nvPicPr>
                      <pic:blipFill>
                        <a:blip r:embed="rId1"/>
                        <a:srcRect l="-73" t="-63" r="-73" b="-63"/>
                        <a:stretch>
                          <a:fillRect/>
                        </a:stretch>
                      </pic:blipFill>
                      <pic:spPr bwMode="auto">
                        <a:xfrm>
                          <a:off x="0" y="0"/>
                          <a:ext cx="671195" cy="694690"/>
                        </a:xfrm>
                        <a:prstGeom prst="rect">
                          <a:avLst/>
                        </a:prstGeom>
                        <a:noFill/>
                      </pic:spPr>
                    </pic:pic>
                  </a:graphicData>
                </a:graphic>
              </wp:anchor>
            </w:drawing>
          </w:r>
        </w:p>
      </w:tc>
      <w:tc>
        <w:tcPr>
          <w:tcW w:w="8041" w:type="dxa"/>
          <w:tcBorders>
            <w:top w:val="single" w:sz="4" w:space="0" w:color="FFFFFF"/>
            <w:left w:val="single" w:sz="4" w:space="0" w:color="FFFFFF"/>
            <w:bottom w:val="single" w:sz="4" w:space="0" w:color="FFFFFF"/>
            <w:right w:val="single" w:sz="4" w:space="0" w:color="FFFFFF"/>
          </w:tcBorders>
          <w:vAlign w:val="center"/>
        </w:tcPr>
        <w:p>
          <w:pPr>
            <w:pStyle w:val="Normal"/>
            <w:suppressAutoHyphens w:val="true"/>
            <w:spacing w:before="0" w:after="0"/>
            <w:jc w:val="left"/>
            <w:rPr>
              <w:kern w:val="0"/>
              <w:sz w:val="22"/>
              <w:szCs w:val="22"/>
              <w:lang w:eastAsia="en-US" w:bidi="ar-SA"/>
            </w:rPr>
          </w:pPr>
          <w:r>
            <w:rPr>
              <w:rFonts w:eastAsia="Arial" w:cs="Arial"/>
              <w:color w:val="000000"/>
              <w:kern w:val="0"/>
              <w:sz w:val="24"/>
              <w:szCs w:val="24"/>
              <w:lang w:eastAsia="en-US" w:bidi="ar-SA"/>
            </w:rPr>
            <w:t>ESTADO DE SANTA CATARINA</w:t>
          </w:r>
        </w:p>
        <w:p>
          <w:pPr>
            <w:pStyle w:val="Normal"/>
            <w:suppressAutoHyphens w:val="true"/>
            <w:spacing w:before="0" w:after="0"/>
            <w:jc w:val="left"/>
            <w:rPr>
              <w:kern w:val="0"/>
              <w:sz w:val="22"/>
              <w:szCs w:val="22"/>
              <w:lang w:eastAsia="en-US" w:bidi="ar-SA"/>
            </w:rPr>
          </w:pPr>
          <w:r>
            <w:rPr>
              <w:rFonts w:eastAsia="Arial" w:cs="Arial"/>
              <w:b/>
              <w:color w:val="000000"/>
              <w:spacing w:val="50"/>
              <w:kern w:val="0"/>
              <w:sz w:val="24"/>
              <w:szCs w:val="24"/>
              <w:lang w:eastAsia="en-US" w:bidi="ar-SA"/>
            </w:rPr>
            <w:t>MUNICÍPIO DE BOTUVERÁ</w:t>
          </w:r>
        </w:p>
        <w:p>
          <w:pPr>
            <w:pStyle w:val="Normal"/>
            <w:suppressAutoHyphens w:val="true"/>
            <w:spacing w:before="0" w:after="0"/>
            <w:jc w:val="left"/>
            <w:rPr>
              <w:kern w:val="0"/>
              <w:sz w:val="22"/>
              <w:szCs w:val="22"/>
              <w:lang w:eastAsia="en-US" w:bidi="ar-SA"/>
            </w:rPr>
          </w:pPr>
          <w:r>
            <w:rPr>
              <w:rFonts w:eastAsia="Arial" w:cs="Arial"/>
              <w:color w:val="000000"/>
              <w:kern w:val="0"/>
              <w:sz w:val="20"/>
              <w:szCs w:val="20"/>
              <w:lang w:eastAsia="en-US" w:bidi="ar-SA"/>
            </w:rPr>
            <w:t xml:space="preserve">CNPJ: 83.102.350/0001-96 - Rua João Morelli, 66 – Centro – 88295-000 - </w:t>
          </w:r>
          <w:r>
            <w:rPr>
              <w:rStyle w:val="Fontepargpadro4"/>
              <w:rFonts w:eastAsia="Arial" w:cs="Arial"/>
              <w:color w:val="000000"/>
              <w:kern w:val="0"/>
              <w:sz w:val="20"/>
              <w:szCs w:val="20"/>
              <w:lang w:eastAsia="en-US" w:bidi="ar-SA"/>
            </w:rPr>
            <w:t xml:space="preserve">Fone:(47) 3359-3200 </w:t>
          </w:r>
          <w:hyperlink r:id="rId2">
            <w:r>
              <w:rPr>
                <w:rStyle w:val="Hyperlink"/>
                <w:rFonts w:eastAsia="Arial" w:cs="Arial"/>
                <w:color w:val="1209FB"/>
                <w:kern w:val="0"/>
                <w:sz w:val="20"/>
                <w:szCs w:val="20"/>
                <w:u w:val="none"/>
                <w:lang w:eastAsia="pt-BR" w:bidi="ar-SA"/>
              </w:rPr>
              <w:t>www.botuvera.sc.gov.br</w:t>
            </w:r>
          </w:hyperlink>
          <w:r>
            <w:rPr>
              <w:rStyle w:val="Hyperlink"/>
              <w:rFonts w:eastAsia="Arial" w:cs="Arial"/>
              <w:color w:val="1209FB"/>
              <w:kern w:val="0"/>
              <w:sz w:val="20"/>
              <w:szCs w:val="20"/>
              <w:u w:val="none"/>
              <w:lang w:eastAsia="pt-BR" w:bidi="ar-SA"/>
            </w:rPr>
            <w:t xml:space="preserve"> -</w:t>
          </w:r>
          <w:r>
            <w:rPr>
              <w:rStyle w:val="Fontepargpadro4"/>
              <w:rFonts w:eastAsia="Arial" w:cs="Arial"/>
              <w:color w:val="1209FB"/>
              <w:kern w:val="0"/>
              <w:sz w:val="20"/>
              <w:szCs w:val="20"/>
              <w:lang w:eastAsia="pt-BR" w:bidi="ar-SA"/>
            </w:rPr>
            <w:t xml:space="preserve"> </w:t>
          </w:r>
          <w:hyperlink r:id="rId3">
            <w:r>
              <w:rPr>
                <w:rStyle w:val="Hyperlink"/>
                <w:rFonts w:eastAsia="SimSun" w:cs="Arial"/>
                <w:color w:val="1209FB"/>
                <w:kern w:val="0"/>
                <w:sz w:val="20"/>
                <w:szCs w:val="20"/>
                <w:u w:val="none"/>
                <w:lang w:eastAsia="pt-BR" w:bidi="ar-SA"/>
              </w:rPr>
              <w:t>www.botuvera.atende.net</w:t>
            </w:r>
          </w:hyperlink>
        </w:p>
      </w:tc>
    </w:tr>
  </w:tbl>
  <w:p>
    <w:pPr>
      <w:pStyle w:val="Linhahorizontaluser"/>
      <w:suppressLineNumbers/>
      <w:pBdr>
        <w:bottom w:val="double" w:sz="2" w:space="0" w:color="808080"/>
      </w:pBdr>
      <w:spacing w:before="0" w:after="283"/>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2">
    <w:lvl w:ilvl="0">
      <w:start w:val="1"/>
      <w:numFmt w:val="decimal"/>
      <w:lvlText w:val="%1."/>
      <w:lvlJc w:val="left"/>
      <w:pPr>
        <w:tabs>
          <w:tab w:val="num" w:pos="0"/>
        </w:tabs>
        <w:ind w:left="360" w:hanging="360"/>
      </w:pPr>
      <w:rPr>
        <w:rFonts w:ascii="Calibri" w:hAnsi="Calibri" w:eastAsia="Calibri" w:cs="Calibri"/>
        <w:b/>
      </w:rPr>
    </w:lvl>
    <w:lvl w:ilvl="1">
      <w:start w:val="1"/>
      <w:numFmt w:val="decimal"/>
      <w:lvlText w:val="%1.%2."/>
      <w:lvlJc w:val="left"/>
      <w:pPr>
        <w:tabs>
          <w:tab w:val="num" w:pos="0"/>
        </w:tabs>
        <w:ind w:left="574" w:hanging="432"/>
      </w:pPr>
      <w:rPr>
        <w:rFonts w:ascii="Calibri" w:hAnsi="Calibri" w:eastAsia="Calibri" w:cs="Calibri"/>
        <w:b/>
        <w:color w:val="000000"/>
        <w:sz w:val="22"/>
        <w:szCs w:val="22"/>
      </w:rPr>
    </w:lvl>
    <w:lvl w:ilvl="2">
      <w:start w:val="1"/>
      <w:numFmt w:val="decimal"/>
      <w:lvlText w:val="%1.%2.%3."/>
      <w:lvlJc w:val="left"/>
      <w:pPr>
        <w:tabs>
          <w:tab w:val="num" w:pos="0"/>
        </w:tabs>
        <w:ind w:left="646" w:hanging="504"/>
      </w:pPr>
      <w:rPr>
        <w:rFonts w:ascii="Calibri" w:hAnsi="Calibri" w:eastAsia="Calibri" w:cs="Calibri"/>
        <w:b/>
        <w:i w:val="false"/>
        <w:strike w:val="false"/>
        <w:dstrike w:val="false"/>
        <w:color w:val="000000"/>
        <w:sz w:val="22"/>
        <w:szCs w:val="22"/>
      </w:rPr>
    </w:lvl>
    <w:lvl w:ilvl="3">
      <w:start w:val="1"/>
      <w:numFmt w:val="decimal"/>
      <w:lvlText w:val="%1.%2.%3.%4."/>
      <w:lvlJc w:val="left"/>
      <w:pPr>
        <w:tabs>
          <w:tab w:val="num" w:pos="0"/>
        </w:tabs>
        <w:ind w:left="2208" w:hanging="648"/>
      </w:pPr>
      <w:rPr>
        <w:b/>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5"/>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720" w:hanging="360"/>
      </w:pPr>
      <w:rPr>
        <w:b/>
        <w:bCs/>
      </w:rPr>
    </w:lvl>
    <w:lvl w:ilvl="1">
      <w:start w:val="1"/>
      <w:numFmt w:val="decimal"/>
      <w:isLgl/>
      <w:lvlText w:val="%1.%2."/>
      <w:lvlJc w:val="left"/>
      <w:pPr>
        <w:tabs>
          <w:tab w:val="num" w:pos="0"/>
        </w:tabs>
        <w:ind w:left="720" w:hanging="360"/>
      </w:pPr>
      <w:rPr>
        <w:b w:val="false"/>
        <w:bCs w:val="false"/>
      </w:rPr>
    </w:lvl>
    <w:lvl w:ilvl="2">
      <w:start w:val="1"/>
      <w:numFmt w:val="decimal"/>
      <w:isLgl/>
      <w:lvlText w:val="%1.%2.%3."/>
      <w:lvlJc w:val="left"/>
      <w:pPr>
        <w:tabs>
          <w:tab w:val="num" w:pos="0"/>
        </w:tabs>
        <w:ind w:left="1080" w:hanging="720"/>
      </w:pPr>
      <w:rPr>
        <w:b w:val="false"/>
        <w:bCs w:val="false"/>
      </w:rPr>
    </w:lvl>
    <w:lvl w:ilvl="3">
      <w:start w:val="1"/>
      <w:numFmt w:val="decimal"/>
      <w:isLgl/>
      <w:lvlText w:val="%1.%2.%3.%4."/>
      <w:lvlJc w:val="left"/>
      <w:pPr>
        <w:tabs>
          <w:tab w:val="num" w:pos="0"/>
        </w:tabs>
        <w:ind w:left="1080" w:hanging="720"/>
      </w:pPr>
      <w:rPr>
        <w:b w:val="false"/>
        <w:bCs w:val="false"/>
      </w:rPr>
    </w:lvl>
    <w:lvl w:ilvl="4">
      <w:start w:val="1"/>
      <w:numFmt w:val="decimal"/>
      <w:isLgl/>
      <w:lvlText w:val="%1.%2.%3.%4.%5."/>
      <w:lvlJc w:val="left"/>
      <w:pPr>
        <w:tabs>
          <w:tab w:val="num" w:pos="0"/>
        </w:tabs>
        <w:ind w:left="1440" w:hanging="1080"/>
      </w:pPr>
      <w:rPr/>
    </w:lvl>
    <w:lvl w:ilvl="5">
      <w:start w:val="1"/>
      <w:numFmt w:val="decimal"/>
      <w:isLgl/>
      <w:lvlText w:val="%1.%2.%3.%4.%5.%6."/>
      <w:lvlJc w:val="left"/>
      <w:pPr>
        <w:tabs>
          <w:tab w:val="num" w:pos="0"/>
        </w:tabs>
        <w:ind w:left="1440" w:hanging="1080"/>
      </w:pPr>
      <w:rPr/>
    </w:lvl>
    <w:lvl w:ilvl="6">
      <w:start w:val="1"/>
      <w:numFmt w:val="decimal"/>
      <w:isLgl/>
      <w:lvlText w:val="%1.%2.%3.%4.%5.%6.%7."/>
      <w:lvlJc w:val="left"/>
      <w:pPr>
        <w:tabs>
          <w:tab w:val="num" w:pos="0"/>
        </w:tabs>
        <w:ind w:left="1440" w:hanging="1080"/>
      </w:pPr>
      <w:rPr/>
    </w:lvl>
    <w:lvl w:ilvl="7">
      <w:start w:val="1"/>
      <w:numFmt w:val="decimal"/>
      <w:isLgl/>
      <w:lvlText w:val="%1.%2.%3.%4.%5.%6.%7.%8."/>
      <w:lvlJc w:val="left"/>
      <w:pPr>
        <w:tabs>
          <w:tab w:val="num" w:pos="0"/>
        </w:tabs>
        <w:ind w:left="1800" w:hanging="1440"/>
      </w:pPr>
      <w:rPr/>
    </w:lvl>
    <w:lvl w:ilvl="8">
      <w:start w:val="1"/>
      <w:numFmt w:val="decimal"/>
      <w:isLgl/>
      <w:lvlText w:val="%1.%2.%3.%4.%5.%6.%7.%8.%9."/>
      <w:lvlJc w:val="left"/>
      <w:pPr>
        <w:tabs>
          <w:tab w:val="num" w:pos="0"/>
        </w:tabs>
        <w:ind w:left="1800" w:hanging="1440"/>
      </w:pPr>
      <w:rPr/>
    </w:lvl>
  </w:abstractNum>
  <w:abstractNum w:abstractNumId="4">
    <w:lvl w:ilvl="0">
      <w:start w:val="1"/>
      <w:numFmt w:val="lowerLetter"/>
      <w:lvlText w:val="%1."/>
      <w:lvlJc w:val="left"/>
      <w:pPr>
        <w:tabs>
          <w:tab w:val="num" w:pos="0"/>
        </w:tabs>
        <w:ind w:left="927" w:hanging="360"/>
      </w:pPr>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5">
    <w:lvl w:ilvl="0">
      <w:start w:val="1"/>
      <w:numFmt w:val="lowerLetter"/>
      <w:lvlText w:val="%1."/>
      <w:lvlJc w:val="left"/>
      <w:pPr>
        <w:tabs>
          <w:tab w:val="num" w:pos="0"/>
        </w:tabs>
        <w:ind w:left="927" w:hanging="360"/>
      </w:pPr>
      <w:rPr/>
    </w:lvl>
    <w:lvl w:ilvl="1">
      <w:start w:val="1"/>
      <w:numFmt w:val="lowerLetter"/>
      <w:lvlText w:val="%2."/>
      <w:lvlJc w:val="left"/>
      <w:pPr>
        <w:tabs>
          <w:tab w:val="num" w:pos="0"/>
        </w:tabs>
        <w:ind w:left="1647" w:hanging="360"/>
      </w:pPr>
      <w:rPr/>
    </w:lvl>
    <w:lvl w:ilvl="2">
      <w:start w:val="1"/>
      <w:numFmt w:val="lowerRoman"/>
      <w:lvlText w:val="%3."/>
      <w:lvlJc w:val="right"/>
      <w:pPr>
        <w:tabs>
          <w:tab w:val="num" w:pos="0"/>
        </w:tabs>
        <w:ind w:left="2367" w:hanging="180"/>
      </w:pPr>
      <w:rPr/>
    </w:lvl>
    <w:lvl w:ilvl="3">
      <w:start w:val="1"/>
      <w:numFmt w:val="decimal"/>
      <w:lvlText w:val="%4."/>
      <w:lvlJc w:val="left"/>
      <w:pPr>
        <w:tabs>
          <w:tab w:val="num" w:pos="0"/>
        </w:tabs>
        <w:ind w:left="3087" w:hanging="360"/>
      </w:pPr>
      <w:rPr/>
    </w:lvl>
    <w:lvl w:ilvl="4">
      <w:start w:val="1"/>
      <w:numFmt w:val="lowerLetter"/>
      <w:lvlText w:val="%5."/>
      <w:lvlJc w:val="left"/>
      <w:pPr>
        <w:tabs>
          <w:tab w:val="num" w:pos="0"/>
        </w:tabs>
        <w:ind w:left="3807" w:hanging="360"/>
      </w:pPr>
      <w:rPr/>
    </w:lvl>
    <w:lvl w:ilvl="5">
      <w:start w:val="1"/>
      <w:numFmt w:val="lowerRoman"/>
      <w:lvlText w:val="%6."/>
      <w:lvlJc w:val="right"/>
      <w:pPr>
        <w:tabs>
          <w:tab w:val="num" w:pos="0"/>
        </w:tabs>
        <w:ind w:left="4527" w:hanging="180"/>
      </w:pPr>
      <w:rPr/>
    </w:lvl>
    <w:lvl w:ilvl="6">
      <w:start w:val="1"/>
      <w:numFmt w:val="decimal"/>
      <w:lvlText w:val="%7."/>
      <w:lvlJc w:val="left"/>
      <w:pPr>
        <w:tabs>
          <w:tab w:val="num" w:pos="0"/>
        </w:tabs>
        <w:ind w:left="5247" w:hanging="360"/>
      </w:pPr>
      <w:rPr/>
    </w:lvl>
    <w:lvl w:ilvl="7">
      <w:start w:val="1"/>
      <w:numFmt w:val="lowerLetter"/>
      <w:lvlText w:val="%8."/>
      <w:lvlJc w:val="left"/>
      <w:pPr>
        <w:tabs>
          <w:tab w:val="num" w:pos="0"/>
        </w:tabs>
        <w:ind w:left="5967" w:hanging="360"/>
      </w:pPr>
      <w:rPr/>
    </w:lvl>
    <w:lvl w:ilvl="8">
      <w:start w:val="1"/>
      <w:numFmt w:val="lowerRoman"/>
      <w:lvlText w:val="%9."/>
      <w:lvlJc w:val="right"/>
      <w:pPr>
        <w:tabs>
          <w:tab w:val="num" w:pos="0"/>
        </w:tabs>
        <w:ind w:left="6687" w:hanging="180"/>
      </w:pPr>
      <w:rPr/>
    </w:lvl>
  </w:abstractNum>
  <w:abstractNum w:abstractNumId="6">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7">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8">
    <w:lvl w:ilvl="0">
      <w:start w:val="1"/>
      <w:numFmt w:val="lowerLetter"/>
      <w:lvlText w:val="%1)"/>
      <w:lvlJc w:val="left"/>
      <w:pPr>
        <w:tabs>
          <w:tab w:val="num" w:pos="0"/>
        </w:tabs>
        <w:ind w:left="360" w:hanging="360"/>
      </w:pPr>
      <w:rPr>
        <w:b/>
      </w:rPr>
    </w:lvl>
    <w:lvl w:ilvl="1">
      <w:start w:val="1"/>
      <w:numFmt w:val="lowerLetter"/>
      <w:lvlText w:val="%2."/>
      <w:lvlJc w:val="left"/>
      <w:pPr>
        <w:tabs>
          <w:tab w:val="num" w:pos="0"/>
        </w:tabs>
        <w:ind w:left="1080" w:hanging="360"/>
      </w:pPr>
      <w:rPr>
        <w:b/>
        <w:bCs/>
      </w:rPr>
    </w:lvl>
    <w:lvl w:ilvl="2">
      <w:start w:val="1"/>
      <w:numFmt w:val="lowerRoman"/>
      <w:lvlText w:val="%3."/>
      <w:lvlJc w:val="right"/>
      <w:pPr>
        <w:tabs>
          <w:tab w:val="num" w:pos="0"/>
        </w:tabs>
        <w:ind w:left="1800" w:hanging="180"/>
      </w:pPr>
      <w:rPr/>
    </w:lvl>
    <w:lvl w:ilvl="3">
      <w:start w:val="1"/>
      <w:numFmt w:val="decimal"/>
      <w:lvlText w:val="%4."/>
      <w:lvlJc w:val="left"/>
      <w:pPr>
        <w:tabs>
          <w:tab w:val="num" w:pos="0"/>
        </w:tabs>
        <w:ind w:left="2520" w:hanging="360"/>
      </w:pPr>
      <w:rPr/>
    </w:lvl>
    <w:lvl w:ilvl="4">
      <w:start w:val="1"/>
      <w:numFmt w:val="lowerLetter"/>
      <w:lvlText w:val="%5."/>
      <w:lvlJc w:val="left"/>
      <w:pPr>
        <w:tabs>
          <w:tab w:val="num" w:pos="0"/>
        </w:tabs>
        <w:ind w:left="3240" w:hanging="360"/>
      </w:pPr>
      <w:rPr/>
    </w:lvl>
    <w:lvl w:ilvl="5">
      <w:start w:val="1"/>
      <w:numFmt w:val="lowerRoman"/>
      <w:lvlText w:val="%6."/>
      <w:lvlJc w:val="right"/>
      <w:pPr>
        <w:tabs>
          <w:tab w:val="num" w:pos="0"/>
        </w:tabs>
        <w:ind w:left="3960" w:hanging="180"/>
      </w:pPr>
      <w:rPr/>
    </w:lvl>
    <w:lvl w:ilvl="6">
      <w:start w:val="1"/>
      <w:numFmt w:val="decimal"/>
      <w:lvlText w:val="%7."/>
      <w:lvlJc w:val="left"/>
      <w:pPr>
        <w:tabs>
          <w:tab w:val="num" w:pos="0"/>
        </w:tabs>
        <w:ind w:left="4680" w:hanging="360"/>
      </w:pPr>
      <w:rPr/>
    </w:lvl>
    <w:lvl w:ilvl="7">
      <w:start w:val="1"/>
      <w:numFmt w:val="lowerLetter"/>
      <w:lvlText w:val="%8."/>
      <w:lvlJc w:val="left"/>
      <w:pPr>
        <w:tabs>
          <w:tab w:val="num" w:pos="0"/>
        </w:tabs>
        <w:ind w:left="5400" w:hanging="360"/>
      </w:pPr>
      <w:rPr/>
    </w:lvl>
    <w:lvl w:ilvl="8">
      <w:start w:val="1"/>
      <w:numFmt w:val="lowerRoman"/>
      <w:lvlText w:val="%9."/>
      <w:lvlJc w:val="right"/>
      <w:pPr>
        <w:tabs>
          <w:tab w:val="num" w:pos="0"/>
        </w:tabs>
        <w:ind w:left="6120" w:hanging="18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7"/>
    <w:lvlOverride w:ilvl="0">
      <w:startOverride w:val="1"/>
    </w:lvlOverride>
    <w:lvlOverride w:ilvl="1">
      <w:startOverride w:val="1"/>
    </w:lvlOverride>
  </w:num>
  <w:num w:numId="11">
    <w:abstractNumId w:val="7"/>
    <w:lvlOverride w:ilvl="0">
      <w:startOverride w:val="1"/>
    </w:lvlOverride>
    <w:lvlOverride w:ilvl="1">
      <w:startOverride w:val="1"/>
    </w:lvlOverride>
  </w:num>
</w:numbering>
</file>

<file path=word/settings.xml><?xml version="1.0" encoding="utf-8"?>
<w:settings xmlns:w="http://schemas.openxmlformats.org/wordprocessingml/2006/main">
  <w:zoom w:percent="11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Times New Roman" w:cs="Times New Roman"/>
      <w:color w:val="auto"/>
      <w:kern w:val="0"/>
      <w:sz w:val="22"/>
      <w:szCs w:val="22"/>
      <w:lang w:val="pt-BR" w:eastAsia="en-US" w:bidi="ar-SA"/>
    </w:rPr>
  </w:style>
  <w:style w:type="paragraph" w:styleId="Heading1">
    <w:name w:val="heading 1"/>
    <w:basedOn w:val="Normal"/>
    <w:next w:val="Normal"/>
    <w:qFormat/>
    <w:pPr>
      <w:keepNext w:val="true"/>
      <w:keepLines/>
      <w:widowControl/>
      <w:numPr>
        <w:ilvl w:val="0"/>
        <w:numId w:val="0"/>
      </w:numPr>
      <w:suppressAutoHyphens w:val="false"/>
      <w:spacing w:lineRule="auto" w:line="278" w:before="360" w:after="80"/>
      <w:outlineLvl w:val="0"/>
    </w:pPr>
    <w:rPr>
      <w:rFonts w:ascii="Cambria" w:hAnsi="Cambria" w:eastAsia="Calibri"/>
      <w:color w:themeColor="accent1" w:themeShade="bf" w:val="365F91"/>
      <w:kern w:val="2"/>
      <w:sz w:val="40"/>
      <w:szCs w:val="40"/>
    </w:rPr>
  </w:style>
  <w:style w:type="paragraph" w:styleId="Heading2">
    <w:name w:val="heading 2"/>
    <w:basedOn w:val="Normal"/>
    <w:next w:val="Normal"/>
    <w:qFormat/>
    <w:pPr>
      <w:keepNext w:val="true"/>
      <w:keepLines/>
      <w:widowControl/>
      <w:numPr>
        <w:ilvl w:val="0"/>
        <w:numId w:val="0"/>
      </w:numPr>
      <w:suppressAutoHyphens w:val="false"/>
      <w:spacing w:lineRule="auto" w:line="278" w:before="160" w:after="80"/>
      <w:outlineLvl w:val="1"/>
    </w:pPr>
    <w:rPr>
      <w:rFonts w:ascii="Cambria" w:hAnsi="Cambria" w:eastAsia="Calibri"/>
      <w:color w:themeColor="accent1" w:themeShade="bf" w:val="365F91"/>
      <w:kern w:val="2"/>
      <w:sz w:val="32"/>
      <w:szCs w:val="32"/>
    </w:rPr>
  </w:style>
  <w:style w:type="paragraph" w:styleId="Heading3">
    <w:name w:val="heading 3"/>
    <w:basedOn w:val="Normal"/>
    <w:next w:val="Normal"/>
    <w:qFormat/>
    <w:pPr>
      <w:keepNext w:val="true"/>
      <w:keepLines/>
      <w:widowControl/>
      <w:numPr>
        <w:ilvl w:val="0"/>
        <w:numId w:val="0"/>
      </w:numPr>
      <w:suppressAutoHyphens w:val="false"/>
      <w:spacing w:lineRule="auto" w:line="278" w:before="160" w:after="80"/>
      <w:outlineLvl w:val="2"/>
    </w:pPr>
    <w:rPr>
      <w:rFonts w:ascii="Calibri" w:hAnsi="Calibri" w:eastAsia="Calibri"/>
      <w:color w:themeColor="accent1" w:themeShade="bf" w:val="365F91"/>
      <w:kern w:val="2"/>
      <w:sz w:val="28"/>
      <w:szCs w:val="28"/>
    </w:rPr>
  </w:style>
  <w:style w:type="paragraph" w:styleId="Heading4">
    <w:name w:val="heading 4"/>
    <w:basedOn w:val="Normal"/>
    <w:next w:val="Normal"/>
    <w:qFormat/>
    <w:pPr>
      <w:keepNext w:val="true"/>
      <w:keepLines/>
      <w:widowControl/>
      <w:numPr>
        <w:ilvl w:val="0"/>
        <w:numId w:val="0"/>
      </w:numPr>
      <w:suppressAutoHyphens w:val="false"/>
      <w:spacing w:lineRule="auto" w:line="278" w:before="80" w:after="40"/>
      <w:outlineLvl w:val="3"/>
    </w:pPr>
    <w:rPr>
      <w:rFonts w:ascii="Calibri" w:hAnsi="Calibri" w:eastAsia="Calibri"/>
      <w:i/>
      <w:iCs/>
      <w:color w:themeColor="accent1" w:themeShade="bf" w:val="365F91"/>
      <w:kern w:val="2"/>
      <w:sz w:val="24"/>
      <w:szCs w:val="24"/>
    </w:rPr>
  </w:style>
  <w:style w:type="paragraph" w:styleId="Heading5">
    <w:name w:val="heading 5"/>
    <w:basedOn w:val="Normal"/>
    <w:next w:val="Normal"/>
    <w:qFormat/>
    <w:pPr>
      <w:keepNext w:val="true"/>
      <w:keepLines/>
      <w:widowControl/>
      <w:numPr>
        <w:ilvl w:val="0"/>
        <w:numId w:val="0"/>
      </w:numPr>
      <w:suppressAutoHyphens w:val="false"/>
      <w:spacing w:lineRule="auto" w:line="278" w:before="80" w:after="40"/>
      <w:outlineLvl w:val="4"/>
    </w:pPr>
    <w:rPr>
      <w:rFonts w:ascii="Calibri" w:hAnsi="Calibri" w:eastAsia="Calibri"/>
      <w:color w:themeColor="accent1" w:themeShade="bf" w:val="365F91"/>
      <w:kern w:val="2"/>
      <w:sz w:val="24"/>
      <w:szCs w:val="24"/>
    </w:rPr>
  </w:style>
  <w:style w:type="paragraph" w:styleId="Heading6">
    <w:name w:val="heading 6"/>
    <w:basedOn w:val="Normal"/>
    <w:next w:val="Normal"/>
    <w:qFormat/>
    <w:pPr>
      <w:keepNext w:val="true"/>
      <w:keepLines/>
      <w:widowControl/>
      <w:numPr>
        <w:ilvl w:val="0"/>
        <w:numId w:val="0"/>
      </w:numPr>
      <w:suppressAutoHyphens w:val="false"/>
      <w:spacing w:lineRule="auto" w:line="278" w:before="40" w:after="0"/>
      <w:outlineLvl w:val="5"/>
    </w:pPr>
    <w:rPr>
      <w:rFonts w:ascii="Calibri" w:hAnsi="Calibri" w:eastAsia="Calibri"/>
      <w:i/>
      <w:iCs/>
      <w:color w:themeColor="dark1" w:themeTint="a6" w:val="595959"/>
      <w:kern w:val="2"/>
      <w:sz w:val="24"/>
      <w:szCs w:val="24"/>
    </w:rPr>
  </w:style>
  <w:style w:type="paragraph" w:styleId="Heading7">
    <w:name w:val="heading 7"/>
    <w:basedOn w:val="Normal"/>
    <w:next w:val="Normal"/>
    <w:qFormat/>
    <w:pPr>
      <w:keepNext w:val="true"/>
      <w:keepLines/>
      <w:widowControl/>
      <w:numPr>
        <w:ilvl w:val="0"/>
        <w:numId w:val="0"/>
      </w:numPr>
      <w:suppressAutoHyphens w:val="false"/>
      <w:spacing w:lineRule="auto" w:line="278" w:before="40" w:after="0"/>
      <w:outlineLvl w:val="6"/>
    </w:pPr>
    <w:rPr>
      <w:rFonts w:ascii="Calibri" w:hAnsi="Calibri" w:eastAsia="Calibri"/>
      <w:color w:themeColor="dark1" w:themeTint="a6" w:val="595959"/>
      <w:kern w:val="2"/>
      <w:sz w:val="24"/>
      <w:szCs w:val="24"/>
    </w:rPr>
  </w:style>
  <w:style w:type="paragraph" w:styleId="Heading8">
    <w:name w:val="heading 8"/>
    <w:basedOn w:val="Normal"/>
    <w:next w:val="Normal"/>
    <w:qFormat/>
    <w:pPr>
      <w:keepNext w:val="true"/>
      <w:keepLines/>
      <w:widowControl/>
      <w:numPr>
        <w:ilvl w:val="0"/>
        <w:numId w:val="0"/>
      </w:numPr>
      <w:suppressAutoHyphens w:val="false"/>
      <w:spacing w:lineRule="auto" w:line="278"/>
      <w:outlineLvl w:val="7"/>
    </w:pPr>
    <w:rPr>
      <w:rFonts w:ascii="Calibri" w:hAnsi="Calibri" w:eastAsia="Calibri"/>
      <w:i/>
      <w:iCs/>
      <w:color w:themeColor="dark1" w:themeTint="d8" w:val="272727"/>
      <w:kern w:val="2"/>
      <w:sz w:val="24"/>
      <w:szCs w:val="24"/>
    </w:rPr>
  </w:style>
  <w:style w:type="paragraph" w:styleId="Heading9">
    <w:name w:val="heading 9"/>
    <w:basedOn w:val="Normal"/>
    <w:next w:val="Normal"/>
    <w:qFormat/>
    <w:pPr>
      <w:keepNext w:val="true"/>
      <w:keepLines/>
      <w:widowControl/>
      <w:numPr>
        <w:ilvl w:val="0"/>
        <w:numId w:val="0"/>
      </w:numPr>
      <w:suppressAutoHyphens w:val="false"/>
      <w:spacing w:lineRule="auto" w:line="278"/>
      <w:outlineLvl w:val="8"/>
    </w:pPr>
    <w:rPr>
      <w:rFonts w:ascii="Calibri" w:hAnsi="Calibri" w:eastAsia="Calibri"/>
      <w:color w:themeColor="dark1" w:themeTint="d8" w:val="272727"/>
      <w:kern w:val="2"/>
      <w:sz w:val="24"/>
      <w:szCs w:val="24"/>
    </w:rPr>
  </w:style>
  <w:style w:type="character" w:styleId="DefaultParagraphFont" w:default="1">
    <w:name w:val="Default Paragraph Font"/>
    <w:uiPriority w:val="1"/>
    <w:semiHidden/>
    <w:unhideWhenUsed/>
    <w:qFormat/>
    <w:rPr/>
  </w:style>
  <w:style w:type="character" w:styleId="Hyperlink">
    <w:name w:val="Hyperlink"/>
    <w:rPr>
      <w:color w:val="000080"/>
      <w:u w:val="single"/>
    </w:rPr>
  </w:style>
  <w:style w:type="character" w:styleId="Fontepargpadro4" w:customStyle="1">
    <w:name w:val="Fonte parág. padrão4"/>
    <w:qFormat/>
    <w:rPr/>
  </w:style>
  <w:style w:type="character" w:styleId="FollowedHyperlink">
    <w:name w:val="FollowedHyperlink"/>
    <w:basedOn w:val="DefaultParagraphFont"/>
    <w:rPr>
      <w:color w:themeColor="followedHyperlink" w:val="800080"/>
      <w:u w:val="single"/>
    </w:rPr>
  </w:style>
  <w:style w:type="character" w:styleId="Strong">
    <w:name w:val="Strong"/>
    <w:qFormat/>
    <w:rPr>
      <w:b/>
      <w:bCs/>
    </w:rPr>
  </w:style>
  <w:style w:type="character" w:styleId="Emphasis">
    <w:name w:val="Emphasis"/>
    <w:qFormat/>
    <w:rPr>
      <w:i/>
      <w:iCs/>
    </w:rPr>
  </w:style>
  <w:style w:type="character" w:styleId="PrimeiroChar" w:customStyle="1">
    <w:name w:val="Primeiro Char"/>
    <w:basedOn w:val="DefaultParagraphFont"/>
    <w:link w:val="Primeiro"/>
    <w:qFormat/>
    <w:rsid w:val="00cc3dc6"/>
    <w:rPr>
      <w:rFonts w:ascii="Calibri" w:hAnsi="Calibri" w:eastAsia="Calibri" w:cs="Calibri"/>
      <w:b/>
      <w:color w:val="000000"/>
      <w:shd w:fill="D7E3BC" w:val="clear"/>
      <w:lang w:val="pt-PT"/>
    </w:rPr>
  </w:style>
  <w:style w:type="character" w:styleId="SegundoChar" w:customStyle="1">
    <w:name w:val="Segundo Char"/>
    <w:basedOn w:val="DefaultParagraphFont"/>
    <w:link w:val="Segundo"/>
    <w:qFormat/>
    <w:rsid w:val="00cc3dc6"/>
    <w:rPr>
      <w:rFonts w:ascii="Calibri" w:hAnsi="Calibri" w:eastAsia="Calibri" w:cs="Calibri"/>
      <w:color w:val="000000"/>
      <w:lang w:val="pt-PT"/>
    </w:rPr>
  </w:style>
  <w:style w:type="character" w:styleId="TerceiroChar" w:customStyle="1">
    <w:name w:val="Terceiro Char"/>
    <w:basedOn w:val="DefaultParagraphFont"/>
    <w:link w:val="Terceiro"/>
    <w:qFormat/>
    <w:rsid w:val="0083024c"/>
    <w:rPr>
      <w:rFonts w:ascii="Calibri" w:hAnsi="Calibri" w:eastAsia="Calibri" w:cs="Calibri"/>
      <w:lang w:val="pt-PT"/>
    </w:rPr>
  </w:style>
  <w:style w:type="character" w:styleId="TerceriraChar" w:customStyle="1">
    <w:name w:val="Tercerira Char"/>
    <w:basedOn w:val="DefaultParagraphFont"/>
    <w:link w:val="Tercerira"/>
    <w:qFormat/>
    <w:rsid w:val="00a178c2"/>
    <w:rPr>
      <w:rFonts w:ascii="Times New Roman" w:hAnsi="Times New Roman" w:cs="Times New Roman"/>
      <w:kern w:val="2"/>
      <w:sz w:val="20"/>
      <w:szCs w:val="20"/>
      <w:lang w:val="pt-BR"/>
      <w14:ligatures w14:val="standardContextual"/>
    </w:rPr>
  </w:style>
  <w:style w:type="character" w:styleId="QuartoChar" w:customStyle="1">
    <w:name w:val="Quarto Char"/>
    <w:basedOn w:val="DefaultParagraphFont"/>
    <w:link w:val="Quarto"/>
    <w:qFormat/>
    <w:rsid w:val="00754af2"/>
    <w:rPr>
      <w:rFonts w:ascii="Calibri" w:hAnsi="Calibri" w:eastAsia="Calibri" w:cs="Calibri"/>
      <w:color w:val="000000"/>
      <w:lang w:val="pt-PT"/>
    </w:rPr>
  </w:style>
  <w:style w:type="character" w:styleId="AlneaChar" w:customStyle="1">
    <w:name w:val="Alínea Char"/>
    <w:basedOn w:val="SegundoChar"/>
    <w:link w:val="Alnea"/>
    <w:qFormat/>
    <w:rsid w:val="00ea140e"/>
    <w:rPr>
      <w:rFonts w:ascii="Calibri" w:hAnsi="Calibri" w:eastAsia="Calibri" w:cs="Calibri"/>
      <w:color w:val="000000"/>
      <w:lang w:val="pt-PT"/>
    </w:rPr>
  </w:style>
  <w:style w:type="character" w:styleId="UnresolvedMention">
    <w:name w:val="Unresolved Mention"/>
    <w:basedOn w:val="DefaultParagraphFont"/>
    <w:uiPriority w:val="99"/>
    <w:semiHidden/>
    <w:unhideWhenUsed/>
    <w:qFormat/>
    <w:rsid w:val="009f67e5"/>
    <w:rPr>
      <w:color w:val="605E5C"/>
      <w:shd w:fill="E1DFDD" w:val="clear"/>
    </w:rPr>
  </w:style>
  <w:style w:type="character" w:styleId="ANEXOSChar" w:customStyle="1">
    <w:name w:val="ANEXOS Char"/>
    <w:basedOn w:val="PrimeiroChar"/>
    <w:link w:val="ANEXOS"/>
    <w:qFormat/>
    <w:rsid w:val="00f34118"/>
    <w:rPr>
      <w:rFonts w:ascii="Calibri" w:hAnsi="Calibri" w:eastAsia="Calibri" w:cs="Calibri"/>
      <w:b/>
      <w:color w:val="000000"/>
      <w:shd w:fill="D7E3BC" w:val="clear"/>
      <w:lang w:val="pt-PT"/>
    </w:rPr>
  </w:style>
  <w:style w:type="character" w:styleId="PrembuloChar" w:customStyle="1">
    <w:name w:val="Preâmbulo Char"/>
    <w:basedOn w:val="DefaultParagraphFont"/>
    <w:link w:val="Prembulo"/>
    <w:qFormat/>
    <w:rsid w:val="00855b7a"/>
    <w:rPr>
      <w:rFonts w:ascii="Calibri" w:hAnsi="Calibri" w:eastAsia="Calibri" w:cs="Calibri"/>
      <w:b/>
      <w:lang w:val="pt-PT"/>
    </w:rPr>
  </w:style>
  <w:style w:type="character" w:styleId="CorpoChar" w:customStyle="1">
    <w:name w:val="Corpo Char"/>
    <w:basedOn w:val="SegundoChar"/>
    <w:link w:val="Corpo"/>
    <w:qFormat/>
    <w:rsid w:val="00ab0b1a"/>
    <w:rPr>
      <w:rFonts w:ascii="Calibri" w:hAnsi="Calibri" w:eastAsia="Calibri" w:cs="Calibri"/>
      <w:color w:val="000000"/>
      <w:lang w:val="pt-PT"/>
    </w:rPr>
  </w:style>
  <w:style w:type="character" w:styleId="SegundaChar">
    <w:name w:val="Segunda Char"/>
    <w:basedOn w:val="DefaultParagraphFont"/>
    <w:qFormat/>
    <w:rPr>
      <w:rFonts w:ascii="Times New Roman" w:hAnsi="Times New Roman" w:cs="Times New Roman"/>
      <w:kern w:val="2"/>
      <w:sz w:val="20"/>
      <w:szCs w:val="20"/>
      <w:lang w:val="pt-BR"/>
    </w:rPr>
  </w:style>
  <w:style w:type="character" w:styleId="QuartaChar">
    <w:name w:val="Quarta Char"/>
    <w:basedOn w:val="TerceriraChar"/>
    <w:qFormat/>
    <w:rPr>
      <w:rFonts w:ascii="Times New Roman" w:hAnsi="Times New Roman" w:cs="Times New Roman"/>
      <w:kern w:val="2"/>
      <w:sz w:val="20"/>
      <w:szCs w:val="20"/>
      <w:lang w:val="pt-BR"/>
    </w:rPr>
  </w:style>
  <w:style w:type="character" w:styleId="PrimeiraChar">
    <w:name w:val="Primeira Char"/>
    <w:basedOn w:val="CorpoChar"/>
    <w:qFormat/>
    <w:rPr>
      <w:rFonts w:ascii="Times New Roman" w:hAnsi="Times New Roman" w:eastAsia="Calibri" w:cs="Times New Roman"/>
      <w:b/>
      <w:bCs/>
      <w:kern w:val="2"/>
      <w:sz w:val="20"/>
      <w:szCs w:val="20"/>
      <w:lang w:val="pt-BR"/>
    </w:rPr>
  </w:style>
  <w:style w:type="character" w:styleId="Ttulo1Char">
    <w:name w:val="Título 1 Char"/>
    <w:basedOn w:val="DefaultParagraphFont"/>
    <w:qFormat/>
    <w:rPr>
      <w:rFonts w:ascii="Cambria" w:hAnsi="Cambria" w:eastAsia="Calibri"/>
      <w:color w:themeColor="accent1" w:themeShade="bf" w:val="365F91"/>
      <w:kern w:val="2"/>
      <w:sz w:val="40"/>
      <w:szCs w:val="40"/>
      <w:lang w:val="pt-BR"/>
    </w:rPr>
  </w:style>
  <w:style w:type="character" w:styleId="Ttulo2Char">
    <w:name w:val="Título 2 Char"/>
    <w:basedOn w:val="DefaultParagraphFont"/>
    <w:qFormat/>
    <w:rPr>
      <w:rFonts w:ascii="Cambria" w:hAnsi="Cambria" w:eastAsia="Calibri"/>
      <w:color w:themeColor="accent1" w:themeShade="bf" w:val="365F91"/>
      <w:kern w:val="2"/>
      <w:sz w:val="32"/>
      <w:szCs w:val="32"/>
      <w:lang w:val="pt-BR"/>
    </w:rPr>
  </w:style>
  <w:style w:type="character" w:styleId="Ttulo3Char">
    <w:name w:val="Título 3 Char"/>
    <w:basedOn w:val="DefaultParagraphFont"/>
    <w:qFormat/>
    <w:rPr>
      <w:rFonts w:eastAsia="Calibri"/>
      <w:color w:themeColor="accent1" w:themeShade="bf" w:val="365F91"/>
      <w:kern w:val="2"/>
      <w:sz w:val="28"/>
      <w:szCs w:val="28"/>
      <w:lang w:val="pt-BR"/>
    </w:rPr>
  </w:style>
  <w:style w:type="character" w:styleId="Ttulo4Char">
    <w:name w:val="Título 4 Char"/>
    <w:basedOn w:val="DefaultParagraphFont"/>
    <w:qFormat/>
    <w:rPr>
      <w:rFonts w:eastAsia="Calibri"/>
      <w:i/>
      <w:iCs/>
      <w:color w:themeColor="accent1" w:themeShade="bf" w:val="365F91"/>
      <w:kern w:val="2"/>
      <w:sz w:val="24"/>
      <w:szCs w:val="24"/>
      <w:lang w:val="pt-BR"/>
    </w:rPr>
  </w:style>
  <w:style w:type="character" w:styleId="Ttulo5Char">
    <w:name w:val="Título 5 Char"/>
    <w:basedOn w:val="DefaultParagraphFont"/>
    <w:qFormat/>
    <w:rPr>
      <w:rFonts w:eastAsia="Calibri"/>
      <w:color w:themeColor="accent1" w:themeShade="bf" w:val="365F91"/>
      <w:kern w:val="2"/>
      <w:sz w:val="24"/>
      <w:szCs w:val="24"/>
      <w:lang w:val="pt-BR"/>
    </w:rPr>
  </w:style>
  <w:style w:type="character" w:styleId="Ttulo6Char">
    <w:name w:val="Título 6 Char"/>
    <w:basedOn w:val="DefaultParagraphFont"/>
    <w:qFormat/>
    <w:rPr>
      <w:rFonts w:eastAsia="Calibri"/>
      <w:i/>
      <w:iCs/>
      <w:color w:themeColor="dark1" w:themeTint="a6" w:val="595959"/>
      <w:kern w:val="2"/>
      <w:sz w:val="24"/>
      <w:szCs w:val="24"/>
      <w:lang w:val="pt-BR"/>
    </w:rPr>
  </w:style>
  <w:style w:type="character" w:styleId="Ttulo7Char">
    <w:name w:val="Título 7 Char"/>
    <w:basedOn w:val="DefaultParagraphFont"/>
    <w:qFormat/>
    <w:rPr>
      <w:rFonts w:eastAsia="Calibri"/>
      <w:color w:themeColor="dark1" w:themeTint="a6" w:val="595959"/>
      <w:kern w:val="2"/>
      <w:sz w:val="24"/>
      <w:szCs w:val="24"/>
      <w:lang w:val="pt-BR"/>
    </w:rPr>
  </w:style>
  <w:style w:type="character" w:styleId="Ttulo8Char">
    <w:name w:val="Título 8 Char"/>
    <w:basedOn w:val="DefaultParagraphFont"/>
    <w:qFormat/>
    <w:rPr>
      <w:rFonts w:eastAsia="Calibri"/>
      <w:i/>
      <w:iCs/>
      <w:color w:themeColor="dark1" w:themeTint="d8" w:val="272727"/>
      <w:kern w:val="2"/>
      <w:sz w:val="24"/>
      <w:szCs w:val="24"/>
      <w:lang w:val="pt-BR"/>
    </w:rPr>
  </w:style>
  <w:style w:type="character" w:styleId="Ttulo9Char">
    <w:name w:val="Título 9 Char"/>
    <w:basedOn w:val="DefaultParagraphFont"/>
    <w:qFormat/>
    <w:rPr>
      <w:rFonts w:eastAsia="Calibri"/>
      <w:color w:themeColor="dark1" w:themeTint="d8" w:val="272727"/>
      <w:kern w:val="2"/>
      <w:sz w:val="24"/>
      <w:szCs w:val="24"/>
      <w:lang w:val="pt-BR"/>
    </w:rPr>
  </w:style>
  <w:style w:type="character" w:styleId="TtuloChar">
    <w:name w:val="Título Char"/>
    <w:basedOn w:val="DefaultParagraphFont"/>
    <w:qFormat/>
    <w:rPr>
      <w:rFonts w:ascii="Liberation Sans" w:hAnsi="Liberation Sans" w:eastAsia="Noto Sans CJK SC" w:cs="Noto Sans Devanagari"/>
      <w:sz w:val="28"/>
      <w:szCs w:val="28"/>
      <w:lang w:val="pt-PT"/>
    </w:rPr>
  </w:style>
  <w:style w:type="character" w:styleId="SubttuloChar">
    <w:name w:val="Subtítulo Char"/>
    <w:basedOn w:val="DefaultParagraphFont"/>
    <w:qFormat/>
    <w:rPr>
      <w:rFonts w:eastAsia="Calibri"/>
      <w:color w:themeColor="dark1" w:themeTint="a6" w:val="595959"/>
      <w:spacing w:val="15"/>
      <w:kern w:val="2"/>
      <w:sz w:val="28"/>
      <w:szCs w:val="28"/>
      <w:lang w:val="pt-BR"/>
    </w:rPr>
  </w:style>
  <w:style w:type="character" w:styleId="CitaoChar">
    <w:name w:val="Citação Char"/>
    <w:basedOn w:val="DefaultParagraphFont"/>
    <w:qFormat/>
    <w:rPr>
      <w:i/>
      <w:iCs/>
      <w:color w:themeColor="dark1" w:themeTint="bf" w:val="404040"/>
      <w:kern w:val="2"/>
      <w:sz w:val="24"/>
      <w:szCs w:val="24"/>
      <w:lang w:val="pt-BR"/>
    </w:rPr>
  </w:style>
  <w:style w:type="character" w:styleId="IntenseEmphasis">
    <w:name w:val="Intense Emphasis"/>
    <w:basedOn w:val="DefaultParagraphFont"/>
    <w:qFormat/>
    <w:rPr>
      <w:i/>
      <w:iCs/>
      <w:color w:themeColor="accent1" w:themeShade="bf" w:val="365F91"/>
    </w:rPr>
  </w:style>
  <w:style w:type="character" w:styleId="CitaoIntensaChar">
    <w:name w:val="Citação Intensa Char"/>
    <w:basedOn w:val="DefaultParagraphFont"/>
    <w:qFormat/>
    <w:rPr>
      <w:i/>
      <w:iCs/>
      <w:color w:themeColor="accent1" w:themeShade="bf" w:val="365F91"/>
      <w:kern w:val="2"/>
      <w:sz w:val="24"/>
      <w:szCs w:val="24"/>
      <w:lang w:val="pt-BR"/>
    </w:rPr>
  </w:style>
  <w:style w:type="character" w:styleId="IntenseReference">
    <w:name w:val="Intense Reference"/>
    <w:basedOn w:val="DefaultParagraphFont"/>
    <w:qFormat/>
    <w:rPr>
      <w:b/>
      <w:bCs/>
      <w:smallCaps/>
      <w:color w:themeColor="accent1" w:themeShade="bf" w:val="365F91"/>
      <w:spacing w:val="5"/>
    </w:rPr>
  </w:style>
  <w:style w:type="character" w:styleId="CabealhoChar">
    <w:name w:val="Cabeçalho Char"/>
    <w:basedOn w:val="DefaultParagraphFont"/>
    <w:qFormat/>
    <w:rPr>
      <w:rFonts w:ascii="Times New Roman" w:hAnsi="Times New Roman" w:eastAsia="Times New Roman" w:cs="Times New Roman"/>
      <w:lang w:val="pt-PT"/>
    </w:rPr>
  </w:style>
  <w:style w:type="character" w:styleId="RodapChar">
    <w:name w:val="Rodapé Char"/>
    <w:basedOn w:val="DefaultParagraphFont"/>
    <w:qFormat/>
    <w:rPr>
      <w:rFonts w:ascii="Times New Roman" w:hAnsi="Times New Roman" w:eastAsia="Times New Roman" w:cs="Times New Roman"/>
      <w:lang w:val="pt-PT"/>
    </w:rPr>
  </w:style>
  <w:style w:type="character" w:styleId="IdentificaoChar">
    <w:name w:val="Identificação Char"/>
    <w:basedOn w:val="DefaultParagraphFont"/>
    <w:qFormat/>
    <w:rPr>
      <w:rFonts w:ascii="Times New Roman" w:hAnsi="Times New Roman" w:cs="Times New Roman"/>
      <w:kern w:val="2"/>
      <w:sz w:val="20"/>
      <w:szCs w:val="20"/>
      <w:lang w:val="pt-B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uiPriority w:val="1"/>
    <w:pPr/>
    <w:rPr>
      <w:sz w:val="21"/>
      <w:szCs w:val="21"/>
    </w:rPr>
  </w:style>
  <w:style w:type="paragraph" w:styleId="List">
    <w:name w:val="List"/>
    <w:basedOn w:val="BodyText"/>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ndice" w:customStyle="1">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Arial"/>
      <w:sz w:val="28"/>
      <w:szCs w:val="28"/>
    </w:rPr>
  </w:style>
  <w:style w:type="paragraph" w:styleId="ndiceuser" w:customStyle="1">
    <w:name w:val="Índice (user)"/>
    <w:basedOn w:val="Normal"/>
    <w:qFormat/>
    <w:pPr>
      <w:suppressLineNumbers/>
    </w:pPr>
    <w:rPr>
      <w:rFonts w:cs="Noto Sans Devanagari"/>
    </w:rPr>
  </w:style>
  <w:style w:type="paragraph" w:styleId="Title">
    <w:name w:val="Title"/>
    <w:basedOn w:val="Normal"/>
    <w:next w:val="BodyText"/>
    <w:uiPriority w:val="10"/>
    <w:qFormat/>
    <w:pPr>
      <w:keepNext w:val="true"/>
      <w:spacing w:before="240" w:after="120"/>
    </w:pPr>
    <w:rPr>
      <w:rFonts w:ascii="Liberation Sans" w:hAnsi="Liberation Sans" w:eastAsia="Noto Sans CJK SC" w:cs="Noto Sans Devanagari"/>
      <w:sz w:val="28"/>
      <w:szCs w:val="28"/>
    </w:rPr>
  </w:style>
  <w:style w:type="paragraph" w:styleId="Ttulo1" w:customStyle="1">
    <w:name w:val="Título1"/>
    <w:basedOn w:val="Normal"/>
    <w:next w:val="BodyText"/>
    <w:qFormat/>
    <w:pPr>
      <w:keepNext w:val="true"/>
      <w:spacing w:before="240" w:after="120"/>
    </w:pPr>
    <w:rPr>
      <w:rFonts w:ascii="Liberation Sans" w:hAnsi="Liberation Sans" w:eastAsia="Microsoft YaHei" w:cs="Arial"/>
      <w:sz w:val="28"/>
      <w:szCs w:val="28"/>
    </w:rPr>
  </w:style>
  <w:style w:type="paragraph" w:styleId="ListParagraph">
    <w:name w:val="List Paragraph"/>
    <w:basedOn w:val="Normal"/>
    <w:uiPriority w:val="1"/>
    <w:qFormat/>
    <w:pPr/>
    <w:rPr/>
  </w:style>
  <w:style w:type="paragraph" w:styleId="TableParagraph" w:customStyle="1">
    <w:name w:val="Table Paragraph"/>
    <w:basedOn w:val="Normal"/>
    <w:uiPriority w:val="1"/>
    <w:qFormat/>
    <w:pPr/>
    <w:rPr/>
  </w:style>
  <w:style w:type="paragraph" w:styleId="Cabealhoerodapuser" w:customStyle="1">
    <w:name w:val="Cabeçalho e rodapé (user)"/>
    <w:basedOn w:val="Normal"/>
    <w:qFormat/>
    <w:pPr/>
    <w:rPr/>
  </w:style>
  <w:style w:type="paragraph" w:styleId="Cabealhoerodap" w:customStyle="1">
    <w:name w:val="Cabeçalho e rodapé"/>
    <w:basedOn w:val="Normal"/>
    <w:qFormat/>
    <w:pPr/>
    <w:rPr/>
  </w:style>
  <w:style w:type="paragraph" w:styleId="Header">
    <w:name w:val="header"/>
    <w:basedOn w:val="Cabealhoerodapuser"/>
    <w:pPr/>
    <w:rPr/>
  </w:style>
  <w:style w:type="paragraph" w:styleId="Contedodoquadrouser" w:customStyle="1">
    <w:name w:val="Conteúdo do quadro (user)"/>
    <w:basedOn w:val="Normal"/>
    <w:qFormat/>
    <w:pPr/>
    <w:rPr/>
  </w:style>
  <w:style w:type="paragraph" w:styleId="Cabealhoesquerdauser" w:customStyle="1">
    <w:name w:val="Cabeçalho à esquerda (user)"/>
    <w:basedOn w:val="Header"/>
    <w:qFormat/>
    <w:pPr/>
    <w:rPr/>
  </w:style>
  <w:style w:type="paragraph" w:styleId="Linhahorizontaluser" w:customStyle="1">
    <w:name w:val="Linha horizontal (user)"/>
    <w:basedOn w:val="Normal"/>
    <w:next w:val="BodyText"/>
    <w:qFormat/>
    <w:pPr>
      <w:suppressLineNumbers/>
      <w:pBdr>
        <w:bottom w:val="double" w:sz="2" w:space="0" w:color="808080"/>
      </w:pBdr>
      <w:spacing w:before="0" w:after="283"/>
    </w:pPr>
    <w:rPr>
      <w:sz w:val="12"/>
      <w:szCs w:val="12"/>
    </w:rPr>
  </w:style>
  <w:style w:type="paragraph" w:styleId="NoSpacing">
    <w:name w:val="No Spacing"/>
    <w:qFormat/>
    <w:pPr>
      <w:widowControl/>
      <w:suppressAutoHyphens w:val="true"/>
      <w:bidi w:val="0"/>
      <w:spacing w:before="0" w:after="0"/>
      <w:contextualSpacing/>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paragraph" w:styleId="Contedodatabelauser" w:customStyle="1">
    <w:name w:val="Conteúdo da tabela (user)"/>
    <w:basedOn w:val="Normal"/>
    <w:qFormat/>
    <w:pPr>
      <w:suppressLineNumbers/>
    </w:pPr>
    <w:rPr/>
  </w:style>
  <w:style w:type="paragraph" w:styleId="Ttulodetabelauser" w:customStyle="1">
    <w:name w:val="Título de tabela (user)"/>
    <w:basedOn w:val="Contedodatabelauser"/>
    <w:qFormat/>
    <w:pPr>
      <w:jc w:val="center"/>
    </w:pPr>
    <w:rPr>
      <w:b/>
      <w:bCs/>
    </w:rPr>
  </w:style>
  <w:style w:type="paragraph" w:styleId="Footer">
    <w:name w:val="footer"/>
    <w:basedOn w:val="Cabealhoerodapuser"/>
    <w:pPr>
      <w:suppressLineNumbers/>
      <w:tabs>
        <w:tab w:val="clear" w:pos="720"/>
        <w:tab w:val="center" w:pos="5103" w:leader="none"/>
        <w:tab w:val="right" w:pos="10206" w:leader="none"/>
      </w:tabs>
    </w:pPr>
    <w:rPr/>
  </w:style>
  <w:style w:type="paragraph" w:styleId="Primeiro" w:customStyle="1">
    <w:name w:val="Primeiro"/>
    <w:basedOn w:val="Normal"/>
    <w:link w:val="PrimeiroChar"/>
    <w:qFormat/>
    <w:rsid w:val="00cc3dc6"/>
    <w:pPr>
      <w:keepNext w:val="true"/>
      <w:keepLines/>
      <w:widowControl/>
      <w:numPr>
        <w:ilvl w:val="0"/>
        <w:numId w:val="2"/>
      </w:numPr>
      <w:shd w:val="clear" w:color="auto" w:fill="D7E3BC"/>
      <w:tabs>
        <w:tab w:val="clear" w:pos="720"/>
        <w:tab w:val="left" w:pos="426" w:leader="none"/>
        <w:tab w:val="left" w:pos="567" w:leader="none"/>
      </w:tabs>
      <w:suppressAutoHyphens w:val="false"/>
      <w:jc w:val="both"/>
    </w:pPr>
    <w:rPr>
      <w:rFonts w:ascii="Calibri" w:hAnsi="Calibri" w:eastAsia="Calibri" w:cs="Calibri"/>
      <w:b/>
      <w:color w:val="000000"/>
    </w:rPr>
  </w:style>
  <w:style w:type="paragraph" w:styleId="Segundo" w:customStyle="1">
    <w:name w:val="Segundo"/>
    <w:basedOn w:val="Normal"/>
    <w:link w:val="SegundoChar"/>
    <w:qFormat/>
    <w:rsid w:val="00cc3dc6"/>
    <w:pPr>
      <w:widowControl/>
      <w:numPr>
        <w:ilvl w:val="1"/>
        <w:numId w:val="2"/>
      </w:numPr>
      <w:tabs>
        <w:tab w:val="clear" w:pos="720"/>
        <w:tab w:val="left" w:pos="426" w:leader="none"/>
      </w:tabs>
      <w:suppressAutoHyphens w:val="false"/>
      <w:ind w:hanging="0" w:left="0"/>
      <w:jc w:val="both"/>
    </w:pPr>
    <w:rPr>
      <w:rFonts w:ascii="Calibri" w:hAnsi="Calibri" w:eastAsia="Calibri" w:cs="Calibri"/>
      <w:color w:val="000000"/>
    </w:rPr>
  </w:style>
  <w:style w:type="paragraph" w:styleId="Terceiro" w:customStyle="1">
    <w:name w:val="Terceiro"/>
    <w:basedOn w:val="Normal"/>
    <w:link w:val="TerceiroChar"/>
    <w:qFormat/>
    <w:rsid w:val="0083024c"/>
    <w:pPr>
      <w:widowControl/>
      <w:numPr>
        <w:ilvl w:val="2"/>
        <w:numId w:val="2"/>
      </w:numPr>
      <w:tabs>
        <w:tab w:val="clear" w:pos="720"/>
        <w:tab w:val="left" w:pos="851" w:leader="none"/>
        <w:tab w:val="left" w:pos="993" w:leader="none"/>
        <w:tab w:val="left" w:pos="1701" w:leader="none"/>
      </w:tabs>
      <w:suppressAutoHyphens w:val="false"/>
      <w:ind w:hanging="0" w:left="284"/>
      <w:jc w:val="both"/>
    </w:pPr>
    <w:rPr>
      <w:rFonts w:ascii="Calibri" w:hAnsi="Calibri" w:eastAsia="Calibri" w:cs="Calibri"/>
    </w:rPr>
  </w:style>
  <w:style w:type="paragraph" w:styleId="Primeira" w:customStyle="1">
    <w:name w:val="Primeira"/>
    <w:basedOn w:val="Normal"/>
    <w:qFormat/>
    <w:rsid w:val="00a178c2"/>
    <w:pPr>
      <w:widowControl/>
      <w:numPr>
        <w:ilvl w:val="0"/>
        <w:numId w:val="3"/>
      </w:numPr>
      <w:suppressAutoHyphens w:val="false"/>
      <w:spacing w:lineRule="auto" w:line="360" w:before="80" w:after="120"/>
      <w:ind w:hanging="851" w:left="851"/>
      <w:contextualSpacing/>
      <w:jc w:val="both"/>
    </w:pPr>
    <w:rPr>
      <w:rFonts w:eastAsia="Calibri" w:eastAsiaTheme="minorHAnsi"/>
      <w:b/>
      <w:bCs/>
      <w:kern w:val="2"/>
      <w:sz w:val="20"/>
      <w:szCs w:val="20"/>
      <w14:ligatures w14:val="standardContextual"/>
    </w:rPr>
  </w:style>
  <w:style w:type="paragraph" w:styleId="Segunda" w:customStyle="1">
    <w:name w:val="Segunda"/>
    <w:basedOn w:val="Normal"/>
    <w:qFormat/>
    <w:rsid w:val="00a178c2"/>
    <w:pPr>
      <w:widowControl/>
      <w:numPr>
        <w:ilvl w:val="1"/>
        <w:numId w:val="3"/>
      </w:numPr>
      <w:suppressAutoHyphens w:val="false"/>
      <w:spacing w:lineRule="auto" w:line="360" w:before="80" w:after="120"/>
      <w:ind w:hanging="851" w:left="851"/>
      <w:contextualSpacing/>
      <w:jc w:val="both"/>
    </w:pPr>
    <w:rPr>
      <w:rFonts w:eastAsia="Calibri" w:eastAsiaTheme="minorHAnsi"/>
      <w:kern w:val="2"/>
      <w:sz w:val="20"/>
      <w:szCs w:val="20"/>
      <w14:ligatures w14:val="standardContextual"/>
    </w:rPr>
  </w:style>
  <w:style w:type="paragraph" w:styleId="Tercerira" w:customStyle="1">
    <w:name w:val="Tercerira"/>
    <w:basedOn w:val="Segunda"/>
    <w:link w:val="TerceriraChar"/>
    <w:qFormat/>
    <w:rsid w:val="00a178c2"/>
    <w:pPr/>
    <w:rPr/>
  </w:style>
  <w:style w:type="paragraph" w:styleId="Quarta" w:customStyle="1">
    <w:name w:val="Quarta"/>
    <w:basedOn w:val="Tercerira"/>
    <w:qFormat/>
    <w:rsid w:val="00a178c2"/>
    <w:pPr/>
    <w:rPr/>
  </w:style>
  <w:style w:type="paragraph" w:styleId="Quarto" w:customStyle="1">
    <w:name w:val="Quarto"/>
    <w:basedOn w:val="Normal"/>
    <w:link w:val="QuartoChar"/>
    <w:qFormat/>
    <w:rsid w:val="00754af2"/>
    <w:pPr>
      <w:widowControl/>
      <w:numPr>
        <w:ilvl w:val="3"/>
        <w:numId w:val="2"/>
      </w:numPr>
      <w:tabs>
        <w:tab w:val="clear" w:pos="720"/>
        <w:tab w:val="left" w:pos="851" w:leader="none"/>
        <w:tab w:val="left" w:pos="1418" w:leader="none"/>
      </w:tabs>
      <w:suppressAutoHyphens w:val="false"/>
      <w:ind w:hanging="0" w:left="567"/>
      <w:jc w:val="both"/>
    </w:pPr>
    <w:rPr>
      <w:rFonts w:ascii="Calibri" w:hAnsi="Calibri" w:eastAsia="Calibri" w:cs="Calibri"/>
      <w:color w:val="000000"/>
    </w:rPr>
  </w:style>
  <w:style w:type="paragraph" w:styleId="Alnea" w:customStyle="1">
    <w:name w:val="Alínea"/>
    <w:basedOn w:val="Segundo"/>
    <w:link w:val="AlneaChar"/>
    <w:qFormat/>
    <w:rsid w:val="00ea140e"/>
    <w:pPr>
      <w:numPr>
        <w:ilvl w:val="1"/>
        <w:numId w:val="1"/>
      </w:numPr>
    </w:pPr>
    <w:rPr/>
  </w:style>
  <w:style w:type="paragraph" w:styleId="ANEXOS" w:customStyle="1">
    <w:name w:val="ANEXOS"/>
    <w:basedOn w:val="Primeiro"/>
    <w:link w:val="ANEXOSChar"/>
    <w:qFormat/>
    <w:rsid w:val="00f34118"/>
    <w:pPr>
      <w:numPr>
        <w:ilvl w:val="0"/>
        <w:numId w:val="0"/>
      </w:numPr>
      <w:tabs>
        <w:tab w:val="clear" w:pos="567"/>
        <w:tab w:val="left" w:pos="142" w:leader="none"/>
      </w:tabs>
      <w:jc w:val="center"/>
    </w:pPr>
    <w:rPr/>
  </w:style>
  <w:style w:type="paragraph" w:styleId="Prembulo" w:customStyle="1">
    <w:name w:val="Preâmbulo"/>
    <w:basedOn w:val="Normal"/>
    <w:link w:val="PrembuloChar"/>
    <w:qFormat/>
    <w:rsid w:val="00855b7a"/>
    <w:pPr>
      <w:jc w:val="center"/>
    </w:pPr>
    <w:rPr>
      <w:rFonts w:ascii="Calibri" w:hAnsi="Calibri" w:eastAsia="Calibri" w:cs="Calibri"/>
      <w:b/>
    </w:rPr>
  </w:style>
  <w:style w:type="paragraph" w:styleId="Corpo" w:customStyle="1">
    <w:name w:val="Corpo"/>
    <w:basedOn w:val="Segundo"/>
    <w:link w:val="CorpoChar"/>
    <w:qFormat/>
    <w:rsid w:val="00ab0b1a"/>
    <w:pPr>
      <w:numPr>
        <w:ilvl w:val="0"/>
        <w:numId w:val="0"/>
      </w:numPr>
      <w:ind w:hanging="0" w:left="0"/>
    </w:pPr>
    <w:rPr/>
  </w:style>
  <w:style w:type="paragraph" w:styleId="Subtitle">
    <w:name w:val="Subtitle"/>
    <w:basedOn w:val="Normal"/>
    <w:next w:val="Normal"/>
    <w:qFormat/>
    <w:pPr>
      <w:widowControl/>
      <w:suppressAutoHyphens w:val="false"/>
      <w:spacing w:lineRule="auto" w:line="278" w:before="0" w:after="160"/>
    </w:pPr>
    <w:rPr>
      <w:rFonts w:ascii="Calibri" w:hAnsi="Calibri" w:eastAsia="Calibri"/>
      <w:color w:themeColor="dark1" w:themeTint="a6" w:val="595959"/>
      <w:spacing w:val="15"/>
      <w:kern w:val="2"/>
      <w:sz w:val="28"/>
      <w:szCs w:val="28"/>
    </w:rPr>
  </w:style>
  <w:style w:type="paragraph" w:styleId="Quote">
    <w:name w:val="Quote"/>
    <w:basedOn w:val="Normal"/>
    <w:next w:val="Normal"/>
    <w:qFormat/>
    <w:pPr>
      <w:widowControl/>
      <w:suppressAutoHyphens w:val="false"/>
      <w:spacing w:lineRule="auto" w:line="278" w:before="160" w:after="160"/>
      <w:jc w:val="center"/>
    </w:pPr>
    <w:rPr>
      <w:rFonts w:ascii="Calibri" w:hAnsi="Calibri" w:eastAsia="Calibri"/>
      <w:i/>
      <w:iCs/>
      <w:color w:themeColor="dark1" w:themeTint="bf" w:val="404040"/>
      <w:kern w:val="2"/>
      <w:sz w:val="24"/>
      <w:szCs w:val="24"/>
    </w:rPr>
  </w:style>
  <w:style w:type="paragraph" w:styleId="IntenseQuote">
    <w:name w:val="Intense Quote"/>
    <w:basedOn w:val="Normal"/>
    <w:next w:val="Normal"/>
    <w:qFormat/>
    <w:pPr>
      <w:widowControl/>
      <w:pBdr>
        <w:top w:val="single" w:sz="4" w:space="10" w:color="365F91"/>
        <w:bottom w:val="single" w:sz="4" w:space="10" w:color="365F91"/>
      </w:pBdr>
      <w:suppressAutoHyphens w:val="false"/>
      <w:spacing w:lineRule="auto" w:line="278" w:before="360" w:after="360"/>
      <w:ind w:left="864" w:right="864"/>
      <w:jc w:val="center"/>
    </w:pPr>
    <w:rPr>
      <w:rFonts w:ascii="Calibri" w:hAnsi="Calibri" w:eastAsia="Calibri"/>
      <w:i/>
      <w:iCs/>
      <w:color w:themeColor="accent1" w:themeShade="bf" w:val="365F91"/>
      <w:kern w:val="2"/>
      <w:sz w:val="24"/>
      <w:szCs w:val="24"/>
    </w:rPr>
  </w:style>
  <w:style w:type="paragraph" w:styleId="western">
    <w:name w:val="western"/>
    <w:basedOn w:val="Normal"/>
    <w:qFormat/>
    <w:pPr>
      <w:spacing w:before="280" w:after="119"/>
    </w:pPr>
    <w:rPr/>
  </w:style>
  <w:style w:type="paragraph" w:styleId="Identificao">
    <w:name w:val="Identificação"/>
    <w:basedOn w:val="Normal"/>
    <w:qFormat/>
    <w:pPr>
      <w:widowControl/>
      <w:suppressAutoHyphens w:val="false"/>
      <w:spacing w:lineRule="auto" w:line="360" w:before="120" w:after="160"/>
      <w:contextualSpacing/>
      <w:jc w:val="center"/>
    </w:pPr>
    <w:rPr>
      <w:rFonts w:eastAsia="Calibri"/>
      <w:kern w:val="2"/>
      <w:sz w:val="20"/>
      <w:szCs w:val="20"/>
    </w:rPr>
  </w:style>
  <w:style w:type="paragraph" w:styleId="Corpodetexto32">
    <w:name w:val="Corpo de texto 32"/>
    <w:basedOn w:val="Normal"/>
    <w:qFormat/>
    <w:pPr>
      <w:jc w:val="both"/>
    </w:pPr>
    <w:rPr>
      <w:rFonts w:eastAsia="Arial Unicode MS"/>
      <w:kern w:val="2"/>
      <w:sz w:val="28"/>
      <w:szCs w:val="24"/>
      <w:lang w:eastAsia="zh-CN"/>
    </w:rPr>
  </w:style>
  <w:style w:type="paragraph" w:styleId="WW-Corpodetexto3">
    <w:name w:val="WW-Corpo de texto 3"/>
    <w:basedOn w:val="Normal"/>
    <w:qFormat/>
    <w:pPr>
      <w:jc w:val="both"/>
    </w:pPr>
    <w:rPr>
      <w:rFonts w:ascii="Arial" w:hAnsi="Arial" w:eastAsia="Arial Unicode MS" w:cs="Arial"/>
      <w:b/>
      <w:kern w:val="2"/>
      <w:sz w:val="24"/>
      <w:szCs w:val="24"/>
      <w:lang w:eastAsia="zh-CN"/>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jc w:val="center"/>
    </w:pPr>
    <w:rPr>
      <w:b/>
      <w:bCs/>
    </w:rPr>
  </w:style>
  <w:style w:type="paragraph" w:styleId="Linhahorizontal">
    <w:name w:val="Linha horizontal"/>
    <w:basedOn w:val="Normal"/>
    <w:next w:val="BodyText"/>
    <w:qFormat/>
    <w:pPr>
      <w:suppressLineNumbers/>
      <w:pBdr>
        <w:bottom w:val="double" w:sz="2" w:space="0" w:color="808080"/>
      </w:pBdr>
      <w:spacing w:before="0" w:after="283"/>
    </w:pPr>
    <w:rPr>
      <w:sz w:val="12"/>
      <w:szCs w:val="12"/>
    </w:rPr>
  </w:style>
  <w:style w:type="paragraph" w:styleId="Cabealhoesquerda">
    <w:name w:val="Cabeçalho à esquerda"/>
    <w:basedOn w:val="Header"/>
    <w:qFormat/>
    <w:pPr/>
    <w:rPr/>
  </w:style>
  <w:style w:type="paragraph" w:styleId="Contedodoquadro">
    <w:name w:val="Conteúdo do quadro"/>
    <w:basedOn w:val="Normal"/>
    <w:qFormat/>
    <w:pPr/>
    <w:rPr/>
  </w:style>
  <w:style w:type="numbering" w:styleId="Semlista" w:default="1">
    <w:name w:val="Sem lista"/>
    <w:uiPriority w:val="99"/>
    <w:semiHidden/>
    <w:unhideWhenUsed/>
    <w:qFormat/>
  </w:style>
  <w:style w:type="numbering" w:styleId="Semlista1" w:customStyle="1">
    <w:name w:val="Sem lista1"/>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 w:type="table" w:styleId="Tabelacomgrade">
    <w:name w:val="Table Grid"/>
    <w:basedOn w:val="Tabelanormal"/>
    <w:uiPriority w:val="39"/>
    <w:rsid w:val="00aa2c0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2.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botuvera.sc.gov.br/" TargetMode="External"/><Relationship Id="rId3" Type="http://schemas.openxmlformats.org/officeDocument/2006/relationships/hyperlink" Target="http://www.botuvera.atende.net/" TargetMode="External"/>
</Relationships>
</file>

<file path=word/_rels/header3.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hyperlink" Target="http://www.botuvera.sc.gov.br/" TargetMode="External"/><Relationship Id="rId3" Type="http://schemas.openxmlformats.org/officeDocument/2006/relationships/hyperlink" Target="http://www.botuvera.atende.net/" TargetMode="Externa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63094-7D73-4DA0-A565-DACD760B7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Application>LibreOffice/26.2.4.2$Windows_X86_64 LibreOffice_project/0229ac93fcf0d7cbc6376066c6f35021cef002dc</Application>
  <AppVersion>15.0000</AppVersion>
  <Pages>9</Pages>
  <Words>3567</Words>
  <Characters>20493</Characters>
  <CharactersWithSpaces>23764</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2026-02-02T16:11:00Z</dcterms:created>
  <dc:creator>TRIBUNAL DE CONTAS DA UNIAO</dc:creator>
  <dc:description/>
  <dc:language>pt-BR</dc:language>
  <cp:lastModifiedBy/>
  <cp:lastPrinted>2025-10-10T17:37:00Z</cp:lastPrinted>
  <dcterms:modified xsi:type="dcterms:W3CDTF">2026-06-17T10:22:48Z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2024-01-31T00:00:00Z</vt:filetime>
  </property>
  <property fmtid="{D5CDD505-2E9C-101B-9397-08002B2CF9AE}" pid="3" name="Creator">
    <vt:lpwstr>Writer</vt:lpwstr>
  </property>
  <property fmtid="{D5CDD505-2E9C-101B-9397-08002B2CF9AE}" pid="4" name="LastSaved">
    <vt:filetime>2024-01-31T00:00:00Z</vt:filetime>
  </property>
  <property fmtid="{D5CDD505-2E9C-101B-9397-08002B2CF9AE}" pid="5" name="Producer">
    <vt:lpwstr>LibreOffice 7.3</vt:lpwstr>
  </property>
</Properties>
</file>