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A06390">
      <w:pPr>
        <w:pStyle w:val="7"/>
        <w:widowControl/>
        <w:suppressAutoHyphens/>
        <w:bidi w:val="0"/>
        <w:jc w:val="both"/>
        <w:rPr>
          <w:rFonts w:hint="default" w:ascii="Calibri" w:hAnsi="Calibri" w:eastAsia="Calibri" w:cs="Calibri"/>
          <w:b/>
          <w:bCs/>
          <w:kern w:val="0"/>
          <w:sz w:val="21"/>
          <w:szCs w:val="21"/>
        </w:rPr>
      </w:pPr>
      <w:r>
        <w:rPr>
          <w:rFonts w:hint="default" w:ascii="Calibri" w:hAnsi="Calibri" w:eastAsia="Calibri" w:cs="Calibri"/>
          <w:b/>
          <w:bCs/>
          <w:kern w:val="0"/>
          <w:sz w:val="21"/>
          <w:szCs w:val="21"/>
          <w:lang w:val="pt-BR" w:eastAsia="pt-BR"/>
        </w:rPr>
        <w:t xml:space="preserve">AVISO DE </w:t>
      </w:r>
      <w:r>
        <w:rPr>
          <w:rFonts w:hint="default" w:ascii="Calibri" w:hAnsi="Calibri" w:eastAsia="Calibri" w:cs="Calibri"/>
          <w:b/>
          <w:bCs/>
          <w:kern w:val="0"/>
          <w:sz w:val="21"/>
          <w:szCs w:val="21"/>
          <w:lang w:val="en-US" w:eastAsia="pt-BR"/>
        </w:rPr>
        <w:t>CONTRATAÇÃO DIRETA</w:t>
      </w:r>
    </w:p>
    <w:p w14:paraId="19E55A9F">
      <w:pPr>
        <w:pStyle w:val="7"/>
        <w:widowControl/>
        <w:suppressAutoHyphens/>
        <w:bidi w:val="0"/>
        <w:jc w:val="both"/>
        <w:rPr>
          <w:rFonts w:hint="default" w:ascii="Calibri" w:hAnsi="Calibri" w:eastAsia="Calibri" w:cs="Calibri"/>
          <w:sz w:val="21"/>
          <w:szCs w:val="21"/>
          <w:lang w:val="pt-BR" w:eastAsia="en-US" w:bidi="ar-SA"/>
        </w:rPr>
      </w:pPr>
      <w:r>
        <w:rPr>
          <w:rFonts w:hint="default" w:ascii="Calibri" w:hAnsi="Calibri" w:eastAsia="Calibri" w:cs="Calibri"/>
          <w:kern w:val="0"/>
          <w:sz w:val="21"/>
          <w:szCs w:val="21"/>
        </w:rPr>
        <w:t>Proce</w:t>
      </w:r>
      <w:r>
        <w:rPr>
          <w:rFonts w:hint="default" w:ascii="Calibri" w:hAnsi="Calibri" w:eastAsia="Calibri" w:cs="Calibri"/>
          <w:sz w:val="21"/>
          <w:szCs w:val="21"/>
          <w:lang w:val="pt-BR" w:eastAsia="en-US" w:bidi="ar-SA"/>
        </w:rPr>
        <w:t xml:space="preserve">sso administrativo n° 075/2024, Compra Direta nº 013/2024 </w:t>
      </w:r>
    </w:p>
    <w:p w14:paraId="6157F685">
      <w:pPr>
        <w:pStyle w:val="7"/>
        <w:widowControl/>
        <w:suppressAutoHyphens/>
        <w:bidi w:val="0"/>
        <w:jc w:val="both"/>
        <w:rPr>
          <w:rFonts w:hint="default" w:ascii="Calibri" w:hAnsi="Calibri" w:eastAsia="Calibri" w:cs="Calibri"/>
          <w:sz w:val="21"/>
          <w:szCs w:val="21"/>
          <w:lang w:val="pt-BR" w:eastAsia="en-US" w:bidi="ar-SA"/>
        </w:rPr>
      </w:pPr>
      <w:r>
        <w:rPr>
          <w:rFonts w:hint="default" w:ascii="Calibri" w:hAnsi="Calibri" w:eastAsia="Calibri" w:cs="Calibri"/>
          <w:sz w:val="21"/>
          <w:szCs w:val="21"/>
          <w:lang w:val="pt-BR" w:eastAsia="en-US" w:bidi="ar-SA"/>
        </w:rPr>
        <w:t>Contratante: MUNICÍPIO DE MAFRA / SECRETARIA MUNICIPAL DE ADMINISTRAÇÃO</w:t>
      </w:r>
      <w:bookmarkStart w:id="0" w:name="_GoBack"/>
      <w:bookmarkEnd w:id="0"/>
    </w:p>
    <w:p w14:paraId="47FFA055">
      <w:pPr>
        <w:pStyle w:val="7"/>
        <w:widowControl/>
        <w:suppressAutoHyphens/>
        <w:bidi w:val="0"/>
        <w:jc w:val="both"/>
        <w:rPr>
          <w:rFonts w:hint="default" w:ascii="Calibri" w:hAnsi="Calibri" w:eastAsia="Calibri" w:cs="Calibri"/>
          <w:sz w:val="21"/>
          <w:szCs w:val="21"/>
          <w:lang w:val="en-US" w:eastAsia="zh-CN" w:bidi="ar-SA"/>
        </w:rPr>
      </w:pPr>
      <w:r>
        <w:rPr>
          <w:rFonts w:hint="default" w:ascii="Calibri" w:hAnsi="Calibri" w:eastAsia="Calibri" w:cs="Calibri"/>
          <w:sz w:val="21"/>
          <w:szCs w:val="21"/>
          <w:lang w:val="pt-BR" w:eastAsia="en-US" w:bidi="ar-SA"/>
        </w:rPr>
        <w:t>Contratada: BUENO COMERCIO DE MOVEIS LTDA</w:t>
      </w:r>
    </w:p>
    <w:p w14:paraId="67453CF5">
      <w:pPr>
        <w:pStyle w:val="7"/>
        <w:widowControl/>
        <w:suppressAutoHyphens/>
        <w:bidi w:val="0"/>
        <w:jc w:val="both"/>
        <w:rPr>
          <w:rFonts w:hint="default" w:ascii="Calibri" w:hAnsi="Calibri" w:eastAsia="Calibri" w:cs="Calibri"/>
          <w:sz w:val="21"/>
          <w:szCs w:val="21"/>
          <w:lang w:val="pt-BR" w:eastAsia="en-US" w:bidi="ar-SA"/>
        </w:rPr>
      </w:pPr>
      <w:r>
        <w:rPr>
          <w:rFonts w:hint="default" w:ascii="Calibri" w:hAnsi="Calibri" w:eastAsia="Calibri" w:cs="Calibri"/>
          <w:sz w:val="21"/>
          <w:szCs w:val="21"/>
          <w:lang w:val="en-US" w:eastAsia="zh-CN" w:bidi="ar-SA"/>
        </w:rPr>
        <w:t xml:space="preserve">CNPJ: </w:t>
      </w:r>
      <w:r>
        <w:rPr>
          <w:rFonts w:hint="default" w:ascii="Calibri" w:hAnsi="Calibri" w:eastAsia="Calibri" w:cs="Calibri"/>
          <w:sz w:val="21"/>
          <w:szCs w:val="21"/>
          <w:lang w:val="pt-BR" w:eastAsia="en-US" w:bidi="ar-SA"/>
        </w:rPr>
        <w:t>11.305.534/0001-42</w:t>
      </w:r>
    </w:p>
    <w:p w14:paraId="0CC4FA39">
      <w:pPr>
        <w:pStyle w:val="7"/>
        <w:widowControl/>
        <w:suppressAutoHyphens/>
        <w:bidi w:val="0"/>
        <w:jc w:val="both"/>
        <w:rPr>
          <w:rFonts w:hint="default" w:ascii="Calibri" w:hAnsi="Calibri" w:eastAsia="Calibri" w:cs="Calibri"/>
          <w:sz w:val="21"/>
          <w:szCs w:val="21"/>
          <w:lang w:val="pt-BR" w:eastAsia="en-US" w:bidi="ar-SA"/>
        </w:rPr>
      </w:pPr>
      <w:r>
        <w:rPr>
          <w:rFonts w:hint="default" w:ascii="Calibri" w:hAnsi="Calibri" w:eastAsia="Calibri" w:cs="Calibri"/>
          <w:sz w:val="21"/>
          <w:szCs w:val="21"/>
          <w:lang w:val="pt-BR" w:eastAsia="en-US" w:bidi="ar-SA"/>
        </w:rPr>
        <w:t>Objeto:  Aquisição de banquetas altas, banco com encosto, assento com espuma (almofadado) com tecido impermeável, pernas em metal ou madeira, suporte de peso máximo de 150kg, altura compatível com bancada de 85cm de altura, a serem utilizados na área de alimentação da prefeitura de Mafra/SC, através da Secretaria Municipal de Administração</w:t>
      </w:r>
    </w:p>
    <w:p w14:paraId="3878C7D8">
      <w:pPr>
        <w:pStyle w:val="7"/>
        <w:widowControl/>
        <w:suppressAutoHyphens/>
        <w:bidi w:val="0"/>
        <w:jc w:val="both"/>
        <w:rPr>
          <w:rFonts w:hint="default" w:ascii="Calibri" w:hAnsi="Calibri" w:eastAsia="Calibri" w:cs="Calibri"/>
          <w:sz w:val="21"/>
          <w:szCs w:val="21"/>
          <w:lang w:val="pt-BR" w:eastAsia="en-US" w:bidi="ar-SA"/>
        </w:rPr>
      </w:pPr>
      <w:r>
        <w:rPr>
          <w:rFonts w:hint="default" w:ascii="Calibri" w:hAnsi="Calibri" w:eastAsia="Calibri" w:cs="Calibri"/>
          <w:sz w:val="21"/>
          <w:szCs w:val="21"/>
          <w:lang w:val="pt-BR" w:eastAsia="en-US" w:bidi="ar-SA"/>
        </w:rPr>
        <w:t>FUNDAMENTO LEGAL: Art. 75, II da Lei 14.133/2021 e no art. 2º do Decreto Municipal 5407/24</w:t>
      </w:r>
    </w:p>
    <w:p w14:paraId="63F02F3D">
      <w:pPr>
        <w:pStyle w:val="7"/>
        <w:widowControl/>
        <w:suppressAutoHyphens/>
        <w:bidi w:val="0"/>
        <w:jc w:val="both"/>
        <w:rPr>
          <w:rFonts w:hint="default" w:ascii="Calibri" w:hAnsi="Calibri" w:eastAsia="Calibri" w:cs="Calibri"/>
          <w:kern w:val="0"/>
          <w:sz w:val="21"/>
          <w:szCs w:val="21"/>
          <w:lang w:val="pt-BR" w:eastAsia="en-US"/>
        </w:rPr>
      </w:pPr>
      <w:r>
        <w:rPr>
          <w:rFonts w:hint="default" w:ascii="Calibri" w:hAnsi="Calibri" w:eastAsia="Calibri" w:cs="Calibri"/>
          <w:sz w:val="21"/>
          <w:szCs w:val="21"/>
          <w:lang w:val="pt-BR" w:eastAsia="en-US" w:bidi="ar-SA"/>
        </w:rPr>
        <w:t xml:space="preserve">JUSTIFICATIVA: Evidenciam-se os fundamentos jurídicos que motivam esta contratação os fatos apresentados no Documento de Formalização de Demanda n°001/2024 de 23 de Maio de 2024 de onde se extraí: “Banquetas para a cozinha da prefeitura por via de dispensa de licitação do art. 75, inciso II da Lei 14.133, </w:t>
      </w:r>
      <w:r>
        <w:rPr>
          <w:rFonts w:hint="default" w:ascii="Calibri" w:hAnsi="Calibri" w:cs="Calibri"/>
          <w:sz w:val="21"/>
          <w:szCs w:val="21"/>
          <w:lang w:val="pt-BR"/>
        </w:rPr>
        <w:t>se torna necessária</w:t>
      </w:r>
      <w:r>
        <w:rPr>
          <w:rFonts w:hint="default" w:cs="Calibri"/>
          <w:sz w:val="21"/>
          <w:szCs w:val="21"/>
          <w:lang w:val="pt-BR"/>
        </w:rPr>
        <w:t xml:space="preserve"> </w:t>
      </w:r>
      <w:r>
        <w:rPr>
          <w:rFonts w:hint="default" w:ascii="Calibri" w:hAnsi="Calibri" w:cs="Calibri"/>
          <w:sz w:val="21"/>
          <w:szCs w:val="21"/>
          <w:lang w:val="pt-BR"/>
        </w:rPr>
        <w:t>uma</w:t>
      </w:r>
      <w:r>
        <w:rPr>
          <w:rFonts w:hint="default" w:cs="Calibri"/>
          <w:sz w:val="21"/>
          <w:szCs w:val="21"/>
          <w:lang w:val="pt-BR"/>
        </w:rPr>
        <w:t xml:space="preserve"> </w:t>
      </w:r>
      <w:r>
        <w:rPr>
          <w:rFonts w:hint="default" w:ascii="Calibri" w:hAnsi="Calibri" w:cs="Calibri"/>
          <w:sz w:val="21"/>
          <w:szCs w:val="21"/>
          <w:lang w:val="pt-BR"/>
        </w:rPr>
        <w:t>vez que os assentos disponíveis na área da cozinha da prefeitura de Mafra/SC</w:t>
      </w:r>
      <w:r>
        <w:rPr>
          <w:rFonts w:hint="default" w:cs="Calibri"/>
          <w:sz w:val="21"/>
          <w:szCs w:val="21"/>
          <w:lang w:val="pt-BR"/>
        </w:rPr>
        <w:t xml:space="preserve"> </w:t>
      </w:r>
      <w:r>
        <w:rPr>
          <w:rFonts w:hint="default" w:ascii="Calibri" w:hAnsi="Calibri" w:cs="Calibri"/>
          <w:sz w:val="21"/>
          <w:szCs w:val="21"/>
          <w:lang w:val="pt-BR"/>
        </w:rPr>
        <w:t>são</w:t>
      </w:r>
      <w:r>
        <w:rPr>
          <w:rFonts w:hint="default" w:cs="Calibri"/>
          <w:sz w:val="21"/>
          <w:szCs w:val="21"/>
          <w:lang w:val="pt-BR"/>
        </w:rPr>
        <w:t xml:space="preserve"> </w:t>
      </w:r>
      <w:r>
        <w:rPr>
          <w:rFonts w:hint="default" w:ascii="Calibri" w:hAnsi="Calibri" w:cs="Calibri"/>
          <w:sz w:val="21"/>
          <w:szCs w:val="21"/>
          <w:lang w:val="pt-BR"/>
        </w:rPr>
        <w:t>incompatíveis com o novo arranjamento dos móveis, em virtude da diferença de</w:t>
      </w:r>
      <w:r>
        <w:rPr>
          <w:rFonts w:hint="default" w:cs="Calibri"/>
          <w:sz w:val="21"/>
          <w:szCs w:val="21"/>
          <w:lang w:val="pt-BR"/>
        </w:rPr>
        <w:t xml:space="preserve"> </w:t>
      </w:r>
      <w:r>
        <w:rPr>
          <w:rFonts w:hint="default" w:ascii="Calibri" w:hAnsi="Calibri" w:cs="Calibri"/>
          <w:sz w:val="21"/>
          <w:szCs w:val="21"/>
          <w:lang w:val="pt-BR"/>
        </w:rPr>
        <w:t>altura</w:t>
      </w:r>
      <w:r>
        <w:rPr>
          <w:rFonts w:hint="default" w:cs="Calibri"/>
          <w:sz w:val="21"/>
          <w:szCs w:val="21"/>
          <w:lang w:val="pt-BR"/>
        </w:rPr>
        <w:t xml:space="preserve"> </w:t>
      </w:r>
      <w:r>
        <w:rPr>
          <w:rFonts w:hint="default" w:ascii="Calibri" w:hAnsi="Calibri" w:cs="Calibri"/>
          <w:sz w:val="21"/>
          <w:szCs w:val="21"/>
          <w:lang w:val="pt-BR"/>
        </w:rPr>
        <w:t>entre</w:t>
      </w:r>
      <w:r>
        <w:rPr>
          <w:rFonts w:hint="default" w:cs="Calibri"/>
          <w:sz w:val="21"/>
          <w:szCs w:val="21"/>
          <w:lang w:val="pt-BR"/>
        </w:rPr>
        <w:t xml:space="preserve"> </w:t>
      </w:r>
      <w:r>
        <w:rPr>
          <w:rFonts w:hint="default" w:ascii="Calibri" w:hAnsi="Calibri" w:cs="Calibri"/>
          <w:sz w:val="21"/>
          <w:szCs w:val="21"/>
          <w:lang w:val="pt-BR"/>
        </w:rPr>
        <w:t>a bancada e os assentos disponíveis. O ministério do trabalho exige do empregador na</w:t>
      </w:r>
      <w:r>
        <w:rPr>
          <w:rFonts w:hint="default" w:cs="Calibri"/>
          <w:sz w:val="21"/>
          <w:szCs w:val="21"/>
          <w:lang w:val="pt-BR"/>
        </w:rPr>
        <w:t xml:space="preserve"> </w:t>
      </w:r>
      <w:r>
        <w:rPr>
          <w:rFonts w:hint="default" w:ascii="Calibri" w:hAnsi="Calibri" w:cs="Calibri"/>
          <w:sz w:val="21"/>
          <w:szCs w:val="21"/>
          <w:lang w:val="pt-BR"/>
        </w:rPr>
        <w:t>forma da Nota Regulamentar Nº 24 (NR24), a depender do número de empregados, locais</w:t>
      </w:r>
      <w:r>
        <w:rPr>
          <w:rFonts w:hint="default" w:cs="Calibri"/>
          <w:sz w:val="21"/>
          <w:szCs w:val="21"/>
          <w:lang w:val="pt-BR"/>
        </w:rPr>
        <w:t xml:space="preserve"> </w:t>
      </w:r>
      <w:r>
        <w:rPr>
          <w:rFonts w:hint="default" w:ascii="Calibri" w:hAnsi="Calibri" w:cs="Calibri"/>
          <w:sz w:val="21"/>
          <w:szCs w:val="21"/>
          <w:lang w:val="pt-BR"/>
        </w:rPr>
        <w:t>destinados para atender a refeição dos colaboradores. O número de funcionários</w:t>
      </w:r>
      <w:r>
        <w:rPr>
          <w:rFonts w:hint="default" w:cs="Calibri"/>
          <w:sz w:val="21"/>
          <w:szCs w:val="21"/>
          <w:lang w:val="pt-BR"/>
        </w:rPr>
        <w:t xml:space="preserve"> </w:t>
      </w:r>
      <w:r>
        <w:rPr>
          <w:rFonts w:hint="default" w:ascii="Calibri" w:hAnsi="Calibri" w:cs="Calibri"/>
          <w:sz w:val="21"/>
          <w:szCs w:val="21"/>
          <w:lang w:val="pt-BR"/>
        </w:rPr>
        <w:t>ativos</w:t>
      </w:r>
      <w:r>
        <w:rPr>
          <w:rFonts w:hint="default" w:cs="Calibri"/>
          <w:sz w:val="21"/>
          <w:szCs w:val="21"/>
          <w:lang w:val="pt-BR"/>
        </w:rPr>
        <w:t xml:space="preserve"> </w:t>
      </w:r>
      <w:r>
        <w:rPr>
          <w:rFonts w:hint="default" w:ascii="Calibri" w:hAnsi="Calibri" w:cs="Calibri"/>
          <w:sz w:val="21"/>
          <w:szCs w:val="21"/>
          <w:lang w:val="pt-BR"/>
        </w:rPr>
        <w:t>dentro da prefeitura se enquadrada no item ‘’24.5.3’’ que regula as empresas</w:t>
      </w:r>
      <w:r>
        <w:rPr>
          <w:rFonts w:hint="default" w:cs="Calibri"/>
          <w:sz w:val="21"/>
          <w:szCs w:val="21"/>
          <w:lang w:val="pt-BR"/>
        </w:rPr>
        <w:t xml:space="preserve"> </w:t>
      </w:r>
      <w:r>
        <w:rPr>
          <w:rFonts w:hint="default" w:ascii="Calibri" w:hAnsi="Calibri" w:cs="Calibri"/>
          <w:sz w:val="21"/>
          <w:szCs w:val="21"/>
          <w:lang w:val="pt-BR"/>
        </w:rPr>
        <w:t>com</w:t>
      </w:r>
      <w:r>
        <w:rPr>
          <w:rFonts w:hint="default" w:cs="Calibri"/>
          <w:sz w:val="21"/>
          <w:szCs w:val="21"/>
          <w:lang w:val="pt-BR"/>
        </w:rPr>
        <w:t xml:space="preserve"> </w:t>
      </w:r>
      <w:r>
        <w:rPr>
          <w:rFonts w:hint="default" w:ascii="Calibri" w:hAnsi="Calibri" w:cs="Calibri"/>
          <w:sz w:val="21"/>
          <w:szCs w:val="21"/>
          <w:lang w:val="pt-BR"/>
        </w:rPr>
        <w:t>quantidade de colaboradores superior a 30 (trinta) e inferior a 300 (trezentos), no</w:t>
      </w:r>
      <w:r>
        <w:rPr>
          <w:rFonts w:hint="default" w:cs="Calibri"/>
          <w:sz w:val="21"/>
          <w:szCs w:val="21"/>
          <w:lang w:val="pt-BR"/>
        </w:rPr>
        <w:t xml:space="preserve"> </w:t>
      </w:r>
      <w:r>
        <w:rPr>
          <w:rFonts w:hint="default" w:ascii="Calibri" w:hAnsi="Calibri" w:cs="Calibri"/>
          <w:sz w:val="21"/>
          <w:szCs w:val="21"/>
          <w:lang w:val="pt-BR"/>
        </w:rPr>
        <w:t>referido</w:t>
      </w:r>
      <w:r>
        <w:rPr>
          <w:rFonts w:hint="default" w:cs="Calibri"/>
          <w:sz w:val="21"/>
          <w:szCs w:val="21"/>
          <w:lang w:val="pt-BR"/>
        </w:rPr>
        <w:t xml:space="preserve"> </w:t>
      </w:r>
      <w:r>
        <w:rPr>
          <w:rFonts w:hint="default" w:ascii="Calibri" w:hAnsi="Calibri" w:cs="Calibri"/>
          <w:sz w:val="21"/>
          <w:szCs w:val="21"/>
          <w:lang w:val="pt-BR"/>
        </w:rPr>
        <w:t>item consta o seguinte como objeto essencial, ‘’g) possuir assentos e mesas com</w:t>
      </w:r>
      <w:r>
        <w:rPr>
          <w:rFonts w:hint="default" w:cs="Calibri"/>
          <w:sz w:val="21"/>
          <w:szCs w:val="21"/>
          <w:lang w:val="pt-BR"/>
        </w:rPr>
        <w:t xml:space="preserve"> </w:t>
      </w:r>
      <w:r>
        <w:rPr>
          <w:rFonts w:hint="default" w:ascii="Calibri" w:hAnsi="Calibri" w:cs="Calibri"/>
          <w:sz w:val="21"/>
          <w:szCs w:val="21"/>
          <w:lang w:val="pt-BR"/>
        </w:rPr>
        <w:t>superfícies</w:t>
      </w:r>
      <w:r>
        <w:rPr>
          <w:rFonts w:hint="default" w:cs="Calibri"/>
          <w:sz w:val="21"/>
          <w:szCs w:val="21"/>
          <w:lang w:val="pt-BR"/>
        </w:rPr>
        <w:t xml:space="preserve"> </w:t>
      </w:r>
      <w:r>
        <w:rPr>
          <w:rFonts w:hint="default" w:ascii="Calibri" w:hAnsi="Calibri" w:cs="Calibri"/>
          <w:sz w:val="21"/>
          <w:szCs w:val="21"/>
          <w:lang w:val="pt-BR"/>
        </w:rPr>
        <w:t>ou coberturas laváveis ou descartáveis, em número correspondente aos usuários</w:t>
      </w:r>
      <w:r>
        <w:rPr>
          <w:rFonts w:hint="default" w:cs="Calibri"/>
          <w:sz w:val="21"/>
          <w:szCs w:val="21"/>
          <w:lang w:val="pt-BR"/>
        </w:rPr>
        <w:t xml:space="preserve"> </w:t>
      </w:r>
      <w:r>
        <w:rPr>
          <w:rFonts w:hint="default" w:ascii="Calibri" w:hAnsi="Calibri" w:cs="Calibri"/>
          <w:sz w:val="21"/>
          <w:szCs w:val="21"/>
          <w:lang w:val="pt-BR"/>
        </w:rPr>
        <w:t>atendidos;’’. Veja que atualmente não é possível atender efet</w:t>
      </w:r>
      <w:r>
        <w:rPr>
          <w:rFonts w:hint="default" w:ascii="Calibri" w:hAnsi="Calibri" w:eastAsia="Calibri" w:cs="Calibri"/>
          <w:kern w:val="0"/>
          <w:sz w:val="21"/>
          <w:szCs w:val="21"/>
          <w:lang w:val="pt-BR" w:eastAsia="en-US"/>
        </w:rPr>
        <w:t>ivamente o requisito de assentos, uma vez que a diferença de tamanho entre a mesa e os assentos disponíveis inviabiliza a utilização” e no Termo de Referência n°001/2024 de 23 de Maio de 2024 anexos a esta contratação.</w:t>
      </w:r>
    </w:p>
    <w:p w14:paraId="0050EE3F">
      <w:pPr>
        <w:pStyle w:val="7"/>
        <w:widowControl/>
        <w:suppressAutoHyphens/>
        <w:bidi w:val="0"/>
        <w:jc w:val="both"/>
        <w:rPr>
          <w:rFonts w:hint="default" w:ascii="Calibri" w:hAnsi="Calibri" w:eastAsia="Calibri" w:cs="Calibri"/>
          <w:kern w:val="0"/>
          <w:sz w:val="21"/>
          <w:szCs w:val="21"/>
          <w:lang w:val="pt-BR" w:eastAsia="en-US"/>
        </w:rPr>
      </w:pPr>
      <w:r>
        <w:rPr>
          <w:rFonts w:hint="default" w:ascii="Calibri" w:hAnsi="Calibri" w:eastAsia="Calibri" w:cs="Calibri"/>
          <w:kern w:val="0"/>
          <w:sz w:val="21"/>
          <w:szCs w:val="21"/>
          <w:lang w:val="pt-BR" w:eastAsia="en-US"/>
        </w:rPr>
        <w:t>Valor total: R$ 2.240,00 (dois mil duzentos e quarenta reais).</w:t>
      </w:r>
    </w:p>
    <w:p w14:paraId="4504D746">
      <w:pPr>
        <w:pStyle w:val="7"/>
        <w:widowControl/>
        <w:suppressAutoHyphens/>
        <w:bidi w:val="0"/>
        <w:jc w:val="both"/>
        <w:rPr>
          <w:rFonts w:hint="default" w:ascii="Calibri" w:hAnsi="Calibri" w:eastAsia="Calibri" w:cs="Calibri"/>
          <w:kern w:val="0"/>
          <w:sz w:val="21"/>
          <w:szCs w:val="21"/>
          <w:lang w:val="pt-BR" w:eastAsia="en-US"/>
        </w:rPr>
      </w:pPr>
      <w:r>
        <w:rPr>
          <w:rFonts w:hint="default" w:ascii="Calibri" w:hAnsi="Calibri" w:eastAsia="Calibri" w:cs="Calibri"/>
          <w:kern w:val="0"/>
          <w:sz w:val="21"/>
          <w:szCs w:val="21"/>
          <w:lang w:val="pt-BR" w:eastAsia="en-US"/>
        </w:rPr>
        <w:t>DESPACHO FINAL:  De acordo com as justificativas e fundamentações apresentadas e levando em consideração os termos do Parecer Jurídico expedido pela Procuradoria-Geral do Município no Proc. Administrativo 2.877/2024, RATIFICO e AUTORIZO a realização da despesa por Dispensa de Licitação, em conformidade com o Art. 75, II da Lei 14.133/2021 e no art. 2º do Decreto Municipal 5407/2024.</w:t>
      </w:r>
    </w:p>
    <w:p w14:paraId="5FCC51FE">
      <w:pPr>
        <w:pStyle w:val="7"/>
        <w:widowControl/>
        <w:suppressAutoHyphens/>
        <w:bidi w:val="0"/>
        <w:jc w:val="both"/>
        <w:rPr>
          <w:rFonts w:hint="default" w:ascii="Calibri" w:hAnsi="Calibri" w:eastAsia="Calibri" w:cs="Calibri"/>
          <w:kern w:val="0"/>
          <w:sz w:val="21"/>
          <w:szCs w:val="21"/>
          <w:lang w:val="pt-BR" w:eastAsia="en-US"/>
        </w:rPr>
      </w:pPr>
    </w:p>
    <w:p w14:paraId="2A1FB12E">
      <w:pPr>
        <w:pStyle w:val="7"/>
        <w:widowControl/>
        <w:suppressAutoHyphens/>
        <w:bidi w:val="0"/>
        <w:jc w:val="both"/>
        <w:rPr>
          <w:rFonts w:hint="default" w:ascii="Calibri" w:hAnsi="Calibri" w:eastAsia="Calibri" w:cs="Calibri"/>
          <w:kern w:val="0"/>
          <w:sz w:val="21"/>
          <w:szCs w:val="21"/>
          <w:lang w:val="pt-BR" w:eastAsia="en-US"/>
        </w:rPr>
      </w:pPr>
    </w:p>
    <w:p w14:paraId="26EE3C66">
      <w:pPr>
        <w:pStyle w:val="7"/>
        <w:widowControl/>
        <w:suppressAutoHyphens/>
        <w:bidi w:val="0"/>
        <w:jc w:val="both"/>
        <w:rPr>
          <w:rFonts w:hint="default" w:ascii="Calibri" w:hAnsi="Calibri" w:eastAsia="Calibri" w:cs="Calibri"/>
          <w:kern w:val="0"/>
          <w:sz w:val="21"/>
          <w:szCs w:val="21"/>
          <w:lang w:val="pt-BR" w:eastAsia="en-US"/>
        </w:rPr>
      </w:pPr>
      <w:r>
        <w:rPr>
          <w:rFonts w:hint="default" w:ascii="Calibri" w:hAnsi="Calibri" w:eastAsia="Calibri" w:cs="Calibri"/>
          <w:kern w:val="0"/>
          <w:sz w:val="21"/>
          <w:szCs w:val="21"/>
          <w:lang w:val="pt-BR" w:eastAsia="en-US"/>
        </w:rPr>
        <w:t>Mafra /SC, 3 de Junho de 2024.</w:t>
      </w:r>
    </w:p>
    <w:p w14:paraId="6100BBEF">
      <w:pPr>
        <w:pStyle w:val="7"/>
        <w:widowControl/>
        <w:suppressAutoHyphens/>
        <w:bidi w:val="0"/>
        <w:jc w:val="both"/>
        <w:rPr>
          <w:rFonts w:hint="default" w:ascii="Calibri" w:hAnsi="Calibri" w:eastAsia="Calibri" w:cs="Calibri"/>
          <w:kern w:val="0"/>
          <w:sz w:val="21"/>
          <w:szCs w:val="21"/>
          <w:lang w:val="pt-BR" w:eastAsia="en-US"/>
        </w:rPr>
      </w:pPr>
    </w:p>
    <w:p w14:paraId="1DA12082">
      <w:pPr>
        <w:pStyle w:val="7"/>
        <w:widowControl/>
        <w:suppressAutoHyphens/>
        <w:bidi w:val="0"/>
        <w:jc w:val="both"/>
        <w:rPr>
          <w:rFonts w:hint="default" w:ascii="Calibri" w:hAnsi="Calibri" w:eastAsia="Calibri" w:cs="Calibri"/>
          <w:kern w:val="0"/>
          <w:sz w:val="21"/>
          <w:szCs w:val="21"/>
          <w:lang w:val="pt-BR" w:eastAsia="en-US"/>
        </w:rPr>
      </w:pPr>
    </w:p>
    <w:p w14:paraId="273FA291">
      <w:pPr>
        <w:pStyle w:val="7"/>
        <w:widowControl/>
        <w:suppressAutoHyphens/>
        <w:bidi w:val="0"/>
        <w:jc w:val="both"/>
        <w:rPr>
          <w:rFonts w:hint="default" w:ascii="Calibri" w:hAnsi="Calibri" w:eastAsia="Calibri" w:cs="Calibri"/>
          <w:kern w:val="0"/>
          <w:sz w:val="21"/>
          <w:szCs w:val="21"/>
          <w:lang w:val="pt-BR" w:eastAsia="en-US"/>
        </w:rPr>
      </w:pPr>
    </w:p>
    <w:p w14:paraId="250013E6">
      <w:pPr>
        <w:pStyle w:val="7"/>
        <w:widowControl/>
        <w:suppressAutoHyphens/>
        <w:bidi w:val="0"/>
        <w:jc w:val="both"/>
        <w:rPr>
          <w:rFonts w:hint="default" w:ascii="Calibri" w:hAnsi="Calibri" w:eastAsia="Calibri" w:cs="Calibri"/>
          <w:kern w:val="0"/>
          <w:sz w:val="21"/>
          <w:szCs w:val="21"/>
          <w:lang w:val="pt-BR" w:eastAsia="en-US"/>
        </w:rPr>
      </w:pPr>
      <w:r>
        <w:rPr>
          <w:rFonts w:hint="default" w:ascii="Calibri" w:hAnsi="Calibri" w:eastAsia="Calibri" w:cs="Calibri"/>
          <w:kern w:val="0"/>
          <w:sz w:val="21"/>
          <w:szCs w:val="21"/>
          <w:lang w:val="pt-BR" w:eastAsia="en-US"/>
        </w:rPr>
        <w:t>EMERSON MAAS</w:t>
      </w:r>
    </w:p>
    <w:p w14:paraId="2EF2951D">
      <w:pPr>
        <w:pStyle w:val="7"/>
        <w:widowControl/>
        <w:suppressAutoHyphens/>
        <w:bidi w:val="0"/>
        <w:jc w:val="both"/>
        <w:rPr>
          <w:rFonts w:hint="default" w:ascii="Calibri" w:hAnsi="Calibri" w:eastAsia="Calibri" w:cs="Calibri"/>
          <w:kern w:val="0"/>
          <w:sz w:val="21"/>
          <w:szCs w:val="21"/>
          <w:lang w:val="pt-BR" w:eastAsia="en-US"/>
        </w:rPr>
      </w:pPr>
      <w:r>
        <w:rPr>
          <w:rFonts w:hint="default" w:ascii="Calibri" w:hAnsi="Calibri" w:eastAsia="Calibri" w:cs="Calibri"/>
          <w:kern w:val="0"/>
          <w:sz w:val="21"/>
          <w:szCs w:val="21"/>
          <w:lang w:val="pt-BR" w:eastAsia="en-US"/>
        </w:rPr>
        <w:t>PREFEITO MUNICIPAL</w:t>
      </w:r>
    </w:p>
    <w:p w14:paraId="47BF0F56">
      <w:pPr>
        <w:pStyle w:val="7"/>
        <w:jc w:val="both"/>
        <w:rPr>
          <w:rFonts w:hint="default" w:ascii="Calibri" w:hAnsi="Calibri" w:cs="Calibri"/>
          <w:sz w:val="22"/>
          <w:szCs w:val="22"/>
        </w:rPr>
      </w:pPr>
    </w:p>
    <w:sectPr>
      <w:pgSz w:w="11906" w:h="16838"/>
      <w:pgMar w:top="1417" w:right="1701" w:bottom="1417" w:left="1701" w:header="0" w:footer="0" w:gutter="0"/>
      <w:pgNumType w:fmt="decimal"/>
      <w:cols w:space="720" w:num="1"/>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Mangal">
    <w:altName w:val="Segoe Print"/>
    <w:panose1 w:val="00000000000000000000"/>
    <w:charset w:val="00"/>
    <w:family w:val="auto"/>
    <w:pitch w:val="default"/>
    <w:sig w:usb0="00000000" w:usb1="00000000" w:usb2="00000000" w:usb3="00000000" w:csb0="00000000" w:csb1="00000000"/>
  </w:font>
  <w:font w:name="Liberation Sans">
    <w:altName w:val="Arial"/>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attachedTemplate r:id="rId1"/>
  <w:documentProtection w:enforcement="0"/>
  <w:defaultTabStop w:val="708"/>
  <w:autoHyphenation/>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742251"/>
    <w:rsid w:val="25D617B5"/>
    <w:rsid w:val="293D55E3"/>
    <w:rsid w:val="392733FD"/>
    <w:rsid w:val="3B742251"/>
    <w:rsid w:val="516007CF"/>
    <w:rsid w:val="56B72A44"/>
    <w:rsid w:val="5B895639"/>
    <w:rsid w:val="5C0E1A1B"/>
    <w:rsid w:val="5C126CEA"/>
    <w:rsid w:val="5F8B6728"/>
    <w:rsid w:val="68C028F7"/>
    <w:rsid w:val="6FF82005"/>
    <w:rsid w:val="71A106BF"/>
    <w:rsid w:val="773363A7"/>
    <w:rsid w:val="794922C8"/>
    <w:rsid w:val="7B043299"/>
    <w:rsid w:val="7F3D7ACB"/>
    <w:rsid w:val="7FDB01D3"/>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SimSun" w:hAnsi="SimSun" w:eastAsia="SimSun" w:cs="SimSu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iPriority="99"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0" w:semiHidden="0" w:name="No Spacing"/>
  </w:latentStyles>
  <w:style w:type="paragraph" w:default="1" w:styleId="1">
    <w:name w:val="Normal"/>
    <w:qFormat/>
    <w:uiPriority w:val="0"/>
    <w:pPr>
      <w:widowControl/>
      <w:suppressAutoHyphens/>
      <w:bidi w:val="0"/>
      <w:spacing w:before="0" w:after="200" w:line="276" w:lineRule="auto"/>
      <w:jc w:val="left"/>
    </w:pPr>
    <w:rPr>
      <w:rFonts w:ascii="SimSun" w:hAnsi="SimSun" w:eastAsia="SimSun" w:cs="SimSun"/>
      <w:color w:val="auto"/>
      <w:kern w:val="0"/>
      <w:sz w:val="22"/>
      <w:szCs w:val="22"/>
      <w:lang w:val="pt-BR" w:eastAsia="en-US" w:bidi="ar-SA"/>
    </w:rPr>
  </w:style>
  <w:style w:type="paragraph" w:styleId="2">
    <w:name w:val="heading 1"/>
    <w:basedOn w:val="1"/>
    <w:next w:val="1"/>
    <w:qFormat/>
    <w:uiPriority w:val="0"/>
    <w:pPr>
      <w:keepNext/>
      <w:ind w:right="2358" w:firstLine="0"/>
      <w:outlineLvl w:val="0"/>
    </w:pPr>
    <w:rPr>
      <w:rFonts w:ascii="Arial" w:hAnsi="Arial" w:cs="Arial"/>
      <w:b/>
      <w:bCs/>
    </w:rPr>
  </w:style>
  <w:style w:type="paragraph" w:styleId="3">
    <w:name w:val="heading 4"/>
    <w:next w:val="1"/>
    <w:unhideWhenUsed/>
    <w:qFormat/>
    <w:uiPriority w:val="9"/>
    <w:pPr>
      <w:spacing w:before="100" w:beforeAutospacing="1" w:after="100" w:afterAutospacing="1"/>
      <w:jc w:val="left"/>
      <w:outlineLvl w:val="3"/>
    </w:pPr>
    <w:rPr>
      <w:rFonts w:hint="eastAsia" w:ascii="SimSun" w:hAnsi="SimSun" w:eastAsia="SimSun" w:cs="SimSun"/>
      <w:b/>
      <w:bCs/>
      <w:kern w:val="0"/>
      <w:sz w:val="24"/>
      <w:szCs w:val="24"/>
      <w:lang w:val="en-US" w:eastAsia="zh-CN" w:bidi="ar"/>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List"/>
    <w:basedOn w:val="7"/>
    <w:qFormat/>
    <w:uiPriority w:val="0"/>
    <w:rPr>
      <w:rFonts w:cs="Mangal"/>
    </w:rPr>
  </w:style>
  <w:style w:type="paragraph" w:styleId="7">
    <w:name w:val="Body Text"/>
    <w:basedOn w:val="1"/>
    <w:qFormat/>
    <w:uiPriority w:val="0"/>
    <w:pPr>
      <w:spacing w:before="0" w:after="0" w:line="240" w:lineRule="auto"/>
    </w:pPr>
  </w:style>
  <w:style w:type="paragraph" w:styleId="8">
    <w:name w:val="Body Text 3"/>
    <w:basedOn w:val="1"/>
    <w:qFormat/>
    <w:uiPriority w:val="0"/>
    <w:pPr>
      <w:ind w:right="-81" w:firstLine="0"/>
      <w:jc w:val="both"/>
    </w:pPr>
  </w:style>
  <w:style w:type="paragraph" w:styleId="9">
    <w:name w:val="header"/>
    <w:basedOn w:val="1"/>
    <w:uiPriority w:val="0"/>
    <w:pPr>
      <w:tabs>
        <w:tab w:val="center" w:pos="4252"/>
        <w:tab w:val="right" w:pos="8504"/>
      </w:tabs>
    </w:pPr>
  </w:style>
  <w:style w:type="paragraph" w:styleId="10">
    <w:name w:val="caption"/>
    <w:basedOn w:val="1"/>
    <w:qFormat/>
    <w:uiPriority w:val="0"/>
    <w:pPr>
      <w:suppressLineNumbers/>
      <w:spacing w:before="120" w:after="120"/>
    </w:pPr>
    <w:rPr>
      <w:rFonts w:cs="Mangal"/>
      <w:i/>
      <w:iCs/>
      <w:sz w:val="24"/>
      <w:szCs w:val="24"/>
    </w:rPr>
  </w:style>
  <w:style w:type="paragraph" w:customStyle="1" w:styleId="11">
    <w:name w:val="Título1"/>
    <w:basedOn w:val="1"/>
    <w:next w:val="7"/>
    <w:qFormat/>
    <w:uiPriority w:val="0"/>
    <w:pPr>
      <w:keepNext/>
      <w:spacing w:before="240" w:after="120"/>
    </w:pPr>
    <w:rPr>
      <w:rFonts w:ascii="Liberation Sans" w:hAnsi="Liberation Sans" w:eastAsia="Microsoft YaHei" w:cs="Mangal"/>
      <w:sz w:val="28"/>
      <w:szCs w:val="28"/>
    </w:rPr>
  </w:style>
  <w:style w:type="paragraph" w:customStyle="1" w:styleId="12">
    <w:name w:val="Índice"/>
    <w:basedOn w:val="1"/>
    <w:qFormat/>
    <w:uiPriority w:val="0"/>
    <w:pPr>
      <w:suppressLineNumbers/>
    </w:pPr>
    <w:rPr>
      <w:rFonts w:cs="Mangal"/>
      <w:lang w:val="zh-CN" w:eastAsia="zh-CN" w:bidi="zh-CN"/>
    </w:rPr>
  </w:style>
  <w:style w:type="paragraph" w:styleId="13">
    <w:name w:val="No Spacing"/>
    <w:qFormat/>
    <w:uiPriority w:val="0"/>
    <w:pPr>
      <w:widowControl/>
      <w:suppressAutoHyphens/>
      <w:bidi w:val="0"/>
      <w:spacing w:before="0" w:after="0" w:line="276" w:lineRule="auto"/>
      <w:jc w:val="left"/>
    </w:pPr>
    <w:rPr>
      <w:rFonts w:ascii="Times New Roman" w:hAnsi="Times New Roman" w:eastAsia="Times New Roman" w:cs="Times New Roman"/>
      <w:color w:val="auto"/>
      <w:kern w:val="0"/>
      <w:sz w:val="24"/>
      <w:szCs w:val="24"/>
      <w:lang w:val="pt-BR" w:eastAsia="pt-BR"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A:\Licita&#231;&#245;es-2024\Extrato%20Aviso%20Dispensa%20de%20Licita&#231;&#227;o%20e%20Inexigibilidade\Extrato_Aviso_CD_DISP_004_2024%20-%20PREFEITUR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Extrato_Aviso_CD_DISP_004_2024 - PREFEITURA.dotx</Template>
  <Pages>1</Pages>
  <Words>389</Words>
  <Characters>2048</Characters>
  <Paragraphs>13</Paragraphs>
  <TotalTime>3</TotalTime>
  <ScaleCrop>false</ScaleCrop>
  <LinksUpToDate>false</LinksUpToDate>
  <CharactersWithSpaces>2426</CharactersWithSpaces>
  <Application>WPS Office_12.2.0.17119_F1E327BC-269C-435d-A152-05C5408002CA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2024-03-11T16:54:00Z</dcterms:created>
  <dc:creator>sthefanye</dc:creator>
  <cp:lastModifiedBy>Sthefanye Licitação</cp:lastModifiedBy>
  <dcterms:modified xsi:type="dcterms:W3CDTF">2024-06-04T13:18:42Z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1046-12.2.0.17119</vt:lpwstr>
  </property>
  <property fmtid="{D5CDD505-2E9C-101B-9397-08002B2CF9AE}" pid="3" name="ICV">
    <vt:lpwstr>C50972FAA39943C2AF582792CD8D21EC_13</vt:lpwstr>
  </property>
</Properties>
</file>