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spacing w:after="0" w:line="240" w:lineRule="auto"/>
        <w:jc w:val="center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no fornecimento de solução corporativa de segurança digital, contemplando licenciamento do software BitDefender GravityZone Business Security Enterprise, em console em nuvem, destinado à proteção de estações de trabalho, servidores físicos e virtuais da Prefeitura Municipal de Mafra/SC, incluindo recursos de proteção contra ransomware, firewall, defesa de ataques em rede, detecção e resposta de endpoint (EDR), controle de dispositivos, proteção web, aprendizagem de máquina, mitigação de ameaças avançadas e demais funcionalidades de segurança da informação.</w:t>
      </w:r>
      <w:bookmarkStart w:id="2" w:name="_GoBack"/>
      <w:bookmarkEnd w:id="2"/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096/2026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Dispensa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Eletrônica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º 049/2026 </w:t>
      </w: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R$ 35.800,00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trinta e cinco mil e oitocentos reais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5A8F203C"/>
    <w:rsid w:val="670B26F9"/>
    <w:rsid w:val="6BBB0FBA"/>
    <w:rsid w:val="70CD3D9D"/>
    <w:rsid w:val="7BE257D8"/>
    <w:rsid w:val="7D3D151D"/>
    <w:rsid w:val="7DC9496A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2026-06-18T13:03:14Z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0EFEDE1AE1384651A497C5397360D16C_13</vt:lpwstr>
  </property>
</Properties>
</file>