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8D8" w:rsidRDefault="00515D50">
      <w:pPr>
        <w:spacing w:after="304" w:line="259" w:lineRule="auto"/>
        <w:ind w:left="0" w:firstLine="0"/>
        <w:jc w:val="center"/>
      </w:pPr>
      <w:r>
        <w:rPr>
          <w:b/>
          <w:sz w:val="24"/>
        </w:rPr>
        <w:t>TERMO DE REFERÊNCIA</w:t>
      </w:r>
    </w:p>
    <w:p w:rsidR="00D418D8" w:rsidRDefault="00515D50">
      <w:pPr>
        <w:spacing w:after="219"/>
        <w:ind w:left="4536" w:firstLine="0"/>
      </w:pPr>
      <w:r>
        <w:rPr>
          <w:b/>
          <w:i/>
        </w:rPr>
        <w:t>O presente Termo de Referência segue os parâmetros descritos no Art. 6º, inciso XXIII e alíneas da Lei 14.133/2021.</w:t>
      </w:r>
    </w:p>
    <w:p w:rsidR="00D418D8" w:rsidRDefault="00515D50">
      <w:pPr>
        <w:spacing w:after="304" w:line="259" w:lineRule="auto"/>
        <w:ind w:left="0" w:firstLine="0"/>
        <w:jc w:val="left"/>
      </w:pPr>
      <w:r>
        <w:rPr>
          <w:b/>
          <w:sz w:val="24"/>
        </w:rPr>
        <w:t>PR</w:t>
      </w:r>
      <w:r w:rsidR="006401A7">
        <w:rPr>
          <w:b/>
          <w:sz w:val="24"/>
        </w:rPr>
        <w:t>OCESSO ADMINISTRATIVO N° 05/2026</w:t>
      </w:r>
    </w:p>
    <w:p w:rsidR="00D418D8" w:rsidRDefault="00515D50">
      <w:pPr>
        <w:spacing w:after="181"/>
        <w:ind w:left="10" w:hanging="10"/>
        <w:jc w:val="left"/>
      </w:pPr>
      <w:r>
        <w:rPr>
          <w:b/>
        </w:rPr>
        <w:t xml:space="preserve">Será dispensado Parecer Jurídico, conforme artigo 4º, inciso II, alínea “a, b e c” da Resolução nº 85/2024 da Câmara de Vereadores de Penha: </w:t>
      </w:r>
    </w:p>
    <w:p w:rsidR="00D418D8" w:rsidRDefault="00515D50">
      <w:pPr>
        <w:spacing w:after="3"/>
        <w:ind w:left="2263" w:hanging="10"/>
      </w:pPr>
      <w:r>
        <w:rPr>
          <w:sz w:val="20"/>
        </w:rPr>
        <w:t>Art. 4º - Fica regulamentada a dispensa de parecer jurídico nos procedimentos de compras e contratações realizados por este órgão, nos seguintes casos:</w:t>
      </w:r>
    </w:p>
    <w:p w:rsidR="00D418D8" w:rsidRDefault="00515D50">
      <w:pPr>
        <w:spacing w:after="3"/>
        <w:ind w:left="2263" w:hanging="10"/>
      </w:pPr>
      <w:r>
        <w:rPr>
          <w:sz w:val="20"/>
        </w:rPr>
        <w:t>Em compras diretas por dispensa de licitação quando atenderem simultaneamente às alíneas “a e b” ou “b e c”, a seguir:</w:t>
      </w:r>
    </w:p>
    <w:p w:rsidR="00D418D8" w:rsidRDefault="00515D50">
      <w:pPr>
        <w:numPr>
          <w:ilvl w:val="0"/>
          <w:numId w:val="1"/>
        </w:numPr>
        <w:spacing w:after="103" w:line="259" w:lineRule="auto"/>
        <w:ind w:hanging="231"/>
      </w:pPr>
      <w:r>
        <w:rPr>
          <w:sz w:val="20"/>
        </w:rPr>
        <w:t xml:space="preserve">O valor global for inferior a 25% do limite previsto no art. 95, inciso II da Lei nº </w:t>
      </w:r>
    </w:p>
    <w:p w:rsidR="00D418D8" w:rsidRDefault="00515D50">
      <w:pPr>
        <w:spacing w:after="103" w:line="259" w:lineRule="auto"/>
        <w:ind w:left="2263" w:hanging="10"/>
      </w:pPr>
      <w:r>
        <w:rPr>
          <w:sz w:val="20"/>
        </w:rPr>
        <w:t>14.133/2021.</w:t>
      </w:r>
    </w:p>
    <w:p w:rsidR="00D418D8" w:rsidRDefault="00515D50">
      <w:pPr>
        <w:numPr>
          <w:ilvl w:val="0"/>
          <w:numId w:val="1"/>
        </w:numPr>
        <w:spacing w:after="3"/>
        <w:ind w:hanging="231"/>
      </w:pPr>
      <w:r>
        <w:rPr>
          <w:sz w:val="20"/>
        </w:rPr>
        <w:t>A compra ou contratação que a unidade requisitante justificou como aquisição de baixo risco e complexidade, de forma clara, pelo solicitante.</w:t>
      </w:r>
    </w:p>
    <w:p w:rsidR="00D418D8" w:rsidRDefault="00515D50">
      <w:pPr>
        <w:numPr>
          <w:ilvl w:val="0"/>
          <w:numId w:val="1"/>
        </w:numPr>
        <w:spacing w:after="219"/>
        <w:ind w:hanging="231"/>
      </w:pPr>
      <w:r>
        <w:rPr>
          <w:sz w:val="20"/>
        </w:rPr>
        <w:t>Para elementos de despesa cuja compra seja recorrente com finalidade de manutenção da atividade administrativa, cuja aquisição apresenta baixo risco e complexidade e atende a continuidade do serviço, cujo valor não seja superior a 25% do adquirido no ano anterior.</w:t>
      </w:r>
    </w:p>
    <w:p w:rsidR="00D418D8" w:rsidRDefault="00515D50">
      <w:pPr>
        <w:spacing w:after="181"/>
        <w:ind w:left="10" w:hanging="10"/>
        <w:jc w:val="left"/>
      </w:pPr>
      <w:r>
        <w:rPr>
          <w:b/>
        </w:rPr>
        <w:t>Será dispensado Estudo Técnico Preliminar, conforme artigo 2º, inciso II, alínea “a, b e c” da Resolução nº 85/2024 da Câmara Vereadores de Penha:</w:t>
      </w:r>
    </w:p>
    <w:p w:rsidR="00D418D8" w:rsidRDefault="00515D50">
      <w:pPr>
        <w:spacing w:after="3"/>
        <w:ind w:left="2263" w:hanging="10"/>
      </w:pPr>
      <w:r>
        <w:rPr>
          <w:sz w:val="20"/>
        </w:rPr>
        <w:t>Artigo 2º - Fica regulamentada a dispensa de estudo técnico preliminar e termo de referência nos procedimentos de compras e contratações realizados por este órgão, nos seguintes casos:</w:t>
      </w:r>
    </w:p>
    <w:p w:rsidR="00D418D8" w:rsidRDefault="00515D50">
      <w:pPr>
        <w:numPr>
          <w:ilvl w:val="0"/>
          <w:numId w:val="2"/>
        </w:numPr>
        <w:spacing w:after="103" w:line="259" w:lineRule="auto"/>
        <w:ind w:hanging="360"/>
      </w:pPr>
      <w:r>
        <w:rPr>
          <w:sz w:val="20"/>
        </w:rPr>
        <w:t xml:space="preserve">O valor global for inferior a 25% do limite previsto no art. 95, inciso II da Lei nº </w:t>
      </w:r>
    </w:p>
    <w:p w:rsidR="00D418D8" w:rsidRDefault="00515D50">
      <w:pPr>
        <w:spacing w:after="116" w:line="259" w:lineRule="auto"/>
        <w:ind w:left="2638" w:hanging="10"/>
      </w:pPr>
      <w:r>
        <w:rPr>
          <w:sz w:val="20"/>
        </w:rPr>
        <w:t>14.133/2021.</w:t>
      </w:r>
    </w:p>
    <w:p w:rsidR="00D418D8" w:rsidRDefault="00515D50">
      <w:pPr>
        <w:numPr>
          <w:ilvl w:val="0"/>
          <w:numId w:val="2"/>
        </w:numPr>
        <w:spacing w:after="3"/>
        <w:ind w:hanging="360"/>
      </w:pPr>
      <w:r>
        <w:rPr>
          <w:sz w:val="20"/>
        </w:rPr>
        <w:t>b) A compra ou contratação que a unidade requisitante justificou como aquisição de baixo risco e complexidade, de forma clara, pelo solicitante.</w:t>
      </w:r>
    </w:p>
    <w:p w:rsidR="00D418D8" w:rsidRDefault="00515D50" w:rsidP="000C5265">
      <w:pPr>
        <w:numPr>
          <w:ilvl w:val="0"/>
          <w:numId w:val="2"/>
        </w:numPr>
        <w:spacing w:after="0"/>
        <w:ind w:hanging="360"/>
      </w:pPr>
      <w:proofErr w:type="gramStart"/>
      <w:r>
        <w:rPr>
          <w:sz w:val="20"/>
        </w:rPr>
        <w:lastRenderedPageBreak/>
        <w:t>c) Para</w:t>
      </w:r>
      <w:proofErr w:type="gramEnd"/>
      <w:r>
        <w:rPr>
          <w:sz w:val="20"/>
        </w:rPr>
        <w:t xml:space="preserve"> elementos de despesa cuja compra seja recorrente com finalidade de manutenção da atividade administrativa, cuja aquisição apresenta baixo risco e complexidade e atende a continuidade do serviço, cujo valor não seja superior a 2</w:t>
      </w:r>
      <w:r w:rsidR="000C5265">
        <w:rPr>
          <w:sz w:val="20"/>
        </w:rPr>
        <w:t>5% do adquirido no ano anterior.</w:t>
      </w:r>
    </w:p>
    <w:p w:rsidR="00D418D8" w:rsidRDefault="00515D50" w:rsidP="000C5265">
      <w:pPr>
        <w:pStyle w:val="Ttulo1"/>
        <w:spacing w:after="0"/>
        <w:ind w:left="694" w:hanging="567"/>
      </w:pPr>
      <w:r>
        <w:t>CONDIÇÕES GERAIS DA CONTRATAÇÃO – Art. 6º, inciso XXIII, alínea a</w:t>
      </w:r>
    </w:p>
    <w:p w:rsidR="00D418D8" w:rsidRDefault="00515D50" w:rsidP="00AA3118">
      <w:pPr>
        <w:pStyle w:val="PargrafodaLista"/>
        <w:numPr>
          <w:ilvl w:val="1"/>
          <w:numId w:val="4"/>
        </w:numPr>
        <w:spacing w:after="49"/>
      </w:pPr>
      <w:r>
        <w:t>Contratação de serviços de reparo em três banheiros, sendo dois com problemas nos vasos sanitários e um com necessidade de conserto na porta, incluindo mão de obra, materiais, ferramentas e demais insumos necessários para a</w:t>
      </w:r>
      <w:r w:rsidR="000C5265">
        <w:t xml:space="preserve"> execução adequada dos serviços,</w:t>
      </w:r>
      <w:r>
        <w:t xml:space="preserve"> nos termos da tabela abaixo, conforme condições e exigências </w:t>
      </w:r>
      <w:r w:rsidR="000C5265">
        <w:t>estabelecidas neste instrumento.</w:t>
      </w:r>
    </w:p>
    <w:p w:rsidR="000C5265" w:rsidRDefault="000C5265" w:rsidP="000C5265">
      <w:pPr>
        <w:pStyle w:val="PargrafodaLista"/>
        <w:spacing w:after="49" w:line="259" w:lineRule="auto"/>
        <w:ind w:left="907" w:firstLine="0"/>
      </w:pPr>
    </w:p>
    <w:tbl>
      <w:tblPr>
        <w:tblStyle w:val="TableGrid"/>
        <w:tblW w:w="9209" w:type="dxa"/>
        <w:tblInd w:w="5" w:type="dxa"/>
        <w:tblCellMar>
          <w:top w:w="49" w:type="dxa"/>
          <w:left w:w="108" w:type="dxa"/>
          <w:right w:w="58" w:type="dxa"/>
        </w:tblCellMar>
        <w:tblLook w:val="04A0" w:firstRow="1" w:lastRow="0" w:firstColumn="1" w:lastColumn="0" w:noHBand="0" w:noVBand="1"/>
      </w:tblPr>
      <w:tblGrid>
        <w:gridCol w:w="699"/>
        <w:gridCol w:w="4399"/>
        <w:gridCol w:w="993"/>
        <w:gridCol w:w="1559"/>
        <w:gridCol w:w="1559"/>
      </w:tblGrid>
      <w:tr w:rsidR="00D418D8" w:rsidTr="000C5265">
        <w:trPr>
          <w:trHeight w:val="509"/>
        </w:trPr>
        <w:tc>
          <w:tcPr>
            <w:tcW w:w="699" w:type="dxa"/>
            <w:tcBorders>
              <w:top w:val="single" w:sz="4" w:space="0" w:color="000000"/>
              <w:left w:val="single" w:sz="4" w:space="0" w:color="000000"/>
              <w:bottom w:val="single" w:sz="4" w:space="0" w:color="000000"/>
              <w:right w:val="single" w:sz="4" w:space="0" w:color="000000"/>
            </w:tcBorders>
          </w:tcPr>
          <w:p w:rsidR="000C5265" w:rsidRPr="000C5265" w:rsidRDefault="000C5265" w:rsidP="000C5265">
            <w:pPr>
              <w:spacing w:after="113" w:line="259" w:lineRule="auto"/>
              <w:ind w:left="0" w:firstLine="0"/>
              <w:jc w:val="left"/>
              <w:rPr>
                <w:b/>
                <w:sz w:val="4"/>
              </w:rPr>
            </w:pPr>
          </w:p>
          <w:p w:rsidR="00D418D8" w:rsidRDefault="00515D50" w:rsidP="000C5265">
            <w:pPr>
              <w:spacing w:after="113" w:line="259" w:lineRule="auto"/>
              <w:ind w:left="0" w:firstLine="0"/>
              <w:jc w:val="left"/>
            </w:pPr>
            <w:r>
              <w:rPr>
                <w:b/>
              </w:rPr>
              <w:t>ITEM</w:t>
            </w:r>
          </w:p>
        </w:tc>
        <w:tc>
          <w:tcPr>
            <w:tcW w:w="4399" w:type="dxa"/>
            <w:tcBorders>
              <w:top w:val="single" w:sz="4" w:space="0" w:color="000000"/>
              <w:left w:val="single" w:sz="4" w:space="0" w:color="000000"/>
              <w:bottom w:val="single" w:sz="4" w:space="0" w:color="000000"/>
              <w:right w:val="single" w:sz="4" w:space="0" w:color="000000"/>
            </w:tcBorders>
            <w:vAlign w:val="center"/>
          </w:tcPr>
          <w:p w:rsidR="00D418D8" w:rsidRDefault="000C5265" w:rsidP="000C5265">
            <w:pPr>
              <w:spacing w:after="0" w:line="259" w:lineRule="auto"/>
              <w:ind w:left="0" w:firstLine="0"/>
              <w:jc w:val="center"/>
            </w:pPr>
            <w:r>
              <w:rPr>
                <w:b/>
              </w:rPr>
              <w:t>ESPECIFICAÇÃO</w:t>
            </w:r>
          </w:p>
        </w:tc>
        <w:tc>
          <w:tcPr>
            <w:tcW w:w="993" w:type="dxa"/>
            <w:tcBorders>
              <w:top w:val="single" w:sz="4" w:space="0" w:color="000000"/>
              <w:left w:val="single" w:sz="4" w:space="0" w:color="000000"/>
              <w:bottom w:val="single" w:sz="4" w:space="0" w:color="000000"/>
              <w:right w:val="single" w:sz="4" w:space="0" w:color="000000"/>
            </w:tcBorders>
          </w:tcPr>
          <w:p w:rsidR="00D418D8" w:rsidRDefault="00515D50" w:rsidP="000C5265">
            <w:pPr>
              <w:spacing w:after="113" w:line="259" w:lineRule="auto"/>
              <w:ind w:left="0" w:firstLine="0"/>
              <w:jc w:val="center"/>
            </w:pPr>
            <w:r>
              <w:rPr>
                <w:b/>
              </w:rPr>
              <w:t>UND</w:t>
            </w:r>
            <w:r w:rsidR="000C5265">
              <w:rPr>
                <w:b/>
              </w:rPr>
              <w:t>.</w:t>
            </w:r>
          </w:p>
          <w:p w:rsidR="00D418D8" w:rsidRDefault="00515D50">
            <w:pPr>
              <w:spacing w:after="0" w:line="259" w:lineRule="auto"/>
              <w:ind w:left="0" w:firstLine="0"/>
            </w:pPr>
            <w:r>
              <w:rPr>
                <w:b/>
              </w:rPr>
              <w:t>MEDIDA</w:t>
            </w:r>
          </w:p>
        </w:tc>
        <w:tc>
          <w:tcPr>
            <w:tcW w:w="1559" w:type="dxa"/>
            <w:tcBorders>
              <w:top w:val="single" w:sz="4" w:space="0" w:color="000000"/>
              <w:left w:val="single" w:sz="4" w:space="0" w:color="000000"/>
              <w:bottom w:val="single" w:sz="4" w:space="0" w:color="000000"/>
              <w:right w:val="single" w:sz="4" w:space="0" w:color="000000"/>
            </w:tcBorders>
            <w:vAlign w:val="center"/>
          </w:tcPr>
          <w:p w:rsidR="00D418D8" w:rsidRDefault="00515D50">
            <w:pPr>
              <w:spacing w:after="0" w:line="259" w:lineRule="auto"/>
              <w:ind w:left="0" w:firstLine="0"/>
              <w:jc w:val="left"/>
            </w:pPr>
            <w:r>
              <w:rPr>
                <w:b/>
              </w:rPr>
              <w:t>QUANTIDADE</w:t>
            </w:r>
          </w:p>
        </w:tc>
        <w:tc>
          <w:tcPr>
            <w:tcW w:w="1559" w:type="dxa"/>
            <w:tcBorders>
              <w:top w:val="single" w:sz="4" w:space="0" w:color="000000"/>
              <w:left w:val="single" w:sz="4" w:space="0" w:color="000000"/>
              <w:bottom w:val="single" w:sz="4" w:space="0" w:color="000000"/>
              <w:right w:val="single" w:sz="4" w:space="0" w:color="000000"/>
            </w:tcBorders>
            <w:vAlign w:val="center"/>
          </w:tcPr>
          <w:p w:rsidR="00D418D8" w:rsidRDefault="00515D50">
            <w:pPr>
              <w:spacing w:after="0" w:line="259" w:lineRule="auto"/>
              <w:ind w:left="0" w:firstLine="0"/>
              <w:jc w:val="left"/>
            </w:pPr>
            <w:r>
              <w:rPr>
                <w:b/>
              </w:rPr>
              <w:t>VALOR TOTAL</w:t>
            </w:r>
          </w:p>
        </w:tc>
      </w:tr>
      <w:tr w:rsidR="00D418D8" w:rsidTr="000C5265">
        <w:trPr>
          <w:trHeight w:val="1765"/>
        </w:trPr>
        <w:tc>
          <w:tcPr>
            <w:tcW w:w="699" w:type="dxa"/>
            <w:tcBorders>
              <w:top w:val="single" w:sz="4" w:space="0" w:color="000000"/>
              <w:left w:val="single" w:sz="4" w:space="0" w:color="000000"/>
              <w:bottom w:val="single" w:sz="4" w:space="0" w:color="000000"/>
              <w:right w:val="single" w:sz="4" w:space="0" w:color="000000"/>
            </w:tcBorders>
            <w:vAlign w:val="center"/>
          </w:tcPr>
          <w:p w:rsidR="00D418D8" w:rsidRDefault="00515D50">
            <w:pPr>
              <w:spacing w:after="0" w:line="259" w:lineRule="auto"/>
              <w:ind w:left="0" w:firstLine="0"/>
              <w:jc w:val="left"/>
            </w:pPr>
            <w:r>
              <w:rPr>
                <w:b/>
              </w:rPr>
              <w:t>1</w:t>
            </w:r>
          </w:p>
        </w:tc>
        <w:tc>
          <w:tcPr>
            <w:tcW w:w="4399" w:type="dxa"/>
            <w:tcBorders>
              <w:top w:val="single" w:sz="4" w:space="0" w:color="000000"/>
              <w:left w:val="single" w:sz="4" w:space="0" w:color="000000"/>
              <w:bottom w:val="single" w:sz="4" w:space="0" w:color="000000"/>
              <w:right w:val="single" w:sz="4" w:space="0" w:color="000000"/>
            </w:tcBorders>
          </w:tcPr>
          <w:p w:rsidR="00D418D8" w:rsidRDefault="00515D50">
            <w:pPr>
              <w:spacing w:after="0" w:line="259" w:lineRule="auto"/>
              <w:ind w:left="0" w:right="50" w:firstLine="0"/>
            </w:pPr>
            <w:r>
              <w:t>Reparo em três banheiros, sendo dois com problemas nos vasos sanitários e um com necessidade de conserto na porta, incluindo mão de obra, materiais, ferramentas e demais insumos necessários para</w:t>
            </w:r>
            <w:r w:rsidR="000C5265">
              <w:t xml:space="preserve"> a execução adequada dos serviço</w:t>
            </w:r>
            <w:r>
              <w:t>s.</w:t>
            </w:r>
          </w:p>
        </w:tc>
        <w:tc>
          <w:tcPr>
            <w:tcW w:w="993" w:type="dxa"/>
            <w:tcBorders>
              <w:top w:val="single" w:sz="4" w:space="0" w:color="000000"/>
              <w:left w:val="single" w:sz="4" w:space="0" w:color="000000"/>
              <w:bottom w:val="single" w:sz="4" w:space="0" w:color="000000"/>
              <w:right w:val="single" w:sz="4" w:space="0" w:color="000000"/>
            </w:tcBorders>
            <w:vAlign w:val="center"/>
          </w:tcPr>
          <w:p w:rsidR="00D418D8" w:rsidRDefault="00515D50">
            <w:pPr>
              <w:spacing w:after="0" w:line="259" w:lineRule="auto"/>
              <w:ind w:left="22" w:firstLine="0"/>
              <w:jc w:val="left"/>
            </w:pPr>
            <w:r>
              <w:t>Serviços</w:t>
            </w:r>
          </w:p>
        </w:tc>
        <w:tc>
          <w:tcPr>
            <w:tcW w:w="1559" w:type="dxa"/>
            <w:tcBorders>
              <w:top w:val="single" w:sz="4" w:space="0" w:color="000000"/>
              <w:left w:val="single" w:sz="4" w:space="0" w:color="000000"/>
              <w:bottom w:val="single" w:sz="4" w:space="0" w:color="000000"/>
              <w:right w:val="single" w:sz="4" w:space="0" w:color="000000"/>
            </w:tcBorders>
            <w:vAlign w:val="center"/>
          </w:tcPr>
          <w:p w:rsidR="00D418D8" w:rsidRDefault="00515D50">
            <w:pPr>
              <w:spacing w:after="0" w:line="259" w:lineRule="auto"/>
              <w:ind w:left="0" w:right="50" w:firstLine="0"/>
              <w:jc w:val="center"/>
            </w:pPr>
            <w:r>
              <w:t>1</w:t>
            </w:r>
          </w:p>
        </w:tc>
        <w:tc>
          <w:tcPr>
            <w:tcW w:w="1559" w:type="dxa"/>
            <w:tcBorders>
              <w:top w:val="single" w:sz="4" w:space="0" w:color="000000"/>
              <w:left w:val="single" w:sz="4" w:space="0" w:color="000000"/>
              <w:bottom w:val="single" w:sz="4" w:space="0" w:color="000000"/>
              <w:right w:val="single" w:sz="4" w:space="0" w:color="000000"/>
            </w:tcBorders>
            <w:vAlign w:val="center"/>
          </w:tcPr>
          <w:p w:rsidR="00D418D8" w:rsidRDefault="00515D50">
            <w:pPr>
              <w:spacing w:after="0" w:line="259" w:lineRule="auto"/>
              <w:ind w:left="0" w:right="50" w:firstLine="0"/>
              <w:jc w:val="center"/>
            </w:pPr>
            <w:r>
              <w:t>R$596,33</w:t>
            </w:r>
          </w:p>
        </w:tc>
      </w:tr>
    </w:tbl>
    <w:p w:rsidR="00AA3118" w:rsidRDefault="00AA3118">
      <w:pPr>
        <w:spacing w:after="127" w:line="259" w:lineRule="auto"/>
        <w:ind w:left="487" w:firstLine="0"/>
        <w:rPr>
          <w:b/>
        </w:rPr>
      </w:pPr>
      <w:bookmarkStart w:id="0" w:name="_GoBack"/>
      <w:bookmarkEnd w:id="0"/>
    </w:p>
    <w:p w:rsidR="00D418D8" w:rsidRDefault="00AA3118">
      <w:pPr>
        <w:spacing w:after="127" w:line="259" w:lineRule="auto"/>
        <w:ind w:left="487" w:firstLine="0"/>
      </w:pPr>
      <w:r w:rsidRPr="00AA3118">
        <w:rPr>
          <w:b/>
        </w:rPr>
        <w:t>1.2.</w:t>
      </w:r>
      <w:r>
        <w:rPr>
          <w:b/>
        </w:rPr>
        <w:t xml:space="preserve"> </w:t>
      </w:r>
      <w:r w:rsidR="00515D50">
        <w:t>O objeto desta contratação é caracterizado como comum.</w:t>
      </w:r>
    </w:p>
    <w:p w:rsidR="00D418D8" w:rsidRDefault="00AA3118" w:rsidP="000C5265">
      <w:pPr>
        <w:spacing w:after="0"/>
        <w:ind w:left="929"/>
      </w:pPr>
      <w:r>
        <w:rPr>
          <w:b/>
        </w:rPr>
        <w:t>1.</w:t>
      </w:r>
      <w:proofErr w:type="gramStart"/>
      <w:r>
        <w:rPr>
          <w:b/>
        </w:rPr>
        <w:t>3.</w:t>
      </w:r>
      <w:r w:rsidR="00515D50">
        <w:t>Será</w:t>
      </w:r>
      <w:proofErr w:type="gramEnd"/>
      <w:r w:rsidR="00515D50">
        <w:t xml:space="preserve"> utilizado a Nota de Empenho de Despesa como instrumento substituto do contrato conforme estabelecido no Inciso I, do art. 95 da Lei nº 14.133/2021. </w:t>
      </w:r>
    </w:p>
    <w:p w:rsidR="00D418D8" w:rsidRDefault="00515D50" w:rsidP="000C5265">
      <w:pPr>
        <w:pStyle w:val="Ttulo1"/>
        <w:spacing w:after="0"/>
        <w:ind w:left="694" w:hanging="567"/>
      </w:pPr>
      <w:r>
        <w:t>ESPECIFICAÇÃO DO OBJETO - Art. 6º, inciso XXIII, alínea a</w:t>
      </w:r>
    </w:p>
    <w:p w:rsidR="00D418D8" w:rsidRDefault="00515D50">
      <w:pPr>
        <w:ind w:left="847" w:hanging="360"/>
      </w:pPr>
      <w:r>
        <w:rPr>
          <w:b/>
        </w:rPr>
        <w:t xml:space="preserve">2.1 </w:t>
      </w:r>
      <w:r>
        <w:t xml:space="preserve">Reparo em três banheiros, sendo um com entupimento do encanamento, um com problema na válvula de descarga e um com necessidade de conserto da maçaneta da porta, incluindo mão de obra, materiais, ferramentas e demais insumos necessários para a execução adequada dos serviços. </w:t>
      </w:r>
    </w:p>
    <w:p w:rsidR="00D418D8" w:rsidRDefault="00515D50">
      <w:pPr>
        <w:pStyle w:val="Ttulo1"/>
        <w:ind w:left="694" w:hanging="567"/>
      </w:pPr>
      <w:r>
        <w:t>FUNDAMENTAÇÃO E JUSTIFICATIVA DA CONTRATAÇÃO - Art. 6º, inciso XXIII, alínea b</w:t>
      </w:r>
    </w:p>
    <w:p w:rsidR="00D418D8" w:rsidRDefault="00515D50">
      <w:pPr>
        <w:ind w:left="1069" w:hanging="360"/>
      </w:pPr>
      <w:r>
        <w:rPr>
          <w:b/>
        </w:rPr>
        <w:t xml:space="preserve">3.1 </w:t>
      </w:r>
      <w:r>
        <w:t>Após prévia pesquisa de mercado e constatado o valor referente à contratação, verificou-se que a licitação será dispensável, uma vez que a contratação envolve valores inferiores àquele fixado no art. 75, II da Lei 14.133/2021.</w:t>
      </w:r>
    </w:p>
    <w:p w:rsidR="00D418D8" w:rsidRDefault="00515D50">
      <w:pPr>
        <w:ind w:left="1069" w:hanging="360"/>
      </w:pPr>
      <w:r>
        <w:rPr>
          <w:b/>
        </w:rPr>
        <w:t xml:space="preserve">3.2 </w:t>
      </w:r>
      <w:r>
        <w:t xml:space="preserve">A contratação de serviços para reparo de três banheiros da Câmara de Vereadores de Penha é necessária para assegurar a plena funcionalidade das instalações, a segurança e a higiene </w:t>
      </w:r>
      <w:r>
        <w:lastRenderedPageBreak/>
        <w:t>dos ambientes utilizados por servidores, vereadores e pelo público em geral. A fundamentação para esta contratação baseia-se nos seguintes pontos:</w:t>
      </w:r>
    </w:p>
    <w:p w:rsidR="00D418D8" w:rsidRDefault="00515D50">
      <w:pPr>
        <w:spacing w:after="139" w:line="259" w:lineRule="auto"/>
        <w:ind w:left="709" w:firstLine="0"/>
      </w:pPr>
      <w:r>
        <w:rPr>
          <w:b/>
        </w:rPr>
        <w:t xml:space="preserve">3.3 </w:t>
      </w:r>
      <w:r>
        <w:t>Adequação da contratação:</w:t>
      </w:r>
    </w:p>
    <w:p w:rsidR="00D418D8" w:rsidRDefault="00515D50">
      <w:pPr>
        <w:ind w:left="2149" w:hanging="360"/>
      </w:pPr>
      <w:r>
        <w:rPr>
          <w:rFonts w:ascii="Segoe UI Symbol" w:eastAsia="Segoe UI Symbol" w:hAnsi="Segoe UI Symbol" w:cs="Segoe UI Symbol"/>
        </w:rPr>
        <w:t xml:space="preserve">• </w:t>
      </w:r>
      <w:r>
        <w:t>A execução dos serviços permitirá o restabelecimento das condições adequadas de uso, garantindo o pleno funcionamento das instalações, a conformidade com normas técnicas aplicáveis e a preservação da integridade física dos usuários. Trata-se de contratação adequada, uma vez que atende diretamente à necessidade identificada e não admite solução alternativa de igual eficiência sem a execução dos reparos.</w:t>
      </w:r>
    </w:p>
    <w:p w:rsidR="00D418D8" w:rsidRDefault="00515D50">
      <w:pPr>
        <w:ind w:left="2149" w:firstLine="0"/>
      </w:pPr>
      <w:r>
        <w:t>Os serviços são de baixa complexidade, podendo ser executados de forma rápida e conjunta por um único prestador, o que assegura maior eficiência, economicidade e redução de custos administrativos. A contratação conjunta evita a fragmentação do serviço e garante padronização na execução.</w:t>
      </w:r>
    </w:p>
    <w:p w:rsidR="00D418D8" w:rsidRDefault="00515D50" w:rsidP="000C5265">
      <w:pPr>
        <w:spacing w:after="0"/>
        <w:ind w:left="2149" w:firstLine="0"/>
      </w:pPr>
      <w:r>
        <w:t>Diante do exposto, a contratação é plenamente justificada e necessária para atender à demanda apresentada, restabelecendo as condições adequadas de uso, higiene, segurança e conforto nos banheiros da Câmara de Vereadores de Penha. Trata-se de medida que contribui para a eficiência, funcionalidade e qualidade dos serviços prestados à comunidade.</w:t>
      </w:r>
      <w:r>
        <w:rPr>
          <w:b/>
        </w:rPr>
        <w:t xml:space="preserve"> </w:t>
      </w:r>
    </w:p>
    <w:p w:rsidR="00D418D8" w:rsidRDefault="00515D50" w:rsidP="000C5265">
      <w:pPr>
        <w:pStyle w:val="Ttulo1"/>
        <w:spacing w:after="0"/>
        <w:ind w:left="694" w:hanging="567"/>
      </w:pPr>
      <w:r>
        <w:t>DESCRIÇÃO DA SOLUÇÃO COMO UM TODO - Art. 6º, inciso XXIII, alínea c</w:t>
      </w:r>
    </w:p>
    <w:p w:rsidR="00D418D8" w:rsidRDefault="00515D50" w:rsidP="000C5265">
      <w:pPr>
        <w:spacing w:after="0"/>
        <w:ind w:left="929"/>
      </w:pPr>
      <w:r>
        <w:rPr>
          <w:b/>
        </w:rPr>
        <w:t xml:space="preserve">4.1. </w:t>
      </w:r>
      <w:r>
        <w:t>Contratação de uma empresa para a prestação de serviços de reparo em três banheiros, compreendendo a correção de defeitos em dois vasos sanitários e o conserto da porta de um banheiro, incluindo fornecimento de mão de obra, materiais, ferramentas e demais insumos necessários para a execução completa e adequada dos serviços.</w:t>
      </w:r>
    </w:p>
    <w:p w:rsidR="00D418D8" w:rsidRDefault="00515D50" w:rsidP="000C5265">
      <w:pPr>
        <w:pStyle w:val="Ttulo1"/>
        <w:spacing w:after="0"/>
        <w:ind w:left="694" w:hanging="567"/>
      </w:pPr>
      <w:r>
        <w:t>REQUISITOS DA CONTRATAÇÃO - Art. 6º, inciso XXIII, alínea d</w:t>
      </w:r>
    </w:p>
    <w:p w:rsidR="00D418D8" w:rsidRDefault="00515D50">
      <w:pPr>
        <w:ind w:left="929"/>
      </w:pPr>
      <w:r>
        <w:rPr>
          <w:b/>
        </w:rPr>
        <w:t xml:space="preserve">5.1. </w:t>
      </w:r>
      <w:r>
        <w:t>Materiais de qualidade: Componentes e peças de reposição que garantam durabilidade e conformidade com normas técnicas;</w:t>
      </w:r>
    </w:p>
    <w:p w:rsidR="00D418D8" w:rsidRDefault="00515D50">
      <w:pPr>
        <w:ind w:left="929"/>
      </w:pPr>
      <w:r>
        <w:rPr>
          <w:b/>
        </w:rPr>
        <w:t xml:space="preserve">5.2. </w:t>
      </w:r>
      <w:r>
        <w:t>Mão de obra qualificada: Profissionais com experiência em manutenção predial e reparos de vasos sanitários e portas;</w:t>
      </w:r>
    </w:p>
    <w:p w:rsidR="00D418D8" w:rsidRDefault="00515D50">
      <w:pPr>
        <w:ind w:left="929"/>
      </w:pPr>
      <w:r>
        <w:rPr>
          <w:b/>
        </w:rPr>
        <w:t xml:space="preserve">5.3. </w:t>
      </w:r>
      <w:r>
        <w:t>Execução conforme normas técnicas: Serviços realizados obedecendo às boas práticas de manutenção predial e às normas de segurança e higiene aplicáveis;</w:t>
      </w:r>
    </w:p>
    <w:p w:rsidR="00D418D8" w:rsidRDefault="00515D50">
      <w:pPr>
        <w:ind w:left="929"/>
      </w:pPr>
      <w:r>
        <w:rPr>
          <w:b/>
        </w:rPr>
        <w:lastRenderedPageBreak/>
        <w:t xml:space="preserve">5.4. </w:t>
      </w:r>
      <w:r>
        <w:t>Restabelecimento completo da funcionalidade: Garantir que os vasos sanitários e a porta funcionem corretamente, sem vazamentos, travamentos ou falhas;</w:t>
      </w:r>
    </w:p>
    <w:p w:rsidR="00D418D8" w:rsidRDefault="00515D50">
      <w:pPr>
        <w:ind w:left="929"/>
      </w:pPr>
      <w:r>
        <w:rPr>
          <w:b/>
        </w:rPr>
        <w:t xml:space="preserve">5.5. </w:t>
      </w:r>
      <w:r>
        <w:t>Cumprimento do prazo: Execução dos serviços no prazo acordado, contado a partir da ordem de serviço;</w:t>
      </w:r>
    </w:p>
    <w:p w:rsidR="00D418D8" w:rsidRDefault="00515D50">
      <w:pPr>
        <w:spacing w:after="127" w:line="259" w:lineRule="auto"/>
        <w:ind w:left="487" w:firstLine="0"/>
      </w:pPr>
      <w:r>
        <w:rPr>
          <w:b/>
        </w:rPr>
        <w:t xml:space="preserve">5.6. </w:t>
      </w:r>
      <w:r>
        <w:t>Limpeza e conservação: Local deixado limpo e organizado após a conclusão dos trabalhos;</w:t>
      </w:r>
    </w:p>
    <w:p w:rsidR="00D418D8" w:rsidRDefault="00515D50" w:rsidP="000C5265">
      <w:pPr>
        <w:spacing w:after="0"/>
        <w:ind w:left="929"/>
      </w:pPr>
      <w:r>
        <w:rPr>
          <w:b/>
        </w:rPr>
        <w:t xml:space="preserve">5.7. </w:t>
      </w:r>
      <w:r>
        <w:t>Garantia dos serviços: A contratada deve se responsabilizar por eventuais falhas decorrentes da execução, sem custo adicional para a Administração.</w:t>
      </w:r>
    </w:p>
    <w:p w:rsidR="00D418D8" w:rsidRDefault="00515D50" w:rsidP="000C5265">
      <w:pPr>
        <w:pStyle w:val="Ttulo1"/>
        <w:spacing w:after="0"/>
        <w:ind w:left="694" w:hanging="567"/>
      </w:pPr>
      <w:r>
        <w:t>ENTREGA E EXECUÇÃO DO OBJETO - Art. 6º, inciso XXIII, alínea e</w:t>
      </w:r>
    </w:p>
    <w:p w:rsidR="00D418D8" w:rsidRDefault="00515D50">
      <w:pPr>
        <w:ind w:left="929"/>
      </w:pPr>
      <w:r>
        <w:rPr>
          <w:b/>
        </w:rPr>
        <w:t xml:space="preserve">6.1. </w:t>
      </w:r>
      <w:r>
        <w:t>A entrega do objeto deverá ser entregue na sede da Câmara de Vereadores de Penha no seguinte endereço e horário:</w:t>
      </w:r>
    </w:p>
    <w:p w:rsidR="00D418D8" w:rsidRDefault="00515D50">
      <w:pPr>
        <w:tabs>
          <w:tab w:val="center" w:pos="964"/>
          <w:tab w:val="center" w:pos="4736"/>
        </w:tabs>
        <w:spacing w:after="127" w:line="259" w:lineRule="auto"/>
        <w:ind w:left="0" w:firstLine="0"/>
        <w:jc w:val="left"/>
      </w:pPr>
      <w:r>
        <w:tab/>
      </w:r>
      <w:r>
        <w:rPr>
          <w:b/>
        </w:rPr>
        <w:t>6.1.1.</w:t>
      </w:r>
      <w:r>
        <w:rPr>
          <w:b/>
        </w:rPr>
        <w:tab/>
      </w:r>
      <w:r>
        <w:t xml:space="preserve">Avenida Prefeito Eugênio </w:t>
      </w:r>
      <w:proofErr w:type="spellStart"/>
      <w:r>
        <w:t>Krause</w:t>
      </w:r>
      <w:proofErr w:type="spellEnd"/>
      <w:r>
        <w:t>, 94, Centro – CEP 88.385-000 – Penha/SC</w:t>
      </w:r>
    </w:p>
    <w:p w:rsidR="00D418D8" w:rsidRDefault="00515D50">
      <w:pPr>
        <w:tabs>
          <w:tab w:val="center" w:pos="964"/>
          <w:tab w:val="center" w:pos="3673"/>
        </w:tabs>
        <w:spacing w:after="127" w:line="259" w:lineRule="auto"/>
        <w:ind w:left="0" w:firstLine="0"/>
        <w:jc w:val="left"/>
      </w:pPr>
      <w:r>
        <w:tab/>
      </w:r>
      <w:r>
        <w:rPr>
          <w:b/>
        </w:rPr>
        <w:t>6.1.2.</w:t>
      </w:r>
      <w:r>
        <w:rPr>
          <w:b/>
        </w:rPr>
        <w:tab/>
      </w:r>
      <w:r>
        <w:t xml:space="preserve">De segunda a sexta-feira das 12:00 às 18:00 horas. </w:t>
      </w:r>
    </w:p>
    <w:p w:rsidR="00D418D8" w:rsidRDefault="00515D50">
      <w:pPr>
        <w:tabs>
          <w:tab w:val="center" w:pos="964"/>
          <w:tab w:val="center" w:pos="2322"/>
        </w:tabs>
        <w:spacing w:after="127" w:line="259" w:lineRule="auto"/>
        <w:ind w:left="0" w:firstLine="0"/>
        <w:jc w:val="left"/>
      </w:pPr>
      <w:r>
        <w:tab/>
      </w:r>
      <w:r>
        <w:rPr>
          <w:b/>
        </w:rPr>
        <w:t>6.1.3.</w:t>
      </w:r>
      <w:r>
        <w:rPr>
          <w:b/>
        </w:rPr>
        <w:tab/>
      </w:r>
      <w:r>
        <w:t>Execução do objeto:</w:t>
      </w:r>
    </w:p>
    <w:p w:rsidR="00D418D8" w:rsidRDefault="00515D50">
      <w:pPr>
        <w:ind w:left="1418" w:hanging="709"/>
      </w:pPr>
      <w:r>
        <w:rPr>
          <w:b/>
        </w:rPr>
        <w:t>6.1.4.</w:t>
      </w:r>
      <w:r>
        <w:rPr>
          <w:b/>
        </w:rPr>
        <w:tab/>
      </w:r>
      <w:r>
        <w:t>A CONTRATANTE emitirá e enviará Nota de Empenho ou documento equivalente ao contratado;</w:t>
      </w:r>
    </w:p>
    <w:p w:rsidR="00D418D8" w:rsidRDefault="00515D50">
      <w:pPr>
        <w:ind w:left="1418" w:hanging="709"/>
      </w:pPr>
      <w:r>
        <w:rPr>
          <w:b/>
        </w:rPr>
        <w:t xml:space="preserve">6.1.5. </w:t>
      </w:r>
      <w:r>
        <w:t xml:space="preserve">O CONTRATADO fornecerá o objeto conforme especificado na proposta e encaminhará Nota Fiscal, com os dados bancários, para liquidação e pagamento para o e-mail </w:t>
      </w:r>
      <w:r>
        <w:rPr>
          <w:color w:val="0000FF"/>
          <w:u w:val="single" w:color="0000FF"/>
        </w:rPr>
        <w:t>compras@cvp.sc.gov.br</w:t>
      </w:r>
      <w:r>
        <w:t xml:space="preserve"> ou pessoalmente;</w:t>
      </w:r>
    </w:p>
    <w:p w:rsidR="00D418D8" w:rsidRDefault="00515D50">
      <w:pPr>
        <w:ind w:left="1418" w:hanging="709"/>
      </w:pPr>
      <w:r>
        <w:rPr>
          <w:b/>
        </w:rPr>
        <w:t xml:space="preserve">6.1.6. </w:t>
      </w:r>
      <w:r>
        <w:t>A CONTRATANTE fiscalizará o cumprimento do objeto contratado e em caso de aceite definitivo do objeto, realizará o pagamento.</w:t>
      </w:r>
    </w:p>
    <w:p w:rsidR="00D418D8" w:rsidRDefault="00515D50">
      <w:pPr>
        <w:pStyle w:val="Ttulo1"/>
        <w:ind w:left="694" w:hanging="567"/>
      </w:pPr>
      <w:r>
        <w:t>GESTÃO E FISCALIZAÇÃO DA EXECUÇÃO - Art. 6º, inciso XXIII, alínea f</w:t>
      </w:r>
    </w:p>
    <w:p w:rsidR="00D418D8" w:rsidRDefault="00515D50" w:rsidP="000C5265">
      <w:pPr>
        <w:spacing w:after="0"/>
        <w:ind w:left="929"/>
      </w:pPr>
      <w:r>
        <w:rPr>
          <w:b/>
        </w:rPr>
        <w:t xml:space="preserve">7.1. </w:t>
      </w:r>
      <w:r>
        <w:t>No caso de o objeto caracterizar como de natureza comum, sem grande complexidade técnica, a medição deverá ser realizada pela simples verificação de cumprimento pela CONTRATADA das obrigações previstas neste Termo de Referência.</w:t>
      </w:r>
    </w:p>
    <w:p w:rsidR="00D418D8" w:rsidRDefault="00515D50" w:rsidP="000C5265">
      <w:pPr>
        <w:pStyle w:val="Ttulo1"/>
        <w:spacing w:after="0"/>
        <w:ind w:left="694" w:hanging="567"/>
      </w:pPr>
      <w:r>
        <w:t>PAGAMENTO - Art. 6º, inciso XXIII, alínea g</w:t>
      </w:r>
    </w:p>
    <w:p w:rsidR="00D418D8" w:rsidRDefault="00515D50" w:rsidP="000C5265">
      <w:pPr>
        <w:spacing w:after="0"/>
        <w:ind w:left="929"/>
      </w:pPr>
      <w:r>
        <w:rPr>
          <w:b/>
        </w:rPr>
        <w:t xml:space="preserve">8.1. </w:t>
      </w:r>
      <w:r>
        <w:t>O pagamento será realizado após o aceite definitivo do objeto conforme especificado em Termo de Referência pelo Fiscal da execução</w:t>
      </w:r>
      <w:r>
        <w:rPr>
          <w:b/>
        </w:rPr>
        <w:t>.</w:t>
      </w:r>
    </w:p>
    <w:p w:rsidR="00D418D8" w:rsidRDefault="00515D50">
      <w:pPr>
        <w:spacing w:after="417"/>
        <w:ind w:left="929"/>
      </w:pPr>
      <w:r>
        <w:rPr>
          <w:b/>
        </w:rPr>
        <w:t xml:space="preserve">8.2. </w:t>
      </w:r>
      <w:r>
        <w:t>O pagamento pela prestação do serviço, objeto da presente contratação direta, deverá ser feito pela Administração em favor do contratado mediante boleto ou transferência bancária em conta corrente de titularidade do contratado, no prazo mensal de até 30 (trinta) dias, após a data de recebimento objeto, acompanhado da respectiva Nota Fiscal Eletrônica.</w:t>
      </w:r>
    </w:p>
    <w:p w:rsidR="00D418D8" w:rsidRDefault="00515D50">
      <w:pPr>
        <w:pStyle w:val="Ttulo1"/>
        <w:ind w:left="137"/>
      </w:pPr>
      <w:r>
        <w:lastRenderedPageBreak/>
        <w:t>FORMA E CRITÉRIOS DE SELEÇÃO DO FORNECEDOR E REGIME DE EXECUÇÃO - Art. 6º, inciso XXIII, alínea h</w:t>
      </w:r>
    </w:p>
    <w:p w:rsidR="00D418D8" w:rsidRDefault="00515D50">
      <w:pPr>
        <w:ind w:left="929"/>
      </w:pPr>
      <w:r>
        <w:rPr>
          <w:b/>
        </w:rPr>
        <w:t xml:space="preserve">9.1. </w:t>
      </w:r>
      <w:r>
        <w:t>O CONTRATADO será selecionado por meio da realização de procedimento de LICITAÇÃO, na modalidade DISPENSA, sob a forma ELETRÔNICA, com a adoção do critério de julgamento pelo MENOR PREÇO GLOBAL.</w:t>
      </w:r>
    </w:p>
    <w:p w:rsidR="00D418D8" w:rsidRDefault="00515D50">
      <w:pPr>
        <w:spacing w:after="113" w:line="259" w:lineRule="auto"/>
        <w:ind w:left="487" w:firstLine="0"/>
      </w:pPr>
      <w:r>
        <w:rPr>
          <w:b/>
        </w:rPr>
        <w:t xml:space="preserve">9.2. </w:t>
      </w:r>
      <w:r>
        <w:t xml:space="preserve">Para fins de habilitação, deverá o licitante comprovar os requisitos do art. 68 da Lei nº </w:t>
      </w:r>
    </w:p>
    <w:p w:rsidR="00D418D8" w:rsidRDefault="00515D50">
      <w:pPr>
        <w:spacing w:after="127" w:line="259" w:lineRule="auto"/>
        <w:ind w:left="934" w:firstLine="0"/>
      </w:pPr>
      <w:r>
        <w:t>14.133/21:</w:t>
      </w:r>
    </w:p>
    <w:p w:rsidR="00D418D8" w:rsidRDefault="00515D50">
      <w:pPr>
        <w:spacing w:after="113" w:line="259" w:lineRule="auto"/>
        <w:ind w:left="772" w:firstLine="0"/>
      </w:pPr>
      <w:r>
        <w:rPr>
          <w:b/>
        </w:rPr>
        <w:t xml:space="preserve">9.2.1. </w:t>
      </w:r>
      <w:r>
        <w:t xml:space="preserve">Prova de inscrição no Cadastro Nacional de Pessoas Jurídicas ou no Cadastro de Pessoas </w:t>
      </w:r>
    </w:p>
    <w:p w:rsidR="00D418D8" w:rsidRDefault="00515D50">
      <w:pPr>
        <w:spacing w:after="127" w:line="259" w:lineRule="auto"/>
        <w:ind w:left="1276" w:firstLine="0"/>
      </w:pPr>
      <w:r>
        <w:t>Físicas, conforme o caso;</w:t>
      </w:r>
    </w:p>
    <w:p w:rsidR="00D418D8" w:rsidRDefault="00515D50">
      <w:pPr>
        <w:ind w:left="1276" w:hanging="504"/>
      </w:pPr>
      <w:r>
        <w:rPr>
          <w:b/>
        </w:rPr>
        <w:t xml:space="preserve">9.2.2. </w:t>
      </w:r>
      <w:r>
        <w:t xml:space="preserve">Prova de inscrição no cadastro de contribuintes </w:t>
      </w:r>
      <w:proofErr w:type="gramStart"/>
      <w:r>
        <w:rPr>
          <w:i/>
        </w:rPr>
        <w:t>[Estadual</w:t>
      </w:r>
      <w:proofErr w:type="gramEnd"/>
      <w:r>
        <w:rPr>
          <w:i/>
        </w:rPr>
        <w:t>]</w:t>
      </w:r>
      <w:r>
        <w:t xml:space="preserve"> e </w:t>
      </w:r>
      <w:r>
        <w:rPr>
          <w:i/>
        </w:rPr>
        <w:t>[Municipal]</w:t>
      </w:r>
      <w:r>
        <w:t xml:space="preserve"> relativo ao domicílio ou sede do fornecedor, pertinente ao seu ramo de atividade e compatível com o objeto contratual; </w:t>
      </w:r>
    </w:p>
    <w:p w:rsidR="00D418D8" w:rsidRDefault="00515D50">
      <w:pPr>
        <w:ind w:left="1276" w:hanging="504"/>
      </w:pPr>
      <w:r>
        <w:rPr>
          <w:b/>
        </w:rPr>
        <w:t xml:space="preserve">9.2.3. </w:t>
      </w:r>
      <w:r>
        <w:t xml:space="preserve">Prova de regularidade com a Fazenda </w:t>
      </w:r>
      <w:proofErr w:type="gramStart"/>
      <w:r>
        <w:rPr>
          <w:i/>
        </w:rPr>
        <w:t>[Estadual</w:t>
      </w:r>
      <w:proofErr w:type="gramEnd"/>
      <w:r>
        <w:rPr>
          <w:i/>
        </w:rPr>
        <w:t>] e [Municipal]</w:t>
      </w:r>
      <w:r>
        <w:t xml:space="preserve"> do domicílio ou sede do fornecedor, relativa à atividade em cujo exercício contrata ou concorre;</w:t>
      </w:r>
    </w:p>
    <w:p w:rsidR="00D418D8" w:rsidRDefault="00515D50">
      <w:pPr>
        <w:spacing w:after="127" w:line="259" w:lineRule="auto"/>
        <w:ind w:left="772" w:firstLine="0"/>
      </w:pPr>
      <w:r>
        <w:rPr>
          <w:b/>
        </w:rPr>
        <w:t xml:space="preserve">9.2.4. </w:t>
      </w:r>
      <w:r>
        <w:t>Prova de regularidade com o Fundo de Garantia do Tempo de Serviço (FGTS);</w:t>
      </w:r>
    </w:p>
    <w:p w:rsidR="00D418D8" w:rsidRDefault="00515D50">
      <w:pPr>
        <w:ind w:left="1276" w:hanging="504"/>
      </w:pPr>
      <w:r>
        <w:rPr>
          <w:b/>
        </w:rPr>
        <w:t xml:space="preserve">9.2.5. </w:t>
      </w:r>
      <w:r>
        <w:t xml:space="preserve">Prova de inexistência de débitos inadimplidos perante a Justiça do Trabalho, mediante a apresentação de certidão negativa ou positiva com efeito de negativa, nos termos do Título </w:t>
      </w:r>
    </w:p>
    <w:p w:rsidR="00D418D8" w:rsidRDefault="00515D50" w:rsidP="000C5265">
      <w:pPr>
        <w:spacing w:after="0"/>
        <w:ind w:left="1276" w:firstLine="0"/>
      </w:pPr>
      <w:r>
        <w:t>VII-A da Consolidação das Leis do Trabalho, aprovada pelo Decreto-Lei nº 5.452, de 1º de maio de 1943.</w:t>
      </w:r>
    </w:p>
    <w:p w:rsidR="00D418D8" w:rsidRDefault="00515D50" w:rsidP="000C5265">
      <w:pPr>
        <w:pStyle w:val="Ttulo1"/>
        <w:spacing w:after="0"/>
        <w:ind w:left="694" w:hanging="567"/>
      </w:pPr>
      <w:r>
        <w:t>ADEQUAÇÃO ORÇAMENTÁRIA - Art. 6º, inciso XXIII, alínea j</w:t>
      </w:r>
    </w:p>
    <w:p w:rsidR="00D418D8" w:rsidRDefault="00515D50" w:rsidP="000C5265">
      <w:pPr>
        <w:spacing w:after="0"/>
        <w:ind w:left="929"/>
      </w:pPr>
      <w:r>
        <w:rPr>
          <w:b/>
        </w:rPr>
        <w:t xml:space="preserve">10.1. </w:t>
      </w:r>
      <w:r>
        <w:t xml:space="preserve">Os recursos despendidos pelo Poder Legislativo para esta contratação correrão por conta da seguinte dotação orçamentária, consignada respectivamente, no orçamento vigente: </w:t>
      </w:r>
    </w:p>
    <w:p w:rsidR="006401A7" w:rsidRPr="000C5265" w:rsidRDefault="006401A7" w:rsidP="000C5265">
      <w:pPr>
        <w:pStyle w:val="SemEspaamento"/>
      </w:pPr>
      <w:r w:rsidRPr="000C5265">
        <w:t>Referência: 2 </w:t>
      </w:r>
    </w:p>
    <w:p w:rsidR="006401A7" w:rsidRPr="000C5265" w:rsidRDefault="006401A7" w:rsidP="000C5265">
      <w:pPr>
        <w:pStyle w:val="SemEspaamento"/>
      </w:pPr>
      <w:r w:rsidRPr="000C5265">
        <w:t>Órgão: 01 CÂMARA MUNICIPAL DE VEREADORES DE PENHA</w:t>
      </w:r>
    </w:p>
    <w:p w:rsidR="006401A7" w:rsidRPr="000C5265" w:rsidRDefault="006401A7" w:rsidP="006401A7">
      <w:pPr>
        <w:pStyle w:val="SemEspaamento"/>
      </w:pPr>
      <w:r w:rsidRPr="000C5265">
        <w:t>Unidade: 001 CÂMARA MUNICIPAL DE VEREADORES DE PENHA</w:t>
      </w:r>
    </w:p>
    <w:p w:rsidR="006401A7" w:rsidRPr="000C5265" w:rsidRDefault="006401A7" w:rsidP="006401A7">
      <w:pPr>
        <w:pStyle w:val="SemEspaamento"/>
      </w:pPr>
      <w:r w:rsidRPr="000C5265">
        <w:t>Ação: 2001 Funcionamento e manutenção da Câmara Municipal de vereadores de Penha</w:t>
      </w:r>
    </w:p>
    <w:p w:rsidR="006401A7" w:rsidRPr="000C5265" w:rsidRDefault="006401A7" w:rsidP="006401A7">
      <w:pPr>
        <w:pStyle w:val="SemEspaamento"/>
      </w:pPr>
      <w:r w:rsidRPr="000C5265">
        <w:t>Funcional: 0001.0031.0001 PENHA PARA TODOS - CAMARA MUNICIPAL DE VEREADORES</w:t>
      </w:r>
    </w:p>
    <w:p w:rsidR="006401A7" w:rsidRPr="000C5265" w:rsidRDefault="006401A7" w:rsidP="006401A7">
      <w:pPr>
        <w:pStyle w:val="SemEspaamento"/>
      </w:pPr>
      <w:r w:rsidRPr="000C5265">
        <w:t>Elemento: 3339000000000000000 Aplicações diretas</w:t>
      </w:r>
    </w:p>
    <w:p w:rsidR="006401A7" w:rsidRPr="000C5265" w:rsidRDefault="006401A7" w:rsidP="006401A7">
      <w:pPr>
        <w:pStyle w:val="SemEspaamento"/>
      </w:pPr>
      <w:proofErr w:type="spellStart"/>
      <w:r w:rsidRPr="000C5265">
        <w:t>Subelemento</w:t>
      </w:r>
      <w:proofErr w:type="spellEnd"/>
      <w:r w:rsidRPr="000C5265">
        <w:t>: 3339039990000000000 Outros serviços de terceiros-pessoa jurídica</w:t>
      </w:r>
    </w:p>
    <w:p w:rsidR="006401A7" w:rsidRDefault="006401A7" w:rsidP="006401A7">
      <w:pPr>
        <w:spacing w:after="803"/>
        <w:ind w:left="929"/>
      </w:pPr>
      <w:r w:rsidRPr="000C5265">
        <w:t>Vínculo: 150070000000 RECURSOS ORDINÁRIOS</w:t>
      </w:r>
    </w:p>
    <w:p w:rsidR="000C5265" w:rsidRPr="000C5265" w:rsidRDefault="000C5265" w:rsidP="006401A7">
      <w:pPr>
        <w:spacing w:after="803"/>
        <w:ind w:left="929"/>
      </w:pPr>
    </w:p>
    <w:p w:rsidR="00D418D8" w:rsidRDefault="00515D50">
      <w:pPr>
        <w:spacing w:after="916" w:line="259" w:lineRule="auto"/>
        <w:ind w:left="0" w:firstLine="0"/>
        <w:jc w:val="right"/>
      </w:pPr>
      <w:r>
        <w:lastRenderedPageBreak/>
        <w:t>Penha – SC, 15 de janeiro de 2026.</w:t>
      </w:r>
    </w:p>
    <w:p w:rsidR="00D418D8" w:rsidRDefault="00515D50">
      <w:pPr>
        <w:spacing w:after="3" w:line="265" w:lineRule="auto"/>
        <w:ind w:left="11" w:hanging="10"/>
        <w:jc w:val="center"/>
      </w:pPr>
      <w:proofErr w:type="spellStart"/>
      <w:r>
        <w:t>Francieli</w:t>
      </w:r>
      <w:proofErr w:type="spellEnd"/>
      <w:r>
        <w:t xml:space="preserve"> Conceição Costa</w:t>
      </w:r>
    </w:p>
    <w:p w:rsidR="00D418D8" w:rsidRDefault="00515D50">
      <w:pPr>
        <w:spacing w:after="107" w:line="265" w:lineRule="auto"/>
        <w:ind w:left="10" w:hanging="10"/>
        <w:jc w:val="center"/>
      </w:pPr>
      <w:r>
        <w:rPr>
          <w:b/>
        </w:rPr>
        <w:t>Assistente Administrativo</w:t>
      </w:r>
    </w:p>
    <w:p w:rsidR="00D418D8" w:rsidRDefault="00515D50">
      <w:pPr>
        <w:spacing w:after="710" w:line="265" w:lineRule="auto"/>
        <w:ind w:left="11" w:right="1" w:hanging="10"/>
        <w:jc w:val="center"/>
      </w:pPr>
      <w:r>
        <w:t>Câmara de Vereadores de Penha</w:t>
      </w:r>
    </w:p>
    <w:p w:rsidR="00D418D8" w:rsidRDefault="00515D50">
      <w:pPr>
        <w:pStyle w:val="Ttulo1"/>
        <w:numPr>
          <w:ilvl w:val="0"/>
          <w:numId w:val="0"/>
        </w:numPr>
        <w:ind w:left="71"/>
      </w:pPr>
      <w:r>
        <w:t xml:space="preserve">Aprovo o presente Termo de Referência em conformidade com a lei 14.133 de Licitações e Contratos, </w:t>
      </w:r>
    </w:p>
    <w:p w:rsidR="00D418D8" w:rsidRDefault="00515D50">
      <w:pPr>
        <w:spacing w:after="910" w:line="265" w:lineRule="auto"/>
        <w:ind w:left="10" w:hanging="10"/>
        <w:jc w:val="center"/>
      </w:pPr>
      <w:proofErr w:type="gramStart"/>
      <w:r>
        <w:rPr>
          <w:b/>
        </w:rPr>
        <w:t>artigo</w:t>
      </w:r>
      <w:proofErr w:type="gramEnd"/>
      <w:r>
        <w:rPr>
          <w:b/>
        </w:rPr>
        <w:t xml:space="preserve"> 6º, XXIII e alíneas.</w:t>
      </w:r>
    </w:p>
    <w:p w:rsidR="00D418D8" w:rsidRDefault="00515D50">
      <w:pPr>
        <w:ind w:left="3547" w:right="2112" w:hanging="733"/>
      </w:pPr>
      <w:r>
        <w:t xml:space="preserve">__________________________________ </w:t>
      </w:r>
      <w:r>
        <w:rPr>
          <w:b/>
        </w:rPr>
        <w:t>Luciano de Jesus da Silva</w:t>
      </w:r>
    </w:p>
    <w:p w:rsidR="00D418D8" w:rsidRDefault="00515D50">
      <w:pPr>
        <w:spacing w:after="3" w:line="265" w:lineRule="auto"/>
        <w:ind w:left="11" w:right="1" w:hanging="10"/>
        <w:jc w:val="center"/>
      </w:pPr>
      <w:r>
        <w:t>Presidente da Câmara de Vereadores de Penha</w:t>
      </w:r>
    </w:p>
    <w:sectPr w:rsidR="00D418D8">
      <w:headerReference w:type="even" r:id="rId7"/>
      <w:headerReference w:type="default" r:id="rId8"/>
      <w:footerReference w:type="even" r:id="rId9"/>
      <w:footerReference w:type="default" r:id="rId10"/>
      <w:headerReference w:type="first" r:id="rId11"/>
      <w:footerReference w:type="first" r:id="rId12"/>
      <w:pgSz w:w="11906" w:h="16838"/>
      <w:pgMar w:top="3343" w:right="851" w:bottom="1181" w:left="1701" w:header="1134" w:footer="3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3F5" w:rsidRDefault="002523F5">
      <w:pPr>
        <w:spacing w:after="0" w:line="240" w:lineRule="auto"/>
      </w:pPr>
      <w:r>
        <w:separator/>
      </w:r>
    </w:p>
  </w:endnote>
  <w:endnote w:type="continuationSeparator" w:id="0">
    <w:p w:rsidR="002523F5" w:rsidRDefault="00252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8D8" w:rsidRDefault="00515D50">
    <w:pPr>
      <w:spacing w:after="92" w:line="259" w:lineRule="auto"/>
      <w:ind w:left="0" w:firstLine="0"/>
      <w:jc w:val="center"/>
    </w:pPr>
    <w:r>
      <w:rPr>
        <w:sz w:val="18"/>
      </w:rPr>
      <w:t xml:space="preserve">Avenida Prefeito Eugênio </w:t>
    </w:r>
    <w:proofErr w:type="spellStart"/>
    <w:r>
      <w:rPr>
        <w:sz w:val="18"/>
      </w:rPr>
      <w:t>Krause</w:t>
    </w:r>
    <w:proofErr w:type="spellEnd"/>
    <w:r>
      <w:rPr>
        <w:sz w:val="18"/>
      </w:rPr>
      <w:t>, 94, Centro. CEP 88.385-000 – Penha, Santa Catarina – CNPJ 83.551.515/0001-07</w:t>
    </w:r>
  </w:p>
  <w:p w:rsidR="00D418D8" w:rsidRDefault="00515D50">
    <w:pPr>
      <w:spacing w:after="0" w:line="259" w:lineRule="auto"/>
      <w:ind w:left="0" w:firstLine="0"/>
      <w:jc w:val="center"/>
    </w:pPr>
    <w:r>
      <w:rPr>
        <w:sz w:val="18"/>
      </w:rPr>
      <w:t>(47) 9 9120-1248 – compras@cvp.sc.gov.br -  www.cvp.sc.gov.br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8D8" w:rsidRDefault="00515D50">
    <w:pPr>
      <w:spacing w:after="92" w:line="259" w:lineRule="auto"/>
      <w:ind w:left="0" w:firstLine="0"/>
      <w:jc w:val="center"/>
    </w:pPr>
    <w:r>
      <w:rPr>
        <w:sz w:val="18"/>
      </w:rPr>
      <w:t xml:space="preserve">Avenida Prefeito Eugênio </w:t>
    </w:r>
    <w:proofErr w:type="spellStart"/>
    <w:r>
      <w:rPr>
        <w:sz w:val="18"/>
      </w:rPr>
      <w:t>Krause</w:t>
    </w:r>
    <w:proofErr w:type="spellEnd"/>
    <w:r>
      <w:rPr>
        <w:sz w:val="18"/>
      </w:rPr>
      <w:t>, 94, Centro. CEP 88.385-000 – Penha, Santa Catarina – CNPJ 83.551.515/0001-07</w:t>
    </w:r>
  </w:p>
  <w:p w:rsidR="00D418D8" w:rsidRDefault="00515D50">
    <w:pPr>
      <w:spacing w:after="0" w:line="259" w:lineRule="auto"/>
      <w:ind w:left="0" w:firstLine="0"/>
      <w:jc w:val="center"/>
    </w:pPr>
    <w:r>
      <w:rPr>
        <w:sz w:val="18"/>
      </w:rPr>
      <w:t>(47) 9 9120-1248 – compras@cvp.sc.gov.br -  www.cvp.sc.gov.br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8D8" w:rsidRDefault="00515D50">
    <w:pPr>
      <w:spacing w:after="92" w:line="259" w:lineRule="auto"/>
      <w:ind w:left="0" w:firstLine="0"/>
      <w:jc w:val="center"/>
    </w:pPr>
    <w:r>
      <w:rPr>
        <w:sz w:val="18"/>
      </w:rPr>
      <w:t xml:space="preserve">Avenida Prefeito Eugênio </w:t>
    </w:r>
    <w:proofErr w:type="spellStart"/>
    <w:r>
      <w:rPr>
        <w:sz w:val="18"/>
      </w:rPr>
      <w:t>Krause</w:t>
    </w:r>
    <w:proofErr w:type="spellEnd"/>
    <w:r>
      <w:rPr>
        <w:sz w:val="18"/>
      </w:rPr>
      <w:t>, 94, Centro. CEP 88.385-000 – Penha, Santa Catarina – CNPJ 83.551.515/0001-07</w:t>
    </w:r>
  </w:p>
  <w:p w:rsidR="00D418D8" w:rsidRDefault="00515D50">
    <w:pPr>
      <w:spacing w:after="0" w:line="259" w:lineRule="auto"/>
      <w:ind w:left="0" w:firstLine="0"/>
      <w:jc w:val="center"/>
    </w:pPr>
    <w:r>
      <w:rPr>
        <w:sz w:val="18"/>
      </w:rPr>
      <w:t>(47) 9 9120-1248 – compras@cvp.sc.gov.br -  www.cvp.sc.gov.br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3F5" w:rsidRDefault="002523F5">
      <w:pPr>
        <w:spacing w:after="0" w:line="240" w:lineRule="auto"/>
      </w:pPr>
      <w:r>
        <w:separator/>
      </w:r>
    </w:p>
  </w:footnote>
  <w:footnote w:type="continuationSeparator" w:id="0">
    <w:p w:rsidR="002523F5" w:rsidRDefault="002523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8D8" w:rsidRDefault="00515D50">
    <w:pPr>
      <w:spacing w:after="0" w:line="240" w:lineRule="auto"/>
      <w:ind w:left="2424" w:right="2424" w:firstLine="0"/>
      <w:jc w:val="center"/>
    </w:pPr>
    <w:r>
      <w:rPr>
        <w:noProof/>
      </w:rPr>
      <w:drawing>
        <wp:anchor distT="0" distB="0" distL="114300" distR="114300" simplePos="0" relativeHeight="251658240" behindDoc="0" locked="0" layoutInCell="1" allowOverlap="0">
          <wp:simplePos x="0" y="0"/>
          <wp:positionH relativeFrom="page">
            <wp:posOffset>3726180</wp:posOffset>
          </wp:positionH>
          <wp:positionV relativeFrom="page">
            <wp:posOffset>720090</wp:posOffset>
          </wp:positionV>
          <wp:extent cx="657225" cy="81915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657225" cy="819150"/>
                  </a:xfrm>
                  <a:prstGeom prst="rect">
                    <a:avLst/>
                  </a:prstGeom>
                </pic:spPr>
              </pic:pic>
            </a:graphicData>
          </a:graphic>
        </wp:anchor>
      </w:drawing>
    </w:r>
    <w:r>
      <w:rPr>
        <w:b/>
        <w:sz w:val="24"/>
      </w:rPr>
      <w:t>CÂMARA DE VEREADORES DE PENHA ESTADO DE SANTA CATARINA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A7" w:rsidRDefault="006401A7" w:rsidP="006401A7">
    <w:pPr>
      <w:spacing w:after="0" w:line="240" w:lineRule="auto"/>
      <w:ind w:left="2424" w:right="2424" w:firstLine="0"/>
      <w:jc w:val="center"/>
      <w:rPr>
        <w:b/>
        <w:sz w:val="24"/>
      </w:rPr>
    </w:pPr>
    <w:r>
      <w:rPr>
        <w:noProof/>
      </w:rPr>
      <w:drawing>
        <wp:anchor distT="0" distB="0" distL="114300" distR="114300" simplePos="0" relativeHeight="251659264" behindDoc="0" locked="0" layoutInCell="1" allowOverlap="0">
          <wp:simplePos x="0" y="0"/>
          <wp:positionH relativeFrom="page">
            <wp:posOffset>3649980</wp:posOffset>
          </wp:positionH>
          <wp:positionV relativeFrom="page">
            <wp:posOffset>243840</wp:posOffset>
          </wp:positionV>
          <wp:extent cx="657225" cy="819150"/>
          <wp:effectExtent l="0" t="0" r="0" b="0"/>
          <wp:wrapSquare wrapText="bothSides"/>
          <wp:docPr id="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657225" cy="819150"/>
                  </a:xfrm>
                  <a:prstGeom prst="rect">
                    <a:avLst/>
                  </a:prstGeom>
                </pic:spPr>
              </pic:pic>
            </a:graphicData>
          </a:graphic>
        </wp:anchor>
      </w:drawing>
    </w:r>
  </w:p>
  <w:p w:rsidR="006401A7" w:rsidRDefault="006401A7" w:rsidP="006401A7">
    <w:pPr>
      <w:spacing w:after="0" w:line="240" w:lineRule="auto"/>
      <w:ind w:left="2424" w:right="2424" w:firstLine="0"/>
      <w:jc w:val="center"/>
      <w:rPr>
        <w:b/>
        <w:sz w:val="24"/>
      </w:rPr>
    </w:pPr>
  </w:p>
  <w:p w:rsidR="006401A7" w:rsidRDefault="006401A7" w:rsidP="006401A7">
    <w:pPr>
      <w:spacing w:after="0" w:line="240" w:lineRule="auto"/>
      <w:ind w:left="2424" w:right="2424" w:firstLine="0"/>
      <w:jc w:val="center"/>
      <w:rPr>
        <w:b/>
        <w:sz w:val="24"/>
      </w:rPr>
    </w:pPr>
  </w:p>
  <w:p w:rsidR="00D418D8" w:rsidRDefault="00515D50" w:rsidP="006401A7">
    <w:pPr>
      <w:spacing w:after="0" w:line="240" w:lineRule="auto"/>
      <w:ind w:left="2424" w:right="2424" w:firstLine="0"/>
      <w:jc w:val="center"/>
    </w:pPr>
    <w:r>
      <w:rPr>
        <w:b/>
        <w:sz w:val="24"/>
      </w:rPr>
      <w:t>CÂMARA DE VEREADORES DE PENHA ESTADO DE SANTA CATARINA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18D8" w:rsidRDefault="00515D50">
    <w:pPr>
      <w:spacing w:after="0" w:line="240" w:lineRule="auto"/>
      <w:ind w:left="2424" w:right="2424" w:firstLine="0"/>
      <w:jc w:val="center"/>
    </w:pPr>
    <w:r>
      <w:rPr>
        <w:noProof/>
      </w:rPr>
      <w:drawing>
        <wp:anchor distT="0" distB="0" distL="114300" distR="114300" simplePos="0" relativeHeight="251660288" behindDoc="0" locked="0" layoutInCell="1" allowOverlap="0">
          <wp:simplePos x="0" y="0"/>
          <wp:positionH relativeFrom="page">
            <wp:posOffset>3726180</wp:posOffset>
          </wp:positionH>
          <wp:positionV relativeFrom="page">
            <wp:posOffset>720090</wp:posOffset>
          </wp:positionV>
          <wp:extent cx="657225" cy="819150"/>
          <wp:effectExtent l="0" t="0" r="0" b="0"/>
          <wp:wrapSquare wrapText="bothSides"/>
          <wp:docPr id="2"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657225" cy="819150"/>
                  </a:xfrm>
                  <a:prstGeom prst="rect">
                    <a:avLst/>
                  </a:prstGeom>
                </pic:spPr>
              </pic:pic>
            </a:graphicData>
          </a:graphic>
        </wp:anchor>
      </w:drawing>
    </w:r>
    <w:r>
      <w:rPr>
        <w:b/>
        <w:sz w:val="24"/>
      </w:rPr>
      <w:t>CÂMARA DE VEREADORES DE PENHA ESTADO DE SANTA CATARINA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B2399"/>
    <w:multiLevelType w:val="multilevel"/>
    <w:tmpl w:val="C192B6FA"/>
    <w:lvl w:ilvl="0">
      <w:start w:val="1"/>
      <w:numFmt w:val="decimal"/>
      <w:lvlText w:val="%1."/>
      <w:lvlJc w:val="left"/>
      <w:pPr>
        <w:ind w:left="420" w:hanging="420"/>
      </w:pPr>
      <w:rPr>
        <w:rFonts w:hint="default"/>
        <w:b/>
      </w:rPr>
    </w:lvl>
    <w:lvl w:ilvl="1">
      <w:start w:val="1"/>
      <w:numFmt w:val="decimal"/>
      <w:lvlText w:val="%1.%2."/>
      <w:lvlJc w:val="left"/>
      <w:pPr>
        <w:ind w:left="907" w:hanging="420"/>
      </w:pPr>
      <w:rPr>
        <w:rFonts w:hint="default"/>
        <w:b/>
      </w:rPr>
    </w:lvl>
    <w:lvl w:ilvl="2">
      <w:start w:val="1"/>
      <w:numFmt w:val="decimal"/>
      <w:lvlText w:val="%1.%2.%3."/>
      <w:lvlJc w:val="left"/>
      <w:pPr>
        <w:ind w:left="1694" w:hanging="720"/>
      </w:pPr>
      <w:rPr>
        <w:rFonts w:hint="default"/>
        <w:b/>
      </w:rPr>
    </w:lvl>
    <w:lvl w:ilvl="3">
      <w:start w:val="1"/>
      <w:numFmt w:val="decimal"/>
      <w:lvlText w:val="%1.%2.%3.%4."/>
      <w:lvlJc w:val="left"/>
      <w:pPr>
        <w:ind w:left="2181" w:hanging="720"/>
      </w:pPr>
      <w:rPr>
        <w:rFonts w:hint="default"/>
        <w:b/>
      </w:rPr>
    </w:lvl>
    <w:lvl w:ilvl="4">
      <w:start w:val="1"/>
      <w:numFmt w:val="decimal"/>
      <w:lvlText w:val="%1.%2.%3.%4.%5."/>
      <w:lvlJc w:val="left"/>
      <w:pPr>
        <w:ind w:left="3028" w:hanging="1080"/>
      </w:pPr>
      <w:rPr>
        <w:rFonts w:hint="default"/>
        <w:b/>
      </w:rPr>
    </w:lvl>
    <w:lvl w:ilvl="5">
      <w:start w:val="1"/>
      <w:numFmt w:val="decimal"/>
      <w:lvlText w:val="%1.%2.%3.%4.%5.%6."/>
      <w:lvlJc w:val="left"/>
      <w:pPr>
        <w:ind w:left="3515" w:hanging="1080"/>
      </w:pPr>
      <w:rPr>
        <w:rFonts w:hint="default"/>
        <w:b/>
      </w:rPr>
    </w:lvl>
    <w:lvl w:ilvl="6">
      <w:start w:val="1"/>
      <w:numFmt w:val="decimal"/>
      <w:lvlText w:val="%1.%2.%3.%4.%5.%6.%7."/>
      <w:lvlJc w:val="left"/>
      <w:pPr>
        <w:ind w:left="4362" w:hanging="1440"/>
      </w:pPr>
      <w:rPr>
        <w:rFonts w:hint="default"/>
        <w:b/>
      </w:rPr>
    </w:lvl>
    <w:lvl w:ilvl="7">
      <w:start w:val="1"/>
      <w:numFmt w:val="decimal"/>
      <w:lvlText w:val="%1.%2.%3.%4.%5.%6.%7.%8."/>
      <w:lvlJc w:val="left"/>
      <w:pPr>
        <w:ind w:left="4849" w:hanging="1440"/>
      </w:pPr>
      <w:rPr>
        <w:rFonts w:hint="default"/>
        <w:b/>
      </w:rPr>
    </w:lvl>
    <w:lvl w:ilvl="8">
      <w:start w:val="1"/>
      <w:numFmt w:val="decimal"/>
      <w:lvlText w:val="%1.%2.%3.%4.%5.%6.%7.%8.%9."/>
      <w:lvlJc w:val="left"/>
      <w:pPr>
        <w:ind w:left="5696" w:hanging="1800"/>
      </w:pPr>
      <w:rPr>
        <w:rFonts w:hint="default"/>
        <w:b/>
      </w:rPr>
    </w:lvl>
  </w:abstractNum>
  <w:abstractNum w:abstractNumId="1" w15:restartNumberingAfterBreak="0">
    <w:nsid w:val="39C16F5C"/>
    <w:multiLevelType w:val="hybridMultilevel"/>
    <w:tmpl w:val="F5488362"/>
    <w:lvl w:ilvl="0" w:tplc="BBBCC5C8">
      <w:start w:val="1"/>
      <w:numFmt w:val="lowerLetter"/>
      <w:lvlText w:val="%1)"/>
      <w:lvlJc w:val="left"/>
      <w:pPr>
        <w:ind w:left="261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F728B96">
      <w:start w:val="1"/>
      <w:numFmt w:val="lowerLetter"/>
      <w:lvlText w:val="%2"/>
      <w:lvlJc w:val="left"/>
      <w:pPr>
        <w:ind w:left="33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DC01E66">
      <w:start w:val="1"/>
      <w:numFmt w:val="lowerRoman"/>
      <w:lvlText w:val="%3"/>
      <w:lvlJc w:val="left"/>
      <w:pPr>
        <w:ind w:left="40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B960C98">
      <w:start w:val="1"/>
      <w:numFmt w:val="decimal"/>
      <w:lvlText w:val="%4"/>
      <w:lvlJc w:val="left"/>
      <w:pPr>
        <w:ind w:left="47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AA2DCDC">
      <w:start w:val="1"/>
      <w:numFmt w:val="lowerLetter"/>
      <w:lvlText w:val="%5"/>
      <w:lvlJc w:val="left"/>
      <w:pPr>
        <w:ind w:left="546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F54FF04">
      <w:start w:val="1"/>
      <w:numFmt w:val="lowerRoman"/>
      <w:lvlText w:val="%6"/>
      <w:lvlJc w:val="left"/>
      <w:pPr>
        <w:ind w:left="618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E8AF9A0">
      <w:start w:val="1"/>
      <w:numFmt w:val="decimal"/>
      <w:lvlText w:val="%7"/>
      <w:lvlJc w:val="left"/>
      <w:pPr>
        <w:ind w:left="69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0BEEEA6">
      <w:start w:val="1"/>
      <w:numFmt w:val="lowerLetter"/>
      <w:lvlText w:val="%8"/>
      <w:lvlJc w:val="left"/>
      <w:pPr>
        <w:ind w:left="76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F7E2A92">
      <w:start w:val="1"/>
      <w:numFmt w:val="lowerRoman"/>
      <w:lvlText w:val="%9"/>
      <w:lvlJc w:val="left"/>
      <w:pPr>
        <w:ind w:left="834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5494A73"/>
    <w:multiLevelType w:val="hybridMultilevel"/>
    <w:tmpl w:val="B8B6CCFE"/>
    <w:lvl w:ilvl="0" w:tplc="D3085FF0">
      <w:start w:val="1"/>
      <w:numFmt w:val="decimal"/>
      <w:pStyle w:val="Ttulo1"/>
      <w:lvlText w:val="%1."/>
      <w:lvlJc w:val="left"/>
      <w:pPr>
        <w:ind w:left="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D4A3E92">
      <w:start w:val="1"/>
      <w:numFmt w:val="lowerLetter"/>
      <w:lvlText w:val="%2"/>
      <w:lvlJc w:val="left"/>
      <w:pPr>
        <w:ind w:left="10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0E28E9C">
      <w:start w:val="1"/>
      <w:numFmt w:val="lowerRoman"/>
      <w:lvlText w:val="%3"/>
      <w:lvlJc w:val="left"/>
      <w:pPr>
        <w:ind w:left="18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5F043BE">
      <w:start w:val="1"/>
      <w:numFmt w:val="decimal"/>
      <w:lvlText w:val="%4"/>
      <w:lvlJc w:val="left"/>
      <w:pPr>
        <w:ind w:left="25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3D94C3BA">
      <w:start w:val="1"/>
      <w:numFmt w:val="lowerLetter"/>
      <w:lvlText w:val="%5"/>
      <w:lvlJc w:val="left"/>
      <w:pPr>
        <w:ind w:left="324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0D08978">
      <w:start w:val="1"/>
      <w:numFmt w:val="lowerRoman"/>
      <w:lvlText w:val="%6"/>
      <w:lvlJc w:val="left"/>
      <w:pPr>
        <w:ind w:left="396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E58EE82">
      <w:start w:val="1"/>
      <w:numFmt w:val="decimal"/>
      <w:lvlText w:val="%7"/>
      <w:lvlJc w:val="left"/>
      <w:pPr>
        <w:ind w:left="46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050D668">
      <w:start w:val="1"/>
      <w:numFmt w:val="lowerLetter"/>
      <w:lvlText w:val="%8"/>
      <w:lvlJc w:val="left"/>
      <w:pPr>
        <w:ind w:left="54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ECA8062">
      <w:start w:val="1"/>
      <w:numFmt w:val="lowerRoman"/>
      <w:lvlText w:val="%9"/>
      <w:lvlJc w:val="left"/>
      <w:pPr>
        <w:ind w:left="61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BF9787D"/>
    <w:multiLevelType w:val="hybridMultilevel"/>
    <w:tmpl w:val="4B5C734C"/>
    <w:lvl w:ilvl="0" w:tplc="878A3396">
      <w:start w:val="1"/>
      <w:numFmt w:val="lowerLetter"/>
      <w:lvlText w:val="%1)"/>
      <w:lvlJc w:val="left"/>
      <w:pPr>
        <w:ind w:left="248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166B89A">
      <w:start w:val="1"/>
      <w:numFmt w:val="lowerLetter"/>
      <w:lvlText w:val="%2"/>
      <w:lvlJc w:val="left"/>
      <w:pPr>
        <w:ind w:left="33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CAE6200">
      <w:start w:val="1"/>
      <w:numFmt w:val="lowerRoman"/>
      <w:lvlText w:val="%3"/>
      <w:lvlJc w:val="left"/>
      <w:pPr>
        <w:ind w:left="40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DB21B92">
      <w:start w:val="1"/>
      <w:numFmt w:val="decimal"/>
      <w:lvlText w:val="%4"/>
      <w:lvlJc w:val="left"/>
      <w:pPr>
        <w:ind w:left="4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57428C8">
      <w:start w:val="1"/>
      <w:numFmt w:val="lowerLetter"/>
      <w:lvlText w:val="%5"/>
      <w:lvlJc w:val="left"/>
      <w:pPr>
        <w:ind w:left="5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B66978A">
      <w:start w:val="1"/>
      <w:numFmt w:val="lowerRoman"/>
      <w:lvlText w:val="%6"/>
      <w:lvlJc w:val="left"/>
      <w:pPr>
        <w:ind w:left="6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DACF7A0">
      <w:start w:val="1"/>
      <w:numFmt w:val="decimal"/>
      <w:lvlText w:val="%7"/>
      <w:lvlJc w:val="left"/>
      <w:pPr>
        <w:ind w:left="6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56A5A52">
      <w:start w:val="1"/>
      <w:numFmt w:val="lowerLetter"/>
      <w:lvlText w:val="%8"/>
      <w:lvlJc w:val="left"/>
      <w:pPr>
        <w:ind w:left="7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84C9E88">
      <w:start w:val="1"/>
      <w:numFmt w:val="lowerRoman"/>
      <w:lvlText w:val="%9"/>
      <w:lvlJc w:val="left"/>
      <w:pPr>
        <w:ind w:left="8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8D8"/>
    <w:rsid w:val="000C5265"/>
    <w:rsid w:val="002523F5"/>
    <w:rsid w:val="00515D50"/>
    <w:rsid w:val="006401A7"/>
    <w:rsid w:val="007948E3"/>
    <w:rsid w:val="00AA3118"/>
    <w:rsid w:val="00D418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66EF7"/>
  <w15:docId w15:val="{B311CA6C-CF9C-44E1-812A-363BFC12B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 w:line="360" w:lineRule="auto"/>
      <w:ind w:left="944" w:hanging="442"/>
      <w:jc w:val="both"/>
    </w:pPr>
    <w:rPr>
      <w:rFonts w:ascii="Calibri" w:eastAsia="Calibri" w:hAnsi="Calibri" w:cs="Calibri"/>
      <w:color w:val="000000"/>
    </w:rPr>
  </w:style>
  <w:style w:type="paragraph" w:styleId="Ttulo1">
    <w:name w:val="heading 1"/>
    <w:next w:val="Normal"/>
    <w:link w:val="Ttulo1Char"/>
    <w:uiPriority w:val="9"/>
    <w:unhideWhenUsed/>
    <w:qFormat/>
    <w:pPr>
      <w:keepNext/>
      <w:keepLines/>
      <w:numPr>
        <w:numId w:val="3"/>
      </w:numPr>
      <w:spacing w:after="127"/>
      <w:ind w:left="10" w:hanging="10"/>
      <w:outlineLvl w:val="0"/>
    </w:pPr>
    <w:rPr>
      <w:rFonts w:ascii="Calibri" w:eastAsia="Calibri" w:hAnsi="Calibri" w:cs="Calibri"/>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emEspaamento">
    <w:name w:val="No Spacing"/>
    <w:uiPriority w:val="1"/>
    <w:qFormat/>
    <w:rsid w:val="006401A7"/>
    <w:pPr>
      <w:spacing w:after="0" w:line="240" w:lineRule="auto"/>
      <w:ind w:left="944" w:hanging="442"/>
      <w:jc w:val="both"/>
    </w:pPr>
    <w:rPr>
      <w:rFonts w:ascii="Calibri" w:eastAsia="Calibri" w:hAnsi="Calibri" w:cs="Calibri"/>
      <w:color w:val="000000"/>
    </w:rPr>
  </w:style>
  <w:style w:type="paragraph" w:styleId="PargrafodaLista">
    <w:name w:val="List Paragraph"/>
    <w:basedOn w:val="Normal"/>
    <w:uiPriority w:val="34"/>
    <w:qFormat/>
    <w:rsid w:val="000C52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1596</Words>
  <Characters>8622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ESTAGIARIA</dc:creator>
  <cp:keywords/>
  <dc:description/>
  <cp:lastModifiedBy>Compras03</cp:lastModifiedBy>
  <cp:revision>3</cp:revision>
  <cp:lastPrinted>2026-01-21T11:22:00Z</cp:lastPrinted>
  <dcterms:created xsi:type="dcterms:W3CDTF">2026-01-21T11:15:00Z</dcterms:created>
  <dcterms:modified xsi:type="dcterms:W3CDTF">2026-01-21T11:38:00Z</dcterms:modified>
</cp:coreProperties>
</file>