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tbl>
      <w:tblPr>
        <w:tblStyle w:val="TableNormal"/>
        <w:tblOverlap w:val="never"/>
        <w:tblW w:w="9072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72"/>
      </w:tblGrid>
      <w:tr>
        <w:tblPrEx>
          <w:tblW w:w="9072" w:type="dxa"/>
          <w:jc w:val="left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jc w:val="left"/>
        </w:trPr>
        <w:tc>
          <w:tcPr>
            <w:tcW w:w="907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0" w:name="__bookmark_5"/>
          <w:bookmarkEnd w:id="0"/>
          <w:p>
            <w:pPr>
              <w:bidi w:val="0"/>
              <w:spacing w:before="0"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sz w:val="24"/>
                <w:szCs w:val="24"/>
              </w:rPr>
              <w:t>DISPENSA DE LICITAÇÃO Nº 69/2026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 xml:space="preserve">O SAMAE- SERVIÇO AUTÔNOMO MUNICIPAL DE ÁGUA E ESGOTO, Estado de Santa Catarina, através do Secretário de , torna público, para quem interessar possa, conforme preceitua a Lei nº 8.666/93, alterada pela Lei nº 8.883 de 08/06/94 e Lei nº 9.648 de 27/05/98 que autorizou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sz w:val="24"/>
                <w:szCs w:val="24"/>
              </w:rPr>
              <w:t>DISPENSAR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 xml:space="preserve"> licitação para aquisição/contratação de AQUISIÇÃO de Big Bags, novos, confeccionados em ráfia de tecido de polipropileno 100% virgem, destinados ao armazenamento, acondicionamento, movimentação e transporte de materiais recicláveis provenientes da coleta seletiva municipal, para utilização no depósito de triagem e na Usina de Processamento de Resíduos - UPR do SAMAE, conforme condições, quantidades e exigências estabelecidas neste Termo de Referência conforme justificativa abaixo: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sz w:val="24"/>
                <w:szCs w:val="24"/>
              </w:rPr>
              <w:t>1 - CONTRATADO:</w:t>
            </w:r>
          </w:p>
        </w:tc>
      </w:tr>
    </w:tbl>
    <w:bookmarkStart w:id="1" w:name="__bookmark_6"/>
    <w:bookmarkEnd w:id="1"/>
    <w:p/>
    <w:tbl>
      <w:tblPr>
        <w:tblStyle w:val="TableNormal"/>
        <w:tblOverlap w:val="never"/>
        <w:tblW w:w="9032" w:type="dxa"/>
        <w:tblInd w:w="20" w:type="dxa"/>
        <w:tblLayout w:type="fixed"/>
        <w:tblLook w:val="01E0"/>
      </w:tblPr>
      <w:tblGrid>
        <w:gridCol w:w="9032"/>
      </w:tblGrid>
      <w:tr>
        <w:tblPrEx>
          <w:tblW w:w="9032" w:type="dxa"/>
          <w:tblInd w:w="20" w:type="dxa"/>
          <w:tblLayout w:type="fixed"/>
          <w:tblLook w:val="01E0"/>
        </w:tblPrEx>
        <w:tc>
          <w:tcPr>
            <w:tcW w:w="907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2" w:name="__bookmark_7"/>
          <w:bookmarkEnd w:id="2"/>
          <w:tbl>
            <w:tblPr>
              <w:tblStyle w:val="TableNormal"/>
              <w:tblOverlap w:val="never"/>
              <w:tblW w:w="9032" w:type="dxa"/>
              <w:tblInd w:w="20" w:type="dxa"/>
              <w:tblLayout w:type="fixed"/>
              <w:tblLook w:val="01E0"/>
            </w:tblPr>
            <w:tblGrid>
              <w:gridCol w:w="9032"/>
            </w:tblGrid>
            <w:tr>
              <w:tblPrEx>
                <w:tblW w:w="9032" w:type="dxa"/>
                <w:tblInd w:w="20" w:type="dxa"/>
                <w:tblLayout w:type="fixed"/>
                <w:tblLook w:val="01E0"/>
              </w:tblPrEx>
              <w:tc>
                <w:tcPr>
                  <w:tcW w:w="9072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072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072"/>
                  </w:tblGrid>
                  <w:tr>
                    <w:tblPrEx>
                      <w:tblW w:w="9072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072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  <w:p>
                        <w:pPr>
                          <w:bidi w:val="0"/>
                          <w:spacing w:before="0" w:after="0"/>
                          <w:ind w:firstLine="700"/>
                          <w:jc w:val="both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2 – JUSTIFICATIVA:</w:t>
                        </w:r>
                      </w:p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  <w:p>
                        <w:pPr>
                          <w:bidi w:val="0"/>
                          <w:spacing w:before="0" w:after="0"/>
                          <w:ind w:firstLine="700"/>
                          <w:jc w:val="both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3 – VALOR:</w:t>
                        </w:r>
                      </w:p>
                      <w:p>
                        <w:pPr>
                          <w:bidi w:val="0"/>
                          <w:spacing w:before="0" w:after="0"/>
                          <w:ind w:firstLine="700"/>
                          <w:jc w:val="both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pacing w:val="0"/>
                            <w:sz w:val="24"/>
                            <w:szCs w:val="24"/>
                          </w:rPr>
                          <w:t>(zero)</w:t>
                        </w:r>
                      </w:p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  <w:p>
                        <w:pPr>
                          <w:bidi w:val="0"/>
                          <w:spacing w:before="0" w:after="0"/>
                          <w:ind w:firstLine="700"/>
                          <w:jc w:val="both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4 – DOCUMENTOS</w:t>
                        </w:r>
                      </w:p>
                      <w:p>
                        <w:pPr>
                          <w:bidi w:val="0"/>
                          <w:spacing w:before="0" w:after="0"/>
                          <w:ind w:firstLine="700"/>
                          <w:jc w:val="both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pacing w:val="0"/>
                            <w:sz w:val="24"/>
                            <w:szCs w:val="24"/>
                          </w:rPr>
                          <w:t>A Proponente deverá apresentar, em 01 (uma) via, os documentos solicitados a seguir:</w:t>
                        </w:r>
                      </w:p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  <w:p>
                        <w:pPr>
                          <w:bidi w:val="0"/>
                          <w:spacing w:before="0" w:after="0"/>
                          <w:jc w:val="both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bookmarkStart w:id="3" w:name="__bookmark_8"/>
    <w:bookmarkEnd w:id="3"/>
    <w:p/>
    <w:tbl>
      <w:tblPr>
        <w:tblStyle w:val="TableNormal"/>
        <w:tblOverlap w:val="never"/>
        <w:tblW w:w="9032" w:type="dxa"/>
        <w:tblInd w:w="20" w:type="dxa"/>
        <w:tblLayout w:type="fixed"/>
        <w:tblLook w:val="01E0"/>
      </w:tblPr>
      <w:tblGrid>
        <w:gridCol w:w="9032"/>
      </w:tblGrid>
      <w:tr>
        <w:tblPrEx>
          <w:tblW w:w="9032" w:type="dxa"/>
          <w:tblInd w:w="20" w:type="dxa"/>
          <w:tblLayout w:type="fixed"/>
          <w:tblLook w:val="01E0"/>
        </w:tblPrEx>
        <w:tc>
          <w:tcPr>
            <w:tcW w:w="907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4" w:name="__bookmark_9"/>
          <w:bookmarkEnd w:id="4"/>
          <w:p>
            <w:pPr>
              <w:spacing w:line="1" w:lineRule="auto"/>
            </w:pPr>
          </w:p>
        </w:tc>
      </w:tr>
    </w:tbl>
    <w:p/>
    <w:tbl>
      <w:tblPr>
        <w:tblStyle w:val="TableNormal"/>
        <w:tblOverlap w:val="never"/>
        <w:tblW w:w="9072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72"/>
      </w:tblGrid>
      <w:tr>
        <w:tblPrEx>
          <w:tblW w:w="9072" w:type="dxa"/>
          <w:jc w:val="left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jc w:val="left"/>
        </w:trPr>
        <w:tc>
          <w:tcPr>
            <w:tcW w:w="907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5" w:name="__bookmark_10"/>
          <w:bookmarkEnd w:id="5"/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sz w:val="24"/>
                <w:szCs w:val="24"/>
              </w:rPr>
              <w:t>5 - DO CONTRATO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>5.1 - As obrigações decorrentes desta Dispensa de Licitação constarão de termo de contrato a ser assinado entre a Fundação Cultural de São Bento do Sul e o contratado, no prazo de 5 (cinco) dias úteis contados da data de comunicação, ao interessado.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>5.2 – O contrato e seus aditamentos, se houver, serão lavrados pela Fundação Cultural de São Bento do Sul.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>5.3 – A contratada é obrigada a aceitar nas mesmas condições contratuais os acréscimos ou supressões de até 25% (vinte e cinco por cento) do valor inicial do ajuste, conforme prevê o artigo 65, II, parágrafo primeiro, da Lei Federal n. 8.666/93.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sz w:val="24"/>
                <w:szCs w:val="24"/>
              </w:rPr>
              <w:t>6 – DOS RECURSOS ORÇAMENTÁRIOS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>6.1 – As despesas decorrentes do objeto desta dispensa de licitação correrão por conta da dotação orçamentária a seguir, constante do orçamento vigente, a saber: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</w:tc>
      </w:tr>
    </w:tbl>
    <w:bookmarkStart w:id="6" w:name="__bookmark_11"/>
    <w:bookmarkEnd w:id="6"/>
    <w:p/>
    <w:tbl>
      <w:tblPr>
        <w:tblStyle w:val="TableNormal"/>
        <w:tblOverlap w:val="never"/>
        <w:tblW w:w="9032" w:type="dxa"/>
        <w:tblInd w:w="20" w:type="dxa"/>
        <w:tblLayout w:type="fixed"/>
        <w:tblLook w:val="01E0"/>
      </w:tblPr>
      <w:tblGrid>
        <w:gridCol w:w="9032"/>
      </w:tblGrid>
      <w:tr>
        <w:tblPrEx>
          <w:tblW w:w="9032" w:type="dxa"/>
          <w:tblInd w:w="20" w:type="dxa"/>
          <w:tblLayout w:type="fixed"/>
          <w:tblLook w:val="01E0"/>
        </w:tblPrEx>
        <w:tc>
          <w:tcPr>
            <w:tcW w:w="907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7" w:name="__bookmark_12"/>
          <w:bookmarkEnd w:id="7"/>
          <w:tbl>
            <w:tblPr>
              <w:tblStyle w:val="TableNormal"/>
              <w:tblOverlap w:val="never"/>
              <w:tblW w:w="8941" w:type="dxa"/>
              <w:tblInd w:w="20" w:type="dxa"/>
              <w:tblLayout w:type="fixed"/>
              <w:tblLook w:val="01E0"/>
            </w:tblPr>
            <w:tblGrid>
              <w:gridCol w:w="2991"/>
              <w:gridCol w:w="5950"/>
            </w:tblGrid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rPr>
                <w:tblHeader/>
              </w:trPr>
              <w:tc>
                <w:tcPr>
                  <w:tcW w:w="30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Código</w:t>
                  </w:r>
                </w:p>
              </w:tc>
              <w:tc>
                <w:tcPr>
                  <w:tcW w:w="5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Descrição</w:t>
                  </w:r>
                </w:p>
              </w:tc>
            </w:tr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c>
                <w:tcPr>
                  <w:tcW w:w="30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2.026</w:t>
                  </w:r>
                </w:p>
              </w:tc>
              <w:tc>
                <w:tcPr>
                  <w:tcW w:w="5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c>
                <w:tcPr>
                  <w:tcW w:w="30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1704</w:t>
                  </w:r>
                </w:p>
              </w:tc>
              <w:tc>
                <w:tcPr>
                  <w:tcW w:w="5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Referência</w:t>
                  </w:r>
                </w:p>
              </w:tc>
            </w:tr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c>
                <w:tcPr>
                  <w:tcW w:w="30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5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Serviço Autônomo Municipal de Água e Esgoto</w:t>
                  </w:r>
                </w:p>
              </w:tc>
            </w:tr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c>
                <w:tcPr>
                  <w:tcW w:w="30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005</w:t>
                  </w:r>
                </w:p>
              </w:tc>
              <w:tc>
                <w:tcPr>
                  <w:tcW w:w="5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Sistema de Resíduos Sólidos</w:t>
                  </w:r>
                </w:p>
              </w:tc>
            </w:tr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c>
                <w:tcPr>
                  <w:tcW w:w="30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2069</w:t>
                  </w:r>
                </w:p>
              </w:tc>
              <w:tc>
                <w:tcPr>
                  <w:tcW w:w="5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Coleta e Transbordo dos Resíduos Sólidos</w:t>
                  </w:r>
                </w:p>
              </w:tc>
            </w:tr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c>
                <w:tcPr>
                  <w:tcW w:w="30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3.339.030.190.000.000.000</w:t>
                  </w:r>
                </w:p>
              </w:tc>
              <w:tc>
                <w:tcPr>
                  <w:tcW w:w="5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Material de acondicionamento e embalagem</w:t>
                  </w:r>
                </w:p>
              </w:tc>
            </w:tr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c>
                <w:tcPr>
                  <w:tcW w:w="30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175370000200</w:t>
                  </w:r>
                </w:p>
              </w:tc>
              <w:tc>
                <w:tcPr>
                  <w:tcW w:w="59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Recursos Provenientes de Taxas, Contribuições e Preços Públicos</w:t>
                  </w:r>
                </w:p>
              </w:tc>
            </w:tr>
            <w:tr>
              <w:tblPrEx>
                <w:tblW w:w="8941" w:type="dxa"/>
                <w:tblInd w:w="20" w:type="dxa"/>
                <w:tblLayout w:type="fixed"/>
                <w:tblLook w:val="01E0"/>
              </w:tblPrEx>
              <w:trPr>
                <w:trHeight w:hRule="exact" w:val="170"/>
              </w:trPr>
              <w:tc>
                <w:tcPr>
                  <w:tcW w:w="8981" w:type="dxa"/>
                  <w:gridSpan w:val="2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p/>
    <w:tbl>
      <w:tblPr>
        <w:tblStyle w:val="TableNormal"/>
        <w:tblOverlap w:val="never"/>
        <w:tblW w:w="9072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72"/>
      </w:tblGrid>
      <w:tr>
        <w:tblPrEx>
          <w:tblW w:w="9072" w:type="dxa"/>
          <w:jc w:val="left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jc w:val="left"/>
        </w:trPr>
        <w:tc>
          <w:tcPr>
            <w:tcW w:w="907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8" w:name="__bookmark_13"/>
          <w:bookmarkEnd w:id="8"/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sz w:val="24"/>
                <w:szCs w:val="24"/>
              </w:rPr>
              <w:t>7 – DAS CONDIÇÕES GERAIS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>7.1 – O contratado não poderá ceder ou transferir a terceiros no todo ou em parte os serviços.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sz w:val="24"/>
                <w:szCs w:val="24"/>
              </w:rPr>
              <w:t>8 - DAS DISPOSIÇÕES FINAIS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>8.1 - A empresa vencedora deverá apresentar no decorrer da prestação dos serviços objeto deste Edital os recolhimentos do INSS, caso preste serviços.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>8.2 - No custo final apresentado deverão estar previstos todos os serviços, materiais e equipamentos necessários, impostos e encargos, mesmo os que, por algum motivo, não foram aqui citados, de forma que não haja nenhum acréscimo de custo a Fundação Cultural de São Bento do Sul.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sz w:val="24"/>
                <w:szCs w:val="24"/>
              </w:rPr>
              <w:t>8.3 - Os casos omissos no presente serão analisados de acordo com a Lei 8.666/93, suas alterações e demais legislação em vigor.</w:t>
            </w: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jc w:val="both"/>
            </w:pPr>
          </w:p>
          <w:p>
            <w:pPr>
              <w:bidi w:val="0"/>
              <w:spacing w:before="0" w:after="0"/>
              <w:ind w:firstLine="70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sz w:val="24"/>
                <w:szCs w:val="24"/>
              </w:rPr>
              <w:t>São Bento do Sul, 22 de outubro de 2026</w:t>
            </w:r>
          </w:p>
        </w:tc>
      </w:tr>
    </w:tbl>
    <w:bookmarkStart w:id="9" w:name="__bookmark_14"/>
    <w:bookmarkEnd w:id="9"/>
    <w:p/>
    <w:tbl>
      <w:tblPr>
        <w:tblStyle w:val="TableNormal"/>
        <w:tblOverlap w:val="never"/>
        <w:tblW w:w="9032" w:type="dxa"/>
        <w:tblInd w:w="20" w:type="dxa"/>
        <w:tblLayout w:type="fixed"/>
        <w:tblLook w:val="01E0"/>
      </w:tblPr>
      <w:tblGrid>
        <w:gridCol w:w="9032"/>
      </w:tblGrid>
      <w:tr>
        <w:tblPrEx>
          <w:tblW w:w="9032" w:type="dxa"/>
          <w:tblInd w:w="20" w:type="dxa"/>
          <w:tblLayout w:type="fixed"/>
          <w:tblLook w:val="01E0"/>
        </w:tblPrEx>
        <w:tc>
          <w:tcPr>
            <w:tcW w:w="907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0" w:name="__bookmark_15"/>
          <w:bookmarkEnd w:id="10"/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283" w:right="1133" w:bottom="226" w:left="1700" w:header="283" w:footer="22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7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9287"/>
    </w:tblGrid>
    <w:tr>
      <w:tblPrEx>
        <w:tblW w:w="928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503"/>
      </w:trPr>
      <w:tc>
        <w:tcPr>
          <w:tcW w:w="9287" w:type="dxa"/>
        </w:tcPr>
        <w:p/>
        <w:tbl>
          <w:tblPr>
            <w:tblStyle w:val="TableNormal"/>
            <w:tblOverlap w:val="never"/>
            <w:tblW w:w="9072" w:type="dxa"/>
            <w:jc w:val="center"/>
            <w:tblInd w:w="0" w:type="dxa"/>
            <w:tblBorders>
              <w:top w:val="single" w:sz="6" w:space="0" w:color="000000"/>
            </w:tblBorders>
            <w:tblLayout w:type="fixed"/>
            <w:tblCellMar>
              <w:top w:w="0" w:type="dxa"/>
              <w:left w:w="0" w:type="dxa"/>
              <w:bottom w:w="0" w:type="dxa"/>
              <w:right w:w="0" w:type="dxa"/>
            </w:tblCellMar>
            <w:tblLook w:val="01E0"/>
          </w:tblPr>
          <w:tblGrid>
            <w:gridCol w:w="9072"/>
          </w:tblGrid>
          <w:tr>
            <w:tblPrEx>
              <w:tblW w:w="9072" w:type="dxa"/>
              <w:jc w:val="center"/>
              <w:tblInd w:w="0" w:type="dxa"/>
              <w:tblBorders>
                <w:top w:val="single" w:sz="6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Ex>
            <w:trPr>
              <w:jc w:val="center"/>
            </w:trPr>
            <w:tc>
              <w:tcPr>
                <w:tcW w:w="9072" w:type="dxa"/>
                <w:tcBorders>
                  <w:top w:val="single" w:sz="6" w:space="0" w:color="000000"/>
                </w:tcBorders>
                <w:noWrap w:val="0"/>
                <w:tcMar>
                  <w:top w:w="4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spacing w:before="0" w:after="0"/>
                  <w:jc w:val="center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sz w:val="20"/>
                    <w:szCs w:val="20"/>
                  </w:rPr>
                  <w:t>Rua Jorge Lacerda, 75 – Centro – São Bento do Sul – SC – CEP 89280-902 - Fone: (47) 3631-6000</w:t>
                </w:r>
              </w:p>
              <w:p>
                <w:pPr>
                  <w:bidi w:val="0"/>
                  <w:spacing w:before="0" w:after="0"/>
                  <w:jc w:val="center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sz w:val="20"/>
                    <w:szCs w:val="20"/>
                  </w:rPr>
                  <w:t xml:space="preserve">E-mail: </w:t>
                </w:r>
                <w:hyperlink r:id="rId1" w:history="1">
                  <w:r>
                    <w:rPr>
                      <w:rStyle w:val="Hyperlink"/>
                      <w:rFonts w:ascii="Times New Roman" w:eastAsia="Times New Roman" w:hAnsi="Times New Roman" w:cs="Times New Roman"/>
                      <w:spacing w:val="0"/>
                      <w:sz w:val="20"/>
                      <w:szCs w:val="20"/>
                    </w:rPr>
                    <w:t>prefeitura@saobentodosul.sc.gov.br</w:t>
                  </w:r>
                </w:hyperlink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sz w:val="20"/>
                    <w:szCs w:val="20"/>
                  </w:rPr>
                  <w:t xml:space="preserve"> - Home Page: </w:t>
                </w:r>
                <w:hyperlink r:id="rId2" w:history="1">
                  <w:r>
                    <w:rPr>
                      <w:rStyle w:val="Hyperlink"/>
                      <w:rFonts w:ascii="Times New Roman" w:eastAsia="Times New Roman" w:hAnsi="Times New Roman" w:cs="Times New Roman"/>
                      <w:spacing w:val="0"/>
                      <w:sz w:val="20"/>
                      <w:szCs w:val="20"/>
                    </w:rPr>
                    <w:t>www.saobentodosul.sc.gov.br</w:t>
                  </w:r>
                </w:hyperlink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7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9287"/>
    </w:tblGrid>
    <w:tr>
      <w:tblPrEx>
        <w:tblW w:w="928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699"/>
      </w:trPr>
      <w:tc>
        <w:tcPr>
          <w:tcW w:w="9287" w:type="dxa"/>
        </w:tcPr>
        <w:p/>
        <w:tbl>
          <w:tblPr>
            <w:tblStyle w:val="TableNormal"/>
            <w:tblOverlap w:val="never"/>
            <w:tblW w:w="9032" w:type="dxa"/>
            <w:tblInd w:w="20" w:type="dxa"/>
            <w:tblLayout w:type="fixed"/>
            <w:tblLook w:val="01E0"/>
          </w:tblPr>
          <w:tblGrid>
            <w:gridCol w:w="1580"/>
            <w:gridCol w:w="7452"/>
          </w:tblGrid>
          <w:tr>
            <w:tblPrEx>
              <w:tblW w:w="9032" w:type="dxa"/>
              <w:tblInd w:w="20" w:type="dxa"/>
              <w:tblLayout w:type="fixed"/>
              <w:tblLook w:val="01E0"/>
            </w:tblPrEx>
            <w:tc>
              <w:tcPr>
                <w:tcW w:w="1587" w:type="dxa"/>
                <w:vMerge w:val="restart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70.52pt;height:62.36pt">
                      <v:imagedata r:id="rId1" o:title=""/>
                    </v:shape>
                  </w:pict>
                </w:r>
              </w:p>
            </w:tc>
            <w:tc>
              <w:tcPr>
                <w:tcW w:w="748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Times New Roman" w:eastAsia="Times New Roman" w:hAnsi="Times New Roman" w:cs="Times New Roman"/>
                    <w:b/>
                    <w:bCs/>
                    <w:color w:val="FF0000"/>
                    <w:spacing w:val="0"/>
                    <w:sz w:val="28"/>
                    <w:szCs w:val="28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color w:val="FF0000"/>
                    <w:spacing w:val="0"/>
                    <w:sz w:val="28"/>
                    <w:szCs w:val="28"/>
                  </w:rPr>
                  <w:t>SAMAE- SERVIÇO AUTÔNOMO MUNICIPAL DE ÁGUA E ESGOTO</w:t>
                </w:r>
              </w:p>
            </w:tc>
          </w:tr>
          <w:tr>
            <w:tblPrEx>
              <w:tblW w:w="9032" w:type="dxa"/>
              <w:tblInd w:w="20" w:type="dxa"/>
              <w:tblLayout w:type="fixed"/>
              <w:tblLook w:val="01E0"/>
            </w:tblPrEx>
            <w:tc>
              <w:tcPr>
                <w:tcW w:w="1587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748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Times New Roman" w:eastAsia="Times New Roman" w:hAnsi="Times New Roman" w:cs="Times New Roman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Estado de Santa Catarina</w:t>
                </w:r>
              </w:p>
            </w:tc>
          </w:tr>
          <w:tr>
            <w:tblPrEx>
              <w:tblW w:w="9032" w:type="dxa"/>
              <w:tblInd w:w="20" w:type="dxa"/>
              <w:tblLayout w:type="fixed"/>
              <w:tblLook w:val="01E0"/>
            </w:tblPrEx>
            <w:trPr>
              <w:trHeight w:hRule="exact" w:val="113"/>
            </w:trPr>
            <w:tc>
              <w:tcPr>
                <w:tcW w:w="1587" w:type="dxa"/>
                <w:tcBorders>
                  <w:bottom w:val="single" w:sz="6" w:space="0" w:color="000000"/>
                </w:tcBorders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7485" w:type="dxa"/>
                <w:tcBorders>
                  <w:bottom w:val="single" w:sz="6" w:space="0" w:color="000000"/>
                </w:tcBorders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prefeitura@saobentodosul.sc.gov.br" TargetMode="External" /><Relationship Id="rId2" Type="http://schemas.openxmlformats.org/officeDocument/2006/relationships/hyperlink" Target="www.saobentodosul.sc.gov.br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