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09014">
      <w:pPr>
        <w:pStyle w:val="4"/>
        <w:ind w:left="-660" w:leftChars="-300" w:right="-713" w:rightChars="-324" w:firstLine="0" w:firstLineChars="0"/>
        <w:jc w:val="center"/>
        <w:rPr>
          <w:rFonts w:cs="Arial"/>
          <w:b/>
          <w:color w:val="auto"/>
          <w:sz w:val="28"/>
          <w:highlight w:val="none"/>
        </w:rPr>
      </w:pPr>
      <w:r>
        <w:rPr>
          <w:rFonts w:cs="Arial"/>
          <w:b/>
          <w:color w:val="auto"/>
          <w:sz w:val="28"/>
          <w:highlight w:val="none"/>
        </w:rPr>
        <w:t xml:space="preserve">ANEXO II – MODELO DE PROPOSTA COMERCIAL </w:t>
      </w:r>
    </w:p>
    <w:p w14:paraId="35E3529F">
      <w:pPr>
        <w:pStyle w:val="4"/>
        <w:ind w:left="-660" w:leftChars="-300" w:right="-713" w:rightChars="-324" w:firstLine="0" w:firstLineChars="0"/>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17/2026</w:t>
      </w:r>
      <w:r>
        <w:rPr>
          <w:rFonts w:ascii="Calibri" w:hAnsi="Calibri"/>
          <w:bCs/>
          <w:i/>
          <w:iCs/>
          <w:color w:val="auto"/>
          <w:highlight w:val="none"/>
        </w:rPr>
        <w:t xml:space="preserve"> – TUCUNDUVA/RS</w:t>
      </w:r>
    </w:p>
    <w:p w14:paraId="770AEC47">
      <w:pPr>
        <w:pStyle w:val="4"/>
        <w:ind w:left="-660" w:leftChars="-300" w:right="-713" w:rightChars="-324" w:firstLine="0" w:firstLineChars="0"/>
        <w:jc w:val="center"/>
        <w:rPr>
          <w:rFonts w:ascii="Calibri" w:hAnsi="Calibri"/>
          <w:bCs/>
          <w:color w:val="auto"/>
          <w:sz w:val="28"/>
          <w:highlight w:val="none"/>
        </w:rPr>
      </w:pPr>
    </w:p>
    <w:p w14:paraId="3EF4E942">
      <w:pPr>
        <w:pStyle w:val="5"/>
        <w:ind w:left="-660" w:leftChars="-300" w:right="-713" w:rightChars="-324" w:firstLine="0" w:firstLineChars="0"/>
        <w:rPr>
          <w:rFonts w:ascii="Calibri" w:hAnsi="Calibri"/>
          <w:b/>
          <w:color w:val="auto"/>
          <w:highlight w:val="none"/>
        </w:rPr>
      </w:pPr>
      <w:r>
        <w:rPr>
          <w:rFonts w:ascii="Calibri" w:hAnsi="Calibri"/>
          <w:b/>
          <w:color w:val="auto"/>
          <w:highlight w:val="none"/>
        </w:rPr>
        <w:t xml:space="preserve">IDENTIFICAÇÃO DA PROPONENTE: </w:t>
      </w:r>
    </w:p>
    <w:p w14:paraId="659C02F0">
      <w:pPr>
        <w:pStyle w:val="5"/>
        <w:ind w:left="-660" w:leftChars="-300" w:right="-713" w:rightChars="-324" w:firstLine="0" w:firstLineChars="0"/>
        <w:rPr>
          <w:rFonts w:ascii="Calibri" w:hAnsi="Calibri"/>
          <w:b/>
          <w:color w:val="auto"/>
          <w:highlight w:val="none"/>
        </w:rPr>
      </w:pPr>
    </w:p>
    <w:p w14:paraId="5FCEC106">
      <w:pPr>
        <w:pStyle w:val="5"/>
        <w:ind w:left="-660" w:leftChars="-300" w:right="-713" w:rightChars="-324" w:firstLine="0" w:firstLineChars="0"/>
        <w:rPr>
          <w:rFonts w:ascii="Calibri" w:hAnsi="Calibri"/>
          <w:color w:val="auto"/>
          <w:highlight w:val="none"/>
        </w:rPr>
      </w:pPr>
      <w:r>
        <w:rPr>
          <w:rFonts w:ascii="Calibri" w:hAnsi="Calibri"/>
          <w:color w:val="auto"/>
          <w:highlight w:val="none"/>
        </w:rPr>
        <w:t>RAZÃO SOCIAL DA PROPONENTE______________________________________</w:t>
      </w:r>
    </w:p>
    <w:p w14:paraId="0C9C06DF">
      <w:pPr>
        <w:pStyle w:val="5"/>
        <w:ind w:left="-660" w:leftChars="-300" w:right="-713" w:rightChars="-324" w:firstLine="0" w:firstLineChars="0"/>
        <w:rPr>
          <w:rFonts w:ascii="Calibri" w:hAnsi="Calibri"/>
          <w:color w:val="auto"/>
          <w:highlight w:val="none"/>
        </w:rPr>
      </w:pPr>
      <w:r>
        <w:rPr>
          <w:rFonts w:ascii="Calibri" w:hAnsi="Calibri"/>
          <w:color w:val="auto"/>
          <w:highlight w:val="none"/>
        </w:rPr>
        <w:t>CNPJ ________________________________________________________________</w:t>
      </w:r>
    </w:p>
    <w:p w14:paraId="33A33BA8">
      <w:pPr>
        <w:pStyle w:val="5"/>
        <w:ind w:left="-660" w:leftChars="-300" w:right="-713" w:rightChars="-324" w:firstLine="0" w:firstLineChars="0"/>
        <w:rPr>
          <w:rFonts w:ascii="Calibri" w:hAnsi="Calibri"/>
          <w:color w:val="auto"/>
          <w:highlight w:val="none"/>
        </w:rPr>
      </w:pPr>
      <w:r>
        <w:rPr>
          <w:rFonts w:ascii="Calibri" w:hAnsi="Calibri"/>
          <w:color w:val="auto"/>
          <w:highlight w:val="none"/>
        </w:rPr>
        <w:t>ENDEREÇO___________________________________________________________</w:t>
      </w:r>
    </w:p>
    <w:p w14:paraId="49629B02">
      <w:pPr>
        <w:pStyle w:val="5"/>
        <w:ind w:left="-660" w:leftChars="-300" w:right="-713" w:rightChars="-324" w:firstLine="0" w:firstLineChars="0"/>
        <w:rPr>
          <w:rFonts w:ascii="Calibri" w:hAnsi="Calibri"/>
          <w:color w:val="auto"/>
          <w:highlight w:val="none"/>
        </w:rPr>
      </w:pPr>
      <w:r>
        <w:rPr>
          <w:rFonts w:ascii="Calibri" w:hAnsi="Calibri"/>
          <w:color w:val="auto"/>
          <w:highlight w:val="none"/>
        </w:rPr>
        <w:t xml:space="preserve">FONE/FAX CONTATO:_________________________________________________ </w:t>
      </w:r>
    </w:p>
    <w:p w14:paraId="43DD7A81">
      <w:pPr>
        <w:pStyle w:val="5"/>
        <w:ind w:left="-660" w:leftChars="-300" w:right="-713" w:rightChars="-324" w:firstLine="0" w:firstLineChars="0"/>
        <w:jc w:val="both"/>
        <w:rPr>
          <w:rFonts w:hint="default" w:ascii="Calibri" w:hAnsi="Calibri" w:cs="Calibri"/>
          <w:iCs/>
          <w:color w:val="auto"/>
          <w:sz w:val="24"/>
          <w:szCs w:val="24"/>
          <w:highlight w:val="none"/>
        </w:rPr>
      </w:pPr>
    </w:p>
    <w:p w14:paraId="35F8760A">
      <w:pPr>
        <w:keepNext w:val="0"/>
        <w:keepLines w:val="0"/>
        <w:pageBreakBefore w:val="0"/>
        <w:kinsoku/>
        <w:wordWrap/>
        <w:overflowPunct/>
        <w:topLinePunct w:val="0"/>
        <w:bidi w:val="0"/>
        <w:snapToGrid/>
        <w:spacing w:line="280" w:lineRule="exact"/>
        <w:ind w:left="-660" w:leftChars="-300" w:right="0" w:rightChars="0" w:firstLine="0" w:firstLineChars="0"/>
        <w:jc w:val="both"/>
        <w:textAlignment w:val="auto"/>
        <w:rPr>
          <w:rFonts w:hint="default" w:ascii="Arial" w:hAnsi="Arial" w:cs="Arial"/>
          <w:b w:val="0"/>
          <w:bCs w:val="0"/>
          <w:color w:val="auto"/>
          <w:sz w:val="24"/>
          <w:szCs w:val="24"/>
          <w:highlight w:val="none"/>
        </w:rPr>
      </w:pPr>
      <w:bookmarkStart w:id="0" w:name="_GoBack"/>
      <w:r>
        <w:rPr>
          <w:rFonts w:hint="default" w:ascii="Calibri" w:hAnsi="Calibri" w:cs="Calibri"/>
          <w:b/>
          <w:bCs/>
          <w:iCs/>
          <w:color w:val="auto"/>
          <w:sz w:val="28"/>
          <w:szCs w:val="28"/>
          <w:highlight w:val="none"/>
        </w:rPr>
        <w:t>Objeto:</w:t>
      </w:r>
      <w:r>
        <w:rPr>
          <w:rFonts w:hint="default" w:ascii="Calibri" w:hAnsi="Calibri" w:cs="Calibri"/>
          <w:b/>
          <w:bCs/>
          <w:iCs/>
          <w:color w:val="auto"/>
          <w:sz w:val="28"/>
          <w:szCs w:val="28"/>
          <w:highlight w:val="none"/>
          <w:lang w:val="pt-BR"/>
        </w:rPr>
        <w:t xml:space="preserve"> </w:t>
      </w:r>
      <w:r>
        <w:rPr>
          <w:rFonts w:hint="default" w:ascii="Arial" w:hAnsi="Arial" w:cs="Arial"/>
          <w:b w:val="0"/>
          <w:bCs w:val="0"/>
          <w:iCs/>
          <w:color w:val="auto"/>
          <w:sz w:val="24"/>
          <w:szCs w:val="24"/>
          <w:highlight w:val="none"/>
          <w:lang w:val="pt-BR"/>
        </w:rPr>
        <w:t>C</w:t>
      </w:r>
      <w:r>
        <w:rPr>
          <w:rFonts w:hint="default" w:ascii="Arial" w:hAnsi="Arial" w:cs="Arial"/>
          <w:color w:val="auto"/>
          <w:sz w:val="24"/>
          <w:szCs w:val="24"/>
          <w:highlight w:val="none"/>
        </w:rPr>
        <w:t>o</w:t>
      </w:r>
      <w:r>
        <w:rPr>
          <w:rFonts w:hint="default"/>
          <w:color w:val="auto"/>
          <w:sz w:val="24"/>
          <w:szCs w:val="24"/>
          <w:highlight w:val="none"/>
        </w:rPr>
        <w:t>ntratação de empresa especializada para a prestação de serviços de conexão à Internet, por meio de tecnologia de fibra</w:t>
      </w:r>
      <w:r>
        <w:rPr>
          <w:rFonts w:hint="default"/>
          <w:color w:val="auto"/>
          <w:sz w:val="24"/>
          <w:szCs w:val="24"/>
          <w:highlight w:val="none"/>
          <w:lang w:val="pt-BR"/>
        </w:rPr>
        <w:t xml:space="preserve"> </w:t>
      </w:r>
      <w:r>
        <w:rPr>
          <w:rFonts w:hint="default"/>
          <w:color w:val="auto"/>
          <w:sz w:val="24"/>
          <w:szCs w:val="24"/>
          <w:highlight w:val="none"/>
        </w:rPr>
        <w:t>óptica dedicada, estável e de alta disponibilidade, destinados ao atendimento das necessidades de todas as repartições</w:t>
      </w:r>
      <w:r>
        <w:rPr>
          <w:rFonts w:hint="default"/>
          <w:color w:val="auto"/>
          <w:sz w:val="24"/>
          <w:szCs w:val="24"/>
          <w:highlight w:val="none"/>
          <w:lang w:val="pt-BR"/>
        </w:rPr>
        <w:t xml:space="preserve"> </w:t>
      </w:r>
      <w:r>
        <w:rPr>
          <w:rFonts w:hint="default"/>
          <w:color w:val="auto"/>
          <w:sz w:val="24"/>
          <w:szCs w:val="24"/>
          <w:highlight w:val="none"/>
        </w:rPr>
        <w:t>públicas vinculadas à Prefeitura Municipal de Tucunduva/RS, incluindo fornecimento, instalação, ativação, configuração,</w:t>
      </w:r>
      <w:r>
        <w:rPr>
          <w:rFonts w:hint="default"/>
          <w:color w:val="auto"/>
          <w:sz w:val="24"/>
          <w:szCs w:val="24"/>
          <w:highlight w:val="none"/>
          <w:lang w:val="pt-BR"/>
        </w:rPr>
        <w:t xml:space="preserve"> </w:t>
      </w:r>
      <w:r>
        <w:rPr>
          <w:rFonts w:hint="default"/>
          <w:color w:val="auto"/>
          <w:sz w:val="24"/>
          <w:szCs w:val="24"/>
          <w:highlight w:val="none"/>
        </w:rPr>
        <w:t>manutenção preventiva e corretiva, suporte técnico contínuo 24 (vinte e quatro) horas por dia, 7 (sete) dias por semana, bem</w:t>
      </w:r>
      <w:r>
        <w:rPr>
          <w:rFonts w:hint="default"/>
          <w:color w:val="auto"/>
          <w:sz w:val="24"/>
          <w:szCs w:val="24"/>
          <w:highlight w:val="none"/>
          <w:lang w:val="pt-BR"/>
        </w:rPr>
        <w:t xml:space="preserve"> </w:t>
      </w:r>
      <w:r>
        <w:rPr>
          <w:rFonts w:hint="default"/>
          <w:color w:val="auto"/>
          <w:sz w:val="24"/>
          <w:szCs w:val="24"/>
          <w:highlight w:val="none"/>
        </w:rPr>
        <w:t>como garantia de desempenho, disponibilidade e continuidade dos serviços</w:t>
      </w:r>
      <w:r>
        <w:rPr>
          <w:rFonts w:cs="Arial"/>
          <w:color w:val="auto"/>
          <w:sz w:val="24"/>
          <w:szCs w:val="24"/>
          <w:highlight w:val="none"/>
        </w:rPr>
        <w:t>, cujas descrições e condições de execução estão detalhadas no Termo de Referência (Anexo I)</w:t>
      </w:r>
      <w:r>
        <w:rPr>
          <w:rFonts w:hint="default" w:cs="Arial"/>
          <w:color w:val="auto"/>
          <w:sz w:val="24"/>
          <w:szCs w:val="24"/>
          <w:highlight w:val="none"/>
          <w:lang w:val="pt-BR"/>
        </w:rPr>
        <w:t xml:space="preserve">, </w:t>
      </w:r>
      <w:r>
        <w:rPr>
          <w:rFonts w:eastAsia="ArialMT" w:cs="Arial"/>
          <w:color w:val="auto"/>
          <w:sz w:val="24"/>
          <w:szCs w:val="24"/>
          <w:highlight w:val="none"/>
        </w:rPr>
        <w:t xml:space="preserve">minuta de contrato (Anexo </w:t>
      </w:r>
      <w:r>
        <w:rPr>
          <w:rFonts w:hint="default" w:eastAsia="ArialMT" w:cs="Arial"/>
          <w:color w:val="auto"/>
          <w:sz w:val="24"/>
          <w:szCs w:val="24"/>
          <w:highlight w:val="none"/>
          <w:lang w:val="pt-BR"/>
        </w:rPr>
        <w:t>I</w:t>
      </w:r>
      <w:r>
        <w:rPr>
          <w:rFonts w:eastAsia="ArialMT" w:cs="Arial"/>
          <w:color w:val="auto"/>
          <w:sz w:val="24"/>
          <w:szCs w:val="24"/>
          <w:highlight w:val="none"/>
        </w:rPr>
        <w:t>V) d</w:t>
      </w:r>
      <w:r>
        <w:rPr>
          <w:rFonts w:hint="default" w:eastAsia="ArialMT" w:cs="Arial"/>
          <w:color w:val="auto"/>
          <w:sz w:val="24"/>
          <w:szCs w:val="24"/>
          <w:highlight w:val="none"/>
          <w:lang w:val="pt-BR"/>
        </w:rPr>
        <w:t>o</w:t>
      </w:r>
      <w:r>
        <w:rPr>
          <w:rFonts w:eastAsia="ArialMT" w:cs="Arial"/>
          <w:color w:val="auto"/>
          <w:sz w:val="24"/>
          <w:szCs w:val="24"/>
          <w:highlight w:val="none"/>
        </w:rPr>
        <w:t xml:space="preserve"> edita</w:t>
      </w:r>
      <w:r>
        <w:rPr>
          <w:rFonts w:hint="default" w:eastAsia="ArialMT" w:cs="Arial"/>
          <w:color w:val="auto"/>
          <w:sz w:val="24"/>
          <w:szCs w:val="24"/>
          <w:highlight w:val="none"/>
          <w:lang w:val="pt-BR"/>
        </w:rPr>
        <w:t>l</w:t>
      </w:r>
      <w:r>
        <w:rPr>
          <w:rFonts w:hint="default" w:ascii="Arial" w:hAnsi="Arial" w:cs="Arial"/>
          <w:b w:val="0"/>
          <w:bCs w:val="0"/>
          <w:iCs/>
          <w:color w:val="auto"/>
          <w:sz w:val="24"/>
          <w:szCs w:val="24"/>
          <w:highlight w:val="none"/>
        </w:rPr>
        <w:t xml:space="preserve"> de Pregão Eletrônico nº </w:t>
      </w:r>
      <w:r>
        <w:rPr>
          <w:rFonts w:hint="default" w:cs="Arial"/>
          <w:b w:val="0"/>
          <w:bCs w:val="0"/>
          <w:iCs/>
          <w:color w:val="auto"/>
          <w:sz w:val="24"/>
          <w:szCs w:val="24"/>
          <w:highlight w:val="none"/>
          <w:lang w:val="pt-BR"/>
        </w:rPr>
        <w:t>17/2026</w:t>
      </w:r>
      <w:r>
        <w:rPr>
          <w:rFonts w:hint="default" w:ascii="Arial" w:hAnsi="Arial" w:cs="Arial"/>
          <w:b w:val="0"/>
          <w:bCs w:val="0"/>
          <w:iCs/>
          <w:color w:val="auto"/>
          <w:sz w:val="24"/>
          <w:szCs w:val="24"/>
          <w:highlight w:val="none"/>
        </w:rPr>
        <w:t xml:space="preserve"> e, conforme descrição </w:t>
      </w:r>
      <w:r>
        <w:rPr>
          <w:rFonts w:hint="default" w:ascii="Arial" w:hAnsi="Arial" w:cs="Arial"/>
          <w:b w:val="0"/>
          <w:bCs w:val="0"/>
          <w:color w:val="auto"/>
          <w:sz w:val="24"/>
          <w:szCs w:val="24"/>
          <w:highlight w:val="none"/>
        </w:rPr>
        <w:t>abaixo:</w:t>
      </w:r>
    </w:p>
    <w:bookmarkEnd w:id="0"/>
    <w:tbl>
      <w:tblPr>
        <w:tblStyle w:val="3"/>
        <w:tblpPr w:leftFromText="180" w:rightFromText="180" w:vertAnchor="text" w:horzAnchor="page" w:tblpXSpec="center" w:tblpY="267"/>
        <w:tblOverlap w:val="never"/>
        <w:tblW w:w="10441"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447"/>
        <w:gridCol w:w="6431"/>
        <w:gridCol w:w="525"/>
        <w:gridCol w:w="628"/>
        <w:gridCol w:w="1191"/>
        <w:gridCol w:w="1219"/>
      </w:tblGrid>
      <w:tr w14:paraId="6398BBD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01" w:hRule="atLeast"/>
          <w:jc w:val="center"/>
        </w:trPr>
        <w:tc>
          <w:tcPr>
            <w:tcW w:w="10441" w:type="dxa"/>
            <w:gridSpan w:val="6"/>
            <w:tcBorders>
              <w:top w:val="single" w:color="auto" w:sz="6" w:space="0"/>
              <w:left w:val="single" w:color="auto" w:sz="6" w:space="0"/>
              <w:bottom w:val="single" w:color="auto" w:sz="6" w:space="0"/>
              <w:right w:val="single" w:color="auto" w:sz="6" w:space="0"/>
            </w:tcBorders>
            <w:noWrap w:val="0"/>
            <w:vAlign w:val="center"/>
          </w:tcPr>
          <w:p w14:paraId="67FD8A63">
            <w:pPr>
              <w:keepNext w:val="0"/>
              <w:keepLines w:val="0"/>
              <w:pageBreakBefore w:val="0"/>
              <w:kinsoku/>
              <w:wordWrap/>
              <w:overflowPunct/>
              <w:topLinePunct w:val="0"/>
              <w:bidi w:val="0"/>
              <w:snapToGrid/>
              <w:spacing w:line="280" w:lineRule="exact"/>
              <w:jc w:val="center"/>
              <w:textAlignment w:val="auto"/>
              <w:rPr>
                <w:rFonts w:eastAsia="Times New Roman" w:cs="Arial"/>
                <w:b/>
                <w:bCs/>
                <w:color w:val="auto"/>
                <w:sz w:val="22"/>
                <w:szCs w:val="22"/>
                <w:highlight w:val="none"/>
                <w:lang w:eastAsia="pt-BR"/>
              </w:rPr>
            </w:pPr>
            <w:r>
              <w:rPr>
                <w:rFonts w:hint="default" w:cs="Arial"/>
                <w:b/>
                <w:bCs/>
                <w:color w:val="auto"/>
                <w:sz w:val="24"/>
                <w:szCs w:val="24"/>
                <w:highlight w:val="none"/>
                <w:lang w:val="pt-BR"/>
              </w:rPr>
              <w:t>LOTE UNICO</w:t>
            </w:r>
          </w:p>
        </w:tc>
      </w:tr>
      <w:tr w14:paraId="42D9F38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9"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6BFF6199">
            <w:pPr>
              <w:jc w:val="center"/>
              <w:textAlignment w:val="baseline"/>
              <w:rPr>
                <w:rFonts w:hint="default" w:ascii="Segoe UI" w:hAnsi="Segoe UI" w:eastAsia="Times New Roman" w:cs="Segoe UI"/>
                <w:color w:val="auto"/>
                <w:sz w:val="22"/>
                <w:szCs w:val="22"/>
                <w:highlight w:val="none"/>
                <w:lang w:val="en-US" w:eastAsia="pt-BR"/>
              </w:rPr>
            </w:pPr>
            <w:r>
              <w:rPr>
                <w:rFonts w:hint="default" w:ascii="Arial" w:hAnsi="Arial" w:eastAsia="Times New Roman" w:cs="Arial"/>
                <w:b/>
                <w:bCs/>
                <w:color w:val="auto"/>
                <w:sz w:val="22"/>
                <w:szCs w:val="22"/>
                <w:highlight w:val="none"/>
                <w:lang w:val="en-US" w:eastAsia="pt-BR"/>
              </w:rPr>
              <w:t>ITEM</w:t>
            </w:r>
          </w:p>
        </w:tc>
        <w:tc>
          <w:tcPr>
            <w:tcW w:w="6431" w:type="dxa"/>
            <w:tcBorders>
              <w:top w:val="single" w:color="auto" w:sz="6" w:space="0"/>
              <w:left w:val="single" w:color="auto" w:sz="6" w:space="0"/>
              <w:bottom w:val="single" w:color="auto" w:sz="6" w:space="0"/>
              <w:right w:val="single" w:color="auto" w:sz="6" w:space="0"/>
            </w:tcBorders>
            <w:noWrap w:val="0"/>
            <w:vAlign w:val="center"/>
          </w:tcPr>
          <w:p w14:paraId="75503B91">
            <w:pPr>
              <w:jc w:val="center"/>
              <w:textAlignment w:val="baseline"/>
              <w:rPr>
                <w:rFonts w:hint="default" w:ascii="Arial" w:hAnsi="Arial" w:eastAsia="Times New Roman" w:cs="Arial"/>
                <w:b/>
                <w:bCs/>
                <w:color w:val="auto"/>
                <w:sz w:val="22"/>
                <w:szCs w:val="22"/>
                <w:highlight w:val="none"/>
                <w:lang w:eastAsia="pt-BR"/>
              </w:rPr>
            </w:pPr>
            <w:r>
              <w:rPr>
                <w:rFonts w:hint="default" w:ascii="Arial" w:hAnsi="Arial" w:eastAsia="Times New Roman" w:cs="Arial"/>
                <w:b/>
                <w:bCs/>
                <w:color w:val="auto"/>
                <w:sz w:val="22"/>
                <w:szCs w:val="22"/>
                <w:highlight w:val="none"/>
                <w:lang w:eastAsia="pt-BR"/>
              </w:rPr>
              <w:t>DESCRIÇÃO</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518C6DF9">
            <w:pPr>
              <w:jc w:val="center"/>
              <w:textAlignment w:val="baseline"/>
              <w:rPr>
                <w:rFonts w:ascii="Segoe UI" w:hAnsi="Segoe UI" w:eastAsia="Times New Roman" w:cs="Segoe UI"/>
                <w:color w:val="auto"/>
                <w:sz w:val="22"/>
                <w:szCs w:val="22"/>
                <w:highlight w:val="none"/>
                <w:lang w:eastAsia="pt-BR"/>
              </w:rPr>
            </w:pPr>
            <w:r>
              <w:rPr>
                <w:rFonts w:eastAsia="Times New Roman" w:cs="Arial"/>
                <w:b/>
                <w:bCs/>
                <w:color w:val="auto"/>
                <w:sz w:val="22"/>
                <w:szCs w:val="22"/>
                <w:highlight w:val="none"/>
                <w:lang w:eastAsia="pt-BR"/>
              </w:rPr>
              <w:t>UND</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63763874">
            <w:pPr>
              <w:jc w:val="center"/>
              <w:textAlignment w:val="baseline"/>
              <w:rPr>
                <w:rFonts w:ascii="Segoe UI" w:hAnsi="Segoe UI" w:eastAsia="Times New Roman" w:cs="Segoe UI"/>
                <w:color w:val="auto"/>
                <w:sz w:val="22"/>
                <w:szCs w:val="22"/>
                <w:highlight w:val="none"/>
                <w:lang w:eastAsia="pt-BR"/>
              </w:rPr>
            </w:pPr>
            <w:r>
              <w:rPr>
                <w:rFonts w:eastAsia="Times New Roman" w:cs="Arial"/>
                <w:b/>
                <w:bCs/>
                <w:color w:val="auto"/>
                <w:sz w:val="22"/>
                <w:szCs w:val="22"/>
                <w:highlight w:val="none"/>
                <w:lang w:eastAsia="pt-BR"/>
              </w:rPr>
              <w:t>QTDE</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3DB7351D">
            <w:pPr>
              <w:jc w:val="center"/>
              <w:textAlignment w:val="baseline"/>
              <w:rPr>
                <w:rFonts w:hint="default" w:ascii="Segoe UI" w:hAnsi="Segoe UI" w:eastAsia="Times New Roman" w:cs="Segoe UI"/>
                <w:color w:val="auto"/>
                <w:sz w:val="22"/>
                <w:szCs w:val="22"/>
                <w:highlight w:val="none"/>
                <w:lang w:val="en-US" w:eastAsia="pt-BR"/>
              </w:rPr>
            </w:pPr>
            <w:r>
              <w:rPr>
                <w:rFonts w:eastAsia="Times New Roman" w:cs="Arial"/>
                <w:b/>
                <w:bCs/>
                <w:color w:val="auto"/>
                <w:sz w:val="22"/>
                <w:szCs w:val="22"/>
                <w:highlight w:val="none"/>
                <w:lang w:eastAsia="pt-BR"/>
              </w:rPr>
              <w:t xml:space="preserve">VALOR </w:t>
            </w:r>
            <w:r>
              <w:rPr>
                <w:rFonts w:hint="default" w:eastAsia="Times New Roman" w:cs="Arial"/>
                <w:b/>
                <w:bCs/>
                <w:color w:val="auto"/>
                <w:sz w:val="22"/>
                <w:szCs w:val="22"/>
                <w:highlight w:val="none"/>
                <w:lang w:val="en-US" w:eastAsia="pt-BR"/>
              </w:rPr>
              <w:t xml:space="preserve">  </w:t>
            </w:r>
            <w:r>
              <w:rPr>
                <w:rFonts w:eastAsia="Times New Roman" w:cs="Arial"/>
                <w:b/>
                <w:bCs/>
                <w:color w:val="auto"/>
                <w:sz w:val="22"/>
                <w:szCs w:val="22"/>
                <w:highlight w:val="none"/>
                <w:lang w:eastAsia="pt-BR"/>
              </w:rPr>
              <w:t>UNITÁRIO</w:t>
            </w:r>
            <w:r>
              <w:rPr>
                <w:rFonts w:eastAsia="Times New Roman" w:cs="Arial"/>
                <w:color w:val="auto"/>
                <w:sz w:val="22"/>
                <w:szCs w:val="22"/>
                <w:highlight w:val="none"/>
                <w:lang w:eastAsia="pt-BR"/>
              </w:rPr>
              <w:t> </w:t>
            </w:r>
            <w:r>
              <w:rPr>
                <w:rFonts w:hint="default" w:eastAsia="Times New Roman" w:cs="Arial"/>
                <w:b/>
                <w:bCs/>
                <w:color w:val="auto"/>
                <w:sz w:val="22"/>
                <w:szCs w:val="22"/>
                <w:highlight w:val="none"/>
                <w:lang w:val="en-US" w:eastAsia="pt-BR"/>
              </w:rPr>
              <w:t>(MÊS)</w:t>
            </w:r>
            <w:r>
              <w:rPr>
                <w:rFonts w:hint="default" w:eastAsia="Times New Roman" w:cs="Arial"/>
                <w:color w:val="auto"/>
                <w:sz w:val="22"/>
                <w:szCs w:val="22"/>
                <w:highlight w:val="none"/>
                <w:lang w:val="en-US" w:eastAsia="pt-BR"/>
              </w:rPr>
              <w:t xml:space="preserve"> </w:t>
            </w:r>
            <w:r>
              <w:rPr>
                <w:rFonts w:eastAsia="Times New Roman" w:cs="Arial"/>
                <w:b/>
                <w:bCs/>
                <w:color w:val="auto"/>
                <w:sz w:val="22"/>
                <w:szCs w:val="22"/>
                <w:highlight w:val="none"/>
                <w:lang w:eastAsia="pt-BR"/>
              </w:rPr>
              <w:t>R$</w:t>
            </w:r>
          </w:p>
        </w:tc>
        <w:tc>
          <w:tcPr>
            <w:tcW w:w="1219" w:type="dxa"/>
            <w:tcBorders>
              <w:top w:val="single" w:color="auto" w:sz="6" w:space="0"/>
              <w:left w:val="single" w:color="auto" w:sz="6" w:space="0"/>
              <w:bottom w:val="single" w:color="auto" w:sz="6" w:space="0"/>
              <w:right w:val="single" w:color="auto" w:sz="6" w:space="0"/>
            </w:tcBorders>
            <w:noWrap w:val="0"/>
            <w:vAlign w:val="center"/>
          </w:tcPr>
          <w:p w14:paraId="671089D8">
            <w:pPr>
              <w:jc w:val="center"/>
              <w:textAlignment w:val="baseline"/>
              <w:rPr>
                <w:rFonts w:ascii="Segoe UI" w:hAnsi="Segoe UI" w:eastAsia="Times New Roman" w:cs="Segoe UI"/>
                <w:color w:val="auto"/>
                <w:sz w:val="22"/>
                <w:szCs w:val="22"/>
                <w:highlight w:val="none"/>
                <w:lang w:eastAsia="pt-BR"/>
              </w:rPr>
            </w:pPr>
            <w:r>
              <w:rPr>
                <w:rFonts w:eastAsia="Times New Roman" w:cs="Arial"/>
                <w:b/>
                <w:bCs/>
                <w:color w:val="auto"/>
                <w:sz w:val="22"/>
                <w:szCs w:val="22"/>
                <w:highlight w:val="none"/>
                <w:lang w:eastAsia="pt-BR"/>
              </w:rPr>
              <w:t xml:space="preserve">VALOR TOTAL </w:t>
            </w:r>
            <w:r>
              <w:rPr>
                <w:rFonts w:hint="default" w:eastAsia="Times New Roman" w:cs="Arial"/>
                <w:b/>
                <w:bCs/>
                <w:color w:val="auto"/>
                <w:sz w:val="22"/>
                <w:szCs w:val="22"/>
                <w:highlight w:val="none"/>
                <w:lang w:val="en-US" w:eastAsia="pt-BR"/>
              </w:rPr>
              <w:t>(12 MESES)</w:t>
            </w:r>
            <w:r>
              <w:rPr>
                <w:rFonts w:eastAsia="Times New Roman" w:cs="Arial"/>
                <w:color w:val="auto"/>
                <w:sz w:val="22"/>
                <w:szCs w:val="22"/>
                <w:highlight w:val="none"/>
                <w:lang w:eastAsia="pt-BR"/>
              </w:rPr>
              <w:t> </w:t>
            </w:r>
            <w:r>
              <w:rPr>
                <w:rFonts w:eastAsia="Times New Roman" w:cs="Arial"/>
                <w:b/>
                <w:bCs/>
                <w:color w:val="auto"/>
                <w:sz w:val="22"/>
                <w:szCs w:val="22"/>
                <w:highlight w:val="none"/>
                <w:lang w:eastAsia="pt-BR"/>
              </w:rPr>
              <w:t>R$</w:t>
            </w:r>
          </w:p>
        </w:tc>
      </w:tr>
      <w:tr w14:paraId="030A229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4AC6AF8E">
            <w:pPr>
              <w:keepNext w:val="0"/>
              <w:keepLines w:val="0"/>
              <w:widowControl/>
              <w:suppressLineNumbers w:val="0"/>
              <w:jc w:val="center"/>
              <w:textAlignment w:val="bottom"/>
              <w:rPr>
                <w:rFonts w:ascii="Segoe UI" w:hAnsi="Segoe UI" w:eastAsia="Times New Roman" w:cs="Segoe UI"/>
                <w:color w:val="auto"/>
                <w:sz w:val="18"/>
                <w:szCs w:val="18"/>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1</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0118742E">
            <w:pPr>
              <w:keepNext w:val="0"/>
              <w:keepLines w:val="0"/>
              <w:widowControl/>
              <w:suppressLineNumbers w:val="0"/>
              <w:jc w:val="both"/>
              <w:textAlignment w:val="bottom"/>
              <w:rPr>
                <w:rFonts w:hint="default" w:ascii="Arial" w:hAnsi="Arial" w:eastAsia="Times New Roman" w:cs="Arial"/>
                <w:color w:val="auto"/>
                <w:sz w:val="22"/>
                <w:szCs w:val="22"/>
                <w:highlight w:val="none"/>
                <w:lang w:val="pt-BR" w:eastAsia="pt-BR"/>
              </w:rPr>
            </w:pPr>
            <w:r>
              <w:rPr>
                <w:rFonts w:hint="default" w:ascii="Calibri" w:hAnsi="Calibri" w:eastAsia="SimSun" w:cs="Calibri"/>
                <w:i w:val="0"/>
                <w:iCs w:val="0"/>
                <w:color w:val="auto"/>
                <w:kern w:val="0"/>
                <w:sz w:val="24"/>
                <w:szCs w:val="24"/>
                <w:highlight w:val="none"/>
                <w:u w:val="none"/>
                <w:lang w:val="en-US" w:eastAsia="zh-CN" w:bidi="ar"/>
              </w:rPr>
              <w:t>SERVIÇO DE INTERNET DEDICADA 3 GBPS DOWNLOAD/UPLOAD PARA O PRÉDIO PRINCIPAL DA PREFEITURA E SECRETARIA DE SAÚDE (CRAS), COMPARTILHADO ENTRE AS UNIDADES, COM FIREWALL, VPN, MONITORAMENTO, SUPORTE E MANUTENÇÃO. Prestação de serviço de conexão dedicada de acesso  Internet para o Prédio Principal da Prefeitura Municipal e para a Secretaria de Saúde (CRAS), com velocidade mínima de 3 Gbps de download e 3 Gbps de upload, compartilhada entre ambas as unidades, incluindo solução de firewall corporativo com suporte a PPPoE, balanceamento de links, integração com servidores internos, filtros de navegação, monitoramento de segurança, prevenção de ataques, VPN corporativa com protocolos Router Board e emissão de relatórios gerenciais, compreendendo suporte técnico, atualização, manutenção preventiva e corretiva durante toda a vigência contratual.</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069E0228">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MES</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2A565937">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12</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3751FD2B">
            <w:pPr>
              <w:jc w:val="center"/>
              <w:textAlignment w:val="baseline"/>
              <w:rPr>
                <w:rFonts w:ascii="Segoe UI" w:hAnsi="Segoe UI" w:eastAsia="Times New Roman" w:cs="Segoe UI"/>
                <w:color w:val="auto"/>
                <w:sz w:val="18"/>
                <w:szCs w:val="18"/>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12A92D30">
            <w:pPr>
              <w:jc w:val="center"/>
              <w:textAlignment w:val="baseline"/>
              <w:rPr>
                <w:rFonts w:ascii="Segoe UI" w:hAnsi="Segoe UI" w:eastAsia="Times New Roman" w:cs="Segoe UI"/>
                <w:color w:val="auto"/>
                <w:sz w:val="18"/>
                <w:szCs w:val="18"/>
                <w:highlight w:val="none"/>
                <w:lang w:eastAsia="pt-BR"/>
              </w:rPr>
            </w:pPr>
          </w:p>
        </w:tc>
      </w:tr>
      <w:tr w14:paraId="4EB3517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4057BCB5">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2</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2C5A521B">
            <w:pPr>
              <w:keepNext w:val="0"/>
              <w:keepLines w:val="0"/>
              <w:widowControl/>
              <w:suppressLineNumbers w:val="0"/>
              <w:jc w:val="both"/>
              <w:textAlignment w:val="bottom"/>
              <w:rPr>
                <w:rFonts w:hint="default" w:ascii="Arial" w:hAnsi="Arial" w:eastAsia="ArialNormal" w:cs="Arial"/>
                <w:color w:val="auto"/>
                <w:sz w:val="22"/>
                <w:szCs w:val="22"/>
                <w:highlight w:val="none"/>
              </w:rPr>
            </w:pPr>
            <w:r>
              <w:rPr>
                <w:rFonts w:hint="default" w:ascii="Calibri" w:hAnsi="Calibri" w:eastAsia="SimSun" w:cs="Calibri"/>
                <w:i w:val="0"/>
                <w:iCs w:val="0"/>
                <w:color w:val="auto"/>
                <w:kern w:val="0"/>
                <w:sz w:val="24"/>
                <w:szCs w:val="24"/>
                <w:highlight w:val="none"/>
                <w:u w:val="none"/>
                <w:lang w:val="en-US" w:eastAsia="zh-CN" w:bidi="ar"/>
              </w:rPr>
              <w:t>SERVIÇO DE CONECTIVIDADE CORPORATIVA COMPLEMENTAR PARA 10 REPARTIÇÕES MUNICIPAIS, COM IP PÚBLICO FIXO, LINK REDUNDANTE POR FIBRA ÓPTICA, SUPORTE TÉCNICO, WI-FI VISITANTE SEGREGADO, AUTENTICAÇÃO, REGISTRO DE ACESSOS E SLA DE ATÉ 1 HORA. Prestação de serviço de conectividade corporativa complementar para atendimento das repartições municipais estimadas em 10 (dez) unidades, contemplando IP público fixo, redundância de link por fibra óptica em rota distinta, suporte técnico especializado de rede interna, Wi-Fi visitante segregado da rede corporativa e recursos de autenticação e registro de acessos. As características descritas aplicam-se de forma padronizada e obrigatória a todas as unidades atendidas, devendo a solução garantir uniformidade operacional, segurança e desempenho em cada repartição, com tempo de SLA (atendimento) de no máximo 1 hora.</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66C0CBEB">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MES</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79018175">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12</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7DAB745A">
            <w:pPr>
              <w:jc w:val="center"/>
              <w:textAlignment w:val="baseline"/>
              <w:rPr>
                <w:rFonts w:hint="default" w:ascii="Arial" w:hAnsi="Arial" w:eastAsia="Times New Roman" w:cs="Arial"/>
                <w:color w:val="auto"/>
                <w:sz w:val="22"/>
                <w:szCs w:val="22"/>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30312432">
            <w:pPr>
              <w:jc w:val="center"/>
              <w:textAlignment w:val="baseline"/>
              <w:rPr>
                <w:rFonts w:hint="default" w:ascii="Arial" w:hAnsi="Arial" w:eastAsia="Times New Roman" w:cs="Arial"/>
                <w:color w:val="auto"/>
                <w:sz w:val="22"/>
                <w:szCs w:val="22"/>
                <w:highlight w:val="none"/>
                <w:lang w:eastAsia="pt-BR"/>
              </w:rPr>
            </w:pPr>
          </w:p>
        </w:tc>
      </w:tr>
      <w:tr w14:paraId="6F6F051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77F7C04A">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3</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510CCEB6">
            <w:pPr>
              <w:keepNext w:val="0"/>
              <w:keepLines w:val="0"/>
              <w:widowControl/>
              <w:suppressLineNumbers w:val="0"/>
              <w:jc w:val="both"/>
              <w:textAlignment w:val="bottom"/>
              <w:rPr>
                <w:rFonts w:hint="default" w:ascii="Arial" w:hAnsi="Arial" w:eastAsia="ArialNormal" w:cs="Arial"/>
                <w:color w:val="auto"/>
                <w:sz w:val="22"/>
                <w:szCs w:val="22"/>
                <w:highlight w:val="none"/>
              </w:rPr>
            </w:pPr>
            <w:r>
              <w:rPr>
                <w:rFonts w:hint="default" w:ascii="Calibri" w:hAnsi="Calibri" w:eastAsia="SimSun" w:cs="Calibri"/>
                <w:i w:val="0"/>
                <w:iCs w:val="0"/>
                <w:color w:val="auto"/>
                <w:kern w:val="0"/>
                <w:sz w:val="24"/>
                <w:szCs w:val="24"/>
                <w:highlight w:val="none"/>
                <w:u w:val="none"/>
                <w:lang w:val="en-US" w:eastAsia="zh-CN" w:bidi="ar"/>
              </w:rPr>
              <w:t>SERVIÇO DE CONEXÃO CORPORATIVA À INTERNET PARA A SECRETARIA MUNICIPAL DE SAÚDE, UNIDADE DE SAÚDE 01 E UNIDADE DE SAÚDE 02, COM LINK DE 1 GBPS DOWNLOAD/UPLOAD COMPARTILHADO ENTRE AS UNIDADES E FORNECIMENTO DOS EQUIPAMENTOS NECESSÁRIOS À OPERAÇÃO. Prestação de serviço de conexão corporativa de acesso  Internet para a Secretaria Municipal de Saúde, Unidade de Saúde 01 e Unidade de Saúde 02, com velocidade mínima de 1 Gbps de download e 1 Gbps de upload, compartilhada entre as unidades atendidas, incluindo o fornecimento dos equipamentos necessários  operação.</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7EE18F97">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MES</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23428CD1">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12</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2E2755B5">
            <w:pPr>
              <w:jc w:val="center"/>
              <w:textAlignment w:val="baseline"/>
              <w:rPr>
                <w:rFonts w:hint="default" w:ascii="Arial" w:hAnsi="Arial" w:eastAsia="Times New Roman" w:cs="Arial"/>
                <w:color w:val="auto"/>
                <w:sz w:val="22"/>
                <w:szCs w:val="22"/>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52EE3CE2">
            <w:pPr>
              <w:jc w:val="center"/>
              <w:textAlignment w:val="baseline"/>
              <w:rPr>
                <w:rFonts w:hint="default" w:ascii="Arial" w:hAnsi="Arial" w:eastAsia="Times New Roman" w:cs="Arial"/>
                <w:color w:val="auto"/>
                <w:sz w:val="22"/>
                <w:szCs w:val="22"/>
                <w:highlight w:val="none"/>
                <w:lang w:eastAsia="pt-BR"/>
              </w:rPr>
            </w:pPr>
          </w:p>
        </w:tc>
      </w:tr>
      <w:tr w14:paraId="5FDD60D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311CB01D">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4</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2F18B161">
            <w:pPr>
              <w:keepNext w:val="0"/>
              <w:keepLines w:val="0"/>
              <w:widowControl/>
              <w:suppressLineNumbers w:val="0"/>
              <w:jc w:val="both"/>
              <w:textAlignment w:val="bottom"/>
              <w:rPr>
                <w:rFonts w:hint="default" w:ascii="Arial" w:hAnsi="Arial" w:eastAsia="ArialNormal" w:cs="Arial"/>
                <w:color w:val="auto"/>
                <w:sz w:val="22"/>
                <w:szCs w:val="22"/>
                <w:highlight w:val="none"/>
              </w:rPr>
            </w:pPr>
            <w:r>
              <w:rPr>
                <w:rFonts w:hint="default" w:ascii="Calibri" w:hAnsi="Calibri" w:eastAsia="SimSun" w:cs="Calibri"/>
                <w:i w:val="0"/>
                <w:iCs w:val="0"/>
                <w:color w:val="auto"/>
                <w:kern w:val="0"/>
                <w:sz w:val="24"/>
                <w:szCs w:val="24"/>
                <w:highlight w:val="none"/>
                <w:u w:val="none"/>
                <w:lang w:val="en-US" w:eastAsia="zh-CN" w:bidi="ar"/>
              </w:rPr>
              <w:t>SERVIÇO DE VPN PARA INTERLIGAÇÃO DA SECRETARIA MUNICIPAL DE SAÚDE, UNIDADE DE SAÚDE 01, UNIDADE DE SAÚDE 02 E SECRETARIA DE SAÚDE (CAS), COM COMUNICAÇÃO SEGURA COM SERVIDORES, SISTEMAS, REDE INTERNA E ACESSO CONTROLADO AO PRÉDIO PRINCIPAL DA PREFEITURA. Prestação de serviço de rede privada virtual (VPN) para interligação da Secretaria Municipal de Saúde, Unidade de Saúde 01, Unidade de Saúde 02 e Secretaria de Saúde (CAS), permitindo comunicação segura com servidores, sistemas, rede interna e acesso controlado ao Prédio Principal da Prefeitura.</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24D60BC0">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MES</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3CBB76A4">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12</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66F89C4E">
            <w:pPr>
              <w:jc w:val="center"/>
              <w:textAlignment w:val="baseline"/>
              <w:rPr>
                <w:rFonts w:hint="default" w:ascii="Arial" w:hAnsi="Arial" w:eastAsia="Times New Roman" w:cs="Arial"/>
                <w:color w:val="auto"/>
                <w:sz w:val="22"/>
                <w:szCs w:val="22"/>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144A6F28">
            <w:pPr>
              <w:jc w:val="center"/>
              <w:textAlignment w:val="baseline"/>
              <w:rPr>
                <w:rFonts w:hint="default" w:ascii="Arial" w:hAnsi="Arial" w:eastAsia="Times New Roman" w:cs="Arial"/>
                <w:color w:val="auto"/>
                <w:sz w:val="22"/>
                <w:szCs w:val="22"/>
                <w:highlight w:val="none"/>
                <w:lang w:eastAsia="pt-BR"/>
              </w:rPr>
            </w:pPr>
          </w:p>
        </w:tc>
      </w:tr>
      <w:tr w14:paraId="2514F57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387381AA">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5</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7D6731CD">
            <w:pPr>
              <w:keepNext w:val="0"/>
              <w:keepLines w:val="0"/>
              <w:widowControl/>
              <w:suppressLineNumbers w:val="0"/>
              <w:jc w:val="both"/>
              <w:textAlignment w:val="bottom"/>
              <w:rPr>
                <w:rFonts w:hint="default" w:ascii="Arial" w:hAnsi="Arial" w:eastAsia="ArialNormal" w:cs="Arial"/>
                <w:color w:val="auto"/>
                <w:sz w:val="22"/>
                <w:szCs w:val="22"/>
                <w:highlight w:val="none"/>
              </w:rPr>
            </w:pPr>
            <w:r>
              <w:rPr>
                <w:rFonts w:hint="default" w:ascii="Calibri" w:hAnsi="Calibri" w:eastAsia="SimSun" w:cs="Calibri"/>
                <w:i w:val="0"/>
                <w:iCs w:val="0"/>
                <w:color w:val="auto"/>
                <w:kern w:val="0"/>
                <w:sz w:val="24"/>
                <w:szCs w:val="24"/>
                <w:highlight w:val="none"/>
                <w:u w:val="none"/>
                <w:lang w:val="en-US" w:eastAsia="zh-CN" w:bidi="ar"/>
              </w:rPr>
              <w:t>SERVIÇO DE CONEXÃO CORPORATIVA À INTERNET PARA O CENTRO DE CONVIVÊNCIA, COM LINK DE 500 MBPS DOWNLOAD/UPLOAD, IP PÚBLICO FIXO, REDUNDÂNCIA DE LINK, SUPORTE TÉCNICO, WI-FI VISITANTE SEGREGADO, CONTROLE DE ACESSOS E SLA DE ATÉ 1 HORA. Prestação de serviço de conexão corporativa de acesso  Internet para o Centro de Convivência, com velocidade mínima de 500 Mbps de download e 500 Mbps de upload, incluindo IP público fixo, redundância de link, suporte técnico especializado, Wi-Fi visitante segregado e controle de acessos, com tempo de SLA (atendimento) de no máximo 1 hora.</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19D6B530">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MES</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13B3D7BB">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12</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67D43D80">
            <w:pPr>
              <w:jc w:val="center"/>
              <w:textAlignment w:val="baseline"/>
              <w:rPr>
                <w:rFonts w:hint="default" w:ascii="Arial" w:hAnsi="Arial" w:eastAsia="Times New Roman" w:cs="Arial"/>
                <w:color w:val="auto"/>
                <w:sz w:val="22"/>
                <w:szCs w:val="22"/>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0A7007DC">
            <w:pPr>
              <w:jc w:val="center"/>
              <w:textAlignment w:val="baseline"/>
              <w:rPr>
                <w:rFonts w:hint="default" w:ascii="Arial" w:hAnsi="Arial" w:eastAsia="Times New Roman" w:cs="Arial"/>
                <w:color w:val="auto"/>
                <w:sz w:val="22"/>
                <w:szCs w:val="22"/>
                <w:highlight w:val="none"/>
                <w:lang w:eastAsia="pt-BR"/>
              </w:rPr>
            </w:pPr>
          </w:p>
        </w:tc>
      </w:tr>
      <w:tr w14:paraId="5428D28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288F3830">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6</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40DA341A">
            <w:pPr>
              <w:keepNext w:val="0"/>
              <w:keepLines w:val="0"/>
              <w:widowControl/>
              <w:suppressLineNumbers w:val="0"/>
              <w:jc w:val="both"/>
              <w:textAlignment w:val="bottom"/>
              <w:rPr>
                <w:rFonts w:hint="default" w:ascii="Arial" w:hAnsi="Arial" w:eastAsia="ArialNormal" w:cs="Arial"/>
                <w:color w:val="auto"/>
                <w:sz w:val="22"/>
                <w:szCs w:val="22"/>
                <w:highlight w:val="none"/>
              </w:rPr>
            </w:pPr>
            <w:r>
              <w:rPr>
                <w:rFonts w:hint="default" w:ascii="Calibri" w:hAnsi="Calibri" w:eastAsia="SimSun" w:cs="Calibri"/>
                <w:i w:val="0"/>
                <w:iCs w:val="0"/>
                <w:color w:val="auto"/>
                <w:kern w:val="0"/>
                <w:sz w:val="24"/>
                <w:szCs w:val="24"/>
                <w:highlight w:val="none"/>
                <w:u w:val="none"/>
                <w:lang w:val="en-US" w:eastAsia="zh-CN" w:bidi="ar"/>
              </w:rPr>
              <w:t>SERVIÇO DE CONEXÃO CORPORATIVA À INTERNET PARA O PARQUE DE MÁQUINAS, COM LINK DE 500 MBPS DOWNLOAD/UPLOAD, IP PÚBLICO FIXO, FIBRA ÓPTICA COM REDUNDÂNCIA, SLA DE ATÉ 1 HORA, SUPORTE TÉCNICO MENSAL, WI-FI VISITANTE SEGREGADO, REGISTRO DE ACESSOS E CONFORMIDADE COM A LGPD. Prestação de serviço de conexão corporativa de acesso  Internet para o Parque de Máquinas, com velocidade mínima de 500 Mbps de download e 500 Mbps de upload, IP público fixo, fornecida por fibra óptica com redundância, SLA de até 1 hora, suporte técnico mensal, Wi-Fi visitante segregado com registro de acessos e conformidade com a LGPD.</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027C1DA5">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MES</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5A8D1CB7">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12</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4A345718">
            <w:pPr>
              <w:jc w:val="center"/>
              <w:textAlignment w:val="baseline"/>
              <w:rPr>
                <w:rFonts w:hint="default" w:ascii="Arial" w:hAnsi="Arial" w:eastAsia="Times New Roman" w:cs="Arial"/>
                <w:color w:val="auto"/>
                <w:sz w:val="22"/>
                <w:szCs w:val="22"/>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685B3944">
            <w:pPr>
              <w:jc w:val="center"/>
              <w:textAlignment w:val="baseline"/>
              <w:rPr>
                <w:rFonts w:hint="default" w:ascii="Arial" w:hAnsi="Arial" w:eastAsia="Times New Roman" w:cs="Arial"/>
                <w:color w:val="auto"/>
                <w:sz w:val="22"/>
                <w:szCs w:val="22"/>
                <w:highlight w:val="none"/>
                <w:lang w:eastAsia="pt-BR"/>
              </w:rPr>
            </w:pPr>
          </w:p>
        </w:tc>
      </w:tr>
      <w:tr w14:paraId="0F0AE2E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24EEE8E3">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7</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503379F3">
            <w:pPr>
              <w:keepNext w:val="0"/>
              <w:keepLines w:val="0"/>
              <w:widowControl/>
              <w:suppressLineNumbers w:val="0"/>
              <w:jc w:val="both"/>
              <w:textAlignment w:val="bottom"/>
              <w:rPr>
                <w:rFonts w:hint="default" w:ascii="Arial" w:hAnsi="Arial" w:eastAsia="ArialNormal" w:cs="Arial"/>
                <w:color w:val="auto"/>
                <w:sz w:val="22"/>
                <w:szCs w:val="22"/>
                <w:highlight w:val="none"/>
              </w:rPr>
            </w:pPr>
            <w:r>
              <w:rPr>
                <w:rFonts w:hint="default" w:ascii="Calibri" w:hAnsi="Calibri" w:eastAsia="SimSun" w:cs="Calibri"/>
                <w:i w:val="0"/>
                <w:iCs w:val="0"/>
                <w:color w:val="auto"/>
                <w:kern w:val="0"/>
                <w:sz w:val="24"/>
                <w:szCs w:val="24"/>
                <w:highlight w:val="none"/>
                <w:u w:val="none"/>
                <w:lang w:val="en-US" w:eastAsia="zh-CN" w:bidi="ar"/>
              </w:rPr>
              <w:t>SERVIÇO DE CONEXÃO CORPORATIVA À INTERNET PARA AS ESCOLAS MUNDO DO SABER E SÃO JOSÉ OPERÁRIO, COM LINK DE 1 GBPS DOWNLOAD/UPLOAD PARA CADA UNIDADE, IP PÚBLICO FIXO, REDUNDÂNCIA DE LINK, SUPORTE TÉCNICO, WI-FI VISITANTE SEGREGADO, CONTROLE DE ACESSOS E SLA DE ATÉ 1 HORA. Prestação de serviço de conexão corporativa de acesso  Internet para a Escola Mundo do Saber e Escola São José Operário, com velocidade mínima de 1 Gbps de download e 1 Gbps de upload para cada unidade, incluindo IP público fixo, redundância de link, suporte técnico especializado, Wi-Fi visitante segregado e controle de acessos, com tempo de SLA (atendimento) de no máximo 1 (uma) hora.</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7A59FD80">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MES</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2BFCBDFE">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12</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09B7BF8F">
            <w:pPr>
              <w:jc w:val="center"/>
              <w:textAlignment w:val="baseline"/>
              <w:rPr>
                <w:rFonts w:hint="default" w:ascii="Arial" w:hAnsi="Arial" w:eastAsia="Times New Roman" w:cs="Arial"/>
                <w:color w:val="auto"/>
                <w:sz w:val="22"/>
                <w:szCs w:val="22"/>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4108A395">
            <w:pPr>
              <w:jc w:val="center"/>
              <w:textAlignment w:val="baseline"/>
              <w:rPr>
                <w:rFonts w:hint="default" w:ascii="Arial" w:hAnsi="Arial" w:eastAsia="Times New Roman" w:cs="Arial"/>
                <w:color w:val="auto"/>
                <w:sz w:val="22"/>
                <w:szCs w:val="22"/>
                <w:highlight w:val="none"/>
                <w:lang w:eastAsia="pt-BR"/>
              </w:rPr>
            </w:pPr>
          </w:p>
        </w:tc>
      </w:tr>
      <w:tr w14:paraId="270E51F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431D786E">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8</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073BF670">
            <w:pPr>
              <w:keepNext w:val="0"/>
              <w:keepLines w:val="0"/>
              <w:widowControl/>
              <w:suppressLineNumbers w:val="0"/>
              <w:jc w:val="both"/>
              <w:textAlignment w:val="bottom"/>
              <w:rPr>
                <w:rFonts w:hint="default" w:ascii="Arial" w:hAnsi="Arial" w:eastAsia="ArialNormal" w:cs="Arial"/>
                <w:color w:val="auto"/>
                <w:sz w:val="22"/>
                <w:szCs w:val="22"/>
                <w:highlight w:val="none"/>
              </w:rPr>
            </w:pPr>
            <w:r>
              <w:rPr>
                <w:rFonts w:hint="default" w:ascii="Calibri" w:hAnsi="Calibri" w:eastAsia="SimSun" w:cs="Calibri"/>
                <w:i w:val="0"/>
                <w:iCs w:val="0"/>
                <w:color w:val="auto"/>
                <w:kern w:val="0"/>
                <w:sz w:val="24"/>
                <w:szCs w:val="24"/>
                <w:highlight w:val="none"/>
                <w:u w:val="none"/>
                <w:lang w:val="en-US" w:eastAsia="zh-CN" w:bidi="ar"/>
              </w:rPr>
              <w:t>ROTEADOR CORPORATIVO PADRÃO MIKROTIK RB750GR3 HEX OU EQUIVALENTE TÉCNICO SUPERIOR, COM NO MÍNIMO 5 PORTAS GIGABIT, ROUTEROS LICENCIADO, SUPORTE A FIREWALL, VPN, BALANCEAMENTO DE CARGA, GERENCIAMENTO DE REDE, MONITORAMENTO E DEMAIS APLICAÇÕES CORPORATIVAS. Equipamento roteador corporativo padrão MikroTik MikroTik RB750Gr3 hEX ou equivalente técnico superior, devendo possuir, no mínimo, arquitetura MMIPS, processador modelo MT7621A ou equivalente, com 02 (dois) núcleos físicos de processamento, 04 (quatro) threads, frequência nominal mínima de 880 MHz, nível de licença RouterOS mínimo nível 4, sistema operacional RouterOS original e licenciado, memória RAM mínima de 256 MB, armazenamento interno mínimo de 16 MB em memória flash ou tecnologia equivalente, suporte a alimentação por PoE passivo (Passive PoE), tensão de entrada entre 8 e 30 volts, no mínimo 02 (duas) formas de alimentação (conector DC e PoE-in), consumo máximo de energia de até 5W, no mínimo 05 (cinco) portas Ethernet padrão 10/100/1000 Mbps, slot para cartão MicroSD, porta USB tipo A, recurso de reinicialização de energia via USB, monitoramento interno de temperatura da placa, monitoramento de tensão elétrica e botão físico de modo/reset, sendo compatível com funções avançadas de roteamento, firewall, VPN, balanceamento de carga, gerenciamento de rede e demais aplicações corporativas exigidas pela Administração Municipal.</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45CF2C21">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UN</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3DC62FB0">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10</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6F2028D0">
            <w:pPr>
              <w:jc w:val="center"/>
              <w:textAlignment w:val="baseline"/>
              <w:rPr>
                <w:rFonts w:hint="default" w:ascii="Arial" w:hAnsi="Arial" w:eastAsia="Times New Roman" w:cs="Arial"/>
                <w:color w:val="auto"/>
                <w:sz w:val="22"/>
                <w:szCs w:val="22"/>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4ACAD70A">
            <w:pPr>
              <w:jc w:val="center"/>
              <w:textAlignment w:val="baseline"/>
              <w:rPr>
                <w:rFonts w:hint="default" w:ascii="Arial" w:hAnsi="Arial" w:eastAsia="Times New Roman" w:cs="Arial"/>
                <w:color w:val="auto"/>
                <w:sz w:val="22"/>
                <w:szCs w:val="22"/>
                <w:highlight w:val="none"/>
                <w:lang w:eastAsia="pt-BR"/>
              </w:rPr>
            </w:pPr>
          </w:p>
        </w:tc>
      </w:tr>
      <w:tr w14:paraId="0C1308B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447" w:type="dxa"/>
            <w:tcBorders>
              <w:top w:val="single" w:color="auto" w:sz="6" w:space="0"/>
              <w:left w:val="single" w:color="auto" w:sz="6" w:space="0"/>
              <w:bottom w:val="single" w:color="auto" w:sz="6" w:space="0"/>
              <w:right w:val="single" w:color="auto" w:sz="6" w:space="0"/>
            </w:tcBorders>
            <w:noWrap w:val="0"/>
            <w:vAlign w:val="center"/>
          </w:tcPr>
          <w:p w14:paraId="6693A029">
            <w:pPr>
              <w:keepNext w:val="0"/>
              <w:keepLines w:val="0"/>
              <w:widowControl/>
              <w:suppressLineNumbers w:val="0"/>
              <w:jc w:val="center"/>
              <w:textAlignment w:val="bottom"/>
              <w:rPr>
                <w:rFonts w:hint="default"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9</w:t>
            </w:r>
          </w:p>
        </w:tc>
        <w:tc>
          <w:tcPr>
            <w:tcW w:w="6431" w:type="dxa"/>
            <w:tcBorders>
              <w:top w:val="outset" w:color="auto" w:sz="6" w:space="0"/>
              <w:left w:val="outset" w:color="auto" w:sz="6" w:space="0"/>
              <w:bottom w:val="outset" w:color="auto" w:sz="6" w:space="0"/>
              <w:right w:val="outset" w:color="auto" w:sz="6" w:space="0"/>
            </w:tcBorders>
            <w:noWrap w:val="0"/>
            <w:vAlign w:val="center"/>
          </w:tcPr>
          <w:p w14:paraId="17807205">
            <w:pPr>
              <w:keepNext w:val="0"/>
              <w:keepLines w:val="0"/>
              <w:widowControl/>
              <w:suppressLineNumbers w:val="0"/>
              <w:jc w:val="both"/>
              <w:textAlignment w:val="bottom"/>
              <w:rPr>
                <w:rFonts w:hint="default" w:ascii="Arial" w:hAnsi="Arial" w:eastAsia="ArialNormal" w:cs="Arial"/>
                <w:color w:val="auto"/>
                <w:sz w:val="22"/>
                <w:szCs w:val="22"/>
                <w:highlight w:val="none"/>
              </w:rPr>
            </w:pPr>
            <w:r>
              <w:rPr>
                <w:rFonts w:hint="default" w:ascii="Calibri" w:hAnsi="Calibri" w:eastAsia="SimSun" w:cs="Calibri"/>
                <w:i w:val="0"/>
                <w:iCs w:val="0"/>
                <w:color w:val="auto"/>
                <w:kern w:val="0"/>
                <w:sz w:val="24"/>
                <w:szCs w:val="24"/>
                <w:highlight w:val="none"/>
                <w:u w:val="none"/>
                <w:lang w:val="en-US" w:eastAsia="zh-CN" w:bidi="ar"/>
              </w:rPr>
              <w:t>SERVIDOR CORPORATIVO TIPO APPLIANCE FIREWALL, NOVO, COM PROCESSADOR DE NO MÍNIMO 6 NÚCLEOS E 12 THREADS, 16 GB DE RAM, SSD NVME DE 1 TB, MÍNIMO 3 INTERFACES DE REDE GIGABIT, PLACA SFP+ DUAL 10 GBPS, FONTE 500W 80 PLUS, COMPATÍVEL COM FIREWALL, VPN, CONTROLE DE BANDA, LOGS, ROTEAMENTO, MONITORAMENTO  Servidor corporativo tipo appliance firewall, novo, sem uso, montado em gabinete padrão ATX ou Micro ATX, destinado  hospedagem de serviços de segurança de rede, controle de tráfego, VPN, monitoramento e gerenciamento corporativo, devendo possuir processador de no mínimo 06 (seis) núcleos físicos e 12 (doze) threads, frequência base mínima de 2,50 GHz e turbo máxima de 4,40 GHz, cache total mínimo de 7,5 MB e suporte a arquitetura 64 bits; memória RAM mínima de 16 GB DDR4 3200 MHz expansível, instalada em módulos compatíveis; unidade de armazenamento SSD padrão M.2 NVMe PCIe, capacidade mínima de 1 TB, com altas taxas de leitura e gravação; placa-mãe compatível com processadores de 12, 13 ou 14 geração Intel Core ou equivalente técnico superior, soquete LGA1700 ou compatível, suporte a memória dual channel, no mínimo 02 slots DIMM, controladora de rede integrada Gigabit Ethernet, slot M.2, portas SATA e recursos de monitoramento térmico e ventilação inteligente; possuir vídeo integrado com saídas HDMI e/ou VGA compatíveis com resoluções de alta definição; áudio onboard de alta definição; no mínimo 01 (uma) interface de rede integrada RJ-45 Gigabit e adicionalmente placa de rede offboard PCI Express com no mínimo 02 (duas) portas RJ-45 Gigabit Ethernet 10/100/1000BASE-T, compatível com Wake on LAN, totalizando no mínimo 03 (três) interfaces físicas de rede para aplicações de firewall, com placa SFP + Dual (10 gbps), balanceamento e segmentação de tráfego; no mínimo 06 (seis) portas USB entre traseiras e frontais; fonte de alimentação mínima de 500W reais, certificação 80 Plus Bronze ou superior, com PFC ativo; gabinete na cor preta ou equivalente, com sistema de ventilação adequado e espaço interno compatível com os componentes instalados; BIOS UEFI licenciada; compatibilidade com sistemas operacionais de 64 bits, especialmente Windows 11, Windows 10 e distribuições Linux para firewall corporativo; devendo ser plenamente compatível com soluções de segurança, roteamento, VPN, controle de banda, logs, alta disponibilidade.</w:t>
            </w:r>
          </w:p>
        </w:tc>
        <w:tc>
          <w:tcPr>
            <w:tcW w:w="525" w:type="dxa"/>
            <w:tcBorders>
              <w:top w:val="single" w:color="auto" w:sz="6" w:space="0"/>
              <w:left w:val="single" w:color="auto" w:sz="6" w:space="0"/>
              <w:bottom w:val="single" w:color="auto" w:sz="6" w:space="0"/>
              <w:right w:val="single" w:color="auto" w:sz="6" w:space="0"/>
            </w:tcBorders>
            <w:noWrap w:val="0"/>
            <w:vAlign w:val="center"/>
          </w:tcPr>
          <w:p w14:paraId="4EB2DCD5">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UN</w:t>
            </w:r>
          </w:p>
        </w:tc>
        <w:tc>
          <w:tcPr>
            <w:tcW w:w="628" w:type="dxa"/>
            <w:tcBorders>
              <w:top w:val="single" w:color="auto" w:sz="6" w:space="0"/>
              <w:left w:val="single" w:color="auto" w:sz="6" w:space="0"/>
              <w:bottom w:val="single" w:color="auto" w:sz="6" w:space="0"/>
              <w:right w:val="single" w:color="auto" w:sz="6" w:space="0"/>
            </w:tcBorders>
            <w:noWrap w:val="0"/>
            <w:vAlign w:val="center"/>
          </w:tcPr>
          <w:p w14:paraId="0C13854F">
            <w:pPr>
              <w:keepNext w:val="0"/>
              <w:keepLines w:val="0"/>
              <w:widowControl/>
              <w:suppressLineNumbers w:val="0"/>
              <w:jc w:val="center"/>
              <w:textAlignment w:val="bottom"/>
              <w:rPr>
                <w:rFonts w:hint="default" w:ascii="Arial" w:hAnsi="Arial" w:cs="Arial"/>
                <w:color w:val="auto"/>
                <w:sz w:val="22"/>
                <w:szCs w:val="22"/>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w:t>
            </w:r>
          </w:p>
        </w:tc>
        <w:tc>
          <w:tcPr>
            <w:tcW w:w="1191" w:type="dxa"/>
            <w:tcBorders>
              <w:top w:val="single" w:color="auto" w:sz="6" w:space="0"/>
              <w:left w:val="single" w:color="auto" w:sz="6" w:space="0"/>
              <w:bottom w:val="single" w:color="auto" w:sz="6" w:space="0"/>
              <w:right w:val="single" w:color="auto" w:sz="6" w:space="0"/>
            </w:tcBorders>
            <w:noWrap w:val="0"/>
            <w:vAlign w:val="center"/>
          </w:tcPr>
          <w:p w14:paraId="4714EAD2">
            <w:pPr>
              <w:jc w:val="center"/>
              <w:textAlignment w:val="baseline"/>
              <w:rPr>
                <w:rFonts w:hint="default" w:ascii="Arial" w:hAnsi="Arial" w:eastAsia="Times New Roman" w:cs="Arial"/>
                <w:color w:val="auto"/>
                <w:sz w:val="22"/>
                <w:szCs w:val="22"/>
                <w:highlight w:val="none"/>
                <w:lang w:eastAsia="pt-BR"/>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71C5CE81">
            <w:pPr>
              <w:jc w:val="center"/>
              <w:textAlignment w:val="baseline"/>
              <w:rPr>
                <w:rFonts w:hint="default" w:ascii="Arial" w:hAnsi="Arial" w:eastAsia="Times New Roman" w:cs="Arial"/>
                <w:color w:val="auto"/>
                <w:sz w:val="22"/>
                <w:szCs w:val="22"/>
                <w:highlight w:val="none"/>
                <w:lang w:eastAsia="pt-BR"/>
              </w:rPr>
            </w:pPr>
          </w:p>
        </w:tc>
      </w:tr>
    </w:tbl>
    <w:p w14:paraId="02575BF9">
      <w:pPr>
        <w:pStyle w:val="5"/>
        <w:rPr>
          <w:rFonts w:hint="default"/>
          <w:bCs/>
          <w:color w:val="auto"/>
          <w:highlight w:val="none"/>
          <w:lang w:val="pt-BR"/>
        </w:rPr>
      </w:pPr>
    </w:p>
    <w:p w14:paraId="0F51612B">
      <w:pPr>
        <w:pStyle w:val="5"/>
        <w:rPr>
          <w:rFonts w:hint="default"/>
          <w:bCs/>
          <w:color w:val="auto"/>
          <w:highlight w:val="none"/>
          <w:lang w:val="pt-BR"/>
        </w:rPr>
      </w:pPr>
      <w:r>
        <w:rPr>
          <w:rFonts w:hint="default"/>
          <w:bCs/>
          <w:color w:val="auto"/>
          <w:highlight w:val="none"/>
          <w:lang w:val="pt-BR"/>
        </w:rPr>
        <w:t>Valor total global R$:_______(________).</w:t>
      </w:r>
    </w:p>
    <w:p w14:paraId="43F6D5E5">
      <w:pPr>
        <w:pStyle w:val="5"/>
        <w:rPr>
          <w:rFonts w:hint="default"/>
          <w:bCs/>
          <w:color w:val="auto"/>
          <w:highlight w:val="none"/>
          <w:lang w:val="pt-BR"/>
        </w:rPr>
      </w:pPr>
    </w:p>
    <w:p w14:paraId="00F3F2C6">
      <w:pPr>
        <w:pStyle w:val="5"/>
        <w:rPr>
          <w:bCs/>
          <w:color w:val="auto"/>
          <w:highlight w:val="none"/>
        </w:rPr>
      </w:pPr>
      <w:r>
        <w:rPr>
          <w:bCs/>
          <w:color w:val="auto"/>
          <w:highlight w:val="none"/>
        </w:rPr>
        <w:t>Prazo de validade da proposta: 60 (sessenta) dias.</w:t>
      </w:r>
    </w:p>
    <w:p w14:paraId="46E17DFB">
      <w:pPr>
        <w:pStyle w:val="5"/>
        <w:rPr>
          <w:rFonts w:ascii="Calibri" w:hAnsi="Calibri"/>
          <w:color w:val="auto"/>
          <w:highlight w:val="none"/>
        </w:rPr>
      </w:pPr>
    </w:p>
    <w:p w14:paraId="5B4E1E7F">
      <w:pPr>
        <w:pStyle w:val="5"/>
        <w:rPr>
          <w:rFonts w:ascii="Calibri" w:hAnsi="Calibri"/>
          <w:color w:val="auto"/>
          <w:highlight w:val="none"/>
        </w:rPr>
      </w:pPr>
      <w:r>
        <w:rPr>
          <w:rFonts w:ascii="Calibri" w:hAnsi="Calibri"/>
          <w:color w:val="auto"/>
          <w:highlight w:val="none"/>
        </w:rPr>
        <w:t>Local e data</w:t>
      </w:r>
    </w:p>
    <w:p w14:paraId="4312DE9D">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08CDB9B2">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7CC67DBB">
      <w:pPr>
        <w:pStyle w:val="4"/>
        <w:spacing w:after="0"/>
        <w:jc w:val="center"/>
        <w:rPr>
          <w:rFonts w:cs="Arial"/>
          <w:b/>
          <w:color w:val="auto"/>
          <w:sz w:val="32"/>
          <w:szCs w:val="32"/>
          <w:highlight w:val="none"/>
          <w:lang w:eastAsia="pt-PT"/>
        </w:rPr>
      </w:pPr>
    </w:p>
    <w:p w14:paraId="3C235E1C">
      <w:pPr>
        <w:pStyle w:val="4"/>
        <w:spacing w:after="0"/>
        <w:jc w:val="center"/>
        <w:rPr>
          <w:rFonts w:cs="Arial"/>
          <w:b/>
          <w:color w:val="auto"/>
          <w:sz w:val="32"/>
          <w:szCs w:val="32"/>
          <w:highlight w:val="none"/>
          <w:lang w:eastAsia="pt-PT"/>
        </w:rPr>
      </w:pPr>
    </w:p>
    <w:p w14:paraId="0924F5B5">
      <w:pPr>
        <w:pStyle w:val="4"/>
        <w:spacing w:after="0"/>
        <w:jc w:val="center"/>
        <w:rPr>
          <w:rFonts w:cs="Arial"/>
          <w:b/>
          <w:color w:val="auto"/>
          <w:sz w:val="30"/>
          <w:szCs w:val="30"/>
          <w:highlight w:val="none"/>
        </w:rPr>
      </w:pPr>
      <w:r>
        <w:rPr>
          <w:rFonts w:cs="Arial"/>
          <w:b/>
          <w:color w:val="auto"/>
          <w:sz w:val="32"/>
          <w:szCs w:val="32"/>
          <w:highlight w:val="none"/>
          <w:lang w:eastAsia="pt-PT"/>
        </w:rPr>
        <w:t>Atenção: Verifique as declarações abaixo aplicáveis a sua empresa.</w:t>
      </w:r>
    </w:p>
    <w:p w14:paraId="74959969">
      <w:pPr>
        <w:pStyle w:val="4"/>
        <w:jc w:val="center"/>
        <w:rPr>
          <w:rFonts w:cs="Arial"/>
          <w:b/>
          <w:color w:val="auto"/>
          <w:sz w:val="30"/>
          <w:szCs w:val="30"/>
          <w:highlight w:val="none"/>
        </w:rPr>
      </w:pPr>
    </w:p>
    <w:p w14:paraId="0A9B99D7">
      <w:pPr>
        <w:pStyle w:val="4"/>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6182D11E">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17/2026</w:t>
      </w:r>
      <w:r>
        <w:rPr>
          <w:rFonts w:ascii="Calibri" w:hAnsi="Calibri"/>
          <w:bCs/>
          <w:i/>
          <w:iCs/>
          <w:color w:val="auto"/>
          <w:highlight w:val="none"/>
        </w:rPr>
        <w:t xml:space="preserve"> – TUCUNDUVA/RS</w:t>
      </w:r>
    </w:p>
    <w:p w14:paraId="75A105E6">
      <w:pPr>
        <w:pStyle w:val="4"/>
        <w:jc w:val="both"/>
        <w:rPr>
          <w:rFonts w:ascii="Calibri" w:hAnsi="Calibri" w:cs="Calibri"/>
          <w:bCs/>
          <w:color w:val="auto"/>
          <w:sz w:val="24"/>
          <w:szCs w:val="24"/>
          <w:highlight w:val="none"/>
        </w:rPr>
      </w:pPr>
    </w:p>
    <w:p w14:paraId="471F6287">
      <w:pPr>
        <w:autoSpaceDE w:val="0"/>
        <w:autoSpaceDN w:val="0"/>
        <w:adjustRightInd w:val="0"/>
        <w:ind w:left="-660" w:leftChars="-300" w:firstLine="0" w:firstLineChars="0"/>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07155EF4">
      <w:pPr>
        <w:autoSpaceDE w:val="0"/>
        <w:autoSpaceDN w:val="0"/>
        <w:adjustRightInd w:val="0"/>
        <w:ind w:left="-660" w:leftChars="-300" w:firstLine="0" w:firstLineChars="0"/>
        <w:jc w:val="both"/>
        <w:rPr>
          <w:rFonts w:ascii="Calibri" w:hAnsi="Calibri" w:eastAsia="Times New Roman" w:cs="Calibri"/>
          <w:color w:val="auto"/>
          <w:highlight w:val="none"/>
          <w:lang w:eastAsia="pt-BR"/>
        </w:rPr>
      </w:pPr>
    </w:p>
    <w:p w14:paraId="333E2892">
      <w:pPr>
        <w:ind w:left="-660" w:leftChars="-300" w:firstLine="0" w:firstLineChars="0"/>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6D8A2D82">
      <w:pPr>
        <w:ind w:left="-660" w:leftChars="-300" w:firstLine="0" w:firstLineChars="0"/>
        <w:jc w:val="both"/>
        <w:rPr>
          <w:rFonts w:cs="Arial"/>
          <w:bCs/>
          <w:color w:val="auto"/>
          <w:sz w:val="24"/>
          <w:szCs w:val="24"/>
          <w:highlight w:val="none"/>
        </w:rPr>
      </w:pPr>
    </w:p>
    <w:p w14:paraId="7DE4AAAB">
      <w:pPr>
        <w:pStyle w:val="5"/>
        <w:ind w:left="-660" w:leftChars="-300" w:firstLine="0" w:firstLineChars="0"/>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6BD11179">
      <w:pPr>
        <w:pStyle w:val="5"/>
        <w:ind w:left="-660" w:leftChars="-300" w:firstLine="0" w:firstLineChars="0"/>
        <w:jc w:val="both"/>
        <w:rPr>
          <w:b/>
          <w:bCs/>
          <w:color w:val="auto"/>
          <w:highlight w:val="none"/>
        </w:rPr>
      </w:pPr>
    </w:p>
    <w:p w14:paraId="7C589EC3">
      <w:pPr>
        <w:pStyle w:val="5"/>
        <w:ind w:left="-660" w:leftChars="-300" w:firstLine="0" w:firstLineChars="0"/>
        <w:jc w:val="both"/>
        <w:rPr>
          <w:color w:val="auto"/>
          <w:highlight w:val="none"/>
        </w:rPr>
      </w:pPr>
      <w:r>
        <w:rPr>
          <w:color w:val="auto"/>
          <w:highlight w:val="none"/>
          <w:lang w:eastAsia="pt-BR"/>
        </w:rPr>
        <w:t>c) Que c</w:t>
      </w:r>
      <w:r>
        <w:rPr>
          <w:color w:val="auto"/>
          <w:highlight w:val="none"/>
        </w:rPr>
        <w:t>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7BB5942C">
      <w:pPr>
        <w:pStyle w:val="5"/>
        <w:ind w:left="-660" w:leftChars="-300" w:firstLine="0" w:firstLineChars="0"/>
        <w:jc w:val="both"/>
        <w:rPr>
          <w:color w:val="auto"/>
          <w:highlight w:val="none"/>
        </w:rPr>
      </w:pPr>
    </w:p>
    <w:p w14:paraId="382B8104">
      <w:pPr>
        <w:pStyle w:val="5"/>
        <w:ind w:left="-660" w:leftChars="-300" w:firstLine="0" w:firstLineChars="0"/>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2700017">
      <w:pPr>
        <w:pStyle w:val="5"/>
        <w:ind w:left="-660" w:leftChars="-300" w:firstLine="0" w:firstLineChars="0"/>
        <w:jc w:val="both"/>
        <w:rPr>
          <w:color w:val="auto"/>
          <w:highlight w:val="none"/>
        </w:rPr>
      </w:pPr>
    </w:p>
    <w:p w14:paraId="5995612C">
      <w:pPr>
        <w:pStyle w:val="5"/>
        <w:ind w:left="-660" w:leftChars="-300" w:firstLine="0" w:firstLineChars="0"/>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27C97">
      <w:pPr>
        <w:pStyle w:val="5"/>
        <w:ind w:left="-660" w:leftChars="-300" w:firstLine="0" w:firstLineChars="0"/>
        <w:jc w:val="both"/>
        <w:rPr>
          <w:color w:val="auto"/>
          <w:highlight w:val="none"/>
        </w:rPr>
      </w:pPr>
    </w:p>
    <w:p w14:paraId="7E33FAE7">
      <w:pPr>
        <w:pStyle w:val="5"/>
        <w:ind w:left="-660" w:leftChars="-300" w:firstLine="0" w:firstLineChars="0"/>
        <w:jc w:val="both"/>
        <w:rPr>
          <w:color w:val="auto"/>
          <w:highlight w:val="none"/>
        </w:rPr>
      </w:pPr>
      <w:r>
        <w:rPr>
          <w:color w:val="auto"/>
          <w:highlight w:val="none"/>
          <w:lang w:eastAsia="pt-BR"/>
        </w:rPr>
        <w:t xml:space="preserve">f) </w:t>
      </w:r>
      <w:r>
        <w:rPr>
          <w:rFonts w:hint="default"/>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50ECB012">
      <w:pPr>
        <w:pStyle w:val="4"/>
        <w:spacing w:after="0"/>
        <w:ind w:left="-660" w:leftChars="-300" w:firstLine="0" w:firstLineChars="0"/>
        <w:jc w:val="both"/>
        <w:rPr>
          <w:rFonts w:ascii="Calibri" w:hAnsi="Calibri" w:eastAsia="Times New Roman" w:cs="Calibri"/>
          <w:color w:val="auto"/>
          <w:highlight w:val="none"/>
          <w:lang w:eastAsia="pt-BR"/>
        </w:rPr>
      </w:pPr>
    </w:p>
    <w:p w14:paraId="73EE3534">
      <w:pPr>
        <w:pStyle w:val="4"/>
        <w:spacing w:after="0"/>
        <w:ind w:left="-660" w:leftChars="-300" w:firstLine="0" w:firstLineChars="0"/>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74F3A2CC">
      <w:pPr>
        <w:spacing w:after="120"/>
        <w:ind w:left="-660" w:leftChars="-300" w:firstLine="0" w:firstLineChars="0"/>
        <w:jc w:val="both"/>
        <w:rPr>
          <w:rFonts w:ascii="Calibri" w:hAnsi="Calibri" w:eastAsia="Times New Roman" w:cs="Calibri"/>
          <w:color w:val="auto"/>
          <w:sz w:val="24"/>
          <w:szCs w:val="24"/>
          <w:highlight w:val="none"/>
          <w:lang w:eastAsia="pt-BR"/>
        </w:rPr>
      </w:pPr>
    </w:p>
    <w:p w14:paraId="2362AA52">
      <w:pPr>
        <w:spacing w:after="120"/>
        <w:ind w:left="-660" w:leftChars="-300" w:firstLine="0" w:firstLineChars="0"/>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034F92E8">
      <w:pPr>
        <w:spacing w:after="120"/>
        <w:ind w:left="-660" w:leftChars="-300" w:firstLine="0" w:firstLineChars="0"/>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_____________________________</w:t>
      </w:r>
    </w:p>
    <w:p w14:paraId="02D5A80E">
      <w:pPr>
        <w:spacing w:after="120"/>
        <w:ind w:left="-660" w:leftChars="-300" w:firstLine="0" w:firstLineChars="0"/>
        <w:jc w:val="center"/>
      </w:pPr>
      <w:r>
        <w:rPr>
          <w:rFonts w:eastAsia="Times New Roman" w:cs="Calibri"/>
          <w:color w:val="auto"/>
          <w:sz w:val="24"/>
          <w:szCs w:val="24"/>
          <w:highlight w:val="none"/>
          <w:lang w:eastAsia="pt-BR"/>
        </w:rPr>
        <w:t>Empresa.</w:t>
      </w:r>
    </w:p>
    <w:sectPr>
      <w:pgSz w:w="11906" w:h="16838"/>
      <w:pgMar w:top="1440" w:right="108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MT">
    <w:altName w:val="Times New Roman"/>
    <w:panose1 w:val="00000000000000000000"/>
    <w:charset w:val="00"/>
    <w:family w:val="auto"/>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ArialNormal">
    <w:altName w:val="Segoe Print"/>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7579EE"/>
    <w:rsid w:val="447579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2026-06-25T13:03:00Z</dcterms:created>
  <dc:creator>WPS_1776254901</dc:creator>
  <cp:lastModifiedBy>WPS_1776254901</cp:lastModifiedBy>
  <dcterms:modified xsi:type="dcterms:W3CDTF">2026-06-25T13:06:53Z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34F3C339951146978C631A4F80D4B1C4_11</vt:lpwstr>
  </property>
  <property fmtid="{D5CDD505-2E9C-101B-9397-08002B2CF9AE}" pid="4" name="KSOTemplateDocerSaveRecord">
    <vt:lpwstr>eyJoZGlkIjoiZDVkMzExMDQ5OTA4Y2YzZjU5NTI2MDYxMmQyZDMzMzgiLCJ1c2VySWQiOiIxMjM2OTUxMTEzOTQ4In0=</vt:lpwstr>
  </property>
</Properties>
</file>