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B4952">
      <w:pPr>
        <w:pStyle w:val="4"/>
        <w:jc w:val="center"/>
        <w:rPr>
          <w:rFonts w:cs="Arial"/>
          <w:b/>
          <w:color w:val="auto"/>
          <w:sz w:val="28"/>
          <w:highlight w:val="none"/>
          <w:lang w:eastAsia="pt-PT"/>
        </w:rPr>
      </w:pPr>
      <w:r>
        <w:rPr>
          <w:rFonts w:cs="Arial"/>
          <w:b/>
          <w:color w:val="auto"/>
          <w:sz w:val="28"/>
          <w:highlight w:val="none"/>
        </w:rPr>
        <w:t>ANEXO II – MODELO DE PROPOSTA COMERCIAL</w:t>
      </w:r>
    </w:p>
    <w:p w14:paraId="35882533">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21/2026</w:t>
      </w:r>
      <w:r>
        <w:rPr>
          <w:rFonts w:ascii="Calibri" w:hAnsi="Calibri"/>
          <w:bCs/>
          <w:i/>
          <w:iCs/>
          <w:color w:val="auto"/>
          <w:highlight w:val="none"/>
        </w:rPr>
        <w:t xml:space="preserve"> – TUCUNDUVA/RS</w:t>
      </w:r>
    </w:p>
    <w:p w14:paraId="6A674EEA">
      <w:pPr>
        <w:pStyle w:val="4"/>
        <w:jc w:val="center"/>
        <w:rPr>
          <w:rFonts w:ascii="Calibri" w:hAnsi="Calibri"/>
          <w:bCs/>
          <w:color w:val="auto"/>
          <w:sz w:val="28"/>
          <w:highlight w:val="none"/>
        </w:rPr>
      </w:pPr>
    </w:p>
    <w:p w14:paraId="322B7679">
      <w:pPr>
        <w:pStyle w:val="5"/>
        <w:rPr>
          <w:rFonts w:ascii="Calibri" w:hAnsi="Calibri"/>
          <w:b/>
          <w:color w:val="auto"/>
          <w:highlight w:val="none"/>
        </w:rPr>
      </w:pPr>
      <w:r>
        <w:rPr>
          <w:rFonts w:ascii="Calibri" w:hAnsi="Calibri"/>
          <w:b/>
          <w:color w:val="auto"/>
          <w:highlight w:val="none"/>
        </w:rPr>
        <w:t xml:space="preserve">IDENTIFICAÇÃO DA PROPONENTE: </w:t>
      </w:r>
    </w:p>
    <w:p w14:paraId="766164E4">
      <w:pPr>
        <w:pStyle w:val="5"/>
        <w:rPr>
          <w:rFonts w:ascii="Calibri" w:hAnsi="Calibri"/>
          <w:b/>
          <w:color w:val="auto"/>
          <w:highlight w:val="none"/>
        </w:rPr>
      </w:pPr>
    </w:p>
    <w:p w14:paraId="1BC8B7D1">
      <w:pPr>
        <w:pStyle w:val="5"/>
        <w:rPr>
          <w:rFonts w:ascii="Calibri" w:hAnsi="Calibri"/>
          <w:color w:val="auto"/>
          <w:highlight w:val="none"/>
        </w:rPr>
      </w:pPr>
      <w:r>
        <w:rPr>
          <w:rFonts w:ascii="Calibri" w:hAnsi="Calibri"/>
          <w:color w:val="auto"/>
          <w:highlight w:val="none"/>
        </w:rPr>
        <w:t>RAZÃO SOCIAL DA PROPONENTE__________________________________________</w:t>
      </w:r>
    </w:p>
    <w:p w14:paraId="5EFA272A">
      <w:pPr>
        <w:pStyle w:val="5"/>
        <w:rPr>
          <w:rFonts w:ascii="Calibri" w:hAnsi="Calibri"/>
          <w:color w:val="auto"/>
          <w:highlight w:val="none"/>
        </w:rPr>
      </w:pPr>
      <w:r>
        <w:rPr>
          <w:rFonts w:ascii="Calibri" w:hAnsi="Calibri"/>
          <w:color w:val="auto"/>
          <w:highlight w:val="none"/>
        </w:rPr>
        <w:t>CNPJ ________________________________________________________________</w:t>
      </w:r>
    </w:p>
    <w:p w14:paraId="4947B529">
      <w:pPr>
        <w:pStyle w:val="5"/>
        <w:rPr>
          <w:rFonts w:ascii="Calibri" w:hAnsi="Calibri"/>
          <w:color w:val="auto"/>
          <w:highlight w:val="none"/>
        </w:rPr>
      </w:pPr>
      <w:r>
        <w:rPr>
          <w:rFonts w:ascii="Calibri" w:hAnsi="Calibri"/>
          <w:color w:val="auto"/>
          <w:highlight w:val="none"/>
        </w:rPr>
        <w:t>ENDEREÇO____________________________________________________________</w:t>
      </w:r>
    </w:p>
    <w:p w14:paraId="302BD40C">
      <w:pPr>
        <w:pStyle w:val="5"/>
        <w:rPr>
          <w:rFonts w:ascii="Calibri" w:hAnsi="Calibri"/>
          <w:color w:val="auto"/>
          <w:highlight w:val="none"/>
        </w:rPr>
      </w:pPr>
      <w:r>
        <w:rPr>
          <w:rFonts w:ascii="Calibri" w:hAnsi="Calibri"/>
          <w:color w:val="auto"/>
          <w:highlight w:val="none"/>
        </w:rPr>
        <w:t xml:space="preserve">FONE/FAX CONTATO:___________________________________________________ </w:t>
      </w:r>
    </w:p>
    <w:p w14:paraId="410A8143">
      <w:pPr>
        <w:pStyle w:val="5"/>
        <w:rPr>
          <w:rFonts w:ascii="Calibri" w:hAnsi="Calibri"/>
          <w:color w:val="auto"/>
          <w:highlight w:val="none"/>
        </w:rPr>
      </w:pPr>
    </w:p>
    <w:p w14:paraId="12979A12">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R</w:t>
      </w:r>
      <w:r>
        <w:rPr>
          <w:rFonts w:hint="default" w:ascii="Calibri" w:hAnsi="Calibri" w:eastAsia="ArialNormal"/>
          <w:color w:val="auto"/>
          <w:sz w:val="24"/>
          <w:szCs w:val="24"/>
          <w:highlight w:val="none"/>
        </w:rPr>
        <w:t>egistro de preços para eventual e futura aquisição de equipamentos de informática, para atender às necessidades das</w:t>
      </w:r>
      <w:r>
        <w:rPr>
          <w:rFonts w:hint="default" w:ascii="Calibri" w:hAnsi="Calibri" w:eastAsia="ArialNormal"/>
          <w:color w:val="auto"/>
          <w:sz w:val="24"/>
          <w:szCs w:val="24"/>
          <w:highlight w:val="none"/>
          <w:lang w:val="pt-BR"/>
        </w:rPr>
        <w:t xml:space="preserve"> </w:t>
      </w:r>
      <w:r>
        <w:rPr>
          <w:rFonts w:hint="default" w:ascii="Calibri" w:hAnsi="Calibri" w:eastAsia="ArialNormal"/>
          <w:color w:val="auto"/>
          <w:sz w:val="24"/>
          <w:szCs w:val="24"/>
          <w:highlight w:val="none"/>
        </w:rPr>
        <w:t>diversas Secretarias do Município de Tucunduva/RS</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21/2026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tbl>
      <w:tblPr>
        <w:tblStyle w:val="3"/>
        <w:tblpPr w:leftFromText="180" w:rightFromText="180" w:vertAnchor="text" w:horzAnchor="page" w:tblpX="361" w:tblpY="258"/>
        <w:tblOverlap w:val="never"/>
        <w:tblW w:w="11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5925"/>
        <w:gridCol w:w="1039"/>
        <w:gridCol w:w="729"/>
        <w:gridCol w:w="889"/>
        <w:gridCol w:w="1168"/>
        <w:gridCol w:w="915"/>
      </w:tblGrid>
      <w:tr w14:paraId="4A8C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681" w:type="dxa"/>
            <w:noWrap w:val="0"/>
            <w:vAlign w:val="center"/>
          </w:tcPr>
          <w:p w14:paraId="2D7DCCCB">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rPr>
            </w:pPr>
            <w:r>
              <w:rPr>
                <w:rFonts w:hint="default" w:ascii="Calibri" w:hAnsi="Calibri" w:eastAsia="SimSun" w:cs="Calibri"/>
                <w:b/>
                <w:bCs/>
                <w:i w:val="0"/>
                <w:iCs w:val="0"/>
                <w:color w:val="auto"/>
                <w:kern w:val="0"/>
                <w:sz w:val="21"/>
                <w:szCs w:val="21"/>
                <w:highlight w:val="none"/>
                <w:u w:val="none"/>
                <w:lang w:val="en-US" w:eastAsia="zh-CN" w:bidi="ar"/>
              </w:rPr>
              <w:t>ITEM</w:t>
            </w:r>
          </w:p>
        </w:tc>
        <w:tc>
          <w:tcPr>
            <w:tcW w:w="5925" w:type="dxa"/>
            <w:noWrap w:val="0"/>
            <w:vAlign w:val="center"/>
          </w:tcPr>
          <w:p w14:paraId="50FEB280">
            <w:pPr>
              <w:keepNext w:val="0"/>
              <w:keepLines w:val="0"/>
              <w:widowControl/>
              <w:suppressLineNumbers w:val="0"/>
              <w:jc w:val="both"/>
              <w:textAlignment w:val="center"/>
              <w:rPr>
                <w:rFonts w:hint="default" w:ascii="Calibri" w:hAnsi="Calibri" w:cs="Calibri"/>
                <w:b/>
                <w:bCs/>
                <w:i w:val="0"/>
                <w:iCs w:val="0"/>
                <w:color w:val="auto"/>
                <w:sz w:val="21"/>
                <w:szCs w:val="21"/>
                <w:highlight w:val="none"/>
                <w:u w:val="none"/>
              </w:rPr>
            </w:pPr>
            <w:r>
              <w:rPr>
                <w:rFonts w:hint="default" w:ascii="Calibri" w:hAnsi="Calibri" w:eastAsia="SimSun" w:cs="Calibri"/>
                <w:b/>
                <w:bCs/>
                <w:i w:val="0"/>
                <w:iCs w:val="0"/>
                <w:color w:val="auto"/>
                <w:kern w:val="0"/>
                <w:sz w:val="21"/>
                <w:szCs w:val="21"/>
                <w:highlight w:val="none"/>
                <w:u w:val="none"/>
                <w:lang w:val="en-US" w:eastAsia="zh-CN" w:bidi="ar"/>
              </w:rPr>
              <w:t>DESCRIÇÃO</w:t>
            </w:r>
          </w:p>
        </w:tc>
        <w:tc>
          <w:tcPr>
            <w:tcW w:w="1039" w:type="dxa"/>
            <w:noWrap w:val="0"/>
            <w:vAlign w:val="center"/>
          </w:tcPr>
          <w:p w14:paraId="6007FB80">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rPr>
            </w:pPr>
            <w:r>
              <w:rPr>
                <w:rFonts w:hint="default" w:ascii="Calibri" w:hAnsi="Calibri" w:eastAsia="SimSun" w:cs="Calibri"/>
                <w:b/>
                <w:bCs/>
                <w:i w:val="0"/>
                <w:iCs w:val="0"/>
                <w:color w:val="auto"/>
                <w:kern w:val="0"/>
                <w:sz w:val="21"/>
                <w:szCs w:val="21"/>
                <w:highlight w:val="none"/>
                <w:u w:val="none"/>
                <w:lang w:val="en-US" w:eastAsia="zh-CN" w:bidi="ar"/>
              </w:rPr>
              <w:t>QTDE MÁXIMA</w:t>
            </w:r>
          </w:p>
        </w:tc>
        <w:tc>
          <w:tcPr>
            <w:tcW w:w="729" w:type="dxa"/>
            <w:noWrap w:val="0"/>
            <w:vAlign w:val="center"/>
          </w:tcPr>
          <w:p w14:paraId="7F6C65F0">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lang w:val="pt-BR"/>
              </w:rPr>
            </w:pPr>
            <w:r>
              <w:rPr>
                <w:rFonts w:hint="default" w:ascii="Calibri" w:hAnsi="Calibri" w:cs="Calibri"/>
                <w:b/>
                <w:bCs/>
                <w:i w:val="0"/>
                <w:iCs w:val="0"/>
                <w:color w:val="auto"/>
                <w:sz w:val="21"/>
                <w:szCs w:val="21"/>
                <w:highlight w:val="none"/>
                <w:u w:val="none"/>
                <w:lang w:val="pt-BR"/>
              </w:rPr>
              <w:t>UND</w:t>
            </w:r>
          </w:p>
        </w:tc>
        <w:tc>
          <w:tcPr>
            <w:tcW w:w="889" w:type="dxa"/>
            <w:noWrap w:val="0"/>
            <w:vAlign w:val="center"/>
          </w:tcPr>
          <w:p w14:paraId="5ABB4475">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lang w:val="pt-BR"/>
              </w:rPr>
            </w:pPr>
            <w:r>
              <w:rPr>
                <w:rFonts w:hint="default" w:ascii="Calibri" w:hAnsi="Calibri" w:cs="Calibri"/>
                <w:b/>
                <w:bCs/>
                <w:i w:val="0"/>
                <w:iCs w:val="0"/>
                <w:color w:val="auto"/>
                <w:sz w:val="21"/>
                <w:szCs w:val="21"/>
                <w:highlight w:val="none"/>
                <w:u w:val="none"/>
                <w:lang w:val="pt-BR"/>
              </w:rPr>
              <w:t>MARCA</w:t>
            </w:r>
          </w:p>
        </w:tc>
        <w:tc>
          <w:tcPr>
            <w:tcW w:w="1168" w:type="dxa"/>
            <w:noWrap w:val="0"/>
            <w:vAlign w:val="center"/>
          </w:tcPr>
          <w:p w14:paraId="263FCC01">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rPr>
            </w:pPr>
            <w:r>
              <w:rPr>
                <w:rFonts w:hint="default" w:ascii="Calibri" w:hAnsi="Calibri" w:eastAsia="SimSun" w:cs="Calibri"/>
                <w:b/>
                <w:bCs/>
                <w:i w:val="0"/>
                <w:iCs w:val="0"/>
                <w:color w:val="auto"/>
                <w:kern w:val="0"/>
                <w:sz w:val="21"/>
                <w:szCs w:val="21"/>
                <w:highlight w:val="none"/>
                <w:u w:val="none"/>
                <w:lang w:val="en-US" w:eastAsia="zh-CN" w:bidi="ar"/>
              </w:rPr>
              <w:t>VALOR   UNITÁRIO</w:t>
            </w:r>
            <w:r>
              <w:rPr>
                <w:rFonts w:hint="default" w:ascii="Calibri" w:hAnsi="Calibri" w:eastAsia="SimSun" w:cs="Calibri"/>
                <w:i w:val="0"/>
                <w:iCs w:val="0"/>
                <w:color w:val="auto"/>
                <w:kern w:val="0"/>
                <w:sz w:val="21"/>
                <w:szCs w:val="21"/>
                <w:highlight w:val="none"/>
                <w:u w:val="none"/>
                <w:lang w:val="en-US" w:eastAsia="zh-CN" w:bidi="ar"/>
              </w:rPr>
              <w:t xml:space="preserve"> </w:t>
            </w:r>
            <w:r>
              <w:rPr>
                <w:rFonts w:hint="default" w:ascii="Calibri" w:hAnsi="Calibri" w:eastAsia="SimSun" w:cs="Calibri"/>
                <w:b/>
                <w:bCs/>
                <w:i w:val="0"/>
                <w:iCs w:val="0"/>
                <w:color w:val="auto"/>
                <w:kern w:val="0"/>
                <w:sz w:val="21"/>
                <w:szCs w:val="21"/>
                <w:highlight w:val="none"/>
                <w:u w:val="none"/>
                <w:lang w:val="en-US" w:eastAsia="zh-CN" w:bidi="ar"/>
              </w:rPr>
              <w:t>R$</w:t>
            </w:r>
          </w:p>
        </w:tc>
        <w:tc>
          <w:tcPr>
            <w:tcW w:w="915" w:type="dxa"/>
            <w:noWrap w:val="0"/>
            <w:vAlign w:val="center"/>
          </w:tcPr>
          <w:p w14:paraId="23B9F129">
            <w:pPr>
              <w:keepNext w:val="0"/>
              <w:keepLines w:val="0"/>
              <w:widowControl/>
              <w:suppressLineNumbers w:val="0"/>
              <w:jc w:val="center"/>
              <w:textAlignment w:val="center"/>
              <w:rPr>
                <w:rFonts w:hint="default" w:ascii="Calibri" w:hAnsi="Calibri" w:cs="Calibri"/>
                <w:b/>
                <w:bCs/>
                <w:i w:val="0"/>
                <w:iCs w:val="0"/>
                <w:color w:val="auto"/>
                <w:sz w:val="21"/>
                <w:szCs w:val="21"/>
                <w:highlight w:val="none"/>
                <w:u w:val="none"/>
              </w:rPr>
            </w:pPr>
            <w:r>
              <w:rPr>
                <w:rFonts w:hint="default" w:ascii="Calibri" w:hAnsi="Calibri" w:eastAsia="SimSun" w:cs="Calibri"/>
                <w:b/>
                <w:bCs/>
                <w:i w:val="0"/>
                <w:iCs w:val="0"/>
                <w:color w:val="auto"/>
                <w:kern w:val="0"/>
                <w:sz w:val="21"/>
                <w:szCs w:val="21"/>
                <w:highlight w:val="none"/>
                <w:u w:val="none"/>
                <w:lang w:val="en-US" w:eastAsia="zh-CN" w:bidi="ar"/>
              </w:rPr>
              <w:t>VALOR TOTAL R$</w:t>
            </w:r>
          </w:p>
        </w:tc>
      </w:tr>
      <w:tr w14:paraId="575E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1045D240">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1</w:t>
            </w:r>
          </w:p>
        </w:tc>
        <w:tc>
          <w:tcPr>
            <w:tcW w:w="5925" w:type="dxa"/>
            <w:noWrap w:val="0"/>
            <w:vAlign w:val="center"/>
          </w:tcPr>
          <w:p w14:paraId="188B24CA">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COMPUTADOR (DESKTOP-BÁSICO) COTA ME/EPP Computador desktop completo, composto por gabinete padrão ATXou Micro ATX, na cor preta, com fonte de alimentação mínima de 500 W, compatível com placamãe padrão mATX. Placa-mãe para desktop com suporte a processadores compatíveis com memória DDR4, com no mínimo 2 slots de memória, suporte a até 64 GB, no mínimo 1 slot PCI Express x16, no mínimo 1 conector M.2 NVMe, rede integrada 10/100/1000 Mbps, saídas de vídeo compatíveis com HDMI e/ou DisplayPort, conexões USBfrontais e traseiras e áudio integrado. Processador para desktop com no mínimo 10 núcleos e 16 threads, frequência turbo mínima de 4.5 GHz, cache mínimo de 20 MB, arquitetura 64 bits, compatível com memória DDR4 3200 MHz ou superior. Memória RAMmínima de 16 GB, padrão DDR4, frequência mínima de 3200 MHz, em dual channel. Unidade de armazenamento em SSD no padrão M.2 NVMe, com capacidade mínima de 256 GB. Fonte de alimentação mínima de 500 W, com eficiência energética compatível com padrão 80 Plus, entrada bivolt automática. Teclado com fio padrãoABNT2, na cor preta, com teclado numérico. Mouse óptico com fio, na cor preta, com resolução mínima de 1.000 dpi. Mousepad ergonômico, com base antiderrapante. Monitor LED com tamanho mínimo de 21,5 polegadas, resolução mínima Full HD (1920 x 1080), conexões HDMI e/ou VGA, taxa de atualização mínima de 75 Hz, compatível com padrão VESA, acompanhado de cabo de conexão. Garantia mínima de12 meses. Selo do INMETRO.</w:t>
            </w:r>
          </w:p>
        </w:tc>
        <w:tc>
          <w:tcPr>
            <w:tcW w:w="1039" w:type="dxa"/>
            <w:noWrap/>
            <w:vAlign w:val="center"/>
          </w:tcPr>
          <w:p w14:paraId="00707CAF">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 xml:space="preserve">25 </w:t>
            </w:r>
          </w:p>
        </w:tc>
        <w:tc>
          <w:tcPr>
            <w:tcW w:w="729" w:type="dxa"/>
            <w:noWrap/>
            <w:vAlign w:val="center"/>
          </w:tcPr>
          <w:p w14:paraId="4D9E3B5D">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3897F288">
            <w:pPr>
              <w:jc w:val="center"/>
              <w:rPr>
                <w:rFonts w:hint="default" w:ascii="Calibri" w:hAnsi="Calibri" w:cs="Calibri"/>
                <w:i w:val="0"/>
                <w:iCs w:val="0"/>
                <w:color w:val="auto"/>
                <w:sz w:val="24"/>
                <w:szCs w:val="24"/>
                <w:highlight w:val="none"/>
                <w:u w:val="none"/>
              </w:rPr>
            </w:pPr>
          </w:p>
        </w:tc>
        <w:tc>
          <w:tcPr>
            <w:tcW w:w="1168" w:type="dxa"/>
            <w:noWrap/>
            <w:vAlign w:val="center"/>
          </w:tcPr>
          <w:p w14:paraId="4D04207C">
            <w:pPr>
              <w:jc w:val="center"/>
              <w:rPr>
                <w:rFonts w:hint="default" w:ascii="Calibri" w:hAnsi="Calibri" w:cs="Calibri"/>
                <w:i w:val="0"/>
                <w:iCs w:val="0"/>
                <w:color w:val="auto"/>
                <w:sz w:val="24"/>
                <w:szCs w:val="24"/>
                <w:highlight w:val="none"/>
                <w:u w:val="none"/>
              </w:rPr>
            </w:pPr>
          </w:p>
        </w:tc>
        <w:tc>
          <w:tcPr>
            <w:tcW w:w="915" w:type="dxa"/>
            <w:noWrap/>
            <w:vAlign w:val="center"/>
          </w:tcPr>
          <w:p w14:paraId="03DBD1AA">
            <w:pPr>
              <w:jc w:val="center"/>
              <w:rPr>
                <w:rFonts w:hint="default" w:ascii="Calibri" w:hAnsi="Calibri" w:cs="Calibri"/>
                <w:i w:val="0"/>
                <w:iCs w:val="0"/>
                <w:color w:val="auto"/>
                <w:sz w:val="24"/>
                <w:szCs w:val="24"/>
                <w:highlight w:val="none"/>
                <w:u w:val="none"/>
              </w:rPr>
            </w:pPr>
          </w:p>
        </w:tc>
      </w:tr>
      <w:tr w14:paraId="10A5F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621080F1">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2</w:t>
            </w:r>
          </w:p>
        </w:tc>
        <w:tc>
          <w:tcPr>
            <w:tcW w:w="5925" w:type="dxa"/>
            <w:noWrap w:val="0"/>
            <w:vAlign w:val="center"/>
          </w:tcPr>
          <w:p w14:paraId="201CA8D8">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COMPUTADOR (DESKTOP-BÁSICO) COTA PRINCIPAL (AC) Computador desktop completo, composto por gabinete padrão ATXou Micro ATX, na cor preta, com fonte de alimentação mínima de 500 W, compatível com placamãe padrão mATX. Placa-mãe para desktop com suporte a processadores compatíveis com memória DDR4, com no mínimo 2 slots de memória, suporte a até 64 GB, no mínimo 1 slot PCI Express x16, no mínimo 1 conector M.2 NVMe, rede integrada 10/100/1000 Mbps, saídas de vídeo compatíveis com HDMI e/ou DisplayPort, conexões USBfrontais e traseiras e áudio integrado. Processador para desktop com no mínimo 10 núcleos e 16 threads, frequência turbo mínima de 4.5 GHz, cache mínimo de 20 MB, arquitetura 64 bits, compatível com memória DDR4 3200 MHz ou superior. Memória RAMmínima de 16 GB, padrão DDR4, frequência mínima de 3200 MHz, em dual channel. Unidade de armazenamento em SSD no padrão M.2 NVMe, com capacidade mínima de 256 GB. Fonte de alimentação mínima de 500 W, com eficiência energética compatível com padrão 80 Plus, entrada bivolt automática. Teclado com fio padrãoABNT2, na cor preta, com teclado numérico. Mouse óptico com fio, na cor preta, com resolução mínima de 1.000 dpi. Mousepad ergonômico, com base antiderrapante. Monitor LED com tamanho mínimo de 21,5 polegadas, resolução mínima Full HD (1920 x 1080), conexões HDMI e/ou VGA, taxa de atualização mínima de 75 Hz, compatível com padrão VESA, acompanhado de cabo de conexão. Garantia mínima de12 meses. Selo do INMETRO.</w:t>
            </w:r>
          </w:p>
        </w:tc>
        <w:tc>
          <w:tcPr>
            <w:tcW w:w="1039" w:type="dxa"/>
            <w:noWrap/>
            <w:vAlign w:val="center"/>
          </w:tcPr>
          <w:p w14:paraId="056F26F6">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75 </w:t>
            </w:r>
          </w:p>
        </w:tc>
        <w:tc>
          <w:tcPr>
            <w:tcW w:w="729" w:type="dxa"/>
            <w:noWrap/>
            <w:vAlign w:val="center"/>
          </w:tcPr>
          <w:p w14:paraId="20F8EBE0">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759311AC">
            <w:pPr>
              <w:jc w:val="center"/>
              <w:rPr>
                <w:rFonts w:hint="default" w:ascii="Calibri" w:hAnsi="Calibri" w:cs="Calibri"/>
                <w:i w:val="0"/>
                <w:iCs w:val="0"/>
                <w:color w:val="auto"/>
                <w:sz w:val="24"/>
                <w:szCs w:val="24"/>
                <w:highlight w:val="none"/>
                <w:u w:val="none"/>
              </w:rPr>
            </w:pPr>
          </w:p>
        </w:tc>
        <w:tc>
          <w:tcPr>
            <w:tcW w:w="1168" w:type="dxa"/>
            <w:noWrap/>
            <w:vAlign w:val="center"/>
          </w:tcPr>
          <w:p w14:paraId="3D2E7D3E">
            <w:pPr>
              <w:jc w:val="center"/>
              <w:rPr>
                <w:rFonts w:hint="default" w:ascii="Calibri" w:hAnsi="Calibri" w:cs="Calibri"/>
                <w:i w:val="0"/>
                <w:iCs w:val="0"/>
                <w:color w:val="auto"/>
                <w:sz w:val="24"/>
                <w:szCs w:val="24"/>
                <w:highlight w:val="none"/>
                <w:u w:val="none"/>
              </w:rPr>
            </w:pPr>
          </w:p>
        </w:tc>
        <w:tc>
          <w:tcPr>
            <w:tcW w:w="915" w:type="dxa"/>
            <w:noWrap/>
            <w:vAlign w:val="center"/>
          </w:tcPr>
          <w:p w14:paraId="379F02D4">
            <w:pPr>
              <w:jc w:val="center"/>
              <w:rPr>
                <w:rFonts w:hint="default" w:ascii="Calibri" w:hAnsi="Calibri" w:cs="Calibri"/>
                <w:i w:val="0"/>
                <w:iCs w:val="0"/>
                <w:color w:val="auto"/>
                <w:sz w:val="24"/>
                <w:szCs w:val="24"/>
                <w:highlight w:val="none"/>
                <w:u w:val="none"/>
              </w:rPr>
            </w:pPr>
          </w:p>
        </w:tc>
      </w:tr>
      <w:tr w14:paraId="127F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4BFB43A0">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3</w:t>
            </w:r>
          </w:p>
        </w:tc>
        <w:tc>
          <w:tcPr>
            <w:tcW w:w="5925" w:type="dxa"/>
            <w:noWrap w:val="0"/>
            <w:vAlign w:val="center"/>
          </w:tcPr>
          <w:p w14:paraId="5EE0AA7E">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KIT COMPLETO TECLADO E MOUSE SEM FIO Com as seguintes especificações mínimas: TECLADO: conexão sem fio via tecnologia 2.4 GHz ou Bluetooth; alcance mínimo de 10 metros; layout padrão ABNT2 (Português  Brasil); teclas macias e silenciosas; alimentação por bateria recarregável integrada/ou pilhas; compatível com sistemas operacionais Windows 10 ou superior, Linux e MacOS; plug and Play (dispensa instalação de drivers adicionais); cor predominante preta; garantia mínima de 12 meses. MOUSE: conexão sem fio via receptor USB 2.4 GHz ou Bluetooth; alcance mínimo de 10 metros; sensor óptico com resolução mínima de 1.000 DPI; mínimo de 3 botões (esquerdo, direito e scroll); design ergonômico, ambidestro ou anatômico; alimentação por bateria recarregável integrada/ou pilhas; compatível com Windows 10 ou superior, Linux e MacOS; plug and Play; cor predominante preta ou similar; garantia mínima de 6meses.</w:t>
            </w:r>
          </w:p>
        </w:tc>
        <w:tc>
          <w:tcPr>
            <w:tcW w:w="1039" w:type="dxa"/>
            <w:noWrap/>
            <w:vAlign w:val="center"/>
          </w:tcPr>
          <w:p w14:paraId="380DBC67">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200 </w:t>
            </w:r>
          </w:p>
        </w:tc>
        <w:tc>
          <w:tcPr>
            <w:tcW w:w="729" w:type="dxa"/>
            <w:noWrap/>
            <w:vAlign w:val="center"/>
          </w:tcPr>
          <w:p w14:paraId="46CD522E">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6439298B">
            <w:pPr>
              <w:jc w:val="center"/>
              <w:rPr>
                <w:rFonts w:hint="default" w:ascii="Calibri" w:hAnsi="Calibri" w:cs="Calibri"/>
                <w:i w:val="0"/>
                <w:iCs w:val="0"/>
                <w:color w:val="auto"/>
                <w:sz w:val="24"/>
                <w:szCs w:val="24"/>
                <w:highlight w:val="none"/>
                <w:u w:val="none"/>
              </w:rPr>
            </w:pPr>
          </w:p>
        </w:tc>
        <w:tc>
          <w:tcPr>
            <w:tcW w:w="1168" w:type="dxa"/>
            <w:noWrap/>
            <w:vAlign w:val="center"/>
          </w:tcPr>
          <w:p w14:paraId="4846BE06">
            <w:pPr>
              <w:jc w:val="center"/>
              <w:rPr>
                <w:rFonts w:hint="default" w:ascii="Calibri" w:hAnsi="Calibri" w:cs="Calibri"/>
                <w:i w:val="0"/>
                <w:iCs w:val="0"/>
                <w:color w:val="auto"/>
                <w:sz w:val="24"/>
                <w:szCs w:val="24"/>
                <w:highlight w:val="none"/>
                <w:u w:val="none"/>
              </w:rPr>
            </w:pPr>
          </w:p>
        </w:tc>
        <w:tc>
          <w:tcPr>
            <w:tcW w:w="915" w:type="dxa"/>
            <w:noWrap/>
            <w:vAlign w:val="center"/>
          </w:tcPr>
          <w:p w14:paraId="63E2A70A">
            <w:pPr>
              <w:jc w:val="center"/>
              <w:rPr>
                <w:rFonts w:hint="default" w:ascii="Calibri" w:hAnsi="Calibri" w:cs="Calibri"/>
                <w:i w:val="0"/>
                <w:iCs w:val="0"/>
                <w:color w:val="auto"/>
                <w:sz w:val="24"/>
                <w:szCs w:val="24"/>
                <w:highlight w:val="none"/>
                <w:u w:val="none"/>
              </w:rPr>
            </w:pPr>
          </w:p>
        </w:tc>
      </w:tr>
      <w:tr w14:paraId="679E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2B8C16DE">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4</w:t>
            </w:r>
          </w:p>
        </w:tc>
        <w:tc>
          <w:tcPr>
            <w:tcW w:w="5925" w:type="dxa"/>
            <w:noWrap w:val="0"/>
            <w:vAlign w:val="center"/>
          </w:tcPr>
          <w:p w14:paraId="68F16AEB">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MONITOR FULL HD 21 POLEGADAS Monitor 21", com resolução Full HD hd de 1920 x 1080, ajuste altura, inclinação, rotação e orientação do monitor. Portas de conexão HDMI e VGA. Taxa de atualização 75Hz . Possuir alimentação bivolt, devendo acompanhar cabos e manual. Os equipamentos devem pertencer  linha corporativa, serem novos, sem uso e estar em linha de produção.Garantia mínima de12 meses. Selo do INMETRO.</w:t>
            </w:r>
          </w:p>
        </w:tc>
        <w:tc>
          <w:tcPr>
            <w:tcW w:w="1039" w:type="dxa"/>
            <w:noWrap/>
            <w:vAlign w:val="center"/>
          </w:tcPr>
          <w:p w14:paraId="63CBE291">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60 </w:t>
            </w:r>
          </w:p>
        </w:tc>
        <w:tc>
          <w:tcPr>
            <w:tcW w:w="729" w:type="dxa"/>
            <w:noWrap/>
            <w:vAlign w:val="center"/>
          </w:tcPr>
          <w:p w14:paraId="2FC7FE9A">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227E5D33">
            <w:pPr>
              <w:jc w:val="center"/>
              <w:rPr>
                <w:rFonts w:hint="default" w:ascii="Calibri" w:hAnsi="Calibri" w:cs="Calibri"/>
                <w:i w:val="0"/>
                <w:iCs w:val="0"/>
                <w:color w:val="auto"/>
                <w:sz w:val="24"/>
                <w:szCs w:val="24"/>
                <w:highlight w:val="none"/>
                <w:u w:val="none"/>
              </w:rPr>
            </w:pPr>
          </w:p>
        </w:tc>
        <w:tc>
          <w:tcPr>
            <w:tcW w:w="1168" w:type="dxa"/>
            <w:noWrap/>
            <w:vAlign w:val="center"/>
          </w:tcPr>
          <w:p w14:paraId="233A3897">
            <w:pPr>
              <w:jc w:val="center"/>
              <w:rPr>
                <w:rFonts w:hint="default" w:ascii="Calibri" w:hAnsi="Calibri" w:cs="Calibri"/>
                <w:i w:val="0"/>
                <w:iCs w:val="0"/>
                <w:color w:val="auto"/>
                <w:sz w:val="24"/>
                <w:szCs w:val="24"/>
                <w:highlight w:val="none"/>
                <w:u w:val="none"/>
              </w:rPr>
            </w:pPr>
          </w:p>
        </w:tc>
        <w:tc>
          <w:tcPr>
            <w:tcW w:w="915" w:type="dxa"/>
            <w:noWrap/>
            <w:vAlign w:val="center"/>
          </w:tcPr>
          <w:p w14:paraId="33357945">
            <w:pPr>
              <w:jc w:val="center"/>
              <w:rPr>
                <w:rFonts w:hint="default" w:ascii="Calibri" w:hAnsi="Calibri" w:cs="Calibri"/>
                <w:i w:val="0"/>
                <w:iCs w:val="0"/>
                <w:color w:val="auto"/>
                <w:sz w:val="24"/>
                <w:szCs w:val="24"/>
                <w:highlight w:val="none"/>
                <w:u w:val="none"/>
              </w:rPr>
            </w:pPr>
          </w:p>
        </w:tc>
      </w:tr>
      <w:tr w14:paraId="2242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517E42F4">
            <w:pPr>
              <w:keepNext w:val="0"/>
              <w:keepLines w:val="0"/>
              <w:widowControl/>
              <w:suppressLineNumbers w:val="0"/>
              <w:jc w:val="center"/>
              <w:textAlignment w:val="center"/>
              <w:rPr>
                <w:rFonts w:hint="default" w:ascii="Calibri" w:hAnsi="Calibri" w:cs="Calibri"/>
                <w:i w:val="0"/>
                <w:iCs w:val="0"/>
                <w:color w:val="auto"/>
                <w:highlight w:val="none"/>
                <w:u w:val="none"/>
                <w:lang w:val="pt-BR"/>
              </w:rPr>
            </w:pPr>
            <w:r>
              <w:rPr>
                <w:rFonts w:hint="default" w:ascii="Calibri" w:hAnsi="Calibri" w:eastAsia="SimSun" w:cs="Calibri"/>
                <w:i w:val="0"/>
                <w:iCs w:val="0"/>
                <w:color w:val="000000"/>
                <w:kern w:val="0"/>
                <w:sz w:val="24"/>
                <w:szCs w:val="24"/>
                <w:u w:val="none"/>
                <w:lang w:val="en-US" w:eastAsia="zh-CN" w:bidi="ar"/>
              </w:rPr>
              <w:t>5</w:t>
            </w:r>
          </w:p>
        </w:tc>
        <w:tc>
          <w:tcPr>
            <w:tcW w:w="5925" w:type="dxa"/>
            <w:noWrap w:val="0"/>
            <w:vAlign w:val="center"/>
          </w:tcPr>
          <w:p w14:paraId="6A54698F">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MOUSE COM FIO USB Resolução de 1000 DPI, 3 botões com scroll central.Cabo USBde no mínimo 1,6 metro. Plug and Play. Garantia mínima de 6 meses.</w:t>
            </w:r>
          </w:p>
        </w:tc>
        <w:tc>
          <w:tcPr>
            <w:tcW w:w="1039" w:type="dxa"/>
            <w:noWrap/>
            <w:vAlign w:val="center"/>
          </w:tcPr>
          <w:p w14:paraId="45D4CE04">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200 </w:t>
            </w:r>
          </w:p>
        </w:tc>
        <w:tc>
          <w:tcPr>
            <w:tcW w:w="729" w:type="dxa"/>
            <w:noWrap/>
            <w:vAlign w:val="center"/>
          </w:tcPr>
          <w:p w14:paraId="1CE1C73B">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311CC798">
            <w:pPr>
              <w:jc w:val="center"/>
              <w:rPr>
                <w:rFonts w:hint="default" w:ascii="Calibri" w:hAnsi="Calibri" w:cs="Calibri"/>
                <w:i w:val="0"/>
                <w:iCs w:val="0"/>
                <w:color w:val="auto"/>
                <w:sz w:val="24"/>
                <w:szCs w:val="24"/>
                <w:highlight w:val="none"/>
                <w:u w:val="none"/>
              </w:rPr>
            </w:pPr>
          </w:p>
        </w:tc>
        <w:tc>
          <w:tcPr>
            <w:tcW w:w="1168" w:type="dxa"/>
            <w:noWrap/>
            <w:vAlign w:val="center"/>
          </w:tcPr>
          <w:p w14:paraId="37C3F637">
            <w:pPr>
              <w:jc w:val="center"/>
              <w:rPr>
                <w:rFonts w:hint="default" w:ascii="Calibri" w:hAnsi="Calibri" w:cs="Calibri"/>
                <w:i w:val="0"/>
                <w:iCs w:val="0"/>
                <w:color w:val="auto"/>
                <w:sz w:val="24"/>
                <w:szCs w:val="24"/>
                <w:highlight w:val="none"/>
                <w:u w:val="none"/>
              </w:rPr>
            </w:pPr>
          </w:p>
        </w:tc>
        <w:tc>
          <w:tcPr>
            <w:tcW w:w="915" w:type="dxa"/>
            <w:noWrap/>
            <w:vAlign w:val="center"/>
          </w:tcPr>
          <w:p w14:paraId="27E2A3DA">
            <w:pPr>
              <w:jc w:val="center"/>
              <w:rPr>
                <w:rFonts w:hint="default" w:ascii="Calibri" w:hAnsi="Calibri" w:cs="Calibri"/>
                <w:i w:val="0"/>
                <w:iCs w:val="0"/>
                <w:color w:val="auto"/>
                <w:sz w:val="24"/>
                <w:szCs w:val="24"/>
                <w:highlight w:val="none"/>
                <w:u w:val="none"/>
              </w:rPr>
            </w:pPr>
          </w:p>
        </w:tc>
      </w:tr>
      <w:tr w14:paraId="2295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0B1EE208">
            <w:pPr>
              <w:keepNext w:val="0"/>
              <w:keepLines w:val="0"/>
              <w:widowControl/>
              <w:suppressLineNumbers w:val="0"/>
              <w:jc w:val="center"/>
              <w:textAlignment w:val="center"/>
              <w:rPr>
                <w:rFonts w:hint="default" w:ascii="Calibri" w:hAnsi="Calibri" w:eastAsia="SimSun" w:cs="Calibri"/>
                <w:i w:val="0"/>
                <w:iCs w:val="0"/>
                <w:color w:val="auto"/>
                <w:kern w:val="0"/>
                <w:sz w:val="24"/>
                <w:szCs w:val="24"/>
                <w:highlight w:val="none"/>
                <w:u w:val="none"/>
                <w:lang w:val="en-US" w:eastAsia="zh-CN" w:bidi="ar"/>
              </w:rPr>
            </w:pPr>
            <w:r>
              <w:rPr>
                <w:rFonts w:hint="default" w:ascii="Calibri" w:hAnsi="Calibri" w:eastAsia="SimSun" w:cs="Calibri"/>
                <w:i w:val="0"/>
                <w:iCs w:val="0"/>
                <w:color w:val="000000"/>
                <w:kern w:val="0"/>
                <w:sz w:val="24"/>
                <w:szCs w:val="24"/>
                <w:u w:val="none"/>
                <w:lang w:val="en-US" w:eastAsia="zh-CN" w:bidi="ar"/>
              </w:rPr>
              <w:t>6</w:t>
            </w:r>
          </w:p>
        </w:tc>
        <w:tc>
          <w:tcPr>
            <w:tcW w:w="5925" w:type="dxa"/>
            <w:noWrap w:val="0"/>
            <w:vAlign w:val="center"/>
          </w:tcPr>
          <w:p w14:paraId="7FF4F563">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MOUSEPAD Mousepad ergônomico. Base antiderrapante. Apoio de pulso em gel.Dimensões: Aproximadamente 23.5cm de comprimento e sua largura é 19.5cm, 3mm de espessura. Material: EVA, tecido e gel.Cor: preto.</w:t>
            </w:r>
          </w:p>
        </w:tc>
        <w:tc>
          <w:tcPr>
            <w:tcW w:w="1039" w:type="dxa"/>
            <w:noWrap/>
            <w:vAlign w:val="center"/>
          </w:tcPr>
          <w:p w14:paraId="75CC36CA">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200 </w:t>
            </w:r>
          </w:p>
        </w:tc>
        <w:tc>
          <w:tcPr>
            <w:tcW w:w="729" w:type="dxa"/>
            <w:noWrap/>
            <w:vAlign w:val="center"/>
          </w:tcPr>
          <w:p w14:paraId="1DD9BB0E">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2FDD37DE">
            <w:pPr>
              <w:jc w:val="center"/>
              <w:rPr>
                <w:rFonts w:hint="default" w:ascii="Calibri" w:hAnsi="Calibri" w:cs="Calibri"/>
                <w:i w:val="0"/>
                <w:iCs w:val="0"/>
                <w:color w:val="auto"/>
                <w:sz w:val="24"/>
                <w:szCs w:val="24"/>
                <w:highlight w:val="none"/>
                <w:u w:val="none"/>
              </w:rPr>
            </w:pPr>
          </w:p>
        </w:tc>
        <w:tc>
          <w:tcPr>
            <w:tcW w:w="1168" w:type="dxa"/>
            <w:noWrap/>
            <w:vAlign w:val="center"/>
          </w:tcPr>
          <w:p w14:paraId="6A0350C1">
            <w:pPr>
              <w:jc w:val="center"/>
              <w:rPr>
                <w:rFonts w:hint="default" w:ascii="Calibri" w:hAnsi="Calibri" w:cs="Calibri"/>
                <w:i w:val="0"/>
                <w:iCs w:val="0"/>
                <w:color w:val="auto"/>
                <w:sz w:val="24"/>
                <w:szCs w:val="24"/>
                <w:highlight w:val="none"/>
                <w:u w:val="none"/>
              </w:rPr>
            </w:pPr>
          </w:p>
        </w:tc>
        <w:tc>
          <w:tcPr>
            <w:tcW w:w="915" w:type="dxa"/>
            <w:noWrap/>
            <w:vAlign w:val="center"/>
          </w:tcPr>
          <w:p w14:paraId="45BCAFC0">
            <w:pPr>
              <w:jc w:val="center"/>
              <w:rPr>
                <w:rFonts w:hint="default" w:ascii="Calibri" w:hAnsi="Calibri" w:cs="Calibri"/>
                <w:i w:val="0"/>
                <w:iCs w:val="0"/>
                <w:color w:val="auto"/>
                <w:sz w:val="24"/>
                <w:szCs w:val="24"/>
                <w:highlight w:val="none"/>
                <w:u w:val="none"/>
              </w:rPr>
            </w:pPr>
          </w:p>
        </w:tc>
      </w:tr>
      <w:tr w14:paraId="1AE5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4A9A004D">
            <w:pPr>
              <w:keepNext w:val="0"/>
              <w:keepLines w:val="0"/>
              <w:widowControl/>
              <w:suppressLineNumbers w:val="0"/>
              <w:jc w:val="center"/>
              <w:textAlignment w:val="center"/>
              <w:rPr>
                <w:rFonts w:hint="default" w:ascii="Calibri" w:hAnsi="Calibri" w:eastAsia="SimSun" w:cs="Calibri"/>
                <w:i w:val="0"/>
                <w:iCs w:val="0"/>
                <w:color w:val="auto"/>
                <w:kern w:val="0"/>
                <w:sz w:val="24"/>
                <w:szCs w:val="24"/>
                <w:highlight w:val="none"/>
                <w:u w:val="none"/>
                <w:lang w:val="en-US" w:eastAsia="zh-CN" w:bidi="ar"/>
              </w:rPr>
            </w:pPr>
            <w:r>
              <w:rPr>
                <w:rFonts w:hint="default" w:ascii="Calibri" w:hAnsi="Calibri" w:eastAsia="SimSun" w:cs="Calibri"/>
                <w:i w:val="0"/>
                <w:iCs w:val="0"/>
                <w:color w:val="000000"/>
                <w:kern w:val="0"/>
                <w:sz w:val="24"/>
                <w:szCs w:val="24"/>
                <w:u w:val="none"/>
                <w:lang w:val="en-US" w:eastAsia="zh-CN" w:bidi="ar"/>
              </w:rPr>
              <w:t>7</w:t>
            </w:r>
          </w:p>
        </w:tc>
        <w:tc>
          <w:tcPr>
            <w:tcW w:w="5925" w:type="dxa"/>
            <w:noWrap w:val="0"/>
            <w:vAlign w:val="center"/>
          </w:tcPr>
          <w:p w14:paraId="2D1FEEC7">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NOTEBOOK TIPO I - COTA ME/EPP Processador - Modelo Intel Core i5-12450HX- Núcleos 8 núcleos (4 P-cores + 4 E-cores) - Threads 12 threads - Frequência Base 3,1 GHz (E-core) - Frequência Máxima Até 4,4 GHz (P-core) - Cache 12 MB Especificações de memória: Tamanho máximo de memória (de acordo com o tipo de memória) 128 GB Tipos de memória Up to DDR5 4800 MT/s Up to DDR4 3200 MT/s N máximo de canais de memória 2 Largura de banda máxima da memória 76.8 GB/s Compatibilidade com memória ECC Não Especificações da GPU: Máxima frequência dinâmica da placa gráfica 1.30 GHzSaída gráfica eDP 1.4b, DP 1.4a, HDMI 2.1 Unidades de Execução 16 Resolução máxima (HDMI) 4096 x2304 @60HzResolução máxima (DP) 7680 x4320 @60HzResolução máxima (eDP- tela plana integrada) 5120 x 3200 @ 120Hz Suporte para DirectX12.1 Suporte para OpenGL 4.6 Suporte a OpenCL 3.0 Mecanismos de Codec Multiformatos 1 N de monitores aceitos 4 Opções de expansão: Revisão da Interface de Mídia Direta (DMI) 4.0 N máx. de pistas DMI 8 Revisão de PCI Express 5.0 and 4.0 Configurações PCI Express Up to 1x16+4, 2x8+4 N máximo de linhas PCI Express 20 Gráficos - Memória de Vídeo 6GB GDDR6 - Boost Clock 2145MHz - TGP 65W Tela - Tamanho 15.6 polegadas - Resolução FHD(1920x1080) - Tipo de Painel IPS- Brilho 300 nits -AcabamentoAntirreflexo - Gamut de Cor 100%sRGB- Taxa deAtualização 144Hz Memória - Instalada ou não (Dependendo do modelo da placa mãe) 1x16GB ou 2x8GB - Tipo DDR5 - Velocidade 4800MHz - Capacidade Máxima Suportada Até 32GB ou 64GB DDR5-4800 MHz (Dependendo do modelo da placa mãe)Armazenamento - SSD 512 GB M.2 PCIe 4.0x4 NVMe - Slots Totais 2 slots M.2 PCIe 4.0 x4 - Suporte Máximo Até duas unidades SSD M.2 de até 1 TB cada Áudio e Multimídia - Chip de Áudio Alta Definição (HD), codec RealtekALC3287 - Alto-falantes Estéreo 2Wx2 - Otimização NahimicAudio - Microfone Matriz dupla (2x) - Câmera HD 720p Conectividade - Wi-Fi Wi-Fi 6 (802.11ax 2x2) - Bluetooth 5.2 - Ethernet 100/1000M(RJ-45) Portas e Slots - 2xUSB-A(USB 5Gbps / USB 3.2 Gen 1) - 1xUSB-C (USB 5Gbps / USB 3.2 Gen 1) somente dados - 1xHDMI 2.1 (suporte até 8K/60Hz) - 1x Conector combinado fone/microfone (3,5 mm) - 1x Ethernet (RJ-45) - 1x Leitor de cartão - 1x Conector de alimentação Dispositivos de Entrada - Teclado Layout Português (BR) - Touchpad Multitoque sem botões Bateria e Energia - Bateria Integrada de 57Wh - Adaptador de Energia 135W Ponta fina (3 pinos) Software - SistemaOperacional Windows 11 Home Single Language, Português (Brasil). Garantia mínima de12 meses.Selo do INMETRO.</w:t>
            </w:r>
          </w:p>
        </w:tc>
        <w:tc>
          <w:tcPr>
            <w:tcW w:w="1039" w:type="dxa"/>
            <w:noWrap/>
            <w:vAlign w:val="center"/>
          </w:tcPr>
          <w:p w14:paraId="58CF5FF7">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25 </w:t>
            </w:r>
          </w:p>
        </w:tc>
        <w:tc>
          <w:tcPr>
            <w:tcW w:w="729" w:type="dxa"/>
            <w:noWrap/>
            <w:vAlign w:val="center"/>
          </w:tcPr>
          <w:p w14:paraId="2760CA91">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28A23BE9">
            <w:pPr>
              <w:jc w:val="center"/>
              <w:rPr>
                <w:rFonts w:hint="default" w:ascii="Calibri" w:hAnsi="Calibri" w:cs="Calibri"/>
                <w:i w:val="0"/>
                <w:iCs w:val="0"/>
                <w:color w:val="auto"/>
                <w:sz w:val="24"/>
                <w:szCs w:val="24"/>
                <w:highlight w:val="none"/>
                <w:u w:val="none"/>
              </w:rPr>
            </w:pPr>
          </w:p>
        </w:tc>
        <w:tc>
          <w:tcPr>
            <w:tcW w:w="1168" w:type="dxa"/>
            <w:noWrap/>
            <w:vAlign w:val="center"/>
          </w:tcPr>
          <w:p w14:paraId="3BC324E0">
            <w:pPr>
              <w:jc w:val="center"/>
              <w:rPr>
                <w:rFonts w:hint="default" w:ascii="Calibri" w:hAnsi="Calibri" w:cs="Calibri"/>
                <w:i w:val="0"/>
                <w:iCs w:val="0"/>
                <w:color w:val="auto"/>
                <w:sz w:val="24"/>
                <w:szCs w:val="24"/>
                <w:highlight w:val="none"/>
                <w:u w:val="none"/>
              </w:rPr>
            </w:pPr>
          </w:p>
        </w:tc>
        <w:tc>
          <w:tcPr>
            <w:tcW w:w="915" w:type="dxa"/>
            <w:noWrap/>
            <w:vAlign w:val="center"/>
          </w:tcPr>
          <w:p w14:paraId="380653E2">
            <w:pPr>
              <w:jc w:val="center"/>
              <w:rPr>
                <w:rFonts w:hint="default" w:ascii="Calibri" w:hAnsi="Calibri" w:cs="Calibri"/>
                <w:i w:val="0"/>
                <w:iCs w:val="0"/>
                <w:color w:val="auto"/>
                <w:sz w:val="24"/>
                <w:szCs w:val="24"/>
                <w:highlight w:val="none"/>
                <w:u w:val="none"/>
              </w:rPr>
            </w:pPr>
          </w:p>
        </w:tc>
      </w:tr>
      <w:tr w14:paraId="19B9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1ED07CD1">
            <w:pPr>
              <w:keepNext w:val="0"/>
              <w:keepLines w:val="0"/>
              <w:widowControl/>
              <w:suppressLineNumbers w:val="0"/>
              <w:jc w:val="center"/>
              <w:textAlignment w:val="center"/>
              <w:rPr>
                <w:rFonts w:hint="default" w:ascii="Calibri" w:hAnsi="Calibri" w:eastAsia="SimSun" w:cs="Calibri"/>
                <w:i w:val="0"/>
                <w:iCs w:val="0"/>
                <w:color w:val="auto"/>
                <w:kern w:val="0"/>
                <w:sz w:val="24"/>
                <w:szCs w:val="24"/>
                <w:highlight w:val="none"/>
                <w:u w:val="none"/>
                <w:lang w:val="en-US" w:eastAsia="zh-CN" w:bidi="ar"/>
              </w:rPr>
            </w:pPr>
            <w:r>
              <w:rPr>
                <w:rFonts w:hint="default" w:ascii="Calibri" w:hAnsi="Calibri" w:eastAsia="SimSun" w:cs="Calibri"/>
                <w:i w:val="0"/>
                <w:iCs w:val="0"/>
                <w:color w:val="000000"/>
                <w:kern w:val="0"/>
                <w:sz w:val="24"/>
                <w:szCs w:val="24"/>
                <w:u w:val="none"/>
                <w:lang w:val="en-US" w:eastAsia="zh-CN" w:bidi="ar"/>
              </w:rPr>
              <w:t>8</w:t>
            </w:r>
          </w:p>
        </w:tc>
        <w:tc>
          <w:tcPr>
            <w:tcW w:w="5925" w:type="dxa"/>
            <w:noWrap w:val="0"/>
            <w:vAlign w:val="center"/>
          </w:tcPr>
          <w:p w14:paraId="4A8403D2">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NOTEBOOK TIPO I - COTA PRINCIPAL (AC) Processador - Modelo Intel Core i5-12450HX- Núcleos 8 núcleos (4 P-cores + 4 E-cores) - Threads 12 threads - Frequência Base 3,1 GHz (E-core) - Frequência Máxima Até 4,4 GHz (P-core) - Cache 12 MB Especificações de memória: Tamanho máximo de memória (de acordo com o tipo de memória) 128 GB Tipos de memória Up to DDR5 4800 MT/s Up to DDR4 3200 MT/s N máximo de canais de memória 2 Largura de banda máxima da memória 76.8 GB/s Compatibilidade com memória ECC Não Especificações da GPU: Máxima frequência dinâmica da placa gráfica 1.30 GHzSaída gráfica eDP 1.4b, DP 1.4a, HDMI 2.1 Unidades de Execução 16 Resolução máxima (HDMI) 4096 x2304 @60HzResolução máxima (DP) 7680 x4320 @60HzResolução máxima (eDP- tela plana integrada) 5120 x 3200 @ 120Hz Suporte para DirectX12.1 Suporte para OpenGL 4.6 Suporte a OpenCL 3.0 Mecanismos de Codec Multiformatos 1 N de monitores aceitos 4 Opções de expansão: Revisão da Interface de Mídia Direta (DMI) 4.0 N máx. de pistas DMI 8 Revisão de PCI Express 5.0 and 4.0 Configurações PCI Express Up to 1x16+4, 2x8+4 N máximo de linhas PCI Express 20 Gráficos - Memória de Vídeo 6GB GDDR6 - Boost Clock 2145MHz - TGP 65W Tela - Tamanho 15.6 polegadas - Resolução FHD(1920x1080) - Tipo de Painel IPS- Brilho 300 nits -AcabamentoAntirreflexo - Gamut de Cor 100%sRGB- Taxa deAtualização 144Hz Memória - Instalada ou não (Dependendo do modelo da placa mãe) 1x16GB ou 2x8GB - Tipo DDR5 - Velocidade 4800MHz - Capacidade Máxima Suportada Até 32GB ou 64GB DDR5-4800 MHz (Dependendo do modelo da placa mãe)Armazenamento - SSD 512 GB M.2 PCIe 4.0x4 NVMe - Slots Totais 2 slots M.2 PCIe 4.0 x4 - Suporte Máximo Até duas unidades SSD M.2 de até 1 TB cada Áudio e Multimídia - Chip de Áudio Alta Definição (HD), codec RealtekALC3287 - Alto-falantes Estéreo 2Wx2 - Otimização NahimicAudio - Microfone Matriz dupla (2x) - Câmera HD 720p Conectividade - Wi-Fi Wi-Fi 6 (802.11ax 2x2) - Bluetooth 5.2 - Ethernet 100/1000M(RJ-45) Portas e Slots - 2xUSB-A(USB 5Gbps / USB 3.2 Gen 1) - 1xUSB-C (USB 5Gbps / USB 3.2 Gen 1) somente dados - 1xHDMI 2.1 (suporte até 8K/60Hz) - 1x Conector combinado fone/microfone (3,5 mm) - 1x Ethernet (RJ-45) - 1x Leitor de cartão - 1x Conector de alimentação Dispositivos de Entrada - Teclado Layout Português (BR) - Touchpad Multitoque sem botões Bateria e Energia - Bateria Integrada de 57Wh - Adaptador de Energia 135W Ponta fina (3 pinos) Software - SistemaOperacional Windows 11 Home Single Language, Português (Brasil). Garantia mínima de12 meses. Selo do INMETRO.</w:t>
            </w:r>
          </w:p>
        </w:tc>
        <w:tc>
          <w:tcPr>
            <w:tcW w:w="1039" w:type="dxa"/>
            <w:noWrap/>
            <w:vAlign w:val="center"/>
          </w:tcPr>
          <w:p w14:paraId="13EA1C08">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75 </w:t>
            </w:r>
          </w:p>
        </w:tc>
        <w:tc>
          <w:tcPr>
            <w:tcW w:w="729" w:type="dxa"/>
            <w:noWrap/>
            <w:vAlign w:val="center"/>
          </w:tcPr>
          <w:p w14:paraId="170215BC">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2B3E1BFA">
            <w:pPr>
              <w:jc w:val="center"/>
              <w:rPr>
                <w:rFonts w:hint="default" w:ascii="Calibri" w:hAnsi="Calibri" w:cs="Calibri"/>
                <w:i w:val="0"/>
                <w:iCs w:val="0"/>
                <w:color w:val="auto"/>
                <w:sz w:val="24"/>
                <w:szCs w:val="24"/>
                <w:highlight w:val="none"/>
                <w:u w:val="none"/>
              </w:rPr>
            </w:pPr>
          </w:p>
        </w:tc>
        <w:tc>
          <w:tcPr>
            <w:tcW w:w="1168" w:type="dxa"/>
            <w:noWrap/>
            <w:vAlign w:val="center"/>
          </w:tcPr>
          <w:p w14:paraId="3F0352E7">
            <w:pPr>
              <w:jc w:val="center"/>
              <w:rPr>
                <w:rFonts w:hint="default" w:ascii="Calibri" w:hAnsi="Calibri" w:cs="Calibri"/>
                <w:i w:val="0"/>
                <w:iCs w:val="0"/>
                <w:color w:val="auto"/>
                <w:sz w:val="24"/>
                <w:szCs w:val="24"/>
                <w:highlight w:val="none"/>
                <w:u w:val="none"/>
              </w:rPr>
            </w:pPr>
          </w:p>
        </w:tc>
        <w:tc>
          <w:tcPr>
            <w:tcW w:w="915" w:type="dxa"/>
            <w:noWrap/>
            <w:vAlign w:val="center"/>
          </w:tcPr>
          <w:p w14:paraId="26F794AB">
            <w:pPr>
              <w:jc w:val="center"/>
              <w:rPr>
                <w:rFonts w:hint="default" w:ascii="Calibri" w:hAnsi="Calibri" w:cs="Calibri"/>
                <w:i w:val="0"/>
                <w:iCs w:val="0"/>
                <w:color w:val="auto"/>
                <w:sz w:val="24"/>
                <w:szCs w:val="24"/>
                <w:highlight w:val="none"/>
                <w:u w:val="none"/>
              </w:rPr>
            </w:pPr>
          </w:p>
        </w:tc>
      </w:tr>
      <w:tr w14:paraId="72DA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81" w:type="dxa"/>
            <w:noWrap/>
            <w:vAlign w:val="center"/>
          </w:tcPr>
          <w:p w14:paraId="789BF62E">
            <w:pPr>
              <w:keepNext w:val="0"/>
              <w:keepLines w:val="0"/>
              <w:widowControl/>
              <w:suppressLineNumbers w:val="0"/>
              <w:jc w:val="center"/>
              <w:textAlignment w:val="center"/>
              <w:rPr>
                <w:rFonts w:hint="default" w:ascii="Calibri" w:hAnsi="Calibri" w:eastAsia="SimSun" w:cs="Calibri"/>
                <w:i w:val="0"/>
                <w:iCs w:val="0"/>
                <w:color w:val="auto"/>
                <w:kern w:val="0"/>
                <w:sz w:val="24"/>
                <w:szCs w:val="24"/>
                <w:highlight w:val="none"/>
                <w:u w:val="none"/>
                <w:lang w:val="en-US" w:eastAsia="zh-CN" w:bidi="ar"/>
              </w:rPr>
            </w:pPr>
            <w:r>
              <w:rPr>
                <w:rFonts w:hint="default" w:ascii="Calibri" w:hAnsi="Calibri" w:eastAsia="SimSun" w:cs="Calibri"/>
                <w:i w:val="0"/>
                <w:iCs w:val="0"/>
                <w:color w:val="000000"/>
                <w:kern w:val="0"/>
                <w:sz w:val="24"/>
                <w:szCs w:val="24"/>
                <w:u w:val="none"/>
                <w:lang w:val="en-US" w:eastAsia="zh-CN" w:bidi="ar"/>
              </w:rPr>
              <w:t>9</w:t>
            </w:r>
          </w:p>
        </w:tc>
        <w:tc>
          <w:tcPr>
            <w:tcW w:w="5925" w:type="dxa"/>
            <w:noWrap w:val="0"/>
            <w:vAlign w:val="center"/>
          </w:tcPr>
          <w:p w14:paraId="532DEA34">
            <w:pPr>
              <w:keepNext w:val="0"/>
              <w:keepLines w:val="0"/>
              <w:widowControl/>
              <w:suppressLineNumbers w:val="0"/>
              <w:jc w:val="both"/>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TECLADO USB CTeclas de perfil plano e silenciosas. Conexão USB. Padrão ABNT2. Comprimento do cabo, mínimo: 150 cm. Versão em Português. Design resistente a derramamentos. Teclas duráveis que resistem a até 10 milhões de pressionamentos. Suportes inclináveis, fortes e ajustáveis.Caracteres nítidos e brilhantes.Garantia mínima de 6 meses.</w:t>
            </w:r>
          </w:p>
        </w:tc>
        <w:tc>
          <w:tcPr>
            <w:tcW w:w="1039" w:type="dxa"/>
            <w:noWrap/>
            <w:vAlign w:val="center"/>
          </w:tcPr>
          <w:p w14:paraId="54F207FC">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 xml:space="preserve">200 </w:t>
            </w:r>
          </w:p>
        </w:tc>
        <w:tc>
          <w:tcPr>
            <w:tcW w:w="729" w:type="dxa"/>
            <w:noWrap/>
            <w:vAlign w:val="center"/>
          </w:tcPr>
          <w:p w14:paraId="6FF932CF">
            <w:pPr>
              <w:keepNext w:val="0"/>
              <w:keepLines w:val="0"/>
              <w:widowControl/>
              <w:suppressLineNumbers w:val="0"/>
              <w:jc w:val="center"/>
              <w:textAlignment w:val="center"/>
              <w:rPr>
                <w:rFonts w:hint="default" w:ascii="Calibri" w:hAnsi="Calibri" w:cs="Calibri"/>
                <w:i w:val="0"/>
                <w:iCs w:val="0"/>
                <w:color w:val="auto"/>
                <w:highlight w:val="none"/>
                <w:u w:val="none"/>
              </w:rPr>
            </w:pPr>
            <w:r>
              <w:rPr>
                <w:rFonts w:hint="default" w:ascii="Calibri" w:hAnsi="Calibri" w:eastAsia="SimSun" w:cs="Calibri"/>
                <w:i w:val="0"/>
                <w:iCs w:val="0"/>
                <w:color w:val="000000"/>
                <w:kern w:val="0"/>
                <w:sz w:val="24"/>
                <w:szCs w:val="24"/>
                <w:u w:val="none"/>
                <w:lang w:val="en-US" w:eastAsia="zh-CN" w:bidi="ar"/>
              </w:rPr>
              <w:t>UN</w:t>
            </w:r>
          </w:p>
        </w:tc>
        <w:tc>
          <w:tcPr>
            <w:tcW w:w="889" w:type="dxa"/>
            <w:noWrap/>
            <w:vAlign w:val="center"/>
          </w:tcPr>
          <w:p w14:paraId="59EEB989">
            <w:pPr>
              <w:jc w:val="center"/>
              <w:rPr>
                <w:rFonts w:hint="default" w:ascii="Calibri" w:hAnsi="Calibri" w:cs="Calibri"/>
                <w:i w:val="0"/>
                <w:iCs w:val="0"/>
                <w:color w:val="auto"/>
                <w:sz w:val="24"/>
                <w:szCs w:val="24"/>
                <w:highlight w:val="none"/>
                <w:u w:val="none"/>
              </w:rPr>
            </w:pPr>
          </w:p>
        </w:tc>
        <w:tc>
          <w:tcPr>
            <w:tcW w:w="1168" w:type="dxa"/>
            <w:noWrap/>
            <w:vAlign w:val="center"/>
          </w:tcPr>
          <w:p w14:paraId="7F2631EE">
            <w:pPr>
              <w:jc w:val="center"/>
              <w:rPr>
                <w:rFonts w:hint="default" w:ascii="Calibri" w:hAnsi="Calibri" w:cs="Calibri"/>
                <w:i w:val="0"/>
                <w:iCs w:val="0"/>
                <w:color w:val="auto"/>
                <w:sz w:val="24"/>
                <w:szCs w:val="24"/>
                <w:highlight w:val="none"/>
                <w:u w:val="none"/>
              </w:rPr>
            </w:pPr>
          </w:p>
        </w:tc>
        <w:tc>
          <w:tcPr>
            <w:tcW w:w="915" w:type="dxa"/>
            <w:noWrap/>
            <w:vAlign w:val="center"/>
          </w:tcPr>
          <w:p w14:paraId="6B833117">
            <w:pPr>
              <w:jc w:val="center"/>
              <w:rPr>
                <w:rFonts w:hint="default" w:ascii="Calibri" w:hAnsi="Calibri" w:cs="Calibri"/>
                <w:i w:val="0"/>
                <w:iCs w:val="0"/>
                <w:color w:val="auto"/>
                <w:sz w:val="24"/>
                <w:szCs w:val="24"/>
                <w:highlight w:val="none"/>
                <w:u w:val="none"/>
              </w:rPr>
            </w:pPr>
          </w:p>
        </w:tc>
      </w:tr>
    </w:tbl>
    <w:p w14:paraId="3F1EE3AD">
      <w:pPr>
        <w:pStyle w:val="5"/>
        <w:rPr>
          <w:bCs/>
          <w:color w:val="auto"/>
          <w:highlight w:val="none"/>
        </w:rPr>
      </w:pPr>
    </w:p>
    <w:p w14:paraId="3A95EAB2">
      <w:pPr>
        <w:pStyle w:val="5"/>
        <w:rPr>
          <w:bCs/>
          <w:color w:val="auto"/>
          <w:highlight w:val="none"/>
        </w:rPr>
      </w:pPr>
      <w:r>
        <w:rPr>
          <w:bCs/>
          <w:color w:val="auto"/>
          <w:highlight w:val="none"/>
        </w:rPr>
        <w:t>Prazo de validade da proposta: 60 (sessenta) dias.</w:t>
      </w:r>
    </w:p>
    <w:p w14:paraId="2AEFB7A5">
      <w:pPr>
        <w:pStyle w:val="5"/>
        <w:rPr>
          <w:rFonts w:ascii="Calibri" w:hAnsi="Calibri"/>
          <w:color w:val="auto"/>
          <w:highlight w:val="none"/>
        </w:rPr>
      </w:pPr>
    </w:p>
    <w:p w14:paraId="79E90534">
      <w:pPr>
        <w:pStyle w:val="5"/>
        <w:rPr>
          <w:rFonts w:ascii="Calibri" w:hAnsi="Calibri"/>
          <w:color w:val="auto"/>
          <w:highlight w:val="none"/>
        </w:rPr>
      </w:pPr>
      <w:r>
        <w:rPr>
          <w:rFonts w:ascii="Calibri" w:hAnsi="Calibri"/>
          <w:color w:val="auto"/>
          <w:highlight w:val="none"/>
        </w:rPr>
        <w:t>Local e data</w:t>
      </w:r>
    </w:p>
    <w:p w14:paraId="73DCF462">
      <w:pPr>
        <w:pStyle w:val="5"/>
        <w:rPr>
          <w:rFonts w:ascii="Calibri" w:hAnsi="Calibri"/>
          <w:color w:val="auto"/>
          <w:highlight w:val="none"/>
        </w:rPr>
      </w:pPr>
    </w:p>
    <w:p w14:paraId="14300AE6">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26EB7305">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3DAF4485">
      <w:pPr>
        <w:pStyle w:val="4"/>
        <w:spacing w:after="0"/>
        <w:jc w:val="center"/>
        <w:rPr>
          <w:rFonts w:cs="Arial"/>
          <w:b/>
          <w:color w:val="auto"/>
          <w:sz w:val="32"/>
          <w:szCs w:val="32"/>
          <w:highlight w:val="none"/>
          <w:lang w:eastAsia="pt-PT"/>
        </w:rPr>
      </w:pPr>
    </w:p>
    <w:p w14:paraId="303A6D28">
      <w:pPr>
        <w:pStyle w:val="4"/>
        <w:spacing w:after="0"/>
        <w:jc w:val="center"/>
        <w:rPr>
          <w:rFonts w:cs="Arial"/>
          <w:b/>
          <w:color w:val="auto"/>
          <w:sz w:val="32"/>
          <w:szCs w:val="32"/>
          <w:highlight w:val="none"/>
          <w:lang w:eastAsia="pt-PT"/>
        </w:rPr>
      </w:pPr>
    </w:p>
    <w:p w14:paraId="0C364DE1">
      <w:pPr>
        <w:pStyle w:val="4"/>
        <w:spacing w:after="0"/>
        <w:jc w:val="center"/>
        <w:rPr>
          <w:rFonts w:cs="Arial"/>
          <w:b/>
          <w:color w:val="auto"/>
          <w:sz w:val="32"/>
          <w:szCs w:val="32"/>
          <w:highlight w:val="none"/>
          <w:lang w:eastAsia="pt-PT"/>
        </w:rPr>
      </w:pPr>
    </w:p>
    <w:p w14:paraId="3D31B619">
      <w:pPr>
        <w:pStyle w:val="4"/>
        <w:spacing w:after="0"/>
        <w:jc w:val="center"/>
        <w:rPr>
          <w:rFonts w:cs="Arial"/>
          <w:b/>
          <w:color w:val="auto"/>
          <w:sz w:val="32"/>
          <w:szCs w:val="32"/>
          <w:highlight w:val="none"/>
          <w:lang w:eastAsia="pt-PT"/>
        </w:rPr>
      </w:pPr>
    </w:p>
    <w:p w14:paraId="6C0B5916">
      <w:pPr>
        <w:pStyle w:val="4"/>
        <w:spacing w:after="0"/>
        <w:jc w:val="center"/>
        <w:rPr>
          <w:rFonts w:cs="Arial"/>
          <w:b/>
          <w:color w:val="auto"/>
          <w:sz w:val="32"/>
          <w:szCs w:val="32"/>
          <w:highlight w:val="none"/>
          <w:lang w:eastAsia="pt-PT"/>
        </w:rPr>
      </w:pPr>
    </w:p>
    <w:p w14:paraId="7C9F5E78">
      <w:pPr>
        <w:pStyle w:val="4"/>
        <w:spacing w:after="0"/>
        <w:jc w:val="center"/>
        <w:rPr>
          <w:rFonts w:cs="Arial"/>
          <w:b/>
          <w:color w:val="auto"/>
          <w:sz w:val="32"/>
          <w:szCs w:val="32"/>
          <w:highlight w:val="none"/>
          <w:lang w:eastAsia="pt-PT"/>
        </w:rPr>
      </w:pPr>
    </w:p>
    <w:p w14:paraId="2368659F">
      <w:pPr>
        <w:pStyle w:val="4"/>
        <w:spacing w:after="0"/>
        <w:jc w:val="center"/>
        <w:rPr>
          <w:rFonts w:cs="Arial"/>
          <w:b/>
          <w:color w:val="auto"/>
          <w:sz w:val="32"/>
          <w:szCs w:val="32"/>
          <w:highlight w:val="none"/>
          <w:lang w:eastAsia="pt-PT"/>
        </w:rPr>
      </w:pPr>
    </w:p>
    <w:p w14:paraId="56351453">
      <w:pPr>
        <w:pStyle w:val="4"/>
        <w:spacing w:after="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335F790A">
      <w:pPr>
        <w:pStyle w:val="4"/>
        <w:spacing w:line="280" w:lineRule="exact"/>
        <w:jc w:val="center"/>
        <w:rPr>
          <w:rFonts w:cs="Arial"/>
          <w:b/>
          <w:color w:val="auto"/>
          <w:sz w:val="30"/>
          <w:szCs w:val="30"/>
          <w:highlight w:val="none"/>
        </w:rPr>
      </w:pPr>
    </w:p>
    <w:p w14:paraId="63E8B481">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17616F85">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21/2026</w:t>
      </w:r>
      <w:r>
        <w:rPr>
          <w:rFonts w:ascii="Calibri" w:hAnsi="Calibri"/>
          <w:bCs/>
          <w:i/>
          <w:iCs/>
          <w:color w:val="auto"/>
          <w:highlight w:val="none"/>
        </w:rPr>
        <w:t xml:space="preserve"> – TUCUNDUVA/RS</w:t>
      </w:r>
    </w:p>
    <w:p w14:paraId="2F8C8B8E">
      <w:pPr>
        <w:pStyle w:val="4"/>
        <w:spacing w:line="280" w:lineRule="exact"/>
        <w:ind w:left="0" w:leftChars="0" w:firstLine="0" w:firstLineChars="0"/>
        <w:jc w:val="both"/>
        <w:rPr>
          <w:rFonts w:ascii="Calibri" w:hAnsi="Calibri" w:cs="Calibri"/>
          <w:bCs/>
          <w:color w:val="auto"/>
          <w:sz w:val="24"/>
          <w:szCs w:val="24"/>
          <w:highlight w:val="none"/>
        </w:rPr>
      </w:pPr>
      <w:bookmarkStart w:id="0" w:name="_GoBack"/>
      <w:bookmarkEnd w:id="0"/>
    </w:p>
    <w:p w14:paraId="5D3B2AA0">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6E21D6C1">
      <w:pPr>
        <w:autoSpaceDE w:val="0"/>
        <w:autoSpaceDN w:val="0"/>
        <w:adjustRightInd w:val="0"/>
        <w:spacing w:line="260" w:lineRule="exact"/>
        <w:jc w:val="both"/>
        <w:rPr>
          <w:rFonts w:ascii="Calibri" w:hAnsi="Calibri" w:eastAsia="Times New Roman" w:cs="Calibri"/>
          <w:color w:val="auto"/>
          <w:highlight w:val="none"/>
          <w:lang w:eastAsia="pt-BR"/>
        </w:rPr>
      </w:pPr>
    </w:p>
    <w:p w14:paraId="3C4C9160">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3F5FCC77">
      <w:pPr>
        <w:spacing w:line="260" w:lineRule="exact"/>
        <w:jc w:val="both"/>
        <w:rPr>
          <w:rFonts w:cs="Arial"/>
          <w:bCs/>
          <w:color w:val="auto"/>
          <w:sz w:val="24"/>
          <w:szCs w:val="24"/>
          <w:highlight w:val="none"/>
        </w:rPr>
      </w:pPr>
    </w:p>
    <w:p w14:paraId="225C4A8C">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5DDCFECA">
      <w:pPr>
        <w:pStyle w:val="5"/>
        <w:spacing w:line="260" w:lineRule="exact"/>
        <w:jc w:val="both"/>
        <w:rPr>
          <w:b/>
          <w:bCs/>
          <w:color w:val="auto"/>
          <w:highlight w:val="none"/>
        </w:rPr>
      </w:pPr>
    </w:p>
    <w:p w14:paraId="741DFE9E">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34C3C49F">
      <w:pPr>
        <w:pStyle w:val="5"/>
        <w:spacing w:line="260" w:lineRule="exact"/>
        <w:jc w:val="both"/>
        <w:rPr>
          <w:color w:val="auto"/>
          <w:highlight w:val="none"/>
        </w:rPr>
      </w:pPr>
    </w:p>
    <w:p w14:paraId="0C4D27FA">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78CA9E6">
      <w:pPr>
        <w:pStyle w:val="5"/>
        <w:spacing w:line="260" w:lineRule="exact"/>
        <w:jc w:val="both"/>
        <w:rPr>
          <w:color w:val="auto"/>
          <w:highlight w:val="none"/>
        </w:rPr>
      </w:pPr>
    </w:p>
    <w:p w14:paraId="038C3C3F">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81E391">
      <w:pPr>
        <w:pStyle w:val="5"/>
        <w:spacing w:line="260" w:lineRule="exact"/>
        <w:jc w:val="both"/>
        <w:rPr>
          <w:color w:val="auto"/>
          <w:highlight w:val="none"/>
        </w:rPr>
      </w:pPr>
    </w:p>
    <w:p w14:paraId="44D420A9">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5C70D7A1">
      <w:pPr>
        <w:pStyle w:val="4"/>
        <w:spacing w:after="0" w:line="260" w:lineRule="exact"/>
        <w:jc w:val="both"/>
        <w:rPr>
          <w:rFonts w:ascii="Calibri" w:hAnsi="Calibri" w:eastAsia="Times New Roman" w:cs="Calibri"/>
          <w:color w:val="auto"/>
          <w:highlight w:val="none"/>
          <w:lang w:eastAsia="pt-BR"/>
        </w:rPr>
      </w:pPr>
    </w:p>
    <w:p w14:paraId="1A949693">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5F8DEAFD">
      <w:pPr>
        <w:spacing w:after="120" w:line="280" w:lineRule="exact"/>
        <w:jc w:val="both"/>
        <w:rPr>
          <w:rFonts w:ascii="Calibri" w:hAnsi="Calibri" w:eastAsia="Times New Roman" w:cs="Calibri"/>
          <w:color w:val="auto"/>
          <w:sz w:val="24"/>
          <w:szCs w:val="24"/>
          <w:highlight w:val="none"/>
          <w:lang w:eastAsia="pt-BR"/>
        </w:rPr>
      </w:pPr>
    </w:p>
    <w:p w14:paraId="406E05DC">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0877A108">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2B4D7849">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217A6835"/>
    <w:sectPr>
      <w:pgSz w:w="11906" w:h="16838"/>
      <w:pgMar w:top="1440" w:right="866" w:bottom="1440" w:left="11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Normal">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836F56"/>
    <w:rsid w:val="15836F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2026-08-11T14:16:00Z</dcterms:created>
  <dc:creator>WPS_1776254901</dc:creator>
  <cp:lastModifiedBy>WPS_1776254901</cp:lastModifiedBy>
  <dcterms:modified xsi:type="dcterms:W3CDTF">2026-08-11T14:19:17Z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4A428A10CB384655B037F3CFC8CF8E67_11</vt:lpwstr>
  </property>
  <property fmtid="{D5CDD505-2E9C-101B-9397-08002B2CF9AE}" pid="4" name="KSOTemplateDocerSaveRecord">
    <vt:lpwstr>eyJoZGlkIjoiZDVkMzExMDQ5OTA4Y2YzZjU5NTI2MDYxMmQyZDMzMzgiLCJ1c2VySWQiOiIxMjM2OTUxMTEzOTQ4In0=</vt:lpwstr>
  </property>
</Properties>
</file>