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6EA53">
      <w:pPr>
        <w:pStyle w:val="29"/>
        <w:jc w:val="center"/>
        <w:rPr>
          <w:rFonts w:hint="default" w:ascii="Times New Roman" w:hAnsi="Times New Roman" w:cs="Times New Roman"/>
          <w:sz w:val="24"/>
          <w:szCs w:val="24"/>
        </w:rPr>
      </w:pPr>
      <w:r>
        <w:rPr>
          <w:rFonts w:hint="default" w:ascii="Times New Roman" w:hAnsi="Times New Roman" w:cs="Times New Roman"/>
          <w:sz w:val="24"/>
          <w:szCs w:val="24"/>
        </w:rPr>
        <w:t>Descrição Técnica para Aquisição de Módulos de Prateleiras para Almoxarifado</w:t>
      </w:r>
    </w:p>
    <w:p w14:paraId="3B521B13">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Este documento detalha as especificações técnicas para a aquisição de módulos de prateleiras destinadas ao armazenamento em almoxarifado, visando garantir a padronização, segurança e eficiência operacional. As prateleiras deverão ser do tipo estanteria metálica modular desmontável, conforme as características descritas a seguir.</w:t>
      </w:r>
    </w:p>
    <w:p w14:paraId="1F704C5D">
      <w:pPr>
        <w:pStyle w:val="30"/>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1. Módulo Padrão</w:t>
      </w:r>
    </w:p>
    <w:p w14:paraId="065366B3">
      <w:pPr>
        <w:pStyle w:val="22"/>
        <w:ind w:firstLine="50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Cada módulo de estanteria deverá apresentar as seguintes dimensões mínimas e características gerais:</w:t>
      </w:r>
      <w:r>
        <w:rPr>
          <w:rFonts w:hint="default" w:ascii="Times New Roman" w:hAnsi="Times New Roman" w:cs="Times New Roman"/>
          <w:sz w:val="24"/>
          <w:szCs w:val="24"/>
          <w:lang w:val="pt-BR"/>
        </w:rPr>
        <w:t xml:space="preserve"> Comprimento total 5,00 m, profundidade 0,60 m, altura 2,00 m, número de níveis 04 prateleiras, tipo estanteira metálica modular desmontável.</w:t>
      </w:r>
    </w:p>
    <w:p w14:paraId="4A26AB92">
      <w:pPr>
        <w:pStyle w:val="22"/>
        <w:ind w:firstLine="500" w:firstLineChars="0"/>
        <w:jc w:val="both"/>
      </w:pPr>
      <w:r>
        <w:drawing>
          <wp:inline distT="0" distB="0" distL="114300" distR="114300">
            <wp:extent cx="5730240" cy="3172460"/>
            <wp:effectExtent l="0" t="0" r="0" b="12700"/>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pic:cNvPicPr>
                  </pic:nvPicPr>
                  <pic:blipFill>
                    <a:blip r:embed="rId4"/>
                    <a:stretch>
                      <a:fillRect/>
                    </a:stretch>
                  </pic:blipFill>
                  <pic:spPr>
                    <a:xfrm>
                      <a:off x="0" y="0"/>
                      <a:ext cx="5730240" cy="3172460"/>
                    </a:xfrm>
                    <a:prstGeom prst="rect">
                      <a:avLst/>
                    </a:prstGeom>
                    <a:noFill/>
                    <a:ln>
                      <a:noFill/>
                    </a:ln>
                  </pic:spPr>
                </pic:pic>
              </a:graphicData>
            </a:graphic>
          </wp:inline>
        </w:drawing>
      </w:r>
    </w:p>
    <w:p w14:paraId="25F2A066">
      <w:pPr>
        <w:pStyle w:val="22"/>
        <w:ind w:firstLine="500" w:firstLineChars="0"/>
        <w:jc w:val="both"/>
        <w:rPr>
          <w:rFonts w:hint="default"/>
          <w:lang w:val="pt-BR"/>
        </w:rPr>
      </w:pPr>
      <w:r>
        <w:rPr>
          <w:rFonts w:hint="default"/>
          <w:lang w:val="pt-BR"/>
        </w:rPr>
        <w:t>Nota: Foto Ilustrativa.</w:t>
      </w:r>
    </w:p>
    <w:p w14:paraId="043EB832">
      <w:pPr>
        <w:pStyle w:val="30"/>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2. Divisão Estrutural do Módulo</w:t>
      </w:r>
    </w:p>
    <w:p w14:paraId="53339192">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O comprimento total de 5,00 metros de cada módulo será subdividido em 04 vãos estruturais, cada um com aproximadamente 1,25 m. A estrutura deverá ser composta pelos seguintes elementos:</w:t>
      </w:r>
    </w:p>
    <w:p w14:paraId="467BBB90">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10 colunas estruturais (05 de cada lado)</w:t>
      </w:r>
    </w:p>
    <w:p w14:paraId="66C0A45B">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32 longarinas estruturais (16 frontais e 16 traseiras)</w:t>
      </w:r>
    </w:p>
    <w:p w14:paraId="0296A6AE">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16 planos de prateleira</w:t>
      </w:r>
    </w:p>
    <w:p w14:paraId="560D9BD1">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20 travessas entre colunas (colunas frontais/colunas traseiras)</w:t>
      </w:r>
    </w:p>
    <w:p w14:paraId="0F3C9F1B">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0</w:t>
      </w:r>
      <w:r>
        <w:rPr>
          <w:rFonts w:hint="default" w:ascii="Times New Roman" w:hAnsi="Times New Roman" w:cs="Times New Roman"/>
          <w:sz w:val="24"/>
          <w:szCs w:val="24"/>
          <w:lang w:val="pt-BR"/>
        </w:rPr>
        <w:t>2</w:t>
      </w:r>
      <w:r>
        <w:rPr>
          <w:rFonts w:hint="default" w:ascii="Times New Roman" w:hAnsi="Times New Roman" w:cs="Times New Roman"/>
          <w:sz w:val="24"/>
          <w:szCs w:val="24"/>
        </w:rPr>
        <w:t xml:space="preserve"> reforços diagonais estruturais</w:t>
      </w:r>
      <w:r>
        <w:rPr>
          <w:rFonts w:hint="default" w:ascii="Times New Roman" w:hAnsi="Times New Roman" w:cs="Times New Roman"/>
          <w:sz w:val="24"/>
          <w:szCs w:val="24"/>
          <w:lang w:val="pt-BR"/>
        </w:rPr>
        <w:t xml:space="preserve"> laterais</w:t>
      </w:r>
      <w:r>
        <w:rPr>
          <w:rFonts w:hint="default" w:ascii="Times New Roman" w:hAnsi="Times New Roman" w:cs="Times New Roman"/>
          <w:sz w:val="24"/>
          <w:szCs w:val="24"/>
        </w:rPr>
        <w:t xml:space="preserve"> (padrão</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lang w:val="pt-BR"/>
        </w:rPr>
        <w:t>\</w:t>
      </w:r>
      <w:r>
        <w:rPr>
          <w:rFonts w:hint="default" w:ascii="Times New Roman" w:hAnsi="Times New Roman" w:cs="Times New Roman"/>
          <w:sz w:val="24"/>
          <w:szCs w:val="24"/>
        </w:rPr>
        <w:t>)</w:t>
      </w:r>
    </w:p>
    <w:p w14:paraId="708D84F8">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04 reforços diagonais estruturais traseiros (padrão V+A: 02 do topo das extremidades à base central + 02 da base das extremidades ao topo central)</w:t>
      </w:r>
    </w:p>
    <w:p w14:paraId="16E1A6DD">
      <w:pPr>
        <w:pStyle w:val="30"/>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3. Componentes Estruturais</w:t>
      </w:r>
    </w:p>
    <w:p w14:paraId="5D82302B">
      <w:pPr>
        <w:pStyle w:val="31"/>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3.1. Colunas Estruturais</w:t>
      </w:r>
    </w:p>
    <w:p w14:paraId="23CC2062">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As colunas deverão ser confeccionadas em perfil metálico tipo U enrijecido, com as seguintes características:</w:t>
      </w:r>
    </w:p>
    <w:p w14:paraId="28A743E1">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2097405" cy="1103630"/>
            <wp:effectExtent l="0" t="0" r="5715"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5"/>
                    <a:stretch>
                      <a:fillRect/>
                    </a:stretch>
                  </pic:blipFill>
                  <pic:spPr>
                    <a:xfrm>
                      <a:off x="0" y="0"/>
                      <a:ext cx="2097405" cy="1103630"/>
                    </a:xfrm>
                    <a:prstGeom prst="rect">
                      <a:avLst/>
                    </a:prstGeom>
                    <a:noFill/>
                    <a:ln>
                      <a:noFill/>
                    </a:ln>
                  </pic:spPr>
                </pic:pic>
              </a:graphicData>
            </a:graphic>
          </wp:inline>
        </w:drawing>
      </w:r>
    </w:p>
    <w:p w14:paraId="03BBF286">
      <w:pPr>
        <w:pStyle w:val="16"/>
        <w:spacing w:before="0" w:after="60"/>
        <w:ind w:firstLine="50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Altura 75 mm, Largura das Abas 40 mm, Altura dos reforços 15 mm, Espessura mínima do aço 2,00 mm, Material Aço Estrutural de Alta Resistência, Comprimento 2,00 metros, Quantidade por módulos 10 unidades (05 de cada lado da estrutura)</w:t>
      </w:r>
    </w:p>
    <w:p w14:paraId="1B0A19AF">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As colunas devem estar sobrepostas em chapa de 80</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mm x 5</w:t>
      </w:r>
      <w:r>
        <w:rPr>
          <w:rFonts w:hint="default" w:ascii="Times New Roman" w:hAnsi="Times New Roman" w:cs="Times New Roman"/>
          <w:sz w:val="24"/>
          <w:szCs w:val="24"/>
          <w:lang w:val="pt-BR"/>
        </w:rPr>
        <w:t xml:space="preserve">0 </w:t>
      </w:r>
      <w:r>
        <w:rPr>
          <w:rFonts w:hint="default" w:ascii="Times New Roman" w:hAnsi="Times New Roman" w:cs="Times New Roman"/>
          <w:sz w:val="24"/>
          <w:szCs w:val="24"/>
        </w:rPr>
        <w:t>mm, permitindo a afixação dos pés ao chão, se necessário.</w:t>
      </w:r>
    </w:p>
    <w:p w14:paraId="5D7585A7">
      <w:pPr>
        <w:pStyle w:val="22"/>
        <w:ind w:firstLine="500" w:firstLineChars="0"/>
        <w:jc w:val="both"/>
        <w:rPr>
          <w:rFonts w:hint="default" w:ascii="Times New Roman" w:hAnsi="Times New Roman" w:cs="Times New Roman"/>
          <w:b/>
          <w:bCs/>
          <w:sz w:val="24"/>
          <w:szCs w:val="24"/>
          <w:lang w:val="pt-BR"/>
        </w:rPr>
      </w:pPr>
      <w:r>
        <w:rPr>
          <w:rFonts w:hint="default" w:ascii="Times New Roman" w:hAnsi="Times New Roman" w:cs="Times New Roman"/>
          <w:b/>
          <w:bCs/>
          <w:sz w:val="24"/>
          <w:szCs w:val="24"/>
        </w:rPr>
        <w:t>3.2. Longarinas Estruturais</w:t>
      </w:r>
      <w:r>
        <w:rPr>
          <w:rFonts w:hint="default" w:ascii="Times New Roman" w:hAnsi="Times New Roman" w:cs="Times New Roman"/>
          <w:b/>
          <w:bCs/>
          <w:sz w:val="24"/>
          <w:szCs w:val="24"/>
          <w:lang w:val="pt-BR"/>
        </w:rPr>
        <w:t xml:space="preserve"> </w:t>
      </w:r>
    </w:p>
    <w:p w14:paraId="26FDF961">
      <w:pPr>
        <w:pStyle w:val="22"/>
        <w:ind w:firstLine="50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As longarinas estruturais deverão ser confeccionadas em perfil metálico tipo U enrijecido, com as seguintes características:</w:t>
      </w:r>
      <w:r>
        <w:rPr>
          <w:rFonts w:hint="default" w:ascii="Times New Roman" w:hAnsi="Times New Roman" w:cs="Times New Roman"/>
          <w:sz w:val="24"/>
          <w:szCs w:val="24"/>
          <w:lang w:val="pt-BR"/>
        </w:rPr>
        <w:t xml:space="preserve"> Altura 75 mm, Largura das Abas 40 mm, Altura dos reforços 15 mm, Espessura mínima do aço 2,00 mm, Aço estrutural de alta resistência, Comprimento 1,25 metros, 32 unidades (16 de cada lado, distribuídas em 4 níveis).</w:t>
      </w:r>
    </w:p>
    <w:p w14:paraId="2CDEEDE8">
      <w:pPr>
        <w:pStyle w:val="22"/>
        <w:ind w:firstLine="500" w:firstLineChars="0"/>
        <w:jc w:val="both"/>
        <w:rPr>
          <w:rFonts w:hint="default" w:ascii="Times New Roman" w:hAnsi="Times New Roman" w:cs="Times New Roman"/>
          <w:b/>
          <w:bCs/>
          <w:sz w:val="24"/>
          <w:szCs w:val="24"/>
        </w:rPr>
      </w:pPr>
      <w:r>
        <w:rPr>
          <w:rFonts w:hint="default" w:ascii="Times New Roman" w:hAnsi="Times New Roman" w:cs="Times New Roman"/>
          <w:b/>
          <w:bCs/>
          <w:sz w:val="24"/>
          <w:szCs w:val="24"/>
        </w:rPr>
        <w:t>3.3. Planos de Prateleira</w:t>
      </w:r>
    </w:p>
    <w:p w14:paraId="6C3F5B8F">
      <w:pPr>
        <w:pStyle w:val="22"/>
        <w:ind w:firstLine="50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rPr>
        <w:t>Cada módulo deverá possuir 16 planos de prateleira, correspondentes aos 04 níveis de armazenagem. Os planos deverão possuir as seguintes características:</w:t>
      </w:r>
      <w:r>
        <w:rPr>
          <w:rFonts w:hint="default" w:ascii="Times New Roman" w:hAnsi="Times New Roman" w:cs="Times New Roman"/>
          <w:sz w:val="24"/>
          <w:szCs w:val="24"/>
          <w:lang w:val="pt-BR"/>
        </w:rPr>
        <w:t xml:space="preserve"> Material MDF estrutural de alta densidade ou compensado naval laminado, Comprimento 1,25 metros, Profundidade 0,60 metros, Espessura mínima 25 mm para MDF ou 18 mm para compensado laminado naval.</w:t>
      </w:r>
    </w:p>
    <w:p w14:paraId="1012F1F0">
      <w:pPr>
        <w:pStyle w:val="31"/>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3.4. Travessas entre Colunas</w:t>
      </w:r>
    </w:p>
    <w:p w14:paraId="5DE2B939">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Deverão ser instaladas travessas metálicas horizontais entre as colunas estruturais </w:t>
      </w:r>
      <w:r>
        <w:rPr>
          <w:rFonts w:hint="default" w:ascii="Times New Roman" w:hAnsi="Times New Roman" w:cs="Times New Roman"/>
          <w:sz w:val="24"/>
          <w:szCs w:val="24"/>
          <w:lang w:val="pt-BR"/>
        </w:rPr>
        <w:t xml:space="preserve">traseiras e dianteiras </w:t>
      </w:r>
      <w:r>
        <w:rPr>
          <w:rFonts w:hint="default" w:ascii="Times New Roman" w:hAnsi="Times New Roman" w:cs="Times New Roman"/>
          <w:sz w:val="24"/>
          <w:szCs w:val="24"/>
        </w:rPr>
        <w:t>para reforço e estabilidade da estanteria, com as seguintes especificações:</w:t>
      </w:r>
    </w:p>
    <w:p w14:paraId="37602A8D">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lang w:val="pt-BR"/>
        </w:rPr>
        <w:t>Altura 75 mm, Largura das Abas 40 mm, Altura dos reforços 15 mm, Espessura mínima do aço 2,00 mm, Material Aço estrutural de alta resistência, Comprimento 0,60 metros, quantidade por módulo 20 unidades.</w:t>
      </w:r>
    </w:p>
    <w:p w14:paraId="34D679D2">
      <w:pPr>
        <w:pStyle w:val="31"/>
        <w:jc w:val="both"/>
        <w:rPr>
          <w:rFonts w:hint="default" w:ascii="Times New Roman" w:hAnsi="Times New Roman" w:cs="Times New Roman"/>
          <w:sz w:val="24"/>
          <w:szCs w:val="24"/>
          <w:lang w:val="pt-BR"/>
        </w:rPr>
      </w:pPr>
      <w:r>
        <w:rPr>
          <w:rFonts w:hint="default" w:ascii="Times New Roman" w:hAnsi="Times New Roman" w:cs="Times New Roman"/>
          <w:sz w:val="24"/>
          <w:szCs w:val="24"/>
        </w:rPr>
        <w:t>3.5. Reforços Estruturais Diagonais</w:t>
      </w:r>
      <w:r>
        <w:rPr>
          <w:rFonts w:hint="default" w:ascii="Times New Roman" w:hAnsi="Times New Roman" w:cs="Times New Roman"/>
          <w:sz w:val="24"/>
          <w:szCs w:val="24"/>
          <w:lang w:val="pt-BR"/>
        </w:rPr>
        <w:t xml:space="preserve"> Traseiros</w:t>
      </w:r>
    </w:p>
    <w:p w14:paraId="1A052D49">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A estrutura deverá possuir reforços diagonais entre colunas paralelas para garantir estabilidade e rigidez estrutural, com as seguintes especificações:</w:t>
      </w:r>
    </w:p>
    <w:p w14:paraId="12271B51">
      <w:pPr>
        <w:pStyle w:val="22"/>
        <w:ind w:firstLine="50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Material aço carbono estrutural, Altura 30 mm, Espessura 2 mm, Comprimento 3,20 metros, Quantidade por módulo 4 unidades (02 reforços em X)</w:t>
      </w:r>
    </w:p>
    <w:p w14:paraId="5C6028D9">
      <w:pPr>
        <w:pStyle w:val="22"/>
        <w:ind w:firstLine="500" w:firstLineChars="0"/>
        <w:jc w:val="both"/>
        <w:rPr>
          <w:rFonts w:hint="default" w:ascii="Times New Roman" w:hAnsi="Times New Roman" w:cs="Times New Roman"/>
          <w:sz w:val="24"/>
          <w:szCs w:val="24"/>
          <w:lang w:val="pt-BR"/>
        </w:rPr>
      </w:pPr>
      <w:r>
        <w:drawing>
          <wp:inline distT="0" distB="0" distL="114300" distR="114300">
            <wp:extent cx="5393055" cy="2473325"/>
            <wp:effectExtent l="0" t="0" r="1905" b="1079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6"/>
                    <a:stretch>
                      <a:fillRect/>
                    </a:stretch>
                  </pic:blipFill>
                  <pic:spPr>
                    <a:xfrm>
                      <a:off x="0" y="0"/>
                      <a:ext cx="5393055" cy="2473325"/>
                    </a:xfrm>
                    <a:prstGeom prst="rect">
                      <a:avLst/>
                    </a:prstGeom>
                    <a:noFill/>
                    <a:ln>
                      <a:noFill/>
                    </a:ln>
                  </pic:spPr>
                </pic:pic>
              </a:graphicData>
            </a:graphic>
          </wp:inline>
        </w:drawing>
      </w:r>
      <w:r>
        <w:rPr>
          <w:rFonts w:hint="default"/>
          <w:lang w:val="pt-BR"/>
        </w:rPr>
        <w:tab/>
      </w:r>
      <w:r>
        <w:rPr>
          <w:rFonts w:hint="default" w:ascii="Times New Roman" w:hAnsi="Times New Roman" w:cs="Times New Roman"/>
          <w:b/>
          <w:bCs/>
          <w:sz w:val="24"/>
          <w:szCs w:val="24"/>
        </w:rPr>
        <w:t xml:space="preserve">3.6. Reforços Estruturais </w:t>
      </w:r>
      <w:r>
        <w:rPr>
          <w:rFonts w:hint="default" w:ascii="Times New Roman" w:hAnsi="Times New Roman" w:cs="Times New Roman"/>
          <w:b/>
          <w:bCs/>
          <w:sz w:val="24"/>
          <w:szCs w:val="24"/>
          <w:lang w:val="pt-BR"/>
        </w:rPr>
        <w:t>Laterais</w:t>
      </w:r>
    </w:p>
    <w:p w14:paraId="46A4DB34">
      <w:pPr>
        <w:pStyle w:val="22"/>
        <w:ind w:firstLine="500" w:firstLineChars="0"/>
        <w:jc w:val="both"/>
        <w:rPr>
          <w:rFonts w:hint="default" w:ascii="Times New Roman" w:hAnsi="Times New Roman" w:cs="Times New Roman"/>
          <w:b w:val="0"/>
          <w:bCs w:val="0"/>
          <w:sz w:val="24"/>
          <w:szCs w:val="24"/>
          <w:lang w:val="pt-BR"/>
        </w:rPr>
      </w:pPr>
      <w:r>
        <w:rPr>
          <w:rFonts w:hint="default" w:ascii="Times New Roman" w:hAnsi="Times New Roman" w:cs="Times New Roman"/>
          <w:b w:val="0"/>
          <w:bCs w:val="0"/>
          <w:sz w:val="24"/>
          <w:szCs w:val="24"/>
          <w:lang w:val="pt-BR"/>
        </w:rPr>
        <w:t>Deverão ser instalados 02 reforços laterias de diagonais de 2,088 metros da coluna traseira a partir da base a coluna dianteira a partir do topo, nas duas laterais da estante.</w:t>
      </w:r>
      <w:r>
        <w:rPr>
          <w:rFonts w:hint="default" w:ascii="Times New Roman" w:hAnsi="Times New Roman" w:cs="Times New Roman"/>
          <w:b w:val="0"/>
          <w:bCs w:val="0"/>
          <w:sz w:val="24"/>
          <w:szCs w:val="24"/>
          <w:lang w:val="pt-BR"/>
        </w:rPr>
        <w:tab/>
      </w:r>
      <w:r>
        <w:rPr>
          <w:rFonts w:hint="default" w:ascii="Times New Roman" w:hAnsi="Times New Roman" w:cs="Times New Roman"/>
          <w:b w:val="0"/>
          <w:bCs w:val="0"/>
          <w:sz w:val="24"/>
          <w:szCs w:val="24"/>
          <w:lang w:val="pt-BR"/>
        </w:rPr>
        <w:t>Material aço carbono estrutural, Altura 30 mm, Espessura 2 mm, comprimento 2,088 metros.</w:t>
      </w:r>
    </w:p>
    <w:p w14:paraId="70C04902">
      <w:pPr>
        <w:pStyle w:val="31"/>
        <w:jc w:val="both"/>
        <w:rPr>
          <w:rFonts w:hint="default" w:ascii="Times New Roman" w:hAnsi="Times New Roman" w:cs="Times New Roman"/>
          <w:sz w:val="24"/>
          <w:szCs w:val="24"/>
        </w:rPr>
      </w:pPr>
      <w:r>
        <w:drawing>
          <wp:inline distT="0" distB="0" distL="114300" distR="114300">
            <wp:extent cx="4892675" cy="1679575"/>
            <wp:effectExtent l="0" t="0" r="14605" b="1206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7"/>
                    <a:stretch>
                      <a:fillRect/>
                    </a:stretch>
                  </pic:blipFill>
                  <pic:spPr>
                    <a:xfrm>
                      <a:off x="0" y="0"/>
                      <a:ext cx="4892675" cy="1679575"/>
                    </a:xfrm>
                    <a:prstGeom prst="rect">
                      <a:avLst/>
                    </a:prstGeom>
                    <a:noFill/>
                    <a:ln>
                      <a:noFill/>
                    </a:ln>
                  </pic:spPr>
                </pic:pic>
              </a:graphicData>
            </a:graphic>
          </wp:inline>
        </w:drawing>
      </w:r>
    </w:p>
    <w:p w14:paraId="2DA90FB4">
      <w:pPr>
        <w:pStyle w:val="30"/>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4. Acabamento</w:t>
      </w:r>
    </w:p>
    <w:p w14:paraId="580EB488">
      <w:pPr>
        <w:pStyle w:val="22"/>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Todos os componentes metálicos deverão possuir:</w:t>
      </w:r>
    </w:p>
    <w:p w14:paraId="1E1DB3C3">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Tratamento anticorrosivo</w:t>
      </w:r>
    </w:p>
    <w:p w14:paraId="56E5932B">
      <w:pPr>
        <w:pStyle w:val="25"/>
        <w:numPr>
          <w:ilvl w:val="0"/>
          <w:numId w:val="1"/>
        </w:numPr>
        <w:jc w:val="both"/>
        <w:rPr>
          <w:rFonts w:hint="default" w:ascii="Times New Roman" w:hAnsi="Times New Roman" w:cs="Times New Roman"/>
          <w:sz w:val="24"/>
          <w:szCs w:val="24"/>
        </w:rPr>
      </w:pPr>
      <w:r>
        <w:rPr>
          <w:rFonts w:hint="default" w:ascii="Times New Roman" w:hAnsi="Times New Roman" w:cs="Times New Roman"/>
          <w:sz w:val="24"/>
          <w:szCs w:val="24"/>
        </w:rPr>
        <w:t>Pintura eletrostática a pó (epóxi)</w:t>
      </w:r>
    </w:p>
    <w:p w14:paraId="13F9793D">
      <w:pPr>
        <w:pStyle w:val="22"/>
        <w:ind w:firstLine="500" w:firstLineChars="0"/>
        <w:jc w:val="both"/>
        <w:rPr>
          <w:rFonts w:hint="default" w:ascii="Times New Roman" w:hAnsi="Times New Roman" w:cs="Times New Roman"/>
          <w:sz w:val="24"/>
          <w:szCs w:val="24"/>
        </w:rPr>
      </w:pPr>
      <w:r>
        <w:rPr>
          <w:rStyle w:val="37"/>
          <w:rFonts w:hint="default" w:ascii="Times New Roman" w:hAnsi="Times New Roman" w:cs="Times New Roman"/>
          <w:b/>
          <w:bCs/>
          <w:sz w:val="24"/>
          <w:szCs w:val="24"/>
        </w:rPr>
        <w:t>Cor preferencial:</w:t>
      </w:r>
      <w:r>
        <w:rPr>
          <w:rFonts w:hint="default" w:ascii="Times New Roman" w:hAnsi="Times New Roman" w:cs="Times New Roman"/>
          <w:sz w:val="24"/>
          <w:szCs w:val="24"/>
        </w:rPr>
        <w:t xml:space="preserve"> Cinza industrial ou Azul.</w:t>
      </w:r>
    </w:p>
    <w:p w14:paraId="5C119F7E">
      <w:pPr>
        <w:pStyle w:val="22"/>
        <w:ind w:firstLine="50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Madeiras MDF ou Compensado Laminado Naval, com pintura em esmalte poliuretano ou esmalte sintétito.</w:t>
      </w:r>
      <w:bookmarkStart w:id="0" w:name="_GoBack"/>
      <w:bookmarkEnd w:id="0"/>
    </w:p>
    <w:p w14:paraId="37D1B315">
      <w:pPr>
        <w:pStyle w:val="30"/>
        <w:ind w:firstLine="500" w:firstLineChars="0"/>
        <w:jc w:val="both"/>
        <w:rPr>
          <w:rFonts w:hint="default" w:ascii="Times New Roman" w:hAnsi="Times New Roman" w:cs="Times New Roman"/>
          <w:sz w:val="24"/>
          <w:szCs w:val="24"/>
        </w:rPr>
      </w:pPr>
      <w:r>
        <w:rPr>
          <w:rFonts w:hint="default" w:ascii="Times New Roman" w:hAnsi="Times New Roman" w:cs="Times New Roman"/>
          <w:sz w:val="24"/>
          <w:szCs w:val="24"/>
        </w:rPr>
        <w:t>5. Especificações Adicionais</w:t>
      </w:r>
    </w:p>
    <w:p w14:paraId="7AFA9B31">
      <w:pPr>
        <w:keepNext w:val="0"/>
        <w:keepLines w:val="0"/>
        <w:widowControl/>
        <w:suppressLineNumbers w:val="0"/>
        <w:ind w:firstLine="500" w:firstLineChars="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 xml:space="preserve">A estante deve ser montada com parafusos sextavados </w:t>
      </w:r>
      <w:r>
        <w:rPr>
          <w:rFonts w:hint="default" w:ascii="Times New Roman" w:hAnsi="Times New Roman" w:eastAsia="SimSun" w:cs="Times New Roman"/>
          <w:kern w:val="0"/>
          <w:sz w:val="24"/>
          <w:szCs w:val="24"/>
          <w:lang w:val="pt-BR" w:eastAsia="zh-CN" w:bidi="ar"/>
        </w:rPr>
        <w:t>diametro mínimo M10 e classe de resistência 8,8</w:t>
      </w:r>
      <w:r>
        <w:rPr>
          <w:rFonts w:hint="default" w:ascii="Times New Roman" w:hAnsi="Times New Roman" w:eastAsia="SimSun" w:cs="Times New Roman"/>
          <w:kern w:val="0"/>
          <w:sz w:val="24"/>
          <w:szCs w:val="24"/>
          <w:lang w:val="en-US" w:eastAsia="zh-CN" w:bidi="ar"/>
        </w:rPr>
        <w:t>.</w:t>
      </w:r>
    </w:p>
    <w:p w14:paraId="520E0CDB">
      <w:pPr>
        <w:keepNext w:val="0"/>
        <w:keepLines w:val="0"/>
        <w:widowControl/>
        <w:suppressLineNumbers w:val="0"/>
        <w:ind w:firstLine="500" w:firstLineChars="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 módulo de prateleiras deverá ser projetado para suportar uma capacidade de carga de 300 kgf (quilogramas-força) por par de longarinas, ou seja, por nível de prateleira entre colunas. Esta capacidade deve ser distribuída uniformemente ao longo do vão de 1,25 metros.</w:t>
      </w:r>
    </w:p>
    <w:p w14:paraId="024652E6">
      <w:pPr>
        <w:keepNext w:val="0"/>
        <w:keepLines w:val="0"/>
        <w:widowControl/>
        <w:suppressLineNumbers w:val="0"/>
        <w:ind w:firstLine="500" w:firstLineChars="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 distribuição vertical dos níveis obedece ao seguinte posicionamento, medido do piso até o topo do tampo de cada prateleira:</w:t>
      </w:r>
    </w:p>
    <w:p w14:paraId="4E58B379">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•Prateleira 1 (inferior): a 100 mm</w:t>
      </w:r>
    </w:p>
    <w:p w14:paraId="6F983705">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•Prateleira 2: a 733 mm</w:t>
      </w:r>
    </w:p>
    <w:p w14:paraId="0EC4A8C5">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•Prateleira 3: a 1.367 mm</w:t>
      </w:r>
    </w:p>
    <w:p w14:paraId="50236B78">
      <w:pPr>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•Prateleira 4 (superior): a 2.000 mm, coincidindo com o topo da estrutura.</w:t>
      </w:r>
    </w:p>
    <w:p w14:paraId="18263C32">
      <w:pPr>
        <w:keepNext w:val="0"/>
        <w:keepLines w:val="0"/>
        <w:widowControl/>
        <w:suppressLineNumbers w:val="0"/>
        <w:ind w:firstLine="500" w:firstLineChars="0"/>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 intervalo entre níveis é de 633 mm (distribuição proporcional), resultando em luz livre útil de aproximadamente 608 mm por nível, descontada a espessura do tampo de 25 mm. As medidas são tomadas entre planos de tampo, sem considerar a espessura do perfil inferior de cada nível. As colunas assentam diretamente sobre chapas de nivelamento individuais (80 × 50 mm), podendo ser fixadas ao piso</w:t>
      </w:r>
      <w:r>
        <w:rPr>
          <w:rFonts w:hint="default" w:ascii="Times New Roman" w:hAnsi="Times New Roman" w:eastAsia="SimSun" w:cs="Times New Roman"/>
          <w:kern w:val="0"/>
          <w:sz w:val="24"/>
          <w:szCs w:val="24"/>
          <w:lang w:val="pt-BR" w:eastAsia="zh-CN" w:bidi="ar"/>
        </w:rPr>
        <w:t xml:space="preserve"> a critério do Município</w:t>
      </w:r>
      <w:r>
        <w:rPr>
          <w:rFonts w:hint="default" w:ascii="Times New Roman" w:hAnsi="Times New Roman" w:eastAsia="SimSun" w:cs="Times New Roman"/>
          <w:kern w:val="0"/>
          <w:sz w:val="24"/>
          <w:szCs w:val="24"/>
          <w:lang w:val="en-US" w:eastAsia="zh-CN" w:bidi="ar"/>
        </w:rPr>
        <w:t>.</w:t>
      </w:r>
    </w:p>
    <w:p w14:paraId="21155D25">
      <w:pPr>
        <w:pStyle w:val="25"/>
        <w:numPr>
          <w:ilvl w:val="0"/>
          <w:numId w:val="0"/>
        </w:numPr>
        <w:ind w:left="360" w:leftChars="0"/>
        <w:jc w:val="both"/>
        <w:rPr>
          <w:rFonts w:hint="default" w:ascii="Times New Roman" w:hAnsi="Times New Roman" w:cs="Times New Roman"/>
          <w:sz w:val="24"/>
          <w:szCs w:val="24"/>
        </w:rPr>
      </w:pP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lvlText w:val="•"/>
      <w:lvlJc w:val="left"/>
      <w:pPr>
        <w:ind w:left="720" w:hanging="360"/>
      </w:pPr>
    </w:lvl>
    <w:lvl w:ilvl="1" w:tentative="0">
      <w:start w:val="1"/>
      <w:numFmt w:val="bullet"/>
      <w:lvlText w:val="◦"/>
      <w:lvlJc w:val="left"/>
      <w:pPr>
        <w:ind w:left="1440" w:hanging="360"/>
      </w:pPr>
    </w:lvl>
    <w:lvl w:ilvl="2" w:tentative="0">
      <w:start w:val="1"/>
      <w:numFmt w:val="bullet"/>
      <w:lvlText w:val="•"/>
      <w:lvlJc w:val="left"/>
      <w:pPr>
        <w:ind w:left="2160" w:hanging="360"/>
      </w:pPr>
    </w:lvl>
    <w:lvl w:ilvl="3" w:tentative="0">
      <w:start w:val="1"/>
      <w:numFmt w:val="bullet"/>
      <w:lvlText w:val="◦"/>
      <w:lvlJc w:val="left"/>
      <w:pPr>
        <w:ind w:left="2880" w:hanging="360"/>
      </w:pPr>
    </w:lvl>
    <w:lvl w:ilvl="4" w:tentative="0">
      <w:start w:val="1"/>
      <w:numFmt w:val="bullet"/>
      <w:lvlText w:val="•"/>
      <w:lvlJc w:val="left"/>
      <w:pPr>
        <w:ind w:left="3600" w:hanging="360"/>
      </w:pPr>
    </w:lvl>
    <w:lvl w:ilvl="5" w:tentative="0">
      <w:start w:val="1"/>
      <w:numFmt w:val="bullet"/>
      <w:lvlText w:val="◦"/>
      <w:lvlJc w:val="left"/>
      <w:pPr>
        <w:ind w:left="4320" w:hanging="360"/>
      </w:pPr>
    </w:lvl>
    <w:lvl w:ilvl="6" w:tentative="0">
      <w:start w:val="1"/>
      <w:numFmt w:val="bullet"/>
      <w:lvlText w:val="•"/>
      <w:lvlJc w:val="left"/>
      <w:pPr>
        <w:ind w:left="504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compatSetting w:name="compatibilityMode" w:uri="http://schemas.microsoft.com/office/word" w:val="15"/>
  </w:compat>
  <w:rsids>
    <w:rsidRoot w:val="00000000"/>
    <w:rsid w:val="05EA6F5E"/>
    <w:rsid w:val="06B848A7"/>
    <w:rsid w:val="141577AA"/>
    <w:rsid w:val="21F058AB"/>
    <w:rsid w:val="3C69155C"/>
    <w:rsid w:val="457E7BC4"/>
    <w:rsid w:val="6D3E4DA3"/>
    <w:rsid w:val="749149EC"/>
    <w:rsid w:val="77410B3C"/>
    <w:rsid w:val="7FDB1D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List Paragraph"/>
  </w:latentStyles>
  <w:style w:type="paragraph" w:default="1" w:styleId="1">
    <w:name w:val="Normal"/>
    <w:qFormat/>
    <w:uiPriority w:val="0"/>
    <w:rPr>
      <w:rFonts w:asciiTheme="minorHAnsi" w:hAnsiTheme="minorHAnsi" w:eastAsiaTheme="minorEastAsia" w:cstheme="minorBidi"/>
      <w:sz w:val="24"/>
      <w:szCs w:val="24"/>
    </w:rPr>
  </w:style>
  <w:style w:type="paragraph" w:styleId="2">
    <w:name w:val="heading 1"/>
    <w:next w:val="1"/>
    <w:qFormat/>
    <w:uiPriority w:val="0"/>
    <w:rPr>
      <w:rFonts w:asciiTheme="minorHAnsi" w:hAnsiTheme="minorHAnsi" w:eastAsiaTheme="minorEastAsia" w:cstheme="minorBidi"/>
      <w:color w:val="2E74B5"/>
      <w:sz w:val="32"/>
      <w:szCs w:val="32"/>
    </w:rPr>
  </w:style>
  <w:style w:type="paragraph" w:styleId="3">
    <w:name w:val="heading 2"/>
    <w:next w:val="1"/>
    <w:qFormat/>
    <w:uiPriority w:val="0"/>
    <w:rPr>
      <w:rFonts w:asciiTheme="minorHAnsi" w:hAnsiTheme="minorHAnsi" w:eastAsiaTheme="minorEastAsia" w:cstheme="minorBidi"/>
      <w:color w:val="2E74B5"/>
      <w:sz w:val="26"/>
      <w:szCs w:val="26"/>
    </w:rPr>
  </w:style>
  <w:style w:type="paragraph" w:styleId="4">
    <w:name w:val="heading 3"/>
    <w:next w:val="1"/>
    <w:qFormat/>
    <w:uiPriority w:val="0"/>
    <w:rPr>
      <w:rFonts w:asciiTheme="minorHAnsi" w:hAnsiTheme="minorHAnsi" w:eastAsiaTheme="minorEastAsia" w:cstheme="minorBidi"/>
      <w:color w:val="1F4D78"/>
      <w:sz w:val="24"/>
      <w:szCs w:val="24"/>
    </w:rPr>
  </w:style>
  <w:style w:type="paragraph" w:styleId="5">
    <w:name w:val="heading 4"/>
    <w:next w:val="1"/>
    <w:qFormat/>
    <w:uiPriority w:val="0"/>
    <w:rPr>
      <w:rFonts w:asciiTheme="minorHAnsi" w:hAnsiTheme="minorHAnsi" w:eastAsiaTheme="minorEastAsia" w:cstheme="minorBidi"/>
      <w:i/>
      <w:iCs/>
      <w:color w:val="2E74B5"/>
      <w:sz w:val="24"/>
      <w:szCs w:val="24"/>
    </w:rPr>
  </w:style>
  <w:style w:type="paragraph" w:styleId="6">
    <w:name w:val="heading 5"/>
    <w:next w:val="1"/>
    <w:qFormat/>
    <w:uiPriority w:val="0"/>
    <w:rPr>
      <w:rFonts w:asciiTheme="minorHAnsi" w:hAnsiTheme="minorHAnsi" w:eastAsiaTheme="minorEastAsia" w:cstheme="minorBidi"/>
      <w:color w:val="2E74B5"/>
      <w:sz w:val="24"/>
      <w:szCs w:val="24"/>
    </w:rPr>
  </w:style>
  <w:style w:type="paragraph" w:styleId="7">
    <w:name w:val="heading 6"/>
    <w:next w:val="1"/>
    <w:qFormat/>
    <w:uiPriority w:val="0"/>
    <w:rPr>
      <w:rFonts w:asciiTheme="minorHAnsi" w:hAnsiTheme="minorHAnsi" w:eastAsiaTheme="minorEastAsia" w:cstheme="minorBidi"/>
      <w:color w:val="1F4D78"/>
      <w:sz w:val="24"/>
      <w:szCs w:val="24"/>
    </w:rPr>
  </w:style>
  <w:style w:type="character" w:default="1" w:styleId="8">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character" w:styleId="10">
    <w:name w:val="footnote reference"/>
    <w:semiHidden/>
    <w:unhideWhenUsed/>
    <w:uiPriority w:val="99"/>
    <w:rPr>
      <w:vertAlign w:val="superscript"/>
    </w:rPr>
  </w:style>
  <w:style w:type="character" w:styleId="11">
    <w:name w:val="Hyperlink"/>
    <w:unhideWhenUsed/>
    <w:uiPriority w:val="99"/>
    <w:rPr>
      <w:color w:val="0563C1"/>
      <w:u w:val="single" w:color="0563C1"/>
    </w:rPr>
  </w:style>
  <w:style w:type="paragraph" w:styleId="12">
    <w:name w:val="Title"/>
    <w:qFormat/>
    <w:uiPriority w:val="0"/>
    <w:rPr>
      <w:rFonts w:asciiTheme="minorHAnsi" w:hAnsiTheme="minorHAnsi" w:eastAsiaTheme="minorEastAsia" w:cstheme="minorBidi"/>
      <w:sz w:val="56"/>
      <w:szCs w:val="56"/>
    </w:rPr>
  </w:style>
  <w:style w:type="paragraph" w:styleId="13">
    <w:name w:val="footnote text"/>
    <w:link w:val="15"/>
    <w:semiHidden/>
    <w:unhideWhenUsed/>
    <w:qFormat/>
    <w:uiPriority w:val="99"/>
    <w:pPr>
      <w:spacing w:after="0" w:line="240" w:lineRule="auto"/>
    </w:pPr>
    <w:rPr>
      <w:rFonts w:asciiTheme="minorHAnsi" w:hAnsiTheme="minorHAnsi" w:eastAsiaTheme="minorEastAsia" w:cstheme="minorBidi"/>
      <w:sz w:val="20"/>
      <w:szCs w:val="20"/>
    </w:rPr>
  </w:style>
  <w:style w:type="paragraph" w:styleId="14">
    <w:name w:val="List Paragraph"/>
    <w:qFormat/>
    <w:uiPriority w:val="0"/>
    <w:rPr>
      <w:rFonts w:asciiTheme="minorHAnsi" w:hAnsiTheme="minorHAnsi" w:eastAsiaTheme="minorEastAsia" w:cstheme="minorBidi"/>
      <w:sz w:val="24"/>
      <w:szCs w:val="24"/>
    </w:rPr>
  </w:style>
  <w:style w:type="character" w:customStyle="1" w:styleId="15">
    <w:name w:val="Footnote Text Char"/>
    <w:link w:val="13"/>
    <w:semiHidden/>
    <w:unhideWhenUsed/>
    <w:uiPriority w:val="99"/>
    <w:rPr>
      <w:sz w:val="20"/>
      <w:szCs w:val="20"/>
    </w:rPr>
  </w:style>
  <w:style w:type="paragraph" w:customStyle="1" w:styleId="16">
    <w:name w:val="MdSpace"/>
    <w:qFormat/>
    <w:uiPriority w:val="0"/>
    <w:pPr>
      <w:spacing w:before="0" w:after="0"/>
    </w:pPr>
    <w:rPr>
      <w:rFonts w:asciiTheme="minorHAnsi" w:hAnsiTheme="minorHAnsi" w:eastAsiaTheme="minorEastAsia" w:cstheme="minorBidi"/>
      <w:sz w:val="12"/>
      <w:szCs w:val="12"/>
    </w:rPr>
  </w:style>
  <w:style w:type="paragraph" w:customStyle="1" w:styleId="17">
    <w:name w:val="MdCode"/>
    <w:qFormat/>
    <w:uiPriority w:val="0"/>
    <w:pPr>
      <w:pBdr>
        <w:top w:val="single" w:color="A5A5A5" w:sz="2" w:space="8"/>
        <w:left w:val="single" w:color="A5A5A5" w:sz="2" w:space="8"/>
        <w:bottom w:val="single" w:color="A5A5A5" w:sz="2" w:space="8"/>
        <w:right w:val="single" w:color="A5A5A5" w:sz="2" w:space="8"/>
      </w:pBdr>
      <w:spacing w:before="200" w:after="200"/>
    </w:pPr>
    <w:rPr>
      <w:rFonts w:ascii="Courier New" w:hAnsi="Courier New" w:eastAsia="Courier New" w:cs="Courier New"/>
      <w:color w:val="70AD47"/>
      <w:sz w:val="22"/>
      <w:szCs w:val="22"/>
    </w:rPr>
  </w:style>
  <w:style w:type="paragraph" w:customStyle="1" w:styleId="18">
    <w:name w:val="MdHr"/>
    <w:qFormat/>
    <w:uiPriority w:val="0"/>
    <w:pPr>
      <w:pBdr>
        <w:bottom w:val="single" w:color="A5A5A5" w:sz="2" w:space="1"/>
      </w:pBdr>
      <w:spacing w:before="240" w:after="240"/>
    </w:pPr>
    <w:rPr>
      <w:rFonts w:asciiTheme="minorHAnsi" w:hAnsiTheme="minorHAnsi" w:eastAsiaTheme="minorEastAsia" w:cstheme="minorBidi"/>
      <w:sz w:val="24"/>
      <w:szCs w:val="24"/>
    </w:rPr>
  </w:style>
  <w:style w:type="paragraph" w:customStyle="1" w:styleId="19">
    <w:name w:val="MdBlockquote"/>
    <w:qFormat/>
    <w:uiPriority w:val="0"/>
    <w:pPr>
      <w:pBdr>
        <w:left w:val="single" w:color="A5A5A5" w:sz="20" w:space="12"/>
      </w:pBdr>
      <w:spacing w:before="200" w:after="200"/>
      <w:ind w:left="360"/>
    </w:pPr>
    <w:rPr>
      <w:rFonts w:asciiTheme="minorHAnsi" w:hAnsiTheme="minorHAnsi" w:eastAsiaTheme="minorEastAsia" w:cstheme="minorBidi"/>
      <w:i/>
      <w:iCs/>
      <w:color w:val="666666"/>
      <w:sz w:val="24"/>
      <w:szCs w:val="24"/>
    </w:rPr>
  </w:style>
  <w:style w:type="paragraph" w:customStyle="1" w:styleId="20">
    <w:name w:val="MdHtml"/>
    <w:qFormat/>
    <w:uiPriority w:val="0"/>
    <w:rPr>
      <w:rFonts w:ascii="Courier New" w:hAnsi="Courier New" w:eastAsia="Courier New" w:cs="Courier New"/>
      <w:color w:val="ED7D31"/>
      <w:sz w:val="24"/>
      <w:szCs w:val="24"/>
    </w:rPr>
  </w:style>
  <w:style w:type="paragraph" w:customStyle="1" w:styleId="21">
    <w:name w:val="MdDef"/>
    <w:qFormat/>
    <w:uiPriority w:val="0"/>
    <w:pPr>
      <w:ind w:left="720" w:hanging="360"/>
    </w:pPr>
    <w:rPr>
      <w:rFonts w:asciiTheme="minorHAnsi" w:hAnsiTheme="minorHAnsi" w:eastAsiaTheme="minorEastAsia" w:cstheme="minorBidi"/>
      <w:sz w:val="24"/>
      <w:szCs w:val="24"/>
    </w:rPr>
  </w:style>
  <w:style w:type="paragraph" w:customStyle="1" w:styleId="22">
    <w:name w:val="MdParagraph"/>
    <w:qFormat/>
    <w:uiPriority w:val="0"/>
    <w:pPr>
      <w:spacing w:before="120" w:after="120"/>
    </w:pPr>
    <w:rPr>
      <w:rFonts w:asciiTheme="minorHAnsi" w:hAnsiTheme="minorHAnsi" w:eastAsiaTheme="minorEastAsia" w:cstheme="minorBidi"/>
      <w:sz w:val="24"/>
      <w:szCs w:val="24"/>
    </w:rPr>
  </w:style>
  <w:style w:type="paragraph" w:customStyle="1" w:styleId="23">
    <w:name w:val="MdText"/>
    <w:qFormat/>
    <w:uiPriority w:val="0"/>
    <w:rPr>
      <w:rFonts w:asciiTheme="minorHAnsi" w:hAnsiTheme="minorHAnsi" w:eastAsiaTheme="minorEastAsia" w:cstheme="minorBidi"/>
      <w:sz w:val="24"/>
      <w:szCs w:val="24"/>
    </w:rPr>
  </w:style>
  <w:style w:type="paragraph" w:customStyle="1" w:styleId="24">
    <w:name w:val="MdFootnote"/>
    <w:qFormat/>
    <w:uiPriority w:val="0"/>
    <w:rPr>
      <w:rFonts w:asciiTheme="minorHAnsi" w:hAnsiTheme="minorHAnsi" w:eastAsiaTheme="minorEastAsia" w:cstheme="minorBidi"/>
      <w:sz w:val="24"/>
      <w:szCs w:val="24"/>
      <w:vertAlign w:val="superscript"/>
    </w:rPr>
  </w:style>
  <w:style w:type="paragraph" w:customStyle="1" w:styleId="25">
    <w:name w:val="MdListItem"/>
    <w:qFormat/>
    <w:uiPriority w:val="0"/>
    <w:pPr>
      <w:spacing w:before="60" w:after="60"/>
      <w:ind w:left="720" w:hanging="360"/>
    </w:pPr>
    <w:rPr>
      <w:rFonts w:asciiTheme="minorHAnsi" w:hAnsiTheme="minorHAnsi" w:eastAsiaTheme="minorEastAsia" w:cstheme="minorBidi"/>
      <w:sz w:val="24"/>
      <w:szCs w:val="24"/>
    </w:rPr>
  </w:style>
  <w:style w:type="paragraph" w:customStyle="1" w:styleId="26">
    <w:name w:val="MdTable"/>
    <w:qFormat/>
    <w:uiPriority w:val="0"/>
    <w:pPr>
      <w:spacing w:before="60" w:after="60"/>
    </w:pPr>
    <w:rPr>
      <w:rFonts w:asciiTheme="minorHAnsi" w:hAnsiTheme="minorHAnsi" w:eastAsiaTheme="minorEastAsia" w:cstheme="minorBidi"/>
      <w:sz w:val="24"/>
      <w:szCs w:val="24"/>
    </w:rPr>
  </w:style>
  <w:style w:type="paragraph" w:customStyle="1" w:styleId="27">
    <w:name w:val="MdTableHeader"/>
    <w:qFormat/>
    <w:uiPriority w:val="0"/>
    <w:pPr>
      <w:spacing w:before="60" w:after="60"/>
    </w:pPr>
    <w:rPr>
      <w:rFonts w:asciiTheme="minorHAnsi" w:hAnsiTheme="minorHAnsi" w:eastAsiaTheme="minorEastAsia" w:cstheme="minorBidi"/>
      <w:b/>
      <w:bCs/>
      <w:sz w:val="22"/>
      <w:szCs w:val="22"/>
    </w:rPr>
  </w:style>
  <w:style w:type="paragraph" w:customStyle="1" w:styleId="28">
    <w:name w:val="MdTableCell"/>
    <w:qFormat/>
    <w:uiPriority w:val="0"/>
    <w:pPr>
      <w:spacing w:before="40" w:after="40"/>
    </w:pPr>
    <w:rPr>
      <w:rFonts w:asciiTheme="minorHAnsi" w:hAnsiTheme="minorHAnsi" w:eastAsiaTheme="minorEastAsia" w:cstheme="minorBidi"/>
      <w:sz w:val="20"/>
      <w:szCs w:val="20"/>
    </w:rPr>
  </w:style>
  <w:style w:type="paragraph" w:customStyle="1" w:styleId="29">
    <w:name w:val="MdHeading1"/>
    <w:qFormat/>
    <w:uiPriority w:val="0"/>
    <w:pPr>
      <w:keepNext/>
      <w:spacing w:before="480" w:after="240"/>
      <w:outlineLvl w:val="0"/>
    </w:pPr>
    <w:rPr>
      <w:rFonts w:asciiTheme="minorHAnsi" w:hAnsiTheme="minorHAnsi" w:eastAsiaTheme="minorEastAsia" w:cstheme="minorBidi"/>
      <w:b/>
      <w:bCs/>
      <w:sz w:val="36"/>
      <w:szCs w:val="36"/>
    </w:rPr>
  </w:style>
  <w:style w:type="paragraph" w:customStyle="1" w:styleId="30">
    <w:name w:val="MdHeading2"/>
    <w:qFormat/>
    <w:uiPriority w:val="0"/>
    <w:pPr>
      <w:keepNext/>
      <w:spacing w:before="400" w:after="200"/>
      <w:outlineLvl w:val="1"/>
    </w:pPr>
    <w:rPr>
      <w:rFonts w:asciiTheme="minorHAnsi" w:hAnsiTheme="minorHAnsi" w:eastAsiaTheme="minorEastAsia" w:cstheme="minorBidi"/>
      <w:b/>
      <w:bCs/>
      <w:sz w:val="32"/>
      <w:szCs w:val="32"/>
    </w:rPr>
  </w:style>
  <w:style w:type="paragraph" w:customStyle="1" w:styleId="31">
    <w:name w:val="MdHeading3"/>
    <w:qFormat/>
    <w:uiPriority w:val="0"/>
    <w:pPr>
      <w:keepNext/>
      <w:spacing w:before="320" w:after="160"/>
      <w:outlineLvl w:val="2"/>
    </w:pPr>
    <w:rPr>
      <w:rFonts w:asciiTheme="minorHAnsi" w:hAnsiTheme="minorHAnsi" w:eastAsiaTheme="minorEastAsia" w:cstheme="minorBidi"/>
      <w:b/>
      <w:bCs/>
      <w:sz w:val="28"/>
      <w:szCs w:val="28"/>
    </w:rPr>
  </w:style>
  <w:style w:type="paragraph" w:customStyle="1" w:styleId="32">
    <w:name w:val="MdHeading4"/>
    <w:qFormat/>
    <w:uiPriority w:val="0"/>
    <w:pPr>
      <w:keepNext/>
      <w:spacing w:before="280" w:after="140"/>
      <w:outlineLvl w:val="3"/>
    </w:pPr>
    <w:rPr>
      <w:rFonts w:asciiTheme="minorHAnsi" w:hAnsiTheme="minorHAnsi" w:eastAsiaTheme="minorEastAsia" w:cstheme="minorBidi"/>
      <w:b/>
      <w:bCs/>
      <w:sz w:val="26"/>
      <w:szCs w:val="26"/>
    </w:rPr>
  </w:style>
  <w:style w:type="paragraph" w:customStyle="1" w:styleId="33">
    <w:name w:val="MdHeading5"/>
    <w:qFormat/>
    <w:uiPriority w:val="0"/>
    <w:pPr>
      <w:keepNext/>
      <w:spacing w:before="240" w:after="120"/>
      <w:outlineLvl w:val="4"/>
    </w:pPr>
    <w:rPr>
      <w:rFonts w:asciiTheme="minorHAnsi" w:hAnsiTheme="minorHAnsi" w:eastAsiaTheme="minorEastAsia" w:cstheme="minorBidi"/>
      <w:b/>
      <w:bCs/>
      <w:i/>
      <w:iCs/>
      <w:sz w:val="24"/>
      <w:szCs w:val="24"/>
    </w:rPr>
  </w:style>
  <w:style w:type="paragraph" w:customStyle="1" w:styleId="34">
    <w:name w:val="MdHeading6"/>
    <w:qFormat/>
    <w:uiPriority w:val="0"/>
    <w:pPr>
      <w:keepNext/>
      <w:spacing w:before="240" w:after="120"/>
      <w:outlineLvl w:val="5"/>
    </w:pPr>
    <w:rPr>
      <w:rFonts w:asciiTheme="minorHAnsi" w:hAnsiTheme="minorHAnsi" w:eastAsiaTheme="minorEastAsia" w:cstheme="minorBidi"/>
      <w:i/>
      <w:iCs/>
      <w:sz w:val="24"/>
      <w:szCs w:val="24"/>
    </w:rPr>
  </w:style>
  <w:style w:type="character" w:customStyle="1" w:styleId="35">
    <w:name w:val="MdTag"/>
    <w:unhideWhenUsed/>
    <w:qFormat/>
    <w:uiPriority w:val="99"/>
    <w:rPr>
      <w:rFonts w:ascii="Courier New" w:hAnsi="Courier New" w:eastAsia="Courier New" w:cs="Courier New"/>
      <w:color w:val="ED7D31"/>
    </w:rPr>
  </w:style>
  <w:style w:type="character" w:customStyle="1" w:styleId="36">
    <w:name w:val="MdLink"/>
    <w:unhideWhenUsed/>
    <w:qFormat/>
    <w:uiPriority w:val="99"/>
    <w:rPr>
      <w:color w:val="0563C1"/>
      <w:u w:val="single"/>
    </w:rPr>
  </w:style>
  <w:style w:type="character" w:customStyle="1" w:styleId="37">
    <w:name w:val="MdStrong"/>
    <w:unhideWhenUsed/>
    <w:qFormat/>
    <w:uiPriority w:val="99"/>
    <w:rPr>
      <w:b/>
      <w:bCs/>
    </w:rPr>
  </w:style>
  <w:style w:type="character" w:customStyle="1" w:styleId="38">
    <w:name w:val="MdEm"/>
    <w:unhideWhenUsed/>
    <w:qFormat/>
    <w:uiPriority w:val="99"/>
    <w:rPr>
      <w:i/>
      <w:iCs/>
    </w:rPr>
  </w:style>
  <w:style w:type="character" w:customStyle="1" w:styleId="39">
    <w:name w:val="MdCodespan"/>
    <w:unhideWhenUsed/>
    <w:qFormat/>
    <w:uiPriority w:val="99"/>
    <w:rPr>
      <w:rFonts w:ascii="Courier New" w:hAnsi="Courier New" w:eastAsia="Courier New" w:cs="Courier New"/>
      <w:color w:val="70AD47"/>
    </w:rPr>
  </w:style>
  <w:style w:type="character" w:customStyle="1" w:styleId="40">
    <w:name w:val="MdDel"/>
    <w:unhideWhenUsed/>
    <w:qFormat/>
    <w:uiPriority w:val="99"/>
    <w:rPr>
      <w:strike/>
    </w:rPr>
  </w:style>
  <w:style w:type="character" w:customStyle="1" w:styleId="41">
    <w:name w:val="MdBr"/>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TotalTime>935</TotalTime>
  <ScaleCrop>false</ScaleCrop>
  <LinksUpToDate>false</LinksUpToDate>
  <Application>WPS Office_12.2.0.20795_F1E327BC-269C-435d-A152-05C5408002CA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2026-04-23T22:16:00Z</dcterms:created>
  <dc:creator>md2docx converter</dc:creator>
  <dc:description>Converted from Markdown</dc:description>
  <cp:lastModifiedBy>Fernando chaves da silva</cp:lastModifiedBy>
  <cp:lastPrinted>2026-04-27T20:31:00Z</cp:lastPrinted>
  <dcterms:modified xsi:type="dcterms:W3CDTF">2026-04-28T12:30:46Z</dcterms:modified>
  <dc:title>Converted Document</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C01090AF93FA47B9B710D7A4FAB6D8DA_13</vt:lpwstr>
  </property>
</Properties>
</file>